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6C293">
      <w:pPr>
        <w:pStyle w:val="63"/>
        <w:rPr>
          <w:rFonts w:hint="eastAsia" w:ascii="宋体" w:hAnsi="宋体" w:cs="宋体"/>
        </w:rPr>
      </w:pPr>
    </w:p>
    <w:p w14:paraId="601767EC">
      <w:pPr>
        <w:pStyle w:val="63"/>
        <w:rPr>
          <w:rFonts w:hint="eastAsia" w:ascii="宋体" w:hAnsi="宋体" w:cs="宋体"/>
        </w:rPr>
      </w:pPr>
    </w:p>
    <w:p w14:paraId="53822DF8">
      <w:pPr>
        <w:widowControl/>
        <w:shd w:val="clear" w:color="auto" w:fill="FFFFFF"/>
        <w:spacing w:line="360" w:lineRule="auto"/>
        <w:jc w:val="center"/>
        <w:rPr>
          <w:rFonts w:hint="eastAsia" w:ascii="宋体" w:hAnsi="宋体" w:cs="宋体"/>
          <w:b/>
          <w:sz w:val="52"/>
          <w:szCs w:val="52"/>
        </w:rPr>
      </w:pPr>
    </w:p>
    <w:p w14:paraId="2CAF18A0">
      <w:pPr>
        <w:pStyle w:val="40"/>
        <w:jc w:val="center"/>
        <w:rPr>
          <w:rFonts w:hint="eastAsia" w:cs="宋体"/>
        </w:rPr>
      </w:pPr>
      <w:r>
        <w:rPr>
          <w:rFonts w:hint="eastAsia" w:cs="宋体"/>
          <w:b/>
          <w:sz w:val="48"/>
          <w:szCs w:val="48"/>
          <w:lang w:eastAsia="zh-CN"/>
        </w:rPr>
        <w:t>南京市城市建设档案馆库内建设工程档案驻场数字化项目</w:t>
      </w:r>
    </w:p>
    <w:p w14:paraId="3F8C0CA4">
      <w:pPr>
        <w:pStyle w:val="40"/>
        <w:rPr>
          <w:rFonts w:hint="eastAsia" w:cs="宋体"/>
        </w:rPr>
      </w:pPr>
    </w:p>
    <w:p w14:paraId="5AEF7F3A">
      <w:pPr>
        <w:widowControl/>
        <w:spacing w:line="360" w:lineRule="auto"/>
        <w:jc w:val="center"/>
        <w:rPr>
          <w:rFonts w:hint="eastAsia" w:ascii="宋体" w:hAnsi="宋体" w:cs="宋体"/>
          <w:b/>
          <w:kern w:val="0"/>
          <w:sz w:val="72"/>
          <w:szCs w:val="72"/>
        </w:rPr>
      </w:pPr>
      <w:r>
        <w:rPr>
          <w:rFonts w:hint="eastAsia" w:ascii="宋体" w:hAnsi="宋体" w:cs="宋体"/>
          <w:b/>
          <w:kern w:val="0"/>
          <w:sz w:val="72"/>
          <w:szCs w:val="72"/>
        </w:rPr>
        <w:t>招标文件</w:t>
      </w:r>
    </w:p>
    <w:p w14:paraId="61179A91">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项目编号：JSZC-320100-JSSQ-G2025-0001</w:t>
      </w:r>
    </w:p>
    <w:p w14:paraId="4CC76116">
      <w:pPr>
        <w:widowControl/>
        <w:spacing w:line="360" w:lineRule="auto"/>
        <w:jc w:val="center"/>
        <w:rPr>
          <w:rFonts w:hint="eastAsia" w:ascii="宋体" w:hAnsi="宋体" w:cs="宋体"/>
          <w:b/>
          <w:kern w:val="0"/>
          <w:sz w:val="72"/>
          <w:szCs w:val="72"/>
        </w:rPr>
      </w:pPr>
    </w:p>
    <w:p w14:paraId="24CC4290">
      <w:pPr>
        <w:widowControl/>
        <w:spacing w:line="360" w:lineRule="auto"/>
        <w:jc w:val="center"/>
        <w:rPr>
          <w:rFonts w:hint="eastAsia" w:ascii="宋体" w:hAnsi="宋体" w:cs="宋体"/>
          <w:b/>
          <w:kern w:val="0"/>
          <w:sz w:val="36"/>
          <w:szCs w:val="36"/>
        </w:rPr>
      </w:pPr>
    </w:p>
    <w:p w14:paraId="6F454F94">
      <w:pPr>
        <w:pStyle w:val="20"/>
      </w:pPr>
    </w:p>
    <w:p w14:paraId="5BE5E673">
      <w:pPr>
        <w:pStyle w:val="20"/>
      </w:pPr>
    </w:p>
    <w:p w14:paraId="29038C98">
      <w:pPr>
        <w:pStyle w:val="20"/>
      </w:pPr>
    </w:p>
    <w:p w14:paraId="60CF5473">
      <w:pPr>
        <w:pStyle w:val="20"/>
      </w:pPr>
    </w:p>
    <w:p w14:paraId="45218311">
      <w:pPr>
        <w:pStyle w:val="20"/>
      </w:pPr>
    </w:p>
    <w:p w14:paraId="5A033FAB">
      <w:pPr>
        <w:pStyle w:val="20"/>
      </w:pPr>
    </w:p>
    <w:p w14:paraId="1B338C7D">
      <w:pPr>
        <w:widowControl/>
        <w:spacing w:line="360" w:lineRule="auto"/>
        <w:jc w:val="center"/>
        <w:rPr>
          <w:rFonts w:hint="eastAsia" w:ascii="宋体" w:hAnsi="宋体" w:eastAsia="宋体" w:cs="宋体"/>
          <w:b/>
          <w:kern w:val="0"/>
          <w:sz w:val="36"/>
          <w:szCs w:val="36"/>
          <w:lang w:eastAsia="zh-CN"/>
        </w:rPr>
      </w:pPr>
      <w:r>
        <w:rPr>
          <w:rFonts w:hint="eastAsia" w:ascii="宋体" w:hAnsi="宋体" w:cs="宋体"/>
          <w:b/>
          <w:kern w:val="0"/>
          <w:sz w:val="36"/>
          <w:szCs w:val="36"/>
        </w:rPr>
        <w:t>采购人：</w:t>
      </w:r>
      <w:r>
        <w:rPr>
          <w:rFonts w:hint="eastAsia" w:ascii="宋体" w:hAnsi="宋体" w:cs="宋体"/>
          <w:b/>
          <w:kern w:val="0"/>
          <w:sz w:val="36"/>
          <w:szCs w:val="36"/>
          <w:lang w:eastAsia="zh-CN"/>
        </w:rPr>
        <w:t>南京市城市建设档案馆</w:t>
      </w:r>
    </w:p>
    <w:p w14:paraId="719926AB">
      <w:pPr>
        <w:widowControl/>
        <w:spacing w:line="360" w:lineRule="auto"/>
        <w:jc w:val="center"/>
        <w:rPr>
          <w:rFonts w:hint="eastAsia" w:ascii="宋体" w:hAnsi="宋体" w:cs="宋体"/>
          <w:b/>
          <w:kern w:val="0"/>
          <w:sz w:val="36"/>
          <w:szCs w:val="36"/>
          <w:lang w:eastAsia="zh-CN"/>
        </w:rPr>
      </w:pPr>
      <w:r>
        <w:rPr>
          <w:rFonts w:hint="eastAsia" w:ascii="宋体" w:hAnsi="宋体" w:cs="宋体"/>
          <w:b/>
          <w:kern w:val="0"/>
          <w:sz w:val="36"/>
          <w:szCs w:val="36"/>
        </w:rPr>
        <w:t>采购代理机构：</w:t>
      </w:r>
      <w:r>
        <w:rPr>
          <w:rFonts w:hint="eastAsia" w:ascii="宋体" w:hAnsi="宋体" w:cs="宋体"/>
          <w:b/>
          <w:kern w:val="0"/>
          <w:sz w:val="36"/>
          <w:szCs w:val="36"/>
          <w:lang w:eastAsia="zh-CN"/>
        </w:rPr>
        <w:t>江苏盛启招标代理有限公司</w:t>
      </w:r>
    </w:p>
    <w:p w14:paraId="6710BC49">
      <w:pPr>
        <w:widowControl/>
        <w:spacing w:line="360" w:lineRule="auto"/>
        <w:jc w:val="center"/>
        <w:rPr>
          <w:rFonts w:hint="default" w:ascii="宋体" w:hAnsi="宋体" w:cs="宋体"/>
          <w:b/>
          <w:kern w:val="0"/>
          <w:sz w:val="36"/>
          <w:szCs w:val="36"/>
          <w:lang w:val="en-US" w:eastAsia="zh-CN"/>
        </w:rPr>
        <w:sectPr>
          <w:footerReference r:id="rId3" w:type="default"/>
          <w:endnotePr>
            <w:numFmt w:val="decimal"/>
          </w:endnotePr>
          <w:pgSz w:w="11906" w:h="16838"/>
          <w:pgMar w:top="1134" w:right="1134" w:bottom="1134" w:left="1134" w:header="227" w:footer="720" w:gutter="0"/>
          <w:pgNumType w:fmt="decimal" w:start="1"/>
          <w:cols w:space="720" w:num="1"/>
        </w:sectPr>
      </w:pPr>
      <w:r>
        <w:rPr>
          <w:rFonts w:hint="eastAsia" w:ascii="宋体" w:hAnsi="宋体" w:cs="宋体"/>
          <w:b/>
          <w:kern w:val="0"/>
          <w:sz w:val="36"/>
          <w:szCs w:val="36"/>
          <w:lang w:val="en-US" w:eastAsia="zh-CN"/>
        </w:rPr>
        <w:t>二〇二五年一月</w:t>
      </w:r>
    </w:p>
    <w:p w14:paraId="3233B8FA">
      <w:pPr>
        <w:pStyle w:val="167"/>
        <w:jc w:val="center"/>
        <w:rPr>
          <w:rFonts w:hint="eastAsia" w:ascii="宋体" w:hAnsi="宋体" w:cs="宋体"/>
          <w:color w:val="auto"/>
          <w:sz w:val="36"/>
          <w:szCs w:val="36"/>
        </w:rPr>
      </w:pPr>
      <w:r>
        <w:rPr>
          <w:rFonts w:hint="eastAsia" w:ascii="宋体" w:hAnsi="宋体" w:cs="宋体"/>
          <w:color w:val="auto"/>
          <w:sz w:val="36"/>
          <w:szCs w:val="36"/>
          <w:lang w:val="zh-CN"/>
        </w:rPr>
        <w:t>目录</w:t>
      </w:r>
    </w:p>
    <w:p w14:paraId="241D3946">
      <w:pPr>
        <w:pStyle w:val="31"/>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cs="宋体"/>
          <w:sz w:val="28"/>
          <w:szCs w:val="28"/>
        </w:rPr>
      </w:pPr>
    </w:p>
    <w:p w14:paraId="310CB0A9">
      <w:pPr>
        <w:pStyle w:val="31"/>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sz w:val="24"/>
          <w:szCs w:val="32"/>
        </w:rPr>
      </w:pPr>
      <w:r>
        <w:rPr>
          <w:rFonts w:hint="eastAsia" w:ascii="宋体" w:hAnsi="宋体" w:cs="宋体"/>
          <w:sz w:val="36"/>
          <w:szCs w:val="36"/>
        </w:rPr>
        <w:fldChar w:fldCharType="begin"/>
      </w:r>
      <w:r>
        <w:rPr>
          <w:rFonts w:hint="eastAsia" w:ascii="宋体" w:hAnsi="宋体" w:cs="宋体"/>
          <w:sz w:val="36"/>
          <w:szCs w:val="36"/>
        </w:rPr>
        <w:instrText xml:space="preserve">TOC \o "1-1" \h \u </w:instrText>
      </w:r>
      <w:r>
        <w:rPr>
          <w:rFonts w:hint="eastAsia" w:ascii="宋体" w:hAnsi="宋体" w:cs="宋体"/>
          <w:sz w:val="36"/>
          <w:szCs w:val="36"/>
        </w:rPr>
        <w:fldChar w:fldCharType="separate"/>
      </w:r>
      <w:r>
        <w:rPr>
          <w:rFonts w:hint="eastAsia" w:ascii="宋体" w:hAnsi="宋体" w:cs="宋体"/>
          <w:sz w:val="24"/>
          <w:szCs w:val="36"/>
        </w:rPr>
        <w:fldChar w:fldCharType="begin"/>
      </w:r>
      <w:r>
        <w:rPr>
          <w:rFonts w:hint="eastAsia" w:ascii="宋体" w:hAnsi="宋体" w:cs="宋体"/>
          <w:sz w:val="24"/>
          <w:szCs w:val="36"/>
        </w:rPr>
        <w:instrText xml:space="preserve"> HYPERLINK \l _Toc21411 </w:instrText>
      </w:r>
      <w:r>
        <w:rPr>
          <w:rFonts w:hint="eastAsia" w:ascii="宋体" w:hAnsi="宋体" w:cs="宋体"/>
          <w:sz w:val="24"/>
          <w:szCs w:val="36"/>
        </w:rPr>
        <w:fldChar w:fldCharType="separate"/>
      </w:r>
      <w:r>
        <w:rPr>
          <w:rFonts w:hint="eastAsia" w:ascii="宋体" w:hAnsi="宋体" w:cs="宋体"/>
          <w:kern w:val="0"/>
          <w:sz w:val="24"/>
          <w:szCs w:val="24"/>
        </w:rPr>
        <w:t xml:space="preserve">第一章 </w:t>
      </w:r>
      <w:r>
        <w:rPr>
          <w:rFonts w:hint="eastAsia" w:ascii="宋体" w:hAnsi="宋体" w:cs="宋体"/>
          <w:sz w:val="24"/>
          <w:szCs w:val="32"/>
        </w:rPr>
        <w:t>招标公告</w:t>
      </w:r>
      <w:r>
        <w:rPr>
          <w:rFonts w:hint="eastAsia" w:ascii="宋体" w:hAnsi="宋体" w:cs="宋体"/>
          <w:sz w:val="24"/>
          <w:szCs w:val="36"/>
        </w:rPr>
        <w:fldChar w:fldCharType="end"/>
      </w:r>
    </w:p>
    <w:p w14:paraId="4DD0AF25">
      <w:pPr>
        <w:pStyle w:val="31"/>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sz w:val="24"/>
          <w:szCs w:val="32"/>
        </w:rPr>
      </w:pPr>
      <w:r>
        <w:rPr>
          <w:rFonts w:hint="eastAsia" w:ascii="宋体" w:hAnsi="宋体" w:cs="宋体"/>
          <w:sz w:val="24"/>
          <w:szCs w:val="36"/>
        </w:rPr>
        <w:fldChar w:fldCharType="begin"/>
      </w:r>
      <w:r>
        <w:rPr>
          <w:rFonts w:hint="eastAsia" w:ascii="宋体" w:hAnsi="宋体" w:cs="宋体"/>
          <w:sz w:val="24"/>
          <w:szCs w:val="36"/>
        </w:rPr>
        <w:instrText xml:space="preserve"> HYPERLINK \l _Toc22765 </w:instrText>
      </w:r>
      <w:r>
        <w:rPr>
          <w:rFonts w:hint="eastAsia" w:ascii="宋体" w:hAnsi="宋体" w:cs="宋体"/>
          <w:sz w:val="24"/>
          <w:szCs w:val="36"/>
        </w:rPr>
        <w:fldChar w:fldCharType="separate"/>
      </w:r>
      <w:r>
        <w:rPr>
          <w:rFonts w:hint="eastAsia" w:ascii="宋体" w:hAnsi="宋体" w:cs="宋体"/>
          <w:sz w:val="24"/>
          <w:szCs w:val="32"/>
        </w:rPr>
        <w:t xml:space="preserve">第二章 </w:t>
      </w:r>
      <w:r>
        <w:rPr>
          <w:rFonts w:hint="eastAsia" w:ascii="宋体" w:hAnsi="宋体" w:cs="宋体"/>
          <w:sz w:val="24"/>
          <w:szCs w:val="32"/>
          <w:lang w:eastAsia="zh-CN"/>
        </w:rPr>
        <w:t>供应商</w:t>
      </w:r>
      <w:r>
        <w:rPr>
          <w:rFonts w:hint="eastAsia" w:ascii="宋体" w:hAnsi="宋体" w:cs="宋体"/>
          <w:sz w:val="24"/>
          <w:szCs w:val="32"/>
        </w:rPr>
        <w:t>须知</w:t>
      </w:r>
      <w:r>
        <w:rPr>
          <w:rFonts w:hint="eastAsia" w:ascii="宋体" w:hAnsi="宋体" w:cs="宋体"/>
          <w:sz w:val="24"/>
          <w:szCs w:val="36"/>
        </w:rPr>
        <w:fldChar w:fldCharType="end"/>
      </w:r>
    </w:p>
    <w:p w14:paraId="2FB31B69">
      <w:pPr>
        <w:pStyle w:val="31"/>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sz w:val="24"/>
          <w:szCs w:val="32"/>
        </w:rPr>
      </w:pPr>
      <w:r>
        <w:rPr>
          <w:rFonts w:hint="eastAsia" w:ascii="宋体" w:hAnsi="宋体" w:cs="宋体"/>
          <w:sz w:val="24"/>
          <w:szCs w:val="36"/>
        </w:rPr>
        <w:fldChar w:fldCharType="begin"/>
      </w:r>
      <w:r>
        <w:rPr>
          <w:rFonts w:hint="eastAsia" w:ascii="宋体" w:hAnsi="宋体" w:cs="宋体"/>
          <w:sz w:val="24"/>
          <w:szCs w:val="36"/>
        </w:rPr>
        <w:instrText xml:space="preserve"> HYPERLINK \l _Toc21393 </w:instrText>
      </w:r>
      <w:r>
        <w:rPr>
          <w:rFonts w:hint="eastAsia" w:ascii="宋体" w:hAnsi="宋体" w:cs="宋体"/>
          <w:sz w:val="24"/>
          <w:szCs w:val="36"/>
        </w:rPr>
        <w:fldChar w:fldCharType="separate"/>
      </w:r>
      <w:r>
        <w:rPr>
          <w:rFonts w:hint="eastAsia" w:ascii="宋体" w:hAnsi="宋体" w:cs="宋体"/>
          <w:kern w:val="0"/>
          <w:sz w:val="24"/>
          <w:szCs w:val="32"/>
        </w:rPr>
        <w:t>第三章 评标标准</w:t>
      </w:r>
      <w:r>
        <w:rPr>
          <w:rFonts w:hint="eastAsia" w:ascii="宋体" w:hAnsi="宋体" w:cs="宋体"/>
          <w:sz w:val="24"/>
          <w:szCs w:val="36"/>
        </w:rPr>
        <w:fldChar w:fldCharType="end"/>
      </w:r>
    </w:p>
    <w:p w14:paraId="2922C4CB">
      <w:pPr>
        <w:pStyle w:val="31"/>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sz w:val="24"/>
          <w:szCs w:val="32"/>
        </w:rPr>
      </w:pPr>
      <w:r>
        <w:rPr>
          <w:rFonts w:hint="eastAsia" w:ascii="宋体" w:hAnsi="宋体" w:cs="宋体"/>
          <w:sz w:val="24"/>
          <w:szCs w:val="36"/>
        </w:rPr>
        <w:fldChar w:fldCharType="begin"/>
      </w:r>
      <w:r>
        <w:rPr>
          <w:rFonts w:hint="eastAsia" w:ascii="宋体" w:hAnsi="宋体" w:cs="宋体"/>
          <w:sz w:val="24"/>
          <w:szCs w:val="36"/>
        </w:rPr>
        <w:instrText xml:space="preserve"> HYPERLINK \l _Toc781 </w:instrText>
      </w:r>
      <w:r>
        <w:rPr>
          <w:rFonts w:hint="eastAsia" w:ascii="宋体" w:hAnsi="宋体" w:cs="宋体"/>
          <w:sz w:val="24"/>
          <w:szCs w:val="36"/>
        </w:rPr>
        <w:fldChar w:fldCharType="separate"/>
      </w:r>
      <w:r>
        <w:rPr>
          <w:rFonts w:hint="eastAsia" w:ascii="宋体" w:hAnsi="宋体" w:cs="宋体"/>
          <w:kern w:val="0"/>
          <w:sz w:val="24"/>
          <w:szCs w:val="32"/>
          <w:highlight w:val="none"/>
        </w:rPr>
        <w:t>第四章 采购需求</w:t>
      </w:r>
      <w:r>
        <w:rPr>
          <w:rFonts w:hint="eastAsia" w:ascii="宋体" w:hAnsi="宋体" w:cs="宋体"/>
          <w:sz w:val="24"/>
          <w:szCs w:val="36"/>
        </w:rPr>
        <w:fldChar w:fldCharType="end"/>
      </w:r>
    </w:p>
    <w:p w14:paraId="2C1D1FCD">
      <w:pPr>
        <w:pStyle w:val="31"/>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rFonts w:hint="eastAsia" w:ascii="宋体" w:hAnsi="宋体" w:cs="宋体"/>
          <w:kern w:val="0"/>
          <w:sz w:val="24"/>
          <w:szCs w:val="32"/>
          <w:highlight w:val="none"/>
          <w:lang w:val="en-US" w:eastAsia="zh-CN"/>
        </w:rPr>
      </w:pPr>
      <w:r>
        <w:rPr>
          <w:rFonts w:hint="eastAsia" w:ascii="宋体" w:hAnsi="宋体" w:cs="宋体"/>
          <w:sz w:val="24"/>
          <w:szCs w:val="36"/>
        </w:rPr>
        <w:fldChar w:fldCharType="begin"/>
      </w:r>
      <w:r>
        <w:rPr>
          <w:rFonts w:hint="eastAsia" w:ascii="宋体" w:hAnsi="宋体" w:cs="宋体"/>
          <w:sz w:val="24"/>
          <w:szCs w:val="36"/>
        </w:rPr>
        <w:instrText xml:space="preserve"> HYPERLINK \l _Toc6548 </w:instrText>
      </w:r>
      <w:r>
        <w:rPr>
          <w:rFonts w:hint="eastAsia" w:ascii="宋体" w:hAnsi="宋体" w:cs="宋体"/>
          <w:sz w:val="24"/>
          <w:szCs w:val="36"/>
        </w:rPr>
        <w:fldChar w:fldCharType="separate"/>
      </w:r>
      <w:r>
        <w:rPr>
          <w:rFonts w:hint="eastAsia" w:ascii="宋体" w:hAnsi="宋体" w:cs="宋体"/>
          <w:kern w:val="0"/>
          <w:sz w:val="24"/>
          <w:szCs w:val="32"/>
          <w:highlight w:val="none"/>
        </w:rPr>
        <w:t>第五章</w:t>
      </w:r>
      <w:r>
        <w:rPr>
          <w:rFonts w:hint="eastAsia" w:ascii="宋体" w:hAnsi="宋体" w:cs="宋体"/>
          <w:kern w:val="0"/>
          <w:sz w:val="24"/>
          <w:szCs w:val="32"/>
          <w:highlight w:val="none"/>
          <w:lang w:val="en-US" w:eastAsia="zh-CN"/>
        </w:rPr>
        <w:t xml:space="preserve"> 合同</w:t>
      </w:r>
      <w:r>
        <w:rPr>
          <w:rFonts w:hint="eastAsia" w:ascii="宋体" w:hAnsi="宋体" w:cs="宋体"/>
          <w:kern w:val="0"/>
          <w:sz w:val="24"/>
          <w:szCs w:val="32"/>
          <w:highlight w:val="none"/>
        </w:rPr>
        <w:t>主要条款及格式</w:t>
      </w:r>
    </w:p>
    <w:p w14:paraId="2F7C005C">
      <w:pPr>
        <w:pStyle w:val="31"/>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sz w:val="32"/>
          <w:szCs w:val="32"/>
        </w:rPr>
      </w:pPr>
      <w:r>
        <w:rPr>
          <w:rFonts w:hint="eastAsia" w:ascii="宋体" w:hAnsi="宋体" w:cs="宋体"/>
          <w:kern w:val="0"/>
          <w:sz w:val="24"/>
          <w:szCs w:val="32"/>
          <w:highlight w:val="none"/>
          <w:lang w:val="en-US" w:eastAsia="zh-CN"/>
        </w:rPr>
        <w:t xml:space="preserve">第六章 </w:t>
      </w:r>
      <w:r>
        <w:rPr>
          <w:rFonts w:hint="eastAsia" w:ascii="宋体" w:hAnsi="宋体" w:cs="宋体"/>
          <w:sz w:val="24"/>
          <w:szCs w:val="36"/>
        </w:rPr>
        <w:fldChar w:fldCharType="end"/>
      </w:r>
      <w:r>
        <w:rPr>
          <w:rFonts w:hint="eastAsia" w:ascii="宋体" w:hAnsi="宋体" w:cs="宋体"/>
          <w:sz w:val="24"/>
          <w:szCs w:val="32"/>
        </w:rPr>
        <w:t>投标文件格式及附件</w:t>
      </w:r>
    </w:p>
    <w:p w14:paraId="3CBF4714">
      <w:pPr>
        <w:keepNext w:val="0"/>
        <w:keepLines w:val="0"/>
        <w:pageBreakBefore w:val="0"/>
        <w:widowControl w:val="0"/>
        <w:kinsoku/>
        <w:wordWrap/>
        <w:overflowPunct/>
        <w:topLinePunct w:val="0"/>
        <w:autoSpaceDE/>
        <w:autoSpaceDN/>
        <w:bidi w:val="0"/>
        <w:adjustRightInd/>
        <w:snapToGrid/>
        <w:spacing w:line="720" w:lineRule="auto"/>
        <w:textAlignment w:val="auto"/>
        <w:rPr>
          <w:rFonts w:hint="eastAsia" w:ascii="宋体" w:hAnsi="宋体" w:cs="宋体"/>
          <w:sz w:val="28"/>
          <w:szCs w:val="28"/>
        </w:rPr>
      </w:pPr>
      <w:r>
        <w:rPr>
          <w:rFonts w:hint="eastAsia" w:ascii="宋体" w:hAnsi="宋体" w:cs="宋体"/>
          <w:sz w:val="24"/>
          <w:szCs w:val="36"/>
        </w:rPr>
        <w:fldChar w:fldCharType="end"/>
      </w:r>
    </w:p>
    <w:p w14:paraId="4C86F5AF">
      <w:pPr>
        <w:widowControl/>
        <w:shd w:val="clear" w:color="auto" w:fill="FFFFFF"/>
        <w:spacing w:line="360" w:lineRule="auto"/>
        <w:jc w:val="center"/>
        <w:rPr>
          <w:rFonts w:hint="eastAsia" w:ascii="宋体" w:hAnsi="宋体" w:cs="宋体"/>
          <w:b/>
          <w:kern w:val="0"/>
          <w:sz w:val="36"/>
          <w:szCs w:val="36"/>
        </w:rPr>
      </w:pPr>
    </w:p>
    <w:p w14:paraId="174BD764">
      <w:pPr>
        <w:pStyle w:val="4"/>
        <w:rPr>
          <w:rFonts w:hint="eastAsia" w:ascii="宋体" w:hAnsi="宋体" w:cs="宋体"/>
          <w:kern w:val="0"/>
          <w:szCs w:val="21"/>
        </w:rPr>
        <w:sectPr>
          <w:endnotePr>
            <w:numFmt w:val="decimal"/>
          </w:endnotePr>
          <w:pgSz w:w="11906" w:h="16838"/>
          <w:pgMar w:top="850" w:right="850" w:bottom="850" w:left="1418" w:header="227" w:footer="720" w:gutter="0"/>
          <w:pgNumType w:fmt="decimal"/>
          <w:cols w:space="720" w:num="1"/>
        </w:sectPr>
      </w:pPr>
      <w:bookmarkStart w:id="0" w:name="_Toc481057143"/>
      <w:bookmarkStart w:id="1" w:name="_Hlk52290185"/>
      <w:bookmarkStart w:id="2" w:name="_Hlk54715254"/>
    </w:p>
    <w:p w14:paraId="53226701">
      <w:pPr>
        <w:pStyle w:val="4"/>
        <w:numPr>
          <w:ilvl w:val="0"/>
          <w:numId w:val="0"/>
        </w:numPr>
        <w:spacing w:line="360" w:lineRule="auto"/>
        <w:rPr>
          <w:rFonts w:hint="eastAsia" w:ascii="宋体" w:hAnsi="宋体" w:cs="宋体"/>
        </w:rPr>
      </w:pPr>
      <w:bookmarkStart w:id="3" w:name="_Toc21411"/>
      <w:r>
        <w:rPr>
          <w:rFonts w:hint="eastAsia" w:ascii="宋体" w:hAnsi="宋体" w:cs="宋体"/>
          <w:lang w:val="en-US" w:eastAsia="zh-CN"/>
        </w:rPr>
        <w:t xml:space="preserve">第一章 </w:t>
      </w:r>
      <w:r>
        <w:rPr>
          <w:rFonts w:hint="eastAsia" w:ascii="宋体" w:hAnsi="宋体" w:cs="宋体"/>
        </w:rPr>
        <w:t>招标公告</w:t>
      </w:r>
      <w:bookmarkEnd w:id="0"/>
      <w:bookmarkEnd w:id="3"/>
    </w:p>
    <w:p w14:paraId="3A440368">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val="0"/>
          <w:bCs w:val="0"/>
          <w:spacing w:val="8"/>
          <w:kern w:val="0"/>
          <w:szCs w:val="21"/>
          <w:u w:val="none"/>
        </w:rPr>
      </w:pPr>
      <w:r>
        <w:rPr>
          <w:rFonts w:hint="eastAsia" w:ascii="宋体" w:hAnsi="宋体" w:cs="宋体"/>
          <w:b w:val="0"/>
          <w:bCs w:val="0"/>
          <w:spacing w:val="8"/>
          <w:kern w:val="0"/>
          <w:szCs w:val="21"/>
          <w:u w:val="none"/>
        </w:rPr>
        <w:t>项目概况</w:t>
      </w:r>
    </w:p>
    <w:p w14:paraId="0FFF727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val="0"/>
          <w:bCs w:val="0"/>
          <w:kern w:val="0"/>
          <w:szCs w:val="21"/>
          <w:highlight w:val="none"/>
          <w:u w:val="none"/>
        </w:rPr>
      </w:pPr>
      <w:r>
        <w:rPr>
          <w:rFonts w:hint="eastAsia" w:ascii="宋体" w:hAnsi="宋体" w:cs="宋体"/>
          <w:b w:val="0"/>
          <w:bCs w:val="0"/>
          <w:szCs w:val="21"/>
          <w:u w:val="none"/>
          <w:lang w:eastAsia="zh-CN"/>
        </w:rPr>
        <w:t>南京市城市建设档案馆库内建设工程档案驻场数字化项目</w:t>
      </w:r>
      <w:r>
        <w:rPr>
          <w:rFonts w:hint="eastAsia" w:ascii="宋体" w:hAnsi="宋体" w:cs="宋体"/>
          <w:b w:val="0"/>
          <w:bCs w:val="0"/>
          <w:spacing w:val="8"/>
          <w:kern w:val="0"/>
          <w:szCs w:val="21"/>
          <w:highlight w:val="none"/>
          <w:u w:val="none"/>
        </w:rPr>
        <w:t>的潜在</w:t>
      </w:r>
      <w:r>
        <w:rPr>
          <w:rFonts w:hint="eastAsia" w:ascii="宋体" w:hAnsi="宋体" w:cs="宋体"/>
          <w:b w:val="0"/>
          <w:bCs w:val="0"/>
          <w:spacing w:val="8"/>
          <w:kern w:val="0"/>
          <w:szCs w:val="21"/>
          <w:highlight w:val="none"/>
          <w:u w:val="none"/>
          <w:lang w:eastAsia="zh-CN"/>
        </w:rPr>
        <w:t>供应商</w:t>
      </w:r>
      <w:r>
        <w:rPr>
          <w:rFonts w:hint="eastAsia" w:ascii="宋体" w:hAnsi="宋体" w:cs="宋体"/>
          <w:b w:val="0"/>
          <w:bCs w:val="0"/>
          <w:spacing w:val="8"/>
          <w:kern w:val="0"/>
          <w:szCs w:val="21"/>
          <w:highlight w:val="none"/>
          <w:u w:val="none"/>
        </w:rPr>
        <w:t>应在</w:t>
      </w:r>
      <w:r>
        <w:rPr>
          <w:rFonts w:hint="eastAsia" w:ascii="宋体" w:hAnsi="宋体" w:cs="宋体"/>
          <w:b w:val="0"/>
          <w:bCs w:val="0"/>
          <w:szCs w:val="21"/>
          <w:highlight w:val="none"/>
          <w:u w:val="none"/>
        </w:rPr>
        <w:t>江苏政府采购网获取采购文件，并于</w:t>
      </w:r>
      <w:r>
        <w:rPr>
          <w:rFonts w:hint="eastAsia" w:ascii="宋体" w:hAnsi="宋体" w:cs="宋体"/>
          <w:b w:val="0"/>
          <w:bCs w:val="0"/>
          <w:iCs/>
          <w:spacing w:val="8"/>
          <w:kern w:val="0"/>
          <w:szCs w:val="21"/>
          <w:highlight w:val="none"/>
          <w:u w:val="none"/>
        </w:rPr>
        <w:t>202</w:t>
      </w:r>
      <w:r>
        <w:rPr>
          <w:rFonts w:hint="eastAsia" w:ascii="宋体" w:hAnsi="宋体" w:cs="宋体"/>
          <w:b w:val="0"/>
          <w:bCs w:val="0"/>
          <w:iCs/>
          <w:spacing w:val="8"/>
          <w:kern w:val="0"/>
          <w:szCs w:val="21"/>
          <w:highlight w:val="none"/>
          <w:u w:val="none"/>
          <w:lang w:val="en-US" w:eastAsia="zh-CN"/>
        </w:rPr>
        <w:t>5</w:t>
      </w:r>
      <w:r>
        <w:rPr>
          <w:rFonts w:hint="eastAsia" w:ascii="宋体" w:hAnsi="宋体" w:cs="宋体"/>
          <w:b w:val="0"/>
          <w:bCs w:val="0"/>
          <w:spacing w:val="8"/>
          <w:kern w:val="0"/>
          <w:szCs w:val="21"/>
          <w:highlight w:val="none"/>
          <w:u w:val="none"/>
        </w:rPr>
        <w:t>年</w:t>
      </w:r>
      <w:r>
        <w:rPr>
          <w:rFonts w:hint="eastAsia" w:ascii="宋体" w:hAnsi="宋体" w:cs="宋体"/>
          <w:b w:val="0"/>
          <w:bCs w:val="0"/>
          <w:spacing w:val="8"/>
          <w:kern w:val="0"/>
          <w:szCs w:val="21"/>
          <w:highlight w:val="none"/>
          <w:u w:val="none"/>
          <w:lang w:val="en-US" w:eastAsia="zh-CN"/>
        </w:rPr>
        <w:t>2</w:t>
      </w:r>
      <w:r>
        <w:rPr>
          <w:rFonts w:hint="eastAsia" w:ascii="宋体" w:hAnsi="宋体" w:cs="宋体"/>
          <w:b w:val="0"/>
          <w:bCs w:val="0"/>
          <w:spacing w:val="8"/>
          <w:kern w:val="0"/>
          <w:szCs w:val="21"/>
          <w:highlight w:val="none"/>
          <w:u w:val="none"/>
        </w:rPr>
        <w:t>月</w:t>
      </w:r>
      <w:r>
        <w:rPr>
          <w:rFonts w:hint="eastAsia" w:ascii="宋体" w:hAnsi="宋体" w:cs="宋体"/>
          <w:b w:val="0"/>
          <w:bCs w:val="0"/>
          <w:spacing w:val="8"/>
          <w:kern w:val="0"/>
          <w:szCs w:val="21"/>
          <w:highlight w:val="none"/>
          <w:u w:val="none"/>
          <w:lang w:val="en-US" w:eastAsia="zh-CN"/>
        </w:rPr>
        <w:t>24</w:t>
      </w:r>
      <w:r>
        <w:rPr>
          <w:rFonts w:hint="eastAsia" w:ascii="宋体" w:hAnsi="宋体" w:cs="宋体"/>
          <w:b w:val="0"/>
          <w:bCs w:val="0"/>
          <w:spacing w:val="8"/>
          <w:kern w:val="0"/>
          <w:szCs w:val="21"/>
          <w:highlight w:val="none"/>
          <w:u w:val="none"/>
        </w:rPr>
        <w:t>日</w:t>
      </w:r>
      <w:r>
        <w:rPr>
          <w:rFonts w:hint="eastAsia" w:ascii="宋体" w:hAnsi="宋体" w:cs="宋体"/>
          <w:b w:val="0"/>
          <w:bCs w:val="0"/>
          <w:kern w:val="0"/>
          <w:szCs w:val="21"/>
          <w:highlight w:val="none"/>
          <w:u w:val="none"/>
          <w:lang w:val="en-US" w:eastAsia="zh-CN"/>
        </w:rPr>
        <w:t>9</w:t>
      </w:r>
      <w:r>
        <w:rPr>
          <w:rFonts w:hint="eastAsia" w:ascii="宋体" w:hAnsi="宋体" w:cs="宋体"/>
          <w:b w:val="0"/>
          <w:bCs w:val="0"/>
          <w:kern w:val="0"/>
          <w:szCs w:val="21"/>
          <w:highlight w:val="none"/>
          <w:u w:val="none"/>
        </w:rPr>
        <w:t>点30分（北京时间）前递交投标文件。</w:t>
      </w:r>
    </w:p>
    <w:p w14:paraId="4A970EC3">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一、项目基本情况</w:t>
      </w:r>
    </w:p>
    <w:bookmarkEnd w:id="1"/>
    <w:bookmarkEnd w:id="2"/>
    <w:p w14:paraId="61377AC3">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（一）</w:t>
      </w:r>
      <w:r>
        <w:rPr>
          <w:rFonts w:hint="eastAsia" w:ascii="宋体" w:hAnsi="宋体" w:eastAsia="宋体" w:cs="宋体"/>
          <w:bCs/>
          <w:sz w:val="21"/>
          <w:szCs w:val="21"/>
          <w:highlight w:val="none"/>
        </w:rPr>
        <w:t>项目编号：JSZC-320100-JSSQ-G2025-0001</w:t>
      </w:r>
      <w:r>
        <w:rPr>
          <w:rFonts w:hint="eastAsia" w:ascii="宋体" w:hAnsi="宋体" w:cs="宋体"/>
          <w:bCs/>
          <w:sz w:val="21"/>
          <w:szCs w:val="21"/>
          <w:highlight w:val="none"/>
          <w:lang w:val="en-US" w:eastAsia="zh-CN"/>
        </w:rPr>
        <w:t xml:space="preserve"> </w:t>
      </w:r>
    </w:p>
    <w:p w14:paraId="25BD7766">
      <w:pPr>
        <w:keepNext w:val="0"/>
        <w:keepLines w:val="0"/>
        <w:pageBreakBefore w:val="0"/>
        <w:kinsoku/>
        <w:overflowPunct/>
        <w:topLinePunct w:val="0"/>
        <w:autoSpaceDE/>
        <w:autoSpaceDN/>
        <w:bidi w:val="0"/>
        <w:adjustRightInd w:val="0"/>
        <w:spacing w:line="360" w:lineRule="auto"/>
        <w:ind w:firstLine="420" w:firstLineChars="200"/>
        <w:textAlignment w:val="auto"/>
        <w:rPr>
          <w:rFonts w:hint="eastAsia" w:ascii="宋体" w:hAnsi="宋体" w:cs="宋体"/>
          <w:bCs/>
          <w:sz w:val="21"/>
          <w:szCs w:val="21"/>
          <w:highlight w:val="none"/>
          <w:lang w:val="en-US" w:eastAsia="zh-CN"/>
        </w:rPr>
      </w:pPr>
      <w:r>
        <w:rPr>
          <w:rFonts w:hint="eastAsia" w:ascii="宋体" w:hAnsi="宋体" w:eastAsia="宋体" w:cs="宋体"/>
          <w:sz w:val="21"/>
          <w:szCs w:val="21"/>
          <w:highlight w:val="none"/>
        </w:rPr>
        <w:t>（二）</w:t>
      </w:r>
      <w:r>
        <w:rPr>
          <w:rFonts w:hint="eastAsia" w:ascii="宋体" w:hAnsi="宋体" w:eastAsia="宋体" w:cs="宋体"/>
          <w:bCs/>
          <w:sz w:val="21"/>
          <w:szCs w:val="21"/>
          <w:highlight w:val="none"/>
          <w:lang w:val="en-US" w:eastAsia="zh-CN"/>
        </w:rPr>
        <w:t>项目名称：</w:t>
      </w:r>
      <w:r>
        <w:rPr>
          <w:rFonts w:hint="eastAsia" w:ascii="宋体" w:hAnsi="宋体" w:cs="宋体"/>
          <w:bCs/>
          <w:sz w:val="21"/>
          <w:szCs w:val="21"/>
          <w:highlight w:val="none"/>
          <w:lang w:val="en-US" w:eastAsia="zh-CN"/>
        </w:rPr>
        <w:t>南京市城市建设档案馆库内建设工程档案驻场数字化项目</w:t>
      </w:r>
    </w:p>
    <w:p w14:paraId="745DE760">
      <w:pPr>
        <w:keepNext w:val="0"/>
        <w:keepLines w:val="0"/>
        <w:pageBreakBefore w:val="0"/>
        <w:kinsoku/>
        <w:overflowPunct/>
        <w:topLinePunct w:val="0"/>
        <w:autoSpaceDE/>
        <w:autoSpaceDN/>
        <w:bidi w:val="0"/>
        <w:adjustRightInd w:val="0"/>
        <w:spacing w:line="360" w:lineRule="auto"/>
        <w:ind w:firstLine="420" w:firstLineChars="200"/>
        <w:textAlignment w:val="auto"/>
        <w:rPr>
          <w:rFonts w:hint="default" w:ascii="宋体" w:hAnsi="宋体" w:eastAsia="宋体" w:cs="宋体"/>
          <w:bCs/>
          <w:sz w:val="21"/>
          <w:szCs w:val="21"/>
          <w:highlight w:val="none"/>
          <w:lang w:val="en-US" w:eastAsia="zh-CN"/>
        </w:rPr>
      </w:pPr>
      <w:r>
        <w:rPr>
          <w:rFonts w:hint="eastAsia" w:ascii="宋体" w:hAnsi="宋体" w:eastAsia="宋体" w:cs="宋体"/>
          <w:sz w:val="21"/>
          <w:szCs w:val="21"/>
          <w:highlight w:val="none"/>
        </w:rPr>
        <w:t>（三）</w:t>
      </w:r>
      <w:r>
        <w:rPr>
          <w:rFonts w:hint="eastAsia" w:ascii="宋体" w:hAnsi="宋体" w:eastAsia="宋体" w:cs="宋体"/>
          <w:bCs/>
          <w:sz w:val="21"/>
          <w:szCs w:val="21"/>
          <w:highlight w:val="none"/>
          <w:lang w:val="en-US" w:eastAsia="zh-CN"/>
        </w:rPr>
        <w:t>预算金额：</w:t>
      </w:r>
      <w:r>
        <w:rPr>
          <w:rFonts w:hint="eastAsia" w:ascii="宋体" w:hAnsi="宋体" w:cs="宋体"/>
          <w:bCs/>
          <w:sz w:val="21"/>
          <w:szCs w:val="21"/>
          <w:highlight w:val="none"/>
          <w:lang w:val="en-US" w:eastAsia="zh-CN"/>
        </w:rPr>
        <w:t>260</w:t>
      </w:r>
      <w:r>
        <w:rPr>
          <w:rFonts w:hint="eastAsia" w:ascii="宋体" w:hAnsi="宋体" w:eastAsia="宋体" w:cs="宋体"/>
          <w:bCs/>
          <w:sz w:val="21"/>
          <w:szCs w:val="21"/>
          <w:highlight w:val="none"/>
          <w:lang w:val="en-US" w:eastAsia="zh-CN"/>
        </w:rPr>
        <w:t>万元</w:t>
      </w:r>
    </w:p>
    <w:p w14:paraId="709FE344">
      <w:pPr>
        <w:keepNext w:val="0"/>
        <w:keepLines w:val="0"/>
        <w:pageBreakBefore w:val="0"/>
        <w:kinsoku/>
        <w:overflowPunct/>
        <w:topLinePunct w:val="0"/>
        <w:autoSpaceDE/>
        <w:autoSpaceDN/>
        <w:bidi w:val="0"/>
        <w:adjustRightInd w:val="0"/>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（四）</w:t>
      </w:r>
      <w:r>
        <w:rPr>
          <w:rFonts w:hint="eastAsia" w:ascii="宋体" w:hAnsi="宋体" w:eastAsia="宋体" w:cs="宋体"/>
          <w:bCs/>
          <w:sz w:val="21"/>
          <w:szCs w:val="21"/>
          <w:highlight w:val="none"/>
          <w:lang w:val="en-US" w:eastAsia="zh-CN"/>
        </w:rPr>
        <w:t>最高限价：</w:t>
      </w:r>
      <w:r>
        <w:rPr>
          <w:rFonts w:hint="eastAsia" w:ascii="宋体" w:hAnsi="宋体" w:cs="宋体"/>
          <w:bCs/>
          <w:sz w:val="21"/>
          <w:szCs w:val="21"/>
          <w:highlight w:val="none"/>
          <w:lang w:val="en-US" w:eastAsia="zh-CN"/>
        </w:rPr>
        <w:t>260</w:t>
      </w:r>
      <w:r>
        <w:rPr>
          <w:rFonts w:hint="eastAsia" w:ascii="宋体" w:hAnsi="宋体" w:cs="宋体"/>
          <w:color w:val="000000"/>
          <w:szCs w:val="21"/>
          <w:highlight w:val="none"/>
          <w:lang w:bidi="ar"/>
        </w:rPr>
        <w:t>万元</w:t>
      </w:r>
      <w:r>
        <w:rPr>
          <w:rFonts w:hint="eastAsia" w:ascii="宋体" w:hAnsi="宋体" w:cs="宋体"/>
          <w:color w:val="000000"/>
          <w:szCs w:val="21"/>
          <w:highlight w:val="none"/>
          <w:lang w:val="en-US" w:eastAsia="zh-CN" w:bidi="ar"/>
        </w:rPr>
        <w:t>/三年</w:t>
      </w:r>
      <w:r>
        <w:rPr>
          <w:rFonts w:hint="eastAsia" w:ascii="宋体" w:hAnsi="宋体" w:cs="宋体"/>
          <w:color w:val="000000"/>
          <w:szCs w:val="21"/>
          <w:highlight w:val="none"/>
          <w:lang w:eastAsia="zh-CN" w:bidi="ar"/>
        </w:rPr>
        <w:t>。</w:t>
      </w:r>
      <w:r>
        <w:rPr>
          <w:rFonts w:hint="eastAsia" w:ascii="宋体" w:hAnsi="宋体" w:eastAsia="宋体" w:cs="宋体"/>
          <w:bCs/>
          <w:sz w:val="21"/>
          <w:szCs w:val="21"/>
          <w:highlight w:val="none"/>
        </w:rPr>
        <w:t>（</w:t>
      </w:r>
      <w:r>
        <w:rPr>
          <w:rFonts w:hint="eastAsia" w:ascii="宋体" w:hAnsi="宋体" w:cs="宋体"/>
          <w:bCs/>
          <w:sz w:val="21"/>
          <w:szCs w:val="21"/>
          <w:highlight w:val="none"/>
          <w:lang w:val="en-US" w:eastAsia="zh-CN"/>
        </w:rPr>
        <w:t>投标</w:t>
      </w:r>
      <w:r>
        <w:rPr>
          <w:rFonts w:hint="eastAsia" w:ascii="宋体" w:hAnsi="宋体" w:eastAsia="宋体" w:cs="宋体"/>
          <w:bCs/>
          <w:sz w:val="21"/>
          <w:szCs w:val="21"/>
          <w:highlight w:val="none"/>
        </w:rPr>
        <w:t>报价不得超过最高限价，否则按无效投标处理）</w:t>
      </w:r>
    </w:p>
    <w:p w14:paraId="70D5298A">
      <w:pPr>
        <w:keepNext w:val="0"/>
        <w:keepLines w:val="0"/>
        <w:pageBreakBefore w:val="0"/>
        <w:widowControl/>
        <w:kinsoku/>
        <w:overflowPunct/>
        <w:topLinePunct w:val="0"/>
        <w:autoSpaceDE/>
        <w:autoSpaceDN/>
        <w:bidi w:val="0"/>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（五）</w:t>
      </w:r>
      <w:r>
        <w:rPr>
          <w:rFonts w:hint="eastAsia" w:ascii="宋体" w:hAnsi="宋体" w:eastAsia="宋体" w:cs="宋体"/>
          <w:bCs/>
          <w:sz w:val="21"/>
          <w:szCs w:val="21"/>
          <w:highlight w:val="none"/>
        </w:rPr>
        <w:t>采购需求：对城建档案馆库内建设工程档案开展驻场数字化。驻场公司需根据城建档案馆相关要求在复核库内建设工程档案整理和著录问题的基础上，纠正包括组卷、页码等细小错误，再开展全文扫描、图像处理、数据挂接等档案数字化工作，同时配备质量检测人员，自检通过后提交档案馆抽验，对档案进行装盒、入库上架，完成全流程城建档案数字化服务工作。（具体详见招标文件第四章）</w:t>
      </w:r>
    </w:p>
    <w:p w14:paraId="5EA05D2A">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（六）</w:t>
      </w:r>
      <w:r>
        <w:rPr>
          <w:rFonts w:hint="eastAsia" w:ascii="宋体" w:hAnsi="宋体" w:eastAsia="宋体" w:cs="宋体"/>
          <w:bCs/>
          <w:sz w:val="21"/>
          <w:szCs w:val="21"/>
          <w:highlight w:val="none"/>
        </w:rPr>
        <w:t>合同履行期限：</w:t>
      </w:r>
      <w:r>
        <w:rPr>
          <w:rFonts w:hint="eastAsia" w:ascii="宋体" w:hAnsi="宋体" w:cs="宋体"/>
          <w:bCs/>
          <w:sz w:val="21"/>
          <w:szCs w:val="21"/>
          <w:highlight w:val="none"/>
          <w:lang w:val="en-US" w:eastAsia="zh-CN"/>
        </w:rPr>
        <w:t>三</w:t>
      </w:r>
      <w:r>
        <w:rPr>
          <w:rFonts w:hint="eastAsia" w:ascii="宋体" w:hAnsi="宋体" w:eastAsia="宋体" w:cs="宋体"/>
          <w:bCs/>
          <w:sz w:val="21"/>
          <w:szCs w:val="21"/>
          <w:highlight w:val="none"/>
        </w:rPr>
        <w:t>年。（具体时间以合同签订时间为准）</w:t>
      </w:r>
    </w:p>
    <w:p w14:paraId="2E0C750A">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b/>
          <w:bCs w:val="0"/>
          <w:sz w:val="21"/>
          <w:szCs w:val="21"/>
          <w:highlight w:val="none"/>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七</w:t>
      </w:r>
      <w:r>
        <w:rPr>
          <w:rFonts w:hint="eastAsia" w:ascii="宋体" w:hAnsi="宋体" w:eastAsia="宋体" w:cs="宋体"/>
          <w:bCs/>
          <w:sz w:val="21"/>
          <w:szCs w:val="21"/>
          <w:highlight w:val="none"/>
          <w:lang w:eastAsia="zh-CN"/>
        </w:rPr>
        <w:t>）</w:t>
      </w:r>
      <w:r>
        <w:rPr>
          <w:rFonts w:hint="eastAsia" w:ascii="宋体" w:hAnsi="宋体" w:eastAsia="宋体" w:cs="宋体"/>
          <w:b w:val="0"/>
          <w:bCs/>
          <w:sz w:val="21"/>
          <w:szCs w:val="21"/>
          <w:highlight w:val="none"/>
          <w:lang w:eastAsia="zh-CN"/>
        </w:rPr>
        <w:t>本项目（是/否）接受联合体：</w:t>
      </w:r>
      <w:r>
        <w:rPr>
          <w:rFonts w:hint="eastAsia" w:ascii="宋体" w:hAnsi="宋体" w:cs="宋体"/>
          <w:b w:val="0"/>
          <w:bCs/>
          <w:sz w:val="21"/>
          <w:szCs w:val="21"/>
          <w:highlight w:val="none"/>
          <w:lang w:val="en-US" w:eastAsia="zh-CN"/>
        </w:rPr>
        <w:t>不接受</w:t>
      </w:r>
    </w:p>
    <w:p w14:paraId="17A092BA">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二、申请人的资格要求：</w:t>
      </w:r>
    </w:p>
    <w:p w14:paraId="018F1154">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val="0"/>
          <w:spacing w:val="8"/>
          <w:kern w:val="0"/>
          <w:sz w:val="21"/>
          <w:szCs w:val="21"/>
        </w:rPr>
      </w:pPr>
      <w:r>
        <w:rPr>
          <w:rFonts w:hint="eastAsia" w:ascii="宋体" w:hAnsi="宋体" w:eastAsia="宋体" w:cs="宋体"/>
          <w:b w:val="0"/>
          <w:bCs w:val="0"/>
          <w:sz w:val="21"/>
          <w:szCs w:val="21"/>
        </w:rPr>
        <w:t>（一）</w:t>
      </w:r>
      <w:r>
        <w:rPr>
          <w:rFonts w:hint="eastAsia" w:ascii="宋体" w:hAnsi="宋体" w:eastAsia="宋体" w:cs="宋体"/>
          <w:b w:val="0"/>
          <w:bCs w:val="0"/>
          <w:spacing w:val="8"/>
          <w:kern w:val="0"/>
          <w:sz w:val="21"/>
          <w:szCs w:val="21"/>
        </w:rPr>
        <w:t>满足《中华人民共和国政府采购法》第二十二条规定：</w:t>
      </w:r>
    </w:p>
    <w:p w14:paraId="28EFA44F">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具有独立承担民事责任的能力；（提供法人或者其他组织的营业执照，供应商为自然人的，提供其身份证，复印件加盖</w:t>
      </w:r>
      <w:r>
        <w:rPr>
          <w:rFonts w:hint="eastAsia" w:cs="宋体"/>
          <w:sz w:val="21"/>
          <w:szCs w:val="21"/>
          <w:lang w:val="en-US" w:eastAsia="zh-CN"/>
        </w:rPr>
        <w:t>电子</w:t>
      </w:r>
      <w:r>
        <w:rPr>
          <w:rFonts w:hint="eastAsia" w:ascii="宋体" w:hAnsi="宋体" w:eastAsia="宋体" w:cs="宋体"/>
          <w:sz w:val="21"/>
          <w:szCs w:val="21"/>
        </w:rPr>
        <w:t>公章）</w:t>
      </w:r>
    </w:p>
    <w:p w14:paraId="63946BCC">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具有良好的商业信誉和健全的财务会计制度；（提供《南京市政府采购供应商信用记录表暨信用承诺书》</w:t>
      </w:r>
      <w:r>
        <w:rPr>
          <w:rFonts w:hint="eastAsia" w:ascii="宋体" w:hAnsi="宋体" w:eastAsia="宋体" w:cs="宋体"/>
          <w:sz w:val="21"/>
          <w:szCs w:val="21"/>
          <w:lang w:eastAsia="zh-CN"/>
        </w:rPr>
        <w:t>，网站在线打印，法定代表人签字并盖单位</w:t>
      </w:r>
      <w:r>
        <w:rPr>
          <w:rFonts w:hint="eastAsia" w:cs="宋体"/>
          <w:sz w:val="21"/>
          <w:szCs w:val="21"/>
          <w:lang w:val="en-US" w:eastAsia="zh-CN"/>
        </w:rPr>
        <w:t>电子</w:t>
      </w:r>
      <w:r>
        <w:rPr>
          <w:rFonts w:hint="eastAsia" w:ascii="宋体" w:hAnsi="宋体" w:eastAsia="宋体" w:cs="宋体"/>
          <w:sz w:val="21"/>
          <w:szCs w:val="21"/>
        </w:rPr>
        <w:t>公章）</w:t>
      </w:r>
    </w:p>
    <w:p w14:paraId="090CB81B">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具有履行合同所必需的设备和专业技术能力；（提供《南京市政府采购供应商信用记录表暨信用承诺书》</w:t>
      </w:r>
      <w:r>
        <w:rPr>
          <w:rFonts w:hint="eastAsia" w:ascii="宋体" w:hAnsi="宋体" w:eastAsia="宋体" w:cs="宋体"/>
          <w:sz w:val="21"/>
          <w:szCs w:val="21"/>
          <w:lang w:eastAsia="zh-CN"/>
        </w:rPr>
        <w:t>，网站在线打印，法定代表人签字并盖单位</w:t>
      </w:r>
      <w:r>
        <w:rPr>
          <w:rFonts w:hint="eastAsia" w:cs="宋体"/>
          <w:sz w:val="21"/>
          <w:szCs w:val="21"/>
          <w:lang w:val="en-US" w:eastAsia="zh-CN"/>
        </w:rPr>
        <w:t>电子</w:t>
      </w:r>
      <w:r>
        <w:rPr>
          <w:rFonts w:hint="eastAsia" w:ascii="宋体" w:hAnsi="宋体" w:eastAsia="宋体" w:cs="宋体"/>
          <w:sz w:val="21"/>
          <w:szCs w:val="21"/>
        </w:rPr>
        <w:t>公章）</w:t>
      </w:r>
    </w:p>
    <w:p w14:paraId="68C4E039">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有依法缴纳税收和社会保障资金的良好记录；（提供《南京市政府采购供应商信用记录表暨信用承诺书》</w:t>
      </w:r>
      <w:r>
        <w:rPr>
          <w:rFonts w:hint="eastAsia" w:ascii="宋体" w:hAnsi="宋体" w:eastAsia="宋体" w:cs="宋体"/>
          <w:sz w:val="21"/>
          <w:szCs w:val="21"/>
          <w:lang w:eastAsia="zh-CN"/>
        </w:rPr>
        <w:t>，网站在线打印，法定代表人签字并盖单位</w:t>
      </w:r>
      <w:r>
        <w:rPr>
          <w:rFonts w:hint="eastAsia" w:cs="宋体"/>
          <w:sz w:val="21"/>
          <w:szCs w:val="21"/>
          <w:lang w:val="en-US" w:eastAsia="zh-CN"/>
        </w:rPr>
        <w:t>电子</w:t>
      </w:r>
      <w:r>
        <w:rPr>
          <w:rFonts w:hint="eastAsia" w:ascii="宋体" w:hAnsi="宋体" w:eastAsia="宋体" w:cs="宋体"/>
          <w:sz w:val="21"/>
          <w:szCs w:val="21"/>
        </w:rPr>
        <w:t>公章）</w:t>
      </w:r>
    </w:p>
    <w:p w14:paraId="603175EC">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参加政府采购活动前三年内，在经营活动中没有重大违法记录；（提供《南京市政府采购供应商信用记录表暨信用承诺书》</w:t>
      </w:r>
      <w:r>
        <w:rPr>
          <w:rFonts w:hint="eastAsia" w:ascii="宋体" w:hAnsi="宋体" w:eastAsia="宋体" w:cs="宋体"/>
          <w:sz w:val="21"/>
          <w:szCs w:val="21"/>
          <w:lang w:eastAsia="zh-CN"/>
        </w:rPr>
        <w:t>，网站在线打印，法定代表人签字并盖单位</w:t>
      </w:r>
      <w:r>
        <w:rPr>
          <w:rFonts w:hint="eastAsia" w:cs="宋体"/>
          <w:sz w:val="21"/>
          <w:szCs w:val="21"/>
          <w:lang w:val="en-US" w:eastAsia="zh-CN"/>
        </w:rPr>
        <w:t>电子</w:t>
      </w:r>
      <w:r>
        <w:rPr>
          <w:rFonts w:hint="eastAsia" w:ascii="宋体" w:hAnsi="宋体" w:eastAsia="宋体" w:cs="宋体"/>
          <w:sz w:val="21"/>
          <w:szCs w:val="21"/>
        </w:rPr>
        <w:t>公章）</w:t>
      </w:r>
    </w:p>
    <w:p w14:paraId="4B395D63">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法律、行政法规和采购文件规定的其他条件。（提供《南京市政府采购供应商信用记录表暨信用承诺书》</w:t>
      </w:r>
      <w:r>
        <w:rPr>
          <w:rFonts w:hint="eastAsia" w:ascii="宋体" w:hAnsi="宋体" w:eastAsia="宋体" w:cs="宋体"/>
          <w:sz w:val="21"/>
          <w:szCs w:val="21"/>
          <w:lang w:eastAsia="zh-CN"/>
        </w:rPr>
        <w:t>，网站在线打印，法定代表人签字并盖单位</w:t>
      </w:r>
      <w:r>
        <w:rPr>
          <w:rFonts w:hint="eastAsia" w:cs="宋体"/>
          <w:sz w:val="21"/>
          <w:szCs w:val="21"/>
          <w:lang w:val="en-US" w:eastAsia="zh-CN"/>
        </w:rPr>
        <w:t>电子</w:t>
      </w:r>
      <w:r>
        <w:rPr>
          <w:rFonts w:hint="eastAsia" w:ascii="宋体" w:hAnsi="宋体" w:eastAsia="宋体" w:cs="宋体"/>
          <w:sz w:val="21"/>
          <w:szCs w:val="21"/>
        </w:rPr>
        <w:t>公章）</w:t>
      </w:r>
    </w:p>
    <w:p w14:paraId="69E847F1">
      <w:pPr>
        <w:pStyle w:val="41"/>
        <w:keepNext w:val="0"/>
        <w:keepLines w:val="0"/>
        <w:pageBreakBefore w:val="0"/>
        <w:kinsoku/>
        <w:overflowPunct/>
        <w:topLinePunct w:val="0"/>
        <w:autoSpaceDE/>
        <w:autoSpaceDN/>
        <w:bidi w:val="0"/>
        <w:spacing w:before="75" w:beforeAutospacing="0" w:after="75" w:afterAutospacing="0" w:line="360" w:lineRule="auto"/>
        <w:ind w:firstLine="452" w:firstLineChars="200"/>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pacing w:val="8"/>
          <w:kern w:val="0"/>
          <w:sz w:val="21"/>
          <w:szCs w:val="21"/>
          <w:lang w:val="en-US" w:eastAsia="zh-CN" w:bidi="ar-SA"/>
        </w:rPr>
        <w:t>（二）落实政府采购政策需满足的资格要求：</w:t>
      </w:r>
      <w:r>
        <w:rPr>
          <w:rFonts w:hint="eastAsia" w:ascii="宋体" w:hAnsi="宋体" w:eastAsia="宋体" w:cs="宋体"/>
          <w:b w:val="0"/>
          <w:bCs/>
          <w:sz w:val="21"/>
          <w:szCs w:val="21"/>
        </w:rPr>
        <w:t>（如属于专门面向中小企业采购的项目，供应商应为</w:t>
      </w:r>
      <w:r>
        <w:rPr>
          <w:rFonts w:hint="eastAsia" w:ascii="宋体" w:hAnsi="宋体" w:eastAsia="宋体" w:cs="宋体"/>
          <w:b w:val="0"/>
          <w:bCs/>
          <w:sz w:val="21"/>
          <w:szCs w:val="21"/>
          <w:lang w:eastAsia="zh-CN"/>
        </w:rPr>
        <w:t>中小微企业、监狱企业</w:t>
      </w:r>
      <w:r>
        <w:rPr>
          <w:rFonts w:hint="eastAsia" w:ascii="宋体" w:hAnsi="宋体" w:eastAsia="宋体" w:cs="宋体"/>
          <w:b w:val="0"/>
          <w:bCs/>
          <w:sz w:val="21"/>
          <w:szCs w:val="21"/>
          <w:highlight w:val="none"/>
          <w:lang w:eastAsia="zh-CN"/>
        </w:rPr>
        <w:t>、残疾人福利性单位）本项目按照采用以下第</w:t>
      </w:r>
      <w:r>
        <w:rPr>
          <w:rFonts w:hint="eastAsia" w:cs="宋体"/>
          <w:b w:val="0"/>
          <w:bCs/>
          <w:sz w:val="21"/>
          <w:szCs w:val="21"/>
          <w:highlight w:val="none"/>
          <w:lang w:val="en-US" w:eastAsia="zh-CN"/>
        </w:rPr>
        <w:t>4</w:t>
      </w:r>
      <w:r>
        <w:rPr>
          <w:rFonts w:hint="eastAsia" w:ascii="宋体" w:hAnsi="宋体" w:eastAsia="宋体" w:cs="宋体"/>
          <w:b w:val="0"/>
          <w:bCs/>
          <w:sz w:val="21"/>
          <w:szCs w:val="21"/>
          <w:highlight w:val="none"/>
          <w:lang w:eastAsia="zh-CN"/>
        </w:rPr>
        <w:t>种方式落实政府采购促进中小企业发展的要求：</w:t>
      </w:r>
    </w:p>
    <w:p w14:paraId="6214D560">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1.本项目整体专门面向中小企业采购服务；</w:t>
      </w:r>
    </w:p>
    <w:p w14:paraId="1926A058">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2.本项目整体专门面向小微企业采购服务；</w:t>
      </w:r>
    </w:p>
    <w:p w14:paraId="22092E91">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3.本项目通过以下第种方式预留部分采购份额采购中小企业服务：</w:t>
      </w:r>
    </w:p>
    <w:p w14:paraId="61E36F89">
      <w:pPr>
        <w:pStyle w:val="41"/>
        <w:spacing w:before="75" w:beforeAutospacing="0" w:after="75" w:afterAutospacing="0" w:line="360" w:lineRule="auto"/>
        <w:ind w:firstLine="420" w:firstLineChars="200"/>
        <w:rPr>
          <w:rFonts w:hint="eastAsia"/>
          <w:sz w:val="21"/>
          <w:szCs w:val="21"/>
          <w:lang w:eastAsia="zh-CN"/>
        </w:rPr>
      </w:pPr>
      <w:r>
        <w:rPr>
          <w:rFonts w:hint="eastAsia"/>
          <w:sz w:val="21"/>
          <w:szCs w:val="21"/>
          <w:lang w:eastAsia="zh-CN"/>
        </w:rPr>
        <w:t>（1）本项目要求供应商以联合体形式参加，企业合同金额应当达到的比例为%。</w:t>
      </w:r>
    </w:p>
    <w:p w14:paraId="68385A58">
      <w:pPr>
        <w:pStyle w:val="41"/>
        <w:spacing w:before="75" w:beforeAutospacing="0" w:after="75" w:afterAutospacing="0" w:line="360" w:lineRule="auto"/>
        <w:ind w:firstLine="420" w:firstLineChars="200"/>
        <w:rPr>
          <w:rFonts w:hint="eastAsia"/>
          <w:sz w:val="21"/>
          <w:szCs w:val="21"/>
          <w:lang w:eastAsia="zh-CN"/>
        </w:rPr>
      </w:pPr>
      <w:r>
        <w:rPr>
          <w:rFonts w:hint="eastAsia"/>
          <w:sz w:val="21"/>
          <w:szCs w:val="21"/>
          <w:lang w:eastAsia="zh-CN"/>
        </w:rPr>
        <w:t>（2）本项目要求供应商进行合同分包，企业合同金额应当达到的比例为%。</w:t>
      </w:r>
    </w:p>
    <w:p w14:paraId="1D23F182">
      <w:pPr>
        <w:pStyle w:val="41"/>
        <w:spacing w:before="75" w:beforeAutospacing="0" w:after="75" w:afterAutospacing="0" w:line="360" w:lineRule="auto"/>
        <w:ind w:firstLine="420" w:firstLineChars="200"/>
        <w:rPr>
          <w:rFonts w:hint="eastAsia"/>
          <w:sz w:val="21"/>
          <w:szCs w:val="21"/>
          <w:lang w:eastAsia="zh-CN"/>
        </w:rPr>
      </w:pPr>
      <w:r>
        <w:rPr>
          <w:rFonts w:hint="eastAsia"/>
          <w:sz w:val="21"/>
          <w:szCs w:val="21"/>
          <w:lang w:eastAsia="zh-CN"/>
        </w:rPr>
        <w:t>4.本项目为非预留份额的采购项目或采购包，执行价格扣除优惠政策，具体详见第三章评标标准。</w:t>
      </w:r>
    </w:p>
    <w:p w14:paraId="5EE3F4ED">
      <w:pPr>
        <w:pStyle w:val="41"/>
        <w:spacing w:before="75" w:beforeAutospacing="0" w:after="75" w:afterAutospacing="0" w:line="360" w:lineRule="auto"/>
        <w:ind w:firstLine="420" w:firstLineChars="200"/>
        <w:rPr>
          <w:rFonts w:hint="eastAsia"/>
          <w:sz w:val="21"/>
          <w:szCs w:val="21"/>
          <w:lang w:val="en-US" w:eastAsia="zh-CN"/>
        </w:rPr>
      </w:pPr>
      <w:r>
        <w:rPr>
          <w:rFonts w:hint="eastAsia"/>
          <w:sz w:val="21"/>
          <w:szCs w:val="21"/>
          <w:lang w:eastAsia="zh-CN"/>
        </w:rPr>
        <w:t>（</w:t>
      </w:r>
      <w:r>
        <w:rPr>
          <w:rFonts w:hint="eastAsia"/>
          <w:sz w:val="21"/>
          <w:szCs w:val="21"/>
          <w:lang w:val="en-US" w:eastAsia="zh-CN"/>
        </w:rPr>
        <w:t>三</w:t>
      </w:r>
      <w:r>
        <w:rPr>
          <w:rFonts w:hint="eastAsia"/>
          <w:sz w:val="21"/>
          <w:szCs w:val="21"/>
          <w:lang w:eastAsia="zh-CN"/>
        </w:rPr>
        <w:t>）</w:t>
      </w:r>
      <w:r>
        <w:rPr>
          <w:rFonts w:hint="eastAsia"/>
          <w:sz w:val="21"/>
          <w:szCs w:val="21"/>
        </w:rPr>
        <w:t>采购人根据采购项目的特殊要求规定的特定条件：</w:t>
      </w:r>
      <w:r>
        <w:rPr>
          <w:rFonts w:hint="eastAsia"/>
          <w:sz w:val="21"/>
          <w:szCs w:val="21"/>
          <w:lang w:val="en-US" w:eastAsia="zh-CN"/>
        </w:rPr>
        <w:t>无</w:t>
      </w:r>
    </w:p>
    <w:p w14:paraId="039F1910">
      <w:pPr>
        <w:pStyle w:val="41"/>
        <w:spacing w:before="75" w:beforeAutospacing="0" w:after="75" w:afterAutospacing="0" w:line="360" w:lineRule="auto"/>
        <w:ind w:firstLine="420" w:firstLineChars="200"/>
        <w:rPr>
          <w:rFonts w:hint="eastAsia"/>
          <w:sz w:val="21"/>
          <w:szCs w:val="21"/>
        </w:rPr>
      </w:pPr>
      <w:r>
        <w:rPr>
          <w:rFonts w:hint="eastAsia"/>
          <w:sz w:val="21"/>
          <w:szCs w:val="21"/>
        </w:rPr>
        <w:t>（四）拒绝下述供应商参加本次招标活动：</w:t>
      </w:r>
    </w:p>
    <w:p w14:paraId="234FB4B4">
      <w:pPr>
        <w:pStyle w:val="41"/>
        <w:spacing w:before="75" w:beforeAutospacing="0" w:after="75" w:afterAutospacing="0" w:line="360" w:lineRule="auto"/>
        <w:ind w:firstLine="420" w:firstLineChars="200"/>
        <w:rPr>
          <w:rFonts w:hint="eastAsia"/>
          <w:sz w:val="21"/>
          <w:szCs w:val="21"/>
          <w:lang w:val="en-US" w:eastAsia="zh-CN"/>
        </w:rPr>
      </w:pPr>
      <w:r>
        <w:rPr>
          <w:rFonts w:hint="eastAsia"/>
          <w:sz w:val="21"/>
          <w:szCs w:val="21"/>
          <w:lang w:val="en-US" w:eastAsia="zh-CN"/>
        </w:rPr>
        <w:t>1.供应商单位负责人为同一人或者存在直接控股、管理关系的不同供应商，参加同一合同项下的政府采购活动。</w:t>
      </w:r>
    </w:p>
    <w:p w14:paraId="4B7A5D48">
      <w:pPr>
        <w:pStyle w:val="41"/>
        <w:spacing w:before="75" w:beforeAutospacing="0" w:after="75" w:afterAutospacing="0" w:line="360" w:lineRule="auto"/>
        <w:ind w:firstLine="420" w:firstLineChars="200"/>
        <w:rPr>
          <w:rFonts w:hint="eastAsia"/>
          <w:sz w:val="21"/>
          <w:szCs w:val="21"/>
          <w:lang w:val="en-US" w:eastAsia="zh-CN"/>
        </w:rPr>
      </w:pPr>
      <w:r>
        <w:rPr>
          <w:rFonts w:hint="eastAsia"/>
          <w:sz w:val="21"/>
          <w:szCs w:val="21"/>
          <w:lang w:val="en-US" w:eastAsia="zh-CN"/>
        </w:rPr>
        <w:t>2.为采购项目提供整体设计、规范编制或者项目管理、监理、检测等服务的供应商，参加本项目的采购活动。</w:t>
      </w:r>
    </w:p>
    <w:p w14:paraId="092D429E">
      <w:pPr>
        <w:pStyle w:val="41"/>
        <w:spacing w:before="75" w:beforeAutospacing="0" w:after="75" w:afterAutospacing="0" w:line="360" w:lineRule="auto"/>
        <w:ind w:firstLine="420" w:firstLineChars="200"/>
        <w:rPr>
          <w:rFonts w:hint="eastAsia"/>
          <w:sz w:val="21"/>
          <w:szCs w:val="21"/>
          <w:lang w:val="en-US" w:eastAsia="zh-CN"/>
        </w:rPr>
      </w:pPr>
      <w:r>
        <w:rPr>
          <w:rFonts w:hint="eastAsia"/>
          <w:sz w:val="21"/>
          <w:szCs w:val="21"/>
          <w:lang w:val="en-US" w:eastAsia="zh-CN"/>
        </w:rPr>
        <w:t>3.供应商被“信用中国”网站（www.creditchina.gov.cn）、“中国政府采购网”(www.ccgp.gov.cn)列入失信被执行人、重大税收违法失信主体、政府采购严重违法失信行为记录名单。</w:t>
      </w:r>
    </w:p>
    <w:p w14:paraId="6BF8DB0C">
      <w:pPr>
        <w:keepNext w:val="0"/>
        <w:keepLines w:val="0"/>
        <w:pageBreakBefore w:val="0"/>
        <w:widowControl/>
        <w:kinsoku/>
        <w:overflowPunct/>
        <w:topLinePunct w:val="0"/>
        <w:autoSpaceDE/>
        <w:autoSpaceDN/>
        <w:bidi w:val="0"/>
        <w:spacing w:line="360" w:lineRule="auto"/>
        <w:ind w:firstLine="452" w:firstLineChars="200"/>
        <w:textAlignment w:val="auto"/>
        <w:rPr>
          <w:rFonts w:hint="eastAsia" w:ascii="宋体" w:hAnsi="宋体" w:eastAsia="宋体" w:cs="宋体"/>
          <w:b/>
          <w:spacing w:val="8"/>
          <w:kern w:val="0"/>
          <w:sz w:val="21"/>
          <w:szCs w:val="21"/>
        </w:rPr>
      </w:pPr>
      <w:r>
        <w:rPr>
          <w:rFonts w:hint="eastAsia" w:ascii="宋体" w:hAnsi="宋体" w:eastAsia="宋体" w:cs="宋体"/>
          <w:b/>
          <w:spacing w:val="8"/>
          <w:kern w:val="0"/>
          <w:sz w:val="21"/>
          <w:szCs w:val="21"/>
        </w:rPr>
        <w:t>三、获取招标文件</w:t>
      </w:r>
    </w:p>
    <w:p w14:paraId="43B9C981">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cs="宋体"/>
          <w:sz w:val="21"/>
          <w:szCs w:val="21"/>
          <w:lang w:val="en-US" w:eastAsia="zh-CN"/>
        </w:rPr>
      </w:pPr>
      <w:r>
        <w:rPr>
          <w:rFonts w:hint="eastAsia" w:cs="宋体"/>
          <w:sz w:val="21"/>
          <w:szCs w:val="21"/>
          <w:lang w:val="en-US" w:eastAsia="zh-CN"/>
        </w:rPr>
        <w:t>（一）时间：自招标文件公告发布之日起5个工作日</w:t>
      </w:r>
    </w:p>
    <w:p w14:paraId="4ECCBA19">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cs="宋体"/>
          <w:sz w:val="21"/>
          <w:szCs w:val="21"/>
          <w:lang w:val="en-US" w:eastAsia="zh-CN"/>
        </w:rPr>
      </w:pPr>
      <w:r>
        <w:rPr>
          <w:rFonts w:hint="eastAsia" w:cs="宋体"/>
          <w:sz w:val="21"/>
          <w:szCs w:val="21"/>
          <w:lang w:val="en-US" w:eastAsia="zh-CN"/>
        </w:rPr>
        <w:t xml:space="preserve">（二）地点：江苏政府采购网  </w:t>
      </w:r>
    </w:p>
    <w:p w14:paraId="7DC03811">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cs="宋体"/>
          <w:sz w:val="21"/>
          <w:szCs w:val="21"/>
          <w:lang w:val="en-US" w:eastAsia="zh-CN"/>
        </w:rPr>
      </w:pPr>
      <w:r>
        <w:rPr>
          <w:rFonts w:hint="eastAsia" w:cs="宋体"/>
          <w:sz w:val="21"/>
          <w:szCs w:val="21"/>
          <w:lang w:val="en-US" w:eastAsia="zh-CN"/>
        </w:rPr>
        <w:t xml:space="preserve">（三）方式：自行下载 </w:t>
      </w:r>
    </w:p>
    <w:p w14:paraId="2C064B53">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cs="宋体"/>
          <w:sz w:val="21"/>
          <w:szCs w:val="21"/>
          <w:highlight w:val="none"/>
          <w:lang w:val="en-US" w:eastAsia="zh-CN"/>
        </w:rPr>
      </w:pPr>
      <w:r>
        <w:rPr>
          <w:rFonts w:hint="eastAsia" w:cs="宋体"/>
          <w:sz w:val="21"/>
          <w:szCs w:val="21"/>
          <w:lang w:val="en-US" w:eastAsia="zh-CN"/>
        </w:rPr>
        <w:t>（四）</w:t>
      </w:r>
      <w:r>
        <w:rPr>
          <w:rFonts w:hint="eastAsia" w:cs="宋体"/>
          <w:sz w:val="21"/>
          <w:szCs w:val="21"/>
          <w:highlight w:val="none"/>
          <w:lang w:val="en-US" w:eastAsia="zh-CN"/>
        </w:rPr>
        <w:t>售价：0.00元</w:t>
      </w:r>
    </w:p>
    <w:p w14:paraId="46FC56D3">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b/>
          <w:spacing w:val="8"/>
          <w:kern w:val="0"/>
          <w:sz w:val="21"/>
          <w:szCs w:val="21"/>
          <w:highlight w:val="none"/>
        </w:rPr>
      </w:pPr>
      <w:r>
        <w:rPr>
          <w:rFonts w:hint="eastAsia" w:cs="宋体"/>
          <w:sz w:val="21"/>
          <w:szCs w:val="21"/>
          <w:highlight w:val="none"/>
          <w:lang w:val="en-US" w:eastAsia="zh-CN"/>
        </w:rPr>
        <w:t xml:space="preserve"> </w:t>
      </w:r>
      <w:r>
        <w:rPr>
          <w:rFonts w:hint="eastAsia" w:ascii="宋体" w:hAnsi="宋体" w:eastAsia="宋体" w:cs="宋体"/>
          <w:b/>
          <w:spacing w:val="8"/>
          <w:kern w:val="0"/>
          <w:sz w:val="21"/>
          <w:szCs w:val="21"/>
          <w:highlight w:val="none"/>
        </w:rPr>
        <w:t>四、提交投标文件截止时间、开标时间和地点</w:t>
      </w:r>
    </w:p>
    <w:p w14:paraId="1A2C2D1C">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cs="宋体"/>
          <w:sz w:val="21"/>
          <w:szCs w:val="21"/>
          <w:highlight w:val="none"/>
          <w:lang w:val="en-US" w:eastAsia="zh-CN"/>
        </w:rPr>
      </w:pPr>
      <w:r>
        <w:rPr>
          <w:rFonts w:hint="eastAsia" w:cs="宋体"/>
          <w:sz w:val="21"/>
          <w:szCs w:val="21"/>
          <w:highlight w:val="none"/>
          <w:lang w:val="en-US" w:eastAsia="zh-CN"/>
        </w:rPr>
        <w:t>（一）时间：2025年2月24日 09:30（北京时间）</w:t>
      </w:r>
    </w:p>
    <w:p w14:paraId="43E8514F">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b/>
          <w:spacing w:val="8"/>
          <w:kern w:val="0"/>
          <w:sz w:val="21"/>
          <w:szCs w:val="21"/>
        </w:rPr>
      </w:pPr>
      <w:r>
        <w:rPr>
          <w:rFonts w:hint="eastAsia" w:cs="宋体"/>
          <w:sz w:val="21"/>
          <w:szCs w:val="21"/>
          <w:highlight w:val="none"/>
          <w:lang w:val="en-US" w:eastAsia="zh-CN"/>
        </w:rPr>
        <w:t>（二）地点：“苏采云”系统</w:t>
      </w:r>
    </w:p>
    <w:p w14:paraId="7EEC6156">
      <w:pPr>
        <w:keepNext w:val="0"/>
        <w:keepLines w:val="0"/>
        <w:pageBreakBefore w:val="0"/>
        <w:widowControl/>
        <w:kinsoku/>
        <w:overflowPunct/>
        <w:topLinePunct w:val="0"/>
        <w:autoSpaceDE/>
        <w:autoSpaceDN/>
        <w:bidi w:val="0"/>
        <w:spacing w:line="360" w:lineRule="auto"/>
        <w:ind w:firstLine="452" w:firstLineChars="200"/>
        <w:textAlignment w:val="auto"/>
        <w:rPr>
          <w:rFonts w:hint="eastAsia" w:ascii="宋体" w:hAnsi="宋体" w:eastAsia="宋体" w:cs="宋体"/>
          <w:b/>
          <w:spacing w:val="8"/>
          <w:kern w:val="0"/>
          <w:sz w:val="21"/>
          <w:szCs w:val="21"/>
        </w:rPr>
      </w:pPr>
      <w:r>
        <w:rPr>
          <w:rFonts w:hint="eastAsia" w:ascii="宋体" w:hAnsi="宋体" w:eastAsia="宋体" w:cs="宋体"/>
          <w:b/>
          <w:spacing w:val="8"/>
          <w:kern w:val="0"/>
          <w:sz w:val="21"/>
          <w:szCs w:val="21"/>
        </w:rPr>
        <w:t>五、公告期限</w:t>
      </w:r>
    </w:p>
    <w:p w14:paraId="3D6857D2">
      <w:pPr>
        <w:keepNext w:val="0"/>
        <w:keepLines w:val="0"/>
        <w:pageBreakBefore w:val="0"/>
        <w:widowControl/>
        <w:kinsoku/>
        <w:overflowPunct/>
        <w:topLinePunct w:val="0"/>
        <w:autoSpaceDE/>
        <w:autoSpaceDN/>
        <w:bidi w:val="0"/>
        <w:spacing w:line="360" w:lineRule="auto"/>
        <w:ind w:firstLine="452" w:firstLineChars="200"/>
        <w:textAlignment w:val="auto"/>
        <w:rPr>
          <w:rFonts w:hint="eastAsia" w:ascii="宋体" w:hAnsi="宋体" w:eastAsia="宋体" w:cs="宋体"/>
          <w:spacing w:val="8"/>
          <w:kern w:val="0"/>
          <w:sz w:val="21"/>
          <w:szCs w:val="21"/>
        </w:rPr>
      </w:pPr>
      <w:r>
        <w:rPr>
          <w:rFonts w:hint="eastAsia" w:ascii="宋体" w:hAnsi="宋体" w:eastAsia="宋体" w:cs="宋体"/>
          <w:spacing w:val="8"/>
          <w:kern w:val="0"/>
          <w:sz w:val="21"/>
          <w:szCs w:val="21"/>
        </w:rPr>
        <w:t>自本公告发布之日起5个工作日。</w:t>
      </w:r>
    </w:p>
    <w:p w14:paraId="337B3BDD">
      <w:pPr>
        <w:keepNext w:val="0"/>
        <w:keepLines w:val="0"/>
        <w:pageBreakBefore w:val="0"/>
        <w:widowControl/>
        <w:kinsoku/>
        <w:overflowPunct/>
        <w:topLinePunct w:val="0"/>
        <w:autoSpaceDE/>
        <w:autoSpaceDN/>
        <w:bidi w:val="0"/>
        <w:spacing w:line="360" w:lineRule="auto"/>
        <w:ind w:firstLine="452" w:firstLineChars="200"/>
        <w:textAlignment w:val="auto"/>
        <w:rPr>
          <w:rFonts w:hint="eastAsia" w:ascii="宋体" w:hAnsi="宋体" w:eastAsia="宋体" w:cs="宋体"/>
          <w:b/>
          <w:spacing w:val="8"/>
          <w:kern w:val="0"/>
          <w:sz w:val="21"/>
          <w:szCs w:val="21"/>
        </w:rPr>
      </w:pPr>
      <w:r>
        <w:rPr>
          <w:rFonts w:hint="eastAsia" w:ascii="宋体" w:hAnsi="宋体" w:eastAsia="宋体" w:cs="宋体"/>
          <w:b/>
          <w:spacing w:val="8"/>
          <w:kern w:val="0"/>
          <w:sz w:val="21"/>
          <w:szCs w:val="21"/>
        </w:rPr>
        <w:t>六、其他补充事宜</w:t>
      </w:r>
    </w:p>
    <w:p w14:paraId="1F4EDF73">
      <w:pPr>
        <w:widowControl/>
        <w:shd w:val="clear" w:color="auto" w:fill="FFFFFF" w:themeFill="background1"/>
        <w:spacing w:line="360" w:lineRule="auto"/>
        <w:ind w:firstLine="452" w:firstLineChars="200"/>
        <w:rPr>
          <w:rFonts w:ascii="宋体" w:hAnsi="宋体" w:cs="宋体"/>
          <w:szCs w:val="21"/>
          <w:lang w:val="zh-CN"/>
        </w:rPr>
      </w:pPr>
      <w:r>
        <w:rPr>
          <w:rFonts w:hint="eastAsia" w:ascii="宋体" w:hAnsi="宋体" w:cs="宋体"/>
          <w:spacing w:val="8"/>
          <w:kern w:val="0"/>
          <w:szCs w:val="21"/>
        </w:rPr>
        <w:t>（一）</w:t>
      </w:r>
      <w:r>
        <w:rPr>
          <w:rFonts w:hint="eastAsia" w:ascii="宋体" w:hAnsi="宋体" w:cs="宋体"/>
          <w:szCs w:val="21"/>
          <w:lang w:val="zh-CN"/>
        </w:rPr>
        <w:t>本项目在江苏政府采购网发布公告。</w:t>
      </w:r>
    </w:p>
    <w:p w14:paraId="1E1335F0">
      <w:pPr>
        <w:widowControl/>
        <w:shd w:val="clear" w:color="auto" w:fill="FFFFFF" w:themeFill="background1"/>
        <w:spacing w:line="360" w:lineRule="auto"/>
        <w:ind w:firstLine="452" w:firstLineChars="200"/>
        <w:rPr>
          <w:rFonts w:ascii="宋体" w:hAnsi="宋体" w:cs="宋体"/>
          <w:bCs/>
          <w:szCs w:val="21"/>
        </w:rPr>
      </w:pPr>
      <w:r>
        <w:rPr>
          <w:rFonts w:hint="eastAsia" w:ascii="宋体" w:hAnsi="宋体" w:cs="宋体"/>
          <w:spacing w:val="8"/>
          <w:kern w:val="0"/>
          <w:szCs w:val="21"/>
        </w:rPr>
        <w:t>（二）</w:t>
      </w:r>
      <w:r>
        <w:rPr>
          <w:rFonts w:hint="eastAsia" w:ascii="宋体" w:hAnsi="宋体" w:cs="宋体"/>
          <w:szCs w:val="21"/>
          <w:lang w:val="zh-CN"/>
        </w:rPr>
        <w:t>集中</w:t>
      </w:r>
      <w:r>
        <w:rPr>
          <w:rFonts w:hint="eastAsia" w:ascii="宋体" w:hAnsi="宋体" w:cs="宋体"/>
          <w:szCs w:val="21"/>
        </w:rPr>
        <w:t>勘察现场：采购人不组织集中考察，供应商可自行勘察。请务必对项目现场和周围环境进行仔细认真地查勘，在随后的采购中，对现场资料和数据所作出的推论、解释和结论及由此造成的后果由供应商负责。</w:t>
      </w:r>
    </w:p>
    <w:p w14:paraId="6A271A26">
      <w:pPr>
        <w:pStyle w:val="63"/>
        <w:spacing w:line="360" w:lineRule="auto"/>
        <w:ind w:firstLine="452"/>
        <w:rPr>
          <w:rFonts w:ascii="宋体" w:hAnsi="宋体" w:cs="宋体"/>
          <w:spacing w:val="8"/>
          <w:kern w:val="0"/>
          <w:szCs w:val="21"/>
        </w:rPr>
      </w:pPr>
      <w:r>
        <w:rPr>
          <w:rFonts w:hint="eastAsia" w:ascii="宋体" w:hAnsi="宋体" w:cs="宋体"/>
          <w:spacing w:val="8"/>
          <w:kern w:val="0"/>
          <w:szCs w:val="21"/>
        </w:rPr>
        <w:t>（三）</w:t>
      </w:r>
      <w:r>
        <w:rPr>
          <w:rFonts w:hint="eastAsia" w:ascii="宋体" w:hAnsi="宋体" w:cs="宋体"/>
          <w:color w:val="000000"/>
          <w:szCs w:val="21"/>
        </w:rPr>
        <w:t>本次采购采用“政府采购管理交易系统（苏采云）”，招标、投标、评标和成交结果发布全程电子化，开标方式为不见面开标。</w:t>
      </w:r>
      <w:r>
        <w:rPr>
          <w:rFonts w:hint="eastAsia" w:ascii="宋体" w:hAnsi="宋体" w:cs="宋体"/>
          <w:spacing w:val="8"/>
          <w:kern w:val="0"/>
          <w:szCs w:val="21"/>
        </w:rPr>
        <w:t>供应商通过“苏采云”（网址：http://jszfcg.jsczt.cn/）参与政府采购项目，需要办理江苏省政府采购数字证书及</w:t>
      </w:r>
      <w:r>
        <w:rPr>
          <w:rFonts w:hint="eastAsia" w:ascii="宋体" w:hAnsi="宋体" w:cs="宋体"/>
          <w:spacing w:val="8"/>
          <w:kern w:val="0"/>
          <w:szCs w:val="21"/>
          <w:lang w:eastAsia="zh-CN"/>
        </w:rPr>
        <w:t>电子公章</w:t>
      </w:r>
      <w:r>
        <w:rPr>
          <w:rFonts w:hint="eastAsia" w:ascii="宋体" w:hAnsi="宋体" w:cs="宋体"/>
          <w:spacing w:val="8"/>
          <w:kern w:val="0"/>
          <w:szCs w:val="21"/>
        </w:rPr>
        <w:t>的，详见苏采云官网首页“新CA办理指南”。供应商通过苏采云官网首页进行供应商注册及CA绑定。CA登录后，供应商按《江苏省政府采购管理交易系统（苏采云）供应商操作指南》进行操作。下载地址：http://www.ccgp-jiangsu.gov.cn/jiangsu/zlxz/ee/ee3a4bc5a3454aa2b0d9312230633ce9.html</w:t>
      </w:r>
    </w:p>
    <w:p w14:paraId="77F30678">
      <w:pPr>
        <w:pStyle w:val="63"/>
        <w:spacing w:line="360" w:lineRule="auto"/>
        <w:ind w:firstLine="452"/>
        <w:rPr>
          <w:rFonts w:ascii="宋体" w:hAnsi="宋体" w:cs="宋体"/>
          <w:spacing w:val="8"/>
          <w:kern w:val="0"/>
          <w:szCs w:val="21"/>
        </w:rPr>
      </w:pPr>
      <w:r>
        <w:rPr>
          <w:rFonts w:hint="eastAsia" w:ascii="宋体" w:hAnsi="宋体" w:cs="宋体"/>
          <w:spacing w:val="8"/>
          <w:kern w:val="0"/>
          <w:szCs w:val="21"/>
        </w:rPr>
        <w:t>首次登录“苏采云”系统的新用户，登录网址（http://jszfcg.jsczt.cn/jszc/login?rf=http://jszfcg.jsczt.cn/jszc/workspaceForAgentCenter）后，点击“用户注册”--“新CA办理指南”--获取CA后绑定、登录系统--采购项目参与--下载采购文件（文件后缀名为“.kedt”）--将后缀名为“.kedt”的采购文件导入政府采购客户端工具--制作</w:t>
      </w:r>
      <w:r>
        <w:rPr>
          <w:rFonts w:hint="eastAsia" w:ascii="宋体" w:hAnsi="宋体" w:cs="宋体"/>
          <w:spacing w:val="8"/>
          <w:kern w:val="0"/>
          <w:szCs w:val="21"/>
          <w:lang w:eastAsia="zh-CN"/>
        </w:rPr>
        <w:t>投标文件</w:t>
      </w:r>
      <w:r>
        <w:rPr>
          <w:rFonts w:hint="eastAsia" w:ascii="宋体" w:hAnsi="宋体" w:cs="宋体"/>
          <w:spacing w:val="8"/>
          <w:kern w:val="0"/>
          <w:szCs w:val="21"/>
        </w:rPr>
        <w:t>--导出加密的</w:t>
      </w:r>
      <w:r>
        <w:rPr>
          <w:rFonts w:hint="eastAsia" w:ascii="宋体" w:hAnsi="宋体" w:cs="宋体"/>
          <w:spacing w:val="8"/>
          <w:kern w:val="0"/>
          <w:szCs w:val="21"/>
          <w:lang w:eastAsia="zh-CN"/>
        </w:rPr>
        <w:t>投标文件</w:t>
      </w:r>
      <w:r>
        <w:rPr>
          <w:rFonts w:hint="eastAsia" w:ascii="宋体" w:hAnsi="宋体" w:cs="宋体"/>
          <w:spacing w:val="8"/>
          <w:kern w:val="0"/>
          <w:szCs w:val="21"/>
        </w:rPr>
        <w:t>（后缀名为zip）--通过“苏采云”系统上传</w:t>
      </w:r>
      <w:r>
        <w:rPr>
          <w:rFonts w:hint="eastAsia" w:ascii="宋体" w:hAnsi="宋体" w:cs="宋体"/>
          <w:spacing w:val="8"/>
          <w:kern w:val="0"/>
          <w:szCs w:val="21"/>
          <w:lang w:eastAsia="zh-CN"/>
        </w:rPr>
        <w:t>投标文件</w:t>
      </w:r>
      <w:r>
        <w:rPr>
          <w:rFonts w:hint="eastAsia" w:ascii="宋体" w:hAnsi="宋体" w:cs="宋体"/>
          <w:spacing w:val="8"/>
          <w:kern w:val="0"/>
          <w:szCs w:val="21"/>
        </w:rPr>
        <w:t>。</w:t>
      </w:r>
    </w:p>
    <w:p w14:paraId="73D87E87">
      <w:pPr>
        <w:pStyle w:val="63"/>
        <w:spacing w:line="360" w:lineRule="auto"/>
        <w:ind w:firstLine="452"/>
        <w:rPr>
          <w:rFonts w:ascii="宋体" w:hAnsi="宋体" w:cs="宋体"/>
          <w:spacing w:val="8"/>
          <w:kern w:val="0"/>
          <w:szCs w:val="21"/>
        </w:rPr>
      </w:pPr>
      <w:r>
        <w:rPr>
          <w:rFonts w:hint="eastAsia" w:ascii="宋体" w:hAnsi="宋体" w:cs="宋体"/>
          <w:spacing w:val="8"/>
          <w:kern w:val="0"/>
          <w:szCs w:val="21"/>
        </w:rPr>
        <w:t>“苏采云”南京地区客服热线025-83633744、025-83633743。</w:t>
      </w:r>
    </w:p>
    <w:p w14:paraId="41119DC6">
      <w:pPr>
        <w:pStyle w:val="63"/>
        <w:spacing w:line="360" w:lineRule="auto"/>
        <w:ind w:firstLine="452"/>
      </w:pPr>
      <w:r>
        <w:rPr>
          <w:rFonts w:hint="eastAsia" w:ascii="宋体" w:hAnsi="宋体" w:cs="宋体"/>
          <w:spacing w:val="8"/>
          <w:kern w:val="0"/>
          <w:szCs w:val="21"/>
        </w:rPr>
        <w:t xml:space="preserve"> 有关本次招标的事项若存在变动或修改，请及时关注“江苏政府采购”</w:t>
      </w:r>
      <w:r>
        <w:rPr>
          <w:rFonts w:hint="eastAsia" w:ascii="宋体" w:hAnsi="宋体" w:cs="宋体"/>
          <w:spacing w:val="8"/>
          <w:kern w:val="0"/>
          <w:szCs w:val="21"/>
          <w:lang w:val="en-US" w:eastAsia="zh-CN"/>
        </w:rPr>
        <w:t>网</w:t>
      </w:r>
      <w:r>
        <w:rPr>
          <w:rFonts w:hint="eastAsia" w:ascii="宋体" w:hAnsi="宋体" w:cs="宋体"/>
          <w:spacing w:val="8"/>
          <w:kern w:val="0"/>
          <w:szCs w:val="21"/>
        </w:rPr>
        <w:t>（www.ccgp-jiangsu.gov.cn）更正公告。</w:t>
      </w:r>
    </w:p>
    <w:p w14:paraId="20BDAF87">
      <w:pPr>
        <w:widowControl/>
        <w:shd w:val="clear" w:color="auto" w:fill="FFFFFF" w:themeFill="background1"/>
        <w:spacing w:line="360" w:lineRule="auto"/>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四</w:t>
      </w:r>
      <w:r>
        <w:rPr>
          <w:rFonts w:hint="eastAsia" w:ascii="宋体" w:hAnsi="宋体" w:cs="宋体"/>
          <w:szCs w:val="21"/>
          <w:lang w:val="zh-CN"/>
        </w:rPr>
        <w:t>）</w:t>
      </w:r>
      <w:r>
        <w:rPr>
          <w:rFonts w:hint="eastAsia" w:ascii="宋体" w:hAnsi="宋体" w:cs="宋体"/>
          <w:szCs w:val="21"/>
        </w:rPr>
        <w:t>政府采购信用承诺</w:t>
      </w:r>
    </w:p>
    <w:p w14:paraId="15111FCD">
      <w:pPr>
        <w:widowControl/>
        <w:wordWrap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zh-CN"/>
        </w:rPr>
        <w:t>根据《关于在政府采购活动中推行信用承诺制的通知》宁财购通〔2021〕5号规定，</w:t>
      </w:r>
      <w:r>
        <w:rPr>
          <w:rFonts w:hint="eastAsia" w:ascii="宋体" w:hAnsi="宋体" w:cs="宋体"/>
          <w:szCs w:val="21"/>
          <w:highlight w:val="none"/>
        </w:rPr>
        <w:t>参加</w:t>
      </w:r>
      <w:r>
        <w:rPr>
          <w:rFonts w:hint="eastAsia" w:ascii="宋体" w:hAnsi="宋体" w:cs="宋体"/>
          <w:szCs w:val="21"/>
          <w:highlight w:val="none"/>
          <w:lang w:val="zh-CN"/>
        </w:rPr>
        <w:t>南京地区采购活动的供应商，应以书面形式向采购人或政府采购代理机构作出信用承诺。供应商应尽早做好承诺工作，点击“南京公共采购信息网”</w:t>
      </w:r>
      <w:r>
        <w:rPr>
          <w:rFonts w:hint="eastAsia" w:ascii="宋体" w:hAnsi="宋体" w:cs="宋体"/>
          <w:szCs w:val="21"/>
          <w:highlight w:val="none"/>
        </w:rPr>
        <w:t>首页</w:t>
      </w:r>
      <w:r>
        <w:rPr>
          <w:rFonts w:hint="eastAsia" w:ascii="宋体" w:hAnsi="宋体" w:cs="宋体"/>
          <w:szCs w:val="21"/>
          <w:highlight w:val="none"/>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w:t>
      </w:r>
      <w:r>
        <w:rPr>
          <w:rFonts w:hint="eastAsia"/>
          <w:b/>
          <w:bCs/>
          <w:sz w:val="21"/>
          <w:szCs w:val="21"/>
          <w:highlight w:val="none"/>
        </w:rPr>
        <w:t>供应商参加本次政府采购活动时，在采购文件发布之日起至递交投标文件截止日前</w:t>
      </w:r>
      <w:r>
        <w:rPr>
          <w:rFonts w:hint="eastAsia"/>
          <w:sz w:val="21"/>
          <w:szCs w:val="21"/>
          <w:highlight w:val="none"/>
        </w:rPr>
        <w:t>，</w:t>
      </w:r>
      <w:r>
        <w:rPr>
          <w:rFonts w:hint="eastAsia" w:ascii="宋体" w:hAnsi="宋体" w:cs="宋体"/>
          <w:szCs w:val="21"/>
          <w:highlight w:val="none"/>
          <w:lang w:val="zh-CN"/>
        </w:rPr>
        <w:t>在“信用记录”模块页面点击“信用记录打印”下载本单位《南京市政府采购供应商信用记录表暨信用承诺书》，由法定代表人签字并盖单位电子公章，</w:t>
      </w:r>
      <w:r>
        <w:rPr>
          <w:rFonts w:hint="eastAsia" w:ascii="宋体" w:hAnsi="宋体" w:cs="宋体"/>
          <w:szCs w:val="21"/>
          <w:highlight w:val="none"/>
        </w:rPr>
        <w:t>随</w:t>
      </w:r>
      <w:r>
        <w:rPr>
          <w:rFonts w:hint="eastAsia" w:ascii="宋体" w:hAnsi="宋体" w:cs="宋体"/>
          <w:szCs w:val="21"/>
          <w:highlight w:val="none"/>
          <w:lang w:eastAsia="zh-CN"/>
        </w:rPr>
        <w:t>投标文件</w:t>
      </w:r>
      <w:r>
        <w:rPr>
          <w:rFonts w:hint="eastAsia" w:ascii="宋体" w:hAnsi="宋体" w:cs="宋体"/>
          <w:szCs w:val="21"/>
          <w:highlight w:val="none"/>
        </w:rPr>
        <w:t>一并递交。经法定代表人签名盖章后作为投标文件的组成部分“南京市政府采购供应商信用记录表”是其参加本次政府采购活动的必备材料。</w:t>
      </w:r>
    </w:p>
    <w:p w14:paraId="7031D024">
      <w:pPr>
        <w:widowControl/>
        <w:spacing w:line="360" w:lineRule="auto"/>
        <w:ind w:firstLine="420" w:firstLineChars="200"/>
        <w:rPr>
          <w:rFonts w:ascii="宋体" w:hAnsi="宋体" w:cs="宋体"/>
          <w:szCs w:val="21"/>
          <w:lang w:val="zh-CN"/>
        </w:rPr>
      </w:pPr>
      <w:r>
        <w:rPr>
          <w:rFonts w:hint="eastAsia" w:ascii="宋体" w:hAnsi="宋体" w:cs="宋体"/>
          <w:szCs w:val="21"/>
        </w:rPr>
        <w:t>2.</w:t>
      </w:r>
      <w:r>
        <w:rPr>
          <w:rFonts w:hint="eastAsia" w:ascii="宋体" w:hAnsi="宋体" w:cs="宋体"/>
          <w:szCs w:val="21"/>
          <w:lang w:val="zh-CN"/>
        </w:rPr>
        <w:t>在政府采购资格审查环节，供应商只需提供书面《南京市政府采购供应商信用记录表暨信用承诺书》，即可替代以下证明材料： </w:t>
      </w:r>
    </w:p>
    <w:p w14:paraId="0185AA1C">
      <w:pPr>
        <w:widowControl/>
        <w:spacing w:line="360" w:lineRule="auto"/>
        <w:ind w:firstLine="420" w:firstLineChars="200"/>
        <w:rPr>
          <w:rFonts w:ascii="宋体" w:hAnsi="宋体" w:cs="宋体"/>
          <w:szCs w:val="21"/>
          <w:lang w:val="zh-CN"/>
        </w:rPr>
      </w:pPr>
      <w:r>
        <w:rPr>
          <w:rFonts w:hint="eastAsia" w:ascii="宋体" w:hAnsi="宋体" w:cs="宋体"/>
          <w:szCs w:val="21"/>
          <w:lang w:val="zh-CN"/>
        </w:rPr>
        <w:t>（1）符合国家相关规定的财务状况报告； </w:t>
      </w:r>
    </w:p>
    <w:p w14:paraId="304B8706">
      <w:pPr>
        <w:widowControl/>
        <w:spacing w:line="360" w:lineRule="auto"/>
        <w:ind w:firstLine="420" w:firstLineChars="200"/>
        <w:rPr>
          <w:rFonts w:ascii="宋体" w:hAnsi="宋体" w:cs="宋体"/>
          <w:szCs w:val="21"/>
          <w:lang w:val="zh-CN"/>
        </w:rPr>
      </w:pPr>
      <w:r>
        <w:rPr>
          <w:rFonts w:hint="eastAsia" w:ascii="宋体" w:hAnsi="宋体" w:cs="宋体"/>
          <w:szCs w:val="21"/>
          <w:lang w:val="zh-CN"/>
        </w:rPr>
        <w:t>（2）依法缴纳税收的证明材料； </w:t>
      </w:r>
    </w:p>
    <w:p w14:paraId="325AFFD7">
      <w:pPr>
        <w:widowControl/>
        <w:spacing w:line="360" w:lineRule="auto"/>
        <w:ind w:firstLine="420" w:firstLineChars="200"/>
        <w:rPr>
          <w:rFonts w:ascii="宋体" w:hAnsi="宋体" w:cs="宋体"/>
          <w:szCs w:val="21"/>
          <w:lang w:val="zh-CN"/>
        </w:rPr>
      </w:pPr>
      <w:r>
        <w:rPr>
          <w:rFonts w:hint="eastAsia" w:ascii="宋体" w:hAnsi="宋体" w:cs="宋体"/>
          <w:szCs w:val="21"/>
          <w:lang w:val="zh-CN"/>
        </w:rPr>
        <w:t>（3）依法缴纳社会保障资金的证明材料； </w:t>
      </w:r>
    </w:p>
    <w:p w14:paraId="31762582">
      <w:pPr>
        <w:widowControl/>
        <w:spacing w:line="360" w:lineRule="auto"/>
        <w:ind w:firstLine="420" w:firstLineChars="200"/>
        <w:rPr>
          <w:rFonts w:ascii="宋体" w:hAnsi="宋体" w:cs="宋体"/>
          <w:szCs w:val="21"/>
          <w:lang w:val="zh-CN"/>
        </w:rPr>
      </w:pPr>
      <w:r>
        <w:rPr>
          <w:rFonts w:hint="eastAsia" w:ascii="宋体" w:hAnsi="宋体" w:cs="宋体"/>
          <w:szCs w:val="21"/>
          <w:lang w:val="zh-CN"/>
        </w:rPr>
        <w:t>（4）具备履行政府采购合同所必需的设备和专业技术能力的证明材料； </w:t>
      </w:r>
    </w:p>
    <w:p w14:paraId="7C4E8E2B">
      <w:pPr>
        <w:widowControl/>
        <w:spacing w:line="360" w:lineRule="auto"/>
        <w:ind w:firstLine="420" w:firstLineChars="200"/>
        <w:rPr>
          <w:rFonts w:ascii="宋体" w:hAnsi="宋体" w:cs="宋体"/>
          <w:szCs w:val="21"/>
          <w:lang w:val="zh-CN"/>
        </w:rPr>
      </w:pPr>
      <w:r>
        <w:rPr>
          <w:rFonts w:hint="eastAsia" w:ascii="宋体" w:hAnsi="宋体" w:cs="宋体"/>
          <w:szCs w:val="21"/>
          <w:lang w:val="zh-CN"/>
        </w:rPr>
        <w:t>（5）参加政府采购活动前三年内在经营活动中没有重大违法记录的证明材料； </w:t>
      </w:r>
    </w:p>
    <w:p w14:paraId="33B80A0A">
      <w:pPr>
        <w:widowControl/>
        <w:spacing w:line="360" w:lineRule="auto"/>
        <w:ind w:firstLine="420" w:firstLineChars="200"/>
        <w:rPr>
          <w:rFonts w:ascii="宋体" w:hAnsi="宋体" w:cs="宋体"/>
          <w:szCs w:val="21"/>
          <w:lang w:val="zh-CN"/>
        </w:rPr>
      </w:pPr>
      <w:r>
        <w:rPr>
          <w:rFonts w:hint="eastAsia" w:ascii="宋体" w:hAnsi="宋体" w:cs="宋体"/>
          <w:szCs w:val="21"/>
          <w:lang w:val="zh-CN"/>
        </w:rPr>
        <w:t>（6）未被列入失信被执行人、重大税收违法失信主体、政府采购严重违法失信行为记录名单的证明材料。 </w:t>
      </w:r>
    </w:p>
    <w:p w14:paraId="485D98EE">
      <w:pPr>
        <w:pStyle w:val="41"/>
        <w:spacing w:before="75" w:beforeAutospacing="0" w:after="75" w:afterAutospacing="0" w:line="360" w:lineRule="auto"/>
        <w:ind w:firstLine="420" w:firstLineChars="200"/>
        <w:rPr>
          <w:sz w:val="21"/>
          <w:szCs w:val="21"/>
          <w:shd w:val="clear" w:color="auto" w:fill="FFFFFF"/>
        </w:rPr>
      </w:pPr>
      <w:r>
        <w:rPr>
          <w:rFonts w:hint="eastAsia"/>
          <w:sz w:val="21"/>
          <w:szCs w:val="21"/>
        </w:rPr>
        <w:t>3.</w:t>
      </w:r>
      <w:r>
        <w:rPr>
          <w:rFonts w:hint="eastAsia"/>
          <w:sz w:val="21"/>
          <w:szCs w:val="21"/>
          <w:shd w:val="clear" w:color="auto" w:fill="FFFFFF"/>
        </w:rPr>
        <w:t>不适用信用承诺的情形</w:t>
      </w:r>
    </w:p>
    <w:p w14:paraId="1F4BAA6B">
      <w:pPr>
        <w:pStyle w:val="41"/>
        <w:spacing w:before="75" w:beforeAutospacing="0" w:after="75" w:afterAutospacing="0" w:line="360" w:lineRule="auto"/>
        <w:ind w:firstLine="420" w:firstLineChars="200"/>
        <w:rPr>
          <w:sz w:val="21"/>
          <w:szCs w:val="21"/>
        </w:rPr>
      </w:pPr>
      <w:r>
        <w:rPr>
          <w:rFonts w:hint="eastAsia"/>
          <w:sz w:val="21"/>
          <w:szCs w:val="21"/>
          <w:shd w:val="clear" w:color="auto" w:fill="FFFFFF"/>
        </w:rPr>
        <w:t>（1）</w:t>
      </w:r>
      <w:r>
        <w:rPr>
          <w:rFonts w:hint="eastAsia"/>
          <w:sz w:val="21"/>
          <w:szCs w:val="21"/>
        </w:rPr>
        <w:t>供应商被列入严重失信主体名单；</w:t>
      </w:r>
    </w:p>
    <w:p w14:paraId="1FC3BFF6">
      <w:pPr>
        <w:pStyle w:val="41"/>
        <w:spacing w:before="75" w:beforeAutospacing="0" w:after="75" w:afterAutospacing="0" w:line="360" w:lineRule="auto"/>
        <w:ind w:firstLine="420" w:firstLineChars="200"/>
        <w:rPr>
          <w:sz w:val="21"/>
          <w:szCs w:val="21"/>
          <w:shd w:val="clear" w:color="auto" w:fill="FFFFFF"/>
        </w:rPr>
      </w:pPr>
      <w:r>
        <w:rPr>
          <w:rFonts w:hint="eastAsia"/>
          <w:sz w:val="21"/>
          <w:szCs w:val="21"/>
          <w:shd w:val="clear" w:color="auto" w:fill="FFFFFF"/>
        </w:rPr>
        <w:t>（2）被相关监管部门作出行政处罚且尚在处罚有效期内的；</w:t>
      </w:r>
    </w:p>
    <w:p w14:paraId="26747600">
      <w:pPr>
        <w:pStyle w:val="41"/>
        <w:spacing w:before="75" w:beforeAutospacing="0" w:after="75" w:afterAutospacing="0" w:line="360" w:lineRule="auto"/>
        <w:ind w:firstLine="420" w:firstLineChars="200"/>
        <w:rPr>
          <w:rFonts w:hint="eastAsia"/>
          <w:sz w:val="21"/>
          <w:szCs w:val="21"/>
          <w:shd w:val="clear" w:color="auto" w:fill="FFFFFF"/>
        </w:rPr>
      </w:pPr>
      <w:r>
        <w:rPr>
          <w:rFonts w:hint="eastAsia"/>
          <w:sz w:val="21"/>
          <w:szCs w:val="21"/>
          <w:shd w:val="clear" w:color="auto" w:fill="FFFFFF"/>
        </w:rPr>
        <w:t>（3）其他法律、行政法规规定的不适用信用承诺的情形。</w:t>
      </w:r>
    </w:p>
    <w:p w14:paraId="505CBB34">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b w:val="0"/>
          <w:bCs/>
          <w:sz w:val="21"/>
          <w:szCs w:val="21"/>
        </w:rPr>
      </w:pPr>
      <w:r>
        <w:rPr>
          <w:rFonts w:hint="eastAsia" w:ascii="宋体" w:hAnsi="宋体" w:cs="宋体"/>
          <w:b w:val="0"/>
          <w:bCs/>
          <w:sz w:val="21"/>
          <w:szCs w:val="21"/>
          <w:lang w:val="en-US" w:eastAsia="zh-CN"/>
        </w:rPr>
        <w:t>（五）</w:t>
      </w:r>
      <w:r>
        <w:rPr>
          <w:rFonts w:hint="eastAsia" w:ascii="宋体" w:hAnsi="宋体" w:eastAsia="宋体" w:cs="宋体"/>
          <w:b w:val="0"/>
          <w:bCs/>
          <w:sz w:val="21"/>
          <w:szCs w:val="21"/>
        </w:rPr>
        <w:t>供应商在中标（成交）后，应按照采购文件要求，将下述由信用承诺替代的证明材料提交采购人或采购代理机构核验。经核验无误后，由采购代理机构发出中标（成交）通知书。需要提供以下证明材料：</w:t>
      </w:r>
    </w:p>
    <w:p w14:paraId="5CF50668">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《中华人民共和国政府采购法》规定的条件：</w:t>
      </w:r>
    </w:p>
    <w:p w14:paraId="42281E3F">
      <w:pPr>
        <w:pStyle w:val="41"/>
        <w:spacing w:before="75" w:beforeAutospacing="0" w:after="75" w:afterAutospacing="0" w:line="360" w:lineRule="auto"/>
        <w:ind w:firstLine="420" w:firstLineChars="200"/>
        <w:rPr>
          <w:sz w:val="21"/>
          <w:szCs w:val="21"/>
        </w:rPr>
      </w:pPr>
      <w:r>
        <w:rPr>
          <w:rFonts w:hint="eastAsia"/>
          <w:sz w:val="21"/>
          <w:szCs w:val="21"/>
          <w:lang w:val="en-US" w:eastAsia="zh-CN"/>
        </w:rPr>
        <w:t>1.</w:t>
      </w:r>
      <w:r>
        <w:rPr>
          <w:rFonts w:hint="eastAsia"/>
          <w:sz w:val="21"/>
          <w:szCs w:val="21"/>
        </w:rPr>
        <w:t>具有独立承担民事责任的能力（提供法人或者其他组织的营业执照、税务登记证、组织机构代码证，或三证合一，自然人的身份证明，</w:t>
      </w:r>
      <w:r>
        <w:rPr>
          <w:rFonts w:hint="eastAsia"/>
          <w:sz w:val="21"/>
          <w:szCs w:val="21"/>
          <w:lang w:val="en-US" w:eastAsia="zh-CN"/>
        </w:rPr>
        <w:t>提供证明材料</w:t>
      </w:r>
      <w:r>
        <w:rPr>
          <w:rFonts w:hint="eastAsia"/>
          <w:sz w:val="21"/>
          <w:szCs w:val="21"/>
          <w:highlight w:val="none"/>
        </w:rPr>
        <w:t>加盖</w:t>
      </w:r>
      <w:r>
        <w:rPr>
          <w:rFonts w:hint="eastAsia"/>
          <w:sz w:val="21"/>
          <w:szCs w:val="21"/>
          <w:highlight w:val="none"/>
          <w:lang w:val="en-US" w:eastAsia="zh-CN"/>
        </w:rPr>
        <w:t>公</w:t>
      </w:r>
      <w:r>
        <w:rPr>
          <w:rFonts w:hint="eastAsia"/>
          <w:sz w:val="21"/>
          <w:szCs w:val="21"/>
          <w:highlight w:val="none"/>
          <w:lang w:eastAsia="zh-CN"/>
        </w:rPr>
        <w:t>章</w:t>
      </w:r>
      <w:r>
        <w:rPr>
          <w:rFonts w:hint="eastAsia"/>
          <w:sz w:val="21"/>
          <w:szCs w:val="21"/>
        </w:rPr>
        <w:t>）；</w:t>
      </w:r>
    </w:p>
    <w:p w14:paraId="16F4FA1A">
      <w:pPr>
        <w:pStyle w:val="41"/>
        <w:spacing w:before="75" w:beforeAutospacing="0" w:after="75" w:afterAutospacing="0" w:line="360" w:lineRule="auto"/>
        <w:ind w:firstLine="420" w:firstLineChars="200"/>
        <w:rPr>
          <w:sz w:val="21"/>
          <w:szCs w:val="21"/>
        </w:rPr>
      </w:pPr>
      <w:r>
        <w:rPr>
          <w:rFonts w:hint="eastAsia"/>
          <w:sz w:val="21"/>
          <w:szCs w:val="21"/>
          <w:lang w:val="en-US" w:eastAsia="zh-CN"/>
        </w:rPr>
        <w:t>2.</w:t>
      </w:r>
      <w:r>
        <w:rPr>
          <w:rFonts w:hint="eastAsia"/>
          <w:sz w:val="21"/>
          <w:szCs w:val="21"/>
        </w:rPr>
        <w:t>具有良好的商业信誉和健全的财务会计制度（提供2024年任意一个月的资产负债表和利润表，或2023年年度审计报告，或银行出具的针对本项目的资信证明，或财政部门认可的专业担保机构出具的投标担保函，</w:t>
      </w:r>
      <w:r>
        <w:rPr>
          <w:rFonts w:hint="eastAsia"/>
          <w:sz w:val="21"/>
          <w:szCs w:val="21"/>
          <w:lang w:val="en-US" w:eastAsia="zh-CN"/>
        </w:rPr>
        <w:t>提供证明材料</w:t>
      </w:r>
      <w:r>
        <w:rPr>
          <w:rFonts w:hint="eastAsia"/>
          <w:sz w:val="21"/>
          <w:szCs w:val="21"/>
        </w:rPr>
        <w:t>加盖</w:t>
      </w:r>
      <w:r>
        <w:rPr>
          <w:rFonts w:hint="eastAsia"/>
          <w:sz w:val="21"/>
          <w:szCs w:val="21"/>
          <w:lang w:eastAsia="zh-CN"/>
        </w:rPr>
        <w:t>公章</w:t>
      </w:r>
      <w:r>
        <w:rPr>
          <w:rFonts w:hint="eastAsia"/>
          <w:sz w:val="21"/>
          <w:szCs w:val="21"/>
        </w:rPr>
        <w:t>；法人或者其它组织成立不满一年不需提供）；</w:t>
      </w:r>
    </w:p>
    <w:p w14:paraId="659C98FA">
      <w:pPr>
        <w:pStyle w:val="41"/>
        <w:spacing w:before="75" w:beforeAutospacing="0" w:after="75" w:afterAutospacing="0" w:line="360" w:lineRule="auto"/>
        <w:ind w:firstLine="420" w:firstLineChars="200"/>
        <w:rPr>
          <w:sz w:val="21"/>
          <w:szCs w:val="21"/>
        </w:rPr>
      </w:pPr>
      <w:r>
        <w:rPr>
          <w:rFonts w:hint="eastAsia"/>
          <w:sz w:val="21"/>
          <w:szCs w:val="21"/>
          <w:lang w:val="en-US" w:eastAsia="zh-CN"/>
        </w:rPr>
        <w:t>3.</w:t>
      </w:r>
      <w:r>
        <w:rPr>
          <w:rFonts w:hint="eastAsia"/>
          <w:sz w:val="21"/>
          <w:szCs w:val="21"/>
        </w:rPr>
        <w:t>具有履行合同所必需的设备和专业技术能力（根据项目需求提供履行合同所必需的设备和专业技术能力的声明及证明材料</w:t>
      </w:r>
      <w:r>
        <w:rPr>
          <w:rFonts w:hint="eastAsia"/>
          <w:sz w:val="21"/>
          <w:szCs w:val="21"/>
          <w:lang w:eastAsia="zh-CN"/>
        </w:rPr>
        <w:t>扫描件</w:t>
      </w:r>
      <w:r>
        <w:rPr>
          <w:rFonts w:hint="eastAsia"/>
          <w:sz w:val="21"/>
          <w:szCs w:val="21"/>
        </w:rPr>
        <w:t>加盖</w:t>
      </w:r>
      <w:r>
        <w:rPr>
          <w:rFonts w:hint="eastAsia"/>
          <w:sz w:val="21"/>
          <w:szCs w:val="21"/>
          <w:lang w:eastAsia="zh-CN"/>
        </w:rPr>
        <w:t>公章</w:t>
      </w:r>
      <w:r>
        <w:rPr>
          <w:rFonts w:hint="eastAsia"/>
          <w:sz w:val="21"/>
          <w:szCs w:val="21"/>
        </w:rPr>
        <w:t>）；</w:t>
      </w:r>
    </w:p>
    <w:p w14:paraId="4C8671EC">
      <w:pPr>
        <w:pStyle w:val="41"/>
        <w:spacing w:before="75" w:beforeAutospacing="0" w:after="75" w:afterAutospacing="0" w:line="360" w:lineRule="auto"/>
        <w:ind w:firstLine="420" w:firstLineChars="200"/>
        <w:rPr>
          <w:sz w:val="21"/>
          <w:szCs w:val="21"/>
        </w:rPr>
      </w:pPr>
      <w:r>
        <w:rPr>
          <w:rFonts w:hint="eastAsia"/>
          <w:sz w:val="21"/>
          <w:szCs w:val="21"/>
          <w:lang w:val="en-US" w:eastAsia="zh-CN"/>
        </w:rPr>
        <w:t>4.</w:t>
      </w:r>
      <w:r>
        <w:rPr>
          <w:rFonts w:hint="eastAsia"/>
          <w:sz w:val="21"/>
          <w:szCs w:val="21"/>
        </w:rPr>
        <w:t>有依法缴纳税收和社会保障资金的良好记录（提供参加本次政府采购活动前（至少一个月）依法缴纳税收和社会保障资金的相关材料</w:t>
      </w:r>
      <w:r>
        <w:rPr>
          <w:rFonts w:hint="eastAsia"/>
          <w:sz w:val="21"/>
          <w:szCs w:val="21"/>
          <w:lang w:eastAsia="zh-CN"/>
        </w:rPr>
        <w:t>扫描件</w:t>
      </w:r>
      <w:r>
        <w:rPr>
          <w:rFonts w:hint="eastAsia"/>
          <w:sz w:val="21"/>
          <w:szCs w:val="21"/>
        </w:rPr>
        <w:t>加盖</w:t>
      </w:r>
      <w:r>
        <w:rPr>
          <w:rFonts w:hint="eastAsia"/>
          <w:sz w:val="21"/>
          <w:szCs w:val="21"/>
          <w:lang w:eastAsia="zh-CN"/>
        </w:rPr>
        <w:t>公章</w:t>
      </w:r>
      <w:r>
        <w:rPr>
          <w:rFonts w:hint="eastAsia"/>
          <w:sz w:val="21"/>
          <w:szCs w:val="21"/>
        </w:rPr>
        <w:t>）；</w:t>
      </w:r>
    </w:p>
    <w:p w14:paraId="4EC11BDA">
      <w:pPr>
        <w:pStyle w:val="41"/>
        <w:spacing w:before="75" w:beforeAutospacing="0" w:after="75" w:afterAutospacing="0" w:line="360" w:lineRule="auto"/>
        <w:ind w:firstLine="420" w:firstLineChars="200"/>
        <w:rPr>
          <w:rFonts w:hint="eastAsia" w:ascii="宋体" w:hAnsi="宋体" w:eastAsia="宋体" w:cs="宋体"/>
          <w:b/>
          <w:spacing w:val="8"/>
          <w:kern w:val="0"/>
          <w:sz w:val="21"/>
          <w:szCs w:val="21"/>
        </w:rPr>
      </w:pPr>
      <w:r>
        <w:rPr>
          <w:rFonts w:hint="eastAsia"/>
          <w:sz w:val="21"/>
          <w:szCs w:val="21"/>
          <w:lang w:val="en-US" w:eastAsia="zh-CN"/>
        </w:rPr>
        <w:t>5.</w:t>
      </w:r>
      <w:r>
        <w:rPr>
          <w:rFonts w:hint="eastAsia"/>
          <w:sz w:val="21"/>
          <w:szCs w:val="21"/>
        </w:rPr>
        <w:t>参加政府采购活动前三年内，在经营活动中没有重大违法记录（提供参加本次政府采购活动前3年内在经营活动中没有重大违法记录的书面声明</w:t>
      </w:r>
      <w:r>
        <w:rPr>
          <w:rFonts w:hint="eastAsia"/>
          <w:sz w:val="21"/>
          <w:szCs w:val="21"/>
          <w:lang w:val="en-US" w:eastAsia="zh-CN"/>
        </w:rPr>
        <w:t>加盖公章</w:t>
      </w:r>
      <w:r>
        <w:rPr>
          <w:rFonts w:hint="eastAsia"/>
          <w:sz w:val="21"/>
          <w:szCs w:val="21"/>
        </w:rPr>
        <w:t>）；</w:t>
      </w:r>
    </w:p>
    <w:p w14:paraId="77E7CCD4">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sz w:val="21"/>
          <w:szCs w:val="21"/>
          <w:shd w:val="clear" w:color="auto" w:fill="FFFFFF"/>
          <w:lang w:val="zh-CN"/>
        </w:rPr>
      </w:pPr>
      <w:r>
        <w:rPr>
          <w:rFonts w:hint="eastAsia" w:ascii="宋体" w:hAnsi="宋体" w:eastAsia="宋体" w:cs="宋体"/>
          <w:sz w:val="21"/>
          <w:szCs w:val="21"/>
          <w:lang w:val="en-US" w:eastAsia="zh-CN"/>
        </w:rPr>
        <w:t>6.</w:t>
      </w:r>
      <w:r>
        <w:rPr>
          <w:rFonts w:hint="eastAsia" w:ascii="宋体" w:hAnsi="宋体" w:eastAsia="宋体" w:cs="宋体"/>
          <w:sz w:val="21"/>
          <w:szCs w:val="21"/>
        </w:rPr>
        <w:t>法律、行政法规和采购文件规定的其他条件（</w:t>
      </w:r>
      <w:r>
        <w:rPr>
          <w:rFonts w:hint="eastAsia" w:cs="宋体"/>
          <w:sz w:val="21"/>
          <w:szCs w:val="21"/>
          <w:lang w:val="en-US" w:eastAsia="zh-CN"/>
        </w:rPr>
        <w:t>提供承诺书加盖公章</w:t>
      </w:r>
      <w:r>
        <w:rPr>
          <w:rFonts w:hint="eastAsia" w:ascii="宋体" w:hAnsi="宋体" w:eastAsia="宋体" w:cs="宋体"/>
          <w:sz w:val="21"/>
          <w:szCs w:val="21"/>
        </w:rPr>
        <w:t>）</w:t>
      </w:r>
      <w:r>
        <w:rPr>
          <w:rFonts w:hint="eastAsia" w:cs="宋体"/>
          <w:sz w:val="21"/>
          <w:szCs w:val="21"/>
          <w:lang w:eastAsia="zh-CN"/>
        </w:rPr>
        <w:t>。</w:t>
      </w:r>
    </w:p>
    <w:p w14:paraId="7CAD4AEF">
      <w:pPr>
        <w:keepNext w:val="0"/>
        <w:keepLines w:val="0"/>
        <w:pageBreakBefore w:val="0"/>
        <w:widowControl/>
        <w:kinsoku/>
        <w:overflowPunct/>
        <w:topLinePunct w:val="0"/>
        <w:autoSpaceDE/>
        <w:autoSpaceDN/>
        <w:bidi w:val="0"/>
        <w:spacing w:line="360" w:lineRule="auto"/>
        <w:ind w:firstLine="452" w:firstLineChars="200"/>
        <w:textAlignment w:val="auto"/>
        <w:rPr>
          <w:rFonts w:hint="eastAsia" w:ascii="宋体" w:hAnsi="宋体" w:eastAsia="宋体" w:cs="宋体"/>
          <w:b/>
          <w:spacing w:val="8"/>
          <w:kern w:val="0"/>
          <w:sz w:val="21"/>
          <w:szCs w:val="21"/>
        </w:rPr>
      </w:pPr>
      <w:r>
        <w:rPr>
          <w:rFonts w:hint="eastAsia" w:ascii="宋体" w:hAnsi="宋体" w:eastAsia="宋体" w:cs="宋体"/>
          <w:b/>
          <w:spacing w:val="8"/>
          <w:kern w:val="0"/>
          <w:sz w:val="21"/>
          <w:szCs w:val="21"/>
        </w:rPr>
        <w:t>七、对本次招标提出询问，请按以下方式联系</w:t>
      </w:r>
    </w:p>
    <w:p w14:paraId="14B32E44">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（一）采购人：</w:t>
      </w:r>
      <w:r>
        <w:rPr>
          <w:rFonts w:hint="eastAsia" w:cs="宋体"/>
          <w:sz w:val="21"/>
          <w:szCs w:val="21"/>
          <w:highlight w:val="none"/>
          <w:lang w:eastAsia="zh-CN"/>
        </w:rPr>
        <w:t>南京市城市建设档案馆</w:t>
      </w:r>
    </w:p>
    <w:p w14:paraId="345DCD4D">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地址：南京市秦淮区校场大道36号</w:t>
      </w:r>
      <w:r>
        <w:rPr>
          <w:rFonts w:hint="eastAsia" w:cs="宋体"/>
          <w:sz w:val="21"/>
          <w:szCs w:val="21"/>
          <w:highlight w:val="none"/>
          <w:lang w:val="en-US" w:eastAsia="zh-CN"/>
        </w:rPr>
        <w:t xml:space="preserve"> </w:t>
      </w:r>
    </w:p>
    <w:p w14:paraId="283DB227">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 </w:t>
      </w:r>
      <w:r>
        <w:rPr>
          <w:rFonts w:hint="eastAsia"/>
          <w:sz w:val="21"/>
          <w:szCs w:val="21"/>
          <w:highlight w:val="none"/>
          <w:lang w:val="en-US" w:eastAsia="zh-CN"/>
        </w:rPr>
        <w:t>王工</w:t>
      </w:r>
    </w:p>
    <w:p w14:paraId="05D7F7C8">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联系电话：</w:t>
      </w:r>
      <w:r>
        <w:rPr>
          <w:rFonts w:hint="eastAsia"/>
          <w:sz w:val="21"/>
          <w:szCs w:val="21"/>
          <w:highlight w:val="none"/>
          <w:lang w:val="en-US" w:eastAsia="zh-CN"/>
        </w:rPr>
        <w:t>025-84477751</w:t>
      </w:r>
    </w:p>
    <w:p w14:paraId="454DB11E">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shd w:val="clear" w:color="auto" w:fill="FFFFFF"/>
        </w:rPr>
        <w:t>（二）</w:t>
      </w:r>
      <w:r>
        <w:rPr>
          <w:rFonts w:hint="eastAsia" w:ascii="宋体" w:hAnsi="宋体" w:eastAsia="宋体" w:cs="宋体"/>
          <w:sz w:val="21"/>
          <w:szCs w:val="21"/>
        </w:rPr>
        <w:t>采购代理机构：</w:t>
      </w:r>
      <w:r>
        <w:rPr>
          <w:rFonts w:hint="eastAsia" w:cs="宋体"/>
          <w:sz w:val="21"/>
          <w:szCs w:val="21"/>
          <w:lang w:eastAsia="zh-CN"/>
        </w:rPr>
        <w:t>江苏盛启招标代理有限公司</w:t>
      </w:r>
    </w:p>
    <w:p w14:paraId="70748232">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地址：江苏省南京市鼓楼区中山北路477号天正桃源315</w:t>
      </w:r>
    </w:p>
    <w:p w14:paraId="2B8A0BEB">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联系人：</w:t>
      </w:r>
      <w:r>
        <w:rPr>
          <w:rFonts w:hint="eastAsia" w:cs="宋体"/>
          <w:sz w:val="21"/>
          <w:szCs w:val="21"/>
          <w:highlight w:val="none"/>
          <w:lang w:val="en-US" w:eastAsia="zh-CN"/>
        </w:rPr>
        <w:t>杨工</w:t>
      </w:r>
    </w:p>
    <w:p w14:paraId="34218084">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联系电话：13645146351 </w:t>
      </w:r>
    </w:p>
    <w:p w14:paraId="1500847B">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（三）</w:t>
      </w:r>
      <w:r>
        <w:rPr>
          <w:rFonts w:hint="eastAsia" w:ascii="宋体" w:hAnsi="宋体" w:eastAsia="宋体" w:cs="宋体"/>
          <w:sz w:val="21"/>
          <w:szCs w:val="21"/>
          <w:highlight w:val="none"/>
        </w:rPr>
        <w:t>项目联系方式</w:t>
      </w:r>
    </w:p>
    <w:p w14:paraId="7837BE7E">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项目负责人：</w:t>
      </w:r>
      <w:r>
        <w:rPr>
          <w:rFonts w:hint="eastAsia" w:cs="宋体"/>
          <w:sz w:val="21"/>
          <w:szCs w:val="21"/>
          <w:highlight w:val="none"/>
          <w:lang w:val="en-US" w:eastAsia="zh-CN"/>
        </w:rPr>
        <w:t>杨工</w:t>
      </w:r>
    </w:p>
    <w:p w14:paraId="442A3858">
      <w:pPr>
        <w:pStyle w:val="41"/>
        <w:keepNext w:val="0"/>
        <w:keepLines w:val="0"/>
        <w:pageBreakBefore w:val="0"/>
        <w:kinsoku/>
        <w:overflowPunct/>
        <w:topLinePunct w:val="0"/>
        <w:autoSpaceDE/>
        <w:autoSpaceDN/>
        <w:bidi w:val="0"/>
        <w:spacing w:before="75" w:beforeAutospacing="0" w:after="75" w:afterAutospacing="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联系电话：13645146351 </w:t>
      </w:r>
    </w:p>
    <w:p w14:paraId="2F2A8B29">
      <w:pPr>
        <w:pStyle w:val="4"/>
        <w:numPr>
          <w:ilvl w:val="0"/>
          <w:numId w:val="0"/>
        </w:numPr>
        <w:spacing w:line="360" w:lineRule="auto"/>
        <w:rPr>
          <w:rFonts w:hint="eastAsia" w:ascii="宋体" w:hAnsi="宋体" w:cs="宋体"/>
        </w:rPr>
      </w:pPr>
      <w:r>
        <w:rPr>
          <w:rFonts w:hint="eastAsia" w:ascii="宋体" w:hAnsi="宋体" w:cs="宋体"/>
        </w:rPr>
        <w:br w:type="page"/>
      </w:r>
      <w:bookmarkStart w:id="4" w:name="_Toc22765"/>
      <w:r>
        <w:rPr>
          <w:rFonts w:hint="eastAsia" w:ascii="宋体" w:hAnsi="宋体" w:cs="宋体"/>
        </w:rPr>
        <w:t>第二章</w:t>
      </w:r>
      <w:bookmarkStart w:id="5" w:name="_Toc452625218"/>
      <w:r>
        <w:rPr>
          <w:rFonts w:hint="eastAsia" w:ascii="宋体" w:hAnsi="宋体" w:cs="宋体"/>
        </w:rPr>
        <w:t xml:space="preserve"> </w:t>
      </w:r>
      <w:r>
        <w:rPr>
          <w:rFonts w:hint="eastAsia" w:ascii="宋体" w:hAnsi="宋体" w:cs="宋体"/>
          <w:lang w:eastAsia="zh-CN"/>
        </w:rPr>
        <w:t>供应商</w:t>
      </w:r>
      <w:r>
        <w:rPr>
          <w:rFonts w:hint="eastAsia" w:ascii="宋体" w:hAnsi="宋体" w:cs="宋体"/>
        </w:rPr>
        <w:t>须知</w:t>
      </w:r>
      <w:bookmarkEnd w:id="4"/>
      <w:bookmarkEnd w:id="5"/>
    </w:p>
    <w:p w14:paraId="0A55EB13">
      <w:pPr>
        <w:widowControl/>
        <w:shd w:val="clear" w:color="auto" w:fill="FFFFFF"/>
        <w:spacing w:line="360" w:lineRule="auto"/>
        <w:ind w:firstLine="422" w:firstLineChars="201"/>
        <w:rPr>
          <w:rFonts w:hint="eastAsia" w:ascii="宋体" w:hAnsi="宋体" w:cs="宋体"/>
          <w:kern w:val="0"/>
          <w:szCs w:val="21"/>
        </w:rPr>
      </w:pPr>
      <w:r>
        <w:rPr>
          <w:rFonts w:hint="eastAsia" w:ascii="宋体" w:hAnsi="宋体" w:cs="宋体"/>
          <w:b/>
          <w:bCs/>
          <w:kern w:val="0"/>
          <w:szCs w:val="21"/>
        </w:rPr>
        <w:t>一、总 则</w:t>
      </w:r>
    </w:p>
    <w:p w14:paraId="13EB9CC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14:paraId="2E378F1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A897E9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14:paraId="00C237B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14:paraId="76EDB21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w:t>
      </w:r>
      <w:r>
        <w:rPr>
          <w:rFonts w:hint="eastAsia" w:ascii="宋体" w:hAnsi="宋体" w:cs="宋体"/>
          <w:kern w:val="0"/>
          <w:szCs w:val="21"/>
          <w:lang w:eastAsia="zh-CN"/>
        </w:rPr>
        <w:t>供应商</w:t>
      </w:r>
      <w:r>
        <w:rPr>
          <w:rFonts w:hint="eastAsia" w:ascii="宋体" w:hAnsi="宋体" w:cs="宋体"/>
          <w:kern w:val="0"/>
          <w:szCs w:val="21"/>
        </w:rPr>
        <w:t>”是指参加投标竞争，并符合招标文件规定资格条件的法人、其他组织或者自然人。</w:t>
      </w:r>
    </w:p>
    <w:p w14:paraId="43B7C8D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75B75B0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3C5B42B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14:paraId="6BDD44F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14:paraId="0230BD2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w:t>
      </w:r>
      <w:r>
        <w:rPr>
          <w:rFonts w:hint="eastAsia" w:ascii="宋体" w:hAnsi="宋体" w:cs="宋体"/>
          <w:kern w:val="0"/>
          <w:szCs w:val="21"/>
          <w:lang w:val="en-US" w:eastAsia="zh-CN"/>
        </w:rPr>
        <w:t>七</w:t>
      </w:r>
      <w:r>
        <w:rPr>
          <w:rFonts w:hint="eastAsia" w:ascii="宋体" w:hAnsi="宋体" w:cs="宋体"/>
          <w:kern w:val="0"/>
          <w:szCs w:val="21"/>
        </w:rPr>
        <w:t>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3D1B408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396321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30686D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cs="宋体"/>
          <w:kern w:val="0"/>
          <w:szCs w:val="21"/>
          <w:lang w:eastAsia="zh-CN"/>
        </w:rPr>
        <w:t>供应商</w:t>
      </w:r>
      <w:r>
        <w:rPr>
          <w:rFonts w:hint="eastAsia" w:ascii="宋体" w:hAnsi="宋体" w:cs="宋体"/>
          <w:kern w:val="0"/>
          <w:szCs w:val="21"/>
        </w:rPr>
        <w:t>应当提供国家确定的认证机构出具的、处于有效期之内的节能产品、环境标志产品认证证书。</w:t>
      </w:r>
    </w:p>
    <w:p w14:paraId="429B68D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w:t>
      </w:r>
      <w:r>
        <w:rPr>
          <w:rFonts w:hint="eastAsia" w:ascii="宋体" w:hAnsi="宋体" w:cs="宋体"/>
          <w:kern w:val="0"/>
          <w:szCs w:val="21"/>
          <w:lang w:eastAsia="zh-CN"/>
        </w:rPr>
        <w:t>供应商</w:t>
      </w:r>
      <w:r>
        <w:rPr>
          <w:rFonts w:hint="eastAsia" w:ascii="宋体" w:hAnsi="宋体" w:cs="宋体"/>
          <w:kern w:val="0"/>
          <w:szCs w:val="21"/>
        </w:rPr>
        <w:t>应当选择经国家认证的信息安全产品投标，并提供由国家信息安全认证中心按国家标准认证颁发的有效认证证书。</w:t>
      </w:r>
    </w:p>
    <w:p w14:paraId="5DD1075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14:paraId="1EA7771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38DC481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14:paraId="29B8F48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w:t>
      </w:r>
      <w:r>
        <w:rPr>
          <w:rFonts w:hint="eastAsia" w:ascii="宋体" w:hAnsi="宋体" w:cs="宋体"/>
          <w:kern w:val="0"/>
          <w:szCs w:val="21"/>
          <w:lang w:eastAsia="zh-CN"/>
        </w:rPr>
        <w:t>供应商</w:t>
      </w:r>
      <w:r>
        <w:rPr>
          <w:rFonts w:hint="eastAsia" w:ascii="宋体" w:hAnsi="宋体" w:cs="宋体"/>
          <w:kern w:val="0"/>
          <w:szCs w:val="21"/>
        </w:rPr>
        <w:t>的进口产品。</w:t>
      </w:r>
    </w:p>
    <w:p w14:paraId="2CE38AC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3.7未按要求提供相关材料的，不享受相关政策。</w:t>
      </w:r>
    </w:p>
    <w:p w14:paraId="3F30CBE5">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14:paraId="270DD232">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14:paraId="4BFDBE5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14:paraId="664ABBD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14:paraId="7B1A787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w:t>
      </w:r>
      <w:r>
        <w:rPr>
          <w:rFonts w:hint="eastAsia" w:ascii="宋体" w:hAnsi="宋体" w:cs="宋体"/>
          <w:kern w:val="0"/>
          <w:szCs w:val="21"/>
          <w:lang w:eastAsia="zh-CN"/>
        </w:rPr>
        <w:t>供应商</w:t>
      </w:r>
      <w:r>
        <w:rPr>
          <w:rFonts w:hint="eastAsia" w:ascii="宋体" w:hAnsi="宋体" w:cs="宋体"/>
          <w:kern w:val="0"/>
          <w:szCs w:val="21"/>
        </w:rPr>
        <w:t>须知；</w:t>
      </w:r>
    </w:p>
    <w:p w14:paraId="6AB20AD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14:paraId="0574945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14:paraId="722DD2B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w:t>
      </w:r>
      <w:r>
        <w:rPr>
          <w:rFonts w:hint="eastAsia" w:ascii="宋体" w:hAnsi="宋体" w:cs="宋体"/>
          <w:kern w:val="0"/>
          <w:szCs w:val="21"/>
          <w:lang w:eastAsia="zh-CN"/>
        </w:rPr>
        <w:t>南京市城市建设档案馆库内建设工程档案驻场数字化项目</w:t>
      </w:r>
      <w:r>
        <w:rPr>
          <w:rFonts w:hint="eastAsia" w:ascii="宋体" w:hAnsi="宋体" w:cs="宋体"/>
          <w:kern w:val="0"/>
          <w:szCs w:val="21"/>
        </w:rPr>
        <w:t>管理考核办法</w:t>
      </w:r>
    </w:p>
    <w:p w14:paraId="21C3DE1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lang w:eastAsia="zh-CN"/>
        </w:rPr>
        <w:t>（</w:t>
      </w:r>
      <w:r>
        <w:rPr>
          <w:rFonts w:hint="eastAsia" w:ascii="宋体" w:hAnsi="宋体" w:cs="宋体"/>
          <w:kern w:val="0"/>
          <w:szCs w:val="21"/>
          <w:lang w:val="en-US" w:eastAsia="zh-CN"/>
        </w:rPr>
        <w:t>6</w:t>
      </w:r>
      <w:r>
        <w:rPr>
          <w:rFonts w:hint="eastAsia" w:ascii="宋体" w:hAnsi="宋体" w:cs="宋体"/>
          <w:kern w:val="0"/>
          <w:szCs w:val="21"/>
          <w:lang w:eastAsia="zh-CN"/>
        </w:rPr>
        <w:t>）</w:t>
      </w:r>
      <w:r>
        <w:rPr>
          <w:rFonts w:hint="eastAsia" w:ascii="宋体" w:hAnsi="宋体" w:cs="宋体"/>
          <w:kern w:val="0"/>
          <w:szCs w:val="21"/>
        </w:rPr>
        <w:t>合同主要条款及格式；</w:t>
      </w:r>
    </w:p>
    <w:p w14:paraId="540D86B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w:t>
      </w:r>
      <w:r>
        <w:rPr>
          <w:rFonts w:hint="eastAsia" w:ascii="宋体" w:hAnsi="宋体" w:cs="宋体"/>
          <w:kern w:val="0"/>
          <w:szCs w:val="21"/>
          <w:lang w:val="en-US" w:eastAsia="zh-CN"/>
        </w:rPr>
        <w:t>7</w:t>
      </w:r>
      <w:r>
        <w:rPr>
          <w:rFonts w:hint="eastAsia" w:ascii="宋体" w:hAnsi="宋体" w:cs="宋体"/>
          <w:kern w:val="0"/>
          <w:szCs w:val="21"/>
        </w:rPr>
        <w:t>）投标文件格式及附件。</w:t>
      </w:r>
    </w:p>
    <w:p w14:paraId="15F54B4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如标书制作工具中格式和内容与“江苏政府采购”网发布的招标文件不一致的，以上述网站发布的招标文件为准。</w:t>
      </w:r>
    </w:p>
    <w:p w14:paraId="68432A4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招标的最小单位是标段。招标货物数量及技术要求中未分标段的，</w:t>
      </w:r>
      <w:r>
        <w:rPr>
          <w:rFonts w:hint="eastAsia" w:ascii="宋体" w:hAnsi="宋体" w:cs="宋体"/>
          <w:kern w:val="0"/>
          <w:szCs w:val="21"/>
          <w:lang w:eastAsia="zh-CN"/>
        </w:rPr>
        <w:t>供应商</w:t>
      </w:r>
      <w:r>
        <w:rPr>
          <w:rFonts w:hint="eastAsia" w:ascii="宋体" w:hAnsi="宋体" w:cs="宋体"/>
          <w:kern w:val="0"/>
          <w:szCs w:val="21"/>
        </w:rPr>
        <w:t>对要求提供的货物和服务不得部分投标；招标货物数量及技术要求中已经分标段的，可以以标段为单位投标。</w:t>
      </w:r>
    </w:p>
    <w:p w14:paraId="6B4E843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w:t>
      </w:r>
      <w:r>
        <w:rPr>
          <w:rFonts w:hint="eastAsia" w:ascii="宋体" w:hAnsi="宋体" w:cs="宋体"/>
          <w:kern w:val="0"/>
          <w:szCs w:val="21"/>
          <w:lang w:eastAsia="zh-CN"/>
        </w:rPr>
        <w:t>供应商</w:t>
      </w:r>
      <w:r>
        <w:rPr>
          <w:rFonts w:hint="eastAsia" w:ascii="宋体" w:hAnsi="宋体" w:cs="宋体"/>
          <w:kern w:val="0"/>
          <w:szCs w:val="21"/>
        </w:rPr>
        <w:t>按照招标文件规定提交备选投标方案的，</w:t>
      </w:r>
      <w:r>
        <w:rPr>
          <w:rFonts w:hint="eastAsia" w:ascii="宋体" w:hAnsi="宋体" w:cs="宋体"/>
          <w:kern w:val="0"/>
          <w:szCs w:val="21"/>
          <w:lang w:eastAsia="zh-CN"/>
        </w:rPr>
        <w:t>供应商</w:t>
      </w:r>
      <w:r>
        <w:rPr>
          <w:rFonts w:hint="eastAsia" w:ascii="宋体" w:hAnsi="宋体" w:cs="宋体"/>
          <w:kern w:val="0"/>
          <w:szCs w:val="21"/>
        </w:rPr>
        <w:t>可以提交备选方案；否则，备选方案将被拒绝。</w:t>
      </w:r>
    </w:p>
    <w:p w14:paraId="7B1F934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w:t>
      </w:r>
      <w:r>
        <w:rPr>
          <w:rFonts w:hint="eastAsia" w:ascii="宋体" w:hAnsi="宋体" w:cs="宋体"/>
          <w:kern w:val="0"/>
          <w:szCs w:val="21"/>
          <w:lang w:eastAsia="zh-CN"/>
        </w:rPr>
        <w:t>供应商</w:t>
      </w:r>
      <w:r>
        <w:rPr>
          <w:rFonts w:hint="eastAsia" w:ascii="宋体" w:hAnsi="宋体" w:cs="宋体"/>
          <w:kern w:val="0"/>
          <w:szCs w:val="21"/>
        </w:rPr>
        <w:t>参考，并不是限制条件。</w:t>
      </w:r>
    </w:p>
    <w:p w14:paraId="367DA7D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14:paraId="68096C2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925387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w:t>
      </w:r>
      <w:r>
        <w:rPr>
          <w:rFonts w:hint="eastAsia" w:ascii="宋体" w:hAnsi="宋体" w:cs="宋体"/>
          <w:kern w:val="0"/>
          <w:szCs w:val="21"/>
          <w:lang w:eastAsia="zh-CN"/>
        </w:rPr>
        <w:t>供应商</w:t>
      </w:r>
      <w:r>
        <w:rPr>
          <w:rFonts w:hint="eastAsia" w:ascii="宋体" w:hAnsi="宋体" w:cs="宋体"/>
          <w:kern w:val="0"/>
          <w:szCs w:val="21"/>
        </w:rPr>
        <w:t>；不足15日的，采购人或者采购代理机构应当顺延提交投标文件的截止时间。</w:t>
      </w:r>
    </w:p>
    <w:p w14:paraId="1B4FAD0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 xml:space="preserve">5.3 </w:t>
      </w:r>
      <w:r>
        <w:rPr>
          <w:rFonts w:hint="eastAsia" w:ascii="宋体" w:hAnsi="宋体" w:cs="宋体"/>
          <w:kern w:val="0"/>
          <w:szCs w:val="21"/>
          <w:lang w:eastAsia="zh-CN"/>
        </w:rPr>
        <w:t>供应商</w:t>
      </w:r>
      <w:r>
        <w:rPr>
          <w:rFonts w:hint="eastAsia" w:ascii="宋体" w:hAnsi="宋体" w:cs="宋体"/>
          <w:kern w:val="0"/>
          <w:szCs w:val="21"/>
        </w:rPr>
        <w:t>应在提交投标文件截止时间前，关注原公告媒体有关本项目的更正公告，根据更正公告内容自行决定是否需要重新制作和提交投标文件，并承担由此产生的相应责任。</w:t>
      </w:r>
    </w:p>
    <w:p w14:paraId="10E3BE6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14:paraId="0A3EB436">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14:paraId="2113184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w:t>
      </w:r>
      <w:r>
        <w:rPr>
          <w:rFonts w:hint="eastAsia" w:ascii="宋体" w:hAnsi="宋体" w:cs="宋体"/>
          <w:kern w:val="0"/>
          <w:szCs w:val="21"/>
          <w:lang w:eastAsia="zh-CN"/>
        </w:rPr>
        <w:t>供应商</w:t>
      </w:r>
      <w:r>
        <w:rPr>
          <w:rFonts w:hint="eastAsia" w:ascii="宋体" w:hAnsi="宋体" w:cs="宋体"/>
          <w:kern w:val="0"/>
          <w:szCs w:val="21"/>
        </w:rPr>
        <w:t>提交的投标文件、技术文件和资料，包括图纸中的说明，以及</w:t>
      </w:r>
      <w:r>
        <w:rPr>
          <w:rFonts w:hint="eastAsia" w:ascii="宋体" w:hAnsi="宋体" w:cs="宋体"/>
          <w:kern w:val="0"/>
          <w:szCs w:val="21"/>
          <w:lang w:eastAsia="zh-CN"/>
        </w:rPr>
        <w:t>供应商</w:t>
      </w:r>
      <w:r>
        <w:rPr>
          <w:rFonts w:hint="eastAsia" w:ascii="宋体" w:hAnsi="宋体" w:cs="宋体"/>
          <w:kern w:val="0"/>
          <w:szCs w:val="21"/>
        </w:rPr>
        <w:t>与采购代理机构就有关投标的所有来往函电均应使用中文。投标文件中若有英文或其他语言文字的资料，应提供相应的中文翻译资料。对不同文本投标文件的解释发生异议的，以中文文本为准。</w:t>
      </w:r>
    </w:p>
    <w:p w14:paraId="67CA020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w:t>
      </w:r>
      <w:r>
        <w:rPr>
          <w:rFonts w:hint="eastAsia" w:ascii="宋体" w:hAnsi="宋体" w:cs="宋体"/>
          <w:kern w:val="0"/>
          <w:szCs w:val="21"/>
          <w:lang w:eastAsia="zh-CN"/>
        </w:rPr>
        <w:t>供应商</w:t>
      </w:r>
      <w:r>
        <w:rPr>
          <w:rFonts w:hint="eastAsia" w:ascii="宋体" w:hAnsi="宋体" w:cs="宋体"/>
          <w:kern w:val="0"/>
          <w:szCs w:val="21"/>
        </w:rPr>
        <w:t>所使用的计量单位应为国家法定计量单位。</w:t>
      </w:r>
    </w:p>
    <w:p w14:paraId="62B5DA3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w:t>
      </w:r>
      <w:r>
        <w:rPr>
          <w:rFonts w:hint="eastAsia" w:ascii="宋体" w:hAnsi="宋体" w:cs="宋体"/>
          <w:kern w:val="0"/>
          <w:szCs w:val="21"/>
          <w:lang w:eastAsia="zh-CN"/>
        </w:rPr>
        <w:t>供应商</w:t>
      </w:r>
      <w:r>
        <w:rPr>
          <w:rFonts w:hint="eastAsia" w:ascii="宋体" w:hAnsi="宋体" w:cs="宋体"/>
          <w:kern w:val="0"/>
          <w:szCs w:val="21"/>
        </w:rPr>
        <w:t>应用人民币报价。投标产品如果是进口产品的，应提供人民币与</w:t>
      </w:r>
      <w:r>
        <w:rPr>
          <w:rFonts w:hint="eastAsia" w:ascii="宋体" w:hAnsi="宋体" w:cs="宋体"/>
          <w:b/>
          <w:bCs/>
          <w:kern w:val="0"/>
          <w:szCs w:val="21"/>
        </w:rPr>
        <w:t>外币之间的汇率。</w:t>
      </w:r>
    </w:p>
    <w:p w14:paraId="56B8F9E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14:paraId="06BFB4A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w:t>
      </w:r>
      <w:r>
        <w:rPr>
          <w:rFonts w:hint="eastAsia" w:ascii="宋体" w:hAnsi="宋体" w:cs="宋体"/>
          <w:kern w:val="0"/>
          <w:szCs w:val="21"/>
          <w:lang w:eastAsia="zh-CN"/>
        </w:rPr>
        <w:t>供应商</w:t>
      </w:r>
      <w:r>
        <w:rPr>
          <w:rFonts w:hint="eastAsia" w:ascii="宋体" w:hAnsi="宋体" w:cs="宋体"/>
          <w:kern w:val="0"/>
          <w:szCs w:val="21"/>
        </w:rPr>
        <w:t>应在投标文件中写清相应的项目编号、项目名称、</w:t>
      </w:r>
      <w:r>
        <w:rPr>
          <w:rFonts w:hint="eastAsia" w:ascii="宋体" w:hAnsi="宋体" w:cs="宋体"/>
          <w:kern w:val="0"/>
          <w:szCs w:val="21"/>
          <w:lang w:eastAsia="zh-CN"/>
        </w:rPr>
        <w:t>供应商</w:t>
      </w:r>
      <w:r>
        <w:rPr>
          <w:rFonts w:hint="eastAsia" w:ascii="宋体" w:hAnsi="宋体" w:cs="宋体"/>
          <w:kern w:val="0"/>
          <w:szCs w:val="21"/>
        </w:rPr>
        <w:t>全称、地址、电话、传真等。</w:t>
      </w:r>
    </w:p>
    <w:p w14:paraId="299E20A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6.6</w:t>
      </w:r>
      <w:r>
        <w:rPr>
          <w:rFonts w:hint="eastAsia" w:ascii="宋体" w:hAnsi="宋体" w:cs="宋体"/>
          <w:kern w:val="0"/>
          <w:szCs w:val="21"/>
          <w:lang w:eastAsia="zh-CN"/>
        </w:rPr>
        <w:t>供应商</w:t>
      </w:r>
      <w:r>
        <w:rPr>
          <w:rFonts w:hint="eastAsia" w:ascii="宋体" w:hAnsi="宋体" w:cs="宋体"/>
          <w:kern w:val="0"/>
          <w:szCs w:val="21"/>
        </w:rPr>
        <w:t>根据招标文件载明的标的采购项目实际情况，应当在投标文件中载明。</w:t>
      </w:r>
    </w:p>
    <w:p w14:paraId="2C0B92C6">
      <w:pPr>
        <w:widowControl/>
        <w:numPr>
          <w:ilvl w:val="0"/>
          <w:numId w:val="3"/>
        </w:numPr>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联合体投标：</w:t>
      </w:r>
    </w:p>
    <w:p w14:paraId="4C813379">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7.1两个以上的自然人、法人或者其他组织可以组成一个联合体，以一个</w:t>
      </w:r>
      <w:r>
        <w:rPr>
          <w:rFonts w:hint="eastAsia" w:ascii="宋体" w:hAnsi="宋体" w:cs="宋体"/>
          <w:kern w:val="0"/>
          <w:szCs w:val="21"/>
          <w:lang w:eastAsia="zh-CN"/>
        </w:rPr>
        <w:t>供应商</w:t>
      </w:r>
      <w:r>
        <w:rPr>
          <w:rFonts w:hint="eastAsia" w:ascii="宋体" w:hAnsi="宋体" w:cs="宋体"/>
          <w:kern w:val="0"/>
          <w:szCs w:val="21"/>
        </w:rPr>
        <w:t>的身份共同参加政府采购。</w:t>
      </w:r>
    </w:p>
    <w:p w14:paraId="273EE4C4">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7.2联合体中有同类资质的</w:t>
      </w:r>
      <w:r>
        <w:rPr>
          <w:rFonts w:hint="eastAsia" w:ascii="宋体" w:hAnsi="宋体" w:cs="宋体"/>
          <w:kern w:val="0"/>
          <w:szCs w:val="21"/>
          <w:lang w:eastAsia="zh-CN"/>
        </w:rPr>
        <w:t>供应商</w:t>
      </w:r>
      <w:r>
        <w:rPr>
          <w:rFonts w:hint="eastAsia" w:ascii="宋体" w:hAnsi="宋体" w:cs="宋体"/>
          <w:kern w:val="0"/>
          <w:szCs w:val="21"/>
        </w:rPr>
        <w:t>按照联合体分工承担相同工作的，按照资质等级较低的</w:t>
      </w:r>
      <w:r>
        <w:rPr>
          <w:rFonts w:hint="eastAsia" w:ascii="宋体" w:hAnsi="宋体" w:cs="宋体"/>
          <w:kern w:val="0"/>
          <w:szCs w:val="21"/>
          <w:lang w:eastAsia="zh-CN"/>
        </w:rPr>
        <w:t>供应商</w:t>
      </w:r>
      <w:r>
        <w:rPr>
          <w:rFonts w:hint="eastAsia" w:ascii="宋体" w:hAnsi="宋体" w:cs="宋体"/>
          <w:kern w:val="0"/>
          <w:szCs w:val="21"/>
        </w:rPr>
        <w:t>确定资质等级。</w:t>
      </w:r>
    </w:p>
    <w:p w14:paraId="499714A8">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7.3联合体各方之间应当签订联合体协议，明确约定联合体各方承担的工作和相应的责任，并将联合体协议连同投标文件一同提交。</w:t>
      </w:r>
    </w:p>
    <w:p w14:paraId="3EDCD2F0">
      <w:pPr>
        <w:widowControl/>
        <w:shd w:val="clear" w:color="auto" w:fill="FFFFFF"/>
        <w:spacing w:line="360" w:lineRule="auto"/>
        <w:ind w:firstLine="412"/>
        <w:rPr>
          <w:rFonts w:hint="eastAsia" w:ascii="宋体" w:hAnsi="宋体" w:cs="宋体"/>
          <w:kern w:val="0"/>
          <w:szCs w:val="21"/>
        </w:rPr>
      </w:pPr>
      <w:r>
        <w:rPr>
          <w:rFonts w:hint="eastAsia" w:ascii="宋体" w:hAnsi="宋体" w:cs="宋体"/>
          <w:kern w:val="0"/>
          <w:szCs w:val="21"/>
        </w:rPr>
        <w:t>7.4以联合体形式参加政府采购活动的，联合体各方不得再单独参加或者与其他</w:t>
      </w:r>
      <w:r>
        <w:rPr>
          <w:rFonts w:hint="eastAsia" w:ascii="宋体" w:hAnsi="宋体" w:cs="宋体"/>
          <w:kern w:val="0"/>
          <w:szCs w:val="21"/>
          <w:lang w:eastAsia="zh-CN"/>
        </w:rPr>
        <w:t>供应商</w:t>
      </w:r>
      <w:r>
        <w:rPr>
          <w:rFonts w:hint="eastAsia" w:ascii="宋体" w:hAnsi="宋体" w:cs="宋体"/>
          <w:kern w:val="0"/>
          <w:szCs w:val="21"/>
        </w:rPr>
        <w:t>另外组成联合体参加同一合同项下的政府采购活动。</w:t>
      </w:r>
    </w:p>
    <w:p w14:paraId="74E0884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8、投标文件的组成</w:t>
      </w:r>
    </w:p>
    <w:p w14:paraId="066461BC">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kern w:val="0"/>
          <w:szCs w:val="21"/>
          <w:lang w:eastAsia="zh-CN"/>
        </w:rPr>
        <w:t>供应商</w:t>
      </w:r>
      <w:r>
        <w:rPr>
          <w:rFonts w:hint="eastAsia" w:ascii="宋体" w:hAnsi="宋体" w:cs="宋体"/>
          <w:kern w:val="0"/>
          <w:szCs w:val="21"/>
        </w:rPr>
        <w:t>应当根据招标文件要求编制投标文件，投标文件应对招标文件提出的要求和条件作出实质性响应，并在《商务条款</w:t>
      </w:r>
      <w:r>
        <w:rPr>
          <w:rFonts w:hint="eastAsia" w:ascii="宋体" w:hAnsi="宋体" w:cs="宋体"/>
          <w:kern w:val="0"/>
          <w:szCs w:val="21"/>
          <w:lang w:val="en-US" w:eastAsia="zh-CN"/>
        </w:rPr>
        <w:t>响应及</w:t>
      </w:r>
      <w:r>
        <w:rPr>
          <w:rFonts w:hint="eastAsia" w:ascii="宋体" w:hAnsi="宋体" w:cs="宋体"/>
          <w:kern w:val="0"/>
          <w:szCs w:val="21"/>
        </w:rPr>
        <w:t>偏离表》和《</w:t>
      </w:r>
      <w:r>
        <w:rPr>
          <w:rFonts w:hint="eastAsia" w:ascii="宋体" w:hAnsi="宋体" w:cs="宋体"/>
          <w:kern w:val="0"/>
          <w:szCs w:val="21"/>
          <w:lang w:val="en-US" w:eastAsia="zh-CN"/>
        </w:rPr>
        <w:t>技术条款响应及</w:t>
      </w:r>
      <w:r>
        <w:rPr>
          <w:rFonts w:hint="eastAsia" w:ascii="宋体" w:hAnsi="宋体" w:cs="宋体"/>
          <w:kern w:val="0"/>
          <w:szCs w:val="21"/>
        </w:rPr>
        <w:t>偏离表》等处逐条标明满足与否。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eastAsia="宋体" w:cs="宋体"/>
          <w:b/>
          <w:bCs/>
          <w:kern w:val="0"/>
          <w:szCs w:val="21"/>
        </w:rPr>
        <w:t>★</w:t>
      </w:r>
      <w:r>
        <w:rPr>
          <w:rFonts w:hint="eastAsia" w:ascii="宋体" w:hAnsi="宋体" w:cs="宋体"/>
          <w:b/>
          <w:bCs/>
          <w:kern w:val="0"/>
          <w:szCs w:val="21"/>
        </w:rPr>
        <w:t>”）的条款必须在投标文件中提供</w:t>
      </w:r>
      <w:r>
        <w:rPr>
          <w:rFonts w:hint="eastAsia" w:ascii="宋体" w:hAnsi="宋体" w:cs="宋体"/>
          <w:b/>
          <w:bCs/>
          <w:kern w:val="0"/>
          <w:szCs w:val="21"/>
          <w:lang w:val="en-US" w:eastAsia="zh-CN"/>
        </w:rPr>
        <w:t>响应材料，否则视为无效投标处理</w:t>
      </w:r>
      <w:r>
        <w:rPr>
          <w:rFonts w:hint="eastAsia" w:ascii="宋体" w:hAnsi="宋体" w:cs="宋体"/>
          <w:b/>
          <w:bCs/>
          <w:kern w:val="0"/>
          <w:szCs w:val="21"/>
        </w:rPr>
        <w:t>。</w:t>
      </w:r>
    </w:p>
    <w:p w14:paraId="66E3245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w:t>
      </w:r>
      <w:r>
        <w:rPr>
          <w:rFonts w:hint="eastAsia" w:ascii="宋体" w:hAnsi="宋体" w:cs="宋体"/>
          <w:kern w:val="0"/>
          <w:szCs w:val="21"/>
          <w:lang w:val="en-US" w:eastAsia="zh-CN"/>
        </w:rPr>
        <w:t>七</w:t>
      </w:r>
      <w:r>
        <w:rPr>
          <w:rFonts w:hint="eastAsia" w:ascii="宋体" w:hAnsi="宋体" w:cs="宋体"/>
          <w:kern w:val="0"/>
          <w:szCs w:val="21"/>
        </w:rPr>
        <w:t>章 投标文件格式及附件”的要求编制。</w:t>
      </w:r>
    </w:p>
    <w:p w14:paraId="0F75A95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9、投标文件的商务内容</w:t>
      </w:r>
    </w:p>
    <w:p w14:paraId="6646443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9.1商务部分内容是证明</w:t>
      </w:r>
      <w:r>
        <w:rPr>
          <w:rFonts w:hint="eastAsia" w:ascii="宋体" w:hAnsi="宋体" w:cs="宋体"/>
          <w:kern w:val="0"/>
          <w:szCs w:val="21"/>
          <w:lang w:eastAsia="zh-CN"/>
        </w:rPr>
        <w:t>供应商</w:t>
      </w:r>
      <w:r>
        <w:rPr>
          <w:rFonts w:hint="eastAsia" w:ascii="宋体" w:hAnsi="宋体" w:cs="宋体"/>
          <w:kern w:val="0"/>
          <w:szCs w:val="21"/>
        </w:rPr>
        <w:t>有资格参加投标和中标后有能力履行合同的文件，这些文件应能满足招标的要求，包括但不限于下列文件：</w:t>
      </w:r>
    </w:p>
    <w:p w14:paraId="5863AF7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（1）投标函（投标申请及声明）；</w:t>
      </w:r>
    </w:p>
    <w:p w14:paraId="48EA5D77">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（2）授权</w:t>
      </w:r>
      <w:r>
        <w:rPr>
          <w:rFonts w:hint="eastAsia" w:ascii="宋体" w:hAnsi="宋体" w:cs="宋体"/>
          <w:kern w:val="0"/>
          <w:szCs w:val="21"/>
          <w:lang w:val="en-US" w:eastAsia="zh-CN"/>
        </w:rPr>
        <w:t>委托</w:t>
      </w:r>
      <w:r>
        <w:rPr>
          <w:rFonts w:hint="eastAsia" w:ascii="宋体" w:hAnsi="宋体" w:cs="宋体"/>
          <w:kern w:val="0"/>
          <w:szCs w:val="21"/>
        </w:rPr>
        <w:t>书；</w:t>
      </w:r>
    </w:p>
    <w:p w14:paraId="02142D2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w:t>
      </w:r>
      <w:r>
        <w:rPr>
          <w:rFonts w:hint="eastAsia" w:ascii="宋体" w:hAnsi="宋体" w:cs="宋体"/>
          <w:kern w:val="0"/>
          <w:szCs w:val="21"/>
          <w:lang w:eastAsia="zh-CN"/>
        </w:rPr>
        <w:t>供应商</w:t>
      </w:r>
      <w:r>
        <w:rPr>
          <w:rFonts w:hint="eastAsia" w:ascii="宋体" w:hAnsi="宋体" w:cs="宋体"/>
          <w:kern w:val="0"/>
          <w:szCs w:val="21"/>
        </w:rPr>
        <w:t>资格证明文件：</w:t>
      </w:r>
    </w:p>
    <w:p w14:paraId="739BC071">
      <w:pPr>
        <w:numPr>
          <w:ilvl w:val="0"/>
          <w:numId w:val="0"/>
        </w:numPr>
        <w:tabs>
          <w:tab w:val="left" w:pos="840"/>
        </w:tabs>
        <w:spacing w:line="360" w:lineRule="auto"/>
        <w:ind w:leftChars="175"/>
        <w:rPr>
          <w:rFonts w:hint="eastAsia" w:ascii="宋体" w:hAnsi="宋体" w:cs="宋体"/>
          <w:b/>
          <w:bCs w:val="0"/>
          <w:szCs w:val="21"/>
        </w:rPr>
      </w:pPr>
      <w:r>
        <w:rPr>
          <w:rFonts w:hint="eastAsia" w:ascii="宋体" w:hAnsi="宋体" w:cs="宋体"/>
          <w:bCs/>
          <w:szCs w:val="21"/>
          <w:lang w:val="en-US" w:eastAsia="zh-CN"/>
        </w:rPr>
        <w:t>1</w:t>
      </w:r>
      <w:r>
        <w:rPr>
          <w:rFonts w:hint="eastAsia" w:ascii="宋体" w:hAnsi="宋体" w:cs="宋体"/>
          <w:bCs/>
          <w:szCs w:val="21"/>
          <w:lang w:eastAsia="zh-CN"/>
        </w:rPr>
        <w:t>）</w:t>
      </w:r>
      <w:r>
        <w:rPr>
          <w:rFonts w:hint="eastAsia" w:ascii="宋体" w:hAnsi="宋体" w:cs="宋体"/>
          <w:bCs/>
          <w:szCs w:val="21"/>
        </w:rPr>
        <w:t>第一章招标公告中满足《中华人民共和国政府采购法》第二十二条规定的资格条件证明文件；</w:t>
      </w:r>
      <w:r>
        <w:rPr>
          <w:rFonts w:hint="eastAsia" w:ascii="宋体" w:hAnsi="宋体" w:cs="宋体"/>
          <w:b/>
          <w:bCs w:val="0"/>
          <w:szCs w:val="21"/>
          <w:lang w:val="en-US" w:eastAsia="zh-CN"/>
        </w:rPr>
        <w:t xml:space="preserve"> </w:t>
      </w:r>
    </w:p>
    <w:p w14:paraId="1E310D62">
      <w:pPr>
        <w:numPr>
          <w:ilvl w:val="0"/>
          <w:numId w:val="4"/>
        </w:numPr>
        <w:tabs>
          <w:tab w:val="left" w:pos="840"/>
        </w:tabs>
        <w:spacing w:line="360" w:lineRule="auto"/>
        <w:ind w:leftChars="175"/>
        <w:rPr>
          <w:rFonts w:hint="eastAsia" w:ascii="宋体" w:hAnsi="宋体" w:cs="宋体"/>
          <w:bCs/>
          <w:szCs w:val="21"/>
        </w:rPr>
      </w:pPr>
      <w:r>
        <w:rPr>
          <w:rFonts w:hint="eastAsia" w:ascii="宋体" w:hAnsi="宋体" w:cs="宋体"/>
          <w:bCs/>
          <w:szCs w:val="21"/>
        </w:rPr>
        <w:t>第一章招标公告中</w:t>
      </w:r>
      <w:r>
        <w:rPr>
          <w:rFonts w:hint="eastAsia" w:ascii="宋体" w:hAnsi="宋体" w:eastAsia="宋体" w:cs="宋体"/>
          <w:b w:val="0"/>
          <w:bCs/>
          <w:spacing w:val="8"/>
          <w:kern w:val="0"/>
          <w:sz w:val="21"/>
          <w:szCs w:val="21"/>
          <w:lang w:val="en-US" w:eastAsia="zh-CN" w:bidi="ar-SA"/>
        </w:rPr>
        <w:t>落实政府采购政策需满足的资格要求</w:t>
      </w:r>
      <w:r>
        <w:rPr>
          <w:rFonts w:hint="eastAsia" w:ascii="宋体" w:hAnsi="宋体" w:cs="宋体"/>
          <w:bCs/>
          <w:szCs w:val="21"/>
        </w:rPr>
        <w:t>证明文件；</w:t>
      </w:r>
    </w:p>
    <w:p w14:paraId="5C73FC1B">
      <w:pPr>
        <w:numPr>
          <w:ilvl w:val="0"/>
          <w:numId w:val="4"/>
        </w:numPr>
        <w:tabs>
          <w:tab w:val="left" w:pos="840"/>
        </w:tabs>
        <w:spacing w:line="360" w:lineRule="auto"/>
        <w:ind w:leftChars="175"/>
        <w:rPr>
          <w:rFonts w:hint="eastAsia" w:ascii="宋体" w:hAnsi="宋体" w:cs="宋体"/>
          <w:bCs/>
          <w:szCs w:val="21"/>
        </w:rPr>
      </w:pPr>
      <w:r>
        <w:rPr>
          <w:rFonts w:hint="eastAsia" w:ascii="宋体" w:hAnsi="宋体" w:cs="宋体"/>
          <w:bCs/>
          <w:szCs w:val="21"/>
        </w:rPr>
        <w:t>第一章招标公告中</w:t>
      </w:r>
      <w:r>
        <w:rPr>
          <w:rFonts w:hint="eastAsia" w:ascii="宋体" w:hAnsi="宋体" w:eastAsia="宋体" w:cs="宋体"/>
          <w:sz w:val="21"/>
          <w:szCs w:val="21"/>
          <w:lang w:eastAsia="zh-CN"/>
        </w:rPr>
        <w:t>采购人根据采购项目的特殊要求规定的特定条件</w:t>
      </w:r>
      <w:r>
        <w:rPr>
          <w:rFonts w:hint="eastAsia" w:ascii="宋体" w:hAnsi="宋体" w:cs="宋体"/>
          <w:bCs/>
          <w:szCs w:val="21"/>
        </w:rPr>
        <w:t>证明文件</w:t>
      </w:r>
      <w:r>
        <w:rPr>
          <w:rFonts w:hint="eastAsia" w:ascii="宋体" w:hAnsi="宋体" w:cs="宋体"/>
          <w:bCs/>
          <w:szCs w:val="21"/>
          <w:lang w:eastAsia="zh-CN"/>
        </w:rPr>
        <w:t>；</w:t>
      </w:r>
    </w:p>
    <w:p w14:paraId="7A251FD3">
      <w:pPr>
        <w:numPr>
          <w:ilvl w:val="0"/>
          <w:numId w:val="0"/>
        </w:numPr>
        <w:tabs>
          <w:tab w:val="left" w:pos="840"/>
        </w:tabs>
        <w:spacing w:line="360" w:lineRule="auto"/>
        <w:ind w:leftChars="175"/>
        <w:rPr>
          <w:rFonts w:hint="eastAsia" w:ascii="宋体" w:hAnsi="宋体" w:cs="宋体"/>
          <w:bCs/>
          <w:szCs w:val="21"/>
        </w:rPr>
      </w:pPr>
      <w:r>
        <w:rPr>
          <w:rFonts w:hint="eastAsia" w:ascii="宋体" w:hAnsi="宋体" w:cs="宋体"/>
          <w:bCs/>
          <w:szCs w:val="21"/>
        </w:rPr>
        <w:t>第一章招标公告中</w:t>
      </w:r>
      <w:r>
        <w:rPr>
          <w:rFonts w:hint="eastAsia" w:ascii="宋体" w:hAnsi="宋体" w:eastAsia="宋体" w:cs="宋体"/>
          <w:sz w:val="21"/>
          <w:szCs w:val="21"/>
          <w:lang w:eastAsia="zh-CN"/>
        </w:rPr>
        <w:t>提供《南京市政府采购供应商信用记录表暨信用承诺书》</w:t>
      </w:r>
      <w:r>
        <w:rPr>
          <w:rFonts w:hint="eastAsia" w:ascii="宋体" w:hAnsi="宋体" w:eastAsia="宋体" w:cs="宋体"/>
          <w:sz w:val="21"/>
          <w:szCs w:val="21"/>
          <w:lang w:val="en-US" w:eastAsia="zh-CN"/>
        </w:rPr>
        <w:t>（提供在采购文件发布之日起至递交投标文件截止日前下载的，且经法定代表人签字并加盖单位公章的材料）</w:t>
      </w:r>
      <w:r>
        <w:rPr>
          <w:rFonts w:hint="eastAsia" w:ascii="宋体" w:hAnsi="宋体" w:cs="宋体"/>
          <w:sz w:val="21"/>
          <w:szCs w:val="21"/>
          <w:lang w:val="en-US" w:eastAsia="zh-CN"/>
        </w:rPr>
        <w:t>；</w:t>
      </w:r>
    </w:p>
    <w:p w14:paraId="66ADDA6E">
      <w:pPr>
        <w:numPr>
          <w:ilvl w:val="0"/>
          <w:numId w:val="0"/>
        </w:numPr>
        <w:tabs>
          <w:tab w:val="left" w:pos="840"/>
        </w:tabs>
        <w:spacing w:line="360" w:lineRule="auto"/>
        <w:ind w:leftChars="175"/>
        <w:rPr>
          <w:rFonts w:hint="eastAsia" w:ascii="宋体" w:hAnsi="宋体" w:eastAsia="宋体" w:cs="宋体"/>
          <w:bCs/>
          <w:szCs w:val="21"/>
          <w:lang w:eastAsia="zh-CN"/>
        </w:rPr>
      </w:pPr>
      <w:r>
        <w:rPr>
          <w:rFonts w:hint="eastAsia" w:ascii="宋体" w:hAnsi="宋体" w:cs="宋体"/>
          <w:bCs/>
          <w:szCs w:val="21"/>
          <w:lang w:val="en-US" w:eastAsia="zh-CN"/>
        </w:rPr>
        <w:t>4）</w:t>
      </w:r>
      <w:r>
        <w:rPr>
          <w:rFonts w:hint="eastAsia" w:ascii="宋体" w:hAnsi="宋体" w:cs="宋体"/>
          <w:bCs/>
          <w:szCs w:val="21"/>
        </w:rPr>
        <w:t>第一章招标公告中</w:t>
      </w:r>
      <w:r>
        <w:rPr>
          <w:rFonts w:hint="eastAsia" w:ascii="宋体" w:hAnsi="宋体" w:eastAsia="宋体" w:cs="宋体"/>
          <w:sz w:val="21"/>
          <w:szCs w:val="21"/>
          <w:lang w:eastAsia="zh-CN"/>
        </w:rPr>
        <w:t>拒绝下述供应商参加本次招标活动</w:t>
      </w:r>
      <w:r>
        <w:rPr>
          <w:rFonts w:hint="eastAsia" w:ascii="宋体" w:hAnsi="宋体" w:cs="宋体"/>
          <w:bCs/>
          <w:szCs w:val="21"/>
        </w:rPr>
        <w:t>证明文件</w:t>
      </w:r>
      <w:r>
        <w:rPr>
          <w:rFonts w:hint="eastAsia" w:ascii="宋体" w:hAnsi="宋体" w:cs="宋体"/>
          <w:bCs/>
          <w:szCs w:val="21"/>
          <w:lang w:eastAsia="zh-CN"/>
        </w:rPr>
        <w:t>。</w:t>
      </w:r>
    </w:p>
    <w:p w14:paraId="3E396B25">
      <w:pPr>
        <w:widowControl/>
        <w:shd w:val="clear" w:color="auto" w:fill="FFFFFF"/>
        <w:spacing w:line="360" w:lineRule="auto"/>
        <w:ind w:firstLine="420"/>
        <w:jc w:val="left"/>
        <w:rPr>
          <w:rFonts w:hint="eastAsia" w:ascii="宋体" w:hAnsi="宋体" w:eastAsia="宋体" w:cs="宋体"/>
          <w:kern w:val="0"/>
          <w:szCs w:val="21"/>
          <w:lang w:eastAsia="zh-CN"/>
        </w:rPr>
      </w:pPr>
      <w:r>
        <w:rPr>
          <w:rFonts w:hint="eastAsia" w:ascii="宋体" w:hAnsi="宋体" w:cs="宋体"/>
          <w:kern w:val="0"/>
          <w:szCs w:val="21"/>
        </w:rPr>
        <w:t>（4）开标一览表及附表；</w:t>
      </w:r>
      <w:r>
        <w:rPr>
          <w:rFonts w:hint="eastAsia" w:ascii="宋体" w:hAnsi="宋体" w:cs="宋体"/>
          <w:kern w:val="0"/>
          <w:szCs w:val="21"/>
          <w:lang w:eastAsia="zh-CN"/>
        </w:rPr>
        <w:t>（</w:t>
      </w:r>
      <w:r>
        <w:rPr>
          <w:rFonts w:hint="eastAsia" w:ascii="宋体" w:hAnsi="宋体" w:cs="宋体"/>
          <w:kern w:val="0"/>
          <w:szCs w:val="21"/>
          <w:lang w:val="en-US" w:eastAsia="zh-CN"/>
        </w:rPr>
        <w:t>报价表</w:t>
      </w:r>
      <w:r>
        <w:rPr>
          <w:rFonts w:hint="eastAsia" w:ascii="宋体" w:hAnsi="宋体" w:cs="宋体"/>
          <w:kern w:val="0"/>
          <w:szCs w:val="21"/>
          <w:lang w:eastAsia="zh-CN"/>
        </w:rPr>
        <w:t>）</w:t>
      </w:r>
    </w:p>
    <w:p w14:paraId="1AF6525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（5）《商务条款</w:t>
      </w:r>
      <w:r>
        <w:rPr>
          <w:rFonts w:hint="eastAsia" w:ascii="宋体" w:hAnsi="宋体" w:cs="宋体"/>
          <w:kern w:val="0"/>
          <w:szCs w:val="21"/>
          <w:lang w:val="en-US" w:eastAsia="zh-CN"/>
        </w:rPr>
        <w:t>响应及</w:t>
      </w:r>
      <w:r>
        <w:rPr>
          <w:rFonts w:hint="eastAsia" w:ascii="宋体" w:hAnsi="宋体" w:cs="宋体"/>
          <w:kern w:val="0"/>
          <w:szCs w:val="21"/>
        </w:rPr>
        <w:t>偏离表》；</w:t>
      </w:r>
    </w:p>
    <w:p w14:paraId="1093F02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（6）第三章评标标准中对应的所需证明材料（如有自行添加）；</w:t>
      </w:r>
    </w:p>
    <w:p w14:paraId="128E4DD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（7）要求采购人提供的配合（如有自拟并自行添加）；</w:t>
      </w:r>
    </w:p>
    <w:p w14:paraId="27397C3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（8）其他（</w:t>
      </w:r>
      <w:r>
        <w:rPr>
          <w:rFonts w:hint="eastAsia" w:ascii="宋体" w:hAnsi="宋体" w:cs="宋体"/>
          <w:kern w:val="0"/>
          <w:szCs w:val="21"/>
          <w:lang w:eastAsia="zh-CN"/>
        </w:rPr>
        <w:t>供应商</w:t>
      </w:r>
      <w:r>
        <w:rPr>
          <w:rFonts w:hint="eastAsia" w:ascii="宋体" w:hAnsi="宋体" w:cs="宋体"/>
          <w:kern w:val="0"/>
          <w:szCs w:val="21"/>
        </w:rPr>
        <w:t>认为有必要提供的声明和文件，如有，自行拟定并添加）。</w:t>
      </w:r>
    </w:p>
    <w:p w14:paraId="2BFA10C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10、投标文件的技术内容</w:t>
      </w:r>
    </w:p>
    <w:p w14:paraId="67203BC5">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lang w:eastAsia="zh-CN"/>
        </w:rPr>
        <w:t>供应商</w:t>
      </w:r>
      <w:r>
        <w:rPr>
          <w:rFonts w:hint="eastAsia" w:ascii="宋体" w:hAnsi="宋体" w:cs="宋体"/>
          <w:szCs w:val="21"/>
        </w:rPr>
        <w:t>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w:t>
      </w:r>
      <w:r>
        <w:rPr>
          <w:rFonts w:hint="eastAsia" w:ascii="宋体" w:hAnsi="宋体" w:cs="宋体"/>
          <w:szCs w:val="21"/>
          <w:lang w:val="en-US" w:eastAsia="zh-CN"/>
        </w:rPr>
        <w:t>招标文件中有明确要求的除外</w:t>
      </w:r>
      <w:r>
        <w:rPr>
          <w:rFonts w:hint="eastAsia" w:ascii="宋体" w:hAnsi="宋体" w:cs="宋体"/>
          <w:szCs w:val="21"/>
          <w:lang w:val="zh-CN"/>
        </w:rPr>
        <w:t>）。提供的货物和服务如与招标文件要求有不符之处，应说明其差别之所在。包括但不限于下列文件：</w:t>
      </w:r>
    </w:p>
    <w:p w14:paraId="47D82990">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14:paraId="12B15B5D">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w:t>
      </w:r>
      <w:r>
        <w:rPr>
          <w:rFonts w:hint="eastAsia" w:ascii="宋体" w:hAnsi="宋体" w:cs="宋体"/>
          <w:kern w:val="0"/>
          <w:szCs w:val="21"/>
          <w:lang w:val="en-US" w:eastAsia="zh-CN"/>
        </w:rPr>
        <w:t>技术条款响应及</w:t>
      </w:r>
      <w:r>
        <w:rPr>
          <w:rFonts w:hint="eastAsia" w:ascii="宋体" w:hAnsi="宋体" w:cs="宋体"/>
          <w:kern w:val="0"/>
          <w:szCs w:val="21"/>
        </w:rPr>
        <w:t>偏离表</w:t>
      </w:r>
      <w:r>
        <w:rPr>
          <w:rFonts w:hint="eastAsia" w:ascii="宋体" w:hAnsi="宋体" w:cs="宋体"/>
          <w:kern w:val="0"/>
          <w:szCs w:val="21"/>
          <w:lang w:val="zh-CN"/>
        </w:rPr>
        <w:t>》；</w:t>
      </w:r>
    </w:p>
    <w:p w14:paraId="64CCB705">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14:paraId="0B1AD6C5">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（4）供应商拟投入本项目的设备、人员情况一览表；</w:t>
      </w:r>
    </w:p>
    <w:p w14:paraId="738DD3C5">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（5）供应商认为需要提供的其他技术资料。</w:t>
      </w:r>
    </w:p>
    <w:p w14:paraId="5ADF37B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14:paraId="0C0729B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11.1价格部分内容是对采购标的价格构成的说明，招标文件如无特别说明，每一项服务仅接受一个价格。</w:t>
      </w:r>
    </w:p>
    <w:p w14:paraId="64E04F5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w:t>
      </w:r>
      <w:r>
        <w:rPr>
          <w:rFonts w:hint="eastAsia" w:ascii="宋体" w:hAnsi="宋体" w:cs="宋体"/>
          <w:kern w:val="0"/>
          <w:szCs w:val="21"/>
          <w:lang w:val="en-US" w:eastAsia="zh-CN"/>
        </w:rPr>
        <w:t>内容</w:t>
      </w:r>
      <w:r>
        <w:rPr>
          <w:rFonts w:hint="eastAsia" w:ascii="宋体" w:hAnsi="宋体" w:cs="宋体"/>
          <w:kern w:val="0"/>
          <w:szCs w:val="21"/>
        </w:rPr>
        <w:t>的全部含税费用</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w:t>
      </w:r>
      <w:r>
        <w:rPr>
          <w:rFonts w:hint="eastAsia" w:ascii="宋体" w:hAnsi="宋体" w:cs="宋体"/>
          <w:szCs w:val="21"/>
          <w:lang w:eastAsia="zh-CN"/>
        </w:rPr>
        <w:t>供应商</w:t>
      </w:r>
      <w:r>
        <w:rPr>
          <w:rFonts w:hint="eastAsia" w:ascii="宋体" w:hAnsi="宋体" w:cs="宋体"/>
          <w:szCs w:val="21"/>
        </w:rPr>
        <w:t>认为需要的其他费用等</w:t>
      </w:r>
      <w:r>
        <w:rPr>
          <w:rFonts w:hint="eastAsia" w:ascii="宋体" w:hAnsi="宋体" w:cs="宋体"/>
          <w:b/>
          <w:szCs w:val="21"/>
        </w:rPr>
        <w:t>。</w:t>
      </w:r>
    </w:p>
    <w:p w14:paraId="0B438EA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w:t>
      </w:r>
      <w:r>
        <w:rPr>
          <w:rFonts w:hint="eastAsia" w:ascii="宋体" w:hAnsi="宋体" w:cs="宋体"/>
          <w:kern w:val="0"/>
          <w:szCs w:val="21"/>
          <w:lang w:eastAsia="zh-CN"/>
        </w:rPr>
        <w:t>供应商</w:t>
      </w:r>
      <w:r>
        <w:rPr>
          <w:rFonts w:hint="eastAsia" w:ascii="宋体" w:hAnsi="宋体" w:cs="宋体"/>
          <w:kern w:val="0"/>
          <w:szCs w:val="21"/>
        </w:rPr>
        <w:t>的任何错漏、优惠、竞争性报价不得作为减轻责任、减少服务、增加收费、降低质量的理由。</w:t>
      </w:r>
    </w:p>
    <w:p w14:paraId="39D59D5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11.4评标委员会认为</w:t>
      </w:r>
      <w:r>
        <w:rPr>
          <w:rFonts w:hint="eastAsia" w:ascii="宋体" w:hAnsi="宋体" w:cs="宋体"/>
          <w:kern w:val="0"/>
          <w:szCs w:val="21"/>
          <w:lang w:eastAsia="zh-CN"/>
        </w:rPr>
        <w:t>供应商</w:t>
      </w:r>
      <w:r>
        <w:rPr>
          <w:rFonts w:hint="eastAsia" w:ascii="宋体" w:hAnsi="宋体" w:cs="宋体"/>
          <w:kern w:val="0"/>
          <w:szCs w:val="21"/>
        </w:rPr>
        <w:t>的报价明显低于其他通过符合性审查的</w:t>
      </w:r>
      <w:r>
        <w:rPr>
          <w:rFonts w:hint="eastAsia" w:ascii="宋体" w:hAnsi="宋体" w:cs="宋体"/>
          <w:kern w:val="0"/>
          <w:szCs w:val="21"/>
          <w:lang w:eastAsia="zh-CN"/>
        </w:rPr>
        <w:t>供应商</w:t>
      </w:r>
      <w:r>
        <w:rPr>
          <w:rFonts w:hint="eastAsia" w:ascii="宋体" w:hAnsi="宋体" w:cs="宋体"/>
          <w:kern w:val="0"/>
          <w:szCs w:val="21"/>
        </w:rPr>
        <w:t>的报价，有可能影响产品质量或者不能诚信履约的，应当要求其在评标合理的时间内提供书面说明，必要时提交相关证明材料；</w:t>
      </w:r>
      <w:r>
        <w:rPr>
          <w:rFonts w:hint="eastAsia" w:ascii="宋体" w:hAnsi="宋体" w:cs="宋体"/>
          <w:kern w:val="0"/>
          <w:szCs w:val="21"/>
          <w:lang w:eastAsia="zh-CN"/>
        </w:rPr>
        <w:t>供应商</w:t>
      </w:r>
      <w:r>
        <w:rPr>
          <w:rFonts w:hint="eastAsia" w:ascii="宋体" w:hAnsi="宋体" w:cs="宋体"/>
          <w:kern w:val="0"/>
          <w:szCs w:val="21"/>
        </w:rPr>
        <w:t>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6B28CC4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 xml:space="preserve">11.5 </w:t>
      </w:r>
      <w:r>
        <w:rPr>
          <w:rFonts w:hint="eastAsia" w:ascii="宋体" w:hAnsi="宋体" w:cs="宋体"/>
          <w:kern w:val="0"/>
          <w:szCs w:val="21"/>
          <w:lang w:eastAsia="zh-CN"/>
        </w:rPr>
        <w:t>供应商</w:t>
      </w:r>
      <w:r>
        <w:rPr>
          <w:rFonts w:hint="eastAsia" w:ascii="宋体" w:hAnsi="宋体" w:cs="宋体"/>
          <w:kern w:val="0"/>
          <w:szCs w:val="21"/>
        </w:rPr>
        <w:t>应在《开标一览表》《分项报价表》等标明投标货物和服务的单价、总价以及分项报价等。</w:t>
      </w:r>
    </w:p>
    <w:p w14:paraId="2A1EFEE1">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kern w:val="0"/>
          <w:szCs w:val="21"/>
        </w:rPr>
        <w:t>11.6 对于采用货币报价的项目，开标一览表中的投标总报价应与投标报价明细表中的投标总报价一致，如不一致不作为无效投标处理，评标时以开标一览表中价格为准。</w:t>
      </w:r>
    </w:p>
    <w:p w14:paraId="49591A9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14:paraId="2E70EE7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w:t>
      </w:r>
      <w:r>
        <w:rPr>
          <w:rFonts w:hint="eastAsia" w:ascii="宋体" w:hAnsi="宋体" w:cs="宋体"/>
          <w:kern w:val="0"/>
          <w:szCs w:val="21"/>
          <w:lang w:eastAsia="zh-CN"/>
        </w:rPr>
        <w:t>供应商</w:t>
      </w:r>
      <w:r>
        <w:rPr>
          <w:rFonts w:hint="eastAsia" w:ascii="宋体" w:hAnsi="宋体" w:cs="宋体"/>
          <w:kern w:val="0"/>
          <w:szCs w:val="21"/>
        </w:rPr>
        <w:t>根据编制投标文件需要提供的其他相关文件组成。</w:t>
      </w:r>
    </w:p>
    <w:p w14:paraId="2F49E2EF">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w:t>
      </w:r>
      <w:r>
        <w:rPr>
          <w:rFonts w:hint="eastAsia" w:ascii="Arial" w:hAnsi="Arial"/>
          <w:color w:val="000000"/>
          <w:szCs w:val="21"/>
          <w:lang w:val="en-US" w:eastAsia="zh-CN"/>
        </w:rPr>
        <w:t>网</w:t>
      </w:r>
      <w:r>
        <w:rPr>
          <w:rFonts w:hint="eastAsia" w:ascii="Arial" w:hAnsi="Arial"/>
          <w:color w:val="000000"/>
          <w:szCs w:val="21"/>
          <w:lang w:val="zh-CN"/>
        </w:rPr>
        <w:t>发布的</w:t>
      </w:r>
      <w:r>
        <w:rPr>
          <w:rFonts w:hint="eastAsia" w:ascii="Arial" w:hAnsi="Arial"/>
          <w:color w:val="000000"/>
          <w:szCs w:val="21"/>
          <w:lang w:val="en-US" w:eastAsia="zh-CN"/>
        </w:rPr>
        <w:t>招标</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发布的招标文件为准。</w:t>
      </w:r>
    </w:p>
    <w:p w14:paraId="1927F674">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14:paraId="37EDFD0E">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14:paraId="2BE4125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1B6AC7D4">
      <w:pPr>
        <w:widowControl/>
        <w:shd w:val="clear" w:color="auto" w:fill="FFFFFF"/>
        <w:spacing w:line="360" w:lineRule="auto"/>
        <w:ind w:firstLine="420"/>
        <w:rPr>
          <w:rFonts w:hint="eastAsia" w:ascii="宋体" w:hAnsi="宋体" w:cs="宋体"/>
          <w:kern w:val="0"/>
          <w:szCs w:val="21"/>
          <w:lang w:eastAsia="zh-CN"/>
        </w:rPr>
      </w:pPr>
      <w:r>
        <w:rPr>
          <w:rFonts w:hint="eastAsia" w:ascii="宋体" w:hAnsi="宋体" w:cs="宋体"/>
          <w:kern w:val="0"/>
          <w:szCs w:val="21"/>
        </w:rPr>
        <w:t>14.2 特殊情况下，在原投标有效期截止之前，采购代理机构可要求</w:t>
      </w:r>
      <w:r>
        <w:rPr>
          <w:rFonts w:hint="eastAsia" w:ascii="宋体" w:hAnsi="宋体" w:cs="宋体"/>
          <w:kern w:val="0"/>
          <w:szCs w:val="21"/>
          <w:lang w:eastAsia="zh-CN"/>
        </w:rPr>
        <w:t>供应商</w:t>
      </w:r>
      <w:r>
        <w:rPr>
          <w:rFonts w:hint="eastAsia" w:ascii="宋体" w:hAnsi="宋体" w:cs="宋体"/>
          <w:kern w:val="0"/>
          <w:szCs w:val="21"/>
        </w:rPr>
        <w:t>同意延长投标有效期，这种要求与答复均应以书面形式提交。</w:t>
      </w:r>
      <w:r>
        <w:rPr>
          <w:rFonts w:hint="eastAsia" w:ascii="宋体" w:hAnsi="宋体" w:cs="宋体"/>
          <w:kern w:val="0"/>
          <w:szCs w:val="21"/>
          <w:lang w:eastAsia="zh-CN"/>
        </w:rPr>
        <w:t>供应商</w:t>
      </w:r>
      <w:r>
        <w:rPr>
          <w:rFonts w:hint="eastAsia" w:ascii="宋体" w:hAnsi="宋体" w:cs="宋体"/>
          <w:kern w:val="0"/>
          <w:szCs w:val="21"/>
        </w:rPr>
        <w:t>可拒绝这种要求</w:t>
      </w:r>
      <w:r>
        <w:rPr>
          <w:rFonts w:hint="eastAsia" w:ascii="宋体" w:hAnsi="宋体" w:cs="宋体"/>
          <w:kern w:val="0"/>
          <w:szCs w:val="21"/>
          <w:lang w:eastAsia="zh-CN"/>
        </w:rPr>
        <w:t>，</w:t>
      </w:r>
      <w:r>
        <w:rPr>
          <w:rFonts w:hint="eastAsia" w:ascii="宋体" w:hAnsi="宋体" w:cs="宋体"/>
          <w:kern w:val="0"/>
          <w:szCs w:val="21"/>
        </w:rPr>
        <w:t>接受延长投标有效期的</w:t>
      </w:r>
      <w:r>
        <w:rPr>
          <w:rFonts w:hint="eastAsia" w:ascii="宋体" w:hAnsi="宋体" w:cs="宋体"/>
          <w:kern w:val="0"/>
          <w:szCs w:val="21"/>
          <w:lang w:eastAsia="zh-CN"/>
        </w:rPr>
        <w:t>供应商</w:t>
      </w:r>
      <w:r>
        <w:rPr>
          <w:rFonts w:hint="eastAsia" w:ascii="宋体" w:hAnsi="宋体" w:cs="宋体"/>
          <w:kern w:val="0"/>
          <w:szCs w:val="21"/>
        </w:rPr>
        <w:t>将不会要求和允许修正其投标</w:t>
      </w:r>
      <w:r>
        <w:rPr>
          <w:rFonts w:hint="eastAsia" w:ascii="宋体" w:hAnsi="宋体" w:cs="宋体"/>
          <w:kern w:val="0"/>
          <w:szCs w:val="21"/>
          <w:lang w:eastAsia="zh-CN"/>
        </w:rPr>
        <w:t>。</w:t>
      </w:r>
    </w:p>
    <w:p w14:paraId="09F508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22B4D0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w:t>
      </w:r>
      <w:r>
        <w:rPr>
          <w:rFonts w:hint="eastAsia" w:ascii="宋体" w:hAnsi="宋体" w:cs="宋体"/>
          <w:kern w:val="0"/>
          <w:szCs w:val="21"/>
          <w:highlight w:val="none"/>
          <w:lang w:eastAsia="zh-CN"/>
        </w:rPr>
        <w:t>电子公章</w:t>
      </w:r>
      <w:r>
        <w:rPr>
          <w:rFonts w:hint="eastAsia" w:ascii="宋体" w:hAnsi="宋体" w:cs="宋体"/>
          <w:kern w:val="0"/>
          <w:szCs w:val="21"/>
          <w:highlight w:val="none"/>
        </w:rPr>
        <w:t>，否则视为无效投标。</w:t>
      </w:r>
    </w:p>
    <w:p w14:paraId="0093CE5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02F6203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 xml:space="preserve">16.1 </w:t>
      </w:r>
      <w:r>
        <w:rPr>
          <w:rFonts w:hint="eastAsia" w:ascii="宋体" w:hAnsi="宋体" w:cs="宋体"/>
          <w:kern w:val="0"/>
          <w:szCs w:val="21"/>
          <w:highlight w:val="none"/>
          <w:lang w:eastAsia="zh-CN"/>
        </w:rPr>
        <w:t>供应商</w:t>
      </w:r>
      <w:r>
        <w:rPr>
          <w:rFonts w:hint="eastAsia" w:ascii="宋体" w:hAnsi="宋体" w:cs="宋体"/>
          <w:kern w:val="0"/>
          <w:szCs w:val="21"/>
          <w:highlight w:val="none"/>
        </w:rPr>
        <w:t>应承担所有与准备和参加投标有关的费用，无论招标结果如何，采购代理机构和采购人在任何情况下均无义务和责任承担这些费用。</w:t>
      </w:r>
    </w:p>
    <w:p w14:paraId="7E9D6160">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16.2 招标代理服务费：本次招标代理服务费以中标价为基数，按照苏招协[2022]002号文关于印发《江苏省招标代理服务收费的指导意见》的通知收取，由中标供应商支付。</w:t>
      </w:r>
    </w:p>
    <w:p w14:paraId="2B268B0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15FE527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6B73ED4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 xml:space="preserve">17.1 </w:t>
      </w:r>
      <w:r>
        <w:rPr>
          <w:rFonts w:hint="eastAsia" w:ascii="宋体" w:hAnsi="宋体" w:cs="宋体"/>
          <w:kern w:val="0"/>
          <w:szCs w:val="21"/>
          <w:lang w:eastAsia="zh-CN"/>
        </w:rPr>
        <w:t>供应商</w:t>
      </w:r>
      <w:r>
        <w:rPr>
          <w:rFonts w:hint="eastAsia" w:ascii="宋体" w:hAnsi="宋体" w:cs="宋体"/>
          <w:kern w:val="0"/>
          <w:szCs w:val="21"/>
        </w:rPr>
        <w:t>应当按照《操作手册》规定，在招标公告规定的投标截止时间前制作并上传电子投标文件。</w:t>
      </w:r>
      <w:r>
        <w:rPr>
          <w:rFonts w:hint="eastAsia" w:ascii="宋体" w:hAnsi="宋体" w:cs="宋体"/>
          <w:kern w:val="0"/>
          <w:szCs w:val="21"/>
          <w:lang w:eastAsia="zh-CN"/>
        </w:rPr>
        <w:t>采购代理机构</w:t>
      </w:r>
      <w:r>
        <w:rPr>
          <w:rFonts w:hint="eastAsia" w:ascii="宋体" w:hAnsi="宋体" w:cs="宋体"/>
          <w:kern w:val="0"/>
          <w:szCs w:val="21"/>
        </w:rPr>
        <w:t>拒绝接收提交投标文件截止时间后上传的任何电子投标文件。</w:t>
      </w:r>
    </w:p>
    <w:p w14:paraId="50FCB69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14:paraId="30E66C8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 xml:space="preserve">18.1 </w:t>
      </w:r>
      <w:r>
        <w:rPr>
          <w:rFonts w:hint="eastAsia" w:ascii="宋体" w:hAnsi="宋体" w:cs="宋体"/>
          <w:kern w:val="0"/>
          <w:szCs w:val="21"/>
          <w:lang w:eastAsia="zh-CN"/>
        </w:rPr>
        <w:t>供应商</w:t>
      </w:r>
      <w:r>
        <w:rPr>
          <w:rFonts w:hint="eastAsia" w:ascii="宋体" w:hAnsi="宋体" w:cs="宋体"/>
          <w:kern w:val="0"/>
          <w:szCs w:val="21"/>
        </w:rPr>
        <w:t>应当按照《操作手册》规定，在“苏采云”系统规定的时间内对投标文件进行解密。</w:t>
      </w:r>
    </w:p>
    <w:p w14:paraId="21216CB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 xml:space="preserve">18.3 </w:t>
      </w:r>
      <w:r>
        <w:rPr>
          <w:rFonts w:hint="eastAsia" w:ascii="宋体" w:hAnsi="宋体" w:cs="宋体"/>
          <w:kern w:val="0"/>
          <w:szCs w:val="21"/>
          <w:lang w:eastAsia="zh-CN"/>
        </w:rPr>
        <w:t>供应商</w:t>
      </w:r>
      <w:r>
        <w:rPr>
          <w:rFonts w:hint="eastAsia" w:ascii="宋体" w:hAnsi="宋体" w:cs="宋体"/>
          <w:kern w:val="0"/>
          <w:szCs w:val="21"/>
        </w:rPr>
        <w:t>应充分考虑网络环境、网络带宽等因素可能对投标产生的影响，如因</w:t>
      </w:r>
      <w:r>
        <w:rPr>
          <w:rFonts w:hint="eastAsia" w:ascii="宋体" w:hAnsi="宋体" w:cs="宋体"/>
          <w:kern w:val="0"/>
          <w:szCs w:val="21"/>
          <w:lang w:eastAsia="zh-CN"/>
        </w:rPr>
        <w:t>供应商</w:t>
      </w:r>
      <w:r>
        <w:rPr>
          <w:rFonts w:hint="eastAsia" w:ascii="宋体" w:hAnsi="宋体" w:cs="宋体"/>
          <w:kern w:val="0"/>
          <w:szCs w:val="21"/>
        </w:rPr>
        <w:t>自身原因造成的电子投标文件解密不成功的，做无效投标处理。</w:t>
      </w:r>
    </w:p>
    <w:p w14:paraId="614031C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14:paraId="05C1EF6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w:t>
      </w:r>
      <w:r>
        <w:rPr>
          <w:rFonts w:hint="eastAsia" w:ascii="宋体" w:hAnsi="宋体" w:cs="宋体"/>
          <w:kern w:val="0"/>
          <w:szCs w:val="21"/>
          <w:lang w:eastAsia="zh-CN"/>
        </w:rPr>
        <w:t>供应商</w:t>
      </w:r>
      <w:r>
        <w:rPr>
          <w:rFonts w:hint="eastAsia" w:ascii="宋体" w:hAnsi="宋体" w:cs="宋体"/>
          <w:kern w:val="0"/>
          <w:szCs w:val="21"/>
        </w:rPr>
        <w:t>在投标截止时间前，可以对所递交的投标文件进行补充、修改或者撤回。</w:t>
      </w:r>
    </w:p>
    <w:p w14:paraId="386AA01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w:t>
      </w:r>
    </w:p>
    <w:p w14:paraId="5C7BF77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14:paraId="58F7505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w:t>
      </w:r>
      <w:r>
        <w:rPr>
          <w:rFonts w:hint="eastAsia" w:ascii="宋体" w:hAnsi="宋体" w:cs="宋体"/>
          <w:kern w:val="0"/>
          <w:szCs w:val="21"/>
          <w:lang w:eastAsia="zh-CN"/>
        </w:rPr>
        <w:t>供应商</w:t>
      </w:r>
      <w:r>
        <w:rPr>
          <w:rFonts w:hint="eastAsia" w:ascii="宋体" w:hAnsi="宋体" w:cs="宋体"/>
          <w:kern w:val="0"/>
          <w:szCs w:val="21"/>
        </w:rPr>
        <w:t>应当遵循公平竞争的原则，不得恶意串通，不得妨碍其他</w:t>
      </w:r>
      <w:r>
        <w:rPr>
          <w:rFonts w:hint="eastAsia" w:ascii="宋体" w:hAnsi="宋体" w:cs="宋体"/>
          <w:kern w:val="0"/>
          <w:szCs w:val="21"/>
          <w:lang w:eastAsia="zh-CN"/>
        </w:rPr>
        <w:t>供应商</w:t>
      </w:r>
      <w:r>
        <w:rPr>
          <w:rFonts w:hint="eastAsia" w:ascii="宋体" w:hAnsi="宋体" w:cs="宋体"/>
          <w:kern w:val="0"/>
          <w:szCs w:val="21"/>
        </w:rPr>
        <w:t>的竞争行为，不得损害采购人或者其他</w:t>
      </w:r>
      <w:r>
        <w:rPr>
          <w:rFonts w:hint="eastAsia" w:ascii="宋体" w:hAnsi="宋体" w:cs="宋体"/>
          <w:kern w:val="0"/>
          <w:szCs w:val="21"/>
          <w:lang w:eastAsia="zh-CN"/>
        </w:rPr>
        <w:t>供应商</w:t>
      </w:r>
      <w:r>
        <w:rPr>
          <w:rFonts w:hint="eastAsia" w:ascii="宋体" w:hAnsi="宋体" w:cs="宋体"/>
          <w:kern w:val="0"/>
          <w:szCs w:val="21"/>
        </w:rPr>
        <w:t>的合法权益。</w:t>
      </w:r>
    </w:p>
    <w:p w14:paraId="638E69C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w:t>
      </w:r>
      <w:r>
        <w:rPr>
          <w:rFonts w:hint="eastAsia" w:ascii="宋体" w:hAnsi="宋体" w:cs="宋体"/>
          <w:kern w:val="0"/>
          <w:szCs w:val="21"/>
          <w:lang w:eastAsia="zh-CN"/>
        </w:rPr>
        <w:t>供应商</w:t>
      </w:r>
      <w:r>
        <w:rPr>
          <w:rFonts w:hint="eastAsia" w:ascii="宋体" w:hAnsi="宋体" w:cs="宋体"/>
          <w:kern w:val="0"/>
          <w:szCs w:val="21"/>
        </w:rPr>
        <w:t>有上述情形的，评标委员会应当认定其投标无效，并书面报告本级财政部门。</w:t>
      </w:r>
    </w:p>
    <w:p w14:paraId="528EE39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14:paraId="0D84269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7048C645">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w:t>
      </w:r>
      <w:r>
        <w:rPr>
          <w:rFonts w:hint="eastAsia" w:ascii="宋体" w:hAnsi="宋体" w:cs="宋体"/>
          <w:lang w:eastAsia="zh-CN"/>
        </w:rPr>
        <w:t>供应商</w:t>
      </w:r>
      <w:r>
        <w:rPr>
          <w:rFonts w:hint="eastAsia" w:ascii="宋体" w:hAnsi="宋体" w:cs="宋体"/>
        </w:rPr>
        <w:t>按照《操作手册》规定参加开标活动，并在“苏采云”系统规定的时间内对投标文件进行解密。“苏采云”系统公布各</w:t>
      </w:r>
      <w:r>
        <w:rPr>
          <w:rFonts w:hint="eastAsia" w:ascii="宋体" w:hAnsi="宋体" w:cs="宋体"/>
          <w:lang w:eastAsia="zh-CN"/>
        </w:rPr>
        <w:t>供应商</w:t>
      </w:r>
      <w:r>
        <w:rPr>
          <w:rFonts w:hint="eastAsia" w:ascii="宋体" w:hAnsi="宋体" w:cs="宋体"/>
        </w:rPr>
        <w:t>名称和投标价格。</w:t>
      </w:r>
    </w:p>
    <w:p w14:paraId="7E19A386">
      <w:pPr>
        <w:spacing w:line="360" w:lineRule="auto"/>
        <w:ind w:firstLine="420" w:firstLineChars="200"/>
        <w:rPr>
          <w:rFonts w:hint="eastAsia" w:ascii="宋体" w:hAnsi="宋体" w:cs="宋体"/>
        </w:rPr>
      </w:pPr>
      <w:r>
        <w:rPr>
          <w:rFonts w:hint="eastAsia" w:ascii="宋体" w:hAnsi="宋体" w:cs="宋体"/>
        </w:rPr>
        <w:t xml:space="preserve">21.2 </w:t>
      </w:r>
      <w:r>
        <w:rPr>
          <w:rFonts w:hint="eastAsia" w:ascii="宋体" w:hAnsi="宋体" w:cs="宋体"/>
          <w:lang w:eastAsia="zh-CN"/>
        </w:rPr>
        <w:t>供应商</w:t>
      </w:r>
      <w:r>
        <w:rPr>
          <w:rFonts w:hint="eastAsia" w:ascii="宋体" w:hAnsi="宋体" w:cs="宋体"/>
        </w:rPr>
        <w:t>在开标过程中涉及到的投标文件解密、开标结果确认等工作，应按照《操作手册》规定执行。</w:t>
      </w:r>
    </w:p>
    <w:p w14:paraId="6F733EC5">
      <w:pPr>
        <w:spacing w:line="360" w:lineRule="auto"/>
        <w:ind w:firstLine="420" w:firstLineChars="200"/>
        <w:rPr>
          <w:rFonts w:hint="eastAsia" w:ascii="宋体" w:hAnsi="宋体" w:cs="宋体"/>
        </w:rPr>
      </w:pPr>
      <w:r>
        <w:rPr>
          <w:rFonts w:hint="eastAsia" w:ascii="宋体" w:hAnsi="宋体" w:cs="宋体"/>
        </w:rPr>
        <w:t>21.3</w:t>
      </w:r>
      <w:r>
        <w:rPr>
          <w:rFonts w:hint="eastAsia" w:ascii="宋体" w:hAnsi="宋体" w:cs="宋体"/>
          <w:lang w:eastAsia="zh-CN"/>
        </w:rPr>
        <w:t>供应商</w:t>
      </w:r>
      <w:r>
        <w:rPr>
          <w:rFonts w:hint="eastAsia" w:ascii="宋体" w:hAnsi="宋体" w:cs="宋体"/>
        </w:rPr>
        <w:t>不足3家的，不得开标。</w:t>
      </w:r>
    </w:p>
    <w:p w14:paraId="593C0539">
      <w:pPr>
        <w:spacing w:line="360" w:lineRule="auto"/>
        <w:ind w:firstLine="420" w:firstLineChars="200"/>
        <w:rPr>
          <w:rFonts w:hint="eastAsia" w:ascii="宋体" w:hAnsi="宋体" w:cs="宋体"/>
        </w:rPr>
      </w:pPr>
      <w:r>
        <w:rPr>
          <w:rFonts w:hint="eastAsia" w:ascii="宋体" w:hAnsi="宋体" w:cs="宋体"/>
        </w:rPr>
        <w:t xml:space="preserve">21.4 </w:t>
      </w:r>
      <w:r>
        <w:rPr>
          <w:rFonts w:hint="eastAsia" w:ascii="宋体" w:hAnsi="宋体" w:cs="宋体"/>
          <w:lang w:eastAsia="zh-CN"/>
        </w:rPr>
        <w:t>供应商</w:t>
      </w:r>
      <w:r>
        <w:rPr>
          <w:rFonts w:hint="eastAsia" w:ascii="宋体" w:hAnsi="宋体" w:cs="宋体"/>
        </w:rPr>
        <w:t>如果对开标过程和开标结果有疑义，应当根据《操作手册》规定提出，“苏采云”系统中《开标记录表》公布后5分钟内未提出的，视同认可开标结果。</w:t>
      </w:r>
    </w:p>
    <w:p w14:paraId="4DFA2624">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w:t>
      </w:r>
      <w:r>
        <w:rPr>
          <w:rFonts w:hint="eastAsia" w:ascii="宋体" w:hAnsi="宋体" w:cs="宋体"/>
          <w:lang w:eastAsia="zh-CN"/>
        </w:rPr>
        <w:t>供应商</w:t>
      </w:r>
      <w:r>
        <w:rPr>
          <w:rFonts w:hint="eastAsia" w:ascii="宋体" w:hAnsi="宋体" w:cs="宋体"/>
        </w:rPr>
        <w:t>不足3家或者通过资格审查或符合性审查的</w:t>
      </w:r>
      <w:r>
        <w:rPr>
          <w:rFonts w:hint="eastAsia" w:ascii="宋体" w:hAnsi="宋体" w:cs="宋体"/>
          <w:lang w:eastAsia="zh-CN"/>
        </w:rPr>
        <w:t>供应商</w:t>
      </w:r>
      <w:r>
        <w:rPr>
          <w:rFonts w:hint="eastAsia" w:ascii="宋体" w:hAnsi="宋体" w:cs="宋体"/>
        </w:rPr>
        <w:t>不足3家的，除采购任务取消情形外，按照以下方式处理：</w:t>
      </w:r>
    </w:p>
    <w:p w14:paraId="19797C53">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76128C63">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w:t>
      </w:r>
      <w:r>
        <w:rPr>
          <w:rFonts w:hint="eastAsia" w:ascii="宋体" w:hAnsi="宋体" w:cs="宋体"/>
          <w:lang w:eastAsia="zh-CN"/>
        </w:rPr>
        <w:t>采购人</w:t>
      </w:r>
      <w:r>
        <w:rPr>
          <w:rFonts w:hint="eastAsia" w:ascii="宋体" w:hAnsi="宋体" w:cs="宋体"/>
        </w:rPr>
        <w:t>式采购的，采购人依法报财政部门批准，经批准后，可变更为其他</w:t>
      </w:r>
      <w:r>
        <w:rPr>
          <w:rFonts w:hint="eastAsia" w:ascii="宋体" w:hAnsi="宋体" w:cs="宋体"/>
          <w:lang w:eastAsia="zh-CN"/>
        </w:rPr>
        <w:t>采购人</w:t>
      </w:r>
      <w:r>
        <w:rPr>
          <w:rFonts w:hint="eastAsia" w:ascii="宋体" w:hAnsi="宋体" w:cs="宋体"/>
        </w:rPr>
        <w:t>式采购。</w:t>
      </w:r>
    </w:p>
    <w:p w14:paraId="22169EB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14:paraId="388BB2B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14:paraId="7819CA65">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081F2A14">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61F48DDE">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w:t>
      </w:r>
      <w:r>
        <w:rPr>
          <w:rFonts w:hint="eastAsia" w:ascii="宋体" w:hAnsi="宋体" w:cs="宋体"/>
          <w:bCs/>
          <w:kern w:val="0"/>
          <w:szCs w:val="21"/>
          <w:lang w:eastAsia="zh-CN"/>
        </w:rPr>
        <w:t>供应商</w:t>
      </w:r>
      <w:r>
        <w:rPr>
          <w:rFonts w:hint="eastAsia" w:ascii="宋体" w:hAnsi="宋体" w:cs="宋体"/>
          <w:bCs/>
          <w:kern w:val="0"/>
          <w:szCs w:val="21"/>
        </w:rPr>
        <w:t>对投标文件有关事项作出澄清或者说明；</w:t>
      </w:r>
    </w:p>
    <w:p w14:paraId="131C9FE1">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14:paraId="62BA9394">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w:t>
      </w:r>
      <w:r>
        <w:rPr>
          <w:rFonts w:hint="eastAsia" w:ascii="宋体" w:hAnsi="宋体" w:cs="宋体"/>
          <w:bCs/>
          <w:kern w:val="0"/>
          <w:szCs w:val="21"/>
          <w:lang w:eastAsia="zh-CN"/>
        </w:rPr>
        <w:t>中标供应商</w:t>
      </w:r>
      <w:r>
        <w:rPr>
          <w:rFonts w:hint="eastAsia" w:ascii="宋体" w:hAnsi="宋体" w:cs="宋体"/>
          <w:bCs/>
          <w:kern w:val="0"/>
          <w:szCs w:val="21"/>
        </w:rPr>
        <w:t>；</w:t>
      </w:r>
    </w:p>
    <w:p w14:paraId="3D6734CD">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3EDCFB2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52E7E57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14:paraId="1FA261B3">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lang w:val="en-US" w:eastAsia="zh-CN"/>
        </w:rPr>
        <w:t>评标委员会</w:t>
      </w:r>
      <w:r>
        <w:rPr>
          <w:rFonts w:hint="eastAsia" w:ascii="宋体" w:hAnsi="宋体" w:cs="宋体"/>
          <w:kern w:val="0"/>
          <w:szCs w:val="21"/>
        </w:rPr>
        <w:t>应当依法对</w:t>
      </w:r>
      <w:r>
        <w:rPr>
          <w:rFonts w:hint="eastAsia" w:ascii="宋体" w:hAnsi="宋体" w:cs="宋体"/>
          <w:kern w:val="0"/>
          <w:szCs w:val="21"/>
          <w:lang w:eastAsia="zh-CN"/>
        </w:rPr>
        <w:t>供应商</w:t>
      </w:r>
      <w:r>
        <w:rPr>
          <w:rFonts w:hint="eastAsia" w:ascii="宋体" w:hAnsi="宋体" w:cs="宋体"/>
          <w:kern w:val="0"/>
          <w:szCs w:val="21"/>
        </w:rPr>
        <w:t>的资格进行审查。合格</w:t>
      </w:r>
      <w:r>
        <w:rPr>
          <w:rFonts w:hint="eastAsia" w:ascii="宋体" w:hAnsi="宋体" w:cs="宋体"/>
          <w:kern w:val="0"/>
          <w:szCs w:val="21"/>
          <w:lang w:eastAsia="zh-CN"/>
        </w:rPr>
        <w:t>供应商</w:t>
      </w:r>
      <w:r>
        <w:rPr>
          <w:rFonts w:hint="eastAsia" w:ascii="宋体" w:hAnsi="宋体" w:cs="宋体"/>
          <w:kern w:val="0"/>
          <w:szCs w:val="21"/>
        </w:rPr>
        <w:t>不足3家的，不得评标。</w:t>
      </w:r>
    </w:p>
    <w:p w14:paraId="7726008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w:t>
      </w:r>
      <w:r>
        <w:rPr>
          <w:rFonts w:hint="eastAsia" w:ascii="宋体" w:hAnsi="宋体" w:cs="宋体"/>
          <w:kern w:val="0"/>
          <w:szCs w:val="21"/>
          <w:lang w:eastAsia="zh-CN"/>
        </w:rPr>
        <w:t>供应商</w:t>
      </w:r>
      <w:r>
        <w:rPr>
          <w:rFonts w:hint="eastAsia" w:ascii="宋体" w:hAnsi="宋体" w:cs="宋体"/>
          <w:kern w:val="0"/>
          <w:szCs w:val="21"/>
        </w:rPr>
        <w:t>的投标文件进行符合性审查，以确定其是否满足招标文件的实质性要求。投标文件有下列情况之一的，在符合性检查时按照无效投标处理：</w:t>
      </w:r>
    </w:p>
    <w:p w14:paraId="7F767489">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（1）</w:t>
      </w:r>
      <w:r>
        <w:rPr>
          <w:rFonts w:hint="eastAsia" w:ascii="宋体" w:hAnsi="宋体" w:cs="宋体"/>
          <w:b/>
          <w:kern w:val="0"/>
          <w:szCs w:val="21"/>
          <w:lang w:eastAsia="zh-CN"/>
        </w:rPr>
        <w:t>供应商</w:t>
      </w:r>
      <w:r>
        <w:rPr>
          <w:rFonts w:hint="eastAsia" w:ascii="宋体" w:hAnsi="宋体" w:cs="宋体"/>
          <w:b/>
          <w:kern w:val="0"/>
          <w:szCs w:val="21"/>
        </w:rPr>
        <w:t>在“苏采云”系统规定的时间内未成功解密电子投标文件的；</w:t>
      </w:r>
    </w:p>
    <w:p w14:paraId="6DAA2D59">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（2）</w:t>
      </w:r>
      <w:r>
        <w:rPr>
          <w:rFonts w:hint="eastAsia" w:ascii="宋体" w:hAnsi="宋体" w:cs="宋体"/>
          <w:b/>
          <w:kern w:val="0"/>
          <w:szCs w:val="21"/>
          <w:lang w:eastAsia="zh-CN"/>
        </w:rPr>
        <w:t>供应商</w:t>
      </w:r>
      <w:r>
        <w:rPr>
          <w:rFonts w:hint="eastAsia" w:ascii="宋体" w:hAnsi="宋体" w:cs="宋体"/>
          <w:b/>
          <w:kern w:val="0"/>
          <w:szCs w:val="21"/>
        </w:rPr>
        <w:t>未按照招标文件要求上传电子投标文件的；</w:t>
      </w:r>
    </w:p>
    <w:p w14:paraId="208E7F54">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（3）同一</w:t>
      </w:r>
      <w:r>
        <w:rPr>
          <w:rFonts w:hint="eastAsia" w:ascii="宋体" w:hAnsi="宋体" w:cs="宋体"/>
          <w:b/>
          <w:kern w:val="0"/>
          <w:szCs w:val="21"/>
          <w:lang w:eastAsia="zh-CN"/>
        </w:rPr>
        <w:t>供应商</w:t>
      </w:r>
      <w:r>
        <w:rPr>
          <w:rFonts w:hint="eastAsia" w:ascii="宋体" w:hAnsi="宋体" w:cs="宋体"/>
          <w:b/>
          <w:kern w:val="0"/>
          <w:szCs w:val="21"/>
        </w:rPr>
        <w:t>提交两个（含两个）以上不同的投标报价的；</w:t>
      </w:r>
    </w:p>
    <w:p w14:paraId="5D256221">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（4）投标文件未按照招标文件要求加盖</w:t>
      </w:r>
      <w:r>
        <w:rPr>
          <w:rFonts w:hint="eastAsia" w:ascii="宋体" w:hAnsi="宋体" w:cs="宋体"/>
          <w:b/>
          <w:kern w:val="0"/>
          <w:szCs w:val="21"/>
          <w:lang w:eastAsia="zh-CN"/>
        </w:rPr>
        <w:t>电子公章</w:t>
      </w:r>
      <w:r>
        <w:rPr>
          <w:rFonts w:hint="eastAsia" w:ascii="宋体" w:hAnsi="宋体" w:cs="宋体"/>
          <w:b/>
          <w:kern w:val="0"/>
          <w:szCs w:val="21"/>
        </w:rPr>
        <w:t>的；</w:t>
      </w:r>
    </w:p>
    <w:p w14:paraId="4CA8BEEB">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（5）不具备招标文件中规定的资格要求的；</w:t>
      </w:r>
    </w:p>
    <w:p w14:paraId="2C446817">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（6）报价超过招标文件中规定的最高限价的；</w:t>
      </w:r>
    </w:p>
    <w:p w14:paraId="062CD550">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（7）投标文件含有采购人不能接受的附加条件的；</w:t>
      </w:r>
    </w:p>
    <w:p w14:paraId="097E8491">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（8）投标文件内容不符合招标文件中规定的其他实质性要求的；</w:t>
      </w:r>
    </w:p>
    <w:p w14:paraId="0B8C643C">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（9）供应商以明显低于其他通过符合性审查供应商的报价，有可能影响产品质量或者不能诚信履约的，且不能证明其报价合理性的。</w:t>
      </w:r>
    </w:p>
    <w:p w14:paraId="47E9D3AE">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lang w:eastAsia="zh-CN"/>
        </w:rPr>
        <w:t>（</w:t>
      </w:r>
      <w:r>
        <w:rPr>
          <w:rFonts w:hint="eastAsia" w:ascii="宋体" w:hAnsi="宋体" w:cs="宋体"/>
          <w:b/>
          <w:kern w:val="0"/>
          <w:szCs w:val="21"/>
          <w:lang w:val="en-US" w:eastAsia="zh-CN"/>
        </w:rPr>
        <w:t>10</w:t>
      </w:r>
      <w:r>
        <w:rPr>
          <w:rFonts w:hint="eastAsia" w:ascii="宋体" w:hAnsi="宋体" w:cs="宋体"/>
          <w:b/>
          <w:kern w:val="0"/>
          <w:szCs w:val="21"/>
          <w:lang w:eastAsia="zh-CN"/>
        </w:rPr>
        <w:t>）</w:t>
      </w:r>
      <w:r>
        <w:rPr>
          <w:rFonts w:hint="eastAsia" w:ascii="宋体" w:hAnsi="宋体" w:cs="宋体"/>
          <w:b/>
          <w:kern w:val="0"/>
          <w:szCs w:val="21"/>
        </w:rPr>
        <w:t>现行法律、法规、规章和招标文件规定的其他无效情形。</w:t>
      </w:r>
    </w:p>
    <w:p w14:paraId="53E7A689">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eastAsia="宋体" w:cs="宋体"/>
          <w:b/>
          <w:bCs/>
          <w:kern w:val="0"/>
          <w:szCs w:val="21"/>
        </w:rPr>
        <w:t>★</w:t>
      </w:r>
      <w:r>
        <w:rPr>
          <w:rFonts w:hint="eastAsia" w:ascii="宋体" w:hAnsi="宋体" w:cs="宋体"/>
          <w:b/>
          <w:bCs/>
          <w:kern w:val="0"/>
          <w:szCs w:val="21"/>
        </w:rPr>
        <w:t>”）等其他文字说明的商务和技术要求。</w:t>
      </w:r>
    </w:p>
    <w:p w14:paraId="21CAC725">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w:t>
      </w:r>
      <w:r>
        <w:rPr>
          <w:rFonts w:hint="eastAsia" w:ascii="宋体" w:hAnsi="宋体" w:cs="宋体"/>
          <w:b/>
          <w:bCs/>
          <w:kern w:val="0"/>
          <w:szCs w:val="21"/>
          <w:lang w:eastAsia="zh-CN"/>
        </w:rPr>
        <w:t>供应商</w:t>
      </w:r>
      <w:r>
        <w:rPr>
          <w:rFonts w:hint="eastAsia" w:ascii="宋体" w:hAnsi="宋体" w:cs="宋体"/>
          <w:b/>
          <w:bCs/>
          <w:kern w:val="0"/>
          <w:szCs w:val="21"/>
        </w:rPr>
        <w:t>，代理机构将通过“苏采云”系统告知其具体原因，评标结束后不再接受有关询问。</w:t>
      </w:r>
    </w:p>
    <w:p w14:paraId="388815D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22.2.2.3有下列情形之一的予以废标：</w:t>
      </w:r>
    </w:p>
    <w:p w14:paraId="01B4037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（1）符合专业条件的</w:t>
      </w:r>
      <w:r>
        <w:rPr>
          <w:rFonts w:hint="eastAsia" w:ascii="宋体" w:hAnsi="宋体" w:cs="宋体"/>
          <w:kern w:val="0"/>
          <w:szCs w:val="21"/>
          <w:lang w:eastAsia="zh-CN"/>
        </w:rPr>
        <w:t>供应商</w:t>
      </w:r>
      <w:r>
        <w:rPr>
          <w:rFonts w:hint="eastAsia" w:ascii="宋体" w:hAnsi="宋体" w:cs="宋体"/>
          <w:kern w:val="0"/>
          <w:szCs w:val="21"/>
        </w:rPr>
        <w:t>或者对招标文件作实质性响应的</w:t>
      </w:r>
      <w:r>
        <w:rPr>
          <w:rFonts w:hint="eastAsia" w:ascii="宋体" w:hAnsi="宋体" w:cs="宋体"/>
          <w:kern w:val="0"/>
          <w:szCs w:val="21"/>
          <w:lang w:eastAsia="zh-CN"/>
        </w:rPr>
        <w:t>供应商</w:t>
      </w:r>
      <w:r>
        <w:rPr>
          <w:rFonts w:hint="eastAsia" w:ascii="宋体" w:hAnsi="宋体" w:cs="宋体"/>
          <w:kern w:val="0"/>
          <w:szCs w:val="21"/>
        </w:rPr>
        <w:t>不足三家的；</w:t>
      </w:r>
    </w:p>
    <w:p w14:paraId="3DB7879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（2）出现影响采购公正的违法、违规行为的；</w:t>
      </w:r>
    </w:p>
    <w:p w14:paraId="7CAF842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（3）</w:t>
      </w:r>
      <w:r>
        <w:rPr>
          <w:rFonts w:hint="eastAsia" w:ascii="宋体" w:hAnsi="宋体" w:cs="宋体"/>
          <w:kern w:val="0"/>
          <w:szCs w:val="21"/>
          <w:lang w:eastAsia="zh-CN"/>
        </w:rPr>
        <w:t>供应商</w:t>
      </w:r>
      <w:r>
        <w:rPr>
          <w:rFonts w:hint="eastAsia" w:ascii="宋体" w:hAnsi="宋体" w:cs="宋体"/>
          <w:kern w:val="0"/>
          <w:szCs w:val="21"/>
        </w:rPr>
        <w:t>的报价均超过了采购预算，采购人不能支付的；</w:t>
      </w:r>
    </w:p>
    <w:p w14:paraId="4F8F86F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（4）因重大变故，采购任务取消的。</w:t>
      </w:r>
    </w:p>
    <w:p w14:paraId="4B2A05E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37754EB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w:t>
      </w:r>
      <w:r>
        <w:rPr>
          <w:rFonts w:hint="eastAsia" w:ascii="宋体" w:hAnsi="宋体" w:cs="宋体"/>
          <w:kern w:val="0"/>
          <w:szCs w:val="21"/>
          <w:lang w:eastAsia="zh-CN"/>
        </w:rPr>
        <w:t>评标委员会</w:t>
      </w:r>
      <w:r>
        <w:rPr>
          <w:rFonts w:hint="eastAsia" w:ascii="宋体" w:hAnsi="宋体" w:cs="宋体"/>
          <w:kern w:val="0"/>
          <w:szCs w:val="21"/>
        </w:rPr>
        <w:t>对投标文件中含义不明确、同类问题表述不一致或者有明显文字和计算错误的内容，有权要求</w:t>
      </w:r>
      <w:r>
        <w:rPr>
          <w:rFonts w:hint="eastAsia" w:ascii="宋体" w:hAnsi="宋体" w:cs="宋体"/>
          <w:kern w:val="0"/>
          <w:szCs w:val="21"/>
          <w:lang w:eastAsia="zh-CN"/>
        </w:rPr>
        <w:t>供应商</w:t>
      </w:r>
      <w:r>
        <w:rPr>
          <w:rFonts w:hint="eastAsia" w:ascii="宋体" w:hAnsi="宋体" w:cs="宋体"/>
          <w:kern w:val="0"/>
          <w:szCs w:val="21"/>
        </w:rPr>
        <w:t>作出必要的澄清、说明或者补正。</w:t>
      </w:r>
    </w:p>
    <w:p w14:paraId="5C4873E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lang w:eastAsia="zh-CN"/>
        </w:rPr>
        <w:t>供应商</w:t>
      </w:r>
      <w:r>
        <w:rPr>
          <w:rFonts w:hint="eastAsia" w:ascii="宋体" w:hAnsi="宋体" w:cs="宋体"/>
          <w:kern w:val="0"/>
          <w:szCs w:val="21"/>
        </w:rPr>
        <w:t>的澄清、说明或者补正不得超出投标文件的范围或者改变投标文件的实质性内容。</w:t>
      </w:r>
    </w:p>
    <w:p w14:paraId="12664D6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lang w:eastAsia="zh-CN"/>
        </w:rPr>
        <w:t>评标委员会</w:t>
      </w:r>
      <w:r>
        <w:rPr>
          <w:rFonts w:hint="eastAsia" w:ascii="宋体" w:hAnsi="宋体" w:cs="宋体"/>
          <w:kern w:val="0"/>
          <w:szCs w:val="21"/>
        </w:rPr>
        <w:t>并非对每个</w:t>
      </w:r>
      <w:r>
        <w:rPr>
          <w:rFonts w:hint="eastAsia" w:ascii="宋体" w:hAnsi="宋体" w:cs="宋体"/>
          <w:kern w:val="0"/>
          <w:szCs w:val="21"/>
          <w:lang w:eastAsia="zh-CN"/>
        </w:rPr>
        <w:t>供应商</w:t>
      </w:r>
      <w:r>
        <w:rPr>
          <w:rFonts w:hint="eastAsia" w:ascii="宋体" w:hAnsi="宋体" w:cs="宋体"/>
          <w:kern w:val="0"/>
          <w:szCs w:val="21"/>
        </w:rPr>
        <w:t>都做澄清要求。</w:t>
      </w:r>
    </w:p>
    <w:p w14:paraId="5BA765D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w:t>
      </w:r>
      <w:r>
        <w:rPr>
          <w:rFonts w:hint="eastAsia" w:ascii="宋体" w:hAnsi="宋体" w:cs="宋体"/>
          <w:kern w:val="0"/>
          <w:szCs w:val="21"/>
          <w:lang w:eastAsia="zh-CN"/>
        </w:rPr>
        <w:t>评标委员会</w:t>
      </w:r>
      <w:r>
        <w:rPr>
          <w:rFonts w:hint="eastAsia" w:ascii="宋体" w:hAnsi="宋体" w:cs="宋体"/>
          <w:kern w:val="0"/>
          <w:szCs w:val="21"/>
        </w:rPr>
        <w:t>将通过苏采云系统向</w:t>
      </w:r>
      <w:r>
        <w:rPr>
          <w:rFonts w:hint="eastAsia" w:ascii="宋体" w:hAnsi="宋体" w:cs="宋体"/>
          <w:kern w:val="0"/>
          <w:szCs w:val="21"/>
          <w:lang w:eastAsia="zh-CN"/>
        </w:rPr>
        <w:t>供应商</w:t>
      </w:r>
      <w:r>
        <w:rPr>
          <w:rFonts w:hint="eastAsia" w:ascii="宋体" w:hAnsi="宋体" w:cs="宋体"/>
          <w:kern w:val="0"/>
          <w:szCs w:val="21"/>
        </w:rPr>
        <w:t>发出《澄清要求函》，接到《澄清要求函》的</w:t>
      </w:r>
      <w:r>
        <w:rPr>
          <w:rFonts w:hint="eastAsia" w:ascii="宋体" w:hAnsi="宋体" w:cs="宋体"/>
          <w:kern w:val="0"/>
          <w:szCs w:val="21"/>
          <w:lang w:eastAsia="zh-CN"/>
        </w:rPr>
        <w:t>供应商</w:t>
      </w:r>
      <w:r>
        <w:rPr>
          <w:rFonts w:hint="eastAsia" w:ascii="宋体" w:hAnsi="宋体" w:cs="宋体"/>
          <w:kern w:val="0"/>
          <w:szCs w:val="21"/>
        </w:rPr>
        <w:t>应当按照要求在苏采云系统中提交《澄清响应函》并加盖</w:t>
      </w:r>
      <w:r>
        <w:rPr>
          <w:rFonts w:hint="eastAsia" w:ascii="宋体" w:hAnsi="宋体" w:cs="宋体"/>
          <w:kern w:val="0"/>
          <w:szCs w:val="21"/>
          <w:lang w:eastAsia="zh-CN"/>
        </w:rPr>
        <w:t>电子公章</w:t>
      </w:r>
      <w:r>
        <w:rPr>
          <w:rFonts w:hint="eastAsia" w:ascii="宋体" w:hAnsi="宋体" w:cs="宋体"/>
          <w:kern w:val="0"/>
          <w:szCs w:val="21"/>
        </w:rPr>
        <w:t>。澄清、说明和补正的内容作为投标文件的补充部分，具体操作方式见《操作手册》。</w:t>
      </w:r>
    </w:p>
    <w:p w14:paraId="3C8AC0A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w:t>
      </w:r>
      <w:r>
        <w:rPr>
          <w:rFonts w:hint="eastAsia" w:ascii="宋体" w:hAnsi="宋体" w:cs="宋体"/>
          <w:kern w:val="0"/>
          <w:szCs w:val="21"/>
          <w:lang w:eastAsia="zh-CN"/>
        </w:rPr>
        <w:t>评标委员会</w:t>
      </w:r>
      <w:r>
        <w:rPr>
          <w:rFonts w:hint="eastAsia" w:ascii="宋体" w:hAnsi="宋体" w:cs="宋体"/>
          <w:kern w:val="0"/>
          <w:szCs w:val="21"/>
        </w:rPr>
        <w:t>澄清、说明和补正要求的，</w:t>
      </w:r>
      <w:r>
        <w:rPr>
          <w:rFonts w:hint="eastAsia" w:ascii="宋体" w:hAnsi="宋体" w:cs="宋体"/>
          <w:kern w:val="0"/>
          <w:szCs w:val="21"/>
          <w:lang w:eastAsia="zh-CN"/>
        </w:rPr>
        <w:t>供应商</w:t>
      </w:r>
      <w:r>
        <w:rPr>
          <w:rFonts w:hint="eastAsia" w:ascii="宋体" w:hAnsi="宋体" w:cs="宋体"/>
          <w:kern w:val="0"/>
          <w:szCs w:val="21"/>
        </w:rPr>
        <w:t>如未按规定作出澄清、说明和补正，其风险由</w:t>
      </w:r>
      <w:r>
        <w:rPr>
          <w:rFonts w:hint="eastAsia" w:ascii="宋体" w:hAnsi="宋体" w:cs="宋体"/>
          <w:kern w:val="0"/>
          <w:szCs w:val="21"/>
          <w:lang w:eastAsia="zh-CN"/>
        </w:rPr>
        <w:t>供应商</w:t>
      </w:r>
      <w:r>
        <w:rPr>
          <w:rFonts w:hint="eastAsia" w:ascii="宋体" w:hAnsi="宋体" w:cs="宋体"/>
          <w:kern w:val="0"/>
          <w:szCs w:val="21"/>
        </w:rPr>
        <w:t>自行承担。</w:t>
      </w:r>
    </w:p>
    <w:p w14:paraId="3B2BEED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4F7DE4F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2001802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14:paraId="0921B32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6FBFDC7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14:paraId="7DDBE59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lang w:eastAsia="zh-CN"/>
        </w:rPr>
        <w:t>评标委员会</w:t>
      </w:r>
      <w:r>
        <w:rPr>
          <w:rFonts w:hint="eastAsia" w:ascii="宋体" w:hAnsi="宋体" w:cs="宋体"/>
          <w:kern w:val="0"/>
          <w:szCs w:val="21"/>
        </w:rPr>
        <w:t>将按上述修正错误的方法调整投标文件中的投标报价，同时出现两种以上不一致的，按照前款规定的顺序修正，并由评标委员会通过“苏采云”系统告知</w:t>
      </w:r>
      <w:r>
        <w:rPr>
          <w:rFonts w:hint="eastAsia" w:ascii="宋体" w:hAnsi="宋体" w:cs="宋体"/>
          <w:kern w:val="0"/>
          <w:szCs w:val="21"/>
          <w:lang w:eastAsia="zh-CN"/>
        </w:rPr>
        <w:t>供应商</w:t>
      </w:r>
      <w:r>
        <w:rPr>
          <w:rFonts w:hint="eastAsia" w:ascii="宋体" w:hAnsi="宋体" w:cs="宋体"/>
          <w:kern w:val="0"/>
          <w:szCs w:val="21"/>
        </w:rPr>
        <w:t>，调整后的价格对</w:t>
      </w:r>
      <w:r>
        <w:rPr>
          <w:rFonts w:hint="eastAsia" w:ascii="宋体" w:hAnsi="宋体" w:cs="宋体"/>
          <w:kern w:val="0"/>
          <w:szCs w:val="21"/>
          <w:lang w:eastAsia="zh-CN"/>
        </w:rPr>
        <w:t>供应商</w:t>
      </w:r>
      <w:r>
        <w:rPr>
          <w:rFonts w:hint="eastAsia" w:ascii="宋体" w:hAnsi="宋体" w:cs="宋体"/>
          <w:kern w:val="0"/>
          <w:szCs w:val="21"/>
        </w:rPr>
        <w:t>具有约束力。如果</w:t>
      </w:r>
      <w:r>
        <w:rPr>
          <w:rFonts w:hint="eastAsia" w:ascii="宋体" w:hAnsi="宋体" w:cs="宋体"/>
          <w:kern w:val="0"/>
          <w:szCs w:val="21"/>
          <w:lang w:eastAsia="zh-CN"/>
        </w:rPr>
        <w:t>供应商</w:t>
      </w:r>
      <w:r>
        <w:rPr>
          <w:rFonts w:hint="eastAsia" w:ascii="宋体" w:hAnsi="宋体" w:cs="宋体"/>
          <w:kern w:val="0"/>
          <w:szCs w:val="21"/>
        </w:rPr>
        <w:t>不接受修正后的价格，则其投标将被拒绝。</w:t>
      </w:r>
    </w:p>
    <w:p w14:paraId="556823B6">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2.2.3.</w:t>
      </w:r>
      <w:r>
        <w:rPr>
          <w:rFonts w:hint="eastAsia" w:ascii="宋体" w:hAnsi="宋体" w:cs="宋体"/>
          <w:kern w:val="0"/>
          <w:szCs w:val="21"/>
        </w:rPr>
        <w:t>5</w:t>
      </w:r>
      <w:r>
        <w:rPr>
          <w:rFonts w:hint="eastAsia" w:ascii="宋体" w:hAnsi="宋体" w:cs="宋体"/>
          <w:kern w:val="0"/>
          <w:szCs w:val="21"/>
          <w:lang w:eastAsia="zh-CN"/>
        </w:rPr>
        <w:t>供应商</w:t>
      </w:r>
      <w:r>
        <w:rPr>
          <w:rFonts w:hint="eastAsia" w:ascii="宋体" w:hAnsi="宋体" w:cs="宋体"/>
          <w:kern w:val="0"/>
          <w:szCs w:val="21"/>
        </w:rPr>
        <w:t>在开、评标全过程中应保持通讯畅通，及时登录苏采云系统查阅、答复相关信息，并安排专人与代理机构及</w:t>
      </w:r>
      <w:r>
        <w:rPr>
          <w:rFonts w:hint="eastAsia" w:ascii="宋体" w:hAnsi="宋体" w:cs="宋体"/>
          <w:kern w:val="0"/>
          <w:szCs w:val="21"/>
          <w:lang w:eastAsia="zh-CN"/>
        </w:rPr>
        <w:t>评标委员会</w:t>
      </w:r>
      <w:r>
        <w:rPr>
          <w:rFonts w:hint="eastAsia" w:ascii="宋体" w:hAnsi="宋体" w:cs="宋体"/>
          <w:kern w:val="0"/>
          <w:szCs w:val="21"/>
        </w:rPr>
        <w:t>联系。</w:t>
      </w:r>
    </w:p>
    <w:p w14:paraId="12983E2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w:t>
      </w:r>
      <w:r>
        <w:rPr>
          <w:rFonts w:hint="eastAsia" w:ascii="宋体" w:hAnsi="宋体" w:cs="宋体"/>
          <w:lang w:eastAsia="zh-CN"/>
        </w:rPr>
        <w:t>供应商</w:t>
      </w:r>
      <w:r>
        <w:rPr>
          <w:rFonts w:hint="eastAsia" w:ascii="宋体" w:hAnsi="宋体" w:cs="宋体"/>
        </w:rPr>
        <w:t>的报价明显低于其他通过符合性审查</w:t>
      </w:r>
      <w:r>
        <w:rPr>
          <w:rFonts w:hint="eastAsia" w:ascii="宋体" w:hAnsi="宋体" w:cs="宋体"/>
          <w:lang w:eastAsia="zh-CN"/>
        </w:rPr>
        <w:t>供应商</w:t>
      </w:r>
      <w:r>
        <w:rPr>
          <w:rFonts w:hint="eastAsia" w:ascii="宋体" w:hAnsi="宋体" w:cs="宋体"/>
        </w:rPr>
        <w:t>的报价，有可能影响产品质量或者不能诚信履约的，将要求其在评标现场合理的时间内提供书面说明，必要时提交相关证明材料；</w:t>
      </w:r>
      <w:r>
        <w:rPr>
          <w:rFonts w:hint="eastAsia" w:ascii="宋体" w:hAnsi="宋体" w:cs="宋体"/>
          <w:b/>
          <w:lang w:eastAsia="zh-CN"/>
        </w:rPr>
        <w:t>供应商</w:t>
      </w:r>
      <w:r>
        <w:rPr>
          <w:rFonts w:hint="eastAsia" w:ascii="宋体" w:hAnsi="宋体" w:cs="宋体"/>
          <w:b/>
        </w:rPr>
        <w:t>不能证明其报价合理性的，评标委员会将其作为无效投标处理。</w:t>
      </w:r>
    </w:p>
    <w:p w14:paraId="3BB7F4A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69D7E36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14:paraId="10F86FF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410FE62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w:t>
      </w:r>
      <w:r>
        <w:rPr>
          <w:rFonts w:hint="eastAsia" w:ascii="宋体" w:hAnsi="宋体" w:cs="宋体"/>
          <w:kern w:val="0"/>
          <w:szCs w:val="21"/>
          <w:lang w:eastAsia="zh-CN"/>
        </w:rPr>
        <w:t>供应商</w:t>
      </w:r>
      <w:r>
        <w:rPr>
          <w:rFonts w:hint="eastAsia" w:ascii="宋体" w:hAnsi="宋体" w:cs="宋体"/>
          <w:kern w:val="0"/>
          <w:szCs w:val="21"/>
        </w:rPr>
        <w:t>为中标候选人的评标方法。</w:t>
      </w:r>
    </w:p>
    <w:p w14:paraId="029F56D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w:t>
      </w:r>
      <w:r>
        <w:rPr>
          <w:rFonts w:hint="eastAsia" w:ascii="宋体" w:hAnsi="宋体" w:cs="宋体"/>
          <w:kern w:val="0"/>
          <w:szCs w:val="21"/>
          <w:lang w:eastAsia="zh-CN"/>
        </w:rPr>
        <w:t>供应商</w:t>
      </w:r>
      <w:r>
        <w:rPr>
          <w:rFonts w:hint="eastAsia" w:ascii="宋体" w:hAnsi="宋体" w:cs="宋体"/>
          <w:kern w:val="0"/>
          <w:szCs w:val="21"/>
        </w:rPr>
        <w:t>的投标价格进行任何调整。</w:t>
      </w:r>
    </w:p>
    <w:p w14:paraId="73C814B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w:t>
      </w:r>
      <w:r>
        <w:rPr>
          <w:rFonts w:hint="eastAsia" w:ascii="宋体" w:hAnsi="宋体" w:cs="宋体"/>
          <w:kern w:val="0"/>
          <w:szCs w:val="21"/>
          <w:lang w:eastAsia="zh-CN"/>
        </w:rPr>
        <w:t>供应商</w:t>
      </w:r>
      <w:r>
        <w:rPr>
          <w:rFonts w:hint="eastAsia" w:ascii="宋体" w:hAnsi="宋体" w:cs="宋体"/>
          <w:kern w:val="0"/>
          <w:szCs w:val="21"/>
        </w:rPr>
        <w:t>为中标候选人的评标方法。</w:t>
      </w:r>
    </w:p>
    <w:p w14:paraId="13B5139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14:paraId="1FA2FBA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w:t>
      </w:r>
      <w:r>
        <w:rPr>
          <w:rFonts w:hint="eastAsia" w:ascii="宋体" w:hAnsi="宋体" w:cs="宋体"/>
          <w:kern w:val="0"/>
          <w:szCs w:val="21"/>
          <w:lang w:eastAsia="zh-CN"/>
        </w:rPr>
        <w:t>供应商</w:t>
      </w:r>
      <w:r>
        <w:rPr>
          <w:rFonts w:hint="eastAsia" w:ascii="宋体" w:hAnsi="宋体" w:cs="宋体"/>
          <w:kern w:val="0"/>
          <w:szCs w:val="21"/>
        </w:rPr>
        <w:t>的投标文件进行评价，并汇总每个</w:t>
      </w:r>
      <w:r>
        <w:rPr>
          <w:rFonts w:hint="eastAsia" w:ascii="宋体" w:hAnsi="宋体" w:cs="宋体"/>
          <w:kern w:val="0"/>
          <w:szCs w:val="21"/>
          <w:lang w:eastAsia="zh-CN"/>
        </w:rPr>
        <w:t>供应商</w:t>
      </w:r>
      <w:r>
        <w:rPr>
          <w:rFonts w:hint="eastAsia" w:ascii="宋体" w:hAnsi="宋体" w:cs="宋体"/>
          <w:kern w:val="0"/>
          <w:szCs w:val="21"/>
        </w:rPr>
        <w:t>的得分。</w:t>
      </w:r>
    </w:p>
    <w:p w14:paraId="25B95FD8">
      <w:pPr>
        <w:widowControl/>
        <w:shd w:val="clear" w:color="auto" w:fill="FFFFFF"/>
        <w:spacing w:line="360" w:lineRule="auto"/>
        <w:ind w:firstLine="420"/>
        <w:rPr>
          <w:rFonts w:hint="eastAsia" w:ascii="宋体" w:hAnsi="宋体" w:eastAsia="宋体" w:cs="宋体"/>
          <w:b/>
          <w:kern w:val="0"/>
          <w:szCs w:val="21"/>
          <w:lang w:eastAsia="zh-CN"/>
        </w:rPr>
      </w:pPr>
      <w:r>
        <w:rPr>
          <w:rFonts w:hint="eastAsia" w:ascii="宋体" w:hAnsi="宋体" w:cs="宋体"/>
          <w:b/>
          <w:bCs/>
          <w:kern w:val="0"/>
          <w:szCs w:val="21"/>
        </w:rPr>
        <w:t>23、</w:t>
      </w:r>
      <w:r>
        <w:rPr>
          <w:rFonts w:hint="eastAsia" w:ascii="宋体" w:hAnsi="宋体" w:cs="宋体"/>
          <w:b/>
          <w:kern w:val="0"/>
          <w:szCs w:val="21"/>
        </w:rPr>
        <w:t>确定</w:t>
      </w:r>
      <w:r>
        <w:rPr>
          <w:rFonts w:hint="eastAsia" w:ascii="宋体" w:hAnsi="宋体" w:cs="宋体"/>
          <w:b/>
          <w:kern w:val="0"/>
          <w:szCs w:val="21"/>
          <w:lang w:eastAsia="zh-CN"/>
        </w:rPr>
        <w:t>中标供应商</w:t>
      </w:r>
    </w:p>
    <w:p w14:paraId="50723BD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rPr>
        <w:t>23.1 采用</w:t>
      </w:r>
      <w:r>
        <w:rPr>
          <w:rFonts w:hint="eastAsia" w:ascii="宋体" w:hAnsi="宋体" w:cs="宋体"/>
          <w:kern w:val="0"/>
          <w:szCs w:val="21"/>
          <w:highlight w:val="none"/>
        </w:rPr>
        <w:t>最低评标价法的，评标结果按投标报价由低到高顺序排列。投标报价相同的并列。投标文件满足招标文件全部实质性要求且投标报价最低的</w:t>
      </w:r>
      <w:r>
        <w:rPr>
          <w:rFonts w:hint="eastAsia" w:ascii="宋体" w:hAnsi="宋体" w:cs="宋体"/>
          <w:kern w:val="0"/>
          <w:szCs w:val="21"/>
          <w:highlight w:val="none"/>
          <w:lang w:eastAsia="zh-CN"/>
        </w:rPr>
        <w:t>供应商</w:t>
      </w:r>
      <w:r>
        <w:rPr>
          <w:rFonts w:hint="eastAsia" w:ascii="宋体" w:hAnsi="宋体" w:cs="宋体"/>
          <w:kern w:val="0"/>
          <w:szCs w:val="21"/>
          <w:highlight w:val="none"/>
        </w:rPr>
        <w:t>为排名第一的中标候选人。</w:t>
      </w:r>
    </w:p>
    <w:p w14:paraId="34296F9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kern w:val="0"/>
          <w:szCs w:val="21"/>
          <w:highlight w:val="none"/>
          <w:lang w:eastAsia="zh-CN"/>
        </w:rPr>
        <w:t>供应商</w:t>
      </w:r>
      <w:r>
        <w:rPr>
          <w:rFonts w:hint="eastAsia" w:ascii="宋体" w:hAnsi="宋体" w:cs="宋体"/>
          <w:kern w:val="0"/>
          <w:szCs w:val="21"/>
          <w:highlight w:val="none"/>
        </w:rPr>
        <w:t>为排名第一的中标候选人。</w:t>
      </w:r>
    </w:p>
    <w:p w14:paraId="6D87633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highlight w:val="none"/>
        </w:rPr>
        <w:t xml:space="preserve">23.3 </w:t>
      </w:r>
      <w:r>
        <w:rPr>
          <w:rFonts w:hint="eastAsia" w:ascii="宋体" w:hAnsi="宋体" w:cs="宋体"/>
          <w:kern w:val="0"/>
          <w:szCs w:val="21"/>
          <w:highlight w:val="none"/>
          <w:lang w:eastAsia="zh-CN"/>
        </w:rPr>
        <w:t>中标供应商</w:t>
      </w:r>
      <w:r>
        <w:rPr>
          <w:rFonts w:hint="eastAsia" w:ascii="宋体" w:hAnsi="宋体" w:cs="宋体"/>
          <w:kern w:val="0"/>
          <w:szCs w:val="21"/>
          <w:highlight w:val="none"/>
        </w:rPr>
        <w:t>确定后，在省级以上财政部门指定的媒体上公告中标结果，中标公告期为1个工作日，公告的同时向</w:t>
      </w:r>
      <w:r>
        <w:rPr>
          <w:rFonts w:hint="eastAsia" w:ascii="宋体" w:hAnsi="宋体" w:cs="宋体"/>
          <w:kern w:val="0"/>
          <w:szCs w:val="21"/>
          <w:highlight w:val="none"/>
          <w:lang w:eastAsia="zh-CN"/>
        </w:rPr>
        <w:t>中标供应商</w:t>
      </w:r>
      <w:r>
        <w:rPr>
          <w:rFonts w:hint="eastAsia" w:ascii="宋体" w:hAnsi="宋体" w:cs="宋体"/>
          <w:kern w:val="0"/>
          <w:szCs w:val="21"/>
          <w:highlight w:val="none"/>
        </w:rPr>
        <w:t>发出中标通知书。</w:t>
      </w:r>
      <w:r>
        <w:rPr>
          <w:rFonts w:hint="eastAsia" w:ascii="宋体" w:hAnsi="宋体" w:cs="宋体"/>
          <w:kern w:val="0"/>
          <w:szCs w:val="21"/>
          <w:highlight w:val="none"/>
          <w:lang w:eastAsia="zh-CN"/>
        </w:rPr>
        <w:t>中标供应商</w:t>
      </w:r>
      <w:r>
        <w:rPr>
          <w:rFonts w:hint="eastAsia" w:ascii="宋体" w:hAnsi="宋体" w:cs="宋体"/>
          <w:kern w:val="0"/>
          <w:szCs w:val="21"/>
          <w:highlight w:val="none"/>
        </w:rPr>
        <w:t>可在中标结果公告届满之日起三</w:t>
      </w:r>
      <w:r>
        <w:rPr>
          <w:rFonts w:hint="eastAsia" w:ascii="宋体" w:hAnsi="宋体" w:cs="宋体"/>
          <w:kern w:val="0"/>
          <w:szCs w:val="21"/>
        </w:rPr>
        <w:t>十日内,登录苏采云系统下载。</w:t>
      </w:r>
    </w:p>
    <w:p w14:paraId="6AECEFA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w:t>
      </w:r>
      <w:r>
        <w:rPr>
          <w:rFonts w:hint="eastAsia" w:ascii="宋体" w:hAnsi="宋体" w:cs="宋体"/>
          <w:kern w:val="0"/>
          <w:szCs w:val="21"/>
          <w:lang w:eastAsia="zh-CN"/>
        </w:rPr>
        <w:t>中标供应商</w:t>
      </w:r>
      <w:r>
        <w:rPr>
          <w:rFonts w:hint="eastAsia" w:ascii="宋体" w:hAnsi="宋体" w:cs="宋体"/>
          <w:kern w:val="0"/>
          <w:szCs w:val="21"/>
        </w:rPr>
        <w:t>自行承担。</w:t>
      </w:r>
    </w:p>
    <w:p w14:paraId="708478E3">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w:t>
      </w:r>
      <w:r>
        <w:rPr>
          <w:rFonts w:hint="eastAsia" w:ascii="宋体" w:hAnsi="宋体" w:cs="宋体"/>
          <w:b/>
          <w:bCs/>
          <w:kern w:val="0"/>
          <w:szCs w:val="21"/>
          <w:lang w:eastAsia="zh-CN"/>
        </w:rPr>
        <w:t>中标供应商</w:t>
      </w:r>
      <w:r>
        <w:rPr>
          <w:rFonts w:hint="eastAsia" w:ascii="宋体" w:hAnsi="宋体" w:cs="宋体"/>
          <w:b/>
          <w:bCs/>
          <w:kern w:val="0"/>
          <w:szCs w:val="21"/>
        </w:rPr>
        <w:t>具有同等法律效力。中标通知书发出后，采购人不得</w:t>
      </w:r>
      <w:r>
        <w:rPr>
          <w:rFonts w:hint="eastAsia" w:ascii="宋体" w:hAnsi="宋体" w:cs="宋体"/>
          <w:b/>
          <w:kern w:val="0"/>
          <w:szCs w:val="21"/>
        </w:rPr>
        <w:t>违法改变中标结果，</w:t>
      </w:r>
      <w:r>
        <w:rPr>
          <w:rFonts w:hint="eastAsia" w:ascii="宋体" w:hAnsi="宋体" w:cs="宋体"/>
          <w:b/>
          <w:kern w:val="0"/>
          <w:szCs w:val="21"/>
          <w:lang w:eastAsia="zh-CN"/>
        </w:rPr>
        <w:t>中标供应商</w:t>
      </w:r>
      <w:r>
        <w:rPr>
          <w:rFonts w:hint="eastAsia" w:ascii="宋体" w:hAnsi="宋体" w:cs="宋体"/>
          <w:b/>
          <w:kern w:val="0"/>
          <w:szCs w:val="21"/>
        </w:rPr>
        <w:t>无正当理由不得放弃中标。</w:t>
      </w:r>
    </w:p>
    <w:p w14:paraId="13735A5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14:paraId="54D338CE">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14:paraId="11355E2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w:t>
      </w:r>
      <w:r>
        <w:rPr>
          <w:rFonts w:hint="eastAsia" w:ascii="宋体" w:hAnsi="宋体" w:cs="宋体"/>
          <w:kern w:val="0"/>
          <w:szCs w:val="21"/>
          <w:lang w:eastAsia="zh-CN"/>
        </w:rPr>
        <w:t>（</w:t>
      </w:r>
      <w:r>
        <w:rPr>
          <w:rFonts w:hint="eastAsia" w:ascii="宋体" w:hAnsi="宋体" w:cs="宋体"/>
          <w:kern w:val="0"/>
          <w:szCs w:val="21"/>
          <w:lang w:val="en-US" w:eastAsia="zh-CN"/>
        </w:rPr>
        <w:t>或签章</w:t>
      </w:r>
      <w:r>
        <w:rPr>
          <w:rFonts w:hint="eastAsia" w:ascii="宋体" w:hAnsi="宋体" w:cs="宋体"/>
          <w:kern w:val="0"/>
          <w:szCs w:val="21"/>
          <w:lang w:eastAsia="zh-CN"/>
        </w:rPr>
        <w:t>）</w:t>
      </w:r>
      <w:r>
        <w:rPr>
          <w:rFonts w:hint="eastAsia" w:ascii="宋体" w:hAnsi="宋体" w:cs="宋体"/>
          <w:kern w:val="0"/>
          <w:szCs w:val="21"/>
        </w:rPr>
        <w:t>的原始评标记录和评标结果编写评标报告。</w:t>
      </w:r>
    </w:p>
    <w:p w14:paraId="71468BD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14:paraId="161275C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5FADB3A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2688C06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w:t>
      </w:r>
      <w:r>
        <w:rPr>
          <w:rFonts w:hint="eastAsia" w:ascii="宋体" w:hAnsi="宋体" w:cs="宋体"/>
          <w:kern w:val="0"/>
          <w:szCs w:val="21"/>
          <w:lang w:eastAsia="zh-CN"/>
        </w:rPr>
        <w:t>供应商</w:t>
      </w:r>
      <w:r>
        <w:rPr>
          <w:rFonts w:hint="eastAsia" w:ascii="宋体" w:hAnsi="宋体" w:cs="宋体"/>
          <w:kern w:val="0"/>
          <w:szCs w:val="21"/>
        </w:rPr>
        <w:t>及与评标无关的其他人员透露。</w:t>
      </w:r>
    </w:p>
    <w:p w14:paraId="69E3470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14:paraId="72C75C08">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14:paraId="4D7D758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w:t>
      </w:r>
      <w:r>
        <w:rPr>
          <w:rFonts w:hint="eastAsia" w:ascii="宋体" w:hAnsi="宋体" w:cs="宋体"/>
          <w:kern w:val="0"/>
          <w:szCs w:val="21"/>
          <w:lang w:eastAsia="zh-CN"/>
        </w:rPr>
        <w:t>中标供应商</w:t>
      </w:r>
      <w:r>
        <w:rPr>
          <w:rFonts w:hint="eastAsia" w:ascii="宋体" w:hAnsi="宋体" w:cs="宋体"/>
          <w:kern w:val="0"/>
          <w:szCs w:val="21"/>
        </w:rPr>
        <w:t>应当自中标通知书发出之日起30日内，按照招标文件和</w:t>
      </w:r>
      <w:r>
        <w:rPr>
          <w:rFonts w:hint="eastAsia" w:ascii="宋体" w:hAnsi="宋体" w:cs="宋体"/>
          <w:kern w:val="0"/>
          <w:szCs w:val="21"/>
          <w:lang w:eastAsia="zh-CN"/>
        </w:rPr>
        <w:t>中标供应商</w:t>
      </w:r>
      <w:r>
        <w:rPr>
          <w:rFonts w:hint="eastAsia" w:ascii="宋体" w:hAnsi="宋体" w:cs="宋体"/>
          <w:kern w:val="0"/>
          <w:szCs w:val="21"/>
        </w:rPr>
        <w:t>投标文件的规定，签订书面合同。所签订的合同不得对招标文件确定的事项和</w:t>
      </w:r>
      <w:r>
        <w:rPr>
          <w:rFonts w:hint="eastAsia" w:ascii="宋体" w:hAnsi="宋体" w:cs="宋体"/>
          <w:kern w:val="0"/>
          <w:szCs w:val="21"/>
          <w:lang w:eastAsia="zh-CN"/>
        </w:rPr>
        <w:t>中标供应商</w:t>
      </w:r>
      <w:r>
        <w:rPr>
          <w:rFonts w:hint="eastAsia" w:ascii="宋体" w:hAnsi="宋体" w:cs="宋体"/>
          <w:kern w:val="0"/>
          <w:szCs w:val="21"/>
        </w:rPr>
        <w:t>投标文件作实质性修改。</w:t>
      </w:r>
    </w:p>
    <w:p w14:paraId="32EF164D">
      <w:pPr>
        <w:widowControl/>
        <w:shd w:val="clear" w:color="auto" w:fill="FFFFFF"/>
        <w:spacing w:line="360" w:lineRule="auto"/>
        <w:ind w:firstLine="420"/>
        <w:rPr>
          <w:rFonts w:hint="eastAsia"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w:t>
      </w:r>
      <w:r>
        <w:rPr>
          <w:rFonts w:hint="eastAsia" w:ascii="宋体" w:hAnsi="宋体" w:cs="宋体"/>
          <w:b/>
          <w:bCs/>
          <w:szCs w:val="21"/>
          <w:lang w:eastAsia="zh-CN"/>
        </w:rPr>
        <w:t>中标供应商</w:t>
      </w:r>
      <w:r>
        <w:rPr>
          <w:rFonts w:hint="eastAsia" w:ascii="宋体" w:hAnsi="宋体" w:cs="宋体"/>
          <w:b/>
          <w:bCs/>
          <w:szCs w:val="21"/>
        </w:rPr>
        <w:t>不得参加对该项目重新开展的采购活动，</w:t>
      </w:r>
      <w:r>
        <w:rPr>
          <w:rFonts w:hint="eastAsia" w:ascii="宋体" w:hAnsi="宋体" w:cs="宋体"/>
          <w:b/>
          <w:bCs/>
          <w:kern w:val="0"/>
          <w:szCs w:val="21"/>
          <w:lang w:eastAsia="zh-CN"/>
        </w:rPr>
        <w:t>中标供应商</w:t>
      </w:r>
      <w:r>
        <w:rPr>
          <w:rFonts w:hint="eastAsia" w:ascii="宋体" w:hAnsi="宋体" w:cs="宋体"/>
          <w:b/>
          <w:bCs/>
          <w:kern w:val="0"/>
          <w:szCs w:val="21"/>
        </w:rPr>
        <w:t>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4F3CBA0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w:t>
      </w:r>
      <w:r>
        <w:rPr>
          <w:rFonts w:hint="eastAsia" w:ascii="宋体" w:hAnsi="宋体" w:cs="宋体"/>
          <w:kern w:val="0"/>
          <w:szCs w:val="21"/>
          <w:lang w:eastAsia="zh-CN"/>
        </w:rPr>
        <w:t>中标供应商</w:t>
      </w:r>
      <w:r>
        <w:rPr>
          <w:rFonts w:hint="eastAsia" w:ascii="宋体" w:hAnsi="宋体" w:cs="宋体"/>
          <w:kern w:val="0"/>
          <w:szCs w:val="21"/>
        </w:rPr>
        <w:t>提出任何不合理的要求作为签订合同的条件。</w:t>
      </w:r>
    </w:p>
    <w:p w14:paraId="75FF34C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w:t>
      </w:r>
      <w:r>
        <w:rPr>
          <w:rFonts w:hint="eastAsia" w:ascii="宋体" w:hAnsi="宋体" w:cs="宋体"/>
          <w:kern w:val="0"/>
          <w:szCs w:val="21"/>
          <w:lang w:eastAsia="zh-CN"/>
        </w:rPr>
        <w:t>中标供应商</w:t>
      </w:r>
      <w:r>
        <w:rPr>
          <w:rFonts w:hint="eastAsia" w:ascii="宋体" w:hAnsi="宋体" w:cs="宋体"/>
          <w:kern w:val="0"/>
          <w:szCs w:val="21"/>
        </w:rPr>
        <w:t>拒绝与采购人签订合同的，采购人可以按照评审报告推荐的中标或者成交候选人名单排序，确定下一候选人为中标或者</w:t>
      </w:r>
      <w:r>
        <w:rPr>
          <w:rFonts w:hint="eastAsia" w:ascii="宋体" w:hAnsi="宋体" w:cs="宋体"/>
          <w:kern w:val="0"/>
          <w:szCs w:val="21"/>
          <w:lang w:eastAsia="zh-CN"/>
        </w:rPr>
        <w:t>中标供应商</w:t>
      </w:r>
      <w:r>
        <w:rPr>
          <w:rFonts w:hint="eastAsia" w:ascii="宋体" w:hAnsi="宋体" w:cs="宋体"/>
          <w:kern w:val="0"/>
          <w:szCs w:val="21"/>
        </w:rPr>
        <w:t>，也可以重新开展政府采购活动。</w:t>
      </w:r>
    </w:p>
    <w:p w14:paraId="3037FF2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1A4F168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w:t>
      </w:r>
      <w:r>
        <w:rPr>
          <w:rFonts w:hint="eastAsia" w:ascii="宋体" w:hAnsi="宋体" w:cs="宋体"/>
          <w:kern w:val="0"/>
          <w:szCs w:val="21"/>
          <w:lang w:eastAsia="zh-CN"/>
        </w:rPr>
        <w:t>中标供应商</w:t>
      </w:r>
      <w:r>
        <w:rPr>
          <w:rFonts w:hint="eastAsia" w:ascii="宋体" w:hAnsi="宋体" w:cs="宋体"/>
          <w:kern w:val="0"/>
          <w:szCs w:val="21"/>
        </w:rPr>
        <w:t>应当根据合同的约定依法履行合同义务。</w:t>
      </w:r>
    </w:p>
    <w:p w14:paraId="5BF7712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14:paraId="5D9E5A9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14:paraId="5D5DA5B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434DAD7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7FF5052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D91618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AB2371A">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rPr>
        <w:t>供应商必须在法定质疑期内一次性提出针对同一采购程序环节的质疑。</w:t>
      </w:r>
    </w:p>
    <w:p w14:paraId="72050D8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4E881A2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14:paraId="22C6A01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14:paraId="7B1BD17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14:paraId="167C610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14:paraId="0043B97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14:paraId="0FC1EE4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14:paraId="2E83D38E">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w:t>
      </w:r>
      <w:r>
        <w:rPr>
          <w:rFonts w:hint="eastAsia" w:ascii="宋体" w:hAnsi="宋体" w:cs="宋体"/>
          <w:szCs w:val="21"/>
          <w:lang w:eastAsia="zh-CN"/>
        </w:rPr>
        <w:t>委托代理人</w:t>
      </w:r>
      <w:r>
        <w:rPr>
          <w:rFonts w:hint="eastAsia" w:ascii="宋体" w:hAnsi="宋体" w:cs="宋体"/>
          <w:szCs w:val="21"/>
        </w:rPr>
        <w:t>签字或者盖章。代理人提出质疑和投诉，应当提交供应商签署的授权委托书。其授权委托书应当载明代理人的姓名或者名称、代理事项、具体权限、期限和相关事项。</w:t>
      </w:r>
    </w:p>
    <w:p w14:paraId="452B5A11">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22603B3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27.5质疑函应当现场提交至采购代理机构联系人处，提交时应出示有效身份证明。未按上述要求提交质疑函的，质疑不予受理。</w:t>
      </w:r>
    </w:p>
    <w:p w14:paraId="365D54C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 xml:space="preserve">27.6 </w:t>
      </w:r>
      <w:r>
        <w:rPr>
          <w:rFonts w:hint="eastAsia" w:ascii="宋体" w:hAnsi="宋体" w:cs="宋体"/>
          <w:kern w:val="0"/>
          <w:szCs w:val="21"/>
          <w:lang w:eastAsia="zh-CN"/>
        </w:rPr>
        <w:t>供应商</w:t>
      </w:r>
      <w:r>
        <w:rPr>
          <w:rFonts w:hint="eastAsia" w:ascii="宋体" w:hAnsi="宋体" w:cs="宋体"/>
          <w:kern w:val="0"/>
          <w:szCs w:val="21"/>
        </w:rPr>
        <w:t>不得虚假质疑和恶意质疑，并对质疑内容的真实性承担责任。</w:t>
      </w:r>
      <w:r>
        <w:rPr>
          <w:rFonts w:hint="eastAsia" w:ascii="宋体" w:hAnsi="宋体" w:cs="宋体"/>
          <w:kern w:val="0"/>
          <w:szCs w:val="21"/>
          <w:lang w:eastAsia="zh-CN"/>
        </w:rPr>
        <w:t>供应商</w:t>
      </w:r>
      <w:r>
        <w:rPr>
          <w:rFonts w:hint="eastAsia" w:ascii="宋体" w:hAnsi="宋体" w:cs="宋体"/>
          <w:kern w:val="0"/>
          <w:szCs w:val="21"/>
        </w:rPr>
        <w:t>或者其他利害关系人通过捏造事实、伪造证明材料等方式提出异议或投诉，阻碍招投标活动正常进行的，属于严重不良行为，代理机构将提请财政部门将其列入不良行为记录名单，并依法予以处罚。</w:t>
      </w:r>
    </w:p>
    <w:p w14:paraId="36084D1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27.7采购代理机构在收到</w:t>
      </w:r>
      <w:r>
        <w:rPr>
          <w:rFonts w:hint="eastAsia" w:ascii="宋体" w:hAnsi="宋体" w:cs="宋体"/>
          <w:kern w:val="0"/>
          <w:szCs w:val="21"/>
          <w:lang w:eastAsia="zh-CN"/>
        </w:rPr>
        <w:t>供应商</w:t>
      </w:r>
      <w:r>
        <w:rPr>
          <w:rFonts w:hint="eastAsia" w:ascii="宋体" w:hAnsi="宋体" w:cs="宋体"/>
          <w:kern w:val="0"/>
          <w:szCs w:val="21"/>
        </w:rPr>
        <w:t>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作出答复，并以书面形式通知质疑</w:t>
      </w:r>
      <w:r>
        <w:rPr>
          <w:rFonts w:hint="eastAsia" w:ascii="宋体" w:hAnsi="宋体" w:cs="宋体"/>
          <w:kern w:val="0"/>
          <w:szCs w:val="21"/>
          <w:lang w:eastAsia="zh-CN"/>
        </w:rPr>
        <w:t>供应商</w:t>
      </w:r>
      <w:r>
        <w:rPr>
          <w:rFonts w:hint="eastAsia" w:ascii="宋体" w:hAnsi="宋体" w:cs="宋体"/>
          <w:kern w:val="0"/>
          <w:szCs w:val="21"/>
        </w:rPr>
        <w:t>和其他有关</w:t>
      </w:r>
      <w:r>
        <w:rPr>
          <w:rFonts w:hint="eastAsia" w:ascii="宋体" w:hAnsi="宋体" w:cs="宋体"/>
          <w:kern w:val="0"/>
          <w:szCs w:val="21"/>
          <w:lang w:eastAsia="zh-CN"/>
        </w:rPr>
        <w:t>供应商</w:t>
      </w:r>
      <w:r>
        <w:rPr>
          <w:rFonts w:hint="eastAsia" w:ascii="宋体" w:hAnsi="宋体" w:cs="宋体"/>
          <w:kern w:val="0"/>
          <w:szCs w:val="21"/>
        </w:rPr>
        <w:t>，答复的内容不涉及商业秘密。</w:t>
      </w:r>
    </w:p>
    <w:p w14:paraId="32487F6B">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381560D8">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0F58348">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5DE47A5B">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1E9B4594">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CB98591">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31639EE9">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47F74975">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7920E20B">
      <w:pPr>
        <w:pStyle w:val="4"/>
        <w:numPr>
          <w:ilvl w:val="0"/>
          <w:numId w:val="0"/>
        </w:numPr>
        <w:spacing w:line="360" w:lineRule="auto"/>
        <w:rPr>
          <w:rFonts w:hint="eastAsia" w:ascii="宋体" w:hAnsi="宋体" w:cs="宋体"/>
        </w:rPr>
        <w:sectPr>
          <w:footerReference r:id="rId4" w:type="default"/>
          <w:pgSz w:w="11906" w:h="16838"/>
          <w:pgMar w:top="1440" w:right="1134" w:bottom="1440" w:left="1134" w:header="851" w:footer="992" w:gutter="0"/>
          <w:pgNumType w:fmt="decimal"/>
          <w:cols w:space="720" w:num="1"/>
          <w:docGrid w:type="linesAndChars" w:linePitch="312" w:charSpace="0"/>
        </w:sectPr>
      </w:pPr>
      <w:bookmarkStart w:id="6" w:name="_Toc21393"/>
      <w:bookmarkStart w:id="7" w:name="_Toc481057145"/>
    </w:p>
    <w:p w14:paraId="6BEFA330">
      <w:pPr>
        <w:pStyle w:val="4"/>
        <w:numPr>
          <w:ilvl w:val="0"/>
          <w:numId w:val="0"/>
        </w:numPr>
        <w:spacing w:line="360" w:lineRule="auto"/>
        <w:rPr>
          <w:rFonts w:hint="eastAsia" w:ascii="宋体" w:hAnsi="宋体" w:cs="宋体"/>
        </w:rPr>
      </w:pPr>
      <w:r>
        <w:rPr>
          <w:rFonts w:hint="eastAsia" w:ascii="宋体" w:hAnsi="宋体" w:cs="宋体"/>
        </w:rPr>
        <w:t>第三章 评标标准</w:t>
      </w:r>
      <w:bookmarkEnd w:id="6"/>
    </w:p>
    <w:bookmarkEnd w:id="7"/>
    <w:p w14:paraId="31F90AC8">
      <w:pPr>
        <w:spacing w:line="360" w:lineRule="auto"/>
        <w:ind w:firstLine="420" w:firstLineChars="200"/>
        <w:rPr>
          <w:rFonts w:ascii="宋体" w:hAnsi="宋体" w:cs="宋体"/>
          <w:b/>
          <w:bCs/>
          <w:color w:val="000000"/>
          <w:szCs w:val="21"/>
        </w:rPr>
      </w:pPr>
      <w:r>
        <w:rPr>
          <w:rFonts w:hint="eastAsia" w:ascii="宋体" w:hAnsi="宋体" w:cs="宋体"/>
          <w:b/>
          <w:bCs/>
          <w:color w:val="000000"/>
          <w:szCs w:val="21"/>
        </w:rPr>
        <w:t>一、评标方法与定标原则</w:t>
      </w:r>
    </w:p>
    <w:p w14:paraId="7C431A76">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w:t>
      </w:r>
      <w:r>
        <w:rPr>
          <w:rFonts w:hint="eastAsia" w:ascii="宋体" w:hAnsi="宋体" w:eastAsia="宋体" w:cs="宋体"/>
          <w:color w:val="000000"/>
          <w:szCs w:val="21"/>
        </w:rPr>
        <w:t>评标委员会将对确定为实质性响应</w:t>
      </w:r>
      <w:r>
        <w:rPr>
          <w:rFonts w:hint="eastAsia" w:ascii="宋体" w:hAnsi="宋体" w:eastAsia="宋体" w:cs="宋体"/>
          <w:color w:val="000000"/>
          <w:szCs w:val="21"/>
          <w:lang w:eastAsia="zh-CN"/>
        </w:rPr>
        <w:t>采购</w:t>
      </w:r>
      <w:r>
        <w:rPr>
          <w:rFonts w:hint="eastAsia" w:ascii="宋体" w:hAnsi="宋体" w:eastAsia="宋体" w:cs="宋体"/>
          <w:color w:val="000000"/>
          <w:szCs w:val="21"/>
        </w:rPr>
        <w:t>文件要求的投标文件进行评价和比较，评标采用综合评分法。</w:t>
      </w:r>
    </w:p>
    <w:p w14:paraId="43CD108D">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宋体" w:hAnsi="宋体" w:eastAsia="宋体" w:cs="宋体"/>
          <w:color w:val="000000"/>
          <w:szCs w:val="21"/>
        </w:rPr>
        <w:t>本项目选取3家中标候选人。</w:t>
      </w:r>
    </w:p>
    <w:p w14:paraId="61BFC96F">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.采购人按照评标委员会的推荐确定第一中标候选人为</w:t>
      </w:r>
      <w:r>
        <w:rPr>
          <w:rFonts w:hint="eastAsia" w:ascii="宋体" w:hAnsi="宋体" w:cs="宋体"/>
          <w:color w:val="000000"/>
          <w:szCs w:val="21"/>
          <w:lang w:eastAsia="zh-CN"/>
        </w:rPr>
        <w:t>中标供应商</w:t>
      </w:r>
      <w:r>
        <w:rPr>
          <w:rFonts w:hint="eastAsia" w:ascii="宋体" w:hAnsi="宋体" w:eastAsia="宋体" w:cs="宋体"/>
          <w:color w:val="000000"/>
          <w:szCs w:val="21"/>
        </w:rPr>
        <w:t>，若确定中标的中标候选人放弃中标或者因不可抗力提出不能履行合同的，采购人可以依序确定其他中标候选人为</w:t>
      </w:r>
      <w:r>
        <w:rPr>
          <w:rFonts w:hint="eastAsia" w:ascii="宋体" w:hAnsi="宋体" w:cs="宋体"/>
          <w:color w:val="000000"/>
          <w:szCs w:val="21"/>
          <w:lang w:eastAsia="zh-CN"/>
        </w:rPr>
        <w:t>中标供应商</w:t>
      </w:r>
      <w:r>
        <w:rPr>
          <w:rFonts w:hint="eastAsia" w:ascii="宋体" w:hAnsi="宋体" w:eastAsia="宋体" w:cs="宋体"/>
          <w:color w:val="000000"/>
          <w:szCs w:val="21"/>
        </w:rPr>
        <w:t>，签订合同或者组织重新</w:t>
      </w:r>
      <w:r>
        <w:rPr>
          <w:rFonts w:hint="eastAsia" w:ascii="宋体" w:hAnsi="宋体" w:eastAsia="宋体" w:cs="宋体"/>
          <w:color w:val="000000"/>
          <w:szCs w:val="21"/>
          <w:lang w:eastAsia="zh-CN"/>
        </w:rPr>
        <w:t>采购</w:t>
      </w:r>
      <w:r>
        <w:rPr>
          <w:rFonts w:hint="eastAsia" w:ascii="宋体" w:hAnsi="宋体" w:eastAsia="宋体" w:cs="宋体"/>
          <w:color w:val="000000"/>
          <w:szCs w:val="21"/>
        </w:rPr>
        <w:t xml:space="preserve">。 </w:t>
      </w:r>
    </w:p>
    <w:p w14:paraId="00451A40">
      <w:pPr>
        <w:spacing w:line="360" w:lineRule="auto"/>
        <w:ind w:left="420" w:leftChars="200"/>
        <w:rPr>
          <w:rFonts w:ascii="宋体" w:hAnsi="宋体" w:cs="宋体"/>
          <w:b/>
          <w:bCs/>
          <w:color w:val="000000"/>
          <w:szCs w:val="21"/>
          <w:highlight w:val="none"/>
        </w:rPr>
      </w:pPr>
      <w:r>
        <w:rPr>
          <w:rFonts w:hint="eastAsia" w:ascii="宋体" w:hAnsi="宋体" w:cs="宋体"/>
          <w:b/>
          <w:bCs/>
          <w:color w:val="000000"/>
          <w:szCs w:val="21"/>
          <w:highlight w:val="none"/>
        </w:rPr>
        <w:t>二、评标标准</w:t>
      </w:r>
    </w:p>
    <w:p w14:paraId="6BDE06E0">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本项目采用综合评分法确定中标候选人，评标委员会将按下列评分办法和标准进行评分。</w:t>
      </w:r>
    </w:p>
    <w:tbl>
      <w:tblPr>
        <w:tblStyle w:val="4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122"/>
        <w:gridCol w:w="6644"/>
        <w:gridCol w:w="850"/>
      </w:tblGrid>
      <w:tr w14:paraId="7A85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B1068D1">
            <w:pPr>
              <w:keepNext w:val="0"/>
              <w:keepLines w:val="0"/>
              <w:pageBreakBefore w:val="0"/>
              <w:kinsoku/>
              <w:wordWrap/>
              <w:overflowPunct/>
              <w:topLinePunct w:val="0"/>
              <w:autoSpaceDE/>
              <w:autoSpaceDN/>
              <w:bidi w:val="0"/>
              <w:spacing w:line="360" w:lineRule="auto"/>
              <w:ind w:firstLine="0" w:firstLineChars="0"/>
              <w:jc w:val="both"/>
              <w:textAlignment w:val="auto"/>
              <w:rPr>
                <w:rFonts w:hint="eastAsia" w:ascii="宋体" w:hAnsi="宋体" w:eastAsia="宋体" w:cs="宋体"/>
                <w:color w:val="000000"/>
                <w:szCs w:val="21"/>
              </w:rPr>
            </w:pPr>
            <w:r>
              <w:rPr>
                <w:rFonts w:hint="eastAsia" w:ascii="宋体" w:hAnsi="宋体" w:eastAsia="宋体" w:cs="宋体"/>
                <w:color w:val="000000"/>
                <w:szCs w:val="21"/>
              </w:rPr>
              <w:t>序号</w:t>
            </w:r>
          </w:p>
        </w:tc>
        <w:tc>
          <w:tcPr>
            <w:tcW w:w="1122" w:type="dxa"/>
            <w:tcBorders>
              <w:top w:val="single" w:color="auto" w:sz="4" w:space="0"/>
              <w:left w:val="single" w:color="auto" w:sz="4" w:space="0"/>
              <w:bottom w:val="single" w:color="auto" w:sz="4" w:space="0"/>
              <w:right w:val="single" w:color="auto" w:sz="4" w:space="0"/>
            </w:tcBorders>
            <w:vAlign w:val="center"/>
          </w:tcPr>
          <w:p w14:paraId="0F6455A2">
            <w:pPr>
              <w:keepNext w:val="0"/>
              <w:keepLines w:val="0"/>
              <w:pageBreakBefore w:val="0"/>
              <w:kinsoku/>
              <w:wordWrap/>
              <w:overflowPunct/>
              <w:topLinePunct w:val="0"/>
              <w:autoSpaceDE/>
              <w:autoSpaceDN/>
              <w:bidi w:val="0"/>
              <w:spacing w:line="360" w:lineRule="auto"/>
              <w:ind w:firstLine="0" w:firstLineChars="0"/>
              <w:jc w:val="both"/>
              <w:textAlignment w:val="auto"/>
              <w:rPr>
                <w:rFonts w:hint="eastAsia" w:ascii="宋体" w:hAnsi="宋体" w:eastAsia="宋体" w:cs="宋体"/>
                <w:color w:val="000000"/>
                <w:szCs w:val="21"/>
              </w:rPr>
            </w:pPr>
            <w:r>
              <w:rPr>
                <w:rFonts w:hint="eastAsia" w:ascii="宋体" w:hAnsi="宋体" w:eastAsia="宋体" w:cs="宋体"/>
                <w:color w:val="000000"/>
                <w:szCs w:val="21"/>
              </w:rPr>
              <w:t>评分因素</w:t>
            </w:r>
          </w:p>
        </w:tc>
        <w:tc>
          <w:tcPr>
            <w:tcW w:w="6644" w:type="dxa"/>
            <w:tcBorders>
              <w:top w:val="single" w:color="auto" w:sz="4" w:space="0"/>
              <w:left w:val="single" w:color="auto" w:sz="4" w:space="0"/>
              <w:bottom w:val="single" w:color="auto" w:sz="4" w:space="0"/>
              <w:right w:val="single" w:color="auto" w:sz="4" w:space="0"/>
            </w:tcBorders>
            <w:vAlign w:val="center"/>
          </w:tcPr>
          <w:p w14:paraId="72204816">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评审标准</w:t>
            </w:r>
          </w:p>
        </w:tc>
        <w:tc>
          <w:tcPr>
            <w:tcW w:w="850" w:type="dxa"/>
            <w:tcBorders>
              <w:top w:val="single" w:color="auto" w:sz="4" w:space="0"/>
              <w:left w:val="single" w:color="auto" w:sz="4" w:space="0"/>
              <w:bottom w:val="single" w:color="auto" w:sz="4" w:space="0"/>
              <w:right w:val="single" w:color="auto" w:sz="4" w:space="0"/>
            </w:tcBorders>
            <w:vAlign w:val="center"/>
          </w:tcPr>
          <w:p w14:paraId="79E33F6F">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分值</w:t>
            </w:r>
          </w:p>
        </w:tc>
      </w:tr>
      <w:tr w14:paraId="2926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0E304C6">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w:t>
            </w:r>
          </w:p>
        </w:tc>
        <w:tc>
          <w:tcPr>
            <w:tcW w:w="1122" w:type="dxa"/>
            <w:tcBorders>
              <w:top w:val="single" w:color="auto" w:sz="4" w:space="0"/>
              <w:left w:val="single" w:color="auto" w:sz="4" w:space="0"/>
              <w:bottom w:val="single" w:color="auto" w:sz="4" w:space="0"/>
              <w:right w:val="single" w:color="auto" w:sz="4" w:space="0"/>
            </w:tcBorders>
            <w:vAlign w:val="center"/>
          </w:tcPr>
          <w:p w14:paraId="6A510CDD">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投标价格1</w:t>
            </w:r>
            <w:r>
              <w:rPr>
                <w:rFonts w:hint="eastAsia" w:ascii="宋体" w:hAnsi="宋体" w:cs="宋体"/>
                <w:color w:val="000000"/>
                <w:szCs w:val="21"/>
                <w:lang w:val="en-US" w:eastAsia="zh-CN"/>
              </w:rPr>
              <w:t>0</w:t>
            </w:r>
            <w:r>
              <w:rPr>
                <w:rFonts w:hint="eastAsia" w:ascii="宋体" w:hAnsi="宋体" w:eastAsia="宋体" w:cs="宋体"/>
                <w:color w:val="000000"/>
                <w:szCs w:val="21"/>
              </w:rPr>
              <w:t>分</w:t>
            </w:r>
          </w:p>
        </w:tc>
        <w:tc>
          <w:tcPr>
            <w:tcW w:w="6644" w:type="dxa"/>
            <w:tcBorders>
              <w:top w:val="single" w:color="auto" w:sz="4" w:space="0"/>
              <w:left w:val="single" w:color="auto" w:sz="4" w:space="0"/>
              <w:bottom w:val="single" w:color="auto" w:sz="4" w:space="0"/>
              <w:right w:val="single" w:color="auto" w:sz="4" w:space="0"/>
            </w:tcBorders>
            <w:vAlign w:val="center"/>
          </w:tcPr>
          <w:p w14:paraId="1CD1894C">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采用低价优先法计算，即满足招标文件要求且投标价格最低的投标报价为评标基准价，其价格分为满分。投标人的价格分按照下列公式计算：投标报价得分=(评标基准价／投标报价)×1</w:t>
            </w:r>
            <w:r>
              <w:rPr>
                <w:rFonts w:hint="eastAsia" w:ascii="宋体" w:hAnsi="宋体" w:cs="宋体"/>
                <w:color w:val="000000"/>
                <w:szCs w:val="21"/>
                <w:lang w:val="en-US" w:eastAsia="zh-CN"/>
              </w:rPr>
              <w:t>0</w:t>
            </w:r>
            <w:r>
              <w:rPr>
                <w:rFonts w:hint="eastAsia" w:ascii="宋体" w:hAnsi="宋体" w:eastAsia="宋体" w:cs="宋体"/>
                <w:color w:val="000000"/>
                <w:szCs w:val="21"/>
              </w:rPr>
              <w:t>。</w:t>
            </w:r>
          </w:p>
        </w:tc>
        <w:tc>
          <w:tcPr>
            <w:tcW w:w="850" w:type="dxa"/>
            <w:tcBorders>
              <w:top w:val="single" w:color="auto" w:sz="4" w:space="0"/>
              <w:left w:val="single" w:color="auto" w:sz="4" w:space="0"/>
              <w:bottom w:val="single" w:color="auto" w:sz="4" w:space="0"/>
              <w:right w:val="single" w:color="auto" w:sz="4" w:space="0"/>
            </w:tcBorders>
            <w:vAlign w:val="center"/>
          </w:tcPr>
          <w:p w14:paraId="59944DA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lang w:eastAsia="zh-CN"/>
              </w:rPr>
            </w:pPr>
            <w:r>
              <w:rPr>
                <w:rFonts w:hint="eastAsia" w:ascii="宋体" w:hAnsi="宋体" w:eastAsia="宋体" w:cs="宋体"/>
                <w:color w:val="000000"/>
                <w:szCs w:val="21"/>
              </w:rPr>
              <w:t>1</w:t>
            </w:r>
            <w:r>
              <w:rPr>
                <w:rFonts w:hint="eastAsia" w:ascii="宋体" w:hAnsi="宋体" w:cs="宋体"/>
                <w:color w:val="000000"/>
                <w:szCs w:val="21"/>
                <w:lang w:val="en-US" w:eastAsia="zh-CN"/>
              </w:rPr>
              <w:t>0</w:t>
            </w:r>
          </w:p>
        </w:tc>
      </w:tr>
      <w:tr w14:paraId="6F6B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65C082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2.1</w:t>
            </w:r>
          </w:p>
        </w:tc>
        <w:tc>
          <w:tcPr>
            <w:tcW w:w="1122" w:type="dxa"/>
            <w:vMerge w:val="restart"/>
            <w:tcBorders>
              <w:top w:val="nil"/>
              <w:left w:val="single" w:color="auto" w:sz="4" w:space="0"/>
              <w:right w:val="single" w:color="auto" w:sz="4" w:space="0"/>
            </w:tcBorders>
            <w:vAlign w:val="center"/>
          </w:tcPr>
          <w:p w14:paraId="1EAAD8D4">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技术方案4</w:t>
            </w:r>
            <w:r>
              <w:rPr>
                <w:rFonts w:hint="eastAsia" w:ascii="宋体" w:hAnsi="宋体" w:cs="宋体"/>
                <w:color w:val="000000"/>
                <w:szCs w:val="21"/>
                <w:lang w:val="en-US" w:eastAsia="zh-CN"/>
              </w:rPr>
              <w:t>5</w:t>
            </w:r>
            <w:r>
              <w:rPr>
                <w:rFonts w:hint="eastAsia" w:ascii="宋体" w:hAnsi="宋体" w:eastAsia="宋体" w:cs="宋体"/>
                <w:color w:val="000000"/>
                <w:szCs w:val="21"/>
              </w:rPr>
              <w:t>分</w:t>
            </w:r>
          </w:p>
        </w:tc>
        <w:tc>
          <w:tcPr>
            <w:tcW w:w="6644" w:type="dxa"/>
            <w:tcBorders>
              <w:top w:val="single" w:color="auto" w:sz="4" w:space="0"/>
              <w:left w:val="single" w:color="auto" w:sz="4" w:space="0"/>
              <w:bottom w:val="single" w:color="auto" w:sz="4" w:space="0"/>
              <w:right w:val="single" w:color="auto" w:sz="4" w:space="0"/>
            </w:tcBorders>
            <w:vAlign w:val="center"/>
          </w:tcPr>
          <w:p w14:paraId="662B52B8">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总体实施方案:描述准确、内容合理细致</w:t>
            </w:r>
            <w:r>
              <w:rPr>
                <w:rFonts w:hint="eastAsia" w:ascii="宋体" w:hAnsi="宋体" w:cs="宋体"/>
                <w:color w:val="000000"/>
                <w:szCs w:val="21"/>
                <w:lang w:eastAsia="zh-CN"/>
              </w:rPr>
              <w:t>、</w:t>
            </w:r>
            <w:r>
              <w:rPr>
                <w:rFonts w:hint="eastAsia" w:ascii="宋体" w:hAnsi="宋体" w:eastAsia="宋体" w:cs="宋体"/>
                <w:color w:val="000000"/>
                <w:szCs w:val="21"/>
              </w:rPr>
              <w:t>满足本项目要求得10分</w:t>
            </w:r>
            <w:r>
              <w:rPr>
                <w:rFonts w:hint="eastAsia" w:ascii="宋体" w:hAnsi="宋体" w:cs="宋体"/>
                <w:color w:val="000000"/>
                <w:szCs w:val="21"/>
                <w:lang w:eastAsia="zh-CN"/>
              </w:rPr>
              <w:t>；</w:t>
            </w:r>
            <w:r>
              <w:rPr>
                <w:rFonts w:hint="eastAsia" w:ascii="宋体" w:hAnsi="宋体" w:eastAsia="宋体" w:cs="宋体"/>
                <w:color w:val="000000"/>
                <w:szCs w:val="21"/>
              </w:rPr>
              <w:t>描述较准确、内容较细致、满足本项目要求得7分</w:t>
            </w:r>
            <w:r>
              <w:rPr>
                <w:rFonts w:hint="eastAsia" w:ascii="宋体" w:hAnsi="宋体" w:cs="宋体"/>
                <w:color w:val="000000"/>
                <w:szCs w:val="21"/>
                <w:lang w:eastAsia="zh-CN"/>
              </w:rPr>
              <w:t>；</w:t>
            </w:r>
            <w:r>
              <w:rPr>
                <w:rFonts w:hint="eastAsia" w:ascii="宋体" w:hAnsi="宋体" w:eastAsia="宋体" w:cs="宋体"/>
                <w:color w:val="000000"/>
                <w:szCs w:val="21"/>
              </w:rPr>
              <w:t>描述基本准确、基本满足本项目要求</w:t>
            </w:r>
            <w:r>
              <w:rPr>
                <w:rFonts w:hint="eastAsia" w:ascii="宋体" w:hAnsi="宋体" w:cs="宋体"/>
                <w:color w:val="000000"/>
                <w:szCs w:val="21"/>
                <w:lang w:val="en-US" w:eastAsia="zh-CN"/>
              </w:rPr>
              <w:t>得</w:t>
            </w:r>
            <w:r>
              <w:rPr>
                <w:rFonts w:hint="eastAsia" w:ascii="宋体" w:hAnsi="宋体" w:eastAsia="宋体" w:cs="宋体"/>
                <w:color w:val="000000"/>
                <w:szCs w:val="21"/>
              </w:rPr>
              <w:t>4分</w:t>
            </w:r>
            <w:r>
              <w:rPr>
                <w:rFonts w:hint="eastAsia" w:ascii="宋体" w:hAnsi="宋体" w:cs="宋体"/>
                <w:color w:val="000000"/>
                <w:szCs w:val="21"/>
                <w:lang w:eastAsia="zh-CN"/>
              </w:rPr>
              <w:t>；</w:t>
            </w:r>
            <w:r>
              <w:rPr>
                <w:rFonts w:hint="eastAsia" w:ascii="宋体" w:hAnsi="宋体" w:eastAsia="宋体" w:cs="宋体"/>
                <w:color w:val="000000"/>
                <w:szCs w:val="21"/>
              </w:rPr>
              <w:t>描述不准确、内容不细致的得1分</w:t>
            </w:r>
            <w:r>
              <w:rPr>
                <w:rFonts w:hint="eastAsia" w:ascii="宋体" w:hAnsi="宋体" w:cs="宋体"/>
                <w:color w:val="000000"/>
                <w:szCs w:val="21"/>
                <w:lang w:eastAsia="zh-CN"/>
              </w:rPr>
              <w:t>；</w:t>
            </w:r>
            <w:r>
              <w:rPr>
                <w:rFonts w:hint="eastAsia" w:ascii="宋体" w:hAnsi="宋体" w:eastAsia="宋体" w:cs="宋体"/>
                <w:color w:val="000000"/>
                <w:szCs w:val="21"/>
              </w:rPr>
              <w:t>未提供的不得分。</w:t>
            </w:r>
          </w:p>
        </w:tc>
        <w:tc>
          <w:tcPr>
            <w:tcW w:w="850" w:type="dxa"/>
            <w:tcBorders>
              <w:top w:val="single" w:color="auto" w:sz="4" w:space="0"/>
              <w:left w:val="single" w:color="auto" w:sz="4" w:space="0"/>
              <w:bottom w:val="single" w:color="auto" w:sz="4" w:space="0"/>
              <w:right w:val="single" w:color="auto" w:sz="4" w:space="0"/>
            </w:tcBorders>
            <w:vAlign w:val="center"/>
          </w:tcPr>
          <w:p w14:paraId="7B4FB313">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10</w:t>
            </w:r>
          </w:p>
        </w:tc>
      </w:tr>
      <w:tr w14:paraId="16D95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D3977C2">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2.2</w:t>
            </w:r>
          </w:p>
        </w:tc>
        <w:tc>
          <w:tcPr>
            <w:tcW w:w="1122" w:type="dxa"/>
            <w:vMerge w:val="continue"/>
            <w:tcBorders>
              <w:left w:val="single" w:color="auto" w:sz="4" w:space="0"/>
              <w:right w:val="single" w:color="auto" w:sz="4" w:space="0"/>
            </w:tcBorders>
            <w:vAlign w:val="center"/>
          </w:tcPr>
          <w:p w14:paraId="32ED2F76">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p>
        </w:tc>
        <w:tc>
          <w:tcPr>
            <w:tcW w:w="6644" w:type="dxa"/>
            <w:tcBorders>
              <w:top w:val="single" w:color="auto" w:sz="4" w:space="0"/>
              <w:left w:val="single" w:color="auto" w:sz="4" w:space="0"/>
              <w:bottom w:val="single" w:color="auto" w:sz="4" w:space="0"/>
              <w:right w:val="single" w:color="auto" w:sz="4" w:space="0"/>
            </w:tcBorders>
            <w:vAlign w:val="center"/>
          </w:tcPr>
          <w:p w14:paraId="0F1D6915">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项目组织架构:人员配置合理，完全满足本项目要求得10分</w:t>
            </w:r>
            <w:r>
              <w:rPr>
                <w:rFonts w:hint="eastAsia" w:ascii="宋体" w:hAnsi="宋体" w:cs="宋体"/>
                <w:color w:val="000000"/>
                <w:szCs w:val="21"/>
                <w:lang w:eastAsia="zh-CN"/>
              </w:rPr>
              <w:t>；</w:t>
            </w:r>
            <w:r>
              <w:rPr>
                <w:rFonts w:hint="eastAsia" w:ascii="宋体" w:hAnsi="宋体" w:eastAsia="宋体" w:cs="宋体"/>
                <w:color w:val="000000"/>
                <w:szCs w:val="21"/>
              </w:rPr>
              <w:t>人员配置</w:t>
            </w:r>
            <w:r>
              <w:rPr>
                <w:rFonts w:hint="eastAsia" w:ascii="宋体" w:hAnsi="宋体" w:cs="宋体"/>
                <w:color w:val="000000"/>
                <w:szCs w:val="21"/>
                <w:lang w:val="en-US" w:eastAsia="zh-CN"/>
              </w:rPr>
              <w:t>较</w:t>
            </w:r>
            <w:r>
              <w:rPr>
                <w:rFonts w:hint="eastAsia" w:ascii="宋体" w:hAnsi="宋体" w:eastAsia="宋体" w:cs="宋体"/>
                <w:color w:val="000000"/>
                <w:szCs w:val="21"/>
              </w:rPr>
              <w:t>合理，基本满足本项目要求得7分</w:t>
            </w:r>
            <w:r>
              <w:rPr>
                <w:rFonts w:hint="eastAsia" w:ascii="宋体" w:hAnsi="宋体" w:cs="宋体"/>
                <w:color w:val="000000"/>
                <w:szCs w:val="21"/>
                <w:lang w:eastAsia="zh-CN"/>
              </w:rPr>
              <w:t>；</w:t>
            </w:r>
            <w:r>
              <w:rPr>
                <w:rFonts w:hint="eastAsia" w:ascii="宋体" w:hAnsi="宋体" w:eastAsia="宋体" w:cs="宋体"/>
                <w:color w:val="000000"/>
                <w:szCs w:val="21"/>
              </w:rPr>
              <w:t>人员配置稍有欠缺，基本满足本项目要求得4分</w:t>
            </w:r>
            <w:r>
              <w:rPr>
                <w:rFonts w:hint="eastAsia" w:ascii="宋体" w:hAnsi="宋体" w:cs="宋体"/>
                <w:color w:val="000000"/>
                <w:szCs w:val="21"/>
                <w:lang w:eastAsia="zh-CN"/>
              </w:rPr>
              <w:t>；</w:t>
            </w:r>
            <w:r>
              <w:rPr>
                <w:rFonts w:hint="eastAsia" w:ascii="宋体" w:hAnsi="宋体" w:cs="宋体"/>
                <w:color w:val="000000"/>
                <w:szCs w:val="21"/>
                <w:lang w:val="en-US" w:eastAsia="zh-CN"/>
              </w:rPr>
              <w:t>与</w:t>
            </w:r>
            <w:r>
              <w:rPr>
                <w:rFonts w:hint="eastAsia" w:ascii="宋体" w:hAnsi="宋体" w:eastAsia="宋体" w:cs="宋体"/>
                <w:color w:val="000000"/>
                <w:szCs w:val="21"/>
              </w:rPr>
              <w:t>项目要求</w:t>
            </w:r>
            <w:r>
              <w:rPr>
                <w:rFonts w:hint="eastAsia" w:ascii="宋体" w:hAnsi="宋体" w:cs="宋体"/>
                <w:color w:val="000000"/>
                <w:szCs w:val="21"/>
                <w:lang w:val="en-US" w:eastAsia="zh-CN"/>
              </w:rPr>
              <w:t>偏差较大</w:t>
            </w:r>
            <w:r>
              <w:rPr>
                <w:rFonts w:hint="eastAsia" w:ascii="宋体" w:hAnsi="宋体" w:eastAsia="宋体" w:cs="宋体"/>
                <w:color w:val="000000"/>
                <w:szCs w:val="21"/>
              </w:rPr>
              <w:t>得1分</w:t>
            </w:r>
            <w:r>
              <w:rPr>
                <w:rFonts w:hint="eastAsia" w:ascii="宋体" w:hAnsi="宋体" w:cs="宋体"/>
                <w:color w:val="000000"/>
                <w:szCs w:val="21"/>
                <w:lang w:eastAsia="zh-CN"/>
              </w:rPr>
              <w:t>；</w:t>
            </w:r>
            <w:r>
              <w:rPr>
                <w:rFonts w:hint="eastAsia" w:ascii="宋体" w:hAnsi="宋体" w:eastAsia="宋体" w:cs="宋体"/>
                <w:color w:val="000000"/>
                <w:szCs w:val="21"/>
              </w:rPr>
              <w:t>未提供的不得分。（</w:t>
            </w:r>
            <w:r>
              <w:rPr>
                <w:rFonts w:hint="eastAsia" w:ascii="宋体" w:hAnsi="宋体" w:cs="宋体"/>
                <w:color w:val="000000"/>
                <w:szCs w:val="21"/>
                <w:lang w:val="en-US" w:eastAsia="zh-CN"/>
              </w:rPr>
              <w:t>另需提供</w:t>
            </w:r>
            <w:r>
              <w:rPr>
                <w:rFonts w:hint="eastAsia" w:ascii="宋体" w:hAnsi="宋体" w:eastAsia="宋体" w:cs="宋体"/>
                <w:color w:val="000000"/>
                <w:szCs w:val="21"/>
              </w:rPr>
              <w:t>以上人员供应商为其缴纳的</w:t>
            </w:r>
            <w:r>
              <w:rPr>
                <w:rFonts w:hint="eastAsia" w:ascii="宋体" w:hAnsi="宋体" w:cs="宋体"/>
                <w:color w:val="000000"/>
                <w:szCs w:val="21"/>
                <w:lang w:val="en-US" w:eastAsia="zh-CN"/>
              </w:rPr>
              <w:t>2024年任意一个月</w:t>
            </w:r>
            <w:r>
              <w:rPr>
                <w:rFonts w:hint="eastAsia" w:ascii="宋体" w:hAnsi="宋体" w:eastAsia="宋体" w:cs="宋体"/>
                <w:color w:val="000000"/>
                <w:szCs w:val="21"/>
              </w:rPr>
              <w:t>的社保证明材料及劳动合同复印件加盖公章）</w:t>
            </w:r>
          </w:p>
        </w:tc>
        <w:tc>
          <w:tcPr>
            <w:tcW w:w="850" w:type="dxa"/>
            <w:tcBorders>
              <w:top w:val="single" w:color="auto" w:sz="4" w:space="0"/>
              <w:left w:val="single" w:color="auto" w:sz="4" w:space="0"/>
              <w:bottom w:val="single" w:color="auto" w:sz="4" w:space="0"/>
              <w:right w:val="single" w:color="auto" w:sz="4" w:space="0"/>
            </w:tcBorders>
            <w:vAlign w:val="center"/>
          </w:tcPr>
          <w:p w14:paraId="63A50C9C">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10</w:t>
            </w:r>
          </w:p>
        </w:tc>
      </w:tr>
      <w:tr w14:paraId="1986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C7EDAA9">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2.3</w:t>
            </w:r>
          </w:p>
        </w:tc>
        <w:tc>
          <w:tcPr>
            <w:tcW w:w="1122" w:type="dxa"/>
            <w:vMerge w:val="continue"/>
            <w:tcBorders>
              <w:left w:val="single" w:color="auto" w:sz="4" w:space="0"/>
              <w:right w:val="single" w:color="auto" w:sz="4" w:space="0"/>
            </w:tcBorders>
            <w:vAlign w:val="center"/>
          </w:tcPr>
          <w:p w14:paraId="10A8B657">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p>
        </w:tc>
        <w:tc>
          <w:tcPr>
            <w:tcW w:w="6644" w:type="dxa"/>
            <w:tcBorders>
              <w:top w:val="single" w:color="auto" w:sz="4" w:space="0"/>
              <w:left w:val="single" w:color="auto" w:sz="4" w:space="0"/>
              <w:bottom w:val="single" w:color="auto" w:sz="4" w:space="0"/>
              <w:right w:val="single" w:color="auto" w:sz="4" w:space="0"/>
            </w:tcBorders>
            <w:vAlign w:val="center"/>
          </w:tcPr>
          <w:p w14:paraId="186AFD5B">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进度计划及保证措施:描述准确、内容合理细致</w:t>
            </w:r>
            <w:r>
              <w:rPr>
                <w:rFonts w:hint="eastAsia" w:ascii="宋体" w:hAnsi="宋体" w:cs="宋体"/>
                <w:color w:val="000000"/>
                <w:szCs w:val="21"/>
                <w:lang w:eastAsia="zh-CN"/>
              </w:rPr>
              <w:t>、</w:t>
            </w:r>
            <w:r>
              <w:rPr>
                <w:rFonts w:hint="eastAsia" w:ascii="宋体" w:hAnsi="宋体" w:eastAsia="宋体" w:cs="宋体"/>
                <w:color w:val="000000"/>
                <w:szCs w:val="21"/>
              </w:rPr>
              <w:t>满足本项目要求得</w:t>
            </w:r>
            <w:r>
              <w:rPr>
                <w:rFonts w:hint="eastAsia" w:ascii="宋体" w:hAnsi="宋体" w:cs="宋体"/>
                <w:color w:val="000000"/>
                <w:szCs w:val="21"/>
                <w:lang w:val="en-US" w:eastAsia="zh-CN"/>
              </w:rPr>
              <w:t>10</w:t>
            </w:r>
            <w:r>
              <w:rPr>
                <w:rFonts w:hint="eastAsia" w:ascii="宋体" w:hAnsi="宋体" w:eastAsia="宋体" w:cs="宋体"/>
                <w:color w:val="000000"/>
                <w:szCs w:val="21"/>
              </w:rPr>
              <w:t>分</w:t>
            </w:r>
            <w:r>
              <w:rPr>
                <w:rFonts w:hint="eastAsia" w:ascii="宋体" w:hAnsi="宋体" w:cs="宋体"/>
                <w:color w:val="000000"/>
                <w:szCs w:val="21"/>
                <w:lang w:eastAsia="zh-CN"/>
              </w:rPr>
              <w:t>；</w:t>
            </w:r>
            <w:r>
              <w:rPr>
                <w:rFonts w:hint="eastAsia" w:ascii="宋体" w:hAnsi="宋体" w:eastAsia="宋体" w:cs="宋体"/>
                <w:color w:val="000000"/>
                <w:szCs w:val="21"/>
              </w:rPr>
              <w:t>描述较准确、内容较细致、满足本项目要求得</w:t>
            </w:r>
            <w:r>
              <w:rPr>
                <w:rFonts w:hint="eastAsia" w:ascii="宋体" w:hAnsi="宋体" w:cs="宋体"/>
                <w:color w:val="000000"/>
                <w:szCs w:val="21"/>
                <w:lang w:val="en-US" w:eastAsia="zh-CN"/>
              </w:rPr>
              <w:t>7</w:t>
            </w:r>
            <w:r>
              <w:rPr>
                <w:rFonts w:hint="eastAsia" w:ascii="宋体" w:hAnsi="宋体" w:eastAsia="宋体" w:cs="宋体"/>
                <w:color w:val="000000"/>
                <w:szCs w:val="21"/>
              </w:rPr>
              <w:t>分</w:t>
            </w:r>
            <w:r>
              <w:rPr>
                <w:rFonts w:hint="eastAsia" w:ascii="宋体" w:hAnsi="宋体" w:cs="宋体"/>
                <w:color w:val="000000"/>
                <w:szCs w:val="21"/>
                <w:lang w:eastAsia="zh-CN"/>
              </w:rPr>
              <w:t>；</w:t>
            </w:r>
            <w:r>
              <w:rPr>
                <w:rFonts w:hint="eastAsia" w:ascii="宋体" w:hAnsi="宋体" w:eastAsia="宋体" w:cs="宋体"/>
                <w:color w:val="000000"/>
                <w:szCs w:val="21"/>
              </w:rPr>
              <w:t>描述基本准确、基本满足本项目要求得</w:t>
            </w:r>
            <w:r>
              <w:rPr>
                <w:rFonts w:hint="eastAsia" w:ascii="宋体" w:hAnsi="宋体" w:cs="宋体"/>
                <w:color w:val="000000"/>
                <w:szCs w:val="21"/>
                <w:lang w:val="en-US" w:eastAsia="zh-CN"/>
              </w:rPr>
              <w:t>4</w:t>
            </w:r>
            <w:r>
              <w:rPr>
                <w:rFonts w:hint="eastAsia" w:ascii="宋体" w:hAnsi="宋体" w:eastAsia="宋体" w:cs="宋体"/>
                <w:color w:val="000000"/>
                <w:szCs w:val="21"/>
              </w:rPr>
              <w:t>分</w:t>
            </w:r>
            <w:r>
              <w:rPr>
                <w:rFonts w:hint="eastAsia" w:ascii="宋体" w:hAnsi="宋体" w:cs="宋体"/>
                <w:color w:val="000000"/>
                <w:szCs w:val="21"/>
                <w:lang w:eastAsia="zh-CN"/>
              </w:rPr>
              <w:t>；</w:t>
            </w:r>
            <w:r>
              <w:rPr>
                <w:rFonts w:hint="eastAsia" w:ascii="宋体" w:hAnsi="宋体" w:eastAsia="宋体" w:cs="宋体"/>
                <w:color w:val="000000"/>
                <w:szCs w:val="21"/>
              </w:rPr>
              <w:t>描述不准确、内容不细致、</w:t>
            </w:r>
            <w:r>
              <w:rPr>
                <w:rFonts w:hint="eastAsia" w:ascii="宋体" w:hAnsi="宋体" w:cs="宋体"/>
                <w:color w:val="000000"/>
                <w:szCs w:val="21"/>
                <w:lang w:val="en-US" w:eastAsia="zh-CN"/>
              </w:rPr>
              <w:t>与</w:t>
            </w:r>
            <w:r>
              <w:rPr>
                <w:rFonts w:hint="eastAsia" w:ascii="宋体" w:hAnsi="宋体" w:eastAsia="宋体" w:cs="宋体"/>
                <w:color w:val="000000"/>
                <w:szCs w:val="21"/>
              </w:rPr>
              <w:t>项目要求</w:t>
            </w:r>
            <w:r>
              <w:rPr>
                <w:rFonts w:hint="eastAsia" w:ascii="宋体" w:hAnsi="宋体" w:cs="宋体"/>
                <w:color w:val="000000"/>
                <w:szCs w:val="21"/>
                <w:lang w:val="en-US" w:eastAsia="zh-CN"/>
              </w:rPr>
              <w:t>偏差较大</w:t>
            </w:r>
            <w:r>
              <w:rPr>
                <w:rFonts w:hint="eastAsia" w:ascii="宋体" w:hAnsi="宋体" w:eastAsia="宋体" w:cs="宋体"/>
                <w:color w:val="000000"/>
                <w:szCs w:val="21"/>
              </w:rPr>
              <w:t>得1分</w:t>
            </w:r>
            <w:r>
              <w:rPr>
                <w:rFonts w:hint="eastAsia" w:ascii="宋体" w:hAnsi="宋体" w:cs="宋体"/>
                <w:color w:val="000000"/>
                <w:szCs w:val="21"/>
                <w:lang w:eastAsia="zh-CN"/>
              </w:rPr>
              <w:t>；</w:t>
            </w:r>
            <w:r>
              <w:rPr>
                <w:rFonts w:hint="eastAsia" w:ascii="宋体" w:hAnsi="宋体" w:eastAsia="宋体" w:cs="宋体"/>
                <w:color w:val="000000"/>
                <w:szCs w:val="21"/>
              </w:rPr>
              <w:t>未提供的不得分。</w:t>
            </w:r>
          </w:p>
        </w:tc>
        <w:tc>
          <w:tcPr>
            <w:tcW w:w="850" w:type="dxa"/>
            <w:tcBorders>
              <w:top w:val="single" w:color="auto" w:sz="4" w:space="0"/>
              <w:left w:val="single" w:color="auto" w:sz="4" w:space="0"/>
              <w:bottom w:val="single" w:color="auto" w:sz="4" w:space="0"/>
              <w:right w:val="single" w:color="auto" w:sz="4" w:space="0"/>
            </w:tcBorders>
            <w:vAlign w:val="center"/>
          </w:tcPr>
          <w:p w14:paraId="4D8CF460">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10</w:t>
            </w:r>
          </w:p>
        </w:tc>
      </w:tr>
      <w:tr w14:paraId="3D58B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143921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2.4</w:t>
            </w:r>
          </w:p>
        </w:tc>
        <w:tc>
          <w:tcPr>
            <w:tcW w:w="1122" w:type="dxa"/>
            <w:vMerge w:val="continue"/>
            <w:tcBorders>
              <w:left w:val="single" w:color="auto" w:sz="4" w:space="0"/>
              <w:right w:val="single" w:color="auto" w:sz="4" w:space="0"/>
            </w:tcBorders>
            <w:vAlign w:val="center"/>
          </w:tcPr>
          <w:p w14:paraId="64AF0F5A">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p>
        </w:tc>
        <w:tc>
          <w:tcPr>
            <w:tcW w:w="6644" w:type="dxa"/>
            <w:tcBorders>
              <w:top w:val="single" w:color="auto" w:sz="4" w:space="0"/>
              <w:left w:val="single" w:color="auto" w:sz="4" w:space="0"/>
              <w:bottom w:val="single" w:color="auto" w:sz="4" w:space="0"/>
              <w:right w:val="single" w:color="auto" w:sz="4" w:space="0"/>
            </w:tcBorders>
            <w:vAlign w:val="center"/>
          </w:tcPr>
          <w:p w14:paraId="2F433941">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color w:val="000000"/>
                <w:szCs w:val="21"/>
              </w:rPr>
            </w:pPr>
            <w:r>
              <w:rPr>
                <w:rFonts w:hint="eastAsia" w:ascii="宋体" w:hAnsi="宋体" w:eastAsia="宋体" w:cs="宋体"/>
                <w:color w:val="000000"/>
                <w:szCs w:val="21"/>
              </w:rPr>
              <w:t>质量管理及保证措施:描述准确、内容合理细致</w:t>
            </w:r>
            <w:r>
              <w:rPr>
                <w:rFonts w:hint="eastAsia" w:ascii="宋体" w:hAnsi="宋体" w:cs="宋体"/>
                <w:color w:val="000000"/>
                <w:szCs w:val="21"/>
                <w:lang w:eastAsia="zh-CN"/>
              </w:rPr>
              <w:t>、</w:t>
            </w:r>
            <w:r>
              <w:rPr>
                <w:rFonts w:hint="eastAsia" w:ascii="宋体" w:hAnsi="宋体" w:eastAsia="宋体" w:cs="宋体"/>
                <w:color w:val="000000"/>
                <w:szCs w:val="21"/>
              </w:rPr>
              <w:t>满足本项目要求得5分</w:t>
            </w:r>
            <w:r>
              <w:rPr>
                <w:rFonts w:hint="eastAsia" w:ascii="宋体" w:hAnsi="宋体" w:cs="宋体"/>
                <w:color w:val="000000"/>
                <w:szCs w:val="21"/>
                <w:lang w:eastAsia="zh-CN"/>
              </w:rPr>
              <w:t>；</w:t>
            </w:r>
            <w:r>
              <w:rPr>
                <w:rFonts w:hint="eastAsia" w:ascii="宋体" w:hAnsi="宋体" w:eastAsia="宋体" w:cs="宋体"/>
                <w:color w:val="000000"/>
                <w:szCs w:val="21"/>
              </w:rPr>
              <w:t>描述较准确、内容较细致、满足本项目要求得3分</w:t>
            </w:r>
            <w:r>
              <w:rPr>
                <w:rFonts w:hint="eastAsia" w:ascii="宋体" w:hAnsi="宋体" w:cs="宋体"/>
                <w:color w:val="000000"/>
                <w:szCs w:val="21"/>
                <w:lang w:eastAsia="zh-CN"/>
              </w:rPr>
              <w:t>；</w:t>
            </w:r>
            <w:r>
              <w:rPr>
                <w:rFonts w:hint="eastAsia" w:ascii="宋体" w:hAnsi="宋体" w:eastAsia="宋体" w:cs="宋体"/>
                <w:color w:val="000000"/>
                <w:szCs w:val="21"/>
              </w:rPr>
              <w:t>描述基本准确、基本满足本项目要求得2分</w:t>
            </w:r>
            <w:r>
              <w:rPr>
                <w:rFonts w:hint="eastAsia" w:ascii="宋体" w:hAnsi="宋体" w:cs="宋体"/>
                <w:color w:val="000000"/>
                <w:szCs w:val="21"/>
                <w:lang w:eastAsia="zh-CN"/>
              </w:rPr>
              <w:t>；</w:t>
            </w:r>
            <w:r>
              <w:rPr>
                <w:rFonts w:hint="eastAsia" w:ascii="宋体" w:hAnsi="宋体" w:eastAsia="宋体" w:cs="宋体"/>
                <w:color w:val="000000"/>
                <w:szCs w:val="21"/>
              </w:rPr>
              <w:t>描述不准确、内容不细致、</w:t>
            </w:r>
            <w:r>
              <w:rPr>
                <w:rFonts w:hint="eastAsia" w:ascii="宋体" w:hAnsi="宋体" w:cs="宋体"/>
                <w:color w:val="000000"/>
                <w:szCs w:val="21"/>
                <w:lang w:val="en-US" w:eastAsia="zh-CN"/>
              </w:rPr>
              <w:t>与</w:t>
            </w:r>
            <w:r>
              <w:rPr>
                <w:rFonts w:hint="eastAsia" w:ascii="宋体" w:hAnsi="宋体" w:eastAsia="宋体" w:cs="宋体"/>
                <w:color w:val="000000"/>
                <w:szCs w:val="21"/>
              </w:rPr>
              <w:t>项目要求</w:t>
            </w:r>
            <w:r>
              <w:rPr>
                <w:rFonts w:hint="eastAsia" w:ascii="宋体" w:hAnsi="宋体" w:cs="宋体"/>
                <w:color w:val="000000"/>
                <w:szCs w:val="21"/>
                <w:lang w:val="en-US" w:eastAsia="zh-CN"/>
              </w:rPr>
              <w:t>偏差较大</w:t>
            </w:r>
            <w:r>
              <w:rPr>
                <w:rFonts w:hint="eastAsia" w:ascii="宋体" w:hAnsi="宋体" w:eastAsia="宋体" w:cs="宋体"/>
                <w:color w:val="000000"/>
                <w:szCs w:val="21"/>
              </w:rPr>
              <w:t>得1分</w:t>
            </w:r>
            <w:r>
              <w:rPr>
                <w:rFonts w:hint="eastAsia" w:ascii="宋体" w:hAnsi="宋体" w:cs="宋体"/>
                <w:color w:val="000000"/>
                <w:szCs w:val="21"/>
                <w:lang w:eastAsia="zh-CN"/>
              </w:rPr>
              <w:t>；</w:t>
            </w:r>
            <w:r>
              <w:rPr>
                <w:rFonts w:hint="eastAsia" w:ascii="宋体" w:hAnsi="宋体" w:eastAsia="宋体" w:cs="宋体"/>
                <w:color w:val="000000"/>
                <w:szCs w:val="21"/>
              </w:rPr>
              <w:t>未提供的不得分。</w:t>
            </w:r>
          </w:p>
        </w:tc>
        <w:tc>
          <w:tcPr>
            <w:tcW w:w="850" w:type="dxa"/>
            <w:tcBorders>
              <w:top w:val="single" w:color="auto" w:sz="4" w:space="0"/>
              <w:left w:val="single" w:color="auto" w:sz="4" w:space="0"/>
              <w:bottom w:val="single" w:color="auto" w:sz="4" w:space="0"/>
              <w:right w:val="single" w:color="auto" w:sz="4" w:space="0"/>
            </w:tcBorders>
            <w:vAlign w:val="center"/>
          </w:tcPr>
          <w:p w14:paraId="6EE26E9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5</w:t>
            </w:r>
          </w:p>
        </w:tc>
      </w:tr>
      <w:tr w14:paraId="1299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1159056">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2.5</w:t>
            </w:r>
          </w:p>
        </w:tc>
        <w:tc>
          <w:tcPr>
            <w:tcW w:w="1122" w:type="dxa"/>
            <w:vMerge w:val="continue"/>
            <w:tcBorders>
              <w:left w:val="single" w:color="auto" w:sz="4" w:space="0"/>
              <w:right w:val="single" w:color="auto" w:sz="4" w:space="0"/>
            </w:tcBorders>
            <w:vAlign w:val="center"/>
          </w:tcPr>
          <w:p w14:paraId="60B695F0">
            <w:pPr>
              <w:keepNext w:val="0"/>
              <w:keepLines w:val="0"/>
              <w:pageBreakBefore w:val="0"/>
              <w:widowControl/>
              <w:kinsoku/>
              <w:wordWrap/>
              <w:overflowPunct/>
              <w:topLinePunct w:val="0"/>
              <w:autoSpaceDE/>
              <w:autoSpaceDN/>
              <w:bidi w:val="0"/>
              <w:spacing w:line="360" w:lineRule="auto"/>
              <w:ind w:firstLine="0" w:firstLineChars="0"/>
              <w:textAlignment w:val="auto"/>
              <w:rPr>
                <w:rFonts w:ascii="宋体" w:hAnsi="宋体" w:cs="宋体"/>
                <w:bCs/>
                <w:color w:val="000000" w:themeColor="text1"/>
                <w:szCs w:val="21"/>
                <w14:textFill>
                  <w14:solidFill>
                    <w14:schemeClr w14:val="tx1"/>
                  </w14:solidFill>
                </w14:textFill>
              </w:rPr>
            </w:pPr>
          </w:p>
        </w:tc>
        <w:tc>
          <w:tcPr>
            <w:tcW w:w="6644" w:type="dxa"/>
            <w:tcBorders>
              <w:top w:val="single" w:color="auto" w:sz="4" w:space="0"/>
              <w:left w:val="single" w:color="auto" w:sz="4" w:space="0"/>
              <w:bottom w:val="single" w:color="auto" w:sz="4" w:space="0"/>
              <w:right w:val="single" w:color="auto" w:sz="4" w:space="0"/>
            </w:tcBorders>
          </w:tcPr>
          <w:p w14:paraId="2C698032">
            <w:pPr>
              <w:keepNext w:val="0"/>
              <w:keepLines w:val="0"/>
              <w:pageBreakBefore w:val="0"/>
              <w:kinsoku/>
              <w:wordWrap/>
              <w:overflowPunct/>
              <w:topLinePunct w:val="0"/>
              <w:autoSpaceDE/>
              <w:autoSpaceDN/>
              <w:bidi w:val="0"/>
              <w:spacing w:line="360" w:lineRule="auto"/>
              <w:ind w:firstLine="0" w:firstLineChars="0"/>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档案安全和现场加工人员保密措施:描述准确、内容合理细致</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满足本项目要求得5分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描述较准确、内容较细致、满足本项目要求得3分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描述基本准确、基本满足本项目要求得2分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描述不准确、内容不细致、</w:t>
            </w:r>
            <w:r>
              <w:rPr>
                <w:rFonts w:hint="eastAsia" w:ascii="宋体" w:hAnsi="宋体" w:cs="宋体"/>
                <w:color w:val="000000"/>
                <w:szCs w:val="21"/>
                <w:lang w:val="en-US" w:eastAsia="zh-CN"/>
              </w:rPr>
              <w:t>与</w:t>
            </w:r>
            <w:r>
              <w:rPr>
                <w:rFonts w:hint="eastAsia" w:ascii="宋体" w:hAnsi="宋体" w:eastAsia="宋体" w:cs="宋体"/>
                <w:color w:val="000000"/>
                <w:szCs w:val="21"/>
              </w:rPr>
              <w:t>项目要求</w:t>
            </w:r>
            <w:r>
              <w:rPr>
                <w:rFonts w:hint="eastAsia" w:ascii="宋体" w:hAnsi="宋体" w:cs="宋体"/>
                <w:color w:val="000000"/>
                <w:szCs w:val="21"/>
                <w:lang w:val="en-US" w:eastAsia="zh-CN"/>
              </w:rPr>
              <w:t>偏差较大</w:t>
            </w:r>
            <w:r>
              <w:rPr>
                <w:rFonts w:hint="eastAsia" w:ascii="宋体" w:hAnsi="宋体" w:eastAsia="宋体" w:cs="宋体"/>
                <w:color w:val="000000"/>
                <w:szCs w:val="21"/>
              </w:rPr>
              <w:t>得1分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未提供的不得分。</w:t>
            </w:r>
          </w:p>
        </w:tc>
        <w:tc>
          <w:tcPr>
            <w:tcW w:w="850" w:type="dxa"/>
            <w:tcBorders>
              <w:top w:val="single" w:color="auto" w:sz="4" w:space="0"/>
              <w:left w:val="single" w:color="auto" w:sz="4" w:space="0"/>
              <w:bottom w:val="single" w:color="auto" w:sz="4" w:space="0"/>
              <w:right w:val="single" w:color="auto" w:sz="4" w:space="0"/>
            </w:tcBorders>
            <w:vAlign w:val="center"/>
          </w:tcPr>
          <w:p w14:paraId="2B18E86F">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w:t>
            </w:r>
          </w:p>
        </w:tc>
      </w:tr>
      <w:tr w14:paraId="3F7E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90BE1FD">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w:t>
            </w:r>
          </w:p>
        </w:tc>
        <w:tc>
          <w:tcPr>
            <w:tcW w:w="1122" w:type="dxa"/>
            <w:vMerge w:val="continue"/>
            <w:tcBorders>
              <w:left w:val="single" w:color="auto" w:sz="4" w:space="0"/>
              <w:bottom w:val="single" w:color="auto" w:sz="4" w:space="0"/>
              <w:right w:val="single" w:color="auto" w:sz="4" w:space="0"/>
            </w:tcBorders>
            <w:vAlign w:val="center"/>
          </w:tcPr>
          <w:p w14:paraId="0529016D">
            <w:pPr>
              <w:keepNext w:val="0"/>
              <w:keepLines w:val="0"/>
              <w:pageBreakBefore w:val="0"/>
              <w:widowControl/>
              <w:kinsoku/>
              <w:wordWrap/>
              <w:overflowPunct/>
              <w:topLinePunct w:val="0"/>
              <w:autoSpaceDE/>
              <w:autoSpaceDN/>
              <w:bidi w:val="0"/>
              <w:spacing w:line="360" w:lineRule="auto"/>
              <w:ind w:firstLine="0" w:firstLineChars="0"/>
              <w:textAlignment w:val="auto"/>
              <w:rPr>
                <w:rFonts w:ascii="宋体" w:hAnsi="宋体" w:cs="宋体"/>
                <w:bCs/>
                <w:color w:val="000000" w:themeColor="text1"/>
                <w:szCs w:val="21"/>
                <w14:textFill>
                  <w14:solidFill>
                    <w14:schemeClr w14:val="tx1"/>
                  </w14:solidFill>
                </w14:textFill>
              </w:rPr>
            </w:pPr>
          </w:p>
        </w:tc>
        <w:tc>
          <w:tcPr>
            <w:tcW w:w="6644" w:type="dxa"/>
            <w:tcBorders>
              <w:top w:val="single" w:color="auto" w:sz="4" w:space="0"/>
              <w:left w:val="single" w:color="auto" w:sz="4" w:space="0"/>
              <w:bottom w:val="single" w:color="auto" w:sz="4" w:space="0"/>
              <w:right w:val="single" w:color="auto" w:sz="4" w:space="0"/>
            </w:tcBorders>
          </w:tcPr>
          <w:p w14:paraId="3F7B9C62">
            <w:pPr>
              <w:keepNext w:val="0"/>
              <w:keepLines w:val="0"/>
              <w:pageBreakBefore w:val="0"/>
              <w:kinsoku/>
              <w:wordWrap/>
              <w:overflowPunct/>
              <w:topLinePunct w:val="0"/>
              <w:autoSpaceDE/>
              <w:autoSpaceDN/>
              <w:bidi w:val="0"/>
              <w:spacing w:line="360" w:lineRule="auto"/>
              <w:ind w:firstLine="0" w:firstLineChars="0"/>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应急措施预案</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对供应商提供服务期间现场如遇特殊事件或紧急突发情况应急措施预案方案进行评分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考察方案的完整性、合理性、科学性，完全满足项目要求的得5分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稍有欠缺的得3分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欠缺较多的得1分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未提供的不得分。</w:t>
            </w:r>
          </w:p>
        </w:tc>
        <w:tc>
          <w:tcPr>
            <w:tcW w:w="850" w:type="dxa"/>
            <w:tcBorders>
              <w:top w:val="single" w:color="auto" w:sz="4" w:space="0"/>
              <w:left w:val="single" w:color="auto" w:sz="4" w:space="0"/>
              <w:bottom w:val="single" w:color="auto" w:sz="4" w:space="0"/>
              <w:right w:val="single" w:color="auto" w:sz="4" w:space="0"/>
            </w:tcBorders>
            <w:vAlign w:val="center"/>
          </w:tcPr>
          <w:p w14:paraId="1816247D">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w:t>
            </w:r>
          </w:p>
        </w:tc>
      </w:tr>
      <w:tr w14:paraId="5BFF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B507305">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p>
        </w:tc>
        <w:tc>
          <w:tcPr>
            <w:tcW w:w="1122" w:type="dxa"/>
            <w:tcBorders>
              <w:top w:val="single" w:color="auto" w:sz="4" w:space="0"/>
              <w:left w:val="single" w:color="auto" w:sz="4" w:space="0"/>
              <w:bottom w:val="single" w:color="auto" w:sz="4" w:space="0"/>
              <w:right w:val="single" w:color="auto" w:sz="4" w:space="0"/>
            </w:tcBorders>
            <w:vAlign w:val="center"/>
          </w:tcPr>
          <w:p w14:paraId="2E0022F4">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pacing w:val="-4"/>
                <w:szCs w:val="21"/>
                <w14:textFill>
                  <w14:solidFill>
                    <w14:schemeClr w14:val="tx1"/>
                  </w14:solidFill>
                </w14:textFill>
              </w:rPr>
              <w:t>企业业绩</w:t>
            </w:r>
            <w:r>
              <w:rPr>
                <w:rFonts w:hint="eastAsia" w:ascii="宋体" w:hAnsi="宋体" w:cs="宋体"/>
                <w:bCs/>
                <w:color w:val="000000" w:themeColor="text1"/>
                <w:spacing w:val="-4"/>
                <w:szCs w:val="21"/>
                <w:lang w:val="en-US" w:eastAsia="zh-CN"/>
                <w14:textFill>
                  <w14:solidFill>
                    <w14:schemeClr w14:val="tx1"/>
                  </w14:solidFill>
                </w14:textFill>
              </w:rPr>
              <w:t>6</w:t>
            </w:r>
            <w:r>
              <w:rPr>
                <w:rFonts w:hint="eastAsia" w:ascii="宋体" w:hAnsi="宋体" w:cs="宋体"/>
                <w:bCs/>
                <w:color w:val="000000" w:themeColor="text1"/>
                <w:szCs w:val="21"/>
                <w14:textFill>
                  <w14:solidFill>
                    <w14:schemeClr w14:val="tx1"/>
                  </w14:solidFill>
                </w14:textFill>
              </w:rPr>
              <w:t>分</w:t>
            </w:r>
          </w:p>
        </w:tc>
        <w:tc>
          <w:tcPr>
            <w:tcW w:w="6644" w:type="dxa"/>
            <w:tcBorders>
              <w:top w:val="single" w:color="auto" w:sz="4" w:space="0"/>
              <w:left w:val="single" w:color="auto" w:sz="4" w:space="0"/>
              <w:bottom w:val="single" w:color="auto" w:sz="4" w:space="0"/>
              <w:right w:val="single" w:color="auto" w:sz="4" w:space="0"/>
            </w:tcBorders>
            <w:vAlign w:val="center"/>
          </w:tcPr>
          <w:p w14:paraId="4DE1F6C4">
            <w:pPr>
              <w:keepNext w:val="0"/>
              <w:keepLines w:val="0"/>
              <w:pageBreakBefore w:val="0"/>
              <w:widowControl/>
              <w:kinsoku/>
              <w:wordWrap/>
              <w:overflowPunct/>
              <w:topLinePunct w:val="0"/>
              <w:autoSpaceDE/>
              <w:autoSpaceDN/>
              <w:bidi w:val="0"/>
              <w:adjustRightInd w:val="0"/>
              <w:spacing w:line="360" w:lineRule="auto"/>
              <w:ind w:firstLine="0" w:firstLineChars="0"/>
              <w:contextualSpacing/>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w:t>
            </w:r>
            <w:r>
              <w:rPr>
                <w:rFonts w:hint="eastAsia" w:ascii="宋体" w:hAnsi="宋体" w:cs="宋体"/>
                <w:bCs/>
                <w:color w:val="000000" w:themeColor="text1"/>
                <w:szCs w:val="21"/>
                <w:highlight w:val="none"/>
                <w14:textFill>
                  <w14:solidFill>
                    <w14:schemeClr w14:val="tx1"/>
                  </w14:solidFill>
                </w14:textFill>
              </w:rPr>
              <w:t>商自2022年1月1日</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含</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以来</w:t>
            </w:r>
            <w:r>
              <w:rPr>
                <w:rFonts w:hint="eastAsia" w:ascii="宋体" w:hAnsi="宋体" w:cs="宋体"/>
                <w:bCs/>
                <w:color w:val="000000" w:themeColor="text1"/>
                <w:szCs w:val="21"/>
                <w:highlight w:val="none"/>
                <w:lang w:val="en-US" w:eastAsia="zh-CN"/>
                <w14:textFill>
                  <w14:solidFill>
                    <w14:schemeClr w14:val="tx1"/>
                  </w14:solidFill>
                </w14:textFill>
              </w:rPr>
              <w:t>承担过本项目</w:t>
            </w:r>
            <w:r>
              <w:rPr>
                <w:rFonts w:hint="eastAsia" w:ascii="宋体" w:hAnsi="宋体" w:cs="宋体"/>
                <w:bCs/>
                <w:color w:val="000000" w:themeColor="text1"/>
                <w:szCs w:val="21"/>
                <w:highlight w:val="none"/>
                <w14:textFill>
                  <w14:solidFill>
                    <w14:schemeClr w14:val="tx1"/>
                  </w14:solidFill>
                </w14:textFill>
              </w:rPr>
              <w:t>类似业绩的，每提供</w:t>
            </w:r>
            <w:r>
              <w:rPr>
                <w:rFonts w:hint="eastAsia" w:ascii="宋体" w:hAnsi="宋体" w:cs="宋体"/>
                <w:bCs/>
                <w:color w:val="000000" w:themeColor="text1"/>
                <w:szCs w:val="21"/>
                <w:highlight w:val="none"/>
                <w:lang w:val="en-US" w:eastAsia="zh-CN"/>
                <w14:textFill>
                  <w14:solidFill>
                    <w14:schemeClr w14:val="tx1"/>
                  </w14:solidFill>
                </w14:textFill>
              </w:rPr>
              <w:t>一个业绩</w:t>
            </w:r>
            <w:r>
              <w:rPr>
                <w:rFonts w:hint="eastAsia" w:ascii="宋体" w:hAnsi="宋体" w:cs="宋体"/>
                <w:bCs/>
                <w:color w:val="000000" w:themeColor="text1"/>
                <w:szCs w:val="21"/>
                <w:highlight w:val="none"/>
                <w14:textFill>
                  <w14:solidFill>
                    <w14:schemeClr w14:val="tx1"/>
                  </w14:solidFill>
                </w14:textFill>
              </w:rPr>
              <w:t>得</w:t>
            </w:r>
            <w:r>
              <w:rPr>
                <w:rFonts w:ascii="宋体" w:hAnsi="宋体" w:cs="宋体"/>
                <w:bCs/>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分</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最多得</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r>
              <w:rPr>
                <w:rFonts w:hint="eastAsia" w:ascii="宋体" w:hAnsi="宋体" w:cs="宋体"/>
                <w:bCs/>
                <w:color w:val="000000" w:themeColor="text1"/>
                <w:szCs w:val="21"/>
                <w:highlight w:val="none"/>
                <w:lang w:eastAsia="zh-CN"/>
                <w14:textFill>
                  <w14:solidFill>
                    <w14:schemeClr w14:val="tx1"/>
                  </w14:solidFill>
                </w14:textFill>
              </w:rPr>
              <w:t>。(提供合</w:t>
            </w:r>
            <w:r>
              <w:rPr>
                <w:rFonts w:hint="eastAsia" w:ascii="宋体" w:hAnsi="宋体" w:cs="宋体"/>
                <w:bCs/>
                <w:color w:val="000000" w:themeColor="text1"/>
                <w:szCs w:val="21"/>
                <w:lang w:eastAsia="zh-CN"/>
                <w14:textFill>
                  <w14:solidFill>
                    <w14:schemeClr w14:val="tx1"/>
                  </w14:solidFill>
                </w14:textFill>
              </w:rPr>
              <w:t>同复印件并加盖公章，提供的证明材料须能反映相关数据和内容，否则视为未提供不得分。）</w:t>
            </w:r>
          </w:p>
        </w:tc>
        <w:tc>
          <w:tcPr>
            <w:tcW w:w="850" w:type="dxa"/>
            <w:tcBorders>
              <w:top w:val="single" w:color="auto" w:sz="4" w:space="0"/>
              <w:left w:val="single" w:color="auto" w:sz="4" w:space="0"/>
              <w:bottom w:val="single" w:color="auto" w:sz="4" w:space="0"/>
              <w:right w:val="single" w:color="auto" w:sz="4" w:space="0"/>
            </w:tcBorders>
            <w:vAlign w:val="center"/>
          </w:tcPr>
          <w:p w14:paraId="657EF335">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6</w:t>
            </w:r>
          </w:p>
        </w:tc>
      </w:tr>
      <w:tr w14:paraId="5E5B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4ADF07E">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4</w:t>
            </w:r>
          </w:p>
        </w:tc>
        <w:tc>
          <w:tcPr>
            <w:tcW w:w="1122" w:type="dxa"/>
            <w:tcBorders>
              <w:top w:val="single" w:color="auto" w:sz="4" w:space="0"/>
              <w:left w:val="single" w:color="auto" w:sz="4" w:space="0"/>
              <w:bottom w:val="single" w:color="auto" w:sz="4" w:space="0"/>
              <w:right w:val="single" w:color="auto" w:sz="4" w:space="0"/>
            </w:tcBorders>
            <w:vAlign w:val="center"/>
          </w:tcPr>
          <w:p w14:paraId="2EE263A5">
            <w:pPr>
              <w:keepNext w:val="0"/>
              <w:keepLines w:val="0"/>
              <w:pageBreakBefore w:val="0"/>
              <w:widowControl/>
              <w:kinsoku/>
              <w:wordWrap/>
              <w:overflowPunct/>
              <w:topLinePunct w:val="0"/>
              <w:autoSpaceDE/>
              <w:autoSpaceDN/>
              <w:bidi w:val="0"/>
              <w:adjustRightInd w:val="0"/>
              <w:spacing w:line="360" w:lineRule="auto"/>
              <w:ind w:firstLine="0" w:firstLineChars="0"/>
              <w:contextualSpacing/>
              <w:jc w:val="center"/>
              <w:textAlignment w:val="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答辩</w:t>
            </w:r>
          </w:p>
          <w:p w14:paraId="17942F2A">
            <w:pPr>
              <w:keepNext w:val="0"/>
              <w:keepLines w:val="0"/>
              <w:pageBreakBefore w:val="0"/>
              <w:widowControl/>
              <w:kinsoku/>
              <w:wordWrap/>
              <w:overflowPunct/>
              <w:topLinePunct w:val="0"/>
              <w:autoSpaceDE/>
              <w:autoSpaceDN/>
              <w:bidi w:val="0"/>
              <w:adjustRightInd w:val="0"/>
              <w:spacing w:line="360" w:lineRule="auto"/>
              <w:ind w:firstLine="0" w:firstLineChars="0"/>
              <w:contextualSpacing/>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15</w:t>
            </w:r>
            <w:r>
              <w:rPr>
                <w:rFonts w:hint="eastAsia" w:ascii="宋体" w:hAnsi="宋体" w:cs="宋体"/>
                <w:bCs/>
                <w:color w:val="000000" w:themeColor="text1"/>
                <w:szCs w:val="21"/>
                <w14:textFill>
                  <w14:solidFill>
                    <w14:schemeClr w14:val="tx1"/>
                  </w14:solidFill>
                </w14:textFill>
              </w:rPr>
              <w:t>分</w:t>
            </w:r>
          </w:p>
        </w:tc>
        <w:tc>
          <w:tcPr>
            <w:tcW w:w="6644" w:type="dxa"/>
            <w:tcBorders>
              <w:top w:val="single" w:color="auto" w:sz="4" w:space="0"/>
              <w:left w:val="single" w:color="auto" w:sz="4" w:space="0"/>
              <w:bottom w:val="single" w:color="auto" w:sz="4" w:space="0"/>
              <w:right w:val="single" w:color="auto" w:sz="4" w:space="0"/>
            </w:tcBorders>
            <w:vAlign w:val="center"/>
          </w:tcPr>
          <w:p w14:paraId="4FB648F5">
            <w:pPr>
              <w:pStyle w:val="2"/>
              <w:keepNext w:val="0"/>
              <w:keepLines w:val="0"/>
              <w:pageBreakBefore w:val="0"/>
              <w:kinsoku/>
              <w:wordWrap/>
              <w:overflowPunct/>
              <w:topLinePunct w:val="0"/>
              <w:autoSpaceDE/>
              <w:autoSpaceDN/>
              <w:bidi w:val="0"/>
              <w:spacing w:after="0" w:line="360" w:lineRule="auto"/>
              <w:ind w:left="0" w:leftChars="0" w:firstLine="0" w:firstLineChars="0"/>
              <w:contextualSpacing/>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供应商根据对城建档案数字化各环节的认知情况进行</w:t>
            </w:r>
            <w:r>
              <w:rPr>
                <w:rFonts w:hint="eastAsia"/>
                <w:color w:val="000000" w:themeColor="text1"/>
                <w:lang w:val="en-US" w:eastAsia="zh-CN"/>
                <w14:textFill>
                  <w14:solidFill>
                    <w14:schemeClr w14:val="tx1"/>
                  </w14:solidFill>
                </w14:textFill>
              </w:rPr>
              <w:t>线上</w:t>
            </w:r>
            <w:r>
              <w:rPr>
                <w:rFonts w:hint="eastAsia"/>
                <w:color w:val="000000" w:themeColor="text1"/>
                <w14:textFill>
                  <w14:solidFill>
                    <w14:schemeClr w14:val="tx1"/>
                  </w14:solidFill>
                </w14:textFill>
              </w:rPr>
              <w:t>答辩，评标委员根据项目内容现场出题，题目数量为1道，满分1</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分。答辩内容清晰全面</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流畅</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有针对性</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专业性强得1</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分；答辩内容较全面的得</w:t>
            </w:r>
            <w:r>
              <w:rPr>
                <w:rFonts w:hint="eastAsia"/>
                <w:color w:val="000000" w:themeColor="text1"/>
                <w:lang w:val="en-US" w:eastAsia="zh-CN"/>
                <w14:textFill>
                  <w14:solidFill>
                    <w14:schemeClr w14:val="tx1"/>
                  </w14:solidFill>
                </w14:textFill>
              </w:rPr>
              <w:t>12</w:t>
            </w:r>
            <w:r>
              <w:rPr>
                <w:rFonts w:hint="eastAsia"/>
                <w:color w:val="000000" w:themeColor="text1"/>
                <w14:textFill>
                  <w14:solidFill>
                    <w14:schemeClr w14:val="tx1"/>
                  </w14:solidFill>
                </w14:textFill>
              </w:rPr>
              <w:t>分；答辩内容含糊，欠缺较多的得</w:t>
            </w:r>
            <w:r>
              <w:rPr>
                <w:rFonts w:hint="eastAsia"/>
                <w:color w:val="000000" w:themeColor="text1"/>
                <w:lang w:val="en-US" w:eastAsia="zh-CN"/>
                <w14:textFill>
                  <w14:solidFill>
                    <w14:schemeClr w14:val="tx1"/>
                  </w14:solidFill>
                </w14:textFill>
              </w:rPr>
              <w:t>9</w:t>
            </w:r>
            <w:r>
              <w:rPr>
                <w:rFonts w:hint="eastAsia"/>
                <w:color w:val="000000" w:themeColor="text1"/>
                <w14:textFill>
                  <w14:solidFill>
                    <w14:schemeClr w14:val="tx1"/>
                  </w14:solidFill>
                </w14:textFill>
              </w:rPr>
              <w:t>分；</w:t>
            </w:r>
            <w:r>
              <w:rPr>
                <w:rFonts w:hint="eastAsia"/>
                <w:color w:val="000000" w:themeColor="text1"/>
                <w:lang w:val="en-US" w:eastAsia="zh-CN"/>
                <w14:textFill>
                  <w14:solidFill>
                    <w14:schemeClr w14:val="tx1"/>
                  </w14:solidFill>
                </w14:textFill>
              </w:rPr>
              <w:t>答辩内容</w:t>
            </w:r>
            <w:r>
              <w:rPr>
                <w:rFonts w:hint="eastAsia" w:ascii="宋体" w:hAnsi="宋体" w:cs="宋体"/>
                <w:color w:val="000000"/>
                <w:szCs w:val="21"/>
                <w:lang w:val="en-US" w:eastAsia="zh-CN"/>
              </w:rPr>
              <w:t>与题目偏差较大</w:t>
            </w:r>
            <w:r>
              <w:rPr>
                <w:rFonts w:hint="eastAsia" w:ascii="宋体" w:hAnsi="宋体" w:eastAsia="宋体" w:cs="宋体"/>
                <w:color w:val="000000"/>
                <w:szCs w:val="21"/>
              </w:rPr>
              <w:t>得</w:t>
            </w:r>
            <w:r>
              <w:rPr>
                <w:rFonts w:hint="eastAsia" w:ascii="宋体" w:hAnsi="宋体" w:cs="宋体"/>
                <w:color w:val="000000"/>
                <w:szCs w:val="21"/>
                <w:lang w:val="en-US" w:eastAsia="zh-CN"/>
              </w:rPr>
              <w:t>6</w:t>
            </w:r>
            <w:r>
              <w:rPr>
                <w:rFonts w:hint="eastAsia" w:ascii="宋体" w:hAnsi="宋体" w:eastAsia="宋体" w:cs="宋体"/>
                <w:color w:val="000000"/>
                <w:szCs w:val="21"/>
              </w:rPr>
              <w:t>分</w:t>
            </w:r>
            <w:r>
              <w:rPr>
                <w:rFonts w:hint="eastAsia" w:ascii="宋体" w:hAnsi="宋体" w:cs="宋体"/>
                <w:color w:val="000000"/>
                <w:szCs w:val="21"/>
                <w:lang w:eastAsia="zh-CN"/>
              </w:rPr>
              <w:t>；</w:t>
            </w:r>
            <w:r>
              <w:rPr>
                <w:rFonts w:hint="eastAsia"/>
                <w:color w:val="000000" w:themeColor="text1"/>
                <w14:textFill>
                  <w14:solidFill>
                    <w14:schemeClr w14:val="tx1"/>
                  </w14:solidFill>
                </w14:textFill>
              </w:rPr>
              <w:t>未答辩的不得分。（答辩时间不超过5分钟，答辩人须为供应商拟投入本项目的项目组成员，提供身份证原件核验）</w:t>
            </w:r>
          </w:p>
        </w:tc>
        <w:tc>
          <w:tcPr>
            <w:tcW w:w="850" w:type="dxa"/>
            <w:tcBorders>
              <w:top w:val="single" w:color="auto" w:sz="4" w:space="0"/>
              <w:left w:val="single" w:color="auto" w:sz="4" w:space="0"/>
              <w:bottom w:val="single" w:color="auto" w:sz="4" w:space="0"/>
              <w:right w:val="single" w:color="auto" w:sz="4" w:space="0"/>
            </w:tcBorders>
            <w:vAlign w:val="center"/>
          </w:tcPr>
          <w:p w14:paraId="14CDBE5D">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default"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15</w:t>
            </w:r>
          </w:p>
        </w:tc>
      </w:tr>
      <w:tr w14:paraId="487B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right w:val="single" w:color="auto" w:sz="4" w:space="0"/>
            </w:tcBorders>
            <w:vAlign w:val="center"/>
          </w:tcPr>
          <w:p w14:paraId="48B34D01">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5</w:t>
            </w:r>
          </w:p>
        </w:tc>
        <w:tc>
          <w:tcPr>
            <w:tcW w:w="1122" w:type="dxa"/>
            <w:tcBorders>
              <w:top w:val="single" w:color="auto" w:sz="4" w:space="0"/>
              <w:left w:val="single" w:color="auto" w:sz="4" w:space="0"/>
              <w:right w:val="single" w:color="auto" w:sz="4" w:space="0"/>
            </w:tcBorders>
            <w:vAlign w:val="center"/>
          </w:tcPr>
          <w:p w14:paraId="2F1318DF">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企业资信</w:t>
            </w:r>
            <w:r>
              <w:rPr>
                <w:rFonts w:hint="eastAsia" w:ascii="宋体" w:hAnsi="宋体" w:cs="宋体"/>
                <w:bCs/>
                <w:color w:val="000000" w:themeColor="text1"/>
                <w:szCs w:val="21"/>
                <w:lang w:val="en-US" w:eastAsia="zh-CN"/>
                <w14:textFill>
                  <w14:solidFill>
                    <w14:schemeClr w14:val="tx1"/>
                  </w14:solidFill>
                </w14:textFill>
              </w:rPr>
              <w:t>8</w:t>
            </w:r>
            <w:r>
              <w:rPr>
                <w:rFonts w:hint="eastAsia" w:ascii="宋体" w:hAnsi="宋体" w:cs="宋体"/>
                <w:bCs/>
                <w:color w:val="000000" w:themeColor="text1"/>
                <w:szCs w:val="21"/>
                <w14:textFill>
                  <w14:solidFill>
                    <w14:schemeClr w14:val="tx1"/>
                  </w14:solidFill>
                </w14:textFill>
              </w:rPr>
              <w:t>分</w:t>
            </w:r>
          </w:p>
        </w:tc>
        <w:tc>
          <w:tcPr>
            <w:tcW w:w="6644" w:type="dxa"/>
            <w:tcBorders>
              <w:top w:val="single" w:color="auto" w:sz="4" w:space="0"/>
              <w:left w:val="single" w:color="auto" w:sz="4" w:space="0"/>
              <w:bottom w:val="single" w:color="auto" w:sz="4" w:space="0"/>
              <w:right w:val="single" w:color="auto" w:sz="4" w:space="0"/>
            </w:tcBorders>
            <w:vAlign w:val="center"/>
          </w:tcPr>
          <w:p w14:paraId="1CAE353F">
            <w:pPr>
              <w:keepNext w:val="0"/>
              <w:keepLines w:val="0"/>
              <w:pageBreakBefore w:val="0"/>
              <w:widowControl/>
              <w:kinsoku/>
              <w:wordWrap/>
              <w:overflowPunct/>
              <w:topLinePunct w:val="0"/>
              <w:autoSpaceDE/>
              <w:autoSpaceDN/>
              <w:bidi w:val="0"/>
              <w:adjustRightInd w:val="0"/>
              <w:spacing w:line="360" w:lineRule="auto"/>
              <w:ind w:firstLine="0" w:firstLineChars="0"/>
              <w:contextualSpacing/>
              <w:textAlignment w:val="auto"/>
              <w:rPr>
                <w:rFonts w:ascii="宋体" w:hAnsi="宋体" w:cs="宋体"/>
                <w:bCs/>
                <w:color w:val="auto"/>
                <w:szCs w:val="21"/>
                <w:highlight w:val="none"/>
              </w:rPr>
            </w:pPr>
            <w:r>
              <w:rPr>
                <w:rFonts w:hint="eastAsia" w:ascii="宋体" w:hAnsi="宋体" w:cs="宋体"/>
                <w:bCs/>
                <w:color w:val="auto"/>
                <w:szCs w:val="21"/>
                <w:highlight w:val="none"/>
              </w:rPr>
              <w:t>1、供应商具备有效期内的国家和涉密载体印制（涉密档案数字化加工）乙级</w:t>
            </w:r>
            <w:r>
              <w:rPr>
                <w:rFonts w:hint="eastAsia" w:ascii="宋体" w:hAnsi="宋体" w:cs="宋体"/>
                <w:bCs/>
                <w:color w:val="auto"/>
                <w:szCs w:val="21"/>
                <w:highlight w:val="none"/>
                <w:lang w:val="en-US" w:eastAsia="zh-CN"/>
              </w:rPr>
              <w:t>及以上</w:t>
            </w:r>
            <w:r>
              <w:rPr>
                <w:rFonts w:hint="eastAsia" w:ascii="宋体" w:hAnsi="宋体" w:cs="宋体"/>
                <w:bCs/>
                <w:color w:val="auto"/>
                <w:szCs w:val="21"/>
                <w:highlight w:val="none"/>
              </w:rPr>
              <w:t>证书得</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分，没有不得分。</w:t>
            </w:r>
            <w:r>
              <w:rPr>
                <w:rFonts w:hint="eastAsia"/>
                <w:color w:val="auto"/>
                <w:highlight w:val="none"/>
              </w:rPr>
              <w:t>（提供证书复印件加盖公章）</w:t>
            </w:r>
          </w:p>
          <w:p w14:paraId="08FA67EF">
            <w:pPr>
              <w:pStyle w:val="2"/>
              <w:keepNext w:val="0"/>
              <w:keepLines w:val="0"/>
              <w:pageBreakBefore w:val="0"/>
              <w:kinsoku/>
              <w:wordWrap/>
              <w:overflowPunct/>
              <w:topLinePunct w:val="0"/>
              <w:autoSpaceDE/>
              <w:autoSpaceDN/>
              <w:bidi w:val="0"/>
              <w:spacing w:after="0" w:line="360" w:lineRule="auto"/>
              <w:ind w:left="0" w:leftChars="0" w:firstLine="0" w:firstLineChars="0"/>
              <w:textAlignment w:val="auto"/>
              <w:rPr>
                <w:color w:val="auto"/>
                <w:highlight w:val="none"/>
              </w:rPr>
            </w:pPr>
            <w:r>
              <w:rPr>
                <w:color w:val="auto"/>
                <w:highlight w:val="none"/>
              </w:rPr>
              <w:t>2、</w:t>
            </w:r>
            <w:r>
              <w:rPr>
                <w:rFonts w:hint="eastAsia"/>
                <w:color w:val="auto"/>
                <w:highlight w:val="none"/>
              </w:rPr>
              <w:t>供应商具有档案数字化加工系统相关软件著作权</w:t>
            </w:r>
            <w:r>
              <w:rPr>
                <w:rFonts w:hint="eastAsia"/>
                <w:color w:val="auto"/>
                <w:highlight w:val="none"/>
                <w:lang w:val="en-US" w:eastAsia="zh-CN"/>
              </w:rPr>
              <w:t>证书</w:t>
            </w:r>
            <w:r>
              <w:rPr>
                <w:rFonts w:hint="eastAsia"/>
                <w:color w:val="auto"/>
                <w:highlight w:val="none"/>
              </w:rPr>
              <w:t>的，每提供一个得2分，最多得6分。（提供证书复印件加盖公章）</w:t>
            </w:r>
          </w:p>
        </w:tc>
        <w:tc>
          <w:tcPr>
            <w:tcW w:w="850" w:type="dxa"/>
            <w:tcBorders>
              <w:top w:val="single" w:color="auto" w:sz="4" w:space="0"/>
              <w:left w:val="single" w:color="auto" w:sz="4" w:space="0"/>
              <w:bottom w:val="single" w:color="auto" w:sz="4" w:space="0"/>
              <w:right w:val="single" w:color="auto" w:sz="4" w:space="0"/>
            </w:tcBorders>
            <w:vAlign w:val="center"/>
          </w:tcPr>
          <w:p w14:paraId="3976E9DD">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8</w:t>
            </w:r>
          </w:p>
        </w:tc>
      </w:tr>
      <w:tr w14:paraId="7F7B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tcBorders>
              <w:top w:val="single" w:color="auto" w:sz="4" w:space="0"/>
              <w:left w:val="single" w:color="auto" w:sz="4" w:space="0"/>
              <w:right w:val="single" w:color="auto" w:sz="4" w:space="0"/>
            </w:tcBorders>
            <w:vAlign w:val="center"/>
          </w:tcPr>
          <w:p w14:paraId="3E782A38">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6</w:t>
            </w:r>
            <w:r>
              <w:rPr>
                <w:rFonts w:hint="eastAsia" w:ascii="宋体" w:hAnsi="宋体" w:cs="宋体"/>
                <w:bCs/>
                <w:color w:val="000000" w:themeColor="text1"/>
                <w:szCs w:val="21"/>
                <w14:textFill>
                  <w14:solidFill>
                    <w14:schemeClr w14:val="tx1"/>
                  </w14:solidFill>
                </w14:textFill>
              </w:rPr>
              <w:t>.1</w:t>
            </w:r>
          </w:p>
        </w:tc>
        <w:tc>
          <w:tcPr>
            <w:tcW w:w="1122" w:type="dxa"/>
            <w:vMerge w:val="restart"/>
            <w:tcBorders>
              <w:top w:val="nil"/>
              <w:left w:val="single" w:color="auto" w:sz="4" w:space="0"/>
              <w:right w:val="single" w:color="auto" w:sz="4" w:space="0"/>
            </w:tcBorders>
            <w:vAlign w:val="center"/>
          </w:tcPr>
          <w:p w14:paraId="64AFBAD3">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投入人员</w:t>
            </w:r>
          </w:p>
          <w:p w14:paraId="454CB6E0">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16</w:t>
            </w:r>
            <w:r>
              <w:rPr>
                <w:rFonts w:hint="eastAsia" w:ascii="宋体" w:hAnsi="宋体" w:cs="宋体"/>
                <w:bCs/>
                <w:color w:val="000000" w:themeColor="text1"/>
                <w:szCs w:val="21"/>
                <w14:textFill>
                  <w14:solidFill>
                    <w14:schemeClr w14:val="tx1"/>
                  </w14:solidFill>
                </w14:textFill>
              </w:rPr>
              <w:t>分</w:t>
            </w:r>
          </w:p>
        </w:tc>
        <w:tc>
          <w:tcPr>
            <w:tcW w:w="6644" w:type="dxa"/>
            <w:tcBorders>
              <w:top w:val="single" w:color="auto" w:sz="4" w:space="0"/>
              <w:left w:val="single" w:color="auto" w:sz="4" w:space="0"/>
              <w:bottom w:val="single" w:color="auto" w:sz="4" w:space="0"/>
              <w:right w:val="single" w:color="auto" w:sz="4" w:space="0"/>
            </w:tcBorders>
            <w:vAlign w:val="center"/>
          </w:tcPr>
          <w:p w14:paraId="05CEFCE7">
            <w:pPr>
              <w:keepNext w:val="0"/>
              <w:keepLines w:val="0"/>
              <w:pageBreakBefore w:val="0"/>
              <w:widowControl/>
              <w:kinsoku/>
              <w:wordWrap/>
              <w:overflowPunct/>
              <w:topLinePunct w:val="0"/>
              <w:autoSpaceDE/>
              <w:autoSpaceDN/>
              <w:bidi w:val="0"/>
              <w:adjustRightInd w:val="0"/>
              <w:spacing w:line="360" w:lineRule="auto"/>
              <w:ind w:firstLine="0" w:firstLineChars="0"/>
              <w:contextualSpacing/>
              <w:textAlignment w:val="auto"/>
              <w:rPr>
                <w:rFonts w:ascii="宋体" w:hAnsi="宋体" w:cs="宋体"/>
                <w:bCs/>
                <w:color w:val="auto"/>
                <w:szCs w:val="21"/>
              </w:rPr>
            </w:pPr>
            <w:r>
              <w:rPr>
                <w:rFonts w:hint="eastAsia" w:ascii="宋体" w:hAnsi="宋体" w:cs="宋体"/>
                <w:bCs/>
                <w:color w:val="auto"/>
                <w:szCs w:val="21"/>
              </w:rPr>
              <w:t>供应商拟投入项目负责人具有人社部门或档案主管部门颁发的档案专业中级及以上职称的得</w:t>
            </w:r>
            <w:r>
              <w:rPr>
                <w:rFonts w:hint="eastAsia" w:ascii="宋体" w:hAnsi="宋体" w:cs="宋体"/>
                <w:bCs/>
                <w:color w:val="auto"/>
                <w:szCs w:val="21"/>
                <w:lang w:val="en-US" w:eastAsia="zh-CN"/>
              </w:rPr>
              <w:t>5</w:t>
            </w:r>
            <w:r>
              <w:rPr>
                <w:rFonts w:hint="eastAsia" w:ascii="宋体" w:hAnsi="宋体" w:cs="宋体"/>
                <w:bCs/>
                <w:color w:val="auto"/>
                <w:szCs w:val="21"/>
              </w:rPr>
              <w:t>分，最多得</w:t>
            </w:r>
            <w:r>
              <w:rPr>
                <w:rFonts w:hint="eastAsia" w:ascii="宋体" w:hAnsi="宋体" w:cs="宋体"/>
                <w:bCs/>
                <w:color w:val="auto"/>
                <w:szCs w:val="21"/>
                <w:lang w:val="en-US" w:eastAsia="zh-CN"/>
              </w:rPr>
              <w:t>5</w:t>
            </w:r>
            <w:r>
              <w:rPr>
                <w:rFonts w:hint="eastAsia" w:ascii="宋体" w:hAnsi="宋体" w:cs="宋体"/>
                <w:bCs/>
                <w:color w:val="auto"/>
                <w:szCs w:val="21"/>
              </w:rPr>
              <w:t>分</w:t>
            </w:r>
            <w:r>
              <w:rPr>
                <w:rFonts w:hint="eastAsia" w:ascii="宋体" w:hAnsi="宋体" w:cs="宋体"/>
                <w:bCs/>
                <w:color w:val="auto"/>
                <w:szCs w:val="21"/>
                <w:lang w:eastAsia="zh-CN"/>
              </w:rPr>
              <w:t>。</w:t>
            </w:r>
            <w:r>
              <w:rPr>
                <w:rFonts w:hint="eastAsia" w:ascii="宋体" w:hAnsi="宋体" w:cs="宋体"/>
                <w:bCs/>
                <w:color w:val="auto"/>
                <w:szCs w:val="21"/>
              </w:rPr>
              <w:t>（提供相关证书及供应商为为缴纳的2024年任意一个月的社保证明材料（若为退休人员须提供退休证明及劳务合同）复印件并加盖公章）</w:t>
            </w:r>
          </w:p>
        </w:tc>
        <w:tc>
          <w:tcPr>
            <w:tcW w:w="850" w:type="dxa"/>
            <w:tcBorders>
              <w:top w:val="single" w:color="auto" w:sz="4" w:space="0"/>
              <w:left w:val="single" w:color="auto" w:sz="4" w:space="0"/>
              <w:bottom w:val="single" w:color="auto" w:sz="4" w:space="0"/>
              <w:right w:val="single" w:color="auto" w:sz="4" w:space="0"/>
            </w:tcBorders>
            <w:vAlign w:val="center"/>
          </w:tcPr>
          <w:p w14:paraId="14E36160">
            <w:pPr>
              <w:keepNext w:val="0"/>
              <w:keepLines w:val="0"/>
              <w:pageBreakBefore w:val="0"/>
              <w:widowControl/>
              <w:kinsoku/>
              <w:wordWrap/>
              <w:overflowPunct/>
              <w:topLinePunct w:val="0"/>
              <w:autoSpaceDE/>
              <w:autoSpaceDN/>
              <w:bidi w:val="0"/>
              <w:adjustRightInd w:val="0"/>
              <w:spacing w:line="360" w:lineRule="auto"/>
              <w:ind w:firstLine="0" w:firstLineChars="0"/>
              <w:contextualSpacing/>
              <w:jc w:val="center"/>
              <w:textAlignment w:val="auto"/>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5</w:t>
            </w:r>
          </w:p>
        </w:tc>
      </w:tr>
      <w:tr w14:paraId="0A7B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tcBorders>
              <w:left w:val="single" w:color="auto" w:sz="4" w:space="0"/>
              <w:right w:val="single" w:color="auto" w:sz="4" w:space="0"/>
            </w:tcBorders>
            <w:vAlign w:val="center"/>
          </w:tcPr>
          <w:p w14:paraId="3D35BF63">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default"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6.2</w:t>
            </w:r>
          </w:p>
        </w:tc>
        <w:tc>
          <w:tcPr>
            <w:tcW w:w="1122" w:type="dxa"/>
            <w:vMerge w:val="continue"/>
            <w:tcBorders>
              <w:left w:val="single" w:color="auto" w:sz="4" w:space="0"/>
              <w:right w:val="single" w:color="auto" w:sz="4" w:space="0"/>
            </w:tcBorders>
            <w:vAlign w:val="center"/>
          </w:tcPr>
          <w:p w14:paraId="30CFB351">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pPr>
          </w:p>
        </w:tc>
        <w:tc>
          <w:tcPr>
            <w:tcW w:w="6644" w:type="dxa"/>
            <w:tcBorders>
              <w:top w:val="single" w:color="auto" w:sz="4" w:space="0"/>
              <w:left w:val="single" w:color="auto" w:sz="4" w:space="0"/>
              <w:bottom w:val="single" w:color="auto" w:sz="4" w:space="0"/>
              <w:right w:val="single" w:color="auto" w:sz="4" w:space="0"/>
            </w:tcBorders>
            <w:vAlign w:val="center"/>
          </w:tcPr>
          <w:p w14:paraId="2A42D820">
            <w:pPr>
              <w:keepNext w:val="0"/>
              <w:keepLines w:val="0"/>
              <w:pageBreakBefore w:val="0"/>
              <w:widowControl/>
              <w:kinsoku/>
              <w:wordWrap/>
              <w:overflowPunct/>
              <w:topLinePunct w:val="0"/>
              <w:autoSpaceDE/>
              <w:autoSpaceDN/>
              <w:bidi w:val="0"/>
              <w:adjustRightInd w:val="0"/>
              <w:spacing w:line="360" w:lineRule="auto"/>
              <w:ind w:firstLine="0" w:firstLineChars="0"/>
              <w:contextualSpacing/>
              <w:textAlignment w:val="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供应商拟投入本项目的现场服务人员</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不含项目负责人</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，具备人社部门或档案主管部门颁发的档案专业初级</w:t>
            </w:r>
            <w:r>
              <w:rPr>
                <w:rFonts w:hint="eastAsia" w:ascii="宋体" w:hAnsi="宋体" w:cs="宋体"/>
                <w:bCs/>
                <w:color w:val="000000" w:themeColor="text1"/>
                <w:szCs w:val="21"/>
                <w:lang w:val="en-US" w:eastAsia="zh-CN"/>
                <w14:textFill>
                  <w14:solidFill>
                    <w14:schemeClr w14:val="tx1"/>
                  </w14:solidFill>
                </w14:textFill>
              </w:rPr>
              <w:t>及以上</w:t>
            </w:r>
            <w:r>
              <w:rPr>
                <w:rFonts w:hint="eastAsia" w:ascii="宋体" w:hAnsi="宋体" w:cs="宋体"/>
                <w:bCs/>
                <w:color w:val="000000" w:themeColor="text1"/>
                <w:szCs w:val="21"/>
                <w14:textFill>
                  <w14:solidFill>
                    <w14:schemeClr w14:val="tx1"/>
                  </w14:solidFill>
                </w14:textFill>
              </w:rPr>
              <w:t>职称的，每提供一个得1分，最多得3分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（提供相关证书及供应商为</w:t>
            </w:r>
            <w:r>
              <w:rPr>
                <w:rFonts w:hint="eastAsia" w:ascii="宋体" w:hAnsi="宋体" w:cs="宋体"/>
                <w:bCs/>
                <w:color w:val="000000" w:themeColor="text1"/>
                <w:szCs w:val="21"/>
                <w:lang w:val="en-US" w:eastAsia="zh-CN"/>
                <w14:textFill>
                  <w14:solidFill>
                    <w14:schemeClr w14:val="tx1"/>
                  </w14:solidFill>
                </w14:textFill>
              </w:rPr>
              <w:t>上述人员</w:t>
            </w:r>
            <w:r>
              <w:rPr>
                <w:rFonts w:hint="eastAsia" w:ascii="宋体" w:hAnsi="宋体" w:cs="宋体"/>
                <w:bCs/>
                <w:color w:val="000000" w:themeColor="text1"/>
                <w:szCs w:val="21"/>
                <w14:textFill>
                  <w14:solidFill>
                    <w14:schemeClr w14:val="tx1"/>
                  </w14:solidFill>
                </w14:textFill>
              </w:rPr>
              <w:t>缴纳的2024年任意一个月的社保证明材料（若为退休人员须提供退休证明及劳务合同）复印件并加盖公章）</w:t>
            </w:r>
          </w:p>
        </w:tc>
        <w:tc>
          <w:tcPr>
            <w:tcW w:w="850" w:type="dxa"/>
            <w:tcBorders>
              <w:top w:val="single" w:color="auto" w:sz="4" w:space="0"/>
              <w:left w:val="single" w:color="auto" w:sz="4" w:space="0"/>
              <w:bottom w:val="single" w:color="auto" w:sz="4" w:space="0"/>
              <w:right w:val="single" w:color="auto" w:sz="4" w:space="0"/>
            </w:tcBorders>
            <w:vAlign w:val="center"/>
          </w:tcPr>
          <w:p w14:paraId="4CB0249C">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3</w:t>
            </w:r>
          </w:p>
        </w:tc>
      </w:tr>
      <w:tr w14:paraId="2A91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tcBorders>
              <w:left w:val="single" w:color="auto" w:sz="4" w:space="0"/>
              <w:bottom w:val="single" w:color="auto" w:sz="4" w:space="0"/>
              <w:right w:val="single" w:color="auto" w:sz="4" w:space="0"/>
            </w:tcBorders>
            <w:vAlign w:val="center"/>
          </w:tcPr>
          <w:p w14:paraId="5ED90162">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default"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6.3</w:t>
            </w:r>
          </w:p>
        </w:tc>
        <w:tc>
          <w:tcPr>
            <w:tcW w:w="1122" w:type="dxa"/>
            <w:vMerge w:val="continue"/>
            <w:tcBorders>
              <w:left w:val="single" w:color="auto" w:sz="4" w:space="0"/>
              <w:right w:val="single" w:color="auto" w:sz="4" w:space="0"/>
            </w:tcBorders>
            <w:vAlign w:val="center"/>
          </w:tcPr>
          <w:p w14:paraId="6526BDFA">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eastAsia" w:ascii="宋体" w:hAnsi="宋体" w:cs="宋体"/>
                <w:bCs/>
                <w:color w:val="000000" w:themeColor="text1"/>
                <w:szCs w:val="21"/>
                <w14:textFill>
                  <w14:solidFill>
                    <w14:schemeClr w14:val="tx1"/>
                  </w14:solidFill>
                </w14:textFill>
              </w:rPr>
            </w:pPr>
          </w:p>
        </w:tc>
        <w:tc>
          <w:tcPr>
            <w:tcW w:w="6644" w:type="dxa"/>
            <w:tcBorders>
              <w:top w:val="single" w:color="auto" w:sz="4" w:space="0"/>
              <w:left w:val="single" w:color="auto" w:sz="4" w:space="0"/>
              <w:bottom w:val="single" w:color="auto" w:sz="4" w:space="0"/>
              <w:right w:val="single" w:color="auto" w:sz="4" w:space="0"/>
            </w:tcBorders>
            <w:vAlign w:val="center"/>
          </w:tcPr>
          <w:p w14:paraId="38350987">
            <w:pPr>
              <w:keepNext w:val="0"/>
              <w:keepLines w:val="0"/>
              <w:pageBreakBefore w:val="0"/>
              <w:widowControl/>
              <w:kinsoku/>
              <w:wordWrap/>
              <w:overflowPunct/>
              <w:topLinePunct w:val="0"/>
              <w:autoSpaceDE/>
              <w:autoSpaceDN/>
              <w:bidi w:val="0"/>
              <w:adjustRightInd w:val="0"/>
              <w:spacing w:line="360" w:lineRule="auto"/>
              <w:ind w:firstLine="0" w:firstLineChars="0"/>
              <w:contextualSpacing/>
              <w:textAlignment w:val="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供应商拟投入本项目的现场服务人员参加过档案专业的学习，每提供一个培训证书或学习证书得1分，最多得</w:t>
            </w:r>
            <w:r>
              <w:rPr>
                <w:rFonts w:hint="eastAsia" w:ascii="宋体" w:hAnsi="宋体" w:cs="宋体"/>
                <w:bCs/>
                <w:color w:val="000000" w:themeColor="text1"/>
                <w:szCs w:val="21"/>
                <w:lang w:val="en-US" w:eastAsia="zh-CN"/>
                <w14:textFill>
                  <w14:solidFill>
                    <w14:schemeClr w14:val="tx1"/>
                  </w14:solidFill>
                </w14:textFill>
              </w:rPr>
              <w:t>4</w:t>
            </w:r>
            <w:r>
              <w:rPr>
                <w:rFonts w:hint="eastAsia" w:ascii="宋体" w:hAnsi="宋体" w:cs="宋体"/>
                <w:bCs/>
                <w:color w:val="000000" w:themeColor="text1"/>
                <w:szCs w:val="21"/>
                <w14:textFill>
                  <w14:solidFill>
                    <w14:schemeClr w14:val="tx1"/>
                  </w14:solidFill>
                </w14:textFill>
              </w:rPr>
              <w:t>分。（提供相关证书及供应商为</w:t>
            </w:r>
            <w:r>
              <w:rPr>
                <w:rFonts w:hint="eastAsia" w:ascii="宋体" w:hAnsi="宋体" w:cs="宋体"/>
                <w:bCs/>
                <w:color w:val="000000" w:themeColor="text1"/>
                <w:szCs w:val="21"/>
                <w:lang w:val="en-US" w:eastAsia="zh-CN"/>
                <w14:textFill>
                  <w14:solidFill>
                    <w14:schemeClr w14:val="tx1"/>
                  </w14:solidFill>
                </w14:textFill>
              </w:rPr>
              <w:t>上述人员</w:t>
            </w:r>
            <w:r>
              <w:rPr>
                <w:rFonts w:hint="eastAsia" w:ascii="宋体" w:hAnsi="宋体" w:cs="宋体"/>
                <w:bCs/>
                <w:color w:val="000000" w:themeColor="text1"/>
                <w:szCs w:val="21"/>
                <w14:textFill>
                  <w14:solidFill>
                    <w14:schemeClr w14:val="tx1"/>
                  </w14:solidFill>
                </w14:textFill>
              </w:rPr>
              <w:t>缴纳的2024年任意一个月的社保证明材料（若为退休人员须提供退休证明及劳务合同）复印件并加盖公章）</w:t>
            </w:r>
          </w:p>
        </w:tc>
        <w:tc>
          <w:tcPr>
            <w:tcW w:w="850" w:type="dxa"/>
            <w:tcBorders>
              <w:top w:val="single" w:color="auto" w:sz="4" w:space="0"/>
              <w:left w:val="single" w:color="auto" w:sz="4" w:space="0"/>
              <w:bottom w:val="single" w:color="auto" w:sz="4" w:space="0"/>
              <w:right w:val="single" w:color="auto" w:sz="4" w:space="0"/>
            </w:tcBorders>
            <w:vAlign w:val="center"/>
          </w:tcPr>
          <w:p w14:paraId="44599148">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default"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4</w:t>
            </w:r>
          </w:p>
        </w:tc>
      </w:tr>
      <w:tr w14:paraId="07AB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EB06539">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color w:val="000000" w:themeColor="text1"/>
                <w:szCs w:val="21"/>
                <w:lang w:val="en-US" w:eastAsia="zh-CN"/>
                <w14:textFill>
                  <w14:solidFill>
                    <w14:schemeClr w14:val="tx1"/>
                  </w14:solidFill>
                </w14:textFill>
              </w:rPr>
            </w:pPr>
            <w:r>
              <w:rPr>
                <w:rFonts w:ascii="宋体" w:hAnsi="宋体" w:cs="宋体"/>
                <w:bCs/>
                <w:color w:val="000000" w:themeColor="text1"/>
                <w:szCs w:val="21"/>
                <w14:textFill>
                  <w14:solidFill>
                    <w14:schemeClr w14:val="tx1"/>
                  </w14:solidFill>
                </w14:textFill>
              </w:rPr>
              <w:t>6</w:t>
            </w:r>
            <w:r>
              <w:rPr>
                <w:rFonts w:hint="eastAsia" w:ascii="宋体" w:hAnsi="宋体" w:cs="宋体"/>
                <w:bCs/>
                <w:color w:val="000000" w:themeColor="text1"/>
                <w:szCs w:val="21"/>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4</w:t>
            </w:r>
          </w:p>
        </w:tc>
        <w:tc>
          <w:tcPr>
            <w:tcW w:w="1122" w:type="dxa"/>
            <w:vMerge w:val="continue"/>
            <w:tcBorders>
              <w:left w:val="single" w:color="auto" w:sz="4" w:space="0"/>
              <w:right w:val="single" w:color="auto" w:sz="4" w:space="0"/>
            </w:tcBorders>
            <w:vAlign w:val="center"/>
          </w:tcPr>
          <w:p w14:paraId="33536815">
            <w:pPr>
              <w:keepNext w:val="0"/>
              <w:keepLines w:val="0"/>
              <w:pageBreakBefore w:val="0"/>
              <w:widowControl/>
              <w:kinsoku/>
              <w:wordWrap/>
              <w:overflowPunct/>
              <w:topLinePunct w:val="0"/>
              <w:autoSpaceDE/>
              <w:autoSpaceDN/>
              <w:bidi w:val="0"/>
              <w:spacing w:line="360" w:lineRule="auto"/>
              <w:ind w:firstLine="0" w:firstLineChars="0"/>
              <w:textAlignment w:val="auto"/>
              <w:rPr>
                <w:rFonts w:ascii="宋体" w:hAnsi="宋体" w:cs="宋体"/>
                <w:bCs/>
                <w:color w:val="000000" w:themeColor="text1"/>
                <w:szCs w:val="21"/>
                <w14:textFill>
                  <w14:solidFill>
                    <w14:schemeClr w14:val="tx1"/>
                  </w14:solidFill>
                </w14:textFill>
              </w:rPr>
            </w:pPr>
          </w:p>
        </w:tc>
        <w:tc>
          <w:tcPr>
            <w:tcW w:w="6644" w:type="dxa"/>
            <w:tcBorders>
              <w:top w:val="single" w:color="auto" w:sz="4" w:space="0"/>
              <w:left w:val="single" w:color="auto" w:sz="4" w:space="0"/>
              <w:bottom w:val="single" w:color="auto" w:sz="4" w:space="0"/>
              <w:right w:val="single" w:color="auto" w:sz="4" w:space="0"/>
            </w:tcBorders>
            <w:vAlign w:val="center"/>
          </w:tcPr>
          <w:p w14:paraId="27B8F05E">
            <w:pPr>
              <w:keepNext w:val="0"/>
              <w:keepLines w:val="0"/>
              <w:pageBreakBefore w:val="0"/>
              <w:widowControl/>
              <w:kinsoku/>
              <w:wordWrap/>
              <w:overflowPunct/>
              <w:topLinePunct w:val="0"/>
              <w:autoSpaceDE/>
              <w:autoSpaceDN/>
              <w:bidi w:val="0"/>
              <w:adjustRightInd w:val="0"/>
              <w:spacing w:line="360" w:lineRule="auto"/>
              <w:ind w:firstLine="0" w:firstLineChars="0"/>
              <w:contextualSpacing/>
              <w:textAlignment w:val="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供应商承诺项目</w:t>
            </w:r>
            <w:r>
              <w:rPr>
                <w:rFonts w:hint="eastAsia" w:ascii="宋体" w:hAnsi="宋体" w:cs="宋体"/>
                <w:bCs/>
                <w:color w:val="000000" w:themeColor="text1"/>
                <w:szCs w:val="21"/>
                <w:lang w:val="en-US" w:eastAsia="zh-CN"/>
                <w14:textFill>
                  <w14:solidFill>
                    <w14:schemeClr w14:val="tx1"/>
                  </w14:solidFill>
                </w14:textFill>
              </w:rPr>
              <w:t>负责人</w:t>
            </w:r>
            <w:r>
              <w:rPr>
                <w:rFonts w:hint="eastAsia" w:ascii="宋体" w:hAnsi="宋体" w:cs="宋体"/>
                <w:bCs/>
                <w:color w:val="000000" w:themeColor="text1"/>
                <w:szCs w:val="21"/>
                <w14:textFill>
                  <w14:solidFill>
                    <w14:schemeClr w14:val="tx1"/>
                  </w14:solidFill>
                </w14:textFill>
              </w:rPr>
              <w:t>每年驻场时间为全年的得4分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驻场</w:t>
            </w:r>
            <w:bookmarkStart w:id="22" w:name="_GoBack"/>
            <w:bookmarkEnd w:id="22"/>
            <w:r>
              <w:rPr>
                <w:rFonts w:hint="eastAsia" w:ascii="宋体" w:hAnsi="宋体" w:cs="宋体"/>
                <w:bCs/>
                <w:color w:val="000000" w:themeColor="text1"/>
                <w:szCs w:val="21"/>
                <w14:textFill>
                  <w14:solidFill>
                    <w14:schemeClr w14:val="tx1"/>
                  </w14:solidFill>
                </w14:textFill>
              </w:rPr>
              <w:t>时间为六个月</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不含</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到一年</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不含</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的得2分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驻场时间为</w:t>
            </w:r>
            <w:r>
              <w:rPr>
                <w:rFonts w:hint="eastAsia" w:ascii="宋体" w:hAnsi="宋体" w:cs="宋体"/>
                <w:bCs/>
                <w:color w:val="000000" w:themeColor="text1"/>
                <w:szCs w:val="21"/>
                <w:lang w:val="en-US" w:eastAsia="zh-CN"/>
                <w14:textFill>
                  <w14:solidFill>
                    <w14:schemeClr w14:val="tx1"/>
                  </w14:solidFill>
                </w14:textFill>
              </w:rPr>
              <w:t>六</w:t>
            </w:r>
            <w:r>
              <w:rPr>
                <w:rFonts w:hint="eastAsia" w:ascii="宋体" w:hAnsi="宋体" w:cs="宋体"/>
                <w:bCs/>
                <w:color w:val="000000" w:themeColor="text1"/>
                <w:szCs w:val="21"/>
                <w14:textFill>
                  <w14:solidFill>
                    <w14:schemeClr w14:val="tx1"/>
                  </w14:solidFill>
                </w14:textFill>
              </w:rPr>
              <w:t>个月及以下的不得分</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（提供承诺书原件加盖公章，未提供不得分）</w:t>
            </w:r>
          </w:p>
        </w:tc>
        <w:tc>
          <w:tcPr>
            <w:tcW w:w="850" w:type="dxa"/>
            <w:tcBorders>
              <w:top w:val="single" w:color="auto" w:sz="4" w:space="0"/>
              <w:left w:val="single" w:color="auto" w:sz="4" w:space="0"/>
              <w:bottom w:val="single" w:color="auto" w:sz="4" w:space="0"/>
              <w:right w:val="single" w:color="auto" w:sz="4" w:space="0"/>
            </w:tcBorders>
            <w:vAlign w:val="center"/>
          </w:tcPr>
          <w:p w14:paraId="2798E636">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4</w:t>
            </w:r>
          </w:p>
        </w:tc>
      </w:tr>
      <w:tr w14:paraId="1CF3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94B51D0">
            <w:pPr>
              <w:keepNext w:val="0"/>
              <w:keepLines w:val="0"/>
              <w:pageBreakBefore w:val="0"/>
              <w:widowControl/>
              <w:kinsoku/>
              <w:wordWrap/>
              <w:overflowPunct/>
              <w:topLinePunct w:val="0"/>
              <w:autoSpaceDE/>
              <w:autoSpaceDN/>
              <w:bidi w:val="0"/>
              <w:snapToGrid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vAlign w:val="center"/>
          </w:tcPr>
          <w:p w14:paraId="4FE75374">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合计</w:t>
            </w:r>
          </w:p>
        </w:tc>
        <w:tc>
          <w:tcPr>
            <w:tcW w:w="6644" w:type="dxa"/>
            <w:tcBorders>
              <w:top w:val="single" w:color="auto" w:sz="4" w:space="0"/>
              <w:left w:val="single" w:color="auto" w:sz="4" w:space="0"/>
              <w:bottom w:val="single" w:color="auto" w:sz="4" w:space="0"/>
              <w:right w:val="single" w:color="auto" w:sz="4" w:space="0"/>
            </w:tcBorders>
            <w:vAlign w:val="center"/>
          </w:tcPr>
          <w:p w14:paraId="027365AE">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100分</w:t>
            </w:r>
          </w:p>
        </w:tc>
        <w:tc>
          <w:tcPr>
            <w:tcW w:w="850" w:type="dxa"/>
            <w:tcBorders>
              <w:top w:val="single" w:color="auto" w:sz="4" w:space="0"/>
              <w:left w:val="single" w:color="auto" w:sz="4" w:space="0"/>
              <w:bottom w:val="single" w:color="auto" w:sz="4" w:space="0"/>
              <w:right w:val="single" w:color="auto" w:sz="4" w:space="0"/>
            </w:tcBorders>
            <w:vAlign w:val="center"/>
          </w:tcPr>
          <w:p w14:paraId="3EB2B038">
            <w:pPr>
              <w:keepNext w:val="0"/>
              <w:keepLines w:val="0"/>
              <w:pageBreakBefore w:val="0"/>
              <w:kinsoku/>
              <w:wordWrap/>
              <w:overflowPunct/>
              <w:topLinePunct w:val="0"/>
              <w:autoSpaceDE/>
              <w:autoSpaceDN/>
              <w:bidi w:val="0"/>
              <w:spacing w:line="360" w:lineRule="auto"/>
              <w:ind w:firstLine="0" w:firstLineChars="0"/>
              <w:jc w:val="center"/>
              <w:textAlignment w:val="auto"/>
              <w:rPr>
                <w:rFonts w:ascii="宋体" w:hAnsi="宋体" w:cs="宋体"/>
                <w:bCs/>
                <w:color w:val="000000" w:themeColor="text1"/>
                <w:szCs w:val="21"/>
                <w14:textFill>
                  <w14:solidFill>
                    <w14:schemeClr w14:val="tx1"/>
                  </w14:solidFill>
                </w14:textFill>
              </w:rPr>
            </w:pPr>
          </w:p>
        </w:tc>
      </w:tr>
    </w:tbl>
    <w:p w14:paraId="22E23B5A">
      <w:pPr>
        <w:pStyle w:val="56"/>
        <w:rPr>
          <w:rFonts w:hint="eastAsia" w:ascii="宋体" w:hAnsi="宋体" w:cs="宋体"/>
          <w:color w:val="000000"/>
          <w:szCs w:val="21"/>
        </w:rPr>
      </w:pPr>
    </w:p>
    <w:p w14:paraId="54EF05F9">
      <w:pPr>
        <w:spacing w:line="360" w:lineRule="auto"/>
        <w:ind w:firstLine="420" w:firstLineChars="200"/>
      </w:pPr>
      <w:r>
        <w:rPr>
          <w:rFonts w:hint="eastAsia" w:ascii="宋体" w:hAnsi="宋体" w:cs="宋体"/>
          <w:b/>
          <w:color w:val="000000"/>
          <w:szCs w:val="21"/>
          <w:lang w:bidi="ar"/>
        </w:rPr>
        <w:t>说明：</w:t>
      </w:r>
    </w:p>
    <w:p w14:paraId="54361756">
      <w:pPr>
        <w:widowControl/>
        <w:spacing w:line="360" w:lineRule="auto"/>
        <w:ind w:firstLine="420" w:firstLineChars="200"/>
        <w:jc w:val="left"/>
        <w:rPr>
          <w:rFonts w:ascii="宋体" w:hAnsi="宋体" w:cs="宋体"/>
          <w:szCs w:val="21"/>
        </w:rPr>
      </w:pPr>
      <w:r>
        <w:rPr>
          <w:rFonts w:hint="eastAsia" w:ascii="宋体" w:hAnsi="宋体" w:cs="宋体"/>
          <w:szCs w:val="21"/>
        </w:rPr>
        <w:t xml:space="preserve">1、实质性要求不得负偏离；否则，按照无效投标处理。 </w:t>
      </w:r>
    </w:p>
    <w:p w14:paraId="771F9985">
      <w:pPr>
        <w:widowControl/>
        <w:spacing w:line="360" w:lineRule="auto"/>
        <w:ind w:firstLine="420" w:firstLineChars="200"/>
        <w:jc w:val="left"/>
        <w:rPr>
          <w:rFonts w:ascii="宋体" w:hAnsi="宋体" w:cs="宋体"/>
          <w:szCs w:val="21"/>
        </w:rPr>
      </w:pPr>
      <w:r>
        <w:rPr>
          <w:rFonts w:hint="eastAsia" w:ascii="宋体" w:hAnsi="宋体" w:cs="宋体"/>
          <w:szCs w:val="21"/>
        </w:rPr>
        <w:t>2、对国家认定的节能产品和环保产品分别给予投标价的 5%价格扣除，用扣除后的价格参与评审（特别说明：节能、环保产品 必须纳入“中国政府采购网http://www.ccgp.gov.cn”等官方网站“节能、环保产品查询系统”，且以提供的证书</w:t>
      </w:r>
      <w:r>
        <w:rPr>
          <w:rFonts w:hint="eastAsia" w:ascii="宋体" w:hAnsi="宋体" w:cs="宋体"/>
          <w:szCs w:val="21"/>
          <w:lang w:eastAsia="zh-CN"/>
        </w:rPr>
        <w:t>扫描件</w:t>
      </w:r>
      <w:r>
        <w:rPr>
          <w:rFonts w:hint="eastAsia" w:ascii="宋体" w:hAnsi="宋体" w:cs="宋体"/>
          <w:szCs w:val="21"/>
        </w:rPr>
        <w:t xml:space="preserve">为准 ）。 </w:t>
      </w:r>
    </w:p>
    <w:p w14:paraId="7B916167">
      <w:pPr>
        <w:widowControl/>
        <w:spacing w:line="360" w:lineRule="auto"/>
        <w:ind w:firstLine="420" w:firstLineChars="200"/>
        <w:jc w:val="left"/>
        <w:rPr>
          <w:rFonts w:ascii="宋体" w:hAnsi="宋体" w:cs="宋体"/>
          <w:szCs w:val="21"/>
        </w:rPr>
      </w:pPr>
      <w:r>
        <w:rPr>
          <w:rFonts w:hint="eastAsia" w:ascii="宋体" w:hAnsi="宋体" w:cs="宋体"/>
          <w:szCs w:val="21"/>
        </w:rPr>
        <w:t xml:space="preserve">3、小微企业的价格扣除 </w:t>
      </w:r>
    </w:p>
    <w:p w14:paraId="3595DE16">
      <w:pPr>
        <w:widowControl/>
        <w:spacing w:line="360" w:lineRule="auto"/>
        <w:ind w:firstLine="420" w:firstLineChars="200"/>
        <w:jc w:val="left"/>
        <w:rPr>
          <w:rFonts w:ascii="宋体" w:hAnsi="宋体" w:cs="宋体"/>
          <w:szCs w:val="21"/>
        </w:rPr>
      </w:pPr>
      <w:r>
        <w:rPr>
          <w:rFonts w:hint="eastAsia" w:ascii="宋体" w:hAnsi="宋体" w:cs="宋体"/>
          <w:szCs w:val="21"/>
        </w:rPr>
        <w:t>3.1.对于</w:t>
      </w:r>
      <w:r>
        <w:rPr>
          <w:rFonts w:hint="eastAsia" w:ascii="宋体" w:hAnsi="宋体" w:cs="宋体"/>
          <w:b/>
          <w:bCs/>
          <w:szCs w:val="21"/>
        </w:rPr>
        <w:t>未预留份额专门面向中小企业采购的采购项目</w:t>
      </w:r>
      <w:r>
        <w:rPr>
          <w:rFonts w:hint="eastAsia" w:ascii="宋体" w:hAnsi="宋体" w:cs="宋体"/>
          <w:szCs w:val="21"/>
        </w:rPr>
        <w:t>或</w:t>
      </w:r>
      <w:r>
        <w:rPr>
          <w:rFonts w:hint="eastAsia" w:ascii="宋体" w:hAnsi="宋体" w:cs="宋体"/>
          <w:b/>
          <w:bCs/>
          <w:szCs w:val="21"/>
        </w:rPr>
        <w:t>预留份额项目中的非预留部分采购包</w:t>
      </w:r>
      <w:r>
        <w:rPr>
          <w:rFonts w:hint="eastAsia" w:ascii="宋体" w:hAnsi="宋体" w:cs="宋体"/>
          <w:szCs w:val="21"/>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p>
    <w:p w14:paraId="70C41569">
      <w:pPr>
        <w:widowControl/>
        <w:spacing w:line="360" w:lineRule="auto"/>
        <w:ind w:firstLine="420" w:firstLineChars="200"/>
        <w:jc w:val="left"/>
        <w:rPr>
          <w:rFonts w:ascii="宋体" w:hAnsi="宋体" w:cs="宋体"/>
          <w:szCs w:val="21"/>
        </w:rPr>
      </w:pPr>
      <w:r>
        <w:rPr>
          <w:rFonts w:hint="eastAsia" w:ascii="宋体" w:hAnsi="宋体" w:cs="宋体"/>
          <w:szCs w:val="21"/>
        </w:rPr>
        <w:t xml:space="preserve">3.2.价格扣除比例或者价格分加分比例对小型企业和微型企业同等对待，不作区分。说明：价格扣除优惠政策仅适用于“第一章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 </w:t>
      </w:r>
    </w:p>
    <w:p w14:paraId="6A90F120">
      <w:pPr>
        <w:widowControl/>
        <w:spacing w:line="360" w:lineRule="auto"/>
        <w:ind w:firstLine="420" w:firstLineChars="200"/>
        <w:jc w:val="left"/>
        <w:rPr>
          <w:rFonts w:ascii="宋体" w:hAnsi="宋体" w:cs="宋体"/>
          <w:szCs w:val="21"/>
        </w:rPr>
      </w:pPr>
      <w:r>
        <w:rPr>
          <w:rFonts w:hint="eastAsia" w:ascii="宋体" w:hAnsi="宋体" w:cs="宋体"/>
          <w:szCs w:val="21"/>
        </w:rPr>
        <w:t xml:space="preserve">4、监狱和戒毒企业的价格扣除 </w:t>
      </w:r>
    </w:p>
    <w:p w14:paraId="21C4E1F1">
      <w:pPr>
        <w:widowControl/>
        <w:spacing w:line="360" w:lineRule="auto"/>
        <w:ind w:firstLine="420" w:firstLineChars="200"/>
        <w:jc w:val="left"/>
        <w:rPr>
          <w:rFonts w:ascii="宋体" w:hAnsi="宋体" w:cs="宋体"/>
          <w:szCs w:val="21"/>
        </w:rPr>
      </w:pPr>
      <w:r>
        <w:rPr>
          <w:rFonts w:hint="eastAsia" w:ascii="宋体" w:hAnsi="宋体" w:cs="宋体"/>
          <w:szCs w:val="21"/>
        </w:rPr>
        <w:t xml:space="preserve">4.1. 本项目对监狱和戒毒企业（简称监狱企业），给予10%的价格扣除，用扣除后的价格参与评审。 </w:t>
      </w:r>
    </w:p>
    <w:p w14:paraId="64963925">
      <w:pPr>
        <w:widowControl/>
        <w:spacing w:line="360" w:lineRule="auto"/>
        <w:ind w:firstLine="420" w:firstLineChars="200"/>
        <w:jc w:val="left"/>
        <w:rPr>
          <w:rFonts w:ascii="宋体" w:hAnsi="宋体" w:cs="宋体"/>
          <w:szCs w:val="21"/>
        </w:rPr>
      </w:pPr>
      <w:r>
        <w:rPr>
          <w:rFonts w:hint="eastAsia" w:ascii="宋体" w:hAnsi="宋体" w:cs="宋体"/>
          <w:szCs w:val="21"/>
        </w:rPr>
        <w:t xml:space="preserve">4.2. 监狱企业需提供由省级以上监狱管理局、戒毒管理局（含新疆生产建设兵团）出具的属于监狱企业的证明文件。 </w:t>
      </w:r>
    </w:p>
    <w:p w14:paraId="623163BA">
      <w:pPr>
        <w:widowControl/>
        <w:spacing w:line="360" w:lineRule="auto"/>
        <w:ind w:firstLine="420" w:firstLineChars="200"/>
        <w:jc w:val="left"/>
        <w:rPr>
          <w:rFonts w:ascii="宋体" w:hAnsi="宋体" w:cs="宋体"/>
          <w:szCs w:val="21"/>
        </w:rPr>
      </w:pPr>
      <w:r>
        <w:rPr>
          <w:rFonts w:hint="eastAsia" w:ascii="宋体" w:hAnsi="宋体" w:cs="宋体"/>
          <w:szCs w:val="21"/>
        </w:rPr>
        <w:t>4.3. 监狱企业标准请参照《关于政府采购支持监狱企业发展有关问题的通知》（财库</w:t>
      </w:r>
      <w:r>
        <w:rPr>
          <w:rFonts w:hint="eastAsia"/>
          <w:szCs w:val="21"/>
        </w:rPr>
        <w:t>〔2014〕</w:t>
      </w:r>
      <w:r>
        <w:rPr>
          <w:rFonts w:hint="eastAsia" w:ascii="宋体" w:hAnsi="宋体" w:cs="宋体"/>
          <w:szCs w:val="21"/>
        </w:rPr>
        <w:t xml:space="preserve">68 号）。 </w:t>
      </w:r>
    </w:p>
    <w:p w14:paraId="08024A1F">
      <w:pPr>
        <w:widowControl/>
        <w:spacing w:line="360" w:lineRule="auto"/>
        <w:ind w:firstLine="420" w:firstLineChars="200"/>
        <w:jc w:val="left"/>
        <w:rPr>
          <w:rFonts w:ascii="宋体" w:hAnsi="宋体" w:cs="宋体"/>
          <w:szCs w:val="21"/>
        </w:rPr>
      </w:pPr>
      <w:r>
        <w:rPr>
          <w:rFonts w:hint="eastAsia" w:ascii="宋体" w:hAnsi="宋体" w:cs="宋体"/>
          <w:szCs w:val="21"/>
        </w:rPr>
        <w:t xml:space="preserve">5、残疾人福利性单位的价格扣除 </w:t>
      </w:r>
    </w:p>
    <w:p w14:paraId="541F18F9">
      <w:pPr>
        <w:widowControl/>
        <w:spacing w:line="360" w:lineRule="auto"/>
        <w:ind w:firstLine="420" w:firstLineChars="200"/>
        <w:jc w:val="left"/>
        <w:rPr>
          <w:rFonts w:ascii="宋体" w:hAnsi="宋体" w:cs="宋体"/>
          <w:szCs w:val="21"/>
        </w:rPr>
      </w:pPr>
      <w:r>
        <w:rPr>
          <w:rFonts w:hint="eastAsia" w:ascii="宋体" w:hAnsi="宋体" w:cs="宋体"/>
          <w:szCs w:val="21"/>
        </w:rPr>
        <w:t xml:space="preserve">5.1. 本项目对残疾人福利性单位，给予10%的价格扣除，用扣除后的价格参与评审。 </w:t>
      </w:r>
    </w:p>
    <w:p w14:paraId="3D26C169">
      <w:pPr>
        <w:widowControl/>
        <w:spacing w:line="360" w:lineRule="auto"/>
        <w:ind w:firstLine="420" w:firstLineChars="200"/>
        <w:jc w:val="left"/>
        <w:rPr>
          <w:rFonts w:ascii="宋体" w:hAnsi="宋体" w:cs="宋体"/>
          <w:szCs w:val="21"/>
        </w:rPr>
      </w:pPr>
      <w:r>
        <w:rPr>
          <w:rFonts w:hint="eastAsia" w:ascii="宋体" w:hAnsi="宋体" w:cs="宋体"/>
          <w:szCs w:val="21"/>
        </w:rPr>
        <w:t xml:space="preserve">5.2. 残疾人福利单位需按照招标文件的要求提供《残疾人福利性单位声明函》。 </w:t>
      </w:r>
    </w:p>
    <w:p w14:paraId="53097681">
      <w:pPr>
        <w:widowControl/>
        <w:spacing w:line="360" w:lineRule="auto"/>
        <w:ind w:firstLine="420" w:firstLineChars="200"/>
        <w:jc w:val="left"/>
        <w:rPr>
          <w:rFonts w:ascii="宋体" w:hAnsi="宋体" w:cs="宋体"/>
          <w:szCs w:val="21"/>
        </w:rPr>
      </w:pPr>
      <w:r>
        <w:rPr>
          <w:rFonts w:hint="eastAsia" w:ascii="宋体" w:hAnsi="宋体" w:cs="宋体"/>
          <w:szCs w:val="21"/>
        </w:rPr>
        <w:t xml:space="preserve">5.3. 残疾人福利单位标准请参照《关于促进残疾人就业政府采购政策的通知》（财库〔2017〕141号）。 </w:t>
      </w:r>
    </w:p>
    <w:p w14:paraId="2B169887">
      <w:pPr>
        <w:widowControl/>
        <w:spacing w:line="360" w:lineRule="auto"/>
        <w:ind w:firstLine="420" w:firstLineChars="200"/>
        <w:jc w:val="left"/>
        <w:rPr>
          <w:rFonts w:ascii="宋体" w:hAnsi="宋体" w:cs="宋体"/>
          <w:szCs w:val="21"/>
        </w:rPr>
      </w:pPr>
      <w:r>
        <w:rPr>
          <w:rFonts w:hint="eastAsia" w:ascii="宋体" w:hAnsi="宋体" w:cs="宋体"/>
          <w:szCs w:val="21"/>
        </w:rPr>
        <w:t xml:space="preserve">6、监狱企业、残疾人福利单位属于小型、微型企业的，不重复享受政策。 </w:t>
      </w:r>
    </w:p>
    <w:p w14:paraId="53A41BE1">
      <w:pPr>
        <w:widowControl/>
        <w:spacing w:line="360" w:lineRule="auto"/>
        <w:ind w:firstLine="420" w:firstLineChars="200"/>
        <w:jc w:val="left"/>
        <w:rPr>
          <w:rFonts w:hint="eastAsia" w:ascii="宋体" w:hAnsi="宋体" w:cs="宋体"/>
          <w:szCs w:val="21"/>
        </w:rPr>
      </w:pPr>
      <w:r>
        <w:rPr>
          <w:rFonts w:hint="eastAsia" w:ascii="宋体" w:hAnsi="宋体" w:cs="宋体"/>
          <w:szCs w:val="21"/>
        </w:rPr>
        <w:t>7、所有认证、证明和业绩均以有效的证明文件并加盖</w:t>
      </w:r>
      <w:r>
        <w:rPr>
          <w:rFonts w:hint="eastAsia" w:ascii="宋体" w:hAnsi="宋体" w:cs="宋体"/>
          <w:szCs w:val="21"/>
          <w:lang w:eastAsia="zh-CN"/>
        </w:rPr>
        <w:t>电子公章</w:t>
      </w:r>
      <w:r>
        <w:rPr>
          <w:rFonts w:hint="eastAsia" w:ascii="宋体" w:hAnsi="宋体" w:cs="宋体"/>
          <w:szCs w:val="21"/>
        </w:rPr>
        <w:t xml:space="preserve">为依据。 </w:t>
      </w:r>
    </w:p>
    <w:p w14:paraId="7F9538A8">
      <w:pPr>
        <w:spacing w:line="360" w:lineRule="auto"/>
        <w:rPr>
          <w:rFonts w:hint="eastAsia" w:ascii="宋体" w:hAnsi="宋体" w:cs="宋体"/>
          <w:b/>
          <w:bCs/>
          <w:kern w:val="0"/>
          <w:sz w:val="21"/>
          <w:szCs w:val="21"/>
        </w:rPr>
      </w:pPr>
    </w:p>
    <w:p w14:paraId="4C82BA89">
      <w:pPr>
        <w:pStyle w:val="56"/>
        <w:rPr>
          <w:rFonts w:hint="eastAsia" w:ascii="宋体" w:hAnsi="宋体" w:cs="宋体"/>
          <w:b/>
          <w:bCs/>
          <w:kern w:val="0"/>
          <w:sz w:val="21"/>
          <w:szCs w:val="21"/>
        </w:rPr>
      </w:pPr>
    </w:p>
    <w:p w14:paraId="4B6788BD">
      <w:pPr>
        <w:pStyle w:val="56"/>
        <w:rPr>
          <w:rFonts w:hint="eastAsia" w:ascii="宋体" w:hAnsi="宋体" w:cs="宋体"/>
          <w:b/>
          <w:bCs/>
          <w:kern w:val="0"/>
          <w:sz w:val="21"/>
          <w:szCs w:val="21"/>
        </w:rPr>
      </w:pPr>
    </w:p>
    <w:p w14:paraId="24F7F07E">
      <w:pPr>
        <w:pStyle w:val="20"/>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bCs/>
          <w:kern w:val="44"/>
          <w:sz w:val="32"/>
          <w:szCs w:val="44"/>
          <w:lang w:val="en-US" w:eastAsia="zh-CN" w:bidi="ar-SA"/>
        </w:rPr>
        <w:sectPr>
          <w:pgSz w:w="11906" w:h="16838"/>
          <w:pgMar w:top="1440" w:right="1134" w:bottom="1440" w:left="1134" w:header="851" w:footer="992" w:gutter="0"/>
          <w:pgNumType w:fmt="decimal"/>
          <w:cols w:space="720" w:num="1"/>
          <w:docGrid w:type="linesAndChars" w:linePitch="312" w:charSpace="0"/>
        </w:sectPr>
      </w:pPr>
      <w:bookmarkStart w:id="8" w:name="_Toc781"/>
      <w:bookmarkStart w:id="9" w:name="_Hlk96071152"/>
    </w:p>
    <w:p w14:paraId="3A46608A">
      <w:pPr>
        <w:pStyle w:val="20"/>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kern w:val="44"/>
          <w:sz w:val="32"/>
          <w:szCs w:val="44"/>
          <w:lang w:val="en-US" w:eastAsia="zh-CN" w:bidi="ar-SA"/>
        </w:rPr>
      </w:pPr>
      <w:r>
        <w:rPr>
          <w:rFonts w:hint="eastAsia" w:ascii="宋体" w:hAnsi="宋体" w:eastAsia="宋体" w:cs="宋体"/>
          <w:b/>
          <w:bCs/>
          <w:kern w:val="44"/>
          <w:sz w:val="32"/>
          <w:szCs w:val="44"/>
          <w:lang w:val="en-US" w:eastAsia="zh-CN" w:bidi="ar-SA"/>
        </w:rPr>
        <w:t>第四章 采购需求</w:t>
      </w:r>
      <w:bookmarkEnd w:id="8"/>
      <w:bookmarkStart w:id="10" w:name="_Toc481057147"/>
    </w:p>
    <w:bookmarkEnd w:id="9"/>
    <w:bookmarkEnd w:id="10"/>
    <w:p w14:paraId="2565083E">
      <w:pPr>
        <w:pStyle w:val="41"/>
        <w:tabs>
          <w:tab w:val="left" w:pos="6210"/>
        </w:tabs>
        <w:snapToGrid w:val="0"/>
        <w:spacing w:beforeAutospacing="0" w:afterAutospacing="0" w:line="360" w:lineRule="auto"/>
        <w:ind w:firstLine="422" w:firstLineChars="200"/>
        <w:rPr>
          <w:rFonts w:hint="eastAsia" w:ascii="宋体" w:hAnsi="宋体" w:cs="宋体"/>
          <w:b/>
          <w:bCs/>
          <w:color w:val="000000"/>
          <w:kern w:val="0"/>
          <w:szCs w:val="21"/>
        </w:rPr>
      </w:pPr>
      <w:bookmarkStart w:id="11" w:name="_Toc6548"/>
      <w:r>
        <w:rPr>
          <w:rFonts w:hint="eastAsia"/>
          <w:b/>
          <w:sz w:val="21"/>
          <w:szCs w:val="21"/>
          <w:lang w:val="en-US" w:eastAsia="zh-CN"/>
        </w:rPr>
        <w:t>注：标</w:t>
      </w:r>
      <w:r>
        <w:rPr>
          <w:rFonts w:hint="eastAsia"/>
          <w:b/>
          <w:sz w:val="21"/>
          <w:szCs w:val="21"/>
        </w:rPr>
        <w:t>“★”项为实质性条款，不响应</w:t>
      </w:r>
      <w:r>
        <w:rPr>
          <w:rFonts w:hint="eastAsia"/>
          <w:b/>
          <w:sz w:val="21"/>
          <w:szCs w:val="21"/>
          <w:lang w:val="en-US" w:eastAsia="zh-CN"/>
        </w:rPr>
        <w:t>作</w:t>
      </w:r>
      <w:r>
        <w:rPr>
          <w:rFonts w:hint="eastAsia"/>
          <w:b/>
          <w:sz w:val="21"/>
          <w:szCs w:val="21"/>
        </w:rPr>
        <w:t>投标无效。</w:t>
      </w:r>
    </w:p>
    <w:p w14:paraId="0CE7BF31">
      <w:pPr>
        <w:widowControl/>
        <w:numPr>
          <w:ilvl w:val="0"/>
          <w:numId w:val="0"/>
        </w:numPr>
        <w:spacing w:line="360" w:lineRule="auto"/>
        <w:ind w:left="210" w:leftChars="0"/>
        <w:rPr>
          <w:rFonts w:hint="eastAsia"/>
          <w:b/>
          <w:bCs/>
          <w:color w:val="000000"/>
          <w:szCs w:val="21"/>
          <w:lang w:val="en-US" w:eastAsia="zh-CN"/>
        </w:rPr>
      </w:pPr>
      <w:r>
        <w:rPr>
          <w:rFonts w:hint="eastAsia" w:ascii="Times New Roman" w:hAnsi="Times New Roman" w:eastAsia="宋体" w:cs="Times New Roman"/>
          <w:b/>
          <w:bCs/>
          <w:color w:val="000000"/>
          <w:kern w:val="2"/>
          <w:sz w:val="21"/>
          <w:szCs w:val="21"/>
          <w:lang w:val="en-US" w:eastAsia="zh-CN" w:bidi="ar-SA"/>
        </w:rPr>
        <w:t>一、</w:t>
      </w:r>
      <w:r>
        <w:rPr>
          <w:rFonts w:hint="eastAsia"/>
          <w:b/>
          <w:bCs/>
          <w:color w:val="000000"/>
          <w:szCs w:val="21"/>
          <w:lang w:val="en-US" w:eastAsia="zh-CN"/>
        </w:rPr>
        <w:t>项目名称：南京市城市建设档案馆库内建设工程档案驻场数字化项目</w:t>
      </w:r>
    </w:p>
    <w:p w14:paraId="69786B69">
      <w:pPr>
        <w:widowControl/>
        <w:numPr>
          <w:ilvl w:val="0"/>
          <w:numId w:val="0"/>
        </w:numPr>
        <w:spacing w:line="360" w:lineRule="auto"/>
        <w:ind w:left="210" w:leftChars="0"/>
        <w:rPr>
          <w:rFonts w:hint="default" w:ascii="宋体" w:hAnsi="宋体" w:eastAsia="宋体" w:cs="宋体"/>
          <w:bCs/>
          <w:szCs w:val="21"/>
          <w:lang w:val="en-US" w:eastAsia="zh-CN"/>
        </w:rPr>
      </w:pPr>
      <w:r>
        <w:rPr>
          <w:rFonts w:hint="eastAsia" w:ascii="宋体" w:hAnsi="宋体" w:eastAsia="宋体" w:cs="宋体"/>
          <w:bCs/>
          <w:kern w:val="2"/>
          <w:sz w:val="21"/>
          <w:szCs w:val="21"/>
          <w:lang w:val="en-US" w:eastAsia="zh-CN" w:bidi="ar-SA"/>
        </w:rPr>
        <w:t>二、</w:t>
      </w:r>
      <w:r>
        <w:rPr>
          <w:rFonts w:hint="default"/>
          <w:b/>
          <w:bCs/>
          <w:color w:val="000000"/>
          <w:szCs w:val="21"/>
          <w:lang w:val="en-US" w:eastAsia="zh-CN"/>
        </w:rPr>
        <w:t>采购内容：</w:t>
      </w:r>
      <w:r>
        <w:rPr>
          <w:rFonts w:hint="default" w:ascii="宋体" w:hAnsi="宋体" w:eastAsia="宋体" w:cs="宋体"/>
          <w:bCs/>
          <w:szCs w:val="21"/>
          <w:lang w:val="en-US" w:eastAsia="zh-CN"/>
        </w:rPr>
        <w:t>对城建档案馆库内建设工程档案开展驻场数字化。驻场公司需根据城建档案馆相关要求在复核库内建设工程档案整理和著录问题的基础上，纠正包括组卷、页码等细小错误，再开展全文扫描、图像处理、数据挂接等档案数字化工作，同时配备质量检测人员，自检通过后提交档案馆抽验，对档案进行装盒、入库上架，完成全流程城建档案数字化服务工作。</w:t>
      </w:r>
    </w:p>
    <w:p w14:paraId="5E6DABDE">
      <w:pPr>
        <w:widowControl/>
        <w:numPr>
          <w:ilvl w:val="0"/>
          <w:numId w:val="0"/>
        </w:numPr>
        <w:spacing w:line="360" w:lineRule="auto"/>
        <w:ind w:firstLine="420" w:firstLineChars="200"/>
        <w:rPr>
          <w:rFonts w:hint="default" w:ascii="宋体" w:hAnsi="宋体" w:eastAsia="宋体" w:cs="宋体"/>
          <w:bCs/>
          <w:szCs w:val="21"/>
          <w:lang w:val="en-US" w:eastAsia="zh-CN"/>
        </w:rPr>
      </w:pPr>
      <w:r>
        <w:rPr>
          <w:rFonts w:hint="default" w:ascii="宋体" w:hAnsi="宋体" w:eastAsia="宋体" w:cs="宋体"/>
          <w:bCs/>
          <w:szCs w:val="21"/>
          <w:lang w:val="en-US" w:eastAsia="zh-CN"/>
        </w:rPr>
        <w:t>本次库内建设工程档案驻场数字化项目合同期三年，2025年完成库内建设工程档案审核及扫描不少于1.6万卷标准卷，或完成库内建设工程档案扫描不少于1.88万卷；2026和2027年</w:t>
      </w:r>
      <w:r>
        <w:rPr>
          <w:rFonts w:hint="eastAsia" w:ascii="宋体" w:hAnsi="宋体" w:cs="宋体"/>
          <w:bCs/>
          <w:szCs w:val="21"/>
          <w:lang w:val="en-US" w:eastAsia="zh-CN"/>
        </w:rPr>
        <w:t>完成</w:t>
      </w:r>
      <w:r>
        <w:rPr>
          <w:rFonts w:hint="default" w:ascii="宋体" w:hAnsi="宋体" w:eastAsia="宋体" w:cs="宋体"/>
          <w:bCs/>
          <w:szCs w:val="21"/>
          <w:lang w:val="en-US" w:eastAsia="zh-CN"/>
        </w:rPr>
        <w:t xml:space="preserve">库内建设工程档案审核及扫描不少于1.8万卷标准卷 或完成库内建设工程档案扫描不少于2.117万卷 </w:t>
      </w:r>
      <w:r>
        <w:rPr>
          <w:rFonts w:hint="eastAsia" w:ascii="宋体" w:hAnsi="宋体" w:cs="宋体"/>
          <w:bCs/>
          <w:szCs w:val="21"/>
          <w:lang w:val="en-US" w:eastAsia="zh-CN"/>
        </w:rPr>
        <w:t>。</w:t>
      </w:r>
      <w:r>
        <w:rPr>
          <w:rFonts w:hint="default" w:ascii="宋体" w:hAnsi="宋体" w:eastAsia="宋体" w:cs="宋体"/>
          <w:bCs/>
          <w:szCs w:val="21"/>
          <w:lang w:val="en-US" w:eastAsia="zh-CN"/>
        </w:rPr>
        <w:t>（文字标准卷以2.0公分，图纸标准卷以4.0公分进行核算）</w:t>
      </w:r>
    </w:p>
    <w:p w14:paraId="143F70FD">
      <w:pPr>
        <w:widowControl/>
        <w:numPr>
          <w:ilvl w:val="0"/>
          <w:numId w:val="0"/>
        </w:numPr>
        <w:spacing w:line="360" w:lineRule="auto"/>
        <w:ind w:left="210" w:leftChars="0"/>
        <w:rPr>
          <w:rFonts w:hint="default" w:ascii="宋体" w:hAnsi="宋体" w:eastAsia="宋体" w:cs="宋体"/>
          <w:bCs/>
          <w:szCs w:val="21"/>
          <w:highlight w:val="none"/>
          <w:lang w:val="en-US" w:eastAsia="zh-CN"/>
        </w:rPr>
      </w:pPr>
      <w:r>
        <w:rPr>
          <w:rFonts w:hint="eastAsia"/>
          <w:b/>
          <w:bCs/>
          <w:color w:val="000000"/>
          <w:szCs w:val="21"/>
          <w:lang w:val="en-US" w:eastAsia="zh-CN"/>
        </w:rPr>
        <w:t>三、所属行业：</w:t>
      </w:r>
      <w:r>
        <w:rPr>
          <w:rFonts w:hint="eastAsia" w:ascii="宋体" w:hAnsi="宋体" w:eastAsia="宋体" w:cs="宋体"/>
          <w:bCs/>
          <w:szCs w:val="21"/>
          <w:highlight w:val="none"/>
          <w:lang w:val="en-US" w:eastAsia="zh-CN"/>
        </w:rPr>
        <w:t>其他未列明行业</w:t>
      </w:r>
    </w:p>
    <w:p w14:paraId="21459536">
      <w:pPr>
        <w:widowControl/>
        <w:numPr>
          <w:ilvl w:val="0"/>
          <w:numId w:val="0"/>
        </w:numPr>
        <w:spacing w:line="360" w:lineRule="auto"/>
        <w:ind w:left="210" w:leftChars="0"/>
        <w:rPr>
          <w:rFonts w:hint="default" w:ascii="宋体" w:hAnsi="宋体" w:eastAsia="宋体" w:cs="宋体"/>
          <w:bCs/>
          <w:szCs w:val="21"/>
          <w:highlight w:val="none"/>
          <w:lang w:val="en-US" w:eastAsia="zh-CN"/>
        </w:rPr>
      </w:pPr>
      <w:r>
        <w:rPr>
          <w:rFonts w:hint="eastAsia"/>
          <w:b/>
          <w:bCs/>
          <w:color w:val="000000"/>
          <w:szCs w:val="21"/>
          <w:highlight w:val="none"/>
          <w:lang w:val="en-US" w:eastAsia="zh-CN"/>
        </w:rPr>
        <w:t>四、最高限价</w:t>
      </w:r>
      <w:r>
        <w:rPr>
          <w:rFonts w:hint="eastAsia" w:ascii="宋体" w:hAnsi="宋体" w:eastAsia="宋体" w:cs="宋体"/>
          <w:b/>
          <w:bCs w:val="0"/>
          <w:szCs w:val="21"/>
          <w:highlight w:val="none"/>
          <w:lang w:val="en-US" w:eastAsia="zh-CN"/>
        </w:rPr>
        <w:t>：</w:t>
      </w:r>
      <w:r>
        <w:rPr>
          <w:rFonts w:hint="eastAsia" w:ascii="宋体" w:hAnsi="宋体" w:cs="宋体"/>
          <w:b w:val="0"/>
          <w:bCs/>
          <w:szCs w:val="21"/>
          <w:highlight w:val="none"/>
          <w:lang w:val="en-US" w:eastAsia="zh-CN"/>
        </w:rPr>
        <w:t>第一年合同期的最高</w:t>
      </w:r>
      <w:r>
        <w:rPr>
          <w:rFonts w:hint="eastAsia" w:ascii="宋体" w:hAnsi="宋体" w:cs="宋体"/>
          <w:bCs/>
          <w:szCs w:val="21"/>
          <w:highlight w:val="none"/>
          <w:lang w:val="en-US" w:eastAsia="zh-CN"/>
        </w:rPr>
        <w:t>限价：80万元；</w:t>
      </w:r>
      <w:r>
        <w:rPr>
          <w:rFonts w:hint="eastAsia" w:ascii="宋体" w:hAnsi="宋体" w:cs="宋体"/>
          <w:b w:val="0"/>
          <w:bCs/>
          <w:szCs w:val="21"/>
          <w:highlight w:val="none"/>
          <w:lang w:val="en-US" w:eastAsia="zh-CN"/>
        </w:rPr>
        <w:t>第二年合同期的</w:t>
      </w:r>
      <w:r>
        <w:rPr>
          <w:rFonts w:hint="eastAsia" w:ascii="宋体" w:hAnsi="宋体" w:cs="宋体"/>
          <w:bCs/>
          <w:szCs w:val="21"/>
          <w:highlight w:val="none"/>
          <w:lang w:val="en-US" w:eastAsia="zh-CN"/>
        </w:rPr>
        <w:t>最高限价：90万元；</w:t>
      </w:r>
      <w:r>
        <w:rPr>
          <w:rFonts w:hint="eastAsia" w:ascii="宋体" w:hAnsi="宋体" w:cs="宋体"/>
          <w:b w:val="0"/>
          <w:bCs/>
          <w:szCs w:val="21"/>
          <w:highlight w:val="none"/>
          <w:lang w:val="en-US" w:eastAsia="zh-CN"/>
        </w:rPr>
        <w:t>第三年合同期的</w:t>
      </w:r>
      <w:r>
        <w:rPr>
          <w:rFonts w:hint="eastAsia" w:ascii="宋体" w:hAnsi="宋体" w:cs="宋体"/>
          <w:bCs/>
          <w:szCs w:val="21"/>
          <w:highlight w:val="none"/>
          <w:lang w:val="en-US" w:eastAsia="zh-CN"/>
        </w:rPr>
        <w:t>最高限价：90万元；（供应商按年分别进行报价且每年的投标报价不得超过该年的最高限价）</w:t>
      </w:r>
    </w:p>
    <w:p w14:paraId="66FCEB58">
      <w:pPr>
        <w:widowControl/>
        <w:numPr>
          <w:ilvl w:val="0"/>
          <w:numId w:val="0"/>
        </w:numPr>
        <w:spacing w:line="360" w:lineRule="auto"/>
        <w:ind w:left="210" w:leftChars="0"/>
        <w:rPr>
          <w:rFonts w:hint="default" w:ascii="宋体" w:hAnsi="宋体" w:eastAsia="宋体" w:cs="宋体"/>
          <w:bCs/>
          <w:szCs w:val="21"/>
          <w:lang w:val="en-US" w:eastAsia="zh-CN"/>
        </w:rPr>
      </w:pPr>
      <w:r>
        <w:rPr>
          <w:rFonts w:hint="eastAsia"/>
          <w:b/>
          <w:bCs/>
          <w:color w:val="000000"/>
          <w:szCs w:val="21"/>
          <w:lang w:val="en-US" w:eastAsia="zh-CN"/>
        </w:rPr>
        <w:t>五、</w:t>
      </w:r>
      <w:r>
        <w:rPr>
          <w:rFonts w:hint="default"/>
          <w:b/>
          <w:bCs/>
          <w:color w:val="000000"/>
          <w:szCs w:val="21"/>
          <w:lang w:val="en-US" w:eastAsia="zh-CN"/>
        </w:rPr>
        <w:t>服务周期</w:t>
      </w:r>
      <w:r>
        <w:rPr>
          <w:rFonts w:hint="default" w:ascii="宋体" w:hAnsi="宋体" w:eastAsia="宋体" w:cs="宋体"/>
          <w:bCs/>
          <w:szCs w:val="21"/>
          <w:lang w:val="en-US" w:eastAsia="zh-CN"/>
        </w:rPr>
        <w:t>：三年，</w:t>
      </w:r>
      <w:r>
        <w:rPr>
          <w:rFonts w:hint="eastAsia" w:ascii="宋体" w:hAnsi="宋体" w:cs="宋体"/>
          <w:bCs/>
          <w:szCs w:val="21"/>
          <w:lang w:val="en-US" w:eastAsia="zh-CN"/>
        </w:rPr>
        <w:t>具体以合同签订时间为准。</w:t>
      </w:r>
      <w:r>
        <w:rPr>
          <w:rFonts w:hint="default" w:ascii="宋体" w:hAnsi="宋体" w:eastAsia="宋体" w:cs="宋体"/>
          <w:bCs/>
          <w:szCs w:val="21"/>
          <w:lang w:val="en-US" w:eastAsia="zh-CN"/>
        </w:rPr>
        <w:t>合同每年一签，当年服务期满后，采购人组织人员考核，考核标准按照城建档案馆《档案实体交接、数字化成果验收与交接规定》执行，考核通过后，方可在年底续签下一年度合同。考核不通过，</w:t>
      </w:r>
      <w:r>
        <w:rPr>
          <w:rFonts w:hint="eastAsia" w:ascii="宋体" w:hAnsi="宋体" w:cs="宋体"/>
          <w:bCs/>
          <w:szCs w:val="21"/>
          <w:lang w:val="en-US" w:eastAsia="zh-CN"/>
        </w:rPr>
        <w:t>采购人</w:t>
      </w:r>
      <w:r>
        <w:rPr>
          <w:rFonts w:hint="default" w:ascii="宋体" w:hAnsi="宋体" w:eastAsia="宋体" w:cs="宋体"/>
          <w:bCs/>
          <w:szCs w:val="21"/>
          <w:lang w:val="en-US" w:eastAsia="zh-CN"/>
        </w:rPr>
        <w:t>有权提前终止合同。</w:t>
      </w:r>
    </w:p>
    <w:p w14:paraId="0ECECC48">
      <w:pPr>
        <w:widowControl/>
        <w:numPr>
          <w:ilvl w:val="0"/>
          <w:numId w:val="0"/>
        </w:numPr>
        <w:spacing w:line="360" w:lineRule="auto"/>
        <w:ind w:firstLine="210" w:firstLineChars="100"/>
        <w:rPr>
          <w:rFonts w:hint="default" w:ascii="宋体" w:hAnsi="宋体" w:eastAsia="宋体" w:cs="宋体"/>
          <w:bCs/>
          <w:szCs w:val="21"/>
          <w:lang w:val="en-US" w:eastAsia="zh-CN"/>
        </w:rPr>
      </w:pPr>
      <w:r>
        <w:rPr>
          <w:rFonts w:hint="default" w:ascii="宋体" w:hAnsi="宋体" w:eastAsia="宋体" w:cs="宋体"/>
          <w:bCs/>
          <w:szCs w:val="21"/>
          <w:lang w:val="en-US" w:eastAsia="zh-CN"/>
        </w:rPr>
        <w:t>合同在考核通过后每年一签。</w:t>
      </w:r>
    </w:p>
    <w:p w14:paraId="782359A5">
      <w:pPr>
        <w:widowControl/>
        <w:numPr>
          <w:ilvl w:val="0"/>
          <w:numId w:val="0"/>
        </w:numPr>
        <w:spacing w:line="360" w:lineRule="auto"/>
        <w:ind w:firstLine="210" w:firstLineChars="100"/>
        <w:rPr>
          <w:rFonts w:hint="default" w:ascii="宋体" w:hAnsi="宋体" w:eastAsia="宋体" w:cs="宋体"/>
          <w:bCs/>
          <w:szCs w:val="21"/>
          <w:lang w:val="en-US" w:eastAsia="zh-CN"/>
        </w:rPr>
      </w:pPr>
      <w:r>
        <w:rPr>
          <w:rFonts w:hint="default" w:ascii="宋体" w:hAnsi="宋体" w:eastAsia="宋体" w:cs="宋体"/>
          <w:bCs/>
          <w:szCs w:val="21"/>
          <w:lang w:val="en-US" w:eastAsia="zh-CN"/>
        </w:rPr>
        <w:t>第一年合同期为：自合同签订后至2025年11月30日</w:t>
      </w:r>
    </w:p>
    <w:p w14:paraId="595B94E0">
      <w:pPr>
        <w:widowControl/>
        <w:numPr>
          <w:ilvl w:val="0"/>
          <w:numId w:val="0"/>
        </w:numPr>
        <w:spacing w:line="360" w:lineRule="auto"/>
        <w:ind w:firstLine="210" w:firstLineChars="100"/>
        <w:rPr>
          <w:rFonts w:hint="default" w:ascii="宋体" w:hAnsi="宋体" w:eastAsia="宋体" w:cs="宋体"/>
          <w:bCs/>
          <w:szCs w:val="21"/>
          <w:lang w:val="en-US" w:eastAsia="zh-CN"/>
        </w:rPr>
      </w:pPr>
      <w:r>
        <w:rPr>
          <w:rFonts w:hint="default" w:ascii="宋体" w:hAnsi="宋体" w:eastAsia="宋体" w:cs="宋体"/>
          <w:bCs/>
          <w:szCs w:val="21"/>
          <w:lang w:val="en-US" w:eastAsia="zh-CN"/>
        </w:rPr>
        <w:t>第二年合同期为：2025年12月1日—2026年11月30日</w:t>
      </w:r>
    </w:p>
    <w:p w14:paraId="3F9813E4">
      <w:pPr>
        <w:widowControl/>
        <w:numPr>
          <w:ilvl w:val="0"/>
          <w:numId w:val="0"/>
        </w:numPr>
        <w:spacing w:line="360" w:lineRule="auto"/>
        <w:ind w:firstLine="210" w:firstLineChars="100"/>
        <w:rPr>
          <w:rFonts w:hint="default" w:ascii="宋体" w:hAnsi="宋体" w:eastAsia="宋体" w:cs="宋体"/>
          <w:bCs/>
          <w:szCs w:val="21"/>
          <w:highlight w:val="none"/>
          <w:lang w:val="en-US" w:eastAsia="zh-CN"/>
        </w:rPr>
      </w:pPr>
      <w:r>
        <w:rPr>
          <w:rFonts w:hint="default" w:ascii="宋体" w:hAnsi="宋体" w:eastAsia="宋体" w:cs="宋体"/>
          <w:bCs/>
          <w:szCs w:val="21"/>
          <w:lang w:val="en-US" w:eastAsia="zh-CN"/>
        </w:rPr>
        <w:t>第三年合</w:t>
      </w:r>
      <w:r>
        <w:rPr>
          <w:rFonts w:hint="default" w:ascii="宋体" w:hAnsi="宋体" w:eastAsia="宋体" w:cs="宋体"/>
          <w:bCs/>
          <w:szCs w:val="21"/>
          <w:highlight w:val="none"/>
          <w:lang w:val="en-US" w:eastAsia="zh-CN"/>
        </w:rPr>
        <w:t>同期为：2026年12月1日—2027年11月30日</w:t>
      </w:r>
    </w:p>
    <w:p w14:paraId="0ECF1183">
      <w:pPr>
        <w:widowControl/>
        <w:numPr>
          <w:ilvl w:val="0"/>
          <w:numId w:val="0"/>
        </w:numPr>
        <w:spacing w:line="360" w:lineRule="auto"/>
        <w:ind w:firstLine="211" w:firstLineChars="100"/>
        <w:rPr>
          <w:rFonts w:hint="eastAsia" w:ascii="宋体" w:hAnsi="宋体" w:cs="宋体"/>
          <w:b/>
          <w:bCs w:val="0"/>
          <w:szCs w:val="21"/>
          <w:highlight w:val="none"/>
          <w:lang w:val="en-US" w:eastAsia="zh-CN"/>
        </w:rPr>
      </w:pPr>
      <w:r>
        <w:rPr>
          <w:rFonts w:hint="eastAsia" w:ascii="宋体" w:hAnsi="宋体" w:cs="宋体"/>
          <w:b/>
          <w:bCs w:val="0"/>
          <w:szCs w:val="21"/>
          <w:highlight w:val="none"/>
          <w:lang w:val="en-US" w:eastAsia="zh-CN"/>
        </w:rPr>
        <w:t>六、档案整理复核遵循的规范和技术标准</w:t>
      </w:r>
    </w:p>
    <w:p w14:paraId="6BADD6B7">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highlight w:val="none"/>
          <w:lang w:val="en-US" w:eastAsia="zh-CN"/>
        </w:rPr>
        <w:t>1、《城市建设档案著</w:t>
      </w:r>
      <w:r>
        <w:rPr>
          <w:rFonts w:hint="eastAsia" w:ascii="宋体" w:hAnsi="宋体" w:cs="宋体"/>
          <w:bCs/>
          <w:szCs w:val="21"/>
          <w:lang w:val="en-US" w:eastAsia="zh-CN"/>
        </w:rPr>
        <w:t>录规范》GB/T50323；</w:t>
      </w:r>
    </w:p>
    <w:p w14:paraId="2EDB8BFF">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2、《建设工程文件归档整理规范》GB/T50328；</w:t>
      </w:r>
    </w:p>
    <w:p w14:paraId="712BD199">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3、《技术制图复制图的折叠方法》GB 10609.3；</w:t>
      </w:r>
    </w:p>
    <w:p w14:paraId="37CFD10F">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4、《档案服务外包工作规范》DA/T68-2020；</w:t>
      </w:r>
    </w:p>
    <w:p w14:paraId="6A19ED1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5、《纸质档案数字化规范》DA/T31-2017；</w:t>
      </w:r>
    </w:p>
    <w:p w14:paraId="28203A22">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6、《城建档案业务管理规范》CJJ/T 158；</w:t>
      </w:r>
    </w:p>
    <w:p w14:paraId="34425148">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7、《南京市建设工程文件归档与档案移交规范》DB 3201/T 288-2017；</w:t>
      </w:r>
    </w:p>
    <w:p w14:paraId="0B0D8C0C">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8、《城市建设档案分类大纲》；</w:t>
      </w:r>
    </w:p>
    <w:p w14:paraId="20F55EA9">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9、南京市城市建设档案馆制定的“城建档案的整理、著录及扫描细则”等。</w:t>
      </w:r>
    </w:p>
    <w:p w14:paraId="7AC5D524">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七、档案数字化要求</w:t>
      </w:r>
    </w:p>
    <w:p w14:paraId="6BF07F48">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1、南京市城市建设档案馆《档案实体交接、数字化成果验收与交接规定》；</w:t>
      </w:r>
    </w:p>
    <w:p w14:paraId="3234BF1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2、南京市城市建设档案馆《城建档案立卷标准》；</w:t>
      </w:r>
    </w:p>
    <w:p w14:paraId="6C72DD2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3、南京市城市建设档案馆 《档案扫描细则》；</w:t>
      </w:r>
    </w:p>
    <w:p w14:paraId="60FF90C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4、南京市城市建设档案馆《建设工程档案著录细则》；</w:t>
      </w:r>
    </w:p>
    <w:p w14:paraId="027151D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5、南京市城市建设档案馆《南京房屋建筑工程文件材料整理排序单》。</w:t>
      </w:r>
    </w:p>
    <w:p w14:paraId="355CCCEA">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八、服务期具体工作内容</w:t>
      </w:r>
    </w:p>
    <w:p w14:paraId="5131BE68">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lang w:val="en-US" w:eastAsia="zh-CN"/>
        </w:rPr>
        <w:t>1、对已完成立卷、著录、审核或上架的建</w:t>
      </w:r>
      <w:r>
        <w:rPr>
          <w:rFonts w:hint="eastAsia" w:ascii="宋体" w:hAnsi="宋体" w:cs="宋体"/>
          <w:bCs/>
          <w:szCs w:val="21"/>
          <w:highlight w:val="none"/>
          <w:lang w:val="en-US" w:eastAsia="zh-CN"/>
        </w:rPr>
        <w:t>设工程档案在整理和著录问题的基础上，纠正包括组卷、页码等细小错误，并对复核出错误结果进行整改；</w:t>
      </w:r>
    </w:p>
    <w:p w14:paraId="10FF9991">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2、文件材料的扫描；</w:t>
      </w:r>
    </w:p>
    <w:p w14:paraId="3BA73878">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3、扫描图像的处理与数据挂接；</w:t>
      </w:r>
    </w:p>
    <w:p w14:paraId="0C36466C">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4、扫描成果的检测；</w:t>
      </w:r>
    </w:p>
    <w:p w14:paraId="610BA94E">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5、数字化成果的移交；</w:t>
      </w:r>
    </w:p>
    <w:p w14:paraId="0E03C313">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6、配合采购人完成档案装盒上架入库工作。</w:t>
      </w:r>
    </w:p>
    <w:p w14:paraId="0514D855">
      <w:pPr>
        <w:widowControl/>
        <w:numPr>
          <w:ilvl w:val="0"/>
          <w:numId w:val="0"/>
        </w:numPr>
        <w:spacing w:line="360" w:lineRule="auto"/>
        <w:ind w:firstLine="211" w:firstLineChars="100"/>
        <w:rPr>
          <w:rFonts w:hint="eastAsia" w:ascii="宋体" w:hAnsi="宋体" w:cs="宋体"/>
          <w:b/>
          <w:bCs w:val="0"/>
          <w:szCs w:val="21"/>
          <w:highlight w:val="none"/>
          <w:lang w:val="en-US" w:eastAsia="zh-CN"/>
        </w:rPr>
      </w:pPr>
      <w:r>
        <w:rPr>
          <w:rFonts w:hint="eastAsia" w:ascii="宋体" w:hAnsi="宋体" w:cs="宋体"/>
          <w:b/>
          <w:bCs w:val="0"/>
          <w:szCs w:val="21"/>
          <w:highlight w:val="none"/>
          <w:lang w:val="en-US" w:eastAsia="zh-CN"/>
        </w:rPr>
        <w:t>九、服务期工作要求</w:t>
      </w:r>
    </w:p>
    <w:p w14:paraId="04FAA36B">
      <w:pPr>
        <w:widowControl/>
        <w:numPr>
          <w:ilvl w:val="0"/>
          <w:numId w:val="0"/>
        </w:numPr>
        <w:spacing w:line="360" w:lineRule="auto"/>
        <w:ind w:firstLine="210" w:firstLineChars="100"/>
        <w:rPr>
          <w:rFonts w:hint="default" w:ascii="宋体" w:hAnsi="宋体" w:cs="宋体"/>
          <w:bCs/>
          <w:color w:val="auto"/>
          <w:szCs w:val="21"/>
          <w:highlight w:val="none"/>
          <w:lang w:val="en-US" w:eastAsia="zh-CN"/>
        </w:rPr>
      </w:pPr>
      <w:r>
        <w:rPr>
          <w:rFonts w:hint="eastAsia" w:ascii="宋体" w:hAnsi="宋体" w:cs="宋体"/>
          <w:bCs/>
          <w:szCs w:val="21"/>
          <w:highlight w:val="none"/>
          <w:lang w:val="en-US" w:eastAsia="zh-CN"/>
        </w:rPr>
        <w:t>★1、中标供应商工作人员数量与素质、技术与管理水平应满足承担项目的要求，中标供应商需派出1名该项目的现场负责人，保证半年驻守不离岗；派出不少于9名工作人员（不包含项目负责人）正常</w:t>
      </w:r>
      <w:r>
        <w:rPr>
          <w:rFonts w:hint="eastAsia" w:ascii="宋体" w:hAnsi="宋体" w:cs="宋体"/>
          <w:bCs/>
          <w:color w:val="auto"/>
          <w:szCs w:val="21"/>
          <w:highlight w:val="none"/>
          <w:lang w:val="en-US" w:eastAsia="zh-CN"/>
        </w:rPr>
        <w:t>工作。（提供承诺书并加盖公章）</w:t>
      </w:r>
    </w:p>
    <w:p w14:paraId="32B48EBC">
      <w:pPr>
        <w:widowControl/>
        <w:numPr>
          <w:ilvl w:val="0"/>
          <w:numId w:val="0"/>
        </w:numPr>
        <w:spacing w:line="360" w:lineRule="auto"/>
        <w:ind w:firstLine="210" w:firstLineChars="100"/>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供应商应安排好本项目负责人，负责与采购人及时沟通，未经采购人同意不得中途更换。因特殊情况需调整的，需提前1个月向采购人提出书面申请，在确保工作不受影响，所调换人员资质及工作水平不低于变动人员的前提下，经采购人同意方可做人员调整。（提供承诺书并加盖公章）</w:t>
      </w:r>
    </w:p>
    <w:p w14:paraId="581FC45F">
      <w:pPr>
        <w:widowControl/>
        <w:numPr>
          <w:ilvl w:val="0"/>
          <w:numId w:val="0"/>
        </w:numPr>
        <w:spacing w:line="360" w:lineRule="auto"/>
        <w:ind w:firstLine="210" w:firstLineChars="100"/>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2、中标供应商负责提供计算机、A4高速扫描仪、A3平板式扫描仪、大幅面图纸扫描仪、书刊扫描仪、打印机等数字化设备。设备应满足承担项目的技术要求，并保证工作期间所需耗材。（提供承诺书并加盖公章）</w:t>
      </w:r>
    </w:p>
    <w:p w14:paraId="6373694B">
      <w:pPr>
        <w:widowControl/>
        <w:numPr>
          <w:ilvl w:val="0"/>
          <w:numId w:val="0"/>
        </w:numPr>
        <w:spacing w:line="360" w:lineRule="auto"/>
        <w:ind w:firstLine="210" w:firstLineChars="100"/>
        <w:rPr>
          <w:rFonts w:hint="eastAsia" w:ascii="宋体" w:hAnsi="宋体" w:cs="宋体"/>
          <w:bCs/>
          <w:color w:val="auto"/>
          <w:szCs w:val="21"/>
          <w:highlight w:val="none"/>
          <w:lang w:val="en-US" w:eastAsia="zh-CN"/>
        </w:rPr>
      </w:pPr>
      <w:r>
        <w:rPr>
          <w:rFonts w:hint="eastAsia" w:ascii="宋体" w:hAnsi="宋体" w:cs="宋体"/>
          <w:bCs/>
          <w:szCs w:val="21"/>
          <w:highlight w:val="none"/>
          <w:lang w:val="en-US" w:eastAsia="zh-CN"/>
        </w:rPr>
        <w:t>★3、档案的整理复核和数字化需在南京市城建档案馆《城建档案数字信息管理系统》中进行,档案馆负责网络线路畅通，以及</w:t>
      </w:r>
      <w:r>
        <w:rPr>
          <w:rFonts w:hint="eastAsia" w:ascii="宋体" w:hAnsi="宋体" w:cs="宋体"/>
          <w:bCs/>
          <w:color w:val="auto"/>
          <w:szCs w:val="21"/>
          <w:highlight w:val="none"/>
          <w:lang w:val="en-US" w:eastAsia="zh-CN"/>
        </w:rPr>
        <w:t>《城建档案数字信息管理系统》的正常运行，中标供应商必须按照档案馆的保密与系统安全管理规定执行。（提供承诺书并加盖公章）</w:t>
      </w:r>
    </w:p>
    <w:p w14:paraId="5DAF7381">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color w:val="auto"/>
          <w:szCs w:val="21"/>
          <w:highlight w:val="none"/>
          <w:lang w:val="en-US" w:eastAsia="zh-CN"/>
        </w:rPr>
        <w:t>4、档案的立卷、著录和数字化过程中需要的档案盒、纸张等耗材由中标供应商承担，档</w:t>
      </w:r>
      <w:r>
        <w:rPr>
          <w:rFonts w:hint="eastAsia" w:ascii="宋体" w:hAnsi="宋体" w:cs="宋体"/>
          <w:bCs/>
          <w:szCs w:val="21"/>
          <w:highlight w:val="none"/>
          <w:lang w:val="en-US" w:eastAsia="zh-CN"/>
        </w:rPr>
        <w:t>案盒质量应符合国家档案局标准，档案盒打印格式及内容以采购人要求为准。</w:t>
      </w:r>
    </w:p>
    <w:p w14:paraId="5FD91B33">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5、中标供应商需保证不因扫描降低使档案出现损坏。</w:t>
      </w:r>
    </w:p>
    <w:p w14:paraId="5FD08793">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6、不得转让项目或将本项目的管理责任转让给第三方。</w:t>
      </w:r>
    </w:p>
    <w:p w14:paraId="21513592">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7、中标供应商应建立安全岗位责任制，配备专人负责安全保密工作，对工作人员进行安全保密教育和必要的上岗培训，并与工作人员签订保密协议，保证本项目所生成的过程管理文件和成果文件的保密，不得私自拷贝，不得流入第三方，如因中标供应商的管理不善或蓄意行为造成的数据流失，需承担赔偿责任。</w:t>
      </w:r>
    </w:p>
    <w:p w14:paraId="443741CD">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highlight w:val="none"/>
          <w:lang w:val="en-US" w:eastAsia="zh-CN"/>
        </w:rPr>
        <w:t>8、为了档案安全和保密，本招标方案仅限于入驻工作方式。即：一旦中标后，服务单位不得将档案材料带出档案室外进行</w:t>
      </w:r>
      <w:r>
        <w:rPr>
          <w:rFonts w:hint="eastAsia" w:ascii="宋体" w:hAnsi="宋体" w:cs="宋体"/>
          <w:bCs/>
          <w:szCs w:val="21"/>
          <w:lang w:val="en-US" w:eastAsia="zh-CN"/>
        </w:rPr>
        <w:t>整理、数字化。</w:t>
      </w:r>
    </w:p>
    <w:p w14:paraId="0F9EAD94">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9、服务单位的工作时间原则上必须与市城建档案馆上班时间同步，以便统一管理. 驻场人员需配合城建档案馆做好人脸识别及门禁卡管理工作，服从档案楼大楼管理。</w:t>
      </w:r>
    </w:p>
    <w:p w14:paraId="1310758D">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10、档案著录、整理及数字化扫描、整理和编目用房、管理用房以及临时档案存放周转用房等，由采购人统一安排。</w:t>
      </w:r>
    </w:p>
    <w:p w14:paraId="00465702">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11、服务期间因特殊原因增加现场人员，需提前一周向采购人报备。</w:t>
      </w:r>
    </w:p>
    <w:p w14:paraId="64122E4A">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十、质量要求</w:t>
      </w:r>
    </w:p>
    <w:p w14:paraId="09AF1058">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1、中标供应商按固定周期（日、周或月）向采购人批量提交本周期内的数字化影像对应的档案档号目录，即数字化影像数据范围。</w:t>
      </w:r>
    </w:p>
    <w:p w14:paraId="13E1DEC7">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2、中标供应商应按照技术要求，通过人工和系统检查的方式，逐卷逐页检查，做到应检尽检，保证100%的检查率，在数字化成果提交前应完成质量自查，质量检查内容至少应包括以下方面：</w:t>
      </w:r>
    </w:p>
    <w:p w14:paraId="698349B9">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检查实体档案：卷内材料内容是否对照移交清单核实无误，卷内材料排序是否有错误，卷内材料文字字头方向是否为向左或向上，破损材料是否按要求粘贴，页码是否有漏编、重编等错编问题，装订针是否去除干净，封皮以及卷内目录等打印内容是否正确、是否在要求打印的位置、是否与卷内材料内容及顺序一致，案卷装订是否将卷内材料按照左下角对齐，是否有装订后漏页问题，是否有装订后图件无法打开问题，档号是否有漏编、重编，纸质档案装盒是否有涨盒问题，以及其他需要检查的项目；</w:t>
      </w:r>
    </w:p>
    <w:p w14:paraId="5D70D14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检查电子档案、著录信息：档号是否有漏编、重编或错编问题，档案类别、时间、页码等著录内容是否正确、卷内文件材料名称著录是否正确，扫描图像是否完整、清晰，图像黑边是否完成剪切，图像倾斜是否完成调正，图像方向是否符合阅读习惯，是否有案卷著录信息但无图像上传问题，以及其他需要检查的项目；</w:t>
      </w:r>
    </w:p>
    <w:p w14:paraId="7ACB451F">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（3）检查实体档案与电子档案、著录信息的一致性：从档号、案卷页数、扫描图像文件数量等多方面核对一致性，包括图像和实体的对应、图像与属性的对应、以及其他需要检查的项目。</w:t>
      </w:r>
    </w:p>
    <w:p w14:paraId="76F6109D">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十一、项目日常管理要求</w:t>
      </w:r>
    </w:p>
    <w:p w14:paraId="10C63C13">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1、采购人将提供必要的加工场地、办公桌椅、服务器及网络设备，供应商自备能满足工作需要的电脑、扫描仪、打印机、光盘刻录设备、硬盘及各类耗材，并应保证办公用品的质量。</w:t>
      </w:r>
    </w:p>
    <w:p w14:paraId="17E17C90">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2、在本项目中使用的计算机硬盘由供应商自带，要求全新未拆封的，安装使用前需送采购人登记备案，供应商在本项目中所使用过的硬盘，项目完工后须全部无条件移交给采购人。</w:t>
      </w:r>
    </w:p>
    <w:p w14:paraId="32CECAA7">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3、中标供应商必须严格遵守档案保密规定，严禁加工人员私自存储档案的扫描图像信息数据等；严禁加工人员带领与项目无关人员进入加工现场；杜绝任何泄密事件的发生。签订合同后，采购人与中标供应商签订保密协议。中标供应商应与所有参与项目的加工人员签订相关保密协议。</w:t>
      </w:r>
    </w:p>
    <w:p w14:paraId="1D44CB13">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4、中标供应商应自觉遵守采购人的日常管理要求，保证正常的工作秩序。严禁在加工场所吸烟和大声喧哗。现场加工人员的作业时间由双方协商决定，作业地点由采购人指定。</w:t>
      </w:r>
    </w:p>
    <w:p w14:paraId="17D14607">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5、中标供应商应承诺设专人或专门的部门对此次加工服务项目进行日常管理。</w:t>
      </w:r>
    </w:p>
    <w:p w14:paraId="21ABB21A">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6、中标供应商应配备专业的安全防护设施，以保证工作人员及档案的安全。</w:t>
      </w:r>
    </w:p>
    <w:p w14:paraId="2506896B">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7、中标供应商加工人员必须严格遵守档案保密规定，严禁加工人员私自存储档案的扫描图像信息数据等；严禁加工人员带领与项目无关人员进入加工现场；严禁将档案夹带出加工场地，严禁以复制、拍照、转借、摘抄等方式泄漏档案内容。</w:t>
      </w:r>
    </w:p>
    <w:p w14:paraId="50E9AEC0">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8、加工场地应保持整洁有序，须做到防火、防盗、防尘、防鼠、防虫霉。严禁在档案加工场所内饮食和吸烟。</w:t>
      </w:r>
    </w:p>
    <w:p w14:paraId="271D7950">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9、应建立每日安全值班制，值班人员负责每天下班前切断电源，关闭门窗等日常安全隐患检查工作。节假日放假前，进行全面安全检查，以确保档案的安全。</w:t>
      </w:r>
    </w:p>
    <w:p w14:paraId="7425A0F5">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10、中标供应商人员的食宿等事宜自行解决。</w:t>
      </w:r>
    </w:p>
    <w:p w14:paraId="32746CFC">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十二、保密及安全</w:t>
      </w:r>
    </w:p>
    <w:p w14:paraId="0BB10FDA">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中标供应商须在合同中进行责任约定（保密安全协议另签）；对其聘用的工作人员须进行身份审查和登记备案，并签订保密协议，同时工作人员身份证、个人简历及相关证件复印件提交采购人审核保存；供应商在工作期间必须遵守采购人的相关保密制度。</w:t>
      </w:r>
    </w:p>
    <w:p w14:paraId="21049F45">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2、档案数字化加工形成的各种档案数据所有权归采购人所有。在项目结束时必须向采购人进行移交，不得下载、留存、持有和使用采购人的任何档案数据，违者承担相应的法律责任。</w:t>
      </w:r>
    </w:p>
    <w:p w14:paraId="7FD62424">
      <w:pPr>
        <w:widowControl/>
        <w:numPr>
          <w:ilvl w:val="0"/>
          <w:numId w:val="0"/>
        </w:numPr>
        <w:spacing w:line="360" w:lineRule="auto"/>
        <w:ind w:firstLine="210" w:firstLineChars="100"/>
        <w:rPr>
          <w:rFonts w:hint="default" w:ascii="宋体" w:hAnsi="宋体" w:cs="宋体"/>
          <w:bCs/>
          <w:szCs w:val="21"/>
          <w:lang w:val="en-US" w:eastAsia="zh-CN"/>
        </w:rPr>
      </w:pPr>
      <w:r>
        <w:rPr>
          <w:rFonts w:hint="eastAsia" w:ascii="宋体" w:hAnsi="宋体" w:cs="宋体"/>
          <w:bCs/>
          <w:szCs w:val="21"/>
          <w:lang w:val="en-US" w:eastAsia="zh-CN"/>
        </w:rPr>
        <w:t>3、数字化加工场所应配备满足安全管理需要的视频监控设备，确保档案暂存处、数字化加工工位、服务器及门窗等无监控死角。因涉及档案保密要求，工作场所已安装24小时监控。</w:t>
      </w:r>
    </w:p>
    <w:p w14:paraId="5AA09FB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4、为保证档案实体和档案数据安全，进入加工现场的计算机设备等应做相应处理，封闭所有计算机存储设备外围接口。数据存储服务器不得与其他部门公用，计算机硬盘不得带离加工现场。项目完成时，所有在项目过程中使用设备须经采购人检查，清除所有的留存数据并作安全技术处理，中标供应商必须将所有使用过的存储设备全部交给采购人处理。</w:t>
      </w:r>
    </w:p>
    <w:p w14:paraId="1C3144F6">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5、扫描场所为封闭场地，所有进入加工场地的工作人员实行挂牌制度，无关人员不得进入，不得带入有信息录入传播功能的设备（相机、手机、U盘等）；不得以任何形式将各项档案资料带出指定工作现场，不得以任何形式进行泄漏、传播；不得无故查看及讨论档案内容。</w:t>
      </w:r>
    </w:p>
    <w:p w14:paraId="4096222A">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6、中标供应商必须保证档案内容与档案载体的安全，并在合同中进行责任约定；中标供应商供应商在工作中必须与采购人做好档案的安全交接，并有全部记录。</w:t>
      </w:r>
    </w:p>
    <w:p w14:paraId="2E0AD050">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十三、合同付款方式</w:t>
      </w:r>
    </w:p>
    <w:p w14:paraId="7FBEBBA7">
      <w:pPr>
        <w:widowControl/>
        <w:numPr>
          <w:ilvl w:val="0"/>
          <w:numId w:val="0"/>
        </w:numPr>
        <w:spacing w:line="360" w:lineRule="auto"/>
        <w:ind w:firstLine="210" w:firstLineChars="100"/>
        <w:rPr>
          <w:rFonts w:hint="eastAsia" w:ascii="宋体" w:hAnsi="宋体" w:cs="宋体"/>
          <w:bCs/>
          <w:szCs w:val="21"/>
          <w:highlight w:val="none"/>
          <w:lang w:val="en-US" w:eastAsia="zh-CN"/>
        </w:rPr>
      </w:pPr>
      <w:r>
        <w:rPr>
          <w:rFonts w:hint="eastAsia" w:ascii="宋体" w:hAnsi="宋体" w:cs="宋体"/>
          <w:bCs/>
          <w:szCs w:val="21"/>
          <w:lang w:val="en-US" w:eastAsia="zh-CN"/>
        </w:rPr>
        <w:t>1、中标供应商的劳务</w:t>
      </w:r>
      <w:r>
        <w:rPr>
          <w:rFonts w:hint="eastAsia" w:ascii="宋体" w:hAnsi="宋体" w:cs="宋体"/>
          <w:bCs/>
          <w:szCs w:val="21"/>
          <w:highlight w:val="none"/>
          <w:lang w:val="en-US" w:eastAsia="zh-CN"/>
        </w:rPr>
        <w:t>报酬计件支付，采购人</w:t>
      </w:r>
      <w:r>
        <w:rPr>
          <w:rFonts w:hint="eastAsia" w:ascii="宋体" w:hAnsi="宋体" w:cs="宋体"/>
          <w:bCs/>
          <w:szCs w:val="21"/>
          <w:lang w:val="en-US" w:eastAsia="zh-CN"/>
        </w:rPr>
        <w:t>按标准卷中标价格按季度支付，实行每年总价限高。</w:t>
      </w:r>
    </w:p>
    <w:p w14:paraId="29AD4CDC">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2、采购人在每一季度的上半月完成上一季度完成工作量的支付。工作量需经采购人、中标供应商双方核对后确认。</w:t>
      </w:r>
    </w:p>
    <w:p w14:paraId="3BBDE411">
      <w:pPr>
        <w:widowControl/>
        <w:numPr>
          <w:ilvl w:val="0"/>
          <w:numId w:val="0"/>
        </w:numPr>
        <w:spacing w:line="360" w:lineRule="auto"/>
        <w:ind w:firstLine="210" w:firstLineChars="100"/>
        <w:rPr>
          <w:rFonts w:hint="default" w:ascii="宋体" w:hAnsi="宋体" w:cs="宋体"/>
          <w:bCs/>
          <w:szCs w:val="21"/>
          <w:lang w:val="en-US" w:eastAsia="zh-CN"/>
        </w:rPr>
      </w:pPr>
      <w:r>
        <w:rPr>
          <w:rFonts w:hint="eastAsia" w:ascii="宋体" w:hAnsi="宋体" w:cs="宋体"/>
          <w:bCs/>
          <w:szCs w:val="21"/>
          <w:lang w:val="en-US" w:eastAsia="zh-CN"/>
        </w:rPr>
        <w:t>3、采购人实际支付的金额以当年财政预算为准。</w:t>
      </w:r>
    </w:p>
    <w:p w14:paraId="3C0EFCA7">
      <w:pPr>
        <w:widowControl/>
        <w:numPr>
          <w:ilvl w:val="0"/>
          <w:numId w:val="0"/>
        </w:numPr>
        <w:spacing w:line="360" w:lineRule="auto"/>
        <w:ind w:firstLine="211" w:firstLineChars="100"/>
        <w:rPr>
          <w:rFonts w:hint="eastAsia" w:ascii="宋体" w:hAnsi="宋体" w:cs="宋体"/>
          <w:b/>
          <w:bCs w:val="0"/>
          <w:szCs w:val="21"/>
          <w:lang w:val="en-US" w:eastAsia="zh-CN"/>
        </w:rPr>
      </w:pPr>
      <w:r>
        <w:rPr>
          <w:rFonts w:hint="eastAsia" w:ascii="宋体" w:hAnsi="宋体" w:cs="宋体"/>
          <w:b/>
          <w:bCs w:val="0"/>
          <w:szCs w:val="21"/>
          <w:lang w:val="en-US" w:eastAsia="zh-CN"/>
        </w:rPr>
        <w:t>十四、其他要求</w:t>
      </w:r>
    </w:p>
    <w:p w14:paraId="6FF42B01">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1、本次招标采用总价包干方式，整个项目实施过程中需要的设备及配套软件，由中标供应商自行提供。投标报价应包括完成本项目发生的所有费用。招标文件中未列明，而投标方认为必需的费用也需计入投标报价中，项目实施过程中不再增加其它费用。</w:t>
      </w:r>
    </w:p>
    <w:p w14:paraId="58E58ADB">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2、服务地点：南京市城市建设档案馆，具体地址以采购人要求为准。</w:t>
      </w:r>
    </w:p>
    <w:p w14:paraId="7B8445AD">
      <w:pPr>
        <w:widowControl/>
        <w:numPr>
          <w:ilvl w:val="0"/>
          <w:numId w:val="0"/>
        </w:numPr>
        <w:spacing w:line="360" w:lineRule="auto"/>
        <w:ind w:firstLine="210" w:firstLineChars="100"/>
        <w:rPr>
          <w:rFonts w:hint="eastAsia" w:ascii="宋体" w:hAnsi="宋体" w:cs="宋体"/>
          <w:bCs/>
          <w:szCs w:val="21"/>
          <w:lang w:val="en-US" w:eastAsia="zh-CN"/>
        </w:rPr>
      </w:pPr>
      <w:r>
        <w:rPr>
          <w:rFonts w:hint="eastAsia" w:ascii="宋体" w:hAnsi="宋体" w:cs="宋体"/>
          <w:bCs/>
          <w:szCs w:val="21"/>
          <w:lang w:val="en-US" w:eastAsia="zh-CN"/>
        </w:rPr>
        <w:t>3、质量要求：按照招标文件及国家现行标准文件执行。</w:t>
      </w:r>
    </w:p>
    <w:p w14:paraId="3FB99082">
      <w:pPr>
        <w:widowControl/>
        <w:numPr>
          <w:ilvl w:val="0"/>
          <w:numId w:val="0"/>
        </w:numPr>
        <w:spacing w:line="360" w:lineRule="auto"/>
        <w:ind w:firstLine="210" w:firstLineChars="100"/>
        <w:rPr>
          <w:rFonts w:hint="default" w:ascii="宋体" w:hAnsi="宋体" w:cs="宋体"/>
          <w:bCs/>
          <w:szCs w:val="21"/>
          <w:lang w:val="en-US" w:eastAsia="zh-CN"/>
        </w:rPr>
      </w:pPr>
    </w:p>
    <w:p w14:paraId="365A4483">
      <w:pPr>
        <w:widowControl/>
        <w:numPr>
          <w:ilvl w:val="0"/>
          <w:numId w:val="0"/>
        </w:numPr>
        <w:spacing w:line="360" w:lineRule="auto"/>
        <w:ind w:firstLine="210" w:firstLineChars="100"/>
        <w:rPr>
          <w:rFonts w:hint="default" w:ascii="宋体" w:hAnsi="宋体" w:cs="宋体"/>
          <w:bCs/>
          <w:szCs w:val="21"/>
          <w:lang w:val="en-US" w:eastAsia="zh-CN"/>
        </w:rPr>
      </w:pPr>
    </w:p>
    <w:p w14:paraId="7E76B3A9">
      <w:pPr>
        <w:rPr>
          <w:rFonts w:ascii="宋体" w:hAnsi="宋体" w:cs="宋体"/>
          <w:b/>
          <w:bCs/>
          <w:color w:val="000000"/>
          <w:kern w:val="0"/>
          <w:szCs w:val="21"/>
        </w:rPr>
      </w:pPr>
    </w:p>
    <w:p w14:paraId="3F653EE3">
      <w:pPr>
        <w:pStyle w:val="56"/>
        <w:ind w:firstLine="422"/>
        <w:rPr>
          <w:rFonts w:ascii="宋体" w:hAnsi="宋体" w:eastAsia="宋体"/>
          <w:b/>
          <w:bCs/>
          <w:color w:val="000000"/>
          <w:sz w:val="21"/>
          <w:szCs w:val="21"/>
        </w:rPr>
      </w:pPr>
    </w:p>
    <w:p w14:paraId="2BF48082">
      <w:pPr>
        <w:pStyle w:val="56"/>
        <w:ind w:firstLine="422"/>
        <w:rPr>
          <w:rFonts w:ascii="宋体" w:hAnsi="宋体" w:eastAsia="宋体"/>
          <w:b/>
          <w:bCs/>
          <w:color w:val="000000"/>
          <w:sz w:val="21"/>
          <w:szCs w:val="21"/>
        </w:rPr>
      </w:pPr>
    </w:p>
    <w:p w14:paraId="3D6933EE">
      <w:pPr>
        <w:pStyle w:val="56"/>
        <w:ind w:firstLine="422"/>
        <w:rPr>
          <w:rFonts w:ascii="宋体" w:hAnsi="宋体" w:eastAsia="宋体"/>
          <w:b/>
          <w:bCs/>
          <w:color w:val="000000"/>
          <w:sz w:val="21"/>
          <w:szCs w:val="21"/>
        </w:rPr>
      </w:pPr>
    </w:p>
    <w:p w14:paraId="3F54380C">
      <w:pPr>
        <w:pStyle w:val="56"/>
        <w:ind w:firstLine="422"/>
        <w:rPr>
          <w:rFonts w:ascii="宋体" w:hAnsi="宋体" w:eastAsia="宋体"/>
          <w:b/>
          <w:bCs/>
          <w:color w:val="000000"/>
          <w:sz w:val="21"/>
          <w:szCs w:val="21"/>
        </w:rPr>
      </w:pPr>
    </w:p>
    <w:bookmarkEnd w:id="11"/>
    <w:p w14:paraId="61F35A67">
      <w:pPr>
        <w:pStyle w:val="20"/>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kern w:val="44"/>
          <w:sz w:val="32"/>
          <w:szCs w:val="44"/>
          <w:lang w:val="en-US" w:eastAsia="zh-CN" w:bidi="ar-SA"/>
        </w:rPr>
      </w:pPr>
      <w:bookmarkStart w:id="12" w:name="_Toc22513"/>
      <w:r>
        <w:rPr>
          <w:rFonts w:hint="eastAsia" w:ascii="宋体" w:hAnsi="宋体" w:eastAsia="宋体" w:cs="宋体"/>
          <w:b/>
          <w:bCs/>
          <w:kern w:val="44"/>
          <w:sz w:val="32"/>
          <w:szCs w:val="44"/>
          <w:lang w:val="en-US" w:eastAsia="zh-CN" w:bidi="ar-SA"/>
        </w:rPr>
        <w:fldChar w:fldCharType="begin"/>
      </w:r>
      <w:r>
        <w:rPr>
          <w:rFonts w:hint="eastAsia" w:ascii="宋体" w:hAnsi="宋体" w:eastAsia="宋体" w:cs="宋体"/>
          <w:b/>
          <w:bCs/>
          <w:kern w:val="44"/>
          <w:sz w:val="32"/>
          <w:szCs w:val="44"/>
          <w:lang w:val="en-US" w:eastAsia="zh-CN" w:bidi="ar-SA"/>
        </w:rPr>
        <w:instrText xml:space="preserve"> HYPERLINK \l _Toc6548 </w:instrText>
      </w:r>
      <w:r>
        <w:rPr>
          <w:rFonts w:hint="eastAsia" w:ascii="宋体" w:hAnsi="宋体" w:eastAsia="宋体" w:cs="宋体"/>
          <w:b/>
          <w:bCs/>
          <w:kern w:val="44"/>
          <w:sz w:val="32"/>
          <w:szCs w:val="44"/>
          <w:lang w:val="en-US" w:eastAsia="zh-CN" w:bidi="ar-SA"/>
        </w:rPr>
        <w:fldChar w:fldCharType="separate"/>
      </w:r>
      <w:r>
        <w:rPr>
          <w:rFonts w:hint="eastAsia" w:ascii="宋体" w:hAnsi="宋体" w:eastAsia="宋体" w:cs="宋体"/>
          <w:b/>
          <w:bCs/>
          <w:kern w:val="44"/>
          <w:sz w:val="32"/>
          <w:szCs w:val="44"/>
          <w:lang w:val="en-US" w:eastAsia="zh-CN" w:bidi="ar-SA"/>
        </w:rPr>
        <w:t>第五章  合同主要条款及格式</w:t>
      </w:r>
      <w:r>
        <w:rPr>
          <w:rFonts w:hint="eastAsia" w:ascii="宋体" w:hAnsi="宋体" w:eastAsia="宋体" w:cs="宋体"/>
          <w:b/>
          <w:bCs/>
          <w:kern w:val="44"/>
          <w:sz w:val="32"/>
          <w:szCs w:val="44"/>
          <w:lang w:val="en-US" w:eastAsia="zh-CN" w:bidi="ar-SA"/>
        </w:rPr>
        <w:fldChar w:fldCharType="end"/>
      </w:r>
    </w:p>
    <w:p w14:paraId="38D5390F">
      <w:pPr>
        <w:widowControl/>
        <w:shd w:val="clear" w:color="auto" w:fill="FFFFFF"/>
        <w:spacing w:line="360" w:lineRule="auto"/>
        <w:jc w:val="center"/>
        <w:rPr>
          <w:rFonts w:asciiTheme="minorEastAsia" w:hAnsiTheme="minorEastAsia" w:eastAsiaTheme="minorEastAsia"/>
          <w:b/>
          <w:bCs/>
          <w:kern w:val="0"/>
          <w:sz w:val="52"/>
          <w:szCs w:val="52"/>
        </w:rPr>
      </w:pPr>
      <w:bookmarkStart w:id="13" w:name="_Toc45871263"/>
      <w:bookmarkStart w:id="14" w:name="_Toc20823315"/>
      <w:bookmarkStart w:id="15" w:name="_Toc16938559"/>
      <w:bookmarkStart w:id="16" w:name="_Toc513029243"/>
      <w:r>
        <w:rPr>
          <w:rFonts w:hint="eastAsia" w:asciiTheme="minorEastAsia" w:hAnsiTheme="minorEastAsia" w:eastAsiaTheme="minorEastAsia"/>
          <w:b/>
          <w:bCs/>
          <w:kern w:val="0"/>
          <w:sz w:val="52"/>
          <w:szCs w:val="52"/>
          <w:lang w:val="en-US" w:eastAsia="zh-CN"/>
        </w:rPr>
        <w:t>南京市</w:t>
      </w:r>
      <w:r>
        <w:rPr>
          <w:rFonts w:asciiTheme="minorEastAsia" w:hAnsiTheme="minorEastAsia" w:eastAsiaTheme="minorEastAsia"/>
          <w:b/>
          <w:bCs/>
          <w:kern w:val="0"/>
          <w:sz w:val="52"/>
          <w:szCs w:val="52"/>
        </w:rPr>
        <w:t>政府采购合同</w:t>
      </w:r>
      <w:bookmarkEnd w:id="13"/>
    </w:p>
    <w:p w14:paraId="43CB2303">
      <w:pPr>
        <w:widowControl/>
        <w:shd w:val="clear" w:color="auto" w:fill="FFFFFF"/>
        <w:spacing w:line="360" w:lineRule="auto"/>
        <w:ind w:firstLine="315"/>
        <w:rPr>
          <w:rFonts w:ascii="宋体" w:hAnsi="宋体" w:cs="宋体"/>
          <w:kern w:val="0"/>
          <w:szCs w:val="21"/>
        </w:rPr>
      </w:pPr>
      <w:r>
        <w:rPr>
          <w:rFonts w:hint="eastAsia" w:ascii="宋体" w:hAnsi="宋体" w:cs="宋体"/>
          <w:b/>
          <w:bCs/>
          <w:kern w:val="0"/>
          <w:sz w:val="32"/>
          <w:szCs w:val="32"/>
        </w:rPr>
        <w:t>           </w:t>
      </w:r>
      <w:r>
        <w:rPr>
          <w:rFonts w:hint="eastAsia" w:ascii="宋体" w:hAnsi="宋体" w:cs="宋体"/>
          <w:b/>
          <w:bCs/>
          <w:kern w:val="0"/>
          <w:sz w:val="32"/>
        </w:rPr>
        <w:t> </w:t>
      </w:r>
      <w:r>
        <w:rPr>
          <w:rFonts w:hint="eastAsia" w:ascii="宋体" w:hAnsi="宋体" w:cs="宋体"/>
          <w:kern w:val="0"/>
          <w:sz w:val="32"/>
          <w:szCs w:val="32"/>
        </w:rPr>
        <w:t> </w:t>
      </w:r>
    </w:p>
    <w:p w14:paraId="606D3F5F">
      <w:pPr>
        <w:widowControl/>
        <w:shd w:val="clear" w:color="auto" w:fill="FFFFFF"/>
        <w:spacing w:line="360" w:lineRule="auto"/>
        <w:ind w:firstLine="315"/>
        <w:rPr>
          <w:rFonts w:ascii="宋体" w:hAnsi="宋体" w:cs="宋体"/>
          <w:kern w:val="0"/>
          <w:szCs w:val="21"/>
        </w:rPr>
      </w:pPr>
      <w:r>
        <w:rPr>
          <w:rFonts w:hint="eastAsia" w:ascii="宋体" w:hAnsi="宋体" w:cs="宋体"/>
          <w:kern w:val="0"/>
          <w:sz w:val="32"/>
          <w:szCs w:val="32"/>
        </w:rPr>
        <w:t> </w:t>
      </w:r>
    </w:p>
    <w:p w14:paraId="53C5D05A">
      <w:pPr>
        <w:widowControl/>
        <w:shd w:val="clear" w:color="auto" w:fill="FFFFFF"/>
        <w:spacing w:line="360" w:lineRule="auto"/>
        <w:ind w:firstLine="315"/>
        <w:rPr>
          <w:rFonts w:ascii="宋体" w:hAnsi="宋体" w:cs="宋体"/>
          <w:kern w:val="0"/>
          <w:szCs w:val="21"/>
        </w:rPr>
      </w:pPr>
      <w:r>
        <w:rPr>
          <w:rFonts w:hint="eastAsia" w:ascii="宋体" w:hAnsi="宋体" w:cs="宋体"/>
          <w:b/>
          <w:bCs/>
          <w:kern w:val="0"/>
          <w:sz w:val="36"/>
          <w:szCs w:val="36"/>
        </w:rPr>
        <w:t> </w:t>
      </w:r>
    </w:p>
    <w:p w14:paraId="14E6C3F3">
      <w:pPr>
        <w:widowControl/>
        <w:shd w:val="clear" w:color="auto" w:fill="FFFFFF"/>
        <w:spacing w:line="360" w:lineRule="auto"/>
        <w:ind w:firstLine="315"/>
        <w:rPr>
          <w:rFonts w:ascii="宋体" w:hAnsi="宋体" w:cs="宋体"/>
          <w:b/>
          <w:bCs/>
          <w:kern w:val="0"/>
          <w:sz w:val="36"/>
          <w:szCs w:val="36"/>
        </w:rPr>
      </w:pPr>
      <w:r>
        <w:rPr>
          <w:rFonts w:hint="eastAsia" w:ascii="宋体" w:hAnsi="宋体" w:cs="宋体"/>
          <w:b/>
          <w:bCs/>
          <w:kern w:val="0"/>
          <w:sz w:val="36"/>
          <w:szCs w:val="36"/>
        </w:rPr>
        <w:t> </w:t>
      </w:r>
    </w:p>
    <w:p w14:paraId="51F92FE5">
      <w:pPr>
        <w:widowControl/>
        <w:shd w:val="clear" w:color="auto" w:fill="FFFFFF"/>
        <w:spacing w:line="360" w:lineRule="auto"/>
        <w:ind w:firstLine="315"/>
        <w:rPr>
          <w:rFonts w:ascii="宋体" w:hAnsi="宋体" w:cs="宋体"/>
          <w:kern w:val="0"/>
          <w:sz w:val="32"/>
          <w:szCs w:val="32"/>
        </w:rPr>
      </w:pPr>
    </w:p>
    <w:p w14:paraId="5618FDA1">
      <w:pPr>
        <w:widowControl/>
        <w:shd w:val="clear" w:color="auto" w:fill="FFFFFF"/>
        <w:spacing w:line="360" w:lineRule="auto"/>
        <w:rPr>
          <w:rFonts w:ascii="宋体" w:hAnsi="宋体" w:cs="宋体"/>
          <w:kern w:val="0"/>
          <w:sz w:val="32"/>
          <w:szCs w:val="32"/>
        </w:rPr>
      </w:pPr>
    </w:p>
    <w:p w14:paraId="2C479ED1">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合同编号 ：</w:t>
      </w:r>
      <w:r>
        <w:rPr>
          <w:rFonts w:hint="eastAsia" w:ascii="宋体" w:hAnsi="宋体" w:cs="宋体"/>
          <w:b/>
          <w:bCs/>
          <w:kern w:val="0"/>
          <w:sz w:val="32"/>
          <w:szCs w:val="32"/>
          <w:u w:val="single"/>
        </w:rPr>
        <w:t>          </w:t>
      </w:r>
    </w:p>
    <w:p w14:paraId="486D84EA">
      <w:pPr>
        <w:widowControl/>
        <w:shd w:val="clear" w:color="auto" w:fill="FFFFFF"/>
        <w:spacing w:line="360" w:lineRule="auto"/>
        <w:ind w:firstLine="1918"/>
        <w:jc w:val="center"/>
        <w:rPr>
          <w:rFonts w:ascii="宋体" w:hAnsi="宋体" w:cs="宋体"/>
          <w:kern w:val="0"/>
          <w:sz w:val="32"/>
          <w:szCs w:val="32"/>
        </w:rPr>
      </w:pPr>
      <w:r>
        <w:rPr>
          <w:rFonts w:hint="eastAsia" w:ascii="宋体" w:hAnsi="宋体" w:cs="宋体"/>
          <w:b/>
          <w:bCs/>
          <w:kern w:val="0"/>
          <w:sz w:val="32"/>
          <w:szCs w:val="32"/>
        </w:rPr>
        <w:t>项目名称 ：</w:t>
      </w:r>
      <w:r>
        <w:rPr>
          <w:rFonts w:hint="eastAsia" w:ascii="宋体" w:hAnsi="宋体" w:cs="宋体"/>
          <w:b/>
          <w:bCs/>
          <w:kern w:val="0"/>
          <w:sz w:val="32"/>
          <w:szCs w:val="32"/>
          <w:u w:val="single"/>
          <w:lang w:eastAsia="zh-CN"/>
        </w:rPr>
        <w:t>南京市城市建设档案馆库内建设工</w:t>
      </w:r>
      <w:r>
        <w:rPr>
          <w:rFonts w:hint="eastAsia" w:ascii="宋体" w:hAnsi="宋体" w:cs="宋体"/>
          <w:b/>
          <w:bCs/>
          <w:kern w:val="0"/>
          <w:sz w:val="32"/>
          <w:szCs w:val="32"/>
          <w:u w:val="single"/>
          <w:lang w:val="en-US" w:eastAsia="zh-CN"/>
        </w:rPr>
        <w:t xml:space="preserve">  </w:t>
      </w:r>
      <w:r>
        <w:rPr>
          <w:rFonts w:hint="eastAsia" w:ascii="宋体" w:hAnsi="宋体" w:cs="宋体"/>
          <w:b/>
          <w:bCs/>
          <w:kern w:val="0"/>
          <w:sz w:val="32"/>
          <w:szCs w:val="32"/>
          <w:u w:val="single"/>
          <w:lang w:eastAsia="zh-CN"/>
        </w:rPr>
        <w:t>程档案驻场数字化项目</w:t>
      </w:r>
    </w:p>
    <w:p w14:paraId="6B2B49E4">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使用单位 ：</w:t>
      </w:r>
      <w:r>
        <w:rPr>
          <w:rFonts w:hint="eastAsia" w:ascii="宋体" w:hAnsi="宋体" w:cs="宋体"/>
          <w:b/>
          <w:bCs/>
          <w:kern w:val="0"/>
          <w:sz w:val="32"/>
          <w:szCs w:val="32"/>
          <w:u w:val="single"/>
        </w:rPr>
        <w:t>          </w:t>
      </w:r>
    </w:p>
    <w:p w14:paraId="3FA3FF4E">
      <w:pPr>
        <w:widowControl/>
        <w:shd w:val="clear" w:color="auto" w:fill="FFFFFF"/>
        <w:spacing w:line="360" w:lineRule="auto"/>
        <w:ind w:firstLine="1916"/>
        <w:rPr>
          <w:rFonts w:ascii="宋体" w:hAnsi="宋体" w:cs="宋体"/>
          <w:kern w:val="0"/>
          <w:sz w:val="32"/>
          <w:szCs w:val="32"/>
        </w:rPr>
      </w:pPr>
      <w:r>
        <w:rPr>
          <w:rFonts w:hint="eastAsia" w:ascii="宋体" w:hAnsi="宋体" w:cs="宋体"/>
          <w:b/>
          <w:bCs/>
          <w:kern w:val="0"/>
          <w:sz w:val="32"/>
          <w:szCs w:val="32"/>
        </w:rPr>
        <w:t>供货单位 ：</w:t>
      </w:r>
      <w:r>
        <w:rPr>
          <w:rFonts w:hint="eastAsia" w:ascii="宋体" w:hAnsi="宋体" w:cs="宋体"/>
          <w:b/>
          <w:bCs/>
          <w:kern w:val="0"/>
          <w:sz w:val="32"/>
          <w:szCs w:val="32"/>
          <w:u w:val="single"/>
        </w:rPr>
        <w:t>          </w:t>
      </w:r>
    </w:p>
    <w:p w14:paraId="14DD4725">
      <w:pPr>
        <w:widowControl/>
        <w:shd w:val="clear" w:color="auto" w:fill="FFFFFF"/>
        <w:spacing w:line="360" w:lineRule="auto"/>
        <w:ind w:firstLine="1916"/>
        <w:rPr>
          <w:rFonts w:ascii="宋体" w:hAnsi="宋体" w:cs="宋体"/>
          <w:kern w:val="0"/>
          <w:sz w:val="32"/>
          <w:szCs w:val="32"/>
        </w:rPr>
      </w:pPr>
      <w:r>
        <w:rPr>
          <w:rFonts w:hint="eastAsia" w:ascii="宋体" w:hAnsi="宋体" w:cs="宋体"/>
          <w:b/>
          <w:bCs/>
          <w:kern w:val="0"/>
          <w:sz w:val="32"/>
          <w:szCs w:val="32"/>
        </w:rPr>
        <w:t>签订日期 ：</w:t>
      </w:r>
      <w:r>
        <w:rPr>
          <w:rFonts w:hint="eastAsia" w:ascii="宋体" w:hAnsi="宋体" w:cs="宋体"/>
          <w:b/>
          <w:bCs/>
          <w:kern w:val="0"/>
          <w:sz w:val="32"/>
          <w:szCs w:val="32"/>
          <w:u w:val="single"/>
        </w:rPr>
        <w:t>          </w:t>
      </w:r>
    </w:p>
    <w:p w14:paraId="555A4B69">
      <w:pPr>
        <w:widowControl/>
        <w:shd w:val="clear" w:color="auto" w:fill="FFFFFF"/>
        <w:spacing w:line="360" w:lineRule="auto"/>
        <w:rPr>
          <w:rFonts w:ascii="宋体" w:hAnsi="宋体" w:cs="宋体"/>
          <w:kern w:val="0"/>
          <w:sz w:val="32"/>
          <w:szCs w:val="32"/>
        </w:rPr>
      </w:pPr>
      <w:r>
        <w:rPr>
          <w:rFonts w:hint="eastAsia" w:ascii="宋体" w:hAnsi="宋体" w:cs="宋体"/>
          <w:kern w:val="0"/>
          <w:sz w:val="32"/>
          <w:szCs w:val="32"/>
        </w:rPr>
        <w:t>      </w:t>
      </w:r>
      <w:r>
        <w:rPr>
          <w:rFonts w:hint="eastAsia" w:ascii="宋体" w:hAnsi="宋体" w:cs="宋体"/>
          <w:b/>
          <w:bCs/>
          <w:kern w:val="0"/>
          <w:sz w:val="32"/>
          <w:szCs w:val="32"/>
        </w:rPr>
        <w:t>   </w:t>
      </w:r>
    </w:p>
    <w:p w14:paraId="5B6F4910">
      <w:pPr>
        <w:widowControl/>
        <w:shd w:val="clear" w:color="auto" w:fill="FFFFFF"/>
        <w:spacing w:line="360" w:lineRule="auto"/>
        <w:ind w:firstLine="2984"/>
        <w:rPr>
          <w:rFonts w:ascii="宋体" w:hAnsi="宋体" w:cs="宋体"/>
          <w:kern w:val="0"/>
          <w:sz w:val="32"/>
          <w:szCs w:val="32"/>
        </w:rPr>
      </w:pPr>
      <w:r>
        <w:rPr>
          <w:rFonts w:hint="eastAsia" w:ascii="宋体" w:hAnsi="宋体" w:cs="宋体"/>
          <w:b/>
          <w:bCs/>
          <w:kern w:val="0"/>
          <w:sz w:val="32"/>
          <w:szCs w:val="32"/>
        </w:rPr>
        <w:t> </w:t>
      </w:r>
    </w:p>
    <w:p w14:paraId="5905B898">
      <w:pPr>
        <w:widowControl/>
        <w:shd w:val="clear" w:color="auto" w:fill="FFFFFF"/>
        <w:spacing w:line="360" w:lineRule="auto"/>
        <w:rPr>
          <w:rFonts w:ascii="宋体" w:hAnsi="宋体" w:cs="宋体"/>
          <w:kern w:val="0"/>
          <w:sz w:val="32"/>
          <w:szCs w:val="32"/>
        </w:rPr>
      </w:pPr>
    </w:p>
    <w:p w14:paraId="392545DC">
      <w:pPr>
        <w:widowControl/>
        <w:shd w:val="clear" w:color="auto" w:fill="FFFFFF"/>
        <w:spacing w:line="360" w:lineRule="auto"/>
        <w:rPr>
          <w:rFonts w:ascii="宋体" w:hAnsi="宋体" w:cs="宋体"/>
          <w:kern w:val="0"/>
        </w:rPr>
      </w:pPr>
      <w:r>
        <w:rPr>
          <w:rFonts w:hint="eastAsia" w:ascii="宋体" w:hAnsi="宋体" w:cs="宋体"/>
          <w:kern w:val="0"/>
          <w:sz w:val="24"/>
        </w:rPr>
        <w:br w:type="page"/>
      </w:r>
      <w:bookmarkEnd w:id="14"/>
      <w:bookmarkEnd w:id="15"/>
      <w:bookmarkEnd w:id="16"/>
      <w:r>
        <w:rPr>
          <w:rFonts w:hint="eastAsia" w:ascii="宋体" w:hAnsi="宋体" w:cs="宋体"/>
          <w:kern w:val="0"/>
        </w:rPr>
        <w:t>合同编号：</w:t>
      </w:r>
    </w:p>
    <w:p w14:paraId="0661B6D8">
      <w:pPr>
        <w:widowControl/>
        <w:shd w:val="clear" w:color="auto" w:fill="FFFFFF"/>
        <w:spacing w:line="360" w:lineRule="auto"/>
        <w:rPr>
          <w:rFonts w:ascii="宋体" w:hAnsi="宋体" w:cs="宋体"/>
          <w:kern w:val="0"/>
        </w:rPr>
      </w:pPr>
      <w:r>
        <w:rPr>
          <w:rFonts w:hint="eastAsia" w:ascii="宋体" w:hAnsi="宋体" w:cs="宋体"/>
          <w:kern w:val="0"/>
        </w:rPr>
        <w:t xml:space="preserve">政府采购计划号： </w:t>
      </w:r>
    </w:p>
    <w:tbl>
      <w:tblPr>
        <w:tblStyle w:val="46"/>
        <w:tblW w:w="0" w:type="auto"/>
        <w:tblInd w:w="108" w:type="dxa"/>
        <w:tblLayout w:type="fixed"/>
        <w:tblCellMar>
          <w:top w:w="0" w:type="dxa"/>
          <w:left w:w="0" w:type="dxa"/>
          <w:bottom w:w="0" w:type="dxa"/>
          <w:right w:w="0" w:type="dxa"/>
        </w:tblCellMar>
      </w:tblPr>
      <w:tblGrid>
        <w:gridCol w:w="4270"/>
        <w:gridCol w:w="4250"/>
      </w:tblGrid>
      <w:tr w14:paraId="1286E3EE">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14:paraId="4883BE46">
            <w:pPr>
              <w:widowControl/>
              <w:spacing w:line="360" w:lineRule="auto"/>
              <w:jc w:val="left"/>
              <w:rPr>
                <w:rFonts w:ascii="宋体" w:hAnsi="宋体" w:cs="宋体"/>
                <w:kern w:val="0"/>
              </w:rPr>
            </w:pPr>
            <w:r>
              <w:rPr>
                <w:rFonts w:hint="eastAsia" w:ascii="宋体" w:hAnsi="宋体" w:cs="宋体"/>
                <w:kern w:val="0"/>
              </w:rPr>
              <w:t>采购人（以下称甲方）：</w:t>
            </w:r>
          </w:p>
        </w:tc>
        <w:tc>
          <w:tcPr>
            <w:tcW w:w="4250" w:type="dxa"/>
            <w:tcBorders>
              <w:top w:val="nil"/>
              <w:left w:val="nil"/>
              <w:bottom w:val="nil"/>
              <w:right w:val="nil"/>
            </w:tcBorders>
            <w:shd w:val="clear" w:color="auto" w:fill="FFFFFF"/>
            <w:tcMar>
              <w:top w:w="0" w:type="dxa"/>
              <w:left w:w="108" w:type="dxa"/>
              <w:bottom w:w="0" w:type="dxa"/>
              <w:right w:w="108" w:type="dxa"/>
            </w:tcMar>
          </w:tcPr>
          <w:p w14:paraId="4335D4FF">
            <w:pPr>
              <w:widowControl/>
              <w:spacing w:line="360" w:lineRule="auto"/>
              <w:jc w:val="left"/>
              <w:rPr>
                <w:rFonts w:ascii="宋体" w:hAnsi="宋体" w:cs="宋体"/>
                <w:kern w:val="0"/>
              </w:rPr>
            </w:pPr>
            <w:r>
              <w:rPr>
                <w:rFonts w:hint="eastAsia" w:ascii="宋体" w:hAnsi="宋体" w:cs="宋体"/>
                <w:kern w:val="0"/>
              </w:rPr>
              <w:t>供应商：（以下称乙方）</w:t>
            </w:r>
          </w:p>
        </w:tc>
      </w:tr>
      <w:tr w14:paraId="555D3B10">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14:paraId="14C74C67">
            <w:pPr>
              <w:widowControl/>
              <w:spacing w:line="360" w:lineRule="auto"/>
              <w:jc w:val="left"/>
              <w:rPr>
                <w:rFonts w:ascii="宋体" w:hAnsi="宋体" w:cs="宋体"/>
                <w:kern w:val="0"/>
              </w:rPr>
            </w:pPr>
            <w:r>
              <w:rPr>
                <w:rFonts w:hint="eastAsia" w:ascii="宋体" w:hAnsi="宋体" w:cs="宋体"/>
                <w:kern w:val="0"/>
              </w:rPr>
              <w:t>住所地：</w:t>
            </w:r>
          </w:p>
        </w:tc>
        <w:tc>
          <w:tcPr>
            <w:tcW w:w="4250" w:type="dxa"/>
            <w:tcBorders>
              <w:top w:val="nil"/>
              <w:left w:val="nil"/>
              <w:bottom w:val="nil"/>
              <w:right w:val="nil"/>
            </w:tcBorders>
            <w:shd w:val="clear" w:color="auto" w:fill="FFFFFF"/>
            <w:tcMar>
              <w:top w:w="0" w:type="dxa"/>
              <w:left w:w="108" w:type="dxa"/>
              <w:bottom w:w="0" w:type="dxa"/>
              <w:right w:w="108" w:type="dxa"/>
            </w:tcMar>
          </w:tcPr>
          <w:p w14:paraId="668097A9">
            <w:pPr>
              <w:widowControl/>
              <w:spacing w:line="360" w:lineRule="auto"/>
              <w:jc w:val="left"/>
              <w:rPr>
                <w:rFonts w:ascii="宋体" w:hAnsi="宋体" w:cs="宋体"/>
                <w:kern w:val="0"/>
              </w:rPr>
            </w:pPr>
            <w:r>
              <w:rPr>
                <w:rFonts w:hint="eastAsia" w:ascii="宋体" w:hAnsi="宋体" w:cs="宋体"/>
                <w:kern w:val="0"/>
              </w:rPr>
              <w:t>住所地：</w:t>
            </w:r>
          </w:p>
        </w:tc>
      </w:tr>
      <w:tr w14:paraId="268FA773">
        <w:tblPrEx>
          <w:tblCellMar>
            <w:top w:w="0" w:type="dxa"/>
            <w:left w:w="0" w:type="dxa"/>
            <w:bottom w:w="0" w:type="dxa"/>
            <w:right w:w="0" w:type="dxa"/>
          </w:tblCellMar>
        </w:tblPrEx>
        <w:tc>
          <w:tcPr>
            <w:tcW w:w="8520" w:type="dxa"/>
            <w:gridSpan w:val="2"/>
            <w:tcBorders>
              <w:top w:val="nil"/>
              <w:left w:val="nil"/>
              <w:bottom w:val="nil"/>
              <w:right w:val="nil"/>
            </w:tcBorders>
            <w:shd w:val="clear" w:color="auto" w:fill="FFFFFF"/>
            <w:tcMar>
              <w:top w:w="0" w:type="dxa"/>
              <w:left w:w="108" w:type="dxa"/>
              <w:bottom w:w="0" w:type="dxa"/>
              <w:right w:w="108" w:type="dxa"/>
            </w:tcMar>
          </w:tcPr>
          <w:p w14:paraId="427BD714">
            <w:pPr>
              <w:widowControl/>
              <w:spacing w:line="360" w:lineRule="auto"/>
              <w:jc w:val="left"/>
              <w:rPr>
                <w:rFonts w:ascii="宋体" w:hAnsi="宋体" w:cs="宋体"/>
                <w:kern w:val="0"/>
              </w:rPr>
            </w:pPr>
            <w:bookmarkStart w:id="17" w:name="_Toc15718"/>
          </w:p>
        </w:tc>
      </w:tr>
    </w:tbl>
    <w:p w14:paraId="4EE1D3C0">
      <w:pPr>
        <w:spacing w:line="360" w:lineRule="auto"/>
        <w:ind w:firstLine="420" w:firstLineChars="200"/>
        <w:outlineLvl w:val="0"/>
        <w:rPr>
          <w:rFonts w:ascii="宋体" w:hAnsi="宋体" w:cs="宋体"/>
          <w:bCs/>
          <w:szCs w:val="21"/>
        </w:rPr>
      </w:pPr>
      <w:bookmarkStart w:id="18" w:name="_Toc18661"/>
      <w:bookmarkStart w:id="19" w:name="_Toc7550"/>
      <w:r>
        <w:rPr>
          <w:rFonts w:hint="eastAsia" w:ascii="宋体" w:hAnsi="宋体" w:cs="宋体"/>
          <w:bCs/>
          <w:szCs w:val="21"/>
        </w:rPr>
        <w:t>根据《中华人民共和国政府采购法》《中华人民共和国民法典》，由</w:t>
      </w:r>
      <w:r>
        <w:rPr>
          <w:rFonts w:hint="eastAsia" w:ascii="宋体" w:hAnsi="宋体" w:eastAsia="宋体" w:cs="宋体"/>
          <w:bCs/>
          <w:szCs w:val="21"/>
          <w:u w:val="single"/>
          <w:lang w:eastAsia="zh-CN"/>
        </w:rPr>
        <w:t>南京市城市建设档案馆</w:t>
      </w:r>
      <w:r>
        <w:rPr>
          <w:rFonts w:hint="eastAsia" w:ascii="宋体" w:hAnsi="宋体" w:eastAsia="宋体" w:cs="宋体"/>
          <w:bCs/>
          <w:szCs w:val="21"/>
          <w:u w:val="single"/>
        </w:rPr>
        <w:t>（</w:t>
      </w:r>
      <w:r>
        <w:rPr>
          <w:rFonts w:hint="eastAsia" w:ascii="宋体" w:hAnsi="宋体" w:cs="宋体"/>
          <w:bCs/>
          <w:szCs w:val="21"/>
        </w:rPr>
        <w:t>甲方）委托</w:t>
      </w:r>
      <w:r>
        <w:rPr>
          <w:rFonts w:hint="eastAsia" w:ascii="宋体" w:hAnsi="宋体" w:cs="宋体"/>
          <w:bCs/>
          <w:szCs w:val="21"/>
          <w:u w:val="single"/>
        </w:rPr>
        <w:t xml:space="preserve">    </w:t>
      </w:r>
      <w:r>
        <w:rPr>
          <w:rFonts w:hint="eastAsia" w:ascii="宋体" w:hAnsi="宋体" w:cs="宋体"/>
          <w:bCs/>
          <w:szCs w:val="21"/>
        </w:rPr>
        <w:t>（乙方）承担本合同规定内容。经双方友好协商，签订本合同。</w:t>
      </w:r>
      <w:bookmarkEnd w:id="17"/>
      <w:bookmarkEnd w:id="18"/>
      <w:bookmarkEnd w:id="19"/>
    </w:p>
    <w:p w14:paraId="069662AC">
      <w:pPr>
        <w:widowControl/>
        <w:shd w:val="clear" w:color="auto" w:fill="FFFFFF"/>
        <w:spacing w:line="360" w:lineRule="auto"/>
        <w:ind w:firstLine="422"/>
        <w:rPr>
          <w:rFonts w:ascii="宋体" w:hAnsi="宋体" w:eastAsia="宋体" w:cs="宋体"/>
          <w:b/>
          <w:bCs/>
          <w:color w:val="000000"/>
          <w:kern w:val="0"/>
          <w:szCs w:val="20"/>
          <w:highlight w:val="none"/>
        </w:rPr>
      </w:pPr>
      <w:r>
        <w:rPr>
          <w:rFonts w:hint="eastAsia" w:ascii="宋体" w:hAnsi="宋体" w:eastAsia="宋体" w:cs="宋体"/>
          <w:b/>
          <w:bCs/>
          <w:color w:val="000000"/>
          <w:kern w:val="0"/>
          <w:szCs w:val="20"/>
          <w:highlight w:val="none"/>
        </w:rPr>
        <w:t xml:space="preserve">第一条  合同标的 </w:t>
      </w:r>
    </w:p>
    <w:p w14:paraId="421C3C9A">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1、</w:t>
      </w:r>
      <w:r>
        <w:rPr>
          <w:rFonts w:hint="eastAsia" w:ascii="宋体" w:hAnsi="宋体" w:eastAsia="宋体" w:cs="宋体"/>
          <w:color w:val="000000"/>
          <w:szCs w:val="21"/>
          <w:highlight w:val="none"/>
          <w:lang w:val="zh-CN"/>
        </w:rPr>
        <w:t>乙方根据甲方需求提供下列服务：</w:t>
      </w:r>
      <w:r>
        <w:rPr>
          <w:rFonts w:hint="eastAsia" w:ascii="宋体" w:hAnsi="宋体" w:eastAsia="宋体" w:cs="宋体"/>
          <w:color w:val="000000"/>
          <w:szCs w:val="21"/>
          <w:highlight w:val="none"/>
          <w:u w:val="single"/>
          <w:lang w:val="en-US" w:eastAsia="zh-CN"/>
        </w:rPr>
        <w:t>南京市城市建设档案馆库内建设工程档案驻场数字化项目</w:t>
      </w:r>
      <w:r>
        <w:rPr>
          <w:rFonts w:hint="eastAsia" w:ascii="宋体" w:hAnsi="宋体" w:cs="宋体"/>
          <w:color w:val="000000"/>
          <w:szCs w:val="21"/>
          <w:highlight w:val="none"/>
          <w:u w:val="single"/>
          <w:lang w:val="en-US" w:eastAsia="zh-CN"/>
        </w:rPr>
        <w:t>。</w:t>
      </w:r>
    </w:p>
    <w:p w14:paraId="2ED14631">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kern w:val="2"/>
          <w:sz w:val="21"/>
          <w:szCs w:val="21"/>
          <w:highlight w:val="none"/>
          <w:lang w:val="zh-CN" w:eastAsia="zh-CN" w:bidi="ar-SA"/>
        </w:rPr>
      </w:pPr>
      <w:r>
        <w:rPr>
          <w:rFonts w:hint="eastAsia" w:ascii="宋体" w:hAnsi="宋体" w:eastAsia="宋体" w:cs="宋体"/>
          <w:color w:val="000000"/>
          <w:kern w:val="2"/>
          <w:sz w:val="21"/>
          <w:szCs w:val="21"/>
          <w:highlight w:val="none"/>
          <w:lang w:val="zh-CN" w:eastAsia="zh-CN" w:bidi="ar-SA"/>
        </w:rPr>
        <w:t>2、具体服务内容:</w:t>
      </w:r>
      <w:r>
        <w:rPr>
          <w:rFonts w:hint="default" w:ascii="宋体" w:hAnsi="宋体" w:eastAsia="宋体" w:cs="宋体"/>
          <w:bCs/>
          <w:szCs w:val="21"/>
          <w:lang w:val="en-US" w:eastAsia="zh-CN"/>
        </w:rPr>
        <w:t>对城建档案馆库内建设工程档案开展驻场数字化。驻场公司需根据城建档案馆相关要求在复核库内建设工程档案整理和著录问题的基础上，纠正包括组卷、页码等细小错误，再开展全文扫描、图像处理、数据挂接等档案数字化工作，同时配备质量检测人员，自检通过后提交档案馆抽验，对档案进行装盒、入库上架，完成全流程城建档案数字化服务工作。</w:t>
      </w:r>
    </w:p>
    <w:p w14:paraId="3219DFF6">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3、招标工作数量:</w:t>
      </w:r>
    </w:p>
    <w:p w14:paraId="22E42FF3">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000000"/>
          <w:kern w:val="2"/>
          <w:sz w:val="21"/>
          <w:szCs w:val="21"/>
          <w:highlight w:val="none"/>
          <w:lang w:val="zh-CN" w:eastAsia="zh-CN" w:bidi="ar-SA"/>
        </w:rPr>
        <w:t>第一年工作量:</w:t>
      </w:r>
      <w:r>
        <w:rPr>
          <w:rFonts w:hint="eastAsia" w:ascii="宋体" w:hAnsi="宋体" w:eastAsia="宋体" w:cs="宋体"/>
          <w:color w:val="000000"/>
          <w:kern w:val="2"/>
          <w:sz w:val="21"/>
          <w:szCs w:val="21"/>
          <w:highlight w:val="none"/>
          <w:u w:val="single"/>
          <w:lang w:val="zh-CN" w:eastAsia="zh-CN" w:bidi="ar-SA"/>
        </w:rPr>
        <w:t>完成库内建设工程档案审核及扫描不少于1.6万卷标准卷，或完成库内建设工程档案扫</w:t>
      </w:r>
      <w:r>
        <w:rPr>
          <w:rFonts w:hint="eastAsia" w:ascii="宋体" w:hAnsi="宋体" w:eastAsia="宋体" w:cs="宋体"/>
          <w:color w:val="auto"/>
          <w:kern w:val="2"/>
          <w:sz w:val="21"/>
          <w:szCs w:val="21"/>
          <w:highlight w:val="none"/>
          <w:u w:val="single"/>
          <w:lang w:val="zh-CN" w:eastAsia="zh-CN" w:bidi="ar-SA"/>
        </w:rPr>
        <w:t>描不少于1.88万卷</w:t>
      </w:r>
      <w:r>
        <w:rPr>
          <w:rFonts w:hint="eastAsia" w:ascii="宋体" w:hAnsi="宋体" w:cs="宋体"/>
          <w:color w:val="auto"/>
          <w:kern w:val="2"/>
          <w:sz w:val="21"/>
          <w:szCs w:val="21"/>
          <w:highlight w:val="none"/>
          <w:u w:val="single"/>
          <w:lang w:val="zh-CN" w:eastAsia="zh-CN" w:bidi="ar-SA"/>
        </w:rPr>
        <w:t>；</w:t>
      </w:r>
    </w:p>
    <w:p w14:paraId="1DF30521">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第二和第三年工作量:</w:t>
      </w:r>
      <w:r>
        <w:rPr>
          <w:rFonts w:hint="eastAsia" w:ascii="宋体" w:hAnsi="宋体" w:cs="宋体"/>
          <w:color w:val="auto"/>
          <w:kern w:val="2"/>
          <w:sz w:val="21"/>
          <w:szCs w:val="21"/>
          <w:highlight w:val="none"/>
          <w:u w:val="single"/>
          <w:lang w:val="en-US" w:eastAsia="zh-CN" w:bidi="ar-SA"/>
        </w:rPr>
        <w:t>完成库内建设工程档案审核及扫描不少于1.8万卷标准卷，或完成库内建设工程档案扫描不少于2.117万卷。</w:t>
      </w:r>
    </w:p>
    <w:p w14:paraId="315C2914">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s="宋体"/>
          <w:bCs/>
          <w:szCs w:val="21"/>
          <w:lang w:val="en-US" w:eastAsia="zh-CN"/>
        </w:rPr>
      </w:pPr>
      <w:r>
        <w:rPr>
          <w:rFonts w:hint="eastAsia" w:ascii="宋体" w:hAnsi="宋体" w:eastAsia="宋体" w:cs="宋体"/>
          <w:color w:val="000000"/>
          <w:kern w:val="2"/>
          <w:sz w:val="21"/>
          <w:szCs w:val="21"/>
          <w:highlight w:val="none"/>
          <w:lang w:val="zh-CN" w:eastAsia="zh-CN" w:bidi="ar-SA"/>
        </w:rPr>
        <w:t>4、招标服务周期:</w:t>
      </w:r>
      <w:r>
        <w:rPr>
          <w:rFonts w:hint="default" w:ascii="宋体" w:hAnsi="宋体" w:eastAsia="宋体" w:cs="宋体"/>
          <w:bCs/>
          <w:szCs w:val="21"/>
          <w:lang w:val="en-US" w:eastAsia="zh-CN"/>
        </w:rPr>
        <w:t>三年，合同每年一签，当年服务期满后，采购人组织人员考核，考核标准按照城建档案馆《档案实体交接、数字化成果验收与交接规定》执行，考核通过后，方可在年底续签下一年度合同。考核不通过，</w:t>
      </w:r>
      <w:r>
        <w:rPr>
          <w:rFonts w:hint="eastAsia" w:ascii="宋体" w:hAnsi="宋体" w:cs="宋体"/>
          <w:bCs/>
          <w:szCs w:val="21"/>
          <w:lang w:val="en-US" w:eastAsia="zh-CN"/>
        </w:rPr>
        <w:t>采购人</w:t>
      </w:r>
      <w:r>
        <w:rPr>
          <w:rFonts w:hint="default" w:ascii="宋体" w:hAnsi="宋体" w:eastAsia="宋体" w:cs="宋体"/>
          <w:bCs/>
          <w:szCs w:val="21"/>
          <w:lang w:val="en-US" w:eastAsia="zh-CN"/>
        </w:rPr>
        <w:t>有权提前终止合同。</w:t>
      </w:r>
    </w:p>
    <w:p w14:paraId="3D9E62F1">
      <w:pPr>
        <w:widowControl/>
        <w:numPr>
          <w:ilvl w:val="0"/>
          <w:numId w:val="0"/>
        </w:numPr>
        <w:spacing w:line="360" w:lineRule="auto"/>
        <w:ind w:firstLine="210" w:firstLineChars="100"/>
        <w:rPr>
          <w:rFonts w:hint="default" w:ascii="宋体" w:hAnsi="宋体" w:eastAsia="宋体" w:cs="宋体"/>
          <w:bCs/>
          <w:szCs w:val="21"/>
          <w:lang w:val="en-US" w:eastAsia="zh-CN"/>
        </w:rPr>
      </w:pPr>
      <w:r>
        <w:rPr>
          <w:rFonts w:hint="default" w:ascii="宋体" w:hAnsi="宋体" w:eastAsia="宋体" w:cs="宋体"/>
          <w:bCs/>
          <w:szCs w:val="21"/>
          <w:lang w:val="en-US" w:eastAsia="zh-CN"/>
        </w:rPr>
        <w:t>合同在考核通过后每年一签。</w:t>
      </w:r>
    </w:p>
    <w:p w14:paraId="121B1B6C">
      <w:pPr>
        <w:widowControl/>
        <w:numPr>
          <w:ilvl w:val="0"/>
          <w:numId w:val="0"/>
        </w:numPr>
        <w:spacing w:line="360" w:lineRule="auto"/>
        <w:ind w:firstLine="210" w:firstLineChars="100"/>
        <w:rPr>
          <w:rFonts w:hint="default" w:ascii="宋体" w:hAnsi="宋体" w:eastAsia="宋体" w:cs="宋体"/>
          <w:bCs/>
          <w:szCs w:val="21"/>
          <w:lang w:val="en-US" w:eastAsia="zh-CN"/>
        </w:rPr>
      </w:pPr>
      <w:r>
        <w:rPr>
          <w:rFonts w:hint="default" w:ascii="宋体" w:hAnsi="宋体" w:eastAsia="宋体" w:cs="宋体"/>
          <w:bCs/>
          <w:szCs w:val="21"/>
          <w:lang w:val="en-US" w:eastAsia="zh-CN"/>
        </w:rPr>
        <w:t>第一年合同期为：自合同签订后至2025年11月30日</w:t>
      </w:r>
    </w:p>
    <w:p w14:paraId="408E4677">
      <w:pPr>
        <w:widowControl/>
        <w:numPr>
          <w:ilvl w:val="0"/>
          <w:numId w:val="0"/>
        </w:numPr>
        <w:spacing w:line="360" w:lineRule="auto"/>
        <w:ind w:firstLine="210" w:firstLineChars="100"/>
        <w:rPr>
          <w:rFonts w:hint="default" w:ascii="宋体" w:hAnsi="宋体" w:eastAsia="宋体" w:cs="宋体"/>
          <w:bCs/>
          <w:szCs w:val="21"/>
          <w:lang w:val="en-US" w:eastAsia="zh-CN"/>
        </w:rPr>
      </w:pPr>
      <w:r>
        <w:rPr>
          <w:rFonts w:hint="default" w:ascii="宋体" w:hAnsi="宋体" w:eastAsia="宋体" w:cs="宋体"/>
          <w:bCs/>
          <w:szCs w:val="21"/>
          <w:lang w:val="en-US" w:eastAsia="zh-CN"/>
        </w:rPr>
        <w:t>第二年合同期为：2025年12月1日—2026年11月30日</w:t>
      </w:r>
    </w:p>
    <w:p w14:paraId="405AE70F">
      <w:pPr>
        <w:widowControl/>
        <w:numPr>
          <w:ilvl w:val="0"/>
          <w:numId w:val="0"/>
        </w:numPr>
        <w:spacing w:line="360" w:lineRule="auto"/>
        <w:ind w:firstLine="210" w:firstLineChars="100"/>
        <w:rPr>
          <w:rFonts w:hint="default" w:ascii="宋体" w:hAnsi="宋体" w:eastAsia="宋体" w:cs="宋体"/>
          <w:bCs/>
          <w:szCs w:val="21"/>
          <w:highlight w:val="none"/>
          <w:lang w:val="en-US" w:eastAsia="zh-CN"/>
        </w:rPr>
      </w:pPr>
      <w:r>
        <w:rPr>
          <w:rFonts w:hint="default" w:ascii="宋体" w:hAnsi="宋体" w:eastAsia="宋体" w:cs="宋体"/>
          <w:bCs/>
          <w:szCs w:val="21"/>
          <w:lang w:val="en-US" w:eastAsia="zh-CN"/>
        </w:rPr>
        <w:t>第三年合</w:t>
      </w:r>
      <w:r>
        <w:rPr>
          <w:rFonts w:hint="default" w:ascii="宋体" w:hAnsi="宋体" w:eastAsia="宋体" w:cs="宋体"/>
          <w:bCs/>
          <w:szCs w:val="21"/>
          <w:highlight w:val="none"/>
          <w:lang w:val="en-US" w:eastAsia="zh-CN"/>
        </w:rPr>
        <w:t>同期为：2026年12月1日—2027年11月30日</w:t>
      </w:r>
    </w:p>
    <w:p w14:paraId="09DF3DED">
      <w:pPr>
        <w:autoSpaceDE w:val="0"/>
        <w:autoSpaceDN w:val="0"/>
        <w:adjustRightInd w:val="0"/>
        <w:spacing w:line="360" w:lineRule="auto"/>
        <w:ind w:firstLine="420"/>
        <w:jc w:val="left"/>
        <w:rPr>
          <w:rFonts w:ascii="宋体" w:hAnsi="宋体" w:eastAsia="宋体" w:cs="宋体"/>
          <w:color w:val="000000"/>
          <w:szCs w:val="21"/>
          <w:highlight w:val="none"/>
          <w:lang w:val="zh-CN"/>
        </w:rPr>
      </w:pPr>
      <w:r>
        <w:rPr>
          <w:rFonts w:hint="eastAsia" w:ascii="宋体" w:hAnsi="宋体" w:eastAsia="宋体" w:cs="宋体"/>
          <w:b/>
          <w:bCs/>
          <w:color w:val="000000"/>
          <w:szCs w:val="21"/>
          <w:highlight w:val="none"/>
          <w:lang w:val="zh-CN"/>
        </w:rPr>
        <w:t>第二条</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lang w:val="zh-CN"/>
        </w:rPr>
        <w:t>合同总价款及有效期</w:t>
      </w:r>
    </w:p>
    <w:p w14:paraId="78C4FAFF">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cs="宋体"/>
          <w:color w:val="000000"/>
          <w:kern w:val="0"/>
          <w:szCs w:val="20"/>
          <w:highlight w:val="none"/>
          <w:lang w:val="en-US" w:eastAsia="zh-CN"/>
        </w:rPr>
        <w:t>1.</w:t>
      </w:r>
      <w:r>
        <w:rPr>
          <w:rFonts w:hint="eastAsia" w:ascii="宋体" w:hAnsi="宋体" w:eastAsia="宋体" w:cs="宋体"/>
          <w:color w:val="000000"/>
          <w:kern w:val="0"/>
          <w:szCs w:val="20"/>
          <w:highlight w:val="none"/>
        </w:rPr>
        <w:t>本合同项下服务价款为___________（大写）人民币，分项价款在“分项报价表”中有明确规定。</w:t>
      </w:r>
    </w:p>
    <w:p w14:paraId="5671922C">
      <w:pPr>
        <w:widowControl/>
        <w:shd w:val="clear" w:color="auto" w:fill="FFFFFF"/>
        <w:spacing w:line="360" w:lineRule="auto"/>
        <w:ind w:firstLine="420"/>
        <w:jc w:val="lef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甲方就本合同不再向乙方支付任何其他款项。</w:t>
      </w:r>
    </w:p>
    <w:p w14:paraId="42DFDA60">
      <w:pPr>
        <w:pStyle w:val="2"/>
        <w:rPr>
          <w:color w:val="auto"/>
        </w:rPr>
      </w:pPr>
      <w:r>
        <w:rPr>
          <w:rFonts w:hint="eastAsia"/>
          <w:color w:val="auto"/>
          <w:lang w:val="en-US" w:eastAsia="zh-CN"/>
        </w:rPr>
        <w:t>2.</w:t>
      </w:r>
      <w:r>
        <w:rPr>
          <w:rFonts w:hint="eastAsia"/>
          <w:color w:val="auto"/>
        </w:rPr>
        <w:t>甲方在每一季度的上半月完成上一季度完成工作量的支付。工作量须经甲乙双方核对后确认。</w:t>
      </w:r>
    </w:p>
    <w:p w14:paraId="61210F70">
      <w:pPr>
        <w:widowControl/>
        <w:shd w:val="clear" w:color="auto" w:fill="FFFFFF"/>
        <w:spacing w:line="360" w:lineRule="auto"/>
        <w:ind w:firstLine="413" w:firstLineChars="196"/>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第三条 组成本合同的有关文件</w:t>
      </w:r>
      <w:r>
        <w:rPr>
          <w:rFonts w:hint="eastAsia" w:ascii="宋体" w:hAnsi="宋体" w:eastAsia="宋体" w:cs="宋体"/>
          <w:color w:val="000000"/>
          <w:kern w:val="0"/>
          <w:szCs w:val="21"/>
          <w:highlight w:val="none"/>
        </w:rPr>
        <w:t>  </w:t>
      </w:r>
    </w:p>
    <w:p w14:paraId="30B73CA6">
      <w:pPr>
        <w:widowControl/>
        <w:shd w:val="clear" w:color="auto" w:fill="FFFFFF"/>
        <w:spacing w:line="360" w:lineRule="auto"/>
        <w:ind w:firstLine="411" w:firstLineChars="196"/>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招标文件和有关附件是本合同不可分割的组成部分，与本合同具有同等法律效力。</w:t>
      </w:r>
    </w:p>
    <w:p w14:paraId="563E0F66">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第四条 权利保证</w:t>
      </w:r>
    </w:p>
    <w:p w14:paraId="721FACE2">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乙方应保证为甲方提供服务任何一部分时不受第三方提出侵犯其专利权、版权、商标权或其他权利的起诉。一旦出现侵权，乙方应承担全部责任。</w:t>
      </w:r>
    </w:p>
    <w:p w14:paraId="7AEC09D8">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第五条 质量保证</w:t>
      </w:r>
    </w:p>
    <w:p w14:paraId="599DF79E">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乙方提供的工程必须全部达到采购文件各项要求，国家或行业有规定的，还要符合相应规定。</w:t>
      </w:r>
    </w:p>
    <w:p w14:paraId="41FF562E">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第六条 交付使用和验收</w:t>
      </w:r>
    </w:p>
    <w:p w14:paraId="30A99A29">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1、服务期三年，合同</w:t>
      </w:r>
      <w:r>
        <w:rPr>
          <w:rFonts w:hint="eastAsia" w:ascii="宋体" w:hAnsi="宋体" w:cs="宋体"/>
          <w:color w:val="000000"/>
          <w:kern w:val="0"/>
          <w:szCs w:val="20"/>
          <w:highlight w:val="none"/>
          <w:lang w:val="en-US" w:eastAsia="zh-CN"/>
        </w:rPr>
        <w:t>一</w:t>
      </w:r>
      <w:r>
        <w:rPr>
          <w:rFonts w:hint="eastAsia" w:ascii="宋体" w:hAnsi="宋体" w:eastAsia="宋体" w:cs="宋体"/>
          <w:color w:val="000000"/>
          <w:kern w:val="0"/>
          <w:szCs w:val="20"/>
          <w:highlight w:val="none"/>
        </w:rPr>
        <w:t>年一签。</w:t>
      </w:r>
    </w:p>
    <w:p w14:paraId="7EDE6BB9">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2、甲方自行组织或视情邀请相关专家或国家认可的质量检测机构参加验收，乙方提供的服务不符合采购文件和合同规定的，甲方有权拒收，并由乙方承担验收费用等。</w:t>
      </w:r>
    </w:p>
    <w:p w14:paraId="16E21FB4">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第七条 履约保证金</w:t>
      </w:r>
    </w:p>
    <w:p w14:paraId="6B8DD8D4">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无</w:t>
      </w:r>
    </w:p>
    <w:p w14:paraId="0F2465FE">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第八条 合同款支付</w:t>
      </w:r>
    </w:p>
    <w:p w14:paraId="7AAC576D">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1、本合同项下所有款项均以人民币支付。</w:t>
      </w:r>
    </w:p>
    <w:p w14:paraId="4BF56802">
      <w:pPr>
        <w:widowControl/>
        <w:shd w:val="clear" w:color="auto" w:fill="FFFFFF"/>
        <w:spacing w:line="360" w:lineRule="auto"/>
        <w:ind w:firstLine="42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2、本合同项下的采购资金由甲方自行支付，乙方向甲方开具发票。</w:t>
      </w:r>
    </w:p>
    <w:p w14:paraId="125E9360">
      <w:pPr>
        <w:widowControl/>
        <w:shd w:val="clear" w:color="auto" w:fill="FFFFFF"/>
        <w:spacing w:line="360" w:lineRule="auto"/>
        <w:ind w:firstLine="420" w:firstLineChars="200"/>
        <w:rPr>
          <w:rFonts w:ascii="宋体" w:hAnsi="宋体" w:eastAsia="宋体" w:cs="宋体"/>
          <w:color w:val="000000"/>
          <w:kern w:val="0"/>
          <w:szCs w:val="20"/>
          <w:highlight w:val="none"/>
        </w:rPr>
      </w:pPr>
      <w:r>
        <w:rPr>
          <w:rFonts w:hint="eastAsia" w:ascii="宋体" w:hAnsi="宋体" w:eastAsia="宋体" w:cs="宋体"/>
          <w:color w:val="000000"/>
          <w:kern w:val="0"/>
          <w:szCs w:val="21"/>
          <w:highlight w:val="none"/>
        </w:rPr>
        <w:t>3、付款方式：按照采购文件要求。</w:t>
      </w:r>
    </w:p>
    <w:p w14:paraId="73258DF0">
      <w:pPr>
        <w:widowControl/>
        <w:shd w:val="clear" w:color="auto" w:fill="FFFFFF"/>
        <w:spacing w:line="360" w:lineRule="auto"/>
        <w:ind w:firstLine="420"/>
        <w:jc w:val="left"/>
        <w:rPr>
          <w:rFonts w:ascii="宋体" w:hAnsi="宋体" w:eastAsia="宋体" w:cs="宋体"/>
          <w:b/>
          <w:bCs/>
          <w:color w:val="000000"/>
          <w:kern w:val="0"/>
          <w:highlight w:val="none"/>
        </w:rPr>
      </w:pPr>
      <w:r>
        <w:rPr>
          <w:rFonts w:hint="eastAsia" w:ascii="宋体" w:hAnsi="宋体" w:eastAsia="宋体" w:cs="宋体"/>
          <w:b/>
          <w:bCs/>
          <w:color w:val="000000"/>
          <w:kern w:val="0"/>
          <w:szCs w:val="20"/>
          <w:highlight w:val="none"/>
        </w:rPr>
        <w:t>第九条 违约</w:t>
      </w:r>
      <w:r>
        <w:rPr>
          <w:rFonts w:hint="eastAsia" w:ascii="宋体" w:hAnsi="宋体" w:eastAsia="宋体" w:cs="宋体"/>
          <w:b/>
          <w:bCs/>
          <w:color w:val="000000"/>
          <w:kern w:val="0"/>
          <w:highlight w:val="none"/>
        </w:rPr>
        <w:t xml:space="preserve">责任  </w:t>
      </w:r>
    </w:p>
    <w:p w14:paraId="34B9490F">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１、甲方无正当理由拒绝验收或拒付款的，甲方向乙方偿付合同总价的5%违约金。</w:t>
      </w:r>
    </w:p>
    <w:p w14:paraId="794840A9">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２、甲方未按合同规定的期限向乙方支付合同款的，每逾期1天甲方向乙方偿付欠款总额的5‰违约金，但累计滞纳金总额不超过欠款总额的5% 。</w:t>
      </w:r>
    </w:p>
    <w:p w14:paraId="746CB143">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3、乙方逾期交付的，每逾期1天，乙方向甲方偿付合同总额的5‰的违约金。如乙方逾期交付达10天，甲方有权解除合同，解除合同的通知自到达乙方时生效。乙方逾期交付的，今后参加政府采购信誉将受到影响。</w:t>
      </w:r>
    </w:p>
    <w:p w14:paraId="580683CB">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4、乙方在承担违约责任后，仍应继续履行合同规定的义务（甲方解除合同的除外）。甲方未能及时追究乙方的任何一项违约责任并不表明甲方放弃追究乙方该项或其他违约责任。</w:t>
      </w:r>
    </w:p>
    <w:p w14:paraId="33D3FF32">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第十条 合同的变更和终止</w:t>
      </w:r>
    </w:p>
    <w:p w14:paraId="2DCA8A6E">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1、除《政府采购法》第50条第二款规定的情形外，本合同一经签订，甲乙双方不得擅自变更、中止或终止合同。</w:t>
      </w:r>
    </w:p>
    <w:p w14:paraId="59F7BF4D">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2、除发生法律规定的不能预见、不能避免并不能克服的客观情况外，甲乙双方不得放弃或拒绝履行合同。如乙方放弃或拒绝履行合同，在三年内不得参加采购人组织的政府采购活动。</w:t>
      </w:r>
    </w:p>
    <w:p w14:paraId="44C44DDF">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第十一条 合同的转让</w:t>
      </w:r>
    </w:p>
    <w:p w14:paraId="6C79FF06">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乙方不得擅自部分或全部转让其应履行的合同义务。</w:t>
      </w:r>
    </w:p>
    <w:p w14:paraId="7F6C0F86">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第十二条 争议的解决</w:t>
      </w:r>
    </w:p>
    <w:p w14:paraId="64F1D28B">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1、因履行本合同引起的或与本合同有关的争议，甲、乙双方应首先通过友好协商解决，如果协商不能解决争议，则采取以下第（</w:t>
      </w:r>
      <w:r>
        <w:rPr>
          <w:rFonts w:hint="eastAsia" w:ascii="宋体" w:hAnsi="宋体" w:eastAsia="宋体" w:cs="宋体"/>
          <w:color w:val="000000"/>
          <w:kern w:val="0"/>
          <w:szCs w:val="20"/>
          <w:highlight w:val="none"/>
          <w:lang w:val="en-US" w:eastAsia="zh-CN"/>
        </w:rPr>
        <w:t>2</w:t>
      </w:r>
      <w:r>
        <w:rPr>
          <w:rFonts w:hint="eastAsia" w:ascii="宋体" w:hAnsi="宋体" w:eastAsia="宋体" w:cs="宋体"/>
          <w:color w:val="000000"/>
          <w:kern w:val="0"/>
          <w:szCs w:val="20"/>
          <w:highlight w:val="none"/>
        </w:rPr>
        <w:t>）种方式解决争议：</w:t>
      </w:r>
    </w:p>
    <w:p w14:paraId="349128C2">
      <w:pPr>
        <w:widowControl/>
        <w:shd w:val="clear" w:color="auto" w:fill="FFFFFF"/>
        <w:spacing w:line="360" w:lineRule="auto"/>
        <w:ind w:firstLine="420" w:firstLineChars="20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（1）向甲方所在地有管辖权的人民法院提起诉讼；</w:t>
      </w:r>
    </w:p>
    <w:p w14:paraId="797D0858">
      <w:pPr>
        <w:widowControl/>
        <w:shd w:val="clear" w:color="auto" w:fill="FFFFFF"/>
        <w:spacing w:line="360" w:lineRule="auto"/>
        <w:ind w:firstLine="420" w:firstLineChars="20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（2）向南京仲裁委员会按其仲裁规则申请仲裁。</w:t>
      </w:r>
    </w:p>
    <w:p w14:paraId="626A668E">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2、在仲裁期间，本合同应继续履行。</w:t>
      </w:r>
    </w:p>
    <w:p w14:paraId="33C65197">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第十三条 诚实信用</w:t>
      </w:r>
    </w:p>
    <w:p w14:paraId="57EDAF0F">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乙方应诚实信用，严格按照采购文件要求和承诺履行合同，不向甲方进行商业贿赂或者提供不正当利益。</w:t>
      </w:r>
    </w:p>
    <w:p w14:paraId="0FBEAF7E">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b/>
          <w:bCs/>
          <w:color w:val="000000"/>
          <w:kern w:val="0"/>
          <w:szCs w:val="20"/>
          <w:highlight w:val="none"/>
        </w:rPr>
        <w:t>第十四条 合同生效及其他</w:t>
      </w:r>
    </w:p>
    <w:p w14:paraId="6178CC07">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1、本合同自签订之日起生效。</w:t>
      </w:r>
    </w:p>
    <w:p w14:paraId="5299A2B2">
      <w:pPr>
        <w:widowControl/>
        <w:shd w:val="clear" w:color="auto" w:fill="FFFFFF"/>
        <w:spacing w:line="360" w:lineRule="auto"/>
        <w:ind w:firstLine="420"/>
        <w:jc w:val="left"/>
        <w:rPr>
          <w:rFonts w:ascii="宋体" w:hAnsi="宋体" w:eastAsia="宋体" w:cs="宋体"/>
          <w:color w:val="000000"/>
          <w:kern w:val="0"/>
          <w:szCs w:val="20"/>
          <w:highlight w:val="none"/>
        </w:rPr>
      </w:pPr>
      <w:r>
        <w:rPr>
          <w:rFonts w:hint="eastAsia" w:ascii="宋体" w:hAnsi="宋体" w:eastAsia="宋体" w:cs="宋体"/>
          <w:color w:val="000000"/>
          <w:kern w:val="0"/>
          <w:szCs w:val="20"/>
          <w:highlight w:val="none"/>
        </w:rPr>
        <w:t>2、本合同一式</w:t>
      </w:r>
      <w:r>
        <w:rPr>
          <w:rFonts w:hint="eastAsia" w:ascii="宋体" w:hAnsi="宋体" w:cs="宋体"/>
          <w:color w:val="000000"/>
          <w:kern w:val="0"/>
          <w:szCs w:val="20"/>
          <w:highlight w:val="none"/>
          <w:lang w:val="en-US" w:eastAsia="zh-CN"/>
        </w:rPr>
        <w:t>肆</w:t>
      </w:r>
      <w:r>
        <w:rPr>
          <w:rFonts w:hint="eastAsia" w:ascii="宋体" w:hAnsi="宋体" w:eastAsia="宋体" w:cs="宋体"/>
          <w:color w:val="000000"/>
          <w:kern w:val="0"/>
          <w:szCs w:val="20"/>
          <w:highlight w:val="none"/>
        </w:rPr>
        <w:t>份，甲乙双方各执</w:t>
      </w:r>
      <w:r>
        <w:rPr>
          <w:rFonts w:hint="eastAsia" w:ascii="宋体" w:hAnsi="宋体" w:cs="宋体"/>
          <w:color w:val="000000"/>
          <w:kern w:val="0"/>
          <w:szCs w:val="20"/>
          <w:highlight w:val="none"/>
          <w:lang w:val="en-US" w:eastAsia="zh-CN"/>
        </w:rPr>
        <w:t>贰</w:t>
      </w:r>
      <w:r>
        <w:rPr>
          <w:rFonts w:hint="eastAsia" w:ascii="宋体" w:hAnsi="宋体" w:eastAsia="宋体" w:cs="宋体"/>
          <w:color w:val="000000"/>
          <w:kern w:val="0"/>
          <w:szCs w:val="20"/>
          <w:highlight w:val="none"/>
        </w:rPr>
        <w:t>份。</w:t>
      </w:r>
    </w:p>
    <w:p w14:paraId="5C8C3091">
      <w:pPr>
        <w:widowControl/>
        <w:shd w:val="clear" w:color="auto" w:fill="FFFFFF"/>
        <w:spacing w:line="360" w:lineRule="auto"/>
        <w:ind w:firstLine="420"/>
        <w:jc w:val="left"/>
        <w:rPr>
          <w:rFonts w:ascii="宋体" w:hAnsi="宋体"/>
          <w:kern w:val="0"/>
          <w:highlight w:val="none"/>
        </w:rPr>
      </w:pPr>
      <w:r>
        <w:rPr>
          <w:rFonts w:hint="eastAsia" w:ascii="宋体" w:hAnsi="宋体" w:eastAsia="宋体" w:cs="宋体"/>
          <w:color w:val="000000"/>
          <w:kern w:val="0"/>
          <w:szCs w:val="20"/>
          <w:highlight w:val="none"/>
        </w:rPr>
        <w:t>3、本合同应按照中华人民共和国的现行法律进行解释</w:t>
      </w:r>
      <w:r>
        <w:rPr>
          <w:rFonts w:hint="eastAsia" w:ascii="宋体" w:hAnsi="宋体" w:cs="宋体"/>
          <w:color w:val="000000"/>
          <w:kern w:val="0"/>
          <w:szCs w:val="21"/>
          <w:highlight w:val="none"/>
        </w:rPr>
        <w:t>。</w:t>
      </w:r>
    </w:p>
    <w:tbl>
      <w:tblPr>
        <w:tblStyle w:val="46"/>
        <w:tblW w:w="8678" w:type="dxa"/>
        <w:tblInd w:w="0" w:type="dxa"/>
        <w:tblLayout w:type="fixed"/>
        <w:tblCellMar>
          <w:top w:w="0" w:type="dxa"/>
          <w:left w:w="108" w:type="dxa"/>
          <w:bottom w:w="0" w:type="dxa"/>
          <w:right w:w="108" w:type="dxa"/>
        </w:tblCellMar>
      </w:tblPr>
      <w:tblGrid>
        <w:gridCol w:w="4643"/>
        <w:gridCol w:w="4035"/>
      </w:tblGrid>
      <w:tr w14:paraId="1773C17C">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66B4624D">
            <w:pPr>
              <w:widowControl/>
              <w:shd w:val="clear" w:color="auto" w:fill="FFFFFF"/>
              <w:spacing w:line="360" w:lineRule="auto"/>
              <w:ind w:firstLine="420"/>
              <w:jc w:val="left"/>
              <w:rPr>
                <w:rFonts w:ascii="宋体" w:hAnsi="宋体"/>
                <w:kern w:val="0"/>
              </w:rPr>
            </w:pPr>
            <w:r>
              <w:rPr>
                <w:rFonts w:hint="eastAsia" w:ascii="宋体" w:hAnsi="宋体"/>
                <w:kern w:val="0"/>
              </w:rPr>
              <w:t>甲方：（盖章）</w:t>
            </w:r>
          </w:p>
        </w:tc>
        <w:tc>
          <w:tcPr>
            <w:tcW w:w="4035" w:type="dxa"/>
            <w:tcBorders>
              <w:top w:val="nil"/>
              <w:left w:val="nil"/>
              <w:bottom w:val="nil"/>
              <w:right w:val="nil"/>
            </w:tcBorders>
            <w:vAlign w:val="center"/>
          </w:tcPr>
          <w:p w14:paraId="2997A250">
            <w:pPr>
              <w:widowControl/>
              <w:shd w:val="clear" w:color="auto" w:fill="FFFFFF"/>
              <w:spacing w:line="360" w:lineRule="auto"/>
              <w:ind w:firstLine="420"/>
              <w:jc w:val="left"/>
              <w:rPr>
                <w:rFonts w:ascii="宋体" w:hAnsi="宋体"/>
                <w:kern w:val="0"/>
              </w:rPr>
            </w:pPr>
            <w:r>
              <w:rPr>
                <w:rFonts w:hint="eastAsia" w:ascii="宋体" w:hAnsi="宋体"/>
                <w:kern w:val="0"/>
              </w:rPr>
              <w:t>乙方：（盖章）</w:t>
            </w:r>
          </w:p>
        </w:tc>
      </w:tr>
      <w:tr w14:paraId="4B11ED68">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13B40FAC">
            <w:pPr>
              <w:widowControl/>
              <w:shd w:val="clear" w:color="auto" w:fill="FFFFFF"/>
              <w:spacing w:line="360" w:lineRule="auto"/>
              <w:ind w:firstLine="420"/>
              <w:jc w:val="left"/>
              <w:rPr>
                <w:rFonts w:ascii="宋体" w:hAnsi="宋体"/>
                <w:kern w:val="0"/>
              </w:rPr>
            </w:pPr>
            <w:r>
              <w:rPr>
                <w:rFonts w:hint="eastAsia" w:ascii="宋体" w:hAnsi="宋体"/>
                <w:kern w:val="0"/>
              </w:rPr>
              <w:t>法定或委托代表人：</w:t>
            </w:r>
          </w:p>
        </w:tc>
        <w:tc>
          <w:tcPr>
            <w:tcW w:w="4035" w:type="dxa"/>
            <w:tcBorders>
              <w:top w:val="nil"/>
              <w:left w:val="nil"/>
              <w:bottom w:val="nil"/>
              <w:right w:val="nil"/>
            </w:tcBorders>
            <w:vAlign w:val="center"/>
          </w:tcPr>
          <w:p w14:paraId="36F26A80">
            <w:pPr>
              <w:widowControl/>
              <w:shd w:val="clear" w:color="auto" w:fill="FFFFFF"/>
              <w:spacing w:line="360" w:lineRule="auto"/>
              <w:ind w:firstLine="420"/>
              <w:jc w:val="left"/>
              <w:rPr>
                <w:rFonts w:ascii="宋体" w:hAnsi="宋体"/>
                <w:kern w:val="0"/>
              </w:rPr>
            </w:pPr>
            <w:r>
              <w:rPr>
                <w:rFonts w:hint="eastAsia" w:ascii="宋体" w:hAnsi="宋体"/>
                <w:kern w:val="0"/>
              </w:rPr>
              <w:t>法定或委托代表人：</w:t>
            </w:r>
          </w:p>
        </w:tc>
      </w:tr>
      <w:tr w14:paraId="49DA8B8C">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4918AD3E">
            <w:pPr>
              <w:widowControl/>
              <w:shd w:val="clear" w:color="auto" w:fill="FFFFFF"/>
              <w:spacing w:line="360" w:lineRule="auto"/>
              <w:ind w:firstLine="420"/>
              <w:jc w:val="left"/>
              <w:rPr>
                <w:rFonts w:ascii="宋体" w:hAnsi="宋体"/>
                <w:kern w:val="0"/>
              </w:rPr>
            </w:pPr>
            <w:r>
              <w:rPr>
                <w:rFonts w:hint="eastAsia" w:ascii="宋体" w:hAnsi="宋体"/>
                <w:kern w:val="0"/>
              </w:rPr>
              <w:t>电话：</w:t>
            </w:r>
          </w:p>
        </w:tc>
        <w:tc>
          <w:tcPr>
            <w:tcW w:w="4035" w:type="dxa"/>
            <w:tcBorders>
              <w:top w:val="nil"/>
              <w:left w:val="nil"/>
              <w:bottom w:val="nil"/>
              <w:right w:val="nil"/>
            </w:tcBorders>
            <w:vAlign w:val="center"/>
          </w:tcPr>
          <w:p w14:paraId="02FB2FC6">
            <w:pPr>
              <w:widowControl/>
              <w:shd w:val="clear" w:color="auto" w:fill="FFFFFF"/>
              <w:spacing w:line="360" w:lineRule="auto"/>
              <w:ind w:firstLine="420"/>
              <w:jc w:val="left"/>
              <w:rPr>
                <w:rFonts w:ascii="宋体" w:hAnsi="宋体"/>
                <w:kern w:val="0"/>
              </w:rPr>
            </w:pPr>
            <w:r>
              <w:rPr>
                <w:rFonts w:hint="eastAsia" w:ascii="宋体" w:hAnsi="宋体"/>
                <w:kern w:val="0"/>
              </w:rPr>
              <w:t>电话：</w:t>
            </w:r>
          </w:p>
        </w:tc>
      </w:tr>
      <w:tr w14:paraId="38832C93">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4A85C22B">
            <w:pPr>
              <w:widowControl/>
              <w:shd w:val="clear" w:color="auto" w:fill="FFFFFF"/>
              <w:spacing w:line="360" w:lineRule="auto"/>
              <w:ind w:firstLine="420"/>
              <w:jc w:val="left"/>
              <w:rPr>
                <w:rFonts w:ascii="宋体" w:hAnsi="宋体"/>
                <w:kern w:val="0"/>
              </w:rPr>
            </w:pPr>
            <w:r>
              <w:rPr>
                <w:rFonts w:hint="eastAsia" w:ascii="宋体" w:hAnsi="宋体"/>
                <w:kern w:val="0"/>
              </w:rPr>
              <w:t>开户银行：</w:t>
            </w:r>
          </w:p>
        </w:tc>
        <w:tc>
          <w:tcPr>
            <w:tcW w:w="4035" w:type="dxa"/>
            <w:tcBorders>
              <w:top w:val="nil"/>
              <w:left w:val="nil"/>
              <w:bottom w:val="nil"/>
              <w:right w:val="nil"/>
            </w:tcBorders>
            <w:vAlign w:val="center"/>
          </w:tcPr>
          <w:p w14:paraId="1042040D">
            <w:pPr>
              <w:widowControl/>
              <w:shd w:val="clear" w:color="auto" w:fill="FFFFFF"/>
              <w:spacing w:line="360" w:lineRule="auto"/>
              <w:ind w:firstLine="420"/>
              <w:jc w:val="left"/>
              <w:rPr>
                <w:rFonts w:ascii="宋体" w:hAnsi="宋体"/>
                <w:kern w:val="0"/>
              </w:rPr>
            </w:pPr>
            <w:r>
              <w:rPr>
                <w:rFonts w:hint="eastAsia" w:ascii="宋体" w:hAnsi="宋体"/>
                <w:kern w:val="0"/>
              </w:rPr>
              <w:t>开户银行：</w:t>
            </w:r>
          </w:p>
        </w:tc>
      </w:tr>
      <w:tr w14:paraId="20045E95">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1B3EAB6E">
            <w:pPr>
              <w:widowControl/>
              <w:shd w:val="clear" w:color="auto" w:fill="FFFFFF"/>
              <w:spacing w:line="360" w:lineRule="auto"/>
              <w:ind w:firstLine="420"/>
              <w:jc w:val="left"/>
              <w:rPr>
                <w:rFonts w:ascii="宋体" w:hAnsi="宋体"/>
                <w:kern w:val="0"/>
              </w:rPr>
            </w:pPr>
            <w:r>
              <w:rPr>
                <w:rFonts w:hint="eastAsia" w:ascii="宋体" w:hAnsi="宋体"/>
                <w:kern w:val="0"/>
              </w:rPr>
              <w:t>账号：</w:t>
            </w:r>
          </w:p>
        </w:tc>
        <w:tc>
          <w:tcPr>
            <w:tcW w:w="4035" w:type="dxa"/>
            <w:tcBorders>
              <w:top w:val="nil"/>
              <w:left w:val="nil"/>
              <w:bottom w:val="nil"/>
              <w:right w:val="nil"/>
            </w:tcBorders>
            <w:vAlign w:val="center"/>
          </w:tcPr>
          <w:p w14:paraId="29D71E66">
            <w:pPr>
              <w:widowControl/>
              <w:shd w:val="clear" w:color="auto" w:fill="FFFFFF"/>
              <w:spacing w:line="360" w:lineRule="auto"/>
              <w:ind w:firstLine="420"/>
              <w:jc w:val="left"/>
              <w:rPr>
                <w:rFonts w:ascii="宋体" w:hAnsi="宋体"/>
                <w:kern w:val="0"/>
              </w:rPr>
            </w:pPr>
            <w:r>
              <w:rPr>
                <w:rFonts w:hint="eastAsia" w:ascii="宋体" w:hAnsi="宋体"/>
                <w:kern w:val="0"/>
              </w:rPr>
              <w:t>账号：</w:t>
            </w:r>
          </w:p>
        </w:tc>
      </w:tr>
      <w:tr w14:paraId="41F86D32">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7841DABF">
            <w:pPr>
              <w:widowControl/>
              <w:shd w:val="clear" w:color="auto" w:fill="FFFFFF"/>
              <w:spacing w:line="360" w:lineRule="auto"/>
              <w:ind w:firstLine="420"/>
              <w:jc w:val="left"/>
              <w:rPr>
                <w:rFonts w:ascii="宋体" w:hAnsi="宋体"/>
                <w:kern w:val="0"/>
              </w:rPr>
            </w:pPr>
            <w:r>
              <w:rPr>
                <w:rFonts w:hint="eastAsia" w:ascii="宋体" w:hAnsi="宋体"/>
                <w:kern w:val="0"/>
              </w:rPr>
              <w:t>日期：年月日</w:t>
            </w:r>
          </w:p>
        </w:tc>
        <w:tc>
          <w:tcPr>
            <w:tcW w:w="4035" w:type="dxa"/>
            <w:tcBorders>
              <w:top w:val="nil"/>
              <w:left w:val="nil"/>
              <w:bottom w:val="nil"/>
              <w:right w:val="nil"/>
            </w:tcBorders>
            <w:vAlign w:val="center"/>
          </w:tcPr>
          <w:p w14:paraId="0269B563">
            <w:pPr>
              <w:widowControl/>
              <w:shd w:val="clear" w:color="auto" w:fill="FFFFFF"/>
              <w:spacing w:line="360" w:lineRule="auto"/>
              <w:ind w:firstLine="420"/>
              <w:jc w:val="left"/>
              <w:rPr>
                <w:rFonts w:ascii="宋体" w:hAnsi="宋体"/>
                <w:kern w:val="0"/>
              </w:rPr>
            </w:pPr>
            <w:r>
              <w:rPr>
                <w:rFonts w:hint="eastAsia" w:ascii="宋体" w:hAnsi="宋体"/>
                <w:kern w:val="0"/>
              </w:rPr>
              <w:t>日期：年月日</w:t>
            </w:r>
          </w:p>
        </w:tc>
      </w:tr>
    </w:tbl>
    <w:p w14:paraId="3A497F48">
      <w:pPr>
        <w:pStyle w:val="20"/>
        <w:keepNext w:val="0"/>
        <w:keepLines w:val="0"/>
        <w:pageBreakBefore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kern w:val="44"/>
          <w:sz w:val="32"/>
          <w:szCs w:val="44"/>
          <w:lang w:val="en-US" w:eastAsia="zh-CN" w:bidi="ar-SA"/>
        </w:rPr>
      </w:pPr>
    </w:p>
    <w:p w14:paraId="7E51EBF1">
      <w:pPr>
        <w:pStyle w:val="4"/>
        <w:pageBreakBefore/>
        <w:numPr>
          <w:ilvl w:val="0"/>
          <w:numId w:val="0"/>
        </w:numPr>
        <w:spacing w:line="579" w:lineRule="auto"/>
        <w:rPr>
          <w:rFonts w:hint="eastAsia" w:ascii="宋体" w:hAnsi="宋体" w:cs="宋体"/>
        </w:rPr>
      </w:pPr>
      <w:r>
        <w:rPr>
          <w:rFonts w:hint="eastAsia" w:ascii="宋体" w:hAnsi="宋体" w:cs="宋体"/>
        </w:rPr>
        <w:t>第</w:t>
      </w:r>
      <w:r>
        <w:rPr>
          <w:rFonts w:hint="eastAsia" w:ascii="宋体" w:hAnsi="宋体" w:cs="宋体"/>
          <w:lang w:val="en-US" w:eastAsia="zh-CN"/>
        </w:rPr>
        <w:t>六</w:t>
      </w:r>
      <w:r>
        <w:rPr>
          <w:rFonts w:hint="eastAsia" w:ascii="宋体" w:hAnsi="宋体" w:cs="宋体"/>
        </w:rPr>
        <w:t>章 投标文件格式及附件</w:t>
      </w:r>
      <w:bookmarkEnd w:id="12"/>
    </w:p>
    <w:p w14:paraId="38BAA38C">
      <w:pPr>
        <w:widowControl/>
        <w:adjustRightInd w:val="0"/>
        <w:spacing w:line="240" w:lineRule="atLeast"/>
        <w:jc w:val="left"/>
        <w:rPr>
          <w:rFonts w:hint="eastAsia" w:ascii="宋体" w:hAnsi="宋体" w:cs="宋体"/>
          <w:b/>
          <w:bCs/>
          <w:szCs w:val="21"/>
        </w:rPr>
      </w:pPr>
    </w:p>
    <w:p w14:paraId="603A40D0">
      <w:pPr>
        <w:spacing w:line="440" w:lineRule="exact"/>
        <w:rPr>
          <w:rFonts w:hint="eastAsia" w:ascii="宋体" w:hAnsi="宋体" w:cs="宋体"/>
          <w:sz w:val="20"/>
          <w:szCs w:val="20"/>
        </w:rPr>
      </w:pPr>
    </w:p>
    <w:p w14:paraId="54CE008A">
      <w:pPr>
        <w:jc w:val="center"/>
        <w:rPr>
          <w:rFonts w:hint="eastAsia" w:ascii="宋体" w:hAnsi="宋体" w:cs="宋体"/>
          <w:sz w:val="22"/>
          <w:szCs w:val="22"/>
        </w:rPr>
      </w:pPr>
    </w:p>
    <w:p w14:paraId="12827880">
      <w:pPr>
        <w:rPr>
          <w:rFonts w:hint="eastAsia" w:ascii="宋体" w:hAnsi="宋体" w:cs="宋体"/>
          <w:sz w:val="22"/>
          <w:szCs w:val="22"/>
        </w:rPr>
      </w:pPr>
    </w:p>
    <w:p w14:paraId="6DFA11B7">
      <w:pPr>
        <w:jc w:val="center"/>
        <w:rPr>
          <w:rFonts w:hint="eastAsia" w:ascii="宋体" w:hAnsi="宋体" w:cs="宋体"/>
          <w:sz w:val="52"/>
          <w:szCs w:val="52"/>
        </w:rPr>
      </w:pPr>
      <w:r>
        <w:rPr>
          <w:rFonts w:hint="eastAsia" w:ascii="宋体" w:hAnsi="宋体" w:cs="宋体"/>
          <w:sz w:val="52"/>
          <w:szCs w:val="52"/>
        </w:rPr>
        <w:t>投标文件</w:t>
      </w:r>
    </w:p>
    <w:p w14:paraId="23A2DA1E">
      <w:pPr>
        <w:rPr>
          <w:rFonts w:hint="eastAsia" w:ascii="宋体" w:hAnsi="宋体" w:cs="宋体"/>
          <w:sz w:val="36"/>
          <w:szCs w:val="36"/>
        </w:rPr>
      </w:pPr>
    </w:p>
    <w:p w14:paraId="1D94FCD1">
      <w:pPr>
        <w:rPr>
          <w:rFonts w:hint="eastAsia" w:ascii="宋体" w:hAnsi="宋体" w:cs="宋体"/>
          <w:sz w:val="36"/>
          <w:szCs w:val="36"/>
        </w:rPr>
      </w:pPr>
    </w:p>
    <w:p w14:paraId="118C9779">
      <w:pPr>
        <w:ind w:firstLine="720" w:firstLineChars="200"/>
        <w:jc w:val="left"/>
        <w:rPr>
          <w:rFonts w:hint="eastAsia" w:ascii="宋体" w:hAnsi="宋体" w:cs="宋体"/>
          <w:sz w:val="36"/>
          <w:szCs w:val="36"/>
        </w:rPr>
      </w:pPr>
      <w:r>
        <w:rPr>
          <w:rFonts w:hint="eastAsia" w:ascii="宋体" w:hAnsi="宋体" w:cs="宋体"/>
          <w:sz w:val="36"/>
          <w:szCs w:val="36"/>
        </w:rPr>
        <w:t>项目名称:</w:t>
      </w:r>
    </w:p>
    <w:p w14:paraId="69C72FE5">
      <w:pPr>
        <w:ind w:firstLine="720" w:firstLineChars="200"/>
        <w:jc w:val="left"/>
        <w:rPr>
          <w:rFonts w:hint="eastAsia" w:ascii="宋体" w:hAnsi="宋体" w:cs="宋体"/>
          <w:sz w:val="36"/>
          <w:szCs w:val="36"/>
        </w:rPr>
      </w:pPr>
      <w:r>
        <w:rPr>
          <w:rFonts w:hint="eastAsia" w:ascii="宋体" w:hAnsi="宋体" w:cs="宋体"/>
          <w:sz w:val="36"/>
          <w:szCs w:val="36"/>
        </w:rPr>
        <w:t>招标编号:</w:t>
      </w:r>
    </w:p>
    <w:p w14:paraId="69C6F5D0">
      <w:pPr>
        <w:ind w:firstLine="720" w:firstLineChars="200"/>
        <w:jc w:val="left"/>
        <w:rPr>
          <w:rFonts w:hint="eastAsia" w:ascii="宋体" w:hAnsi="宋体" w:eastAsia="宋体" w:cs="宋体"/>
          <w:sz w:val="36"/>
          <w:szCs w:val="36"/>
          <w:lang w:eastAsia="zh-CN"/>
        </w:rPr>
      </w:pPr>
      <w:r>
        <w:rPr>
          <w:rFonts w:hint="eastAsia" w:ascii="宋体" w:hAnsi="宋体" w:cs="宋体"/>
          <w:sz w:val="36"/>
          <w:szCs w:val="36"/>
          <w:lang w:eastAsia="zh-CN"/>
        </w:rPr>
        <w:t>供应商</w:t>
      </w:r>
      <w:r>
        <w:rPr>
          <w:rFonts w:hint="eastAsia" w:ascii="宋体" w:hAnsi="宋体" w:cs="宋体"/>
          <w:sz w:val="36"/>
          <w:szCs w:val="36"/>
        </w:rPr>
        <w:t>名称:（加盖</w:t>
      </w:r>
      <w:r>
        <w:rPr>
          <w:rFonts w:hint="eastAsia" w:ascii="宋体" w:hAnsi="宋体" w:cs="宋体"/>
          <w:sz w:val="36"/>
          <w:szCs w:val="36"/>
          <w:lang w:eastAsia="zh-CN"/>
        </w:rPr>
        <w:t>电子公章</w:t>
      </w:r>
      <w:r>
        <w:rPr>
          <w:rFonts w:hint="eastAsia" w:ascii="宋体" w:hAnsi="宋体" w:cs="宋体"/>
          <w:sz w:val="36"/>
          <w:szCs w:val="36"/>
        </w:rPr>
        <w:t>）</w:t>
      </w:r>
    </w:p>
    <w:p w14:paraId="747BE839">
      <w:pPr>
        <w:ind w:firstLine="720" w:firstLineChars="200"/>
        <w:jc w:val="left"/>
        <w:rPr>
          <w:rFonts w:hint="eastAsia" w:ascii="宋体" w:hAnsi="宋体" w:cs="宋体"/>
          <w:sz w:val="36"/>
          <w:szCs w:val="36"/>
        </w:rPr>
      </w:pPr>
      <w:r>
        <w:rPr>
          <w:rFonts w:hint="eastAsia" w:ascii="宋体" w:hAnsi="宋体" w:cs="宋体"/>
          <w:sz w:val="36"/>
          <w:szCs w:val="36"/>
        </w:rPr>
        <w:t>日</w:t>
      </w:r>
      <w:r>
        <w:rPr>
          <w:rFonts w:hint="eastAsia" w:ascii="宋体" w:hAnsi="宋体" w:cs="宋体"/>
          <w:sz w:val="36"/>
          <w:szCs w:val="36"/>
          <w:lang w:val="en-US" w:eastAsia="zh-CN"/>
        </w:rPr>
        <w:t xml:space="preserve">    </w:t>
      </w:r>
      <w:r>
        <w:rPr>
          <w:rFonts w:hint="eastAsia" w:ascii="宋体" w:hAnsi="宋体" w:cs="宋体"/>
          <w:sz w:val="36"/>
          <w:szCs w:val="36"/>
        </w:rPr>
        <w:t>期:</w:t>
      </w:r>
    </w:p>
    <w:p w14:paraId="694566CE">
      <w:pPr>
        <w:rPr>
          <w:rFonts w:ascii="宋体" w:hAnsi="宋体" w:cs="宋体"/>
          <w:sz w:val="36"/>
          <w:szCs w:val="36"/>
        </w:rPr>
      </w:pPr>
    </w:p>
    <w:p w14:paraId="79ACC113">
      <w:pPr>
        <w:pStyle w:val="63"/>
        <w:ind w:firstLine="480"/>
        <w:rPr>
          <w:sz w:val="24"/>
          <w:szCs w:val="32"/>
        </w:rPr>
      </w:pPr>
    </w:p>
    <w:p w14:paraId="50651F68">
      <w:pPr>
        <w:pStyle w:val="63"/>
        <w:ind w:firstLine="480"/>
        <w:rPr>
          <w:sz w:val="24"/>
          <w:szCs w:val="32"/>
        </w:rPr>
      </w:pPr>
    </w:p>
    <w:p w14:paraId="1BAD6B06">
      <w:pPr>
        <w:pStyle w:val="63"/>
        <w:ind w:firstLine="480"/>
        <w:rPr>
          <w:sz w:val="24"/>
          <w:szCs w:val="32"/>
        </w:rPr>
      </w:pPr>
    </w:p>
    <w:p w14:paraId="32076EB5">
      <w:pPr>
        <w:pStyle w:val="63"/>
        <w:ind w:firstLine="480"/>
        <w:rPr>
          <w:rFonts w:hint="eastAsia"/>
          <w:sz w:val="24"/>
          <w:szCs w:val="32"/>
        </w:rPr>
      </w:pPr>
    </w:p>
    <w:p w14:paraId="39A9D04E">
      <w:pPr>
        <w:widowControl/>
        <w:jc w:val="left"/>
        <w:rPr>
          <w:rFonts w:hint="eastAsia" w:ascii="宋体" w:hAnsi="宋体" w:cs="宋体"/>
          <w:sz w:val="28"/>
          <w:szCs w:val="28"/>
        </w:rPr>
      </w:pPr>
      <w:r>
        <w:rPr>
          <w:rFonts w:hint="eastAsia" w:ascii="宋体" w:hAnsi="宋体" w:cs="宋体"/>
          <w:sz w:val="28"/>
          <w:szCs w:val="28"/>
        </w:rPr>
        <w:br w:type="page"/>
      </w:r>
    </w:p>
    <w:p w14:paraId="6BB3DE7E">
      <w:pPr>
        <w:spacing w:line="440" w:lineRule="exact"/>
        <w:rPr>
          <w:rFonts w:hint="eastAsia" w:ascii="宋体" w:hAnsi="宋体" w:cs="宋体"/>
          <w:kern w:val="0"/>
          <w:szCs w:val="21"/>
        </w:rPr>
      </w:pPr>
      <w:r>
        <w:rPr>
          <w:rFonts w:hint="eastAsia" w:ascii="宋体" w:hAnsi="宋体" w:cs="宋体"/>
          <w:b/>
          <w:bCs/>
          <w:kern w:val="0"/>
          <w:szCs w:val="21"/>
        </w:rPr>
        <w:t>附件一、投标申请及声明格式</w:t>
      </w:r>
    </w:p>
    <w:p w14:paraId="4948E186">
      <w:pPr>
        <w:widowControl/>
        <w:shd w:val="clear" w:color="auto" w:fill="FFFFFF"/>
        <w:spacing w:line="360" w:lineRule="auto"/>
        <w:jc w:val="center"/>
        <w:rPr>
          <w:rFonts w:hint="eastAsia" w:ascii="宋体" w:hAnsi="宋体" w:cs="宋体"/>
          <w:b/>
          <w:kern w:val="0"/>
          <w:szCs w:val="21"/>
        </w:rPr>
      </w:pPr>
      <w:r>
        <w:rPr>
          <w:rFonts w:hint="eastAsia" w:ascii="宋体" w:hAnsi="宋体" w:cs="宋体"/>
          <w:b/>
          <w:kern w:val="0"/>
          <w:sz w:val="36"/>
          <w:szCs w:val="36"/>
        </w:rPr>
        <w:t>投标申请及声明</w:t>
      </w:r>
    </w:p>
    <w:p w14:paraId="040ADD5D">
      <w:pPr>
        <w:widowControl/>
        <w:shd w:val="clear" w:color="auto" w:fill="FFFFFF"/>
        <w:spacing w:line="400" w:lineRule="exact"/>
        <w:rPr>
          <w:rFonts w:hint="eastAsia" w:ascii="宋体" w:hAnsi="宋体" w:eastAsia="宋体" w:cs="宋体"/>
          <w:kern w:val="0"/>
          <w:szCs w:val="21"/>
          <w:lang w:eastAsia="zh-CN"/>
        </w:rPr>
      </w:pPr>
      <w:r>
        <w:rPr>
          <w:rFonts w:hint="eastAsia" w:ascii="宋体" w:hAnsi="宋体" w:cs="宋体"/>
          <w:kern w:val="0"/>
          <w:szCs w:val="21"/>
        </w:rPr>
        <w:t>致</w:t>
      </w:r>
      <w:r>
        <w:rPr>
          <w:rFonts w:hint="eastAsia" w:ascii="宋体" w:hAnsi="宋体" w:cs="宋体"/>
          <w:kern w:val="0"/>
          <w:szCs w:val="21"/>
          <w:lang w:eastAsia="zh-CN"/>
        </w:rPr>
        <w:t>：南京市城市建设档案馆</w:t>
      </w:r>
    </w:p>
    <w:p w14:paraId="225C8A95">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w:t>
      </w:r>
      <w:r>
        <w:rPr>
          <w:rFonts w:hint="eastAsia" w:ascii="宋体" w:hAnsi="宋体" w:cs="宋体"/>
          <w:kern w:val="0"/>
          <w:szCs w:val="21"/>
          <w:lang w:eastAsia="zh-CN"/>
        </w:rPr>
        <w:t>供应商</w:t>
      </w:r>
      <w:r>
        <w:rPr>
          <w:rFonts w:hint="eastAsia" w:ascii="宋体" w:hAnsi="宋体" w:cs="宋体"/>
          <w:kern w:val="0"/>
          <w:szCs w:val="21"/>
          <w:u w:val="single"/>
        </w:rPr>
        <w:t>     </w:t>
      </w:r>
      <w:r>
        <w:rPr>
          <w:rFonts w:hint="eastAsia" w:ascii="宋体" w:hAnsi="宋体" w:cs="宋体"/>
          <w:kern w:val="0"/>
          <w:szCs w:val="21"/>
        </w:rPr>
        <w:t>（</w:t>
      </w:r>
      <w:r>
        <w:rPr>
          <w:rFonts w:hint="eastAsia" w:ascii="宋体" w:hAnsi="宋体" w:cs="宋体"/>
          <w:kern w:val="0"/>
          <w:szCs w:val="21"/>
          <w:lang w:eastAsia="zh-CN"/>
        </w:rPr>
        <w:t>供应商</w:t>
      </w:r>
      <w:r>
        <w:rPr>
          <w:rFonts w:hint="eastAsia" w:ascii="宋体" w:hAnsi="宋体" w:cs="宋体"/>
          <w:kern w:val="0"/>
          <w:szCs w:val="21"/>
        </w:rPr>
        <w:t>名称），提交投标文件。</w:t>
      </w:r>
    </w:p>
    <w:p w14:paraId="6EDC1CB7">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据此函，签字人兹宣布声明和承诺如下：</w:t>
      </w:r>
    </w:p>
    <w:p w14:paraId="2ED0E48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1BB8B0B8">
      <w:pPr>
        <w:autoSpaceDE w:val="0"/>
        <w:autoSpaceDN w:val="0"/>
        <w:adjustRightInd w:val="0"/>
        <w:spacing w:line="360" w:lineRule="auto"/>
        <w:ind w:firstLine="420" w:firstLineChars="200"/>
        <w:rPr>
          <w:rFonts w:ascii="宋体" w:hAnsi="宋体" w:cs="宋体"/>
          <w:szCs w:val="21"/>
          <w:highlight w:val="none"/>
        </w:rPr>
      </w:pPr>
      <w:r>
        <w:rPr>
          <w:rFonts w:hint="eastAsia" w:ascii="宋体" w:hAnsi="宋体" w:cs="宋体"/>
          <w:kern w:val="0"/>
          <w:szCs w:val="21"/>
          <w:highlight w:val="none"/>
        </w:rPr>
        <w:t>2、</w:t>
      </w:r>
      <w:r>
        <w:rPr>
          <w:rFonts w:hint="eastAsia" w:ascii="宋体" w:hAnsi="宋体" w:cs="宋体"/>
          <w:szCs w:val="21"/>
          <w:highlight w:val="none"/>
          <w:lang w:val="zh-CN"/>
        </w:rPr>
        <w:t>按招标要求，我们的</w:t>
      </w:r>
      <w:r>
        <w:rPr>
          <w:rFonts w:hint="eastAsia" w:ascii="宋体" w:hAnsi="宋体" w:cs="宋体"/>
          <w:szCs w:val="21"/>
          <w:highlight w:val="none"/>
          <w:lang w:val="en-US" w:eastAsia="zh-CN"/>
        </w:rPr>
        <w:t>三年</w:t>
      </w:r>
      <w:r>
        <w:rPr>
          <w:rFonts w:hint="eastAsia" w:ascii="宋体" w:hAnsi="宋体" w:cs="宋体"/>
          <w:szCs w:val="21"/>
          <w:highlight w:val="none"/>
          <w:lang w:val="zh-CN"/>
        </w:rPr>
        <w:t>投标</w:t>
      </w:r>
      <w:r>
        <w:rPr>
          <w:rFonts w:hint="eastAsia" w:ascii="宋体" w:hAnsi="宋体" w:cs="宋体"/>
          <w:szCs w:val="21"/>
          <w:highlight w:val="none"/>
        </w:rPr>
        <w:t>总</w:t>
      </w:r>
      <w:r>
        <w:rPr>
          <w:rFonts w:hint="eastAsia" w:ascii="宋体" w:hAnsi="宋体" w:cs="宋体"/>
          <w:szCs w:val="21"/>
          <w:highlight w:val="none"/>
          <w:lang w:val="zh-CN"/>
        </w:rPr>
        <w:t>报价为（大写）</w:t>
      </w:r>
      <w:r>
        <w:rPr>
          <w:rFonts w:hint="eastAsia" w:ascii="宋体" w:hAnsi="宋体" w:cs="宋体"/>
          <w:b/>
          <w:bCs/>
          <w:szCs w:val="21"/>
          <w:highlight w:val="none"/>
          <w:u w:val="single"/>
          <w:lang w:val="zh-CN"/>
        </w:rPr>
        <w:t xml:space="preserve">            </w:t>
      </w:r>
      <w:r>
        <w:rPr>
          <w:rFonts w:hint="eastAsia" w:ascii="宋体" w:hAnsi="宋体" w:cs="宋体"/>
          <w:szCs w:val="21"/>
          <w:highlight w:val="none"/>
          <w:lang w:val="zh-CN"/>
        </w:rPr>
        <w:t>，</w:t>
      </w:r>
      <w:r>
        <w:rPr>
          <w:rFonts w:hint="eastAsia" w:ascii="宋体" w:hAnsi="宋体" w:cs="宋体"/>
          <w:szCs w:val="21"/>
          <w:highlight w:val="none"/>
        </w:rPr>
        <w:t>小写为：</w:t>
      </w:r>
      <w:r>
        <w:rPr>
          <w:rFonts w:hint="eastAsia" w:ascii="宋体" w:hAnsi="宋体" w:cs="宋体"/>
          <w:szCs w:val="21"/>
          <w:highlight w:val="none"/>
          <w:u w:val="single"/>
        </w:rPr>
        <w:t xml:space="preserve">              </w:t>
      </w:r>
      <w:r>
        <w:rPr>
          <w:rFonts w:hint="eastAsia" w:ascii="宋体" w:hAnsi="宋体" w:cs="宋体"/>
          <w:szCs w:val="21"/>
          <w:highlight w:val="none"/>
        </w:rPr>
        <w:t>。</w:t>
      </w:r>
    </w:p>
    <w:p w14:paraId="5F97EC6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w:t>
      </w:r>
      <w:r>
        <w:rPr>
          <w:rFonts w:hint="eastAsia" w:ascii="宋体" w:hAnsi="宋体"/>
          <w:szCs w:val="21"/>
          <w:highlight w:val="none"/>
        </w:rPr>
        <w:t>服务期限：</w:t>
      </w:r>
      <w:r>
        <w:rPr>
          <w:rFonts w:hint="eastAsia" w:ascii="宋体" w:hAnsi="宋体"/>
          <w:szCs w:val="21"/>
          <w:highlight w:val="none"/>
          <w:lang w:val="en-US" w:eastAsia="zh-CN"/>
        </w:rPr>
        <w:t>3</w:t>
      </w:r>
      <w:r>
        <w:rPr>
          <w:rFonts w:hint="eastAsia" w:ascii="宋体" w:hAnsi="宋体"/>
          <w:szCs w:val="21"/>
          <w:highlight w:val="none"/>
        </w:rPr>
        <w:t>年。</w:t>
      </w:r>
      <w:r>
        <w:rPr>
          <w:rFonts w:hint="eastAsia" w:ascii="宋体" w:hAnsi="宋体" w:cs="宋体"/>
          <w:kern w:val="0"/>
          <w:szCs w:val="21"/>
          <w:highlight w:val="none"/>
        </w:rPr>
        <w:t>（具体时间以合同签订时间为准）</w:t>
      </w:r>
    </w:p>
    <w:p w14:paraId="6B3CB22C">
      <w:pPr>
        <w:pStyle w:val="56"/>
        <w:spacing w:line="360" w:lineRule="auto"/>
        <w:ind w:firstLine="42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zh-CN" w:eastAsia="zh-CN" w:bidi="ar-SA"/>
        </w:rPr>
        <w:t>我们已详细审核全部招标文件及其有效补充文件，我们放弃对</w:t>
      </w:r>
      <w:r>
        <w:rPr>
          <w:rFonts w:hint="eastAsia" w:ascii="宋体" w:hAnsi="宋体" w:eastAsia="宋体" w:cs="宋体"/>
          <w:color w:val="000000"/>
          <w:kern w:val="2"/>
          <w:sz w:val="21"/>
          <w:szCs w:val="21"/>
          <w:lang w:val="zh-CN" w:eastAsia="zh-CN" w:bidi="ar-SA"/>
        </w:rPr>
        <w:t>招标文件任何误解的权利，提交投标文件后，不对招标文件本身提出质疑。否则，属于不诚信和故意扰乱政府采购活动行为，我们将无条件接受处罚。</w:t>
      </w:r>
    </w:p>
    <w:p w14:paraId="7E072655">
      <w:pPr>
        <w:autoSpaceDE w:val="0"/>
        <w:autoSpaceDN w:val="0"/>
        <w:adjustRightInd w:val="0"/>
        <w:spacing w:line="360" w:lineRule="auto"/>
        <w:ind w:firstLine="420" w:firstLineChars="200"/>
        <w:rPr>
          <w:rFonts w:hint="eastAsia" w:ascii="宋体" w:hAnsi="宋体" w:cs="宋体"/>
          <w:color w:val="000000"/>
          <w:szCs w:val="21"/>
          <w:lang w:val="zh-CN"/>
        </w:rPr>
      </w:pPr>
      <w:r>
        <w:rPr>
          <w:rFonts w:hint="eastAsia" w:ascii="宋体" w:hAnsi="宋体" w:eastAsia="宋体" w:cs="宋体"/>
          <w:color w:val="000000"/>
          <w:kern w:val="2"/>
          <w:sz w:val="21"/>
          <w:szCs w:val="21"/>
          <w:lang w:val="zh-CN" w:eastAsia="zh-CN" w:bidi="ar-SA"/>
        </w:rPr>
        <w:t>5、我们</w:t>
      </w:r>
      <w:r>
        <w:rPr>
          <w:rFonts w:hint="eastAsia" w:ascii="宋体" w:hAnsi="宋体" w:cs="宋体"/>
          <w:color w:val="000000"/>
          <w:szCs w:val="21"/>
          <w:lang w:val="zh-CN"/>
        </w:rPr>
        <w:t>同意从规定的开标日期起遵循本投标文件，并在规定的投标有效期期满之前均具有约束力。</w:t>
      </w:r>
    </w:p>
    <w:p w14:paraId="3D39962B">
      <w:pPr>
        <w:autoSpaceDE w:val="0"/>
        <w:autoSpaceDN w:val="0"/>
        <w:adjustRightInd w:val="0"/>
        <w:spacing w:line="360" w:lineRule="auto"/>
        <w:ind w:firstLine="420" w:firstLineChars="200"/>
        <w:rPr>
          <w:rFonts w:hint="eastAsia" w:ascii="宋体" w:hAnsi="宋体" w:cs="宋体"/>
          <w:color w:val="000000"/>
          <w:szCs w:val="21"/>
          <w:lang w:val="zh-CN"/>
        </w:rPr>
      </w:pPr>
      <w:r>
        <w:rPr>
          <w:rFonts w:hint="eastAsia" w:ascii="宋体" w:hAnsi="宋体" w:cs="宋体"/>
          <w:color w:val="000000"/>
          <w:szCs w:val="21"/>
        </w:rPr>
        <w:t>6</w:t>
      </w:r>
      <w:r>
        <w:rPr>
          <w:rFonts w:hint="eastAsia" w:ascii="宋体" w:hAnsi="宋体" w:cs="宋体"/>
          <w:color w:val="000000"/>
          <w:szCs w:val="21"/>
          <w:lang w:val="zh-CN"/>
        </w:rPr>
        <w:t>、一旦我方中标，我方将根据招标文件的规定严格履行合同，并保证于承诺的时间完成服务的启动/集成、调试等服务，交付采购人验收、使用。</w:t>
      </w:r>
    </w:p>
    <w:p w14:paraId="42A0115C">
      <w:pPr>
        <w:autoSpaceDE w:val="0"/>
        <w:autoSpaceDN w:val="0"/>
        <w:adjustRightInd w:val="0"/>
        <w:spacing w:line="360" w:lineRule="auto"/>
        <w:ind w:firstLine="420" w:firstLineChars="200"/>
        <w:rPr>
          <w:rFonts w:hint="eastAsia" w:ascii="宋体" w:hAnsi="宋体" w:cs="宋体"/>
          <w:color w:val="000000"/>
          <w:szCs w:val="21"/>
          <w:lang w:val="zh-CN"/>
        </w:rPr>
      </w:pPr>
      <w:r>
        <w:rPr>
          <w:rFonts w:hint="eastAsia" w:ascii="宋体" w:hAnsi="宋体" w:cs="宋体"/>
          <w:color w:val="000000"/>
          <w:szCs w:val="21"/>
        </w:rPr>
        <w:t>7</w:t>
      </w:r>
      <w:r>
        <w:rPr>
          <w:rFonts w:hint="eastAsia" w:ascii="宋体" w:hAnsi="宋体" w:cs="宋体"/>
          <w:color w:val="000000"/>
          <w:szCs w:val="21"/>
          <w:lang w:val="zh-CN"/>
        </w:rPr>
        <w:t>、我方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p>
    <w:p w14:paraId="6E0149E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lang w:val="en-US" w:eastAsia="zh-CN"/>
        </w:rPr>
        <w:t>8</w:t>
      </w:r>
      <w:r>
        <w:rPr>
          <w:rFonts w:hint="eastAsia" w:ascii="宋体" w:hAnsi="宋体" w:cs="宋体"/>
          <w:kern w:val="0"/>
          <w:szCs w:val="21"/>
        </w:rPr>
        <w:t>、与本投标有关的正式联系方式为：</w:t>
      </w:r>
    </w:p>
    <w:p w14:paraId="0FB16BE6">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5CA92A4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74E66CE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328F97D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开户银行：</w:t>
      </w:r>
    </w:p>
    <w:p w14:paraId="3C9B8C56">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银行账号：</w:t>
      </w:r>
    </w:p>
    <w:p w14:paraId="33C7CB0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lang w:eastAsia="zh-CN"/>
        </w:rPr>
        <w:t>供应商</w:t>
      </w:r>
      <w:r>
        <w:rPr>
          <w:rFonts w:hint="eastAsia" w:ascii="宋体" w:hAnsi="宋体" w:cs="宋体"/>
          <w:kern w:val="0"/>
          <w:szCs w:val="21"/>
        </w:rPr>
        <w:t>名称：</w:t>
      </w:r>
      <w:r>
        <w:rPr>
          <w:rFonts w:hint="eastAsia" w:ascii="宋体" w:hAnsi="宋体" w:cs="宋体"/>
          <w:kern w:val="0"/>
          <w:szCs w:val="21"/>
          <w:u w:val="single"/>
        </w:rPr>
        <w:t>                 </w:t>
      </w:r>
      <w:r>
        <w:rPr>
          <w:rFonts w:hint="eastAsia" w:ascii="宋体" w:hAnsi="宋体" w:cs="宋体"/>
          <w:kern w:val="0"/>
          <w:szCs w:val="21"/>
        </w:rPr>
        <w:t>（加盖</w:t>
      </w:r>
      <w:r>
        <w:rPr>
          <w:rFonts w:hint="eastAsia" w:ascii="宋体" w:hAnsi="宋体" w:cs="宋体"/>
          <w:kern w:val="0"/>
          <w:szCs w:val="21"/>
          <w:lang w:eastAsia="zh-CN"/>
        </w:rPr>
        <w:t>电子公章</w:t>
      </w:r>
      <w:r>
        <w:rPr>
          <w:rFonts w:hint="eastAsia" w:ascii="宋体" w:hAnsi="宋体" w:cs="宋体"/>
          <w:kern w:val="0"/>
          <w:szCs w:val="21"/>
        </w:rPr>
        <w:t>）</w:t>
      </w:r>
    </w:p>
    <w:p w14:paraId="35A1CB35">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12FB967D">
      <w:pPr>
        <w:widowControl/>
        <w:shd w:val="clear" w:color="auto" w:fill="FFFFFF"/>
        <w:spacing w:line="360" w:lineRule="auto"/>
        <w:jc w:val="center"/>
        <w:rPr>
          <w:rFonts w:hint="eastAsia" w:ascii="宋体" w:hAnsi="宋体" w:cs="宋体"/>
          <w:kern w:val="0"/>
          <w:szCs w:val="21"/>
        </w:rPr>
      </w:pPr>
      <w:r>
        <w:rPr>
          <w:rFonts w:hint="eastAsia" w:ascii="宋体" w:hAnsi="宋体" w:cs="宋体"/>
          <w:b/>
          <w:bCs/>
          <w:kern w:val="0"/>
          <w:szCs w:val="21"/>
        </w:rPr>
        <w:br w:type="page"/>
      </w:r>
      <w:r>
        <w:rPr>
          <w:rFonts w:hint="eastAsia" w:ascii="宋体" w:hAnsi="宋体" w:eastAsia="宋体" w:cs="宋体"/>
          <w:b/>
          <w:bCs w:val="0"/>
          <w:color w:val="auto"/>
          <w:sz w:val="32"/>
          <w:szCs w:val="32"/>
          <w:highlight w:val="none"/>
          <w:lang w:val="en-US" w:eastAsia="zh-CN" w:bidi="ar-SA"/>
        </w:rPr>
        <w:t>二、授权委托书格式</w:t>
      </w:r>
    </w:p>
    <w:p w14:paraId="61FA018A">
      <w:pPr>
        <w:widowControl/>
        <w:shd w:val="clear" w:color="auto" w:fill="FFFFFF"/>
        <w:spacing w:line="360" w:lineRule="auto"/>
        <w:ind w:firstLine="720"/>
        <w:jc w:val="center"/>
        <w:rPr>
          <w:rFonts w:hint="eastAsia" w:ascii="宋体" w:hAnsi="宋体" w:cs="宋体"/>
          <w:kern w:val="0"/>
          <w:sz w:val="36"/>
          <w:szCs w:val="36"/>
        </w:rPr>
      </w:pPr>
    </w:p>
    <w:p w14:paraId="014872CE">
      <w:pPr>
        <w:widowControl/>
        <w:shd w:val="clear" w:color="auto" w:fill="FFFFFF"/>
        <w:spacing w:line="360" w:lineRule="auto"/>
        <w:jc w:val="center"/>
        <w:rPr>
          <w:rFonts w:hint="default" w:ascii="宋体" w:hAnsi="宋体" w:eastAsia="宋体" w:cs="宋体"/>
          <w:kern w:val="0"/>
          <w:szCs w:val="21"/>
          <w:lang w:val="en-US" w:eastAsia="zh-CN"/>
        </w:rPr>
      </w:pPr>
      <w:r>
        <w:rPr>
          <w:rFonts w:hint="eastAsia" w:ascii="宋体" w:hAnsi="宋体" w:cs="宋体"/>
          <w:b/>
          <w:kern w:val="0"/>
          <w:sz w:val="36"/>
          <w:szCs w:val="36"/>
          <w:lang w:val="en-US" w:eastAsia="zh-CN"/>
        </w:rPr>
        <w:t>授权委托书</w:t>
      </w:r>
    </w:p>
    <w:p w14:paraId="6E41C348">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w:t>
      </w:r>
      <w:r>
        <w:rPr>
          <w:rFonts w:hint="eastAsia" w:ascii="宋体" w:hAnsi="宋体"/>
          <w:szCs w:val="21"/>
          <w:lang w:eastAsia="zh-CN"/>
        </w:rPr>
        <w:t>供应商</w:t>
      </w:r>
      <w:r>
        <w:rPr>
          <w:rFonts w:hint="eastAsia" w:ascii="宋体" w:hAnsi="宋体"/>
          <w:szCs w:val="21"/>
        </w:rPr>
        <w:t>名称）授权</w:t>
      </w:r>
      <w:r>
        <w:rPr>
          <w:rFonts w:hint="eastAsia" w:ascii="宋体" w:hAnsi="宋体"/>
          <w:szCs w:val="21"/>
          <w:u w:val="single"/>
        </w:rPr>
        <w:t xml:space="preserve">                 </w:t>
      </w:r>
      <w:r>
        <w:rPr>
          <w:rFonts w:hint="eastAsia" w:ascii="宋体" w:hAnsi="宋体"/>
          <w:szCs w:val="21"/>
        </w:rPr>
        <w:t>（</w:t>
      </w:r>
      <w:r>
        <w:rPr>
          <w:rFonts w:hint="eastAsia" w:ascii="宋体" w:hAnsi="宋体"/>
          <w:szCs w:val="21"/>
          <w:lang w:val="en-US" w:eastAsia="zh-CN"/>
        </w:rPr>
        <w:t>委托代理人</w:t>
      </w:r>
      <w:r>
        <w:rPr>
          <w:rFonts w:hint="eastAsia" w:ascii="宋体" w:hAnsi="宋体"/>
          <w:szCs w:val="21"/>
        </w:rPr>
        <w:t>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795EEB1B">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6E9874FE">
      <w:pPr>
        <w:spacing w:line="480" w:lineRule="exact"/>
        <w:ind w:firstLine="480"/>
        <w:rPr>
          <w:rFonts w:hint="default" w:ascii="宋体" w:hAnsi="宋体" w:eastAsia="宋体"/>
          <w:szCs w:val="21"/>
          <w:u w:val="single"/>
          <w:lang w:val="en-US" w:eastAsia="zh-CN"/>
        </w:rPr>
      </w:pPr>
      <w:r>
        <w:rPr>
          <w:rFonts w:hint="eastAsia" w:ascii="宋体" w:hAnsi="宋体"/>
          <w:szCs w:val="21"/>
          <w:lang w:val="en-US" w:eastAsia="zh-CN"/>
        </w:rPr>
        <w:t>委托代理人</w:t>
      </w:r>
      <w:r>
        <w:rPr>
          <w:rFonts w:hint="eastAsia" w:ascii="宋体" w:hAnsi="宋体"/>
          <w:szCs w:val="21"/>
        </w:rPr>
        <w:t>身份证号码：</w:t>
      </w:r>
      <w:r>
        <w:rPr>
          <w:rFonts w:hint="eastAsia" w:ascii="宋体" w:hAnsi="宋体"/>
          <w:szCs w:val="21"/>
          <w:lang w:val="en-US" w:eastAsia="zh-CN"/>
        </w:rPr>
        <w:t xml:space="preserve"> </w:t>
      </w:r>
      <w:r>
        <w:rPr>
          <w:rFonts w:hint="eastAsia" w:ascii="宋体" w:hAnsi="宋体"/>
          <w:szCs w:val="21"/>
          <w:u w:val="single"/>
          <w:lang w:val="en-US" w:eastAsia="zh-CN"/>
        </w:rPr>
        <w:t xml:space="preserve">         </w:t>
      </w:r>
    </w:p>
    <w:p w14:paraId="7F667C32">
      <w:pPr>
        <w:spacing w:line="480" w:lineRule="exact"/>
        <w:ind w:firstLine="480"/>
        <w:rPr>
          <w:rFonts w:ascii="宋体" w:hAnsi="宋体"/>
          <w:szCs w:val="21"/>
          <w:u w:val="single"/>
        </w:rPr>
      </w:pPr>
      <w:r>
        <w:rPr>
          <w:rFonts w:hint="eastAsia" w:ascii="宋体" w:hAnsi="宋体"/>
          <w:szCs w:val="21"/>
          <w:lang w:val="en-US" w:eastAsia="zh-CN"/>
        </w:rPr>
        <w:t>委托代理人</w:t>
      </w:r>
      <w:r>
        <w:rPr>
          <w:rFonts w:hint="eastAsia" w:ascii="宋体" w:hAnsi="宋体"/>
          <w:szCs w:val="21"/>
        </w:rPr>
        <w:t>联系电话：</w:t>
      </w:r>
      <w:r>
        <w:rPr>
          <w:rFonts w:hint="eastAsia" w:ascii="宋体" w:hAnsi="宋体"/>
          <w:szCs w:val="21"/>
          <w:u w:val="single"/>
        </w:rPr>
        <w:t xml:space="preserve">           </w:t>
      </w:r>
      <w:r>
        <w:rPr>
          <w:rFonts w:hint="eastAsia" w:ascii="宋体" w:hAnsi="宋体"/>
          <w:szCs w:val="21"/>
        </w:rPr>
        <w:t>（手机）</w:t>
      </w:r>
    </w:p>
    <w:p w14:paraId="76B5024E">
      <w:pPr>
        <w:spacing w:line="480" w:lineRule="exact"/>
        <w:ind w:firstLine="480"/>
        <w:rPr>
          <w:rFonts w:hint="eastAsia" w:ascii="宋体" w:hAnsi="宋体"/>
          <w:szCs w:val="21"/>
          <w:u w:val="single"/>
        </w:rPr>
      </w:pPr>
      <w:r>
        <w:rPr>
          <w:rFonts w:hint="eastAsia" w:ascii="宋体" w:hAnsi="宋体"/>
          <w:szCs w:val="21"/>
          <w:lang w:eastAsia="zh-CN"/>
        </w:rPr>
        <w:t>供应商</w:t>
      </w:r>
      <w:r>
        <w:rPr>
          <w:rFonts w:hint="eastAsia" w:ascii="宋体" w:hAnsi="宋体"/>
          <w:szCs w:val="21"/>
        </w:rPr>
        <w:t>名称：</w:t>
      </w:r>
      <w:r>
        <w:rPr>
          <w:rFonts w:hint="eastAsia" w:ascii="宋体" w:hAnsi="宋体"/>
          <w:szCs w:val="21"/>
          <w:u w:val="single"/>
        </w:rPr>
        <w:t xml:space="preserve">              </w:t>
      </w:r>
      <w:r>
        <w:rPr>
          <w:rFonts w:hint="eastAsia" w:ascii="宋体" w:hAnsi="宋体" w:cs="宋体"/>
          <w:kern w:val="0"/>
          <w:szCs w:val="21"/>
        </w:rPr>
        <w:t>（加盖</w:t>
      </w:r>
      <w:r>
        <w:rPr>
          <w:rFonts w:hint="eastAsia" w:ascii="宋体" w:hAnsi="宋体" w:cs="宋体"/>
          <w:kern w:val="0"/>
          <w:szCs w:val="21"/>
          <w:lang w:eastAsia="zh-CN"/>
        </w:rPr>
        <w:t>电子公章</w:t>
      </w:r>
      <w:r>
        <w:rPr>
          <w:rFonts w:hint="eastAsia" w:ascii="宋体" w:hAnsi="宋体" w:cs="宋体"/>
          <w:kern w:val="0"/>
          <w:szCs w:val="21"/>
        </w:rPr>
        <w:t>）</w:t>
      </w:r>
    </w:p>
    <w:p w14:paraId="548756BC">
      <w:pPr>
        <w:spacing w:line="480" w:lineRule="exact"/>
        <w:ind w:firstLine="480"/>
        <w:rPr>
          <w:rFonts w:hint="default" w:eastAsia="宋体" w:cs="Times New Roman"/>
          <w:b/>
          <w:color w:val="auto"/>
          <w:kern w:val="0"/>
          <w:szCs w:val="21"/>
          <w:u w:val="single"/>
          <w:lang w:val="en-US" w:eastAsia="zh-CN"/>
        </w:rPr>
      </w:pPr>
      <w:r>
        <w:rPr>
          <w:rFonts w:hint="eastAsia" w:cs="Times New Roman"/>
          <w:b w:val="0"/>
          <w:bCs/>
          <w:color w:val="auto"/>
          <w:kern w:val="0"/>
          <w:szCs w:val="21"/>
          <w:lang w:val="en-US" w:eastAsia="zh-CN"/>
        </w:rPr>
        <w:t>授权委托人</w:t>
      </w:r>
      <w:r>
        <w:rPr>
          <w:rFonts w:hint="eastAsia" w:ascii="宋体" w:cs="宋体"/>
          <w:b w:val="0"/>
          <w:bCs/>
          <w:szCs w:val="21"/>
          <w:highlight w:val="none"/>
          <w:lang w:val="zh-CN"/>
        </w:rPr>
        <w:t>（</w:t>
      </w:r>
      <w:r>
        <w:rPr>
          <w:rFonts w:hint="eastAsia" w:ascii="宋体" w:cs="宋体"/>
          <w:b w:val="0"/>
          <w:bCs/>
          <w:szCs w:val="21"/>
          <w:highlight w:val="none"/>
          <w:lang w:val="en-US" w:eastAsia="zh-CN"/>
        </w:rPr>
        <w:t>签</w:t>
      </w:r>
      <w:r>
        <w:rPr>
          <w:rFonts w:hint="eastAsia" w:ascii="宋体" w:cs="宋体"/>
          <w:szCs w:val="21"/>
          <w:highlight w:val="none"/>
          <w:lang w:val="en-US" w:eastAsia="zh-CN"/>
        </w:rPr>
        <w:t>字或签章</w:t>
      </w:r>
      <w:r>
        <w:rPr>
          <w:rFonts w:hint="eastAsia" w:ascii="宋体" w:cs="宋体"/>
          <w:szCs w:val="21"/>
          <w:highlight w:val="none"/>
          <w:lang w:val="zh-CN"/>
        </w:rPr>
        <w:t>）：</w:t>
      </w:r>
      <w:r>
        <w:rPr>
          <w:rFonts w:hint="eastAsia" w:ascii="宋体" w:cs="宋体"/>
          <w:szCs w:val="21"/>
          <w:highlight w:val="none"/>
          <w:u w:val="single"/>
          <w:lang w:val="en-US" w:eastAsia="zh-CN"/>
        </w:rPr>
        <w:t xml:space="preserve">           </w:t>
      </w:r>
    </w:p>
    <w:p w14:paraId="275831A6">
      <w:pPr>
        <w:spacing w:line="480" w:lineRule="exact"/>
        <w:ind w:firstLine="480"/>
        <w:rPr>
          <w:rFonts w:hint="eastAsia" w:ascii="宋体" w:hAnsi="宋体"/>
          <w:szCs w:val="21"/>
        </w:rPr>
      </w:pPr>
      <w:r>
        <w:rPr>
          <w:rFonts w:hint="eastAsia" w:ascii="宋体" w:hAnsi="宋体"/>
          <w:szCs w:val="21"/>
          <w:lang w:val="en-US" w:eastAsia="zh-CN"/>
        </w:rPr>
        <w:t>委托代理人</w:t>
      </w:r>
      <w:r>
        <w:rPr>
          <w:rFonts w:hint="eastAsia" w:ascii="宋体" w:cs="宋体"/>
          <w:szCs w:val="21"/>
          <w:highlight w:val="none"/>
          <w:lang w:val="zh-CN"/>
        </w:rPr>
        <w:t>（</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p>
    <w:p w14:paraId="7AFD874B">
      <w:pPr>
        <w:spacing w:line="480" w:lineRule="exact"/>
        <w:ind w:firstLine="480"/>
        <w:rPr>
          <w:rFonts w:ascii="宋体" w:hAnsi="宋体"/>
          <w:szCs w:val="21"/>
          <w:u w:val="single"/>
        </w:rPr>
      </w:pPr>
      <w:r>
        <w:rPr>
          <w:rFonts w:hint="eastAsia" w:ascii="宋体" w:hAnsi="宋体"/>
          <w:szCs w:val="21"/>
        </w:rPr>
        <w:t>单位地址：</w:t>
      </w:r>
    </w:p>
    <w:p w14:paraId="17722A91">
      <w:pPr>
        <w:spacing w:line="480" w:lineRule="exact"/>
        <w:ind w:firstLine="480"/>
        <w:rPr>
          <w:rFonts w:hint="eastAsia" w:ascii="宋体" w:hAnsi="宋体"/>
          <w:szCs w:val="21"/>
        </w:rPr>
      </w:pPr>
      <w:r>
        <w:rPr>
          <w:rFonts w:hint="eastAsia" w:ascii="宋体" w:hAnsi="宋体"/>
          <w:szCs w:val="21"/>
        </w:rPr>
        <w:t>日    期：</w:t>
      </w:r>
    </w:p>
    <w:p w14:paraId="5914EE6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sz w:val="21"/>
          <w:szCs w:val="21"/>
          <w:highlight w:val="none"/>
        </w:rPr>
      </w:pPr>
    </w:p>
    <w:p w14:paraId="339111E2">
      <w:pPr>
        <w:widowControl/>
        <w:adjustRightInd w:val="0"/>
        <w:spacing w:line="360" w:lineRule="auto"/>
        <w:ind w:firstLine="422" w:firstLineChars="200"/>
        <w:jc w:val="left"/>
        <w:rPr>
          <w:rFonts w:hint="default" w:ascii="Times New Roman" w:hAnsi="Times New Roman" w:cs="Times New Roman"/>
          <w:b/>
          <w:color w:val="auto"/>
          <w:kern w:val="0"/>
          <w:szCs w:val="21"/>
          <w:lang w:val="zh-CN"/>
        </w:rPr>
      </w:pPr>
      <w:r>
        <w:rPr>
          <w:rFonts w:hint="default" w:ascii="Times New Roman" w:hAnsi="Times New Roman" w:cs="Times New Roman"/>
          <w:b/>
          <w:color w:val="auto"/>
          <w:kern w:val="0"/>
          <w:szCs w:val="21"/>
          <w:lang w:val="zh-CN"/>
        </w:rPr>
        <w:t>附营业执照、</w:t>
      </w:r>
      <w:r>
        <w:rPr>
          <w:rFonts w:hint="eastAsia" w:cs="Times New Roman"/>
          <w:b/>
          <w:color w:val="auto"/>
          <w:kern w:val="0"/>
          <w:szCs w:val="21"/>
          <w:lang w:val="en-US" w:eastAsia="zh-CN"/>
        </w:rPr>
        <w:t>授权委托人和</w:t>
      </w:r>
      <w:r>
        <w:rPr>
          <w:rFonts w:hint="default" w:ascii="Times New Roman" w:hAnsi="Times New Roman" w:cs="Times New Roman"/>
          <w:b/>
          <w:color w:val="auto"/>
          <w:kern w:val="0"/>
          <w:szCs w:val="21"/>
          <w:lang w:val="zh-CN"/>
        </w:rPr>
        <w:t>委托代理人身份证</w:t>
      </w:r>
      <w:r>
        <w:rPr>
          <w:rFonts w:hint="eastAsia" w:cs="Times New Roman"/>
          <w:b/>
          <w:color w:val="auto"/>
          <w:kern w:val="0"/>
          <w:szCs w:val="21"/>
          <w:lang w:val="zh-CN"/>
        </w:rPr>
        <w:t>扫描件</w:t>
      </w:r>
      <w:r>
        <w:rPr>
          <w:rFonts w:hint="default" w:ascii="Times New Roman" w:hAnsi="Times New Roman" w:cs="Times New Roman"/>
          <w:b/>
          <w:color w:val="auto"/>
          <w:kern w:val="0"/>
          <w:szCs w:val="21"/>
          <w:lang w:val="zh-CN"/>
        </w:rPr>
        <w:t>加盖</w:t>
      </w:r>
      <w:r>
        <w:rPr>
          <w:rFonts w:hint="eastAsia" w:cs="Times New Roman"/>
          <w:b/>
          <w:color w:val="auto"/>
          <w:kern w:val="0"/>
          <w:szCs w:val="21"/>
          <w:lang w:val="zh-CN"/>
        </w:rPr>
        <w:t>电子公章。</w:t>
      </w:r>
    </w:p>
    <w:p w14:paraId="626B019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268A08A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2B9D0A3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0487234A">
      <w:pPr>
        <w:autoSpaceDE w:val="0"/>
        <w:autoSpaceDN w:val="0"/>
        <w:adjustRightInd w:val="0"/>
        <w:spacing w:line="360" w:lineRule="auto"/>
        <w:rPr>
          <w:rFonts w:hint="eastAsia" w:ascii="宋体" w:hAnsi="宋体" w:cs="宋体"/>
          <w:lang w:val="zh-CN"/>
        </w:rPr>
      </w:pPr>
      <w:r>
        <w:rPr>
          <w:rFonts w:hint="eastAsia" w:ascii="宋体" w:hAnsi="宋体" w:cs="宋体"/>
          <w:b/>
          <w:bCs/>
          <w:kern w:val="0"/>
          <w:szCs w:val="21"/>
        </w:rPr>
        <w:br w:type="page"/>
      </w:r>
    </w:p>
    <w:p w14:paraId="7670C731">
      <w:pPr>
        <w:widowControl/>
        <w:spacing w:line="360" w:lineRule="auto"/>
        <w:jc w:val="center"/>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三、开标一览表</w:t>
      </w:r>
    </w:p>
    <w:p w14:paraId="358232F0">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p>
    <w:p w14:paraId="0BA28E2F">
      <w:pPr>
        <w:spacing w:line="360" w:lineRule="auto"/>
        <w:rPr>
          <w:rFonts w:ascii="宋体" w:hAnsi="宋体" w:cs="宋体"/>
          <w:color w:val="auto"/>
          <w:szCs w:val="21"/>
          <w:highlight w:val="none"/>
        </w:rPr>
      </w:pPr>
      <w:r>
        <w:rPr>
          <w:rFonts w:hint="eastAsia" w:ascii="宋体" w:hAnsi="宋体" w:cs="宋体"/>
          <w:color w:val="auto"/>
          <w:highlight w:val="none"/>
        </w:rPr>
        <w:t xml:space="preserve">项目编号：                                                         </w:t>
      </w:r>
    </w:p>
    <w:tbl>
      <w:tblPr>
        <w:tblStyle w:val="46"/>
        <w:tblW w:w="8502"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4"/>
        <w:gridCol w:w="2908"/>
        <w:gridCol w:w="4860"/>
      </w:tblGrid>
      <w:tr w14:paraId="54CBB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734" w:type="dxa"/>
            <w:tcBorders>
              <w:top w:val="single" w:color="auto" w:sz="6" w:space="0"/>
              <w:left w:val="single" w:color="auto" w:sz="6" w:space="0"/>
              <w:bottom w:val="single" w:color="auto" w:sz="6" w:space="0"/>
              <w:right w:val="single" w:color="auto" w:sz="6" w:space="0"/>
            </w:tcBorders>
            <w:noWrap w:val="0"/>
            <w:vAlign w:val="center"/>
          </w:tcPr>
          <w:p w14:paraId="4BB24C83">
            <w:pPr>
              <w:spacing w:line="360" w:lineRule="auto"/>
              <w:jc w:val="center"/>
              <w:rPr>
                <w:rFonts w:ascii="宋体"/>
                <w:sz w:val="21"/>
                <w:szCs w:val="21"/>
                <w:highlight w:val="none"/>
                <w:lang w:val="zh-CN"/>
              </w:rPr>
            </w:pPr>
            <w:r>
              <w:rPr>
                <w:rFonts w:hint="eastAsia" w:ascii="宋体"/>
                <w:sz w:val="21"/>
                <w:szCs w:val="21"/>
                <w:highlight w:val="none"/>
                <w:lang w:val="zh-CN"/>
              </w:rPr>
              <w:t>序号</w:t>
            </w:r>
          </w:p>
        </w:tc>
        <w:tc>
          <w:tcPr>
            <w:tcW w:w="2908" w:type="dxa"/>
            <w:tcBorders>
              <w:top w:val="single" w:color="auto" w:sz="6" w:space="0"/>
              <w:left w:val="single" w:color="auto" w:sz="6" w:space="0"/>
              <w:bottom w:val="single" w:color="auto" w:sz="6" w:space="0"/>
              <w:right w:val="single" w:color="auto" w:sz="6" w:space="0"/>
            </w:tcBorders>
            <w:noWrap w:val="0"/>
            <w:vAlign w:val="center"/>
          </w:tcPr>
          <w:p w14:paraId="2A7A4895">
            <w:pPr>
              <w:spacing w:line="360" w:lineRule="auto"/>
              <w:jc w:val="center"/>
              <w:rPr>
                <w:rFonts w:ascii="宋体"/>
                <w:sz w:val="21"/>
                <w:szCs w:val="21"/>
                <w:highlight w:val="none"/>
                <w:lang w:val="zh-CN"/>
              </w:rPr>
            </w:pPr>
            <w:r>
              <w:rPr>
                <w:rFonts w:hint="eastAsia" w:ascii="宋体"/>
                <w:sz w:val="21"/>
                <w:szCs w:val="21"/>
                <w:highlight w:val="none"/>
                <w:lang w:val="zh-CN"/>
              </w:rPr>
              <w:t>名称</w:t>
            </w:r>
          </w:p>
        </w:tc>
        <w:tc>
          <w:tcPr>
            <w:tcW w:w="4860" w:type="dxa"/>
            <w:tcBorders>
              <w:top w:val="single" w:color="auto" w:sz="6" w:space="0"/>
              <w:left w:val="single" w:color="auto" w:sz="6" w:space="0"/>
              <w:bottom w:val="single" w:color="auto" w:sz="6" w:space="0"/>
              <w:right w:val="single" w:color="auto" w:sz="6" w:space="0"/>
            </w:tcBorders>
            <w:noWrap w:val="0"/>
            <w:vAlign w:val="center"/>
          </w:tcPr>
          <w:p w14:paraId="20D1FEE8">
            <w:pPr>
              <w:spacing w:line="360" w:lineRule="auto"/>
              <w:jc w:val="center"/>
              <w:rPr>
                <w:rFonts w:ascii="宋体"/>
                <w:sz w:val="21"/>
                <w:szCs w:val="21"/>
                <w:highlight w:val="none"/>
                <w:lang w:val="zh-CN"/>
              </w:rPr>
            </w:pPr>
            <w:r>
              <w:rPr>
                <w:rFonts w:hint="eastAsia" w:ascii="宋体"/>
                <w:sz w:val="21"/>
                <w:szCs w:val="21"/>
                <w:highlight w:val="none"/>
                <w:lang w:val="zh-CN"/>
              </w:rPr>
              <w:t>报价（</w:t>
            </w:r>
            <w:r>
              <w:rPr>
                <w:rFonts w:hint="eastAsia" w:ascii="宋体"/>
                <w:sz w:val="21"/>
                <w:szCs w:val="21"/>
                <w:highlight w:val="none"/>
                <w:lang w:val="en-US" w:eastAsia="zh-CN"/>
              </w:rPr>
              <w:t>万</w:t>
            </w:r>
            <w:r>
              <w:rPr>
                <w:rFonts w:hint="eastAsia" w:ascii="宋体"/>
                <w:sz w:val="21"/>
                <w:szCs w:val="21"/>
                <w:highlight w:val="none"/>
                <w:lang w:val="zh-CN"/>
              </w:rPr>
              <w:t>元）</w:t>
            </w:r>
          </w:p>
        </w:tc>
      </w:tr>
      <w:tr w14:paraId="4A1C4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2" w:hRule="atLeast"/>
        </w:trPr>
        <w:tc>
          <w:tcPr>
            <w:tcW w:w="734" w:type="dxa"/>
            <w:vMerge w:val="restart"/>
            <w:tcBorders>
              <w:top w:val="single" w:color="auto" w:sz="6" w:space="0"/>
              <w:left w:val="single" w:color="auto" w:sz="6" w:space="0"/>
              <w:right w:val="single" w:color="auto" w:sz="6" w:space="0"/>
            </w:tcBorders>
            <w:noWrap w:val="0"/>
            <w:vAlign w:val="center"/>
          </w:tcPr>
          <w:p w14:paraId="2073A0B4">
            <w:pPr>
              <w:spacing w:line="360" w:lineRule="auto"/>
              <w:jc w:val="center"/>
              <w:rPr>
                <w:rFonts w:ascii="宋体"/>
                <w:spacing w:val="-2"/>
                <w:sz w:val="21"/>
                <w:szCs w:val="21"/>
                <w:highlight w:val="none"/>
              </w:rPr>
            </w:pPr>
            <w:r>
              <w:rPr>
                <w:rFonts w:hint="eastAsia" w:ascii="宋体"/>
                <w:spacing w:val="-2"/>
                <w:sz w:val="21"/>
                <w:szCs w:val="21"/>
                <w:highlight w:val="none"/>
              </w:rPr>
              <w:t>1</w:t>
            </w:r>
          </w:p>
        </w:tc>
        <w:tc>
          <w:tcPr>
            <w:tcW w:w="2908" w:type="dxa"/>
            <w:vMerge w:val="restart"/>
            <w:tcBorders>
              <w:top w:val="single" w:color="auto" w:sz="6" w:space="0"/>
              <w:left w:val="single" w:color="auto" w:sz="6" w:space="0"/>
              <w:right w:val="single" w:color="auto" w:sz="6" w:space="0"/>
            </w:tcBorders>
            <w:noWrap w:val="0"/>
            <w:vAlign w:val="center"/>
          </w:tcPr>
          <w:p w14:paraId="6D3A1FFF">
            <w:pPr>
              <w:widowControl/>
              <w:spacing w:line="360" w:lineRule="auto"/>
              <w:jc w:val="center"/>
              <w:rPr>
                <w:rFonts w:hint="eastAsia" w:ascii="宋体" w:eastAsia="宋体"/>
                <w:spacing w:val="-2"/>
                <w:sz w:val="21"/>
                <w:szCs w:val="21"/>
                <w:highlight w:val="none"/>
                <w:lang w:eastAsia="zh-CN"/>
              </w:rPr>
            </w:pPr>
            <w:r>
              <w:rPr>
                <w:rFonts w:hint="eastAsia"/>
                <w:lang w:val="en-US" w:eastAsia="zh-CN"/>
              </w:rPr>
              <w:t>三年投标总报价</w:t>
            </w:r>
          </w:p>
        </w:tc>
        <w:tc>
          <w:tcPr>
            <w:tcW w:w="4860" w:type="dxa"/>
            <w:tcBorders>
              <w:top w:val="single" w:color="auto" w:sz="6" w:space="0"/>
              <w:left w:val="single" w:color="auto" w:sz="6" w:space="0"/>
              <w:bottom w:val="single" w:color="auto" w:sz="6" w:space="0"/>
              <w:right w:val="single" w:color="auto" w:sz="6" w:space="0"/>
            </w:tcBorders>
            <w:noWrap w:val="0"/>
            <w:vAlign w:val="center"/>
          </w:tcPr>
          <w:p w14:paraId="39171E36">
            <w:pPr>
              <w:widowControl/>
              <w:spacing w:line="360" w:lineRule="auto"/>
              <w:jc w:val="center"/>
              <w:rPr>
                <w:rFonts w:hint="eastAsia" w:ascii="宋体" w:hAnsi="宋体" w:cs="宋体"/>
                <w:sz w:val="21"/>
                <w:szCs w:val="21"/>
                <w:highlight w:val="none"/>
                <w:lang w:val="zh-CN"/>
              </w:rPr>
            </w:pPr>
          </w:p>
          <w:p w14:paraId="4B1B7F7A">
            <w:pPr>
              <w:widowControl/>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小写：                                </w:t>
            </w:r>
          </w:p>
        </w:tc>
      </w:tr>
      <w:tr w14:paraId="4CB09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2" w:hRule="atLeast"/>
        </w:trPr>
        <w:tc>
          <w:tcPr>
            <w:tcW w:w="734" w:type="dxa"/>
            <w:vMerge w:val="continue"/>
            <w:tcBorders>
              <w:left w:val="single" w:color="auto" w:sz="6" w:space="0"/>
              <w:right w:val="single" w:color="auto" w:sz="6" w:space="0"/>
            </w:tcBorders>
            <w:noWrap w:val="0"/>
            <w:vAlign w:val="center"/>
          </w:tcPr>
          <w:p w14:paraId="12FD28DF">
            <w:pPr>
              <w:pStyle w:val="15"/>
              <w:spacing w:line="440" w:lineRule="exact"/>
              <w:ind w:firstLine="0" w:firstLineChars="0"/>
            </w:pPr>
          </w:p>
        </w:tc>
        <w:tc>
          <w:tcPr>
            <w:tcW w:w="2908" w:type="dxa"/>
            <w:vMerge w:val="continue"/>
            <w:tcBorders>
              <w:left w:val="single" w:color="auto" w:sz="6" w:space="0"/>
              <w:right w:val="single" w:color="auto" w:sz="6" w:space="0"/>
            </w:tcBorders>
            <w:noWrap w:val="0"/>
            <w:vAlign w:val="center"/>
          </w:tcPr>
          <w:p w14:paraId="6878413F">
            <w:pPr>
              <w:pStyle w:val="15"/>
              <w:spacing w:line="440" w:lineRule="exact"/>
              <w:ind w:firstLine="0" w:firstLineChars="0"/>
            </w:pPr>
          </w:p>
        </w:tc>
        <w:tc>
          <w:tcPr>
            <w:tcW w:w="4860" w:type="dxa"/>
            <w:tcBorders>
              <w:top w:val="single" w:color="auto" w:sz="6" w:space="0"/>
              <w:left w:val="single" w:color="auto" w:sz="6" w:space="0"/>
              <w:bottom w:val="single" w:color="auto" w:sz="6" w:space="0"/>
              <w:right w:val="single" w:color="auto" w:sz="6" w:space="0"/>
            </w:tcBorders>
            <w:noWrap w:val="0"/>
            <w:vAlign w:val="center"/>
          </w:tcPr>
          <w:p w14:paraId="196436CC">
            <w:pPr>
              <w:widowControl/>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               </w:t>
            </w:r>
          </w:p>
          <w:p w14:paraId="528CA4AB">
            <w:pPr>
              <w:widowControl/>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大写：</w:t>
            </w:r>
          </w:p>
        </w:tc>
      </w:tr>
      <w:tr w14:paraId="33FDA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78" w:hRule="atLeast"/>
        </w:trPr>
        <w:tc>
          <w:tcPr>
            <w:tcW w:w="734" w:type="dxa"/>
            <w:vMerge w:val="restart"/>
            <w:tcBorders>
              <w:top w:val="single" w:color="auto" w:sz="6" w:space="0"/>
              <w:left w:val="single" w:color="auto" w:sz="6" w:space="0"/>
              <w:right w:val="single" w:color="auto" w:sz="6" w:space="0"/>
            </w:tcBorders>
            <w:noWrap w:val="0"/>
            <w:vAlign w:val="center"/>
          </w:tcPr>
          <w:p w14:paraId="560FCAA3">
            <w:pPr>
              <w:widowControl/>
              <w:spacing w:line="360" w:lineRule="auto"/>
              <w:jc w:val="center"/>
              <w:rPr>
                <w:rFonts w:hint="eastAsia"/>
                <w:lang w:val="en-US" w:eastAsia="zh-CN"/>
              </w:rPr>
            </w:pPr>
            <w:r>
              <w:rPr>
                <w:rFonts w:hint="eastAsia"/>
                <w:lang w:val="en-US" w:eastAsia="zh-CN"/>
              </w:rPr>
              <w:t>2</w:t>
            </w:r>
          </w:p>
        </w:tc>
        <w:tc>
          <w:tcPr>
            <w:tcW w:w="2908" w:type="dxa"/>
            <w:tcBorders>
              <w:top w:val="single" w:color="auto" w:sz="6" w:space="0"/>
              <w:left w:val="single" w:color="auto" w:sz="6" w:space="0"/>
              <w:bottom w:val="single" w:color="auto" w:sz="6" w:space="0"/>
              <w:right w:val="single" w:color="auto" w:sz="6" w:space="0"/>
            </w:tcBorders>
            <w:noWrap w:val="0"/>
            <w:vAlign w:val="center"/>
          </w:tcPr>
          <w:p w14:paraId="7359CE6B">
            <w:pPr>
              <w:widowControl/>
              <w:spacing w:line="360" w:lineRule="auto"/>
              <w:jc w:val="center"/>
              <w:rPr>
                <w:rFonts w:hint="default"/>
                <w:lang w:val="en-US" w:eastAsia="zh-CN"/>
              </w:rPr>
            </w:pPr>
            <w:r>
              <w:rPr>
                <w:rFonts w:hint="eastAsia"/>
                <w:lang w:val="en-US" w:eastAsia="zh-CN"/>
              </w:rPr>
              <w:t>2025年投标总报价</w:t>
            </w:r>
          </w:p>
        </w:tc>
        <w:tc>
          <w:tcPr>
            <w:tcW w:w="4860" w:type="dxa"/>
            <w:tcBorders>
              <w:top w:val="single" w:color="auto" w:sz="6" w:space="0"/>
              <w:left w:val="single" w:color="auto" w:sz="6" w:space="0"/>
              <w:right w:val="single" w:color="auto" w:sz="6" w:space="0"/>
            </w:tcBorders>
            <w:noWrap w:val="0"/>
            <w:vAlign w:val="center"/>
          </w:tcPr>
          <w:p w14:paraId="17EE89A1">
            <w:pPr>
              <w:widowControl/>
              <w:spacing w:line="360" w:lineRule="auto"/>
              <w:jc w:val="left"/>
              <w:rPr>
                <w:rFonts w:ascii="宋体" w:hAnsi="宋体" w:cs="宋体"/>
                <w:sz w:val="21"/>
                <w:szCs w:val="21"/>
                <w:highlight w:val="none"/>
                <w:lang w:val="zh-CN"/>
              </w:rPr>
            </w:pPr>
          </w:p>
        </w:tc>
      </w:tr>
      <w:tr w14:paraId="61603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trPr>
        <w:tc>
          <w:tcPr>
            <w:tcW w:w="734" w:type="dxa"/>
            <w:vMerge w:val="continue"/>
            <w:tcBorders>
              <w:left w:val="single" w:color="auto" w:sz="6" w:space="0"/>
              <w:right w:val="single" w:color="auto" w:sz="6" w:space="0"/>
            </w:tcBorders>
            <w:noWrap w:val="0"/>
            <w:vAlign w:val="center"/>
          </w:tcPr>
          <w:p w14:paraId="143807E2">
            <w:pPr>
              <w:widowControl/>
              <w:spacing w:line="360" w:lineRule="auto"/>
              <w:jc w:val="center"/>
              <w:rPr>
                <w:rFonts w:hint="eastAsia"/>
                <w:lang w:val="zh-CN" w:eastAsia="zh-CN"/>
              </w:rPr>
            </w:pPr>
          </w:p>
        </w:tc>
        <w:tc>
          <w:tcPr>
            <w:tcW w:w="2908" w:type="dxa"/>
            <w:tcBorders>
              <w:top w:val="single" w:color="auto" w:sz="6" w:space="0"/>
              <w:left w:val="single" w:color="auto" w:sz="6" w:space="0"/>
              <w:bottom w:val="single" w:color="auto" w:sz="6" w:space="0"/>
              <w:right w:val="single" w:color="auto" w:sz="6" w:space="0"/>
            </w:tcBorders>
            <w:noWrap w:val="0"/>
            <w:vAlign w:val="center"/>
          </w:tcPr>
          <w:p w14:paraId="7C723A5F">
            <w:pPr>
              <w:widowControl/>
              <w:spacing w:line="360" w:lineRule="auto"/>
              <w:jc w:val="center"/>
              <w:rPr>
                <w:rFonts w:hint="default"/>
                <w:lang w:val="en-US" w:eastAsia="zh-CN"/>
              </w:rPr>
            </w:pPr>
            <w:r>
              <w:rPr>
                <w:rFonts w:hint="eastAsia"/>
                <w:lang w:val="en-US" w:eastAsia="zh-CN"/>
              </w:rPr>
              <w:t>2026年投标总报价</w:t>
            </w:r>
          </w:p>
        </w:tc>
        <w:tc>
          <w:tcPr>
            <w:tcW w:w="4860" w:type="dxa"/>
            <w:tcBorders>
              <w:left w:val="single" w:color="auto" w:sz="6" w:space="0"/>
              <w:bottom w:val="single" w:color="auto" w:sz="6" w:space="0"/>
              <w:right w:val="single" w:color="auto" w:sz="6" w:space="0"/>
            </w:tcBorders>
            <w:noWrap w:val="0"/>
            <w:vAlign w:val="center"/>
          </w:tcPr>
          <w:p w14:paraId="77845883">
            <w:pPr>
              <w:widowControl/>
              <w:spacing w:line="360" w:lineRule="auto"/>
              <w:jc w:val="center"/>
              <w:rPr>
                <w:rFonts w:hint="eastAsia" w:ascii="宋体" w:hAnsi="宋体" w:cs="宋体"/>
                <w:sz w:val="21"/>
                <w:szCs w:val="21"/>
                <w:highlight w:val="none"/>
                <w:lang w:val="zh-CN"/>
              </w:rPr>
            </w:pPr>
          </w:p>
        </w:tc>
      </w:tr>
      <w:tr w14:paraId="16EAA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trPr>
        <w:tc>
          <w:tcPr>
            <w:tcW w:w="734" w:type="dxa"/>
            <w:vMerge w:val="continue"/>
            <w:tcBorders>
              <w:left w:val="single" w:color="auto" w:sz="6" w:space="0"/>
              <w:bottom w:val="single" w:color="auto" w:sz="6" w:space="0"/>
              <w:right w:val="single" w:color="auto" w:sz="6" w:space="0"/>
            </w:tcBorders>
            <w:noWrap w:val="0"/>
            <w:vAlign w:val="center"/>
          </w:tcPr>
          <w:p w14:paraId="5C6ACAD5">
            <w:pPr>
              <w:widowControl/>
              <w:spacing w:line="360" w:lineRule="auto"/>
              <w:jc w:val="center"/>
              <w:rPr>
                <w:rFonts w:hint="eastAsia"/>
                <w:lang w:val="zh-CN" w:eastAsia="zh-CN"/>
              </w:rPr>
            </w:pPr>
          </w:p>
        </w:tc>
        <w:tc>
          <w:tcPr>
            <w:tcW w:w="2908" w:type="dxa"/>
            <w:tcBorders>
              <w:top w:val="single" w:color="auto" w:sz="6" w:space="0"/>
              <w:left w:val="single" w:color="auto" w:sz="6" w:space="0"/>
              <w:bottom w:val="single" w:color="auto" w:sz="6" w:space="0"/>
              <w:right w:val="single" w:color="auto" w:sz="6" w:space="0"/>
            </w:tcBorders>
            <w:noWrap w:val="0"/>
            <w:vAlign w:val="center"/>
          </w:tcPr>
          <w:p w14:paraId="171CA1B6">
            <w:pPr>
              <w:widowControl/>
              <w:spacing w:line="360" w:lineRule="auto"/>
              <w:jc w:val="center"/>
              <w:rPr>
                <w:rFonts w:hint="default"/>
                <w:lang w:val="en-US" w:eastAsia="zh-CN"/>
              </w:rPr>
            </w:pPr>
            <w:r>
              <w:rPr>
                <w:rFonts w:hint="eastAsia"/>
                <w:lang w:val="en-US" w:eastAsia="zh-CN"/>
              </w:rPr>
              <w:t>2027年投标总报价</w:t>
            </w:r>
          </w:p>
        </w:tc>
        <w:tc>
          <w:tcPr>
            <w:tcW w:w="4860" w:type="dxa"/>
            <w:tcBorders>
              <w:left w:val="single" w:color="auto" w:sz="6" w:space="0"/>
              <w:bottom w:val="single" w:color="auto" w:sz="6" w:space="0"/>
              <w:right w:val="single" w:color="auto" w:sz="6" w:space="0"/>
            </w:tcBorders>
            <w:noWrap w:val="0"/>
            <w:vAlign w:val="center"/>
          </w:tcPr>
          <w:p w14:paraId="2EC995E8">
            <w:pPr>
              <w:widowControl/>
              <w:spacing w:line="360" w:lineRule="auto"/>
              <w:jc w:val="center"/>
              <w:rPr>
                <w:rFonts w:hint="eastAsia" w:ascii="宋体" w:hAnsi="宋体" w:cs="宋体"/>
                <w:sz w:val="21"/>
                <w:szCs w:val="21"/>
                <w:highlight w:val="none"/>
                <w:lang w:val="zh-CN"/>
              </w:rPr>
            </w:pPr>
          </w:p>
        </w:tc>
      </w:tr>
      <w:tr w14:paraId="12E9F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7" w:hRule="atLeast"/>
        </w:trPr>
        <w:tc>
          <w:tcPr>
            <w:tcW w:w="3642" w:type="dxa"/>
            <w:gridSpan w:val="2"/>
            <w:tcBorders>
              <w:top w:val="single" w:color="auto" w:sz="6" w:space="0"/>
              <w:left w:val="single" w:color="auto" w:sz="6" w:space="0"/>
              <w:bottom w:val="single" w:color="auto" w:sz="6" w:space="0"/>
              <w:right w:val="single" w:color="auto" w:sz="6" w:space="0"/>
            </w:tcBorders>
            <w:noWrap w:val="0"/>
            <w:vAlign w:val="center"/>
          </w:tcPr>
          <w:p w14:paraId="77A97F81">
            <w:pPr>
              <w:widowControl/>
              <w:spacing w:line="360" w:lineRule="auto"/>
              <w:jc w:val="center"/>
              <w:rPr>
                <w:rFonts w:hint="eastAsia"/>
                <w:lang w:val="zh-CN" w:eastAsia="zh-CN"/>
              </w:rPr>
            </w:pPr>
            <w:r>
              <w:rPr>
                <w:rFonts w:hint="eastAsia"/>
                <w:lang w:val="zh-CN" w:eastAsia="zh-CN"/>
              </w:rPr>
              <w:t>供应商是否属于中小型企业</w:t>
            </w:r>
          </w:p>
        </w:tc>
        <w:tc>
          <w:tcPr>
            <w:tcW w:w="4860" w:type="dxa"/>
            <w:tcBorders>
              <w:top w:val="single" w:color="auto" w:sz="6" w:space="0"/>
              <w:left w:val="single" w:color="auto" w:sz="6" w:space="0"/>
              <w:bottom w:val="single" w:color="auto" w:sz="6" w:space="0"/>
              <w:right w:val="single" w:color="auto" w:sz="6" w:space="0"/>
            </w:tcBorders>
            <w:noWrap w:val="0"/>
            <w:vAlign w:val="center"/>
          </w:tcPr>
          <w:p w14:paraId="2AD8B72C">
            <w:pPr>
              <w:widowControl/>
              <w:spacing w:line="360" w:lineRule="auto"/>
              <w:jc w:val="left"/>
              <w:rPr>
                <w:rFonts w:ascii="宋体" w:cs="宋体"/>
                <w:sz w:val="21"/>
                <w:szCs w:val="21"/>
                <w:highlight w:val="none"/>
                <w:lang w:val="zh-CN"/>
              </w:rPr>
            </w:pPr>
            <w:r>
              <w:rPr>
                <w:rFonts w:ascii="宋体" w:hAnsi="宋体" w:cs="宋体"/>
                <w:sz w:val="21"/>
                <w:szCs w:val="21"/>
                <w:highlight w:val="none"/>
                <w:lang w:val="zh-CN"/>
              </w:rPr>
              <w:t xml:space="preserve"> </w:t>
            </w:r>
            <w:r>
              <w:rPr>
                <w:rFonts w:hint="eastAsia" w:ascii="宋体" w:hAnsi="宋体" w:cs="宋体"/>
                <w:sz w:val="21"/>
                <w:szCs w:val="21"/>
                <w:highlight w:val="none"/>
                <w:lang w:val="zh-CN"/>
              </w:rPr>
              <w:t>是</w:t>
            </w:r>
            <w:r>
              <w:rPr>
                <w:rFonts w:ascii="宋体" w:hAnsi="宋体" w:cs="宋体"/>
                <w:sz w:val="21"/>
                <w:szCs w:val="21"/>
                <w:highlight w:val="none"/>
                <w:lang w:val="zh-CN"/>
              </w:rPr>
              <w:t xml:space="preserve">             </w:t>
            </w:r>
            <w:r>
              <w:rPr>
                <w:rFonts w:hint="eastAsia" w:ascii="宋体" w:hAnsi="宋体" w:cs="宋体"/>
                <w:sz w:val="21"/>
                <w:szCs w:val="21"/>
                <w:highlight w:val="none"/>
                <w:lang w:val="zh-CN"/>
              </w:rPr>
              <w:t>否</w:t>
            </w:r>
          </w:p>
        </w:tc>
      </w:tr>
      <w:tr w14:paraId="1A1B1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642" w:type="dxa"/>
            <w:gridSpan w:val="2"/>
            <w:tcBorders>
              <w:top w:val="single" w:color="auto" w:sz="6" w:space="0"/>
              <w:left w:val="single" w:color="auto" w:sz="6" w:space="0"/>
              <w:bottom w:val="single" w:color="auto" w:sz="6" w:space="0"/>
              <w:right w:val="single" w:color="auto" w:sz="6" w:space="0"/>
            </w:tcBorders>
            <w:noWrap w:val="0"/>
            <w:vAlign w:val="center"/>
          </w:tcPr>
          <w:p w14:paraId="10E91024">
            <w:pPr>
              <w:widowControl/>
              <w:spacing w:line="360" w:lineRule="auto"/>
              <w:jc w:val="center"/>
              <w:rPr>
                <w:rFonts w:ascii="宋体" w:cs="宋体"/>
                <w:sz w:val="21"/>
                <w:szCs w:val="21"/>
                <w:highlight w:val="none"/>
                <w:lang w:val="zh-CN"/>
              </w:rPr>
            </w:pPr>
            <w:r>
              <w:rPr>
                <w:rFonts w:hint="eastAsia" w:ascii="宋体" w:hAnsi="宋体" w:cs="宋体"/>
                <w:sz w:val="21"/>
                <w:szCs w:val="21"/>
                <w:highlight w:val="none"/>
                <w:lang w:val="zh-CN"/>
              </w:rPr>
              <w:t>供应商是否属于残疾人福利性单位</w:t>
            </w:r>
          </w:p>
        </w:tc>
        <w:tc>
          <w:tcPr>
            <w:tcW w:w="4860" w:type="dxa"/>
            <w:tcBorders>
              <w:top w:val="single" w:color="auto" w:sz="6" w:space="0"/>
              <w:left w:val="single" w:color="auto" w:sz="6" w:space="0"/>
              <w:bottom w:val="single" w:color="auto" w:sz="6" w:space="0"/>
              <w:right w:val="single" w:color="auto" w:sz="6" w:space="0"/>
            </w:tcBorders>
            <w:noWrap w:val="0"/>
            <w:vAlign w:val="center"/>
          </w:tcPr>
          <w:p w14:paraId="20C75D63">
            <w:pPr>
              <w:widowControl/>
              <w:spacing w:line="360" w:lineRule="auto"/>
              <w:jc w:val="left"/>
              <w:rPr>
                <w:rFonts w:ascii="宋体" w:cs="宋体"/>
                <w:sz w:val="21"/>
                <w:szCs w:val="21"/>
                <w:highlight w:val="none"/>
                <w:lang w:val="zh-CN"/>
              </w:rPr>
            </w:pPr>
            <w:r>
              <w:rPr>
                <w:rFonts w:ascii="宋体" w:hAnsi="宋体" w:cs="宋体"/>
                <w:sz w:val="21"/>
                <w:szCs w:val="21"/>
                <w:highlight w:val="none"/>
                <w:lang w:val="zh-CN"/>
              </w:rPr>
              <w:t xml:space="preserve"> </w:t>
            </w:r>
            <w:r>
              <w:rPr>
                <w:rFonts w:hint="eastAsia" w:ascii="宋体" w:hAnsi="宋体" w:cs="宋体"/>
                <w:sz w:val="21"/>
                <w:szCs w:val="21"/>
                <w:highlight w:val="none"/>
                <w:lang w:val="zh-CN"/>
              </w:rPr>
              <w:t>是</w:t>
            </w:r>
            <w:r>
              <w:rPr>
                <w:rFonts w:ascii="宋体" w:hAnsi="宋体" w:cs="宋体"/>
                <w:sz w:val="21"/>
                <w:szCs w:val="21"/>
                <w:highlight w:val="none"/>
                <w:lang w:val="zh-CN"/>
              </w:rPr>
              <w:t xml:space="preserve">             </w:t>
            </w:r>
            <w:r>
              <w:rPr>
                <w:rFonts w:hint="eastAsia" w:ascii="宋体" w:hAnsi="宋体" w:cs="宋体"/>
                <w:sz w:val="21"/>
                <w:szCs w:val="21"/>
                <w:highlight w:val="none"/>
                <w:lang w:val="zh-CN"/>
              </w:rPr>
              <w:t>否</w:t>
            </w:r>
          </w:p>
        </w:tc>
      </w:tr>
      <w:tr w14:paraId="249AB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8" w:hRule="atLeast"/>
        </w:trPr>
        <w:tc>
          <w:tcPr>
            <w:tcW w:w="3642" w:type="dxa"/>
            <w:gridSpan w:val="2"/>
            <w:tcBorders>
              <w:top w:val="single" w:color="auto" w:sz="6" w:space="0"/>
              <w:left w:val="single" w:color="auto" w:sz="6" w:space="0"/>
              <w:bottom w:val="single" w:color="auto" w:sz="6" w:space="0"/>
              <w:right w:val="single" w:color="auto" w:sz="6" w:space="0"/>
            </w:tcBorders>
            <w:noWrap w:val="0"/>
            <w:vAlign w:val="center"/>
          </w:tcPr>
          <w:p w14:paraId="2914E202">
            <w:pPr>
              <w:widowControl/>
              <w:spacing w:line="360" w:lineRule="auto"/>
              <w:jc w:val="center"/>
              <w:rPr>
                <w:rFonts w:ascii="宋体" w:cs="宋体"/>
                <w:sz w:val="21"/>
                <w:szCs w:val="21"/>
                <w:highlight w:val="none"/>
                <w:lang w:val="zh-CN"/>
              </w:rPr>
            </w:pPr>
            <w:r>
              <w:rPr>
                <w:rFonts w:hint="eastAsia" w:ascii="宋体" w:hAnsi="宋体" w:cs="宋体"/>
                <w:sz w:val="21"/>
                <w:szCs w:val="21"/>
                <w:highlight w:val="none"/>
                <w:lang w:val="zh-CN"/>
              </w:rPr>
              <w:t>供应商是否属于监狱企业</w:t>
            </w:r>
          </w:p>
        </w:tc>
        <w:tc>
          <w:tcPr>
            <w:tcW w:w="4860" w:type="dxa"/>
            <w:tcBorders>
              <w:top w:val="single" w:color="auto" w:sz="6" w:space="0"/>
              <w:left w:val="single" w:color="auto" w:sz="6" w:space="0"/>
              <w:bottom w:val="single" w:color="auto" w:sz="6" w:space="0"/>
              <w:right w:val="single" w:color="auto" w:sz="6" w:space="0"/>
            </w:tcBorders>
            <w:noWrap w:val="0"/>
            <w:vAlign w:val="center"/>
          </w:tcPr>
          <w:p w14:paraId="6C6F43B5">
            <w:pPr>
              <w:widowControl/>
              <w:spacing w:line="360" w:lineRule="auto"/>
              <w:jc w:val="left"/>
              <w:rPr>
                <w:rFonts w:ascii="宋体" w:cs="宋体"/>
                <w:sz w:val="21"/>
                <w:szCs w:val="21"/>
                <w:highlight w:val="none"/>
                <w:lang w:val="zh-CN"/>
              </w:rPr>
            </w:pPr>
            <w:r>
              <w:rPr>
                <w:rFonts w:ascii="宋体" w:hAnsi="宋体" w:cs="宋体"/>
                <w:sz w:val="21"/>
                <w:szCs w:val="21"/>
                <w:highlight w:val="none"/>
                <w:lang w:val="zh-CN"/>
              </w:rPr>
              <w:t xml:space="preserve"> </w:t>
            </w:r>
            <w:r>
              <w:rPr>
                <w:rFonts w:hint="eastAsia" w:ascii="宋体" w:hAnsi="宋体" w:cs="宋体"/>
                <w:sz w:val="21"/>
                <w:szCs w:val="21"/>
                <w:highlight w:val="none"/>
                <w:lang w:val="zh-CN"/>
              </w:rPr>
              <w:t>是</w:t>
            </w:r>
            <w:r>
              <w:rPr>
                <w:rFonts w:ascii="宋体" w:hAnsi="宋体" w:cs="宋体"/>
                <w:sz w:val="21"/>
                <w:szCs w:val="21"/>
                <w:highlight w:val="none"/>
                <w:lang w:val="zh-CN"/>
              </w:rPr>
              <w:t xml:space="preserve">             </w:t>
            </w:r>
            <w:r>
              <w:rPr>
                <w:rFonts w:hint="eastAsia" w:ascii="宋体" w:hAnsi="宋体" w:cs="宋体"/>
                <w:sz w:val="21"/>
                <w:szCs w:val="21"/>
                <w:highlight w:val="none"/>
                <w:lang w:val="zh-CN"/>
              </w:rPr>
              <w:t>否</w:t>
            </w:r>
          </w:p>
        </w:tc>
      </w:tr>
    </w:tbl>
    <w:p w14:paraId="23098568">
      <w:pPr>
        <w:spacing w:line="360" w:lineRule="auto"/>
        <w:rPr>
          <w:rFonts w:ascii="宋体" w:hAnsi="宋体" w:cs="宋体"/>
          <w:color w:val="auto"/>
          <w:highlight w:val="none"/>
        </w:rPr>
      </w:pPr>
      <w:r>
        <w:rPr>
          <w:rFonts w:hint="eastAsia" w:ascii="宋体" w:hAnsi="宋体" w:cs="宋体"/>
          <w:color w:val="auto"/>
          <w:highlight w:val="none"/>
        </w:rPr>
        <w:t xml:space="preserve">                                               </w:t>
      </w:r>
    </w:p>
    <w:p w14:paraId="65257048">
      <w:pPr>
        <w:spacing w:line="360" w:lineRule="auto"/>
        <w:ind w:firstLine="420"/>
        <w:jc w:val="left"/>
        <w:rPr>
          <w:rFonts w:ascii="宋体" w:cs="宋体"/>
          <w:szCs w:val="21"/>
          <w:highlight w:val="none"/>
          <w:lang w:val="zh-CN"/>
        </w:rPr>
      </w:pPr>
      <w:r>
        <w:rPr>
          <w:rFonts w:hint="eastAsia" w:ascii="宋体" w:cs="宋体"/>
          <w:szCs w:val="21"/>
          <w:highlight w:val="none"/>
          <w:lang w:val="zh-CN"/>
        </w:rPr>
        <w:t>供应商名称：</w:t>
      </w:r>
      <w:r>
        <w:rPr>
          <w:rFonts w:hint="eastAsia" w:ascii="宋体" w:cs="宋体"/>
          <w:szCs w:val="21"/>
          <w:highlight w:val="none"/>
          <w:u w:val="single"/>
          <w:lang w:val="zh-CN"/>
        </w:rPr>
        <w:t xml:space="preserve">                 </w:t>
      </w:r>
      <w:r>
        <w:rPr>
          <w:rFonts w:hint="eastAsia" w:ascii="宋体" w:cs="宋体"/>
          <w:szCs w:val="21"/>
          <w:highlight w:val="none"/>
          <w:lang w:val="zh-CN"/>
        </w:rPr>
        <w:t>（电子公章）</w:t>
      </w:r>
    </w:p>
    <w:p w14:paraId="2F733DFF">
      <w:pPr>
        <w:widowControl/>
        <w:spacing w:line="360" w:lineRule="auto"/>
        <w:jc w:val="left"/>
        <w:rPr>
          <w:rFonts w:ascii="宋体" w:cs="宋体"/>
          <w:szCs w:val="21"/>
          <w:highlight w:val="none"/>
          <w:lang w:val="zh-CN"/>
        </w:rPr>
      </w:pPr>
      <w:r>
        <w:rPr>
          <w:rFonts w:hint="eastAsia" w:ascii="宋体" w:cs="宋体"/>
          <w:szCs w:val="21"/>
          <w:highlight w:val="none"/>
          <w:lang w:val="zh-CN"/>
        </w:rPr>
        <w:t xml:space="preserve">    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p>
    <w:p w14:paraId="27F14141">
      <w:pPr>
        <w:spacing w:line="360" w:lineRule="auto"/>
        <w:ind w:firstLine="420"/>
        <w:jc w:val="left"/>
        <w:rPr>
          <w:rFonts w:ascii="宋体" w:cs="宋体"/>
          <w:szCs w:val="21"/>
          <w:highlight w:val="none"/>
          <w:lang w:val="zh-CN"/>
        </w:rPr>
      </w:pPr>
      <w:r>
        <w:rPr>
          <w:rFonts w:hint="eastAsia" w:ascii="宋体" w:cs="宋体"/>
          <w:szCs w:val="21"/>
          <w:highlight w:val="none"/>
          <w:lang w:val="zh-CN"/>
        </w:rPr>
        <w:t>日    期：</w:t>
      </w:r>
      <w:r>
        <w:rPr>
          <w:rFonts w:hint="eastAsia" w:ascii="宋体" w:cs="宋体"/>
          <w:szCs w:val="21"/>
          <w:highlight w:val="none"/>
          <w:u w:val="single"/>
          <w:lang w:val="zh-CN"/>
        </w:rPr>
        <w:t xml:space="preserve">       </w:t>
      </w:r>
      <w:r>
        <w:rPr>
          <w:rFonts w:hint="eastAsia" w:ascii="宋体" w:cs="宋体"/>
          <w:szCs w:val="21"/>
          <w:highlight w:val="none"/>
          <w:lang w:val="zh-CN"/>
        </w:rPr>
        <w:t>年</w:t>
      </w:r>
      <w:r>
        <w:rPr>
          <w:rFonts w:hint="eastAsia" w:ascii="宋体" w:cs="宋体"/>
          <w:szCs w:val="21"/>
          <w:highlight w:val="none"/>
          <w:u w:val="single"/>
          <w:lang w:val="zh-CN"/>
        </w:rPr>
        <w:t xml:space="preserve">    </w:t>
      </w:r>
      <w:r>
        <w:rPr>
          <w:rFonts w:hint="eastAsia" w:ascii="宋体" w:cs="宋体"/>
          <w:szCs w:val="21"/>
          <w:highlight w:val="none"/>
          <w:lang w:val="zh-CN"/>
        </w:rPr>
        <w:t>月</w:t>
      </w:r>
      <w:r>
        <w:rPr>
          <w:rFonts w:hint="eastAsia" w:ascii="宋体" w:cs="宋体"/>
          <w:szCs w:val="21"/>
          <w:highlight w:val="none"/>
          <w:u w:val="single"/>
          <w:lang w:val="zh-CN"/>
        </w:rPr>
        <w:t xml:space="preserve">    </w:t>
      </w:r>
      <w:r>
        <w:rPr>
          <w:rFonts w:hint="eastAsia" w:ascii="宋体" w:cs="宋体"/>
          <w:szCs w:val="21"/>
          <w:highlight w:val="none"/>
          <w:lang w:val="zh-CN"/>
        </w:rPr>
        <w:t>日</w:t>
      </w:r>
    </w:p>
    <w:p w14:paraId="67BAA1E3">
      <w:pPr>
        <w:tabs>
          <w:tab w:val="left" w:pos="4860"/>
        </w:tabs>
        <w:spacing w:line="360" w:lineRule="auto"/>
        <w:ind w:right="1560" w:firstLine="420"/>
        <w:jc w:val="center"/>
        <w:outlineLvl w:val="0"/>
        <w:rPr>
          <w:rFonts w:ascii="宋体" w:hAnsi="宋体" w:cs="宋体"/>
          <w:color w:val="auto"/>
          <w:szCs w:val="21"/>
          <w:highlight w:val="none"/>
        </w:rPr>
      </w:pPr>
    </w:p>
    <w:p w14:paraId="48494B84">
      <w:pPr>
        <w:widowControl/>
        <w:spacing w:line="360" w:lineRule="auto"/>
        <w:jc w:val="center"/>
        <w:rPr>
          <w:rFonts w:hint="eastAsia" w:ascii="宋体" w:hAnsi="宋体" w:cs="宋体"/>
          <w:color w:val="auto"/>
          <w:szCs w:val="21"/>
          <w:highlight w:val="none"/>
          <w:lang w:val="en-US" w:eastAsia="zh-CN"/>
        </w:rPr>
      </w:pPr>
    </w:p>
    <w:p w14:paraId="26F6540D">
      <w:pPr>
        <w:widowControl/>
        <w:spacing w:line="360" w:lineRule="auto"/>
        <w:jc w:val="center"/>
        <w:rPr>
          <w:rFonts w:hint="eastAsia" w:ascii="宋体" w:hAnsi="宋体" w:cs="宋体"/>
          <w:color w:val="auto"/>
          <w:szCs w:val="21"/>
          <w:highlight w:val="none"/>
          <w:lang w:val="en-US" w:eastAsia="zh-CN"/>
        </w:rPr>
      </w:pPr>
    </w:p>
    <w:p w14:paraId="6FFA476E">
      <w:pPr>
        <w:widowControl/>
        <w:spacing w:line="360" w:lineRule="auto"/>
        <w:jc w:val="center"/>
        <w:rPr>
          <w:rFonts w:hint="eastAsia" w:ascii="宋体" w:hAnsi="宋体" w:cs="宋体"/>
          <w:color w:val="auto"/>
          <w:szCs w:val="21"/>
          <w:highlight w:val="none"/>
          <w:lang w:val="en-US" w:eastAsia="zh-CN"/>
        </w:rPr>
      </w:pPr>
    </w:p>
    <w:p w14:paraId="156CDF24">
      <w:pPr>
        <w:widowControl/>
        <w:spacing w:line="360" w:lineRule="auto"/>
        <w:jc w:val="center"/>
        <w:rPr>
          <w:rFonts w:hint="eastAsia" w:ascii="宋体" w:hAnsi="宋体" w:cs="宋体"/>
          <w:color w:val="auto"/>
          <w:szCs w:val="21"/>
          <w:highlight w:val="none"/>
          <w:lang w:val="en-US" w:eastAsia="zh-CN"/>
        </w:rPr>
      </w:pPr>
    </w:p>
    <w:p w14:paraId="3579B158">
      <w:pPr>
        <w:widowControl/>
        <w:spacing w:line="360" w:lineRule="auto"/>
        <w:jc w:val="center"/>
        <w:rPr>
          <w:rFonts w:hint="eastAsia" w:ascii="宋体" w:hAnsi="宋体" w:cs="宋体"/>
          <w:color w:val="auto"/>
          <w:szCs w:val="21"/>
          <w:highlight w:val="none"/>
          <w:lang w:val="en-US" w:eastAsia="zh-CN"/>
        </w:rPr>
      </w:pPr>
    </w:p>
    <w:p w14:paraId="626A2EE5">
      <w:pPr>
        <w:widowControl/>
        <w:spacing w:line="360" w:lineRule="auto"/>
        <w:jc w:val="center"/>
        <w:rPr>
          <w:rFonts w:hint="eastAsia" w:ascii="宋体" w:hAnsi="宋体" w:cs="宋体"/>
          <w:color w:val="auto"/>
          <w:szCs w:val="21"/>
          <w:highlight w:val="none"/>
          <w:lang w:val="en-US" w:eastAsia="zh-CN"/>
        </w:rPr>
      </w:pPr>
    </w:p>
    <w:p w14:paraId="7D369420">
      <w:pPr>
        <w:pStyle w:val="62"/>
        <w:rPr>
          <w:rFonts w:hint="eastAsia"/>
          <w:lang w:val="en-US" w:eastAsia="zh-CN"/>
        </w:rPr>
      </w:pPr>
    </w:p>
    <w:p w14:paraId="5BC0DF29">
      <w:pPr>
        <w:widowControl/>
        <w:spacing w:line="360" w:lineRule="auto"/>
        <w:jc w:val="center"/>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分项报价表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215"/>
        <w:gridCol w:w="2307"/>
        <w:gridCol w:w="2182"/>
        <w:gridCol w:w="2182"/>
      </w:tblGrid>
      <w:tr w14:paraId="054E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40" w:type="dxa"/>
          </w:tcPr>
          <w:p w14:paraId="59E8D1AF">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序号</w:t>
            </w:r>
          </w:p>
        </w:tc>
        <w:tc>
          <w:tcPr>
            <w:tcW w:w="1215" w:type="dxa"/>
          </w:tcPr>
          <w:p w14:paraId="3F6681DF">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年份</w:t>
            </w:r>
          </w:p>
        </w:tc>
        <w:tc>
          <w:tcPr>
            <w:tcW w:w="2307" w:type="dxa"/>
            <w:vAlign w:val="top"/>
          </w:tcPr>
          <w:p w14:paraId="746BF50D">
            <w:pPr>
              <w:widowControl/>
              <w:spacing w:line="360" w:lineRule="auto"/>
              <w:jc w:val="center"/>
              <w:rPr>
                <w:rFonts w:hint="eastAsia" w:ascii="宋体" w:hAnsi="宋体" w:cs="宋体"/>
                <w:bCs/>
                <w:szCs w:val="21"/>
                <w:vertAlign w:val="baseline"/>
                <w:lang w:val="en-US" w:eastAsia="zh-CN"/>
              </w:rPr>
            </w:pPr>
            <w:r>
              <w:rPr>
                <w:rFonts w:hint="eastAsia" w:ascii="宋体" w:hAnsi="宋体" w:cs="宋体"/>
                <w:bCs/>
                <w:szCs w:val="21"/>
                <w:vertAlign w:val="baseline"/>
                <w:lang w:val="en-US" w:eastAsia="zh-CN"/>
              </w:rPr>
              <w:t>分项</w:t>
            </w:r>
          </w:p>
        </w:tc>
        <w:tc>
          <w:tcPr>
            <w:tcW w:w="2182" w:type="dxa"/>
          </w:tcPr>
          <w:p w14:paraId="7F5EA2F1">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单价（元）</w:t>
            </w:r>
          </w:p>
        </w:tc>
        <w:tc>
          <w:tcPr>
            <w:tcW w:w="2182" w:type="dxa"/>
          </w:tcPr>
          <w:p w14:paraId="1DD06442">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备注</w:t>
            </w:r>
          </w:p>
        </w:tc>
      </w:tr>
      <w:tr w14:paraId="1BEF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restart"/>
            <w:vAlign w:val="center"/>
          </w:tcPr>
          <w:p w14:paraId="7C3BC62E">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1</w:t>
            </w:r>
          </w:p>
        </w:tc>
        <w:tc>
          <w:tcPr>
            <w:tcW w:w="1215" w:type="dxa"/>
            <w:vMerge w:val="restart"/>
            <w:vAlign w:val="center"/>
          </w:tcPr>
          <w:p w14:paraId="467BFE5A">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2025年</w:t>
            </w:r>
          </w:p>
        </w:tc>
        <w:tc>
          <w:tcPr>
            <w:tcW w:w="2307" w:type="dxa"/>
            <w:vAlign w:val="center"/>
          </w:tcPr>
          <w:p w14:paraId="32C4AC7A">
            <w:pPr>
              <w:widowControl/>
              <w:spacing w:line="360" w:lineRule="auto"/>
              <w:jc w:val="center"/>
              <w:rPr>
                <w:rFonts w:hint="default" w:ascii="宋体" w:hAnsi="宋体" w:eastAsia="宋体" w:cs="宋体"/>
                <w:bCs/>
                <w:szCs w:val="21"/>
                <w:lang w:val="en-US" w:eastAsia="zh-CN"/>
              </w:rPr>
            </w:pPr>
            <w:r>
              <w:rPr>
                <w:rFonts w:hint="default" w:ascii="宋体" w:hAnsi="宋体" w:eastAsia="宋体" w:cs="宋体"/>
                <w:bCs/>
                <w:szCs w:val="21"/>
                <w:lang w:val="en-US" w:eastAsia="zh-CN"/>
              </w:rPr>
              <w:t>库内建设工程档案审核及扫描不少于1.6万卷标准卷</w:t>
            </w:r>
          </w:p>
        </w:tc>
        <w:tc>
          <w:tcPr>
            <w:tcW w:w="2182" w:type="dxa"/>
          </w:tcPr>
          <w:p w14:paraId="240DDA58">
            <w:pPr>
              <w:widowControl/>
              <w:spacing w:line="360" w:lineRule="auto"/>
              <w:jc w:val="center"/>
              <w:rPr>
                <w:rFonts w:hint="default" w:ascii="宋体" w:hAnsi="宋体" w:eastAsia="宋体" w:cs="宋体"/>
                <w:bCs/>
                <w:szCs w:val="21"/>
                <w:vertAlign w:val="baseline"/>
                <w:lang w:val="en-US" w:eastAsia="zh-CN"/>
              </w:rPr>
            </w:pPr>
          </w:p>
        </w:tc>
        <w:tc>
          <w:tcPr>
            <w:tcW w:w="2182" w:type="dxa"/>
          </w:tcPr>
          <w:p w14:paraId="182DE390">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计算公式：2025年报价（万元）/1.6万卷</w:t>
            </w:r>
          </w:p>
        </w:tc>
      </w:tr>
      <w:tr w14:paraId="742B8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vAlign w:val="center"/>
          </w:tcPr>
          <w:p w14:paraId="51BE9BCC">
            <w:pPr>
              <w:widowControl/>
              <w:spacing w:line="360" w:lineRule="auto"/>
              <w:jc w:val="center"/>
              <w:rPr>
                <w:rFonts w:hint="default" w:ascii="宋体" w:hAnsi="宋体" w:eastAsia="宋体" w:cs="宋体"/>
                <w:bCs/>
                <w:szCs w:val="21"/>
                <w:vertAlign w:val="baseline"/>
                <w:lang w:val="en-US" w:eastAsia="zh-CN"/>
              </w:rPr>
            </w:pPr>
          </w:p>
        </w:tc>
        <w:tc>
          <w:tcPr>
            <w:tcW w:w="1215" w:type="dxa"/>
            <w:vMerge w:val="continue"/>
            <w:vAlign w:val="center"/>
          </w:tcPr>
          <w:p w14:paraId="1116B345">
            <w:pPr>
              <w:widowControl/>
              <w:spacing w:line="360" w:lineRule="auto"/>
              <w:jc w:val="center"/>
              <w:rPr>
                <w:rFonts w:hint="default" w:ascii="宋体" w:hAnsi="宋体" w:eastAsia="宋体" w:cs="宋体"/>
                <w:bCs/>
                <w:szCs w:val="21"/>
                <w:vertAlign w:val="baseline"/>
                <w:lang w:val="en-US" w:eastAsia="zh-CN"/>
              </w:rPr>
            </w:pPr>
          </w:p>
        </w:tc>
        <w:tc>
          <w:tcPr>
            <w:tcW w:w="2307" w:type="dxa"/>
            <w:vAlign w:val="center"/>
          </w:tcPr>
          <w:p w14:paraId="66A25D6C">
            <w:pPr>
              <w:widowControl/>
              <w:spacing w:line="360" w:lineRule="auto"/>
              <w:jc w:val="center"/>
              <w:rPr>
                <w:rFonts w:hint="default" w:ascii="宋体" w:hAnsi="宋体" w:eastAsia="宋体" w:cs="宋体"/>
                <w:bCs/>
                <w:szCs w:val="21"/>
                <w:lang w:val="en-US" w:eastAsia="zh-CN"/>
              </w:rPr>
            </w:pPr>
            <w:r>
              <w:rPr>
                <w:rFonts w:hint="default" w:ascii="宋体" w:hAnsi="宋体" w:eastAsia="宋体" w:cs="宋体"/>
                <w:bCs/>
                <w:szCs w:val="21"/>
                <w:lang w:val="en-US" w:eastAsia="zh-CN"/>
              </w:rPr>
              <w:t>完成库内建设工程档案扫描不少于1.88万卷</w:t>
            </w:r>
          </w:p>
        </w:tc>
        <w:tc>
          <w:tcPr>
            <w:tcW w:w="2182" w:type="dxa"/>
          </w:tcPr>
          <w:p w14:paraId="5C87462D">
            <w:pPr>
              <w:widowControl/>
              <w:spacing w:line="360" w:lineRule="auto"/>
              <w:jc w:val="center"/>
              <w:rPr>
                <w:rFonts w:hint="default" w:ascii="宋体" w:hAnsi="宋体" w:eastAsia="宋体" w:cs="宋体"/>
                <w:bCs/>
                <w:szCs w:val="21"/>
                <w:vertAlign w:val="baseline"/>
                <w:lang w:val="en-US" w:eastAsia="zh-CN"/>
              </w:rPr>
            </w:pPr>
          </w:p>
        </w:tc>
        <w:tc>
          <w:tcPr>
            <w:tcW w:w="2182" w:type="dxa"/>
          </w:tcPr>
          <w:p w14:paraId="06AA66EB">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计算公式：2025年报价（万元）/1.88</w:t>
            </w:r>
            <w:r>
              <w:rPr>
                <w:rFonts w:hint="default" w:ascii="宋体" w:hAnsi="宋体" w:eastAsia="宋体" w:cs="宋体"/>
                <w:bCs/>
                <w:szCs w:val="21"/>
                <w:lang w:val="en-US" w:eastAsia="zh-CN"/>
              </w:rPr>
              <w:t>万卷</w:t>
            </w:r>
          </w:p>
        </w:tc>
      </w:tr>
      <w:tr w14:paraId="40C3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40" w:type="dxa"/>
            <w:vMerge w:val="restart"/>
            <w:vAlign w:val="center"/>
          </w:tcPr>
          <w:p w14:paraId="51440D71">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2</w:t>
            </w:r>
          </w:p>
        </w:tc>
        <w:tc>
          <w:tcPr>
            <w:tcW w:w="1215" w:type="dxa"/>
            <w:vMerge w:val="restart"/>
            <w:vAlign w:val="center"/>
          </w:tcPr>
          <w:p w14:paraId="06004928">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2026年</w:t>
            </w:r>
          </w:p>
        </w:tc>
        <w:tc>
          <w:tcPr>
            <w:tcW w:w="2307" w:type="dxa"/>
            <w:vAlign w:val="center"/>
          </w:tcPr>
          <w:p w14:paraId="5FD4B431">
            <w:pPr>
              <w:widowControl/>
              <w:spacing w:line="360" w:lineRule="auto"/>
              <w:jc w:val="center"/>
              <w:rPr>
                <w:rFonts w:hint="default" w:ascii="宋体" w:hAnsi="宋体" w:eastAsia="宋体" w:cs="宋体"/>
                <w:bCs/>
                <w:szCs w:val="21"/>
                <w:lang w:val="en-US" w:eastAsia="zh-CN"/>
              </w:rPr>
            </w:pPr>
            <w:r>
              <w:rPr>
                <w:rFonts w:hint="default" w:ascii="宋体" w:hAnsi="宋体" w:eastAsia="宋体" w:cs="宋体"/>
                <w:bCs/>
                <w:szCs w:val="21"/>
                <w:lang w:val="en-US" w:eastAsia="zh-CN"/>
              </w:rPr>
              <w:t>库内建设工程档案审核及扫描不少于1.</w:t>
            </w:r>
            <w:r>
              <w:rPr>
                <w:rFonts w:hint="eastAsia" w:ascii="宋体" w:hAnsi="宋体" w:cs="宋体"/>
                <w:bCs/>
                <w:szCs w:val="21"/>
                <w:lang w:val="en-US" w:eastAsia="zh-CN"/>
              </w:rPr>
              <w:t>8</w:t>
            </w:r>
            <w:r>
              <w:rPr>
                <w:rFonts w:hint="default" w:ascii="宋体" w:hAnsi="宋体" w:eastAsia="宋体" w:cs="宋体"/>
                <w:bCs/>
                <w:szCs w:val="21"/>
                <w:lang w:val="en-US" w:eastAsia="zh-CN"/>
              </w:rPr>
              <w:t>万卷标准卷</w:t>
            </w:r>
          </w:p>
        </w:tc>
        <w:tc>
          <w:tcPr>
            <w:tcW w:w="2182" w:type="dxa"/>
          </w:tcPr>
          <w:p w14:paraId="6B5B4794">
            <w:pPr>
              <w:widowControl/>
              <w:spacing w:line="360" w:lineRule="auto"/>
              <w:jc w:val="center"/>
              <w:rPr>
                <w:rFonts w:hint="default" w:ascii="宋体" w:hAnsi="宋体" w:eastAsia="宋体" w:cs="宋体"/>
                <w:bCs/>
                <w:szCs w:val="21"/>
                <w:vertAlign w:val="baseline"/>
                <w:lang w:val="en-US" w:eastAsia="zh-CN"/>
              </w:rPr>
            </w:pPr>
          </w:p>
        </w:tc>
        <w:tc>
          <w:tcPr>
            <w:tcW w:w="2182" w:type="dxa"/>
            <w:vAlign w:val="top"/>
          </w:tcPr>
          <w:p w14:paraId="271CCEA6">
            <w:pPr>
              <w:widowControl/>
              <w:spacing w:line="360" w:lineRule="auto"/>
              <w:jc w:val="center"/>
              <w:rPr>
                <w:rFonts w:hint="eastAsia" w:ascii="宋体" w:hAnsi="宋体" w:cs="宋体"/>
                <w:bCs/>
                <w:szCs w:val="21"/>
                <w:vertAlign w:val="baseline"/>
                <w:lang w:val="en-US" w:eastAsia="zh-CN"/>
              </w:rPr>
            </w:pPr>
            <w:r>
              <w:rPr>
                <w:rFonts w:hint="eastAsia" w:ascii="宋体" w:hAnsi="宋体" w:cs="宋体"/>
                <w:bCs/>
                <w:szCs w:val="21"/>
                <w:vertAlign w:val="baseline"/>
                <w:lang w:val="en-US" w:eastAsia="zh-CN"/>
              </w:rPr>
              <w:t>计算公式：2026年报价（万元）/1.8万卷</w:t>
            </w:r>
          </w:p>
        </w:tc>
      </w:tr>
      <w:tr w14:paraId="1807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vAlign w:val="center"/>
          </w:tcPr>
          <w:p w14:paraId="7CE1E5B6">
            <w:pPr>
              <w:widowControl/>
              <w:spacing w:line="360" w:lineRule="auto"/>
              <w:jc w:val="center"/>
              <w:rPr>
                <w:rFonts w:hint="default" w:ascii="宋体" w:hAnsi="宋体" w:eastAsia="宋体" w:cs="宋体"/>
                <w:bCs/>
                <w:szCs w:val="21"/>
                <w:vertAlign w:val="baseline"/>
                <w:lang w:val="en-US" w:eastAsia="zh-CN"/>
              </w:rPr>
            </w:pPr>
          </w:p>
        </w:tc>
        <w:tc>
          <w:tcPr>
            <w:tcW w:w="1215" w:type="dxa"/>
            <w:vMerge w:val="continue"/>
            <w:vAlign w:val="center"/>
          </w:tcPr>
          <w:p w14:paraId="4A8AFF0E">
            <w:pPr>
              <w:widowControl/>
              <w:spacing w:line="360" w:lineRule="auto"/>
              <w:jc w:val="center"/>
              <w:rPr>
                <w:rFonts w:hint="default" w:ascii="宋体" w:hAnsi="宋体" w:eastAsia="宋体" w:cs="宋体"/>
                <w:bCs/>
                <w:szCs w:val="21"/>
                <w:vertAlign w:val="baseline"/>
                <w:lang w:val="en-US" w:eastAsia="zh-CN"/>
              </w:rPr>
            </w:pPr>
          </w:p>
        </w:tc>
        <w:tc>
          <w:tcPr>
            <w:tcW w:w="2307" w:type="dxa"/>
            <w:vAlign w:val="center"/>
          </w:tcPr>
          <w:p w14:paraId="1DD6CDEA">
            <w:pPr>
              <w:widowControl/>
              <w:spacing w:line="360" w:lineRule="auto"/>
              <w:jc w:val="center"/>
              <w:rPr>
                <w:rFonts w:hint="default" w:ascii="宋体" w:hAnsi="宋体" w:eastAsia="宋体" w:cs="宋体"/>
                <w:bCs/>
                <w:szCs w:val="21"/>
                <w:lang w:val="en-US" w:eastAsia="zh-CN"/>
              </w:rPr>
            </w:pPr>
            <w:r>
              <w:rPr>
                <w:rFonts w:hint="default" w:ascii="宋体" w:hAnsi="宋体" w:eastAsia="宋体" w:cs="宋体"/>
                <w:bCs/>
                <w:szCs w:val="21"/>
                <w:lang w:val="en-US" w:eastAsia="zh-CN"/>
              </w:rPr>
              <w:t>完成库内建设工程档案扫描不少于2.117万卷</w:t>
            </w:r>
          </w:p>
        </w:tc>
        <w:tc>
          <w:tcPr>
            <w:tcW w:w="2182" w:type="dxa"/>
          </w:tcPr>
          <w:p w14:paraId="5CCF332A">
            <w:pPr>
              <w:widowControl/>
              <w:spacing w:line="360" w:lineRule="auto"/>
              <w:jc w:val="center"/>
              <w:rPr>
                <w:rFonts w:hint="default" w:ascii="宋体" w:hAnsi="宋体" w:eastAsia="宋体" w:cs="宋体"/>
                <w:bCs/>
                <w:szCs w:val="21"/>
                <w:vertAlign w:val="baseline"/>
                <w:lang w:val="en-US" w:eastAsia="zh-CN"/>
              </w:rPr>
            </w:pPr>
          </w:p>
        </w:tc>
        <w:tc>
          <w:tcPr>
            <w:tcW w:w="2182" w:type="dxa"/>
            <w:vAlign w:val="top"/>
          </w:tcPr>
          <w:p w14:paraId="28A80F83">
            <w:pPr>
              <w:widowControl/>
              <w:spacing w:line="360" w:lineRule="auto"/>
              <w:jc w:val="center"/>
              <w:rPr>
                <w:rFonts w:hint="eastAsia" w:ascii="宋体" w:hAnsi="宋体" w:cs="宋体"/>
                <w:bCs/>
                <w:szCs w:val="21"/>
                <w:vertAlign w:val="baseline"/>
                <w:lang w:val="en-US" w:eastAsia="zh-CN"/>
              </w:rPr>
            </w:pPr>
            <w:r>
              <w:rPr>
                <w:rFonts w:hint="eastAsia" w:ascii="宋体" w:hAnsi="宋体" w:cs="宋体"/>
                <w:bCs/>
                <w:szCs w:val="21"/>
                <w:vertAlign w:val="baseline"/>
                <w:lang w:val="en-US" w:eastAsia="zh-CN"/>
              </w:rPr>
              <w:t>计算公式：2026年报价（万元）/2.117</w:t>
            </w:r>
            <w:r>
              <w:rPr>
                <w:rFonts w:hint="default" w:ascii="宋体" w:hAnsi="宋体" w:eastAsia="宋体" w:cs="宋体"/>
                <w:bCs/>
                <w:szCs w:val="21"/>
                <w:lang w:val="en-US" w:eastAsia="zh-CN"/>
              </w:rPr>
              <w:t>万卷</w:t>
            </w:r>
          </w:p>
        </w:tc>
      </w:tr>
      <w:tr w14:paraId="286C0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restart"/>
            <w:vAlign w:val="center"/>
          </w:tcPr>
          <w:p w14:paraId="1713BD52">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3</w:t>
            </w:r>
          </w:p>
        </w:tc>
        <w:tc>
          <w:tcPr>
            <w:tcW w:w="1215" w:type="dxa"/>
            <w:vMerge w:val="restart"/>
            <w:vAlign w:val="center"/>
          </w:tcPr>
          <w:p w14:paraId="4FA2D2C3">
            <w:pPr>
              <w:widowControl/>
              <w:spacing w:line="360" w:lineRule="auto"/>
              <w:jc w:val="center"/>
              <w:rPr>
                <w:rFonts w:hint="default" w:ascii="宋体" w:hAnsi="宋体" w:eastAsia="宋体" w:cs="宋体"/>
                <w:bCs/>
                <w:szCs w:val="21"/>
                <w:vertAlign w:val="baseline"/>
                <w:lang w:val="en-US" w:eastAsia="zh-CN"/>
              </w:rPr>
            </w:pPr>
            <w:r>
              <w:rPr>
                <w:rFonts w:hint="eastAsia" w:ascii="宋体" w:hAnsi="宋体" w:cs="宋体"/>
                <w:bCs/>
                <w:szCs w:val="21"/>
                <w:vertAlign w:val="baseline"/>
                <w:lang w:val="en-US" w:eastAsia="zh-CN"/>
              </w:rPr>
              <w:t>2027年</w:t>
            </w:r>
          </w:p>
        </w:tc>
        <w:tc>
          <w:tcPr>
            <w:tcW w:w="2307" w:type="dxa"/>
            <w:vAlign w:val="center"/>
          </w:tcPr>
          <w:p w14:paraId="64EFE94D">
            <w:pPr>
              <w:widowControl/>
              <w:spacing w:line="360" w:lineRule="auto"/>
              <w:jc w:val="center"/>
              <w:rPr>
                <w:rFonts w:hint="default" w:ascii="宋体" w:hAnsi="宋体" w:eastAsia="宋体" w:cs="宋体"/>
                <w:bCs/>
                <w:szCs w:val="21"/>
                <w:lang w:val="en-US" w:eastAsia="zh-CN"/>
              </w:rPr>
            </w:pPr>
            <w:r>
              <w:rPr>
                <w:rFonts w:hint="default" w:ascii="宋体" w:hAnsi="宋体" w:eastAsia="宋体" w:cs="宋体"/>
                <w:bCs/>
                <w:szCs w:val="21"/>
                <w:lang w:val="en-US" w:eastAsia="zh-CN"/>
              </w:rPr>
              <w:t>库内建设工程档案审核及扫描不少于1.</w:t>
            </w:r>
            <w:r>
              <w:rPr>
                <w:rFonts w:hint="eastAsia" w:ascii="宋体" w:hAnsi="宋体" w:cs="宋体"/>
                <w:bCs/>
                <w:szCs w:val="21"/>
                <w:lang w:val="en-US" w:eastAsia="zh-CN"/>
              </w:rPr>
              <w:t>8</w:t>
            </w:r>
            <w:r>
              <w:rPr>
                <w:rFonts w:hint="default" w:ascii="宋体" w:hAnsi="宋体" w:eastAsia="宋体" w:cs="宋体"/>
                <w:bCs/>
                <w:szCs w:val="21"/>
                <w:lang w:val="en-US" w:eastAsia="zh-CN"/>
              </w:rPr>
              <w:t>万卷标准卷</w:t>
            </w:r>
          </w:p>
        </w:tc>
        <w:tc>
          <w:tcPr>
            <w:tcW w:w="2182" w:type="dxa"/>
          </w:tcPr>
          <w:p w14:paraId="489927C9">
            <w:pPr>
              <w:widowControl/>
              <w:spacing w:line="360" w:lineRule="auto"/>
              <w:jc w:val="center"/>
              <w:rPr>
                <w:rFonts w:hint="default" w:ascii="宋体" w:hAnsi="宋体" w:eastAsia="宋体" w:cs="宋体"/>
                <w:bCs/>
                <w:szCs w:val="21"/>
                <w:vertAlign w:val="baseline"/>
                <w:lang w:val="en-US" w:eastAsia="zh-CN"/>
              </w:rPr>
            </w:pPr>
          </w:p>
        </w:tc>
        <w:tc>
          <w:tcPr>
            <w:tcW w:w="2182" w:type="dxa"/>
            <w:vAlign w:val="top"/>
          </w:tcPr>
          <w:p w14:paraId="464F82DE">
            <w:pPr>
              <w:widowControl/>
              <w:spacing w:line="360" w:lineRule="auto"/>
              <w:jc w:val="center"/>
              <w:rPr>
                <w:rFonts w:hint="eastAsia" w:ascii="宋体" w:hAnsi="宋体" w:cs="宋体"/>
                <w:bCs/>
                <w:szCs w:val="21"/>
                <w:vertAlign w:val="baseline"/>
                <w:lang w:val="en-US" w:eastAsia="zh-CN"/>
              </w:rPr>
            </w:pPr>
            <w:r>
              <w:rPr>
                <w:rFonts w:hint="eastAsia" w:ascii="宋体" w:hAnsi="宋体" w:cs="宋体"/>
                <w:bCs/>
                <w:szCs w:val="21"/>
                <w:vertAlign w:val="baseline"/>
                <w:lang w:val="en-US" w:eastAsia="zh-CN"/>
              </w:rPr>
              <w:t>计算公式：2026年报价（万元）/1.8万卷</w:t>
            </w:r>
          </w:p>
        </w:tc>
      </w:tr>
      <w:tr w14:paraId="5CC6D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vAlign w:val="center"/>
          </w:tcPr>
          <w:p w14:paraId="51096295">
            <w:pPr>
              <w:widowControl/>
              <w:spacing w:line="360" w:lineRule="auto"/>
              <w:jc w:val="center"/>
              <w:rPr>
                <w:rFonts w:hint="default" w:ascii="宋体" w:hAnsi="宋体" w:eastAsia="宋体" w:cs="宋体"/>
                <w:bCs/>
                <w:szCs w:val="21"/>
                <w:vertAlign w:val="baseline"/>
                <w:lang w:val="en-US" w:eastAsia="zh-CN"/>
              </w:rPr>
            </w:pPr>
          </w:p>
        </w:tc>
        <w:tc>
          <w:tcPr>
            <w:tcW w:w="1215" w:type="dxa"/>
            <w:vMerge w:val="continue"/>
            <w:vAlign w:val="center"/>
          </w:tcPr>
          <w:p w14:paraId="6F90752A">
            <w:pPr>
              <w:widowControl/>
              <w:spacing w:line="360" w:lineRule="auto"/>
              <w:jc w:val="center"/>
              <w:rPr>
                <w:rFonts w:hint="default" w:ascii="宋体" w:hAnsi="宋体" w:eastAsia="宋体" w:cs="宋体"/>
                <w:bCs/>
                <w:szCs w:val="21"/>
                <w:vertAlign w:val="baseline"/>
                <w:lang w:val="en-US" w:eastAsia="zh-CN"/>
              </w:rPr>
            </w:pPr>
          </w:p>
        </w:tc>
        <w:tc>
          <w:tcPr>
            <w:tcW w:w="2307" w:type="dxa"/>
            <w:vAlign w:val="center"/>
          </w:tcPr>
          <w:p w14:paraId="0023D8C3">
            <w:pPr>
              <w:widowControl/>
              <w:spacing w:line="360" w:lineRule="auto"/>
              <w:jc w:val="center"/>
              <w:rPr>
                <w:rFonts w:hint="default" w:ascii="宋体" w:hAnsi="宋体" w:eastAsia="宋体" w:cs="宋体"/>
                <w:bCs/>
                <w:szCs w:val="21"/>
                <w:lang w:val="en-US" w:eastAsia="zh-CN"/>
              </w:rPr>
            </w:pPr>
            <w:r>
              <w:rPr>
                <w:rFonts w:hint="default" w:ascii="宋体" w:hAnsi="宋体" w:eastAsia="宋体" w:cs="宋体"/>
                <w:bCs/>
                <w:szCs w:val="21"/>
                <w:lang w:val="en-US" w:eastAsia="zh-CN"/>
              </w:rPr>
              <w:t>完成库内建设工程档案扫描不少于2.117万卷</w:t>
            </w:r>
          </w:p>
        </w:tc>
        <w:tc>
          <w:tcPr>
            <w:tcW w:w="2182" w:type="dxa"/>
          </w:tcPr>
          <w:p w14:paraId="57FE7F6B">
            <w:pPr>
              <w:widowControl/>
              <w:spacing w:line="360" w:lineRule="auto"/>
              <w:jc w:val="center"/>
              <w:rPr>
                <w:rFonts w:hint="default" w:ascii="宋体" w:hAnsi="宋体" w:eastAsia="宋体" w:cs="宋体"/>
                <w:bCs/>
                <w:szCs w:val="21"/>
                <w:vertAlign w:val="baseline"/>
                <w:lang w:val="en-US" w:eastAsia="zh-CN"/>
              </w:rPr>
            </w:pPr>
          </w:p>
        </w:tc>
        <w:tc>
          <w:tcPr>
            <w:tcW w:w="2182" w:type="dxa"/>
            <w:vAlign w:val="top"/>
          </w:tcPr>
          <w:p w14:paraId="6F434BBE">
            <w:pPr>
              <w:widowControl/>
              <w:spacing w:line="360" w:lineRule="auto"/>
              <w:jc w:val="center"/>
              <w:rPr>
                <w:rFonts w:hint="eastAsia" w:ascii="宋体" w:hAnsi="宋体" w:cs="宋体"/>
                <w:bCs/>
                <w:szCs w:val="21"/>
                <w:vertAlign w:val="baseline"/>
                <w:lang w:val="en-US" w:eastAsia="zh-CN"/>
              </w:rPr>
            </w:pPr>
            <w:r>
              <w:rPr>
                <w:rFonts w:hint="eastAsia" w:ascii="宋体" w:hAnsi="宋体" w:cs="宋体"/>
                <w:bCs/>
                <w:szCs w:val="21"/>
                <w:vertAlign w:val="baseline"/>
                <w:lang w:val="en-US" w:eastAsia="zh-CN"/>
              </w:rPr>
              <w:t>计算公式：2026年报价（万元）/2.117</w:t>
            </w:r>
            <w:r>
              <w:rPr>
                <w:rFonts w:hint="default" w:ascii="宋体" w:hAnsi="宋体" w:eastAsia="宋体" w:cs="宋体"/>
                <w:bCs/>
                <w:szCs w:val="21"/>
                <w:lang w:val="en-US" w:eastAsia="zh-CN"/>
              </w:rPr>
              <w:t>万卷</w:t>
            </w:r>
          </w:p>
        </w:tc>
      </w:tr>
    </w:tbl>
    <w:p w14:paraId="0CFC5370">
      <w:pPr>
        <w:spacing w:line="360" w:lineRule="auto"/>
        <w:ind w:firstLine="420"/>
        <w:jc w:val="left"/>
        <w:rPr>
          <w:rFonts w:ascii="宋体" w:cs="宋体"/>
          <w:szCs w:val="21"/>
          <w:highlight w:val="none"/>
          <w:lang w:val="zh-CN"/>
        </w:rPr>
      </w:pPr>
      <w:r>
        <w:rPr>
          <w:rFonts w:hint="eastAsia" w:ascii="宋体" w:cs="宋体"/>
          <w:szCs w:val="21"/>
          <w:highlight w:val="none"/>
          <w:lang w:val="zh-CN"/>
        </w:rPr>
        <w:t>供应商名称：</w:t>
      </w:r>
      <w:r>
        <w:rPr>
          <w:rFonts w:hint="eastAsia" w:ascii="宋体" w:cs="宋体"/>
          <w:szCs w:val="21"/>
          <w:highlight w:val="none"/>
          <w:u w:val="single"/>
          <w:lang w:val="zh-CN"/>
        </w:rPr>
        <w:t xml:space="preserve">                 </w:t>
      </w:r>
      <w:r>
        <w:rPr>
          <w:rFonts w:hint="eastAsia" w:ascii="宋体" w:cs="宋体"/>
          <w:szCs w:val="21"/>
          <w:highlight w:val="none"/>
          <w:lang w:val="zh-CN"/>
        </w:rPr>
        <w:t>（电子公章）</w:t>
      </w:r>
    </w:p>
    <w:p w14:paraId="550EDDDB">
      <w:pPr>
        <w:widowControl/>
        <w:spacing w:line="360" w:lineRule="auto"/>
        <w:jc w:val="left"/>
        <w:rPr>
          <w:rFonts w:ascii="宋体" w:cs="宋体"/>
          <w:szCs w:val="21"/>
          <w:highlight w:val="none"/>
          <w:lang w:val="zh-CN"/>
        </w:rPr>
      </w:pPr>
      <w:r>
        <w:rPr>
          <w:rFonts w:hint="eastAsia" w:ascii="宋体" w:cs="宋体"/>
          <w:szCs w:val="21"/>
          <w:highlight w:val="none"/>
          <w:lang w:val="zh-CN"/>
        </w:rPr>
        <w:t xml:space="preserve">    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p>
    <w:p w14:paraId="1FECC097">
      <w:pPr>
        <w:spacing w:line="360" w:lineRule="auto"/>
        <w:ind w:firstLine="420"/>
        <w:jc w:val="left"/>
        <w:rPr>
          <w:rFonts w:ascii="宋体" w:cs="宋体"/>
          <w:szCs w:val="21"/>
          <w:highlight w:val="none"/>
          <w:lang w:val="zh-CN"/>
        </w:rPr>
      </w:pPr>
      <w:r>
        <w:rPr>
          <w:rFonts w:hint="eastAsia" w:ascii="宋体" w:cs="宋体"/>
          <w:szCs w:val="21"/>
          <w:highlight w:val="none"/>
          <w:lang w:val="zh-CN"/>
        </w:rPr>
        <w:t>日    期：</w:t>
      </w:r>
      <w:r>
        <w:rPr>
          <w:rFonts w:hint="eastAsia" w:ascii="宋体" w:cs="宋体"/>
          <w:szCs w:val="21"/>
          <w:highlight w:val="none"/>
          <w:u w:val="single"/>
          <w:lang w:val="zh-CN"/>
        </w:rPr>
        <w:t xml:space="preserve">       </w:t>
      </w:r>
      <w:r>
        <w:rPr>
          <w:rFonts w:hint="eastAsia" w:ascii="宋体" w:cs="宋体"/>
          <w:szCs w:val="21"/>
          <w:highlight w:val="none"/>
          <w:lang w:val="zh-CN"/>
        </w:rPr>
        <w:t>年</w:t>
      </w:r>
      <w:r>
        <w:rPr>
          <w:rFonts w:hint="eastAsia" w:ascii="宋体" w:cs="宋体"/>
          <w:szCs w:val="21"/>
          <w:highlight w:val="none"/>
          <w:u w:val="single"/>
          <w:lang w:val="zh-CN"/>
        </w:rPr>
        <w:t xml:space="preserve">    </w:t>
      </w:r>
      <w:r>
        <w:rPr>
          <w:rFonts w:hint="eastAsia" w:ascii="宋体" w:cs="宋体"/>
          <w:szCs w:val="21"/>
          <w:highlight w:val="none"/>
          <w:lang w:val="zh-CN"/>
        </w:rPr>
        <w:t>月</w:t>
      </w:r>
      <w:r>
        <w:rPr>
          <w:rFonts w:hint="eastAsia" w:ascii="宋体" w:cs="宋体"/>
          <w:szCs w:val="21"/>
          <w:highlight w:val="none"/>
          <w:u w:val="single"/>
          <w:lang w:val="zh-CN"/>
        </w:rPr>
        <w:t xml:space="preserve">    </w:t>
      </w:r>
      <w:r>
        <w:rPr>
          <w:rFonts w:hint="eastAsia" w:ascii="宋体" w:cs="宋体"/>
          <w:szCs w:val="21"/>
          <w:highlight w:val="none"/>
          <w:lang w:val="zh-CN"/>
        </w:rPr>
        <w:t>日</w:t>
      </w:r>
    </w:p>
    <w:p w14:paraId="1F874D00">
      <w:pPr>
        <w:widowControl/>
        <w:spacing w:line="360" w:lineRule="auto"/>
        <w:jc w:val="center"/>
        <w:rPr>
          <w:rFonts w:hint="default" w:ascii="宋体" w:hAnsi="宋体" w:eastAsia="宋体" w:cs="宋体"/>
          <w:bCs/>
          <w:szCs w:val="21"/>
          <w:lang w:val="en-US" w:eastAsia="zh-CN"/>
        </w:rPr>
      </w:pPr>
    </w:p>
    <w:p w14:paraId="30724FD6">
      <w:pPr>
        <w:widowControl/>
        <w:spacing w:line="360" w:lineRule="auto"/>
        <w:jc w:val="center"/>
        <w:rPr>
          <w:rFonts w:hint="default" w:ascii="Times New Roman" w:hAnsi="Times New Roman" w:eastAsia="宋体" w:cs="Times New Roman"/>
          <w:b/>
          <w:bCs/>
          <w:color w:val="auto"/>
          <w:sz w:val="28"/>
          <w:szCs w:val="28"/>
          <w:lang w:val="zh-CN"/>
        </w:rPr>
      </w:pPr>
      <w:r>
        <w:rPr>
          <w:rFonts w:hint="eastAsia" w:ascii="宋体" w:hAnsi="宋体" w:eastAsia="宋体" w:cs="宋体"/>
          <w:b/>
          <w:bCs w:val="0"/>
          <w:color w:val="auto"/>
          <w:sz w:val="32"/>
          <w:szCs w:val="32"/>
          <w:highlight w:val="none"/>
          <w:lang w:val="en-US" w:eastAsia="zh-CN" w:bidi="ar-SA"/>
        </w:rPr>
        <w:t>四、</w:t>
      </w:r>
      <w:r>
        <w:rPr>
          <w:rFonts w:hint="default" w:ascii="Times New Roman" w:hAnsi="Times New Roman" w:eastAsia="宋体" w:cs="Times New Roman"/>
          <w:b/>
          <w:bCs/>
          <w:color w:val="auto"/>
          <w:sz w:val="28"/>
          <w:szCs w:val="28"/>
          <w:lang w:val="zh-CN"/>
        </w:rPr>
        <w:t>资格证明文件</w:t>
      </w:r>
    </w:p>
    <w:p w14:paraId="799832EC">
      <w:pPr>
        <w:pStyle w:val="56"/>
        <w:numPr>
          <w:ilvl w:val="0"/>
          <w:numId w:val="5"/>
        </w:numPr>
        <w:ind w:left="0" w:firstLine="422" w:firstLineChars="0"/>
        <w:rPr>
          <w:rFonts w:ascii="宋体" w:eastAsia="宋体"/>
          <w:b/>
          <w:color w:val="000000"/>
          <w:sz w:val="21"/>
          <w:szCs w:val="21"/>
          <w:lang w:val="en-US"/>
        </w:rPr>
      </w:pPr>
      <w:r>
        <w:rPr>
          <w:rFonts w:hint="eastAsia" w:ascii="宋体" w:eastAsia="宋体"/>
          <w:b/>
          <w:color w:val="000000"/>
          <w:sz w:val="21"/>
          <w:szCs w:val="21"/>
          <w:lang w:val="en-US"/>
        </w:rPr>
        <w:t>营业执照</w:t>
      </w:r>
    </w:p>
    <w:p w14:paraId="3107B9D7">
      <w:pPr>
        <w:pStyle w:val="56"/>
        <w:numPr>
          <w:ilvl w:val="0"/>
          <w:numId w:val="5"/>
        </w:numPr>
        <w:ind w:left="0" w:firstLine="422" w:firstLineChars="0"/>
        <w:rPr>
          <w:rFonts w:ascii="宋体" w:eastAsia="宋体"/>
          <w:b/>
          <w:color w:val="000000"/>
          <w:sz w:val="21"/>
          <w:szCs w:val="21"/>
          <w:lang w:val="en-US"/>
        </w:rPr>
      </w:pPr>
      <w:r>
        <w:rPr>
          <w:rFonts w:hint="eastAsia" w:ascii="宋体" w:eastAsia="宋体"/>
          <w:b/>
          <w:color w:val="000000"/>
          <w:sz w:val="21"/>
          <w:szCs w:val="21"/>
          <w:lang w:val="en-US"/>
        </w:rPr>
        <w:t>其他相关内容</w:t>
      </w:r>
    </w:p>
    <w:p w14:paraId="6F3DD8E5">
      <w:pPr>
        <w:spacing w:line="360" w:lineRule="auto"/>
        <w:jc w:val="center"/>
        <w:outlineLvl w:val="0"/>
        <w:rPr>
          <w:rFonts w:ascii="宋体" w:cs="宋体"/>
          <w:b/>
          <w:szCs w:val="21"/>
        </w:rPr>
      </w:pPr>
      <w:r>
        <w:rPr>
          <w:rFonts w:hint="eastAsia" w:ascii="宋体" w:cs="宋体"/>
          <w:color w:val="000000"/>
          <w:kern w:val="0"/>
          <w:szCs w:val="21"/>
          <w:lang w:val="zh-CN"/>
        </w:rPr>
        <w:t>（按</w:t>
      </w:r>
      <w:r>
        <w:rPr>
          <w:rFonts w:hint="eastAsia" w:ascii="宋体" w:cs="宋体"/>
          <w:color w:val="000000"/>
          <w:kern w:val="0"/>
          <w:szCs w:val="21"/>
          <w:lang w:val="en-US" w:eastAsia="zh-CN"/>
        </w:rPr>
        <w:t>竞争性招标文件</w:t>
      </w:r>
      <w:r>
        <w:rPr>
          <w:rFonts w:hint="eastAsia" w:ascii="宋体" w:cs="宋体"/>
          <w:color w:val="000000"/>
          <w:kern w:val="0"/>
          <w:szCs w:val="21"/>
          <w:lang w:val="zh-CN"/>
        </w:rPr>
        <w:t>要求逐条提供）</w:t>
      </w:r>
    </w:p>
    <w:p w14:paraId="662A9F6D">
      <w:pPr>
        <w:pStyle w:val="247"/>
        <w:spacing w:line="360" w:lineRule="auto"/>
        <w:jc w:val="center"/>
        <w:outlineLvl w:val="0"/>
        <w:rPr>
          <w:rFonts w:ascii="宋体" w:hAnsi="宋体" w:cs="宋体"/>
          <w:bCs w:val="0"/>
          <w:color w:val="auto"/>
          <w:highlight w:val="none"/>
        </w:rPr>
      </w:pPr>
      <w:r>
        <w:rPr>
          <w:rFonts w:hint="eastAsia" w:ascii="宋体" w:hAnsi="宋体" w:cs="宋体"/>
          <w:bCs w:val="0"/>
          <w:color w:val="auto"/>
          <w:highlight w:val="none"/>
          <w:lang w:val="en-US" w:eastAsia="zh-CN"/>
        </w:rPr>
        <w:t>五、</w:t>
      </w:r>
      <w:r>
        <w:rPr>
          <w:rFonts w:hint="eastAsia" w:ascii="宋体" w:hAnsi="宋体" w:cs="宋体"/>
          <w:bCs w:val="0"/>
          <w:color w:val="auto"/>
          <w:highlight w:val="none"/>
        </w:rPr>
        <w:t>技术</w:t>
      </w:r>
      <w:r>
        <w:rPr>
          <w:rFonts w:hint="eastAsia" w:ascii="宋体" w:hAnsi="宋体" w:cs="宋体"/>
          <w:bCs w:val="0"/>
          <w:color w:val="auto"/>
          <w:highlight w:val="none"/>
          <w:lang w:val="en-US" w:eastAsia="zh-CN"/>
        </w:rPr>
        <w:t>条款</w:t>
      </w:r>
      <w:r>
        <w:rPr>
          <w:rFonts w:hint="eastAsia" w:ascii="宋体" w:hAnsi="宋体" w:cs="宋体"/>
          <w:bCs w:val="0"/>
          <w:color w:val="auto"/>
          <w:highlight w:val="none"/>
        </w:rPr>
        <w:t>响应及偏离表</w:t>
      </w:r>
    </w:p>
    <w:tbl>
      <w:tblPr>
        <w:tblStyle w:val="4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0"/>
        <w:gridCol w:w="2381"/>
        <w:gridCol w:w="2257"/>
        <w:gridCol w:w="1992"/>
        <w:gridCol w:w="1123"/>
      </w:tblGrid>
      <w:tr w14:paraId="3FC80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948" w:type="dxa"/>
            <w:noWrap w:val="0"/>
            <w:vAlign w:val="center"/>
          </w:tcPr>
          <w:p w14:paraId="78E8EE2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325" w:type="dxa"/>
            <w:noWrap w:val="0"/>
            <w:vAlign w:val="center"/>
          </w:tcPr>
          <w:p w14:paraId="387084E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采购要求</w:t>
            </w:r>
          </w:p>
        </w:tc>
        <w:tc>
          <w:tcPr>
            <w:tcW w:w="2204" w:type="dxa"/>
            <w:noWrap w:val="0"/>
            <w:vAlign w:val="center"/>
          </w:tcPr>
          <w:p w14:paraId="4E466700">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响应</w:t>
            </w:r>
          </w:p>
        </w:tc>
        <w:tc>
          <w:tcPr>
            <w:tcW w:w="1945" w:type="dxa"/>
            <w:noWrap w:val="0"/>
            <w:vAlign w:val="center"/>
          </w:tcPr>
          <w:p w14:paraId="568BCA7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超出、符合或偏离</w:t>
            </w:r>
          </w:p>
        </w:tc>
        <w:tc>
          <w:tcPr>
            <w:tcW w:w="1097" w:type="dxa"/>
            <w:noWrap w:val="0"/>
            <w:vAlign w:val="center"/>
          </w:tcPr>
          <w:p w14:paraId="23B569E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证明材料</w:t>
            </w:r>
          </w:p>
        </w:tc>
      </w:tr>
      <w:tr w14:paraId="3DA51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5C67F32B">
            <w:pPr>
              <w:spacing w:line="360" w:lineRule="auto"/>
              <w:jc w:val="center"/>
              <w:rPr>
                <w:rFonts w:ascii="宋体" w:hAnsi="宋体" w:cs="宋体"/>
                <w:color w:val="auto"/>
                <w:szCs w:val="21"/>
                <w:highlight w:val="none"/>
              </w:rPr>
            </w:pPr>
          </w:p>
        </w:tc>
        <w:tc>
          <w:tcPr>
            <w:tcW w:w="2325" w:type="dxa"/>
            <w:noWrap w:val="0"/>
          </w:tcPr>
          <w:p w14:paraId="7EDA13FE">
            <w:pPr>
              <w:spacing w:line="360" w:lineRule="auto"/>
              <w:jc w:val="center"/>
              <w:rPr>
                <w:rFonts w:ascii="宋体" w:hAnsi="宋体" w:cs="宋体"/>
                <w:color w:val="auto"/>
                <w:szCs w:val="21"/>
                <w:highlight w:val="none"/>
              </w:rPr>
            </w:pPr>
          </w:p>
        </w:tc>
        <w:tc>
          <w:tcPr>
            <w:tcW w:w="2204" w:type="dxa"/>
            <w:noWrap w:val="0"/>
          </w:tcPr>
          <w:p w14:paraId="17B75DB9">
            <w:pPr>
              <w:spacing w:line="360" w:lineRule="auto"/>
              <w:jc w:val="center"/>
              <w:rPr>
                <w:rFonts w:ascii="宋体" w:hAnsi="宋体" w:cs="宋体"/>
                <w:color w:val="auto"/>
                <w:szCs w:val="21"/>
                <w:highlight w:val="none"/>
              </w:rPr>
            </w:pPr>
          </w:p>
        </w:tc>
        <w:tc>
          <w:tcPr>
            <w:tcW w:w="1945" w:type="dxa"/>
            <w:noWrap w:val="0"/>
          </w:tcPr>
          <w:p w14:paraId="0DA822AF">
            <w:pPr>
              <w:spacing w:line="360" w:lineRule="auto"/>
              <w:jc w:val="center"/>
              <w:rPr>
                <w:rFonts w:ascii="宋体" w:hAnsi="宋体" w:cs="宋体"/>
                <w:color w:val="auto"/>
                <w:szCs w:val="21"/>
                <w:highlight w:val="none"/>
              </w:rPr>
            </w:pPr>
          </w:p>
        </w:tc>
        <w:tc>
          <w:tcPr>
            <w:tcW w:w="1097" w:type="dxa"/>
            <w:noWrap w:val="0"/>
          </w:tcPr>
          <w:p w14:paraId="3BFF2E93">
            <w:pPr>
              <w:spacing w:line="360" w:lineRule="auto"/>
              <w:jc w:val="center"/>
              <w:rPr>
                <w:rFonts w:ascii="宋体" w:hAnsi="宋体" w:cs="宋体"/>
                <w:color w:val="auto"/>
                <w:szCs w:val="21"/>
                <w:highlight w:val="none"/>
              </w:rPr>
            </w:pPr>
          </w:p>
        </w:tc>
      </w:tr>
      <w:tr w14:paraId="550F0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568F7D48">
            <w:pPr>
              <w:spacing w:line="360" w:lineRule="auto"/>
              <w:jc w:val="center"/>
              <w:rPr>
                <w:rFonts w:ascii="宋体" w:hAnsi="宋体" w:cs="宋体"/>
                <w:color w:val="auto"/>
                <w:szCs w:val="21"/>
                <w:highlight w:val="none"/>
              </w:rPr>
            </w:pPr>
          </w:p>
        </w:tc>
        <w:tc>
          <w:tcPr>
            <w:tcW w:w="2325" w:type="dxa"/>
            <w:noWrap w:val="0"/>
          </w:tcPr>
          <w:p w14:paraId="5781F77C">
            <w:pPr>
              <w:spacing w:line="360" w:lineRule="auto"/>
              <w:jc w:val="center"/>
              <w:rPr>
                <w:rFonts w:ascii="宋体" w:hAnsi="宋体" w:cs="宋体"/>
                <w:color w:val="auto"/>
                <w:szCs w:val="21"/>
                <w:highlight w:val="none"/>
              </w:rPr>
            </w:pPr>
          </w:p>
        </w:tc>
        <w:tc>
          <w:tcPr>
            <w:tcW w:w="2204" w:type="dxa"/>
            <w:noWrap w:val="0"/>
          </w:tcPr>
          <w:p w14:paraId="2CDE0C8E">
            <w:pPr>
              <w:spacing w:line="360" w:lineRule="auto"/>
              <w:jc w:val="center"/>
              <w:rPr>
                <w:rFonts w:ascii="宋体" w:hAnsi="宋体" w:cs="宋体"/>
                <w:color w:val="auto"/>
                <w:szCs w:val="21"/>
                <w:highlight w:val="none"/>
              </w:rPr>
            </w:pPr>
          </w:p>
        </w:tc>
        <w:tc>
          <w:tcPr>
            <w:tcW w:w="1945" w:type="dxa"/>
            <w:noWrap w:val="0"/>
          </w:tcPr>
          <w:p w14:paraId="20262699">
            <w:pPr>
              <w:spacing w:line="360" w:lineRule="auto"/>
              <w:jc w:val="center"/>
              <w:rPr>
                <w:rFonts w:ascii="宋体" w:hAnsi="宋体" w:cs="宋体"/>
                <w:color w:val="auto"/>
                <w:szCs w:val="21"/>
                <w:highlight w:val="none"/>
              </w:rPr>
            </w:pPr>
          </w:p>
        </w:tc>
        <w:tc>
          <w:tcPr>
            <w:tcW w:w="1097" w:type="dxa"/>
            <w:noWrap w:val="0"/>
          </w:tcPr>
          <w:p w14:paraId="770CE7AB">
            <w:pPr>
              <w:spacing w:line="360" w:lineRule="auto"/>
              <w:jc w:val="center"/>
              <w:rPr>
                <w:rFonts w:ascii="宋体" w:hAnsi="宋体" w:cs="宋体"/>
                <w:color w:val="auto"/>
                <w:szCs w:val="21"/>
                <w:highlight w:val="none"/>
              </w:rPr>
            </w:pPr>
          </w:p>
        </w:tc>
      </w:tr>
      <w:tr w14:paraId="25000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3C9C99DC">
            <w:pPr>
              <w:spacing w:line="360" w:lineRule="auto"/>
              <w:jc w:val="center"/>
              <w:rPr>
                <w:rFonts w:ascii="宋体" w:hAnsi="宋体" w:cs="宋体"/>
                <w:color w:val="auto"/>
                <w:szCs w:val="21"/>
                <w:highlight w:val="none"/>
              </w:rPr>
            </w:pPr>
          </w:p>
        </w:tc>
        <w:tc>
          <w:tcPr>
            <w:tcW w:w="2325" w:type="dxa"/>
            <w:noWrap w:val="0"/>
          </w:tcPr>
          <w:p w14:paraId="30EB3C3F">
            <w:pPr>
              <w:spacing w:line="360" w:lineRule="auto"/>
              <w:jc w:val="center"/>
              <w:rPr>
                <w:rFonts w:ascii="宋体" w:hAnsi="宋体" w:cs="宋体"/>
                <w:color w:val="auto"/>
                <w:szCs w:val="21"/>
                <w:highlight w:val="none"/>
              </w:rPr>
            </w:pPr>
          </w:p>
        </w:tc>
        <w:tc>
          <w:tcPr>
            <w:tcW w:w="2204" w:type="dxa"/>
            <w:noWrap w:val="0"/>
          </w:tcPr>
          <w:p w14:paraId="4DFAFFC7">
            <w:pPr>
              <w:spacing w:line="360" w:lineRule="auto"/>
              <w:jc w:val="center"/>
              <w:rPr>
                <w:rFonts w:ascii="宋体" w:hAnsi="宋体" w:cs="宋体"/>
                <w:color w:val="auto"/>
                <w:szCs w:val="21"/>
                <w:highlight w:val="none"/>
              </w:rPr>
            </w:pPr>
          </w:p>
        </w:tc>
        <w:tc>
          <w:tcPr>
            <w:tcW w:w="1945" w:type="dxa"/>
            <w:noWrap w:val="0"/>
          </w:tcPr>
          <w:p w14:paraId="27030495">
            <w:pPr>
              <w:spacing w:line="360" w:lineRule="auto"/>
              <w:jc w:val="center"/>
              <w:rPr>
                <w:rFonts w:ascii="宋体" w:hAnsi="宋体" w:cs="宋体"/>
                <w:color w:val="auto"/>
                <w:szCs w:val="21"/>
                <w:highlight w:val="none"/>
              </w:rPr>
            </w:pPr>
          </w:p>
        </w:tc>
        <w:tc>
          <w:tcPr>
            <w:tcW w:w="1097" w:type="dxa"/>
            <w:noWrap w:val="0"/>
          </w:tcPr>
          <w:p w14:paraId="6B532B88">
            <w:pPr>
              <w:spacing w:line="360" w:lineRule="auto"/>
              <w:jc w:val="center"/>
              <w:rPr>
                <w:rFonts w:ascii="宋体" w:hAnsi="宋体" w:cs="宋体"/>
                <w:color w:val="auto"/>
                <w:szCs w:val="21"/>
                <w:highlight w:val="none"/>
              </w:rPr>
            </w:pPr>
          </w:p>
        </w:tc>
      </w:tr>
      <w:tr w14:paraId="3BCF5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7955BF30">
            <w:pPr>
              <w:spacing w:line="360" w:lineRule="auto"/>
              <w:jc w:val="center"/>
              <w:rPr>
                <w:rFonts w:ascii="宋体" w:hAnsi="宋体" w:cs="宋体"/>
                <w:color w:val="auto"/>
                <w:szCs w:val="21"/>
                <w:highlight w:val="none"/>
              </w:rPr>
            </w:pPr>
          </w:p>
        </w:tc>
        <w:tc>
          <w:tcPr>
            <w:tcW w:w="2325" w:type="dxa"/>
            <w:noWrap w:val="0"/>
          </w:tcPr>
          <w:p w14:paraId="19C70051">
            <w:pPr>
              <w:spacing w:line="360" w:lineRule="auto"/>
              <w:jc w:val="center"/>
              <w:rPr>
                <w:rFonts w:ascii="宋体" w:hAnsi="宋体" w:cs="宋体"/>
                <w:color w:val="auto"/>
                <w:szCs w:val="21"/>
                <w:highlight w:val="none"/>
              </w:rPr>
            </w:pPr>
          </w:p>
        </w:tc>
        <w:tc>
          <w:tcPr>
            <w:tcW w:w="2204" w:type="dxa"/>
            <w:noWrap w:val="0"/>
          </w:tcPr>
          <w:p w14:paraId="6EFE815F">
            <w:pPr>
              <w:spacing w:line="360" w:lineRule="auto"/>
              <w:jc w:val="center"/>
              <w:rPr>
                <w:rFonts w:ascii="宋体" w:hAnsi="宋体" w:cs="宋体"/>
                <w:color w:val="auto"/>
                <w:szCs w:val="21"/>
                <w:highlight w:val="none"/>
              </w:rPr>
            </w:pPr>
          </w:p>
        </w:tc>
        <w:tc>
          <w:tcPr>
            <w:tcW w:w="1945" w:type="dxa"/>
            <w:noWrap w:val="0"/>
          </w:tcPr>
          <w:p w14:paraId="064F9E30">
            <w:pPr>
              <w:spacing w:line="360" w:lineRule="auto"/>
              <w:jc w:val="center"/>
              <w:rPr>
                <w:rFonts w:ascii="宋体" w:hAnsi="宋体" w:cs="宋体"/>
                <w:color w:val="auto"/>
                <w:szCs w:val="21"/>
                <w:highlight w:val="none"/>
              </w:rPr>
            </w:pPr>
          </w:p>
        </w:tc>
        <w:tc>
          <w:tcPr>
            <w:tcW w:w="1097" w:type="dxa"/>
            <w:noWrap w:val="0"/>
          </w:tcPr>
          <w:p w14:paraId="23AE063C">
            <w:pPr>
              <w:spacing w:line="360" w:lineRule="auto"/>
              <w:jc w:val="center"/>
              <w:rPr>
                <w:rFonts w:ascii="宋体" w:hAnsi="宋体" w:cs="宋体"/>
                <w:color w:val="auto"/>
                <w:szCs w:val="21"/>
                <w:highlight w:val="none"/>
              </w:rPr>
            </w:pPr>
          </w:p>
        </w:tc>
      </w:tr>
      <w:tr w14:paraId="04F08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6F84D4AB">
            <w:pPr>
              <w:spacing w:line="360" w:lineRule="auto"/>
              <w:jc w:val="center"/>
              <w:rPr>
                <w:rFonts w:ascii="宋体" w:hAnsi="宋体" w:cs="宋体"/>
                <w:color w:val="auto"/>
                <w:szCs w:val="21"/>
                <w:highlight w:val="none"/>
              </w:rPr>
            </w:pPr>
          </w:p>
        </w:tc>
        <w:tc>
          <w:tcPr>
            <w:tcW w:w="2325" w:type="dxa"/>
            <w:noWrap w:val="0"/>
          </w:tcPr>
          <w:p w14:paraId="2FEE89A2">
            <w:pPr>
              <w:spacing w:line="360" w:lineRule="auto"/>
              <w:jc w:val="center"/>
              <w:rPr>
                <w:rFonts w:ascii="宋体" w:hAnsi="宋体" w:cs="宋体"/>
                <w:color w:val="auto"/>
                <w:szCs w:val="21"/>
                <w:highlight w:val="none"/>
              </w:rPr>
            </w:pPr>
          </w:p>
        </w:tc>
        <w:tc>
          <w:tcPr>
            <w:tcW w:w="2204" w:type="dxa"/>
            <w:noWrap w:val="0"/>
          </w:tcPr>
          <w:p w14:paraId="138B8036">
            <w:pPr>
              <w:spacing w:line="360" w:lineRule="auto"/>
              <w:jc w:val="center"/>
              <w:rPr>
                <w:rFonts w:ascii="宋体" w:hAnsi="宋体" w:cs="宋体"/>
                <w:color w:val="auto"/>
                <w:szCs w:val="21"/>
                <w:highlight w:val="none"/>
              </w:rPr>
            </w:pPr>
          </w:p>
        </w:tc>
        <w:tc>
          <w:tcPr>
            <w:tcW w:w="1945" w:type="dxa"/>
            <w:noWrap w:val="0"/>
          </w:tcPr>
          <w:p w14:paraId="77B9B693">
            <w:pPr>
              <w:spacing w:line="360" w:lineRule="auto"/>
              <w:jc w:val="center"/>
              <w:rPr>
                <w:rFonts w:ascii="宋体" w:hAnsi="宋体" w:cs="宋体"/>
                <w:color w:val="auto"/>
                <w:szCs w:val="21"/>
                <w:highlight w:val="none"/>
              </w:rPr>
            </w:pPr>
          </w:p>
        </w:tc>
        <w:tc>
          <w:tcPr>
            <w:tcW w:w="1097" w:type="dxa"/>
            <w:noWrap w:val="0"/>
          </w:tcPr>
          <w:p w14:paraId="4B3CE385">
            <w:pPr>
              <w:spacing w:line="360" w:lineRule="auto"/>
              <w:jc w:val="center"/>
              <w:rPr>
                <w:rFonts w:ascii="宋体" w:hAnsi="宋体" w:cs="宋体"/>
                <w:color w:val="auto"/>
                <w:szCs w:val="21"/>
                <w:highlight w:val="none"/>
              </w:rPr>
            </w:pPr>
          </w:p>
        </w:tc>
      </w:tr>
      <w:tr w14:paraId="3A570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2648BC6E">
            <w:pPr>
              <w:spacing w:line="360" w:lineRule="auto"/>
              <w:jc w:val="center"/>
              <w:rPr>
                <w:rFonts w:ascii="宋体" w:hAnsi="宋体" w:cs="宋体"/>
                <w:color w:val="auto"/>
                <w:szCs w:val="21"/>
                <w:highlight w:val="none"/>
              </w:rPr>
            </w:pPr>
          </w:p>
        </w:tc>
        <w:tc>
          <w:tcPr>
            <w:tcW w:w="2325" w:type="dxa"/>
            <w:noWrap w:val="0"/>
          </w:tcPr>
          <w:p w14:paraId="7BC97856">
            <w:pPr>
              <w:spacing w:line="360" w:lineRule="auto"/>
              <w:jc w:val="center"/>
              <w:rPr>
                <w:rFonts w:ascii="宋体" w:hAnsi="宋体" w:cs="宋体"/>
                <w:color w:val="auto"/>
                <w:szCs w:val="21"/>
                <w:highlight w:val="none"/>
              </w:rPr>
            </w:pPr>
          </w:p>
        </w:tc>
        <w:tc>
          <w:tcPr>
            <w:tcW w:w="2204" w:type="dxa"/>
            <w:noWrap w:val="0"/>
          </w:tcPr>
          <w:p w14:paraId="23AB3A27">
            <w:pPr>
              <w:spacing w:line="360" w:lineRule="auto"/>
              <w:jc w:val="center"/>
              <w:rPr>
                <w:rFonts w:ascii="宋体" w:hAnsi="宋体" w:cs="宋体"/>
                <w:color w:val="auto"/>
                <w:szCs w:val="21"/>
                <w:highlight w:val="none"/>
              </w:rPr>
            </w:pPr>
          </w:p>
        </w:tc>
        <w:tc>
          <w:tcPr>
            <w:tcW w:w="1945" w:type="dxa"/>
            <w:noWrap w:val="0"/>
          </w:tcPr>
          <w:p w14:paraId="10875E7F">
            <w:pPr>
              <w:spacing w:line="360" w:lineRule="auto"/>
              <w:jc w:val="center"/>
              <w:rPr>
                <w:rFonts w:ascii="宋体" w:hAnsi="宋体" w:cs="宋体"/>
                <w:color w:val="auto"/>
                <w:szCs w:val="21"/>
                <w:highlight w:val="none"/>
              </w:rPr>
            </w:pPr>
          </w:p>
        </w:tc>
        <w:tc>
          <w:tcPr>
            <w:tcW w:w="1097" w:type="dxa"/>
            <w:noWrap w:val="0"/>
          </w:tcPr>
          <w:p w14:paraId="39598E22">
            <w:pPr>
              <w:spacing w:line="360" w:lineRule="auto"/>
              <w:jc w:val="center"/>
              <w:rPr>
                <w:rFonts w:ascii="宋体" w:hAnsi="宋体" w:cs="宋体"/>
                <w:color w:val="auto"/>
                <w:szCs w:val="21"/>
                <w:highlight w:val="none"/>
              </w:rPr>
            </w:pPr>
          </w:p>
        </w:tc>
      </w:tr>
      <w:tr w14:paraId="10C6B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4A06B2D4">
            <w:pPr>
              <w:spacing w:line="360" w:lineRule="auto"/>
              <w:jc w:val="center"/>
              <w:rPr>
                <w:rFonts w:ascii="宋体" w:hAnsi="宋体" w:cs="宋体"/>
                <w:color w:val="auto"/>
                <w:szCs w:val="21"/>
                <w:highlight w:val="none"/>
              </w:rPr>
            </w:pPr>
          </w:p>
        </w:tc>
        <w:tc>
          <w:tcPr>
            <w:tcW w:w="2325" w:type="dxa"/>
            <w:noWrap w:val="0"/>
          </w:tcPr>
          <w:p w14:paraId="5713AC69">
            <w:pPr>
              <w:spacing w:line="360" w:lineRule="auto"/>
              <w:jc w:val="center"/>
              <w:rPr>
                <w:rFonts w:ascii="宋体" w:hAnsi="宋体" w:cs="宋体"/>
                <w:color w:val="auto"/>
                <w:szCs w:val="21"/>
                <w:highlight w:val="none"/>
              </w:rPr>
            </w:pPr>
          </w:p>
        </w:tc>
        <w:tc>
          <w:tcPr>
            <w:tcW w:w="2204" w:type="dxa"/>
            <w:noWrap w:val="0"/>
          </w:tcPr>
          <w:p w14:paraId="55F16FDC">
            <w:pPr>
              <w:spacing w:line="360" w:lineRule="auto"/>
              <w:jc w:val="center"/>
              <w:rPr>
                <w:rFonts w:ascii="宋体" w:hAnsi="宋体" w:cs="宋体"/>
                <w:color w:val="auto"/>
                <w:szCs w:val="21"/>
                <w:highlight w:val="none"/>
              </w:rPr>
            </w:pPr>
          </w:p>
        </w:tc>
        <w:tc>
          <w:tcPr>
            <w:tcW w:w="1945" w:type="dxa"/>
            <w:noWrap w:val="0"/>
          </w:tcPr>
          <w:p w14:paraId="030F14BB">
            <w:pPr>
              <w:spacing w:line="360" w:lineRule="auto"/>
              <w:jc w:val="center"/>
              <w:rPr>
                <w:rFonts w:ascii="宋体" w:hAnsi="宋体" w:cs="宋体"/>
                <w:color w:val="auto"/>
                <w:szCs w:val="21"/>
                <w:highlight w:val="none"/>
              </w:rPr>
            </w:pPr>
          </w:p>
        </w:tc>
        <w:tc>
          <w:tcPr>
            <w:tcW w:w="1097" w:type="dxa"/>
            <w:noWrap w:val="0"/>
          </w:tcPr>
          <w:p w14:paraId="0C5622E9">
            <w:pPr>
              <w:spacing w:line="360" w:lineRule="auto"/>
              <w:jc w:val="center"/>
              <w:rPr>
                <w:rFonts w:ascii="宋体" w:hAnsi="宋体" w:cs="宋体"/>
                <w:color w:val="auto"/>
                <w:szCs w:val="21"/>
                <w:highlight w:val="none"/>
              </w:rPr>
            </w:pPr>
          </w:p>
        </w:tc>
      </w:tr>
      <w:tr w14:paraId="352F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48" w:type="dxa"/>
            <w:noWrap w:val="0"/>
          </w:tcPr>
          <w:p w14:paraId="2B9C13BA">
            <w:pPr>
              <w:spacing w:line="360" w:lineRule="auto"/>
              <w:jc w:val="center"/>
              <w:rPr>
                <w:rFonts w:ascii="宋体" w:hAnsi="宋体" w:cs="宋体"/>
                <w:color w:val="auto"/>
                <w:szCs w:val="21"/>
                <w:highlight w:val="none"/>
              </w:rPr>
            </w:pPr>
          </w:p>
        </w:tc>
        <w:tc>
          <w:tcPr>
            <w:tcW w:w="2325" w:type="dxa"/>
            <w:noWrap w:val="0"/>
          </w:tcPr>
          <w:p w14:paraId="69660CB7">
            <w:pPr>
              <w:spacing w:line="360" w:lineRule="auto"/>
              <w:jc w:val="center"/>
              <w:rPr>
                <w:rFonts w:ascii="宋体" w:hAnsi="宋体" w:cs="宋体"/>
                <w:color w:val="auto"/>
                <w:szCs w:val="21"/>
                <w:highlight w:val="none"/>
              </w:rPr>
            </w:pPr>
          </w:p>
        </w:tc>
        <w:tc>
          <w:tcPr>
            <w:tcW w:w="2204" w:type="dxa"/>
            <w:noWrap w:val="0"/>
          </w:tcPr>
          <w:p w14:paraId="57D5D024">
            <w:pPr>
              <w:spacing w:line="360" w:lineRule="auto"/>
              <w:jc w:val="center"/>
              <w:rPr>
                <w:rFonts w:ascii="宋体" w:hAnsi="宋体" w:cs="宋体"/>
                <w:color w:val="auto"/>
                <w:szCs w:val="21"/>
                <w:highlight w:val="none"/>
              </w:rPr>
            </w:pPr>
          </w:p>
        </w:tc>
        <w:tc>
          <w:tcPr>
            <w:tcW w:w="1945" w:type="dxa"/>
            <w:noWrap w:val="0"/>
          </w:tcPr>
          <w:p w14:paraId="451A6326">
            <w:pPr>
              <w:spacing w:line="360" w:lineRule="auto"/>
              <w:jc w:val="center"/>
              <w:rPr>
                <w:rFonts w:ascii="宋体" w:hAnsi="宋体" w:cs="宋体"/>
                <w:color w:val="auto"/>
                <w:szCs w:val="21"/>
                <w:highlight w:val="none"/>
              </w:rPr>
            </w:pPr>
          </w:p>
        </w:tc>
        <w:tc>
          <w:tcPr>
            <w:tcW w:w="1097" w:type="dxa"/>
            <w:noWrap w:val="0"/>
          </w:tcPr>
          <w:p w14:paraId="4F9541FC">
            <w:pPr>
              <w:spacing w:line="360" w:lineRule="auto"/>
              <w:jc w:val="center"/>
              <w:rPr>
                <w:rFonts w:ascii="宋体" w:hAnsi="宋体" w:cs="宋体"/>
                <w:color w:val="auto"/>
                <w:szCs w:val="21"/>
                <w:highlight w:val="none"/>
              </w:rPr>
            </w:pPr>
          </w:p>
        </w:tc>
      </w:tr>
    </w:tbl>
    <w:p w14:paraId="52D6342E">
      <w:pPr>
        <w:spacing w:line="360" w:lineRule="auto"/>
        <w:rPr>
          <w:rFonts w:ascii="宋体" w:hAnsi="宋体" w:cs="宋体"/>
          <w:color w:val="auto"/>
          <w:sz w:val="24"/>
          <w:szCs w:val="24"/>
          <w:highlight w:val="none"/>
        </w:rPr>
      </w:pPr>
    </w:p>
    <w:p w14:paraId="7F8485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注：1、行数不够，可自行添加。</w:t>
      </w:r>
    </w:p>
    <w:p w14:paraId="007C23C3">
      <w:pPr>
        <w:spacing w:line="360" w:lineRule="auto"/>
        <w:ind w:firstLine="420"/>
        <w:jc w:val="left"/>
        <w:rPr>
          <w:rFonts w:hint="eastAsia" w:ascii="宋体" w:cs="宋体"/>
          <w:szCs w:val="21"/>
          <w:highlight w:val="none"/>
          <w:lang w:val="zh-CN"/>
        </w:rPr>
      </w:pPr>
    </w:p>
    <w:p w14:paraId="64565DE3">
      <w:pPr>
        <w:spacing w:line="360" w:lineRule="auto"/>
        <w:ind w:firstLine="420"/>
        <w:jc w:val="left"/>
        <w:rPr>
          <w:rFonts w:ascii="宋体" w:cs="宋体"/>
          <w:szCs w:val="21"/>
          <w:highlight w:val="none"/>
          <w:lang w:val="zh-CN"/>
        </w:rPr>
      </w:pPr>
      <w:r>
        <w:rPr>
          <w:rFonts w:hint="eastAsia" w:ascii="宋体" w:cs="宋体"/>
          <w:szCs w:val="21"/>
          <w:highlight w:val="none"/>
          <w:lang w:val="zh-CN"/>
        </w:rPr>
        <w:t>供应商名称：</w:t>
      </w:r>
      <w:r>
        <w:rPr>
          <w:rFonts w:hint="eastAsia" w:ascii="宋体" w:cs="宋体"/>
          <w:szCs w:val="21"/>
          <w:highlight w:val="none"/>
          <w:u w:val="single"/>
          <w:lang w:val="zh-CN"/>
        </w:rPr>
        <w:t xml:space="preserve">                 </w:t>
      </w:r>
      <w:r>
        <w:rPr>
          <w:rFonts w:hint="eastAsia" w:ascii="宋体" w:cs="宋体"/>
          <w:szCs w:val="21"/>
          <w:highlight w:val="none"/>
          <w:lang w:val="zh-CN"/>
        </w:rPr>
        <w:t>（电子公章）</w:t>
      </w:r>
    </w:p>
    <w:p w14:paraId="44A6C330">
      <w:pPr>
        <w:widowControl/>
        <w:spacing w:line="360" w:lineRule="auto"/>
        <w:jc w:val="left"/>
        <w:rPr>
          <w:rFonts w:ascii="宋体" w:cs="宋体"/>
          <w:szCs w:val="21"/>
          <w:highlight w:val="none"/>
          <w:lang w:val="zh-CN"/>
        </w:rPr>
      </w:pPr>
      <w:r>
        <w:rPr>
          <w:rFonts w:hint="eastAsia" w:ascii="宋体" w:cs="宋体"/>
          <w:szCs w:val="21"/>
          <w:highlight w:val="none"/>
          <w:lang w:val="zh-CN"/>
        </w:rPr>
        <w:t xml:space="preserve">  </w:t>
      </w:r>
      <w:r>
        <w:rPr>
          <w:rFonts w:hint="eastAsia" w:ascii="宋体" w:cs="宋体"/>
          <w:szCs w:val="21"/>
          <w:highlight w:val="none"/>
          <w:lang w:val="en-US" w:eastAsia="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p>
    <w:p w14:paraId="490920F2">
      <w:pPr>
        <w:spacing w:line="360" w:lineRule="auto"/>
        <w:ind w:firstLine="420"/>
        <w:jc w:val="left"/>
        <w:rPr>
          <w:rFonts w:ascii="宋体" w:cs="宋体"/>
          <w:szCs w:val="21"/>
          <w:highlight w:val="none"/>
          <w:lang w:val="zh-CN"/>
        </w:rPr>
      </w:pPr>
      <w:r>
        <w:rPr>
          <w:rFonts w:hint="eastAsia" w:ascii="宋体" w:cs="宋体"/>
          <w:szCs w:val="21"/>
          <w:highlight w:val="none"/>
          <w:lang w:val="zh-CN"/>
        </w:rPr>
        <w:t>日    期：</w:t>
      </w:r>
      <w:r>
        <w:rPr>
          <w:rFonts w:hint="eastAsia" w:ascii="宋体" w:cs="宋体"/>
          <w:szCs w:val="21"/>
          <w:highlight w:val="none"/>
          <w:u w:val="single"/>
          <w:lang w:val="zh-CN"/>
        </w:rPr>
        <w:t xml:space="preserve">       </w:t>
      </w:r>
      <w:r>
        <w:rPr>
          <w:rFonts w:hint="eastAsia" w:ascii="宋体" w:cs="宋体"/>
          <w:szCs w:val="21"/>
          <w:highlight w:val="none"/>
          <w:lang w:val="zh-CN"/>
        </w:rPr>
        <w:t>年</w:t>
      </w:r>
      <w:r>
        <w:rPr>
          <w:rFonts w:hint="eastAsia" w:ascii="宋体" w:cs="宋体"/>
          <w:szCs w:val="21"/>
          <w:highlight w:val="none"/>
          <w:u w:val="single"/>
          <w:lang w:val="zh-CN"/>
        </w:rPr>
        <w:t xml:space="preserve">    </w:t>
      </w:r>
      <w:r>
        <w:rPr>
          <w:rFonts w:hint="eastAsia" w:ascii="宋体" w:cs="宋体"/>
          <w:szCs w:val="21"/>
          <w:highlight w:val="none"/>
          <w:lang w:val="zh-CN"/>
        </w:rPr>
        <w:t>月</w:t>
      </w:r>
      <w:r>
        <w:rPr>
          <w:rFonts w:hint="eastAsia" w:ascii="宋体" w:cs="宋体"/>
          <w:szCs w:val="21"/>
          <w:highlight w:val="none"/>
          <w:u w:val="single"/>
          <w:lang w:val="zh-CN"/>
        </w:rPr>
        <w:t xml:space="preserve">    </w:t>
      </w:r>
      <w:r>
        <w:rPr>
          <w:rFonts w:hint="eastAsia" w:ascii="宋体" w:cs="宋体"/>
          <w:szCs w:val="21"/>
          <w:highlight w:val="none"/>
          <w:lang w:val="zh-CN"/>
        </w:rPr>
        <w:t>日</w:t>
      </w:r>
    </w:p>
    <w:p w14:paraId="51AE7524">
      <w:pPr>
        <w:pStyle w:val="247"/>
        <w:spacing w:line="360" w:lineRule="auto"/>
        <w:jc w:val="center"/>
        <w:outlineLvl w:val="0"/>
        <w:rPr>
          <w:rFonts w:ascii="宋体" w:hAnsi="宋体" w:cs="宋体"/>
          <w:bCs w:val="0"/>
          <w:color w:val="auto"/>
          <w:highlight w:val="none"/>
        </w:rPr>
      </w:pPr>
      <w:r>
        <w:rPr>
          <w:rFonts w:hint="eastAsia" w:ascii="宋体" w:hAnsi="宋体" w:cs="宋体"/>
          <w:bCs w:val="0"/>
          <w:color w:val="auto"/>
          <w:highlight w:val="none"/>
        </w:rPr>
        <w:br w:type="page" w:clear="all"/>
      </w:r>
      <w:r>
        <w:rPr>
          <w:rFonts w:hint="eastAsia" w:ascii="宋体" w:hAnsi="宋体" w:cs="宋体"/>
          <w:bCs w:val="0"/>
          <w:color w:val="auto"/>
          <w:highlight w:val="none"/>
          <w:lang w:val="en-US" w:eastAsia="zh-CN"/>
        </w:rPr>
        <w:t>六</w:t>
      </w:r>
      <w:r>
        <w:rPr>
          <w:rFonts w:hint="eastAsia" w:ascii="宋体" w:hAnsi="宋体" w:cs="宋体"/>
          <w:bCs w:val="0"/>
          <w:color w:val="auto"/>
          <w:highlight w:val="none"/>
        </w:rPr>
        <w:t>、商务条款响应及偏离表</w:t>
      </w:r>
    </w:p>
    <w:tbl>
      <w:tblPr>
        <w:tblStyle w:val="46"/>
        <w:tblW w:w="506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1302"/>
        <w:gridCol w:w="1990"/>
        <w:gridCol w:w="1462"/>
        <w:gridCol w:w="2040"/>
        <w:gridCol w:w="2040"/>
      </w:tblGrid>
      <w:tr w14:paraId="27F8DE5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272" w:type="dxa"/>
            <w:tcBorders>
              <w:top w:val="single" w:color="auto" w:sz="4" w:space="0"/>
              <w:left w:val="single" w:color="auto" w:sz="4" w:space="0"/>
              <w:bottom w:val="single" w:color="auto" w:sz="4" w:space="0"/>
              <w:right w:val="single" w:color="auto" w:sz="4" w:space="0"/>
            </w:tcBorders>
            <w:noWrap w:val="0"/>
          </w:tcPr>
          <w:p w14:paraId="19523C8C">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项目</w:t>
            </w:r>
          </w:p>
        </w:tc>
        <w:tc>
          <w:tcPr>
            <w:tcW w:w="1944" w:type="dxa"/>
            <w:tcBorders>
              <w:top w:val="single" w:color="auto" w:sz="4" w:space="0"/>
              <w:left w:val="single" w:color="auto" w:sz="4" w:space="0"/>
              <w:bottom w:val="single" w:color="auto" w:sz="4" w:space="0"/>
              <w:right w:val="single" w:color="auto" w:sz="4" w:space="0"/>
            </w:tcBorders>
            <w:noWrap w:val="0"/>
          </w:tcPr>
          <w:p w14:paraId="4AEB2B68">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采购文件要求</w:t>
            </w:r>
          </w:p>
        </w:tc>
        <w:tc>
          <w:tcPr>
            <w:tcW w:w="1428" w:type="dxa"/>
            <w:tcBorders>
              <w:top w:val="single" w:color="auto" w:sz="4" w:space="0"/>
              <w:left w:val="single" w:color="auto" w:sz="4" w:space="0"/>
              <w:bottom w:val="single" w:color="auto" w:sz="4" w:space="0"/>
              <w:right w:val="single" w:color="auto" w:sz="4" w:space="0"/>
            </w:tcBorders>
            <w:noWrap w:val="0"/>
          </w:tcPr>
          <w:p w14:paraId="00C72E41">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是否响应</w:t>
            </w:r>
          </w:p>
        </w:tc>
        <w:tc>
          <w:tcPr>
            <w:tcW w:w="1992" w:type="dxa"/>
            <w:tcBorders>
              <w:top w:val="single" w:color="auto" w:sz="4" w:space="0"/>
              <w:left w:val="single" w:color="auto" w:sz="4" w:space="0"/>
              <w:bottom w:val="single" w:color="auto" w:sz="4" w:space="0"/>
              <w:right w:val="single" w:color="auto" w:sz="4" w:space="0"/>
            </w:tcBorders>
            <w:noWrap w:val="0"/>
          </w:tcPr>
          <w:p w14:paraId="18FF5B15">
            <w:pPr>
              <w:spacing w:before="156"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超出、符合或偏离</w:t>
            </w:r>
          </w:p>
        </w:tc>
        <w:tc>
          <w:tcPr>
            <w:tcW w:w="1992" w:type="dxa"/>
            <w:tcBorders>
              <w:top w:val="single" w:color="auto" w:sz="4" w:space="0"/>
              <w:left w:val="single" w:color="auto" w:sz="4" w:space="0"/>
              <w:bottom w:val="single" w:color="auto" w:sz="4" w:space="0"/>
              <w:right w:val="single" w:color="auto" w:sz="4" w:space="0"/>
            </w:tcBorders>
            <w:noWrap w:val="0"/>
          </w:tcPr>
          <w:p w14:paraId="5E96EE57">
            <w:pPr>
              <w:spacing w:before="156" w:line="360" w:lineRule="auto"/>
              <w:jc w:val="center"/>
              <w:rPr>
                <w:rFonts w:ascii="宋体" w:hAnsi="宋体" w:cs="宋体"/>
                <w:color w:val="auto"/>
                <w:szCs w:val="21"/>
                <w:highlight w:val="none"/>
              </w:rPr>
            </w:pPr>
            <w:r>
              <w:rPr>
                <w:rFonts w:hint="eastAsia" w:ascii="宋体" w:hAnsi="宋体" w:cs="宋体"/>
                <w:color w:val="auto"/>
                <w:szCs w:val="21"/>
                <w:highlight w:val="none"/>
              </w:rPr>
              <w:t>供应商的承诺或说明</w:t>
            </w:r>
          </w:p>
        </w:tc>
      </w:tr>
      <w:tr w14:paraId="561E8C9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272" w:type="dxa"/>
            <w:tcBorders>
              <w:top w:val="single" w:color="auto" w:sz="4" w:space="0"/>
              <w:left w:val="single" w:color="auto" w:sz="4" w:space="0"/>
              <w:bottom w:val="single" w:color="auto" w:sz="4" w:space="0"/>
              <w:right w:val="single" w:color="auto" w:sz="4" w:space="0"/>
            </w:tcBorders>
            <w:noWrap w:val="0"/>
          </w:tcPr>
          <w:p w14:paraId="24B3B1D0"/>
        </w:tc>
        <w:tc>
          <w:tcPr>
            <w:tcW w:w="1944" w:type="dxa"/>
            <w:tcBorders>
              <w:top w:val="single" w:color="auto" w:sz="4" w:space="0"/>
              <w:left w:val="single" w:color="auto" w:sz="4" w:space="0"/>
              <w:bottom w:val="single" w:color="auto" w:sz="4" w:space="0"/>
              <w:right w:val="single" w:color="auto" w:sz="4" w:space="0"/>
            </w:tcBorders>
            <w:noWrap w:val="0"/>
          </w:tcPr>
          <w:p w14:paraId="18B849DB">
            <w:pPr>
              <w:spacing w:before="156" w:line="360" w:lineRule="auto"/>
              <w:jc w:val="center"/>
              <w:rPr>
                <w:rFonts w:ascii="宋体" w:hAnsi="宋体" w:cs="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tcPr>
          <w:p w14:paraId="2EDE2FEB">
            <w:pPr>
              <w:spacing w:before="156" w:line="360" w:lineRule="auto"/>
              <w:ind w:left="43"/>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44AB3565">
            <w:pPr>
              <w:spacing w:before="156" w:line="360" w:lineRule="auto"/>
              <w:ind w:left="43"/>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52C60D8B">
            <w:pPr>
              <w:spacing w:before="156" w:line="360" w:lineRule="auto"/>
              <w:ind w:left="43"/>
              <w:jc w:val="center"/>
              <w:rPr>
                <w:rFonts w:ascii="宋体" w:hAnsi="宋体" w:cs="宋体"/>
                <w:color w:val="auto"/>
                <w:szCs w:val="21"/>
                <w:highlight w:val="none"/>
              </w:rPr>
            </w:pPr>
          </w:p>
        </w:tc>
      </w:tr>
      <w:tr w14:paraId="123B4AB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272" w:type="dxa"/>
            <w:tcBorders>
              <w:top w:val="single" w:color="auto" w:sz="4" w:space="0"/>
              <w:left w:val="single" w:color="auto" w:sz="4" w:space="0"/>
              <w:bottom w:val="single" w:color="auto" w:sz="4" w:space="0"/>
              <w:right w:val="single" w:color="auto" w:sz="4" w:space="0"/>
            </w:tcBorders>
            <w:noWrap w:val="0"/>
          </w:tcPr>
          <w:p w14:paraId="2F68A71C"/>
        </w:tc>
        <w:tc>
          <w:tcPr>
            <w:tcW w:w="1944" w:type="dxa"/>
            <w:tcBorders>
              <w:top w:val="single" w:color="auto" w:sz="4" w:space="0"/>
              <w:left w:val="single" w:color="auto" w:sz="4" w:space="0"/>
              <w:bottom w:val="single" w:color="auto" w:sz="4" w:space="0"/>
              <w:right w:val="single" w:color="auto" w:sz="4" w:space="0"/>
            </w:tcBorders>
            <w:noWrap w:val="0"/>
          </w:tcPr>
          <w:p w14:paraId="53E4D505">
            <w:pPr>
              <w:spacing w:before="156" w:line="360" w:lineRule="auto"/>
              <w:rPr>
                <w:rFonts w:ascii="宋体" w:hAnsi="宋体" w:cs="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tcPr>
          <w:p w14:paraId="13FDB80C">
            <w:pPr>
              <w:spacing w:before="156" w:line="360" w:lineRule="auto"/>
              <w:ind w:left="43"/>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506BA021">
            <w:pPr>
              <w:spacing w:before="156" w:line="360" w:lineRule="auto"/>
              <w:ind w:left="43"/>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04292118">
            <w:pPr>
              <w:spacing w:before="156" w:line="360" w:lineRule="auto"/>
              <w:ind w:left="43"/>
              <w:jc w:val="center"/>
              <w:rPr>
                <w:rFonts w:ascii="宋体" w:hAnsi="宋体" w:cs="宋体"/>
                <w:color w:val="auto"/>
                <w:szCs w:val="21"/>
                <w:highlight w:val="none"/>
              </w:rPr>
            </w:pPr>
          </w:p>
        </w:tc>
      </w:tr>
      <w:tr w14:paraId="4DB2DA6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272" w:type="dxa"/>
            <w:tcBorders>
              <w:top w:val="single" w:color="auto" w:sz="4" w:space="0"/>
              <w:left w:val="single" w:color="auto" w:sz="4" w:space="0"/>
              <w:bottom w:val="single" w:color="auto" w:sz="4" w:space="0"/>
              <w:right w:val="single" w:color="auto" w:sz="4" w:space="0"/>
            </w:tcBorders>
            <w:noWrap w:val="0"/>
          </w:tcPr>
          <w:p w14:paraId="1FBB5744"/>
        </w:tc>
        <w:tc>
          <w:tcPr>
            <w:tcW w:w="1944" w:type="dxa"/>
            <w:tcBorders>
              <w:top w:val="single" w:color="auto" w:sz="4" w:space="0"/>
              <w:left w:val="single" w:color="auto" w:sz="4" w:space="0"/>
              <w:bottom w:val="single" w:color="auto" w:sz="4" w:space="0"/>
              <w:right w:val="single" w:color="auto" w:sz="4" w:space="0"/>
            </w:tcBorders>
            <w:noWrap w:val="0"/>
          </w:tcPr>
          <w:p w14:paraId="55005B51">
            <w:pPr>
              <w:spacing w:before="156" w:line="360" w:lineRule="auto"/>
              <w:rPr>
                <w:rFonts w:ascii="宋体" w:hAnsi="宋体" w:cs="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tcPr>
          <w:p w14:paraId="0EBB49E8">
            <w:pPr>
              <w:spacing w:before="156" w:line="360" w:lineRule="auto"/>
              <w:ind w:left="43"/>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5DAB32D2">
            <w:pPr>
              <w:spacing w:before="156" w:line="360" w:lineRule="auto"/>
              <w:ind w:left="43"/>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62FBCBA3">
            <w:pPr>
              <w:spacing w:before="156" w:line="360" w:lineRule="auto"/>
              <w:ind w:left="43"/>
              <w:jc w:val="center"/>
              <w:rPr>
                <w:rFonts w:ascii="宋体" w:hAnsi="宋体" w:cs="宋体"/>
                <w:color w:val="auto"/>
                <w:szCs w:val="21"/>
                <w:highlight w:val="none"/>
              </w:rPr>
            </w:pPr>
          </w:p>
        </w:tc>
      </w:tr>
      <w:tr w14:paraId="0BA6D49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272" w:type="dxa"/>
            <w:tcBorders>
              <w:top w:val="single" w:color="auto" w:sz="4" w:space="0"/>
              <w:left w:val="single" w:color="auto" w:sz="4" w:space="0"/>
              <w:bottom w:val="single" w:color="auto" w:sz="4" w:space="0"/>
              <w:right w:val="single" w:color="auto" w:sz="4" w:space="0"/>
            </w:tcBorders>
            <w:noWrap w:val="0"/>
          </w:tcPr>
          <w:p w14:paraId="09240FDC"/>
        </w:tc>
        <w:tc>
          <w:tcPr>
            <w:tcW w:w="1944" w:type="dxa"/>
            <w:tcBorders>
              <w:top w:val="single" w:color="auto" w:sz="4" w:space="0"/>
              <w:left w:val="single" w:color="auto" w:sz="4" w:space="0"/>
              <w:bottom w:val="single" w:color="auto" w:sz="4" w:space="0"/>
              <w:right w:val="single" w:color="auto" w:sz="4" w:space="0"/>
            </w:tcBorders>
            <w:noWrap w:val="0"/>
          </w:tcPr>
          <w:p w14:paraId="6A3FC34C">
            <w:pPr>
              <w:spacing w:before="156" w:line="360" w:lineRule="auto"/>
              <w:rPr>
                <w:rFonts w:ascii="宋体" w:hAnsi="宋体" w:cs="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noWrap w:val="0"/>
          </w:tcPr>
          <w:p w14:paraId="1E8197BA">
            <w:pPr>
              <w:spacing w:before="156" w:line="360" w:lineRule="auto"/>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070D2BE6">
            <w:pPr>
              <w:spacing w:before="156" w:line="360" w:lineRule="auto"/>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337E76FD">
            <w:pPr>
              <w:spacing w:before="156" w:line="360" w:lineRule="auto"/>
              <w:jc w:val="center"/>
              <w:rPr>
                <w:rFonts w:ascii="宋体" w:hAnsi="宋体" w:cs="宋体"/>
                <w:color w:val="auto"/>
                <w:szCs w:val="21"/>
                <w:highlight w:val="none"/>
              </w:rPr>
            </w:pPr>
          </w:p>
        </w:tc>
      </w:tr>
      <w:tr w14:paraId="24EBCD6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272" w:type="dxa"/>
            <w:tcBorders>
              <w:top w:val="single" w:color="auto" w:sz="4" w:space="0"/>
              <w:left w:val="single" w:color="auto" w:sz="4" w:space="0"/>
              <w:bottom w:val="single" w:color="auto" w:sz="4" w:space="0"/>
              <w:right w:val="single" w:color="auto" w:sz="4" w:space="0"/>
            </w:tcBorders>
            <w:noWrap w:val="0"/>
          </w:tcPr>
          <w:p w14:paraId="17D15B47"/>
        </w:tc>
        <w:tc>
          <w:tcPr>
            <w:tcW w:w="1944" w:type="dxa"/>
            <w:tcBorders>
              <w:top w:val="single" w:color="auto" w:sz="4" w:space="0"/>
              <w:left w:val="single" w:color="auto" w:sz="4" w:space="0"/>
              <w:bottom w:val="single" w:color="auto" w:sz="4" w:space="0"/>
              <w:right w:val="single" w:color="auto" w:sz="4" w:space="0"/>
            </w:tcBorders>
            <w:noWrap w:val="0"/>
          </w:tcPr>
          <w:p w14:paraId="2FBB27E5"/>
        </w:tc>
        <w:tc>
          <w:tcPr>
            <w:tcW w:w="1428" w:type="dxa"/>
            <w:tcBorders>
              <w:top w:val="single" w:color="auto" w:sz="4" w:space="0"/>
              <w:left w:val="single" w:color="auto" w:sz="4" w:space="0"/>
              <w:bottom w:val="single" w:color="auto" w:sz="4" w:space="0"/>
              <w:right w:val="single" w:color="auto" w:sz="4" w:space="0"/>
            </w:tcBorders>
            <w:noWrap w:val="0"/>
          </w:tcPr>
          <w:p w14:paraId="18F3317D">
            <w:pPr>
              <w:spacing w:before="156" w:line="360" w:lineRule="auto"/>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04F43AE6">
            <w:pPr>
              <w:spacing w:before="156" w:line="360" w:lineRule="auto"/>
              <w:jc w:val="center"/>
              <w:rPr>
                <w:rFonts w:ascii="宋体" w:hAnsi="宋体" w:cs="宋体"/>
                <w:color w:val="auto"/>
                <w:szCs w:val="21"/>
                <w:highlight w:val="none"/>
              </w:rPr>
            </w:pPr>
          </w:p>
        </w:tc>
        <w:tc>
          <w:tcPr>
            <w:tcW w:w="1992" w:type="dxa"/>
            <w:tcBorders>
              <w:top w:val="single" w:color="auto" w:sz="4" w:space="0"/>
              <w:left w:val="single" w:color="auto" w:sz="4" w:space="0"/>
              <w:bottom w:val="single" w:color="auto" w:sz="4" w:space="0"/>
              <w:right w:val="single" w:color="auto" w:sz="4" w:space="0"/>
            </w:tcBorders>
            <w:noWrap w:val="0"/>
          </w:tcPr>
          <w:p w14:paraId="109EDE1D">
            <w:pPr>
              <w:spacing w:before="156" w:line="360" w:lineRule="auto"/>
              <w:jc w:val="center"/>
              <w:rPr>
                <w:rFonts w:ascii="宋体" w:hAnsi="宋体" w:cs="宋体"/>
                <w:color w:val="auto"/>
                <w:szCs w:val="21"/>
                <w:highlight w:val="none"/>
              </w:rPr>
            </w:pPr>
          </w:p>
        </w:tc>
      </w:tr>
    </w:tbl>
    <w:p w14:paraId="256C1CF2">
      <w:pPr>
        <w:spacing w:line="360" w:lineRule="auto"/>
        <w:ind w:firstLine="420"/>
        <w:rPr>
          <w:rFonts w:hint="eastAsia" w:ascii="宋体" w:hAnsi="宋体" w:cs="宋体"/>
          <w:color w:val="auto"/>
          <w:szCs w:val="21"/>
          <w:highlight w:val="none"/>
        </w:rPr>
      </w:pPr>
    </w:p>
    <w:p w14:paraId="0193DDE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注：1、行数不够，可自行添加。</w:t>
      </w:r>
    </w:p>
    <w:p w14:paraId="5E8DEF2A">
      <w:pPr>
        <w:spacing w:line="360" w:lineRule="auto"/>
        <w:ind w:firstLine="420"/>
        <w:jc w:val="left"/>
        <w:rPr>
          <w:rFonts w:hint="eastAsia" w:ascii="宋体" w:cs="宋体"/>
          <w:szCs w:val="21"/>
          <w:highlight w:val="none"/>
          <w:lang w:val="zh-CN"/>
        </w:rPr>
      </w:pPr>
    </w:p>
    <w:p w14:paraId="14380E75">
      <w:pPr>
        <w:spacing w:line="360" w:lineRule="auto"/>
        <w:ind w:firstLine="420"/>
        <w:jc w:val="left"/>
        <w:rPr>
          <w:rFonts w:ascii="宋体" w:cs="宋体"/>
          <w:szCs w:val="21"/>
          <w:highlight w:val="none"/>
          <w:lang w:val="zh-CN"/>
        </w:rPr>
      </w:pPr>
      <w:r>
        <w:rPr>
          <w:rFonts w:hint="eastAsia" w:ascii="宋体" w:cs="宋体"/>
          <w:szCs w:val="21"/>
          <w:highlight w:val="none"/>
          <w:lang w:val="zh-CN"/>
        </w:rPr>
        <w:t>供应商名称：</w:t>
      </w:r>
      <w:r>
        <w:rPr>
          <w:rFonts w:hint="eastAsia" w:ascii="宋体" w:cs="宋体"/>
          <w:szCs w:val="21"/>
          <w:highlight w:val="none"/>
          <w:u w:val="single"/>
          <w:lang w:val="zh-CN"/>
        </w:rPr>
        <w:t xml:space="preserve">                 </w:t>
      </w:r>
      <w:r>
        <w:rPr>
          <w:rFonts w:hint="eastAsia" w:ascii="宋体" w:cs="宋体"/>
          <w:szCs w:val="21"/>
          <w:highlight w:val="none"/>
          <w:lang w:val="zh-CN"/>
        </w:rPr>
        <w:t>（电子公章）</w:t>
      </w:r>
    </w:p>
    <w:p w14:paraId="4C54F38E">
      <w:pPr>
        <w:widowControl/>
        <w:spacing w:line="360" w:lineRule="auto"/>
        <w:jc w:val="left"/>
        <w:rPr>
          <w:rFonts w:ascii="宋体" w:cs="宋体"/>
          <w:szCs w:val="21"/>
          <w:highlight w:val="none"/>
          <w:lang w:val="zh-CN"/>
        </w:rPr>
      </w:pPr>
      <w:r>
        <w:rPr>
          <w:rFonts w:hint="eastAsia" w:ascii="宋体" w:cs="宋体"/>
          <w:szCs w:val="21"/>
          <w:highlight w:val="none"/>
          <w:lang w:val="zh-CN"/>
        </w:rPr>
        <w:t xml:space="preserve">    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p>
    <w:p w14:paraId="5211428C">
      <w:pPr>
        <w:spacing w:line="360" w:lineRule="auto"/>
        <w:ind w:firstLine="420"/>
        <w:jc w:val="left"/>
        <w:rPr>
          <w:rFonts w:ascii="宋体" w:cs="宋体"/>
          <w:szCs w:val="21"/>
          <w:highlight w:val="none"/>
          <w:lang w:val="zh-CN"/>
        </w:rPr>
      </w:pPr>
      <w:r>
        <w:rPr>
          <w:rFonts w:hint="eastAsia" w:ascii="宋体" w:cs="宋体"/>
          <w:szCs w:val="21"/>
          <w:highlight w:val="none"/>
          <w:lang w:val="zh-CN"/>
        </w:rPr>
        <w:t>日    期：</w:t>
      </w:r>
      <w:r>
        <w:rPr>
          <w:rFonts w:hint="eastAsia" w:ascii="宋体" w:cs="宋体"/>
          <w:szCs w:val="21"/>
          <w:highlight w:val="none"/>
          <w:u w:val="single"/>
          <w:lang w:val="zh-CN"/>
        </w:rPr>
        <w:t xml:space="preserve">       </w:t>
      </w:r>
      <w:r>
        <w:rPr>
          <w:rFonts w:hint="eastAsia" w:ascii="宋体" w:cs="宋体"/>
          <w:szCs w:val="21"/>
          <w:highlight w:val="none"/>
          <w:lang w:val="zh-CN"/>
        </w:rPr>
        <w:t>年</w:t>
      </w:r>
      <w:r>
        <w:rPr>
          <w:rFonts w:hint="eastAsia" w:ascii="宋体" w:cs="宋体"/>
          <w:szCs w:val="21"/>
          <w:highlight w:val="none"/>
          <w:u w:val="single"/>
          <w:lang w:val="zh-CN"/>
        </w:rPr>
        <w:t xml:space="preserve">    </w:t>
      </w:r>
      <w:r>
        <w:rPr>
          <w:rFonts w:hint="eastAsia" w:ascii="宋体" w:cs="宋体"/>
          <w:szCs w:val="21"/>
          <w:highlight w:val="none"/>
          <w:lang w:val="zh-CN"/>
        </w:rPr>
        <w:t>月</w:t>
      </w:r>
      <w:r>
        <w:rPr>
          <w:rFonts w:hint="eastAsia" w:ascii="宋体" w:cs="宋体"/>
          <w:szCs w:val="21"/>
          <w:highlight w:val="none"/>
          <w:u w:val="single"/>
          <w:lang w:val="zh-CN"/>
        </w:rPr>
        <w:t xml:space="preserve">    </w:t>
      </w:r>
      <w:r>
        <w:rPr>
          <w:rFonts w:hint="eastAsia" w:ascii="宋体" w:cs="宋体"/>
          <w:szCs w:val="21"/>
          <w:highlight w:val="none"/>
          <w:lang w:val="zh-CN"/>
        </w:rPr>
        <w:t>日</w:t>
      </w:r>
    </w:p>
    <w:p w14:paraId="0986B63C">
      <w:pPr>
        <w:widowControl/>
        <w:spacing w:line="360" w:lineRule="auto"/>
        <w:jc w:val="center"/>
        <w:outlineLvl w:val="0"/>
        <w:rPr>
          <w:rFonts w:hint="eastAsia" w:ascii="宋体" w:hAnsi="宋体" w:eastAsia="宋体" w:cs="宋体"/>
          <w:b/>
          <w:bCs w:val="0"/>
          <w:color w:val="auto"/>
          <w:sz w:val="32"/>
          <w:szCs w:val="32"/>
          <w:highlight w:val="none"/>
          <w:lang w:val="en-US" w:eastAsia="zh-CN" w:bidi="ar-SA"/>
        </w:rPr>
      </w:pPr>
    </w:p>
    <w:p w14:paraId="1EA9D8CB">
      <w:pPr>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br w:type="page" w:clear="all"/>
      </w:r>
    </w:p>
    <w:p w14:paraId="4E89E08E">
      <w:pPr>
        <w:widowControl/>
        <w:numPr>
          <w:ilvl w:val="0"/>
          <w:numId w:val="6"/>
        </w:numPr>
        <w:spacing w:line="360" w:lineRule="auto"/>
        <w:jc w:val="center"/>
        <w:outlineLvl w:val="0"/>
        <w:rPr>
          <w:rFonts w:hint="eastAsia" w:ascii="宋体" w:hAnsi="宋体" w:cs="宋体"/>
          <w:b/>
          <w:bCs w:val="0"/>
          <w:color w:val="auto"/>
          <w:sz w:val="32"/>
          <w:szCs w:val="32"/>
          <w:highlight w:val="none"/>
          <w:lang w:val="en-US" w:eastAsia="zh-CN" w:bidi="ar-SA"/>
        </w:rPr>
      </w:pPr>
      <w:r>
        <w:rPr>
          <w:rFonts w:hint="eastAsia" w:ascii="宋体" w:hAnsi="宋体" w:cs="宋体"/>
          <w:b/>
          <w:bCs w:val="0"/>
          <w:color w:val="auto"/>
          <w:sz w:val="32"/>
          <w:szCs w:val="32"/>
          <w:highlight w:val="none"/>
          <w:lang w:val="en-US" w:eastAsia="zh-CN" w:bidi="ar-SA"/>
        </w:rPr>
        <w:t>评分标准中的相关证明材料</w:t>
      </w:r>
    </w:p>
    <w:p w14:paraId="40ADB39A">
      <w:pPr>
        <w:pStyle w:val="62"/>
        <w:numPr>
          <w:ilvl w:val="0"/>
          <w:numId w:val="0"/>
        </w:numPr>
        <w:rPr>
          <w:rFonts w:hint="default"/>
          <w:lang w:val="en-US" w:eastAsia="zh-CN"/>
        </w:rPr>
      </w:pPr>
    </w:p>
    <w:p w14:paraId="0A1102AC">
      <w:pPr>
        <w:pStyle w:val="56"/>
        <w:ind w:firstLine="422"/>
        <w:jc w:val="center"/>
        <w:rPr>
          <w:rFonts w:hint="eastAsia" w:ascii="宋体" w:hAnsi="宋体" w:cs="宋体"/>
          <w:b/>
          <w:bCs w:val="0"/>
          <w:color w:val="auto"/>
          <w:sz w:val="32"/>
          <w:szCs w:val="32"/>
          <w:highlight w:val="none"/>
          <w:lang w:val="en-US" w:eastAsia="zh-CN" w:bidi="ar-SA"/>
        </w:rPr>
      </w:pPr>
      <w:r>
        <w:rPr>
          <w:rFonts w:hint="eastAsia" w:cs="宋体"/>
          <w:b/>
          <w:bCs w:val="0"/>
          <w:color w:val="auto"/>
          <w:sz w:val="32"/>
          <w:szCs w:val="32"/>
          <w:highlight w:val="none"/>
          <w:lang w:val="en-US" w:eastAsia="zh-CN" w:bidi="ar-SA"/>
        </w:rPr>
        <w:t>八</w:t>
      </w:r>
      <w:r>
        <w:rPr>
          <w:rFonts w:hint="eastAsia" w:ascii="宋体" w:hAnsi="宋体" w:cs="宋体"/>
          <w:b/>
          <w:bCs w:val="0"/>
          <w:color w:val="auto"/>
          <w:sz w:val="32"/>
          <w:szCs w:val="32"/>
          <w:highlight w:val="none"/>
          <w:lang w:val="en-US" w:eastAsia="zh-CN" w:bidi="ar-SA"/>
        </w:rPr>
        <w:t>、投标需要的其他证明文件及材料</w:t>
      </w:r>
    </w:p>
    <w:p w14:paraId="4A4E998F">
      <w:pPr>
        <w:pStyle w:val="56"/>
        <w:ind w:firstLine="422"/>
        <w:jc w:val="center"/>
        <w:rPr>
          <w:rFonts w:hint="eastAsia" w:ascii="宋体" w:hAnsi="宋体" w:eastAsia="宋体"/>
          <w:b w:val="0"/>
          <w:bCs/>
          <w:color w:val="000000"/>
          <w:sz w:val="21"/>
          <w:szCs w:val="21"/>
        </w:rPr>
      </w:pPr>
      <w:r>
        <w:rPr>
          <w:rFonts w:hint="eastAsia" w:ascii="宋体" w:hAnsi="宋体" w:cs="宋体"/>
          <w:b w:val="0"/>
          <w:bCs/>
          <w:color w:val="auto"/>
          <w:sz w:val="32"/>
          <w:szCs w:val="32"/>
          <w:highlight w:val="none"/>
          <w:lang w:val="en-US" w:eastAsia="zh-CN" w:bidi="ar-SA"/>
        </w:rPr>
        <w:t>投标需要的其他证明文件及材料（若有）</w:t>
      </w:r>
    </w:p>
    <w:p w14:paraId="6E63B3A2">
      <w:pPr>
        <w:widowControl/>
        <w:spacing w:line="360" w:lineRule="auto"/>
        <w:jc w:val="center"/>
        <w:outlineLvl w:val="0"/>
        <w:rPr>
          <w:rFonts w:hint="eastAsia" w:ascii="宋体" w:hAnsi="宋体" w:cs="宋体"/>
          <w:b/>
          <w:bCs w:val="0"/>
          <w:color w:val="auto"/>
          <w:sz w:val="32"/>
          <w:szCs w:val="32"/>
          <w:highlight w:val="none"/>
          <w:lang w:val="en-US" w:eastAsia="zh-CN" w:bidi="ar-SA"/>
        </w:rPr>
      </w:pPr>
    </w:p>
    <w:p w14:paraId="781803F7">
      <w:pPr>
        <w:keepNext/>
        <w:keepLines/>
        <w:widowControl/>
        <w:spacing w:line="360" w:lineRule="auto"/>
        <w:jc w:val="center"/>
        <w:outlineLvl w:val="0"/>
        <w:rPr>
          <w:rFonts w:hint="eastAsia" w:ascii="宋体" w:hAnsi="宋体" w:cs="宋体"/>
          <w:b/>
          <w:color w:val="auto"/>
          <w:sz w:val="32"/>
          <w:szCs w:val="32"/>
          <w:highlight w:val="none"/>
          <w:lang w:val="en-US" w:eastAsia="zh-CN" w:bidi="ar-SA"/>
        </w:rPr>
      </w:pPr>
      <w:r>
        <w:rPr>
          <w:rFonts w:hint="eastAsia" w:ascii="宋体" w:hAnsi="宋体" w:cs="宋体"/>
          <w:b/>
          <w:bCs w:val="0"/>
          <w:color w:val="auto"/>
          <w:sz w:val="32"/>
          <w:szCs w:val="32"/>
          <w:highlight w:val="none"/>
          <w:lang w:val="en-US" w:eastAsia="zh-CN" w:bidi="ar-SA"/>
        </w:rPr>
        <w:t>附件一、</w:t>
      </w:r>
      <w:r>
        <w:rPr>
          <w:rFonts w:hint="eastAsia" w:ascii="宋体" w:hAnsi="宋体" w:cs="宋体"/>
          <w:b/>
          <w:color w:val="auto"/>
          <w:sz w:val="32"/>
          <w:szCs w:val="32"/>
          <w:highlight w:val="none"/>
          <w:lang w:val="en-US" w:eastAsia="zh-CN" w:bidi="ar-SA"/>
        </w:rPr>
        <w:t>中小企业声明函（服务）</w:t>
      </w:r>
    </w:p>
    <w:p w14:paraId="526AB479">
      <w:pPr>
        <w:pStyle w:val="205"/>
        <w:spacing w:line="494" w:lineRule="exact"/>
        <w:ind w:firstLine="640"/>
        <w:jc w:val="both"/>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本公司郑重声明，根据《政府采购促进中小企业发展管理办法》（财库〔2020）46号）的规定，本公司参加 </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 xml:space="preserve">（单位名称）的 </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（项目名称）釆购活动，服务全部由符合政策要求的中小企业承接。相关企业的具体情况如下：</w:t>
      </w:r>
    </w:p>
    <w:p w14:paraId="16AE1325">
      <w:pPr>
        <w:pStyle w:val="205"/>
        <w:numPr>
          <w:ilvl w:val="0"/>
          <w:numId w:val="7"/>
        </w:numPr>
        <w:tabs>
          <w:tab w:val="left" w:pos="1166"/>
          <w:tab w:val="left" w:pos="6653"/>
        </w:tabs>
        <w:spacing w:line="494" w:lineRule="exact"/>
        <w:ind w:firstLine="420" w:firstLineChars="200"/>
        <w:jc w:val="both"/>
        <w:rPr>
          <w:rFonts w:hint="default" w:ascii="Times New Roman" w:hAnsi="Times New Roman" w:cs="Times New Roman"/>
          <w:color w:val="auto"/>
          <w:sz w:val="21"/>
          <w:szCs w:val="21"/>
          <w:highlight w:val="none"/>
          <w:lang w:val="zh-CN" w:eastAsia="zh-CN" w:bidi="ar-SA"/>
        </w:rPr>
      </w:pPr>
      <w:bookmarkStart w:id="20" w:name="bookmark26"/>
      <w:bookmarkEnd w:id="20"/>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（标的名称）,属于</w:t>
      </w:r>
      <w:r>
        <w:rPr>
          <w:rFonts w:hint="default" w:ascii="Times New Roman" w:hAnsi="Times New Roman" w:cs="Times New Roman"/>
          <w:color w:val="auto"/>
          <w:sz w:val="21"/>
          <w:szCs w:val="21"/>
          <w:highlight w:val="none"/>
          <w:u w:val="single"/>
          <w:lang w:val="en-US" w:eastAsia="zh-CN" w:bidi="ar-SA"/>
        </w:rPr>
        <w:t xml:space="preserve">     其他未列明行业       </w:t>
      </w:r>
      <w:r>
        <w:rPr>
          <w:rFonts w:hint="default" w:ascii="Times New Roman" w:hAnsi="Times New Roman" w:cs="Times New Roman"/>
          <w:b/>
          <w:bCs/>
          <w:color w:val="auto"/>
          <w:sz w:val="21"/>
          <w:szCs w:val="21"/>
          <w:highlight w:val="none"/>
          <w:lang w:val="en-US" w:eastAsia="zh-CN" w:bidi="ar-SA"/>
        </w:rPr>
        <w:t>（采购文件中明确的所属行业）</w:t>
      </w:r>
      <w:r>
        <w:rPr>
          <w:rFonts w:hint="default" w:ascii="Times New Roman" w:hAnsi="Times New Roman" w:cs="Times New Roman"/>
          <w:color w:val="auto"/>
          <w:sz w:val="21"/>
          <w:szCs w:val="21"/>
          <w:highlight w:val="none"/>
          <w:lang w:val="en-US" w:eastAsia="zh-CN" w:bidi="ar-SA"/>
        </w:rPr>
        <w:t>； 承接（承建）企业为</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（企业名称）,从业人员</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u w:val="single"/>
          <w:lang w:val="en-US" w:eastAsia="zh-CN" w:bidi="ar-SA"/>
        </w:rPr>
        <w:tab/>
      </w:r>
      <w:r>
        <w:rPr>
          <w:rFonts w:hint="default" w:ascii="Times New Roman" w:hAnsi="Times New Roman" w:cs="Times New Roman"/>
          <w:color w:val="auto"/>
          <w:sz w:val="21"/>
          <w:szCs w:val="21"/>
          <w:highlight w:val="none"/>
          <w:lang w:val="en-US" w:eastAsia="zh-CN" w:bidi="ar-SA"/>
        </w:rPr>
        <w:t>人，营业收入为</w:t>
      </w:r>
      <w:r>
        <w:rPr>
          <w:rFonts w:hint="default" w:ascii="Times New Roman" w:hAnsi="Times New Roman" w:cs="Times New Roman"/>
          <w:color w:val="auto"/>
          <w:sz w:val="21"/>
          <w:szCs w:val="21"/>
          <w:highlight w:val="none"/>
          <w:u w:val="single"/>
          <w:lang w:val="en-US" w:eastAsia="zh-CN" w:bidi="ar-SA"/>
        </w:rPr>
        <w:tab/>
      </w:r>
      <w:r>
        <w:rPr>
          <w:rFonts w:hint="default" w:ascii="Times New Roman" w:hAnsi="Times New Roman" w:cs="Times New Roman"/>
          <w:color w:val="auto"/>
          <w:sz w:val="21"/>
          <w:szCs w:val="21"/>
          <w:highlight w:val="none"/>
          <w:lang w:val="en-US" w:eastAsia="zh-CN" w:bidi="ar-SA"/>
        </w:rPr>
        <w:t>万元，资产总额为</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万元，属于</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（中型企业、 小型企业、微型企</w:t>
      </w:r>
      <w:r>
        <w:rPr>
          <w:rFonts w:hint="default" w:ascii="Times New Roman" w:hAnsi="Times New Roman" w:cs="Times New Roman"/>
          <w:color w:val="auto"/>
          <w:sz w:val="21"/>
          <w:szCs w:val="21"/>
          <w:highlight w:val="none"/>
          <w:lang w:val="zh-CN" w:eastAsia="zh-CN" w:bidi="ar-SA"/>
        </w:rPr>
        <w:t>业）；</w:t>
      </w:r>
    </w:p>
    <w:p w14:paraId="09841C4A">
      <w:pPr>
        <w:pStyle w:val="205"/>
        <w:tabs>
          <w:tab w:val="left" w:pos="1166"/>
          <w:tab w:val="left" w:pos="6653"/>
        </w:tabs>
        <w:spacing w:line="494" w:lineRule="exact"/>
        <w:ind w:firstLine="420" w:firstLineChars="200"/>
        <w:jc w:val="both"/>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2、</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（标的名称）,属于</w:t>
      </w:r>
      <w:r>
        <w:rPr>
          <w:rFonts w:hint="default" w:ascii="Times New Roman" w:hAnsi="Times New Roman" w:cs="Times New Roman"/>
          <w:color w:val="auto"/>
          <w:sz w:val="21"/>
          <w:szCs w:val="21"/>
          <w:highlight w:val="none"/>
          <w:u w:val="single"/>
          <w:lang w:val="en-US" w:eastAsia="zh-CN" w:bidi="ar-SA"/>
        </w:rPr>
        <w:t xml:space="preserve">    其他未列明行业        </w:t>
      </w:r>
      <w:r>
        <w:rPr>
          <w:rFonts w:hint="default" w:ascii="Times New Roman" w:hAnsi="Times New Roman" w:cs="Times New Roman"/>
          <w:b/>
          <w:bCs/>
          <w:color w:val="auto"/>
          <w:sz w:val="21"/>
          <w:szCs w:val="21"/>
          <w:highlight w:val="none"/>
          <w:lang w:val="en-US" w:eastAsia="zh-CN" w:bidi="ar-SA"/>
        </w:rPr>
        <w:t>（采购文件中明确的所属行业）</w:t>
      </w:r>
      <w:r>
        <w:rPr>
          <w:rFonts w:hint="default" w:ascii="Times New Roman" w:hAnsi="Times New Roman" w:cs="Times New Roman"/>
          <w:color w:val="auto"/>
          <w:sz w:val="21"/>
          <w:szCs w:val="21"/>
          <w:highlight w:val="none"/>
          <w:lang w:val="en-US" w:eastAsia="zh-CN" w:bidi="ar-SA"/>
        </w:rPr>
        <w:t>； 承接（承建）企业为</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（企业名称）,从业人员</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u w:val="single"/>
          <w:lang w:val="en-US" w:eastAsia="zh-CN" w:bidi="ar-SA"/>
        </w:rPr>
        <w:tab/>
      </w:r>
      <w:r>
        <w:rPr>
          <w:rFonts w:hint="default" w:ascii="Times New Roman" w:hAnsi="Times New Roman" w:cs="Times New Roman"/>
          <w:color w:val="auto"/>
          <w:sz w:val="21"/>
          <w:szCs w:val="21"/>
          <w:highlight w:val="none"/>
          <w:lang w:val="en-US" w:eastAsia="zh-CN" w:bidi="ar-SA"/>
        </w:rPr>
        <w:t>人，营业收入为</w:t>
      </w:r>
      <w:r>
        <w:rPr>
          <w:rFonts w:hint="default" w:ascii="Times New Roman" w:hAnsi="Times New Roman" w:cs="Times New Roman"/>
          <w:color w:val="auto"/>
          <w:sz w:val="21"/>
          <w:szCs w:val="21"/>
          <w:highlight w:val="none"/>
          <w:u w:val="single"/>
          <w:lang w:val="en-US" w:eastAsia="zh-CN" w:bidi="ar-SA"/>
        </w:rPr>
        <w:tab/>
      </w:r>
      <w:r>
        <w:rPr>
          <w:rFonts w:hint="default" w:ascii="Times New Roman" w:hAnsi="Times New Roman" w:cs="Times New Roman"/>
          <w:color w:val="auto"/>
          <w:sz w:val="21"/>
          <w:szCs w:val="21"/>
          <w:highlight w:val="none"/>
          <w:lang w:val="en-US" w:eastAsia="zh-CN" w:bidi="ar-SA"/>
        </w:rPr>
        <w:t>万元，资产总额为</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万元，属于</w:t>
      </w:r>
      <w:r>
        <w:rPr>
          <w:rFonts w:hint="default" w:ascii="Times New Roman" w:hAnsi="Times New Roman" w:cs="Times New Roman"/>
          <w:color w:val="auto"/>
          <w:sz w:val="21"/>
          <w:szCs w:val="21"/>
          <w:highlight w:val="none"/>
          <w:u w:val="single"/>
          <w:lang w:val="en-US" w:eastAsia="zh-CN" w:bidi="ar-SA"/>
        </w:rPr>
        <w:t xml:space="preserve">                </w:t>
      </w:r>
      <w:r>
        <w:rPr>
          <w:rFonts w:hint="default" w:ascii="Times New Roman" w:hAnsi="Times New Roman" w:cs="Times New Roman"/>
          <w:color w:val="auto"/>
          <w:sz w:val="21"/>
          <w:szCs w:val="21"/>
          <w:highlight w:val="none"/>
          <w:lang w:val="en-US" w:eastAsia="zh-CN" w:bidi="ar-SA"/>
        </w:rPr>
        <w:t>（中型企业、 小型企业、微型企</w:t>
      </w:r>
      <w:r>
        <w:rPr>
          <w:rFonts w:hint="default" w:ascii="Times New Roman" w:hAnsi="Times New Roman" w:cs="Times New Roman"/>
          <w:color w:val="auto"/>
          <w:sz w:val="21"/>
          <w:szCs w:val="21"/>
          <w:highlight w:val="none"/>
          <w:lang w:val="zh-CN" w:eastAsia="zh-CN" w:bidi="ar-SA"/>
        </w:rPr>
        <w:t>业）；</w:t>
      </w:r>
    </w:p>
    <w:p w14:paraId="29E54126">
      <w:pPr>
        <w:pStyle w:val="205"/>
        <w:tabs>
          <w:tab w:val="left" w:pos="1166"/>
          <w:tab w:val="left" w:pos="6653"/>
        </w:tabs>
        <w:spacing w:line="494" w:lineRule="exact"/>
        <w:ind w:firstLine="0"/>
        <w:jc w:val="both"/>
        <w:rPr>
          <w:rFonts w:hint="default" w:ascii="Times New Roman" w:hAnsi="Times New Roman" w:cs="Times New Roman"/>
          <w:color w:val="auto"/>
          <w:sz w:val="21"/>
          <w:szCs w:val="21"/>
          <w:highlight w:val="none"/>
          <w:lang w:val="en-US" w:eastAsia="zh-CN" w:bidi="ar-SA"/>
        </w:rPr>
      </w:pPr>
    </w:p>
    <w:p w14:paraId="1C4813A0">
      <w:pPr>
        <w:pStyle w:val="205"/>
        <w:spacing w:line="499" w:lineRule="exact"/>
        <w:ind w:firstLine="640"/>
        <w:jc w:val="both"/>
        <w:rPr>
          <w:rFonts w:hint="default" w:ascii="Times New Roman" w:hAnsi="Times New Roman" w:cs="Times New Roman"/>
          <w:b/>
          <w:bCs/>
          <w:color w:val="auto"/>
          <w:sz w:val="21"/>
          <w:szCs w:val="21"/>
          <w:highlight w:val="none"/>
          <w:lang w:val="en-US" w:eastAsia="zh-CN" w:bidi="ar-SA"/>
        </w:rPr>
      </w:pPr>
      <w:bookmarkStart w:id="21" w:name="bookmark27"/>
      <w:bookmarkEnd w:id="21"/>
      <w:r>
        <w:rPr>
          <w:rFonts w:hint="default" w:ascii="Times New Roman" w:hAnsi="Times New Roman" w:cs="Times New Roman"/>
          <w:b/>
          <w:bCs/>
          <w:color w:val="auto"/>
          <w:sz w:val="21"/>
          <w:szCs w:val="21"/>
          <w:highlight w:val="none"/>
          <w:lang w:val="en-US" w:eastAsia="zh-CN" w:bidi="ar-SA"/>
        </w:rPr>
        <w:t>以上企业，不属于大企业的分支机构，不存在控股股东为大企业的情形，也不存在与大企业的负责人为同一人的情形。</w:t>
      </w:r>
    </w:p>
    <w:p w14:paraId="531BEC12">
      <w:pPr>
        <w:pStyle w:val="205"/>
        <w:spacing w:line="499" w:lineRule="exact"/>
        <w:ind w:firstLine="640"/>
        <w:jc w:val="both"/>
        <w:rPr>
          <w:rFonts w:hint="default" w:ascii="Times New Roman" w:hAnsi="Times New Roman" w:cs="Times New Roman"/>
          <w:b/>
          <w:bCs/>
          <w:color w:val="auto"/>
          <w:sz w:val="21"/>
          <w:szCs w:val="21"/>
          <w:highlight w:val="none"/>
          <w:lang w:val="en-US" w:eastAsia="zh-CN" w:bidi="ar-SA"/>
        </w:rPr>
      </w:pPr>
      <w:r>
        <w:rPr>
          <w:rFonts w:hint="default" w:ascii="Times New Roman" w:hAnsi="Times New Roman" w:cs="Times New Roman"/>
          <w:b/>
          <w:bCs/>
          <w:color w:val="auto"/>
          <w:sz w:val="21"/>
          <w:szCs w:val="21"/>
          <w:highlight w:val="none"/>
          <w:lang w:val="en-US" w:eastAsia="zh-CN" w:bidi="ar-SA"/>
        </w:rPr>
        <w:t>本企业对上述声明内容的真实性负责。如有虚假，将依法承担相应责任。</w:t>
      </w:r>
    </w:p>
    <w:p w14:paraId="1A92F8EE">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368829B2">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2641F15E">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7E14A39E">
      <w:pPr>
        <w:spacing w:line="360" w:lineRule="auto"/>
        <w:rPr>
          <w:rFonts w:hint="eastAsia" w:ascii="宋体" w:hAnsi="宋体" w:cs="宋体"/>
          <w:b/>
          <w:bCs/>
          <w:color w:val="auto"/>
          <w:highlight w:val="none"/>
        </w:rPr>
      </w:pPr>
    </w:p>
    <w:p w14:paraId="60C65340">
      <w:pPr>
        <w:spacing w:line="360" w:lineRule="auto"/>
        <w:ind w:firstLine="420" w:firstLineChars="200"/>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备注：1.从业人员、营业收入、资产总额填报上一年度数据，无上一年度数据的新成立企业可不填报。</w:t>
      </w:r>
    </w:p>
    <w:p w14:paraId="4C586C5F">
      <w:pPr>
        <w:spacing w:line="360" w:lineRule="auto"/>
        <w:ind w:firstLine="840" w:firstLineChars="400"/>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2.在政府采购活动中，供应商提供的货物、工程或者服务符合下列情形的，享受本办法规定的中小企业扶持政策：</w:t>
      </w:r>
    </w:p>
    <w:p w14:paraId="1BFD53F5">
      <w:pPr>
        <w:spacing w:line="360" w:lineRule="auto"/>
        <w:ind w:firstLine="420" w:firstLineChars="200"/>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（一）在服务采购项目中，服务由中小企业承接，即提供服务的人员为中小企业依照《中华人民共和国劳动合同法》 订立劳动合同的从业人员。</w:t>
      </w:r>
    </w:p>
    <w:p w14:paraId="56305FFD">
      <w:pPr>
        <w:spacing w:line="360" w:lineRule="auto"/>
        <w:ind w:firstLine="420" w:firstLineChars="200"/>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在货物采购项目中，供应商提供的货物既有中小企业制造货物，也有大型企业制造货物的，不享受本办法规定的中小企业扶持政策。</w:t>
      </w:r>
    </w:p>
    <w:p w14:paraId="5CBCCE78">
      <w:pPr>
        <w:spacing w:line="360" w:lineRule="auto"/>
        <w:ind w:firstLine="420" w:firstLineChars="20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rPr>
        <w:t>以联合体形式参加政府采购活动，联合体各方均为中小企业的，联合体视同中小企业。其中，联合体各方均为小</w:t>
      </w:r>
      <w:r>
        <w:rPr>
          <w:rFonts w:hint="default" w:ascii="Times New Roman" w:hAnsi="Times New Roman" w:cs="Times New Roman"/>
          <w:b w:val="0"/>
          <w:bCs w:val="0"/>
          <w:color w:val="auto"/>
          <w:szCs w:val="21"/>
          <w:highlight w:val="none"/>
        </w:rPr>
        <w:t>微企业的，联合体视同小微企业。</w:t>
      </w:r>
    </w:p>
    <w:p w14:paraId="66AA6978">
      <w:pPr>
        <w:spacing w:line="360" w:lineRule="auto"/>
        <w:ind w:firstLine="420" w:firstLineChars="20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中小企业声明函》中所填的行业应与本采购标的对应的中小企业划分标准所属行业一致，不一致的不可享受相应政策优惠。本采购标的对应的中小企业划分标准所属行业，以采购文件第四章《招标书》规定为准。</w:t>
      </w:r>
    </w:p>
    <w:p w14:paraId="225EC366">
      <w:pPr>
        <w:spacing w:line="360" w:lineRule="auto"/>
        <w:ind w:firstLine="420" w:firstLineChars="200"/>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4.如未对（中型企业、小型企业、微型企业）进行勾选，视同非小微企业，不可享受相应扶持政策。</w:t>
      </w:r>
    </w:p>
    <w:p w14:paraId="03E39967">
      <w:pPr>
        <w:spacing w:line="360" w:lineRule="auto"/>
        <w:ind w:firstLine="420" w:firstLineChars="200"/>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5.中标单位为中小企业的，《中小企业声明函》将随中标结果同时公告。</w:t>
      </w:r>
    </w:p>
    <w:p w14:paraId="3ACAB9D2">
      <w:pPr>
        <w:spacing w:line="360" w:lineRule="auto"/>
        <w:rPr>
          <w:rFonts w:hint="eastAsia" w:ascii="宋体" w:hAnsi="Calibri" w:eastAsia="宋体" w:cs="宋体"/>
          <w:b/>
          <w:szCs w:val="24"/>
          <w:highlight w:val="none"/>
        </w:rPr>
      </w:pPr>
    </w:p>
    <w:p w14:paraId="6433B1B6">
      <w:pPr>
        <w:spacing w:line="360" w:lineRule="auto"/>
        <w:rPr>
          <w:rFonts w:hint="eastAsia" w:ascii="宋体" w:hAnsi="Calibri" w:eastAsia="宋体" w:cs="宋体"/>
          <w:b/>
          <w:szCs w:val="24"/>
          <w:highlight w:val="none"/>
        </w:rPr>
      </w:pPr>
    </w:p>
    <w:p w14:paraId="75AB5400">
      <w:pPr>
        <w:spacing w:line="360" w:lineRule="auto"/>
        <w:rPr>
          <w:rFonts w:hint="eastAsia" w:ascii="宋体" w:hAnsi="Calibri" w:eastAsia="宋体" w:cs="宋体"/>
          <w:b/>
          <w:szCs w:val="24"/>
          <w:highlight w:val="none"/>
        </w:rPr>
      </w:pPr>
    </w:p>
    <w:p w14:paraId="57F645AC">
      <w:pPr>
        <w:spacing w:line="360" w:lineRule="auto"/>
        <w:rPr>
          <w:rFonts w:hint="eastAsia" w:ascii="宋体" w:hAnsi="Calibri" w:eastAsia="宋体" w:cs="宋体"/>
          <w:b/>
          <w:szCs w:val="24"/>
          <w:highlight w:val="none"/>
        </w:rPr>
      </w:pPr>
    </w:p>
    <w:p w14:paraId="747DF220">
      <w:pPr>
        <w:spacing w:line="360" w:lineRule="auto"/>
        <w:rPr>
          <w:rFonts w:hint="default" w:ascii="宋体" w:hAnsi="Calibri" w:eastAsia="宋体" w:cs="宋体"/>
          <w:b/>
          <w:szCs w:val="24"/>
          <w:highlight w:val="none"/>
        </w:rPr>
      </w:pPr>
      <w:r>
        <w:rPr>
          <w:rFonts w:hint="eastAsia" w:ascii="宋体" w:hAnsi="Calibri" w:eastAsia="宋体" w:cs="宋体"/>
          <w:b/>
          <w:szCs w:val="24"/>
          <w:highlight w:val="none"/>
        </w:rPr>
        <w:t>附：中小企业划型标准规定</w:t>
      </w:r>
    </w:p>
    <w:p w14:paraId="568F4636">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（一）农、林、牧、渔业。</w:t>
      </w:r>
      <w:r>
        <w:rPr>
          <w:rFonts w:hint="eastAsia" w:ascii="宋体" w:hAnsi="Calibri" w:eastAsia="宋体" w:cs="宋体"/>
          <w:szCs w:val="24"/>
          <w:highlight w:val="none"/>
        </w:rPr>
        <w:t>营业收入20000万元以下的为中小微型企业。其中，营业收入500万元及以上的为中型企业，营业收入50万元及以上的为小型企业，营业收入50万元以下的为微型企业。</w:t>
      </w:r>
    </w:p>
    <w:p w14:paraId="6480B3F9">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（二）工业。</w:t>
      </w:r>
      <w:r>
        <w:rPr>
          <w:rFonts w:hint="eastAsia" w:ascii="宋体" w:hAnsi="Calibri" w:eastAsia="宋体" w:cs="宋体"/>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AF76D47">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（三）建筑业。</w:t>
      </w:r>
      <w:r>
        <w:rPr>
          <w:rFonts w:hint="eastAsia" w:ascii="宋体" w:hAnsi="Calibri" w:eastAsia="宋体" w:cs="宋体"/>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F0A2CDD">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（四）批发业。</w:t>
      </w:r>
      <w:r>
        <w:rPr>
          <w:rFonts w:hint="eastAsia" w:ascii="宋体" w:hAnsi="Calibri" w:eastAsia="宋体" w:cs="宋体"/>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C6DFBD">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（五）零售业。</w:t>
      </w:r>
      <w:r>
        <w:rPr>
          <w:rFonts w:hint="eastAsia" w:ascii="宋体" w:hAnsi="Calibri" w:eastAsia="宋体" w:cs="宋体"/>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E1B0D9">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（六）交通运输业。</w:t>
      </w:r>
      <w:r>
        <w:rPr>
          <w:rFonts w:hint="eastAsia" w:ascii="宋体" w:hAnsi="Calibri" w:eastAsia="宋体" w:cs="宋体"/>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1F02B3">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（七）仓储业。</w:t>
      </w:r>
      <w:r>
        <w:rPr>
          <w:rFonts w:hint="eastAsia" w:ascii="宋体" w:hAnsi="Calibri" w:eastAsia="宋体" w:cs="宋体"/>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FB82F3A">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（八）邮政业。</w:t>
      </w:r>
      <w:r>
        <w:rPr>
          <w:rFonts w:hint="eastAsia" w:ascii="宋体" w:hAnsi="Calibri" w:eastAsia="宋体" w:cs="宋体"/>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8B370EE">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（九）住宿业。</w:t>
      </w:r>
      <w:r>
        <w:rPr>
          <w:rFonts w:hint="eastAsia" w:ascii="宋体" w:hAnsi="Calibri" w:eastAsia="宋体" w:cs="宋体"/>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EEB6D4">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（十）餐饮业。</w:t>
      </w:r>
      <w:r>
        <w:rPr>
          <w:rFonts w:hint="eastAsia" w:ascii="宋体" w:hAnsi="Calibri" w:eastAsia="宋体" w:cs="宋体"/>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629245">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（十一）信息传输业。</w:t>
      </w:r>
      <w:r>
        <w:rPr>
          <w:rFonts w:hint="eastAsia" w:ascii="宋体" w:hAnsi="Calibri" w:eastAsia="宋体" w:cs="宋体"/>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1002F13">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（十二）软件和信息技术服务业。</w:t>
      </w:r>
      <w:r>
        <w:rPr>
          <w:rFonts w:hint="eastAsia" w:ascii="宋体" w:hAnsi="Calibri" w:eastAsia="宋体" w:cs="宋体"/>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DEC36F5">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（十三）房地产开发经营。</w:t>
      </w:r>
      <w:r>
        <w:rPr>
          <w:rFonts w:hint="eastAsia" w:ascii="宋体" w:hAnsi="Calibri" w:eastAsia="宋体" w:cs="宋体"/>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D098FB3">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（十四）物业管理。</w:t>
      </w:r>
      <w:r>
        <w:rPr>
          <w:rFonts w:hint="eastAsia" w:ascii="宋体" w:hAnsi="Calibri" w:eastAsia="宋体" w:cs="宋体"/>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D83E965">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（十五）租赁和商务服务业。</w:t>
      </w:r>
      <w:r>
        <w:rPr>
          <w:rFonts w:hint="eastAsia" w:ascii="宋体" w:hAnsi="Calibri" w:eastAsia="宋体" w:cs="宋体"/>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2CD800">
      <w:pPr>
        <w:spacing w:line="360" w:lineRule="auto"/>
        <w:ind w:firstLine="422"/>
        <w:rPr>
          <w:rFonts w:hint="eastAsia" w:ascii="宋体" w:hAnsi="Calibri" w:eastAsia="宋体" w:cs="宋体"/>
          <w:szCs w:val="24"/>
          <w:highlight w:val="none"/>
          <w:lang w:val="en-US" w:eastAsia="zh-CN"/>
        </w:rPr>
      </w:pPr>
      <w:r>
        <w:rPr>
          <w:rFonts w:hint="eastAsia" w:ascii="宋体" w:hAnsi="Calibri" w:eastAsia="宋体" w:cs="宋体"/>
          <w:b/>
          <w:bCs/>
          <w:szCs w:val="24"/>
          <w:highlight w:val="none"/>
          <w:lang w:val="en-US" w:eastAsia="zh-CN"/>
        </w:rPr>
        <w:t>（十六）其他未列明行业。</w:t>
      </w:r>
      <w:r>
        <w:rPr>
          <w:rFonts w:hint="eastAsia" w:ascii="宋体" w:hAnsi="Calibri" w:eastAsia="宋体" w:cs="宋体"/>
          <w:szCs w:val="24"/>
          <w:highlight w:val="none"/>
          <w:lang w:val="en-US" w:eastAsia="zh-CN"/>
        </w:rPr>
        <w:t>从业人员300人以下的为中小微型企业。其中，从业人员100人及以上的为中型企业；从业人员10人及以上的为小型企业；从业人员10人以下的为微型企业。</w:t>
      </w:r>
    </w:p>
    <w:p w14:paraId="3DB69266">
      <w:pPr>
        <w:spacing w:line="360" w:lineRule="auto"/>
        <w:jc w:val="center"/>
        <w:outlineLvl w:val="1"/>
        <w:rPr>
          <w:rFonts w:ascii="宋体" w:hAnsi="宋体" w:cs="宋体"/>
          <w:color w:val="auto"/>
          <w:highlight w:val="none"/>
        </w:rPr>
      </w:pPr>
      <w:r>
        <w:rPr>
          <w:rStyle w:val="250"/>
          <w:rFonts w:hint="eastAsia" w:ascii="宋体" w:hAnsi="宋体" w:cs="宋体"/>
          <w:color w:val="auto"/>
          <w:szCs w:val="21"/>
          <w:highlight w:val="none"/>
        </w:rPr>
        <w:br w:type="page" w:clear="all"/>
      </w:r>
      <w:r>
        <w:rPr>
          <w:rFonts w:hint="eastAsia" w:ascii="宋体" w:hAnsi="宋体" w:cs="宋体"/>
          <w:b/>
          <w:bCs/>
          <w:color w:val="auto"/>
          <w:highlight w:val="none"/>
        </w:rPr>
        <w:t>残疾人福利性单位声明函</w:t>
      </w:r>
    </w:p>
    <w:p w14:paraId="2DC6FA6B">
      <w:pPr>
        <w:spacing w:line="360" w:lineRule="auto"/>
        <w:ind w:firstLine="624"/>
        <w:rPr>
          <w:rFonts w:ascii="宋体" w:hAnsi="宋体" w:cs="宋体"/>
          <w:color w:val="auto"/>
          <w:spacing w:val="6"/>
          <w:sz w:val="30"/>
          <w:szCs w:val="30"/>
          <w:highlight w:val="none"/>
        </w:rPr>
      </w:pPr>
    </w:p>
    <w:p w14:paraId="1A7B870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3C9BC0D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圆整（￥：     ）。</w:t>
      </w:r>
    </w:p>
    <w:p w14:paraId="01A2705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013C09BD">
      <w:pPr>
        <w:spacing w:line="360" w:lineRule="auto"/>
        <w:ind w:firstLine="444"/>
        <w:rPr>
          <w:rFonts w:ascii="宋体" w:hAnsi="宋体" w:cs="宋体"/>
          <w:color w:val="auto"/>
          <w:spacing w:val="6"/>
          <w:szCs w:val="21"/>
          <w:highlight w:val="none"/>
        </w:rPr>
      </w:pPr>
    </w:p>
    <w:p w14:paraId="139F02F9">
      <w:pPr>
        <w:autoSpaceDE w:val="0"/>
        <w:autoSpaceDN w:val="0"/>
        <w:adjustRightInd w:val="0"/>
        <w:spacing w:line="360" w:lineRule="auto"/>
        <w:ind w:firstLine="420"/>
        <w:jc w:val="right"/>
        <w:rPr>
          <w:rFonts w:hint="default" w:ascii="Times New Roman" w:hAnsi="Times New Roman" w:cs="Times New Roman"/>
          <w:color w:val="auto"/>
          <w:szCs w:val="21"/>
          <w:highlight w:val="none"/>
          <w:lang w:val="zh-CN"/>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667B3045">
      <w:pPr>
        <w:widowControl/>
        <w:adjustRightInd w:val="0"/>
        <w:spacing w:line="360" w:lineRule="auto"/>
        <w:jc w:val="center"/>
        <w:rPr>
          <w:rFonts w:hint="default" w:ascii="Times New Roman" w:hAnsi="Times New Roman" w:cs="Times New Roman"/>
          <w:color w:val="auto"/>
          <w:kern w:val="0"/>
          <w:szCs w:val="21"/>
          <w:highlight w:val="none"/>
          <w:lang w:val="zh-CN"/>
        </w:rPr>
      </w:pPr>
      <w:r>
        <w:rPr>
          <w:rFonts w:hint="eastAsia" w:ascii="宋体" w:cs="宋体"/>
          <w:szCs w:val="21"/>
          <w:highlight w:val="none"/>
          <w:lang w:val="en-US" w:eastAsia="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04AB49E2">
      <w:pPr>
        <w:autoSpaceDE w:val="0"/>
        <w:autoSpaceDN w:val="0"/>
        <w:adjustRightInd w:val="0"/>
        <w:spacing w:line="360" w:lineRule="auto"/>
        <w:ind w:firstLine="420"/>
        <w:jc w:val="center"/>
        <w:rPr>
          <w:rFonts w:hint="default" w:ascii="Times New Roman" w:hAnsi="Times New Roman" w:cs="Times New Roman"/>
          <w:color w:val="auto"/>
          <w:szCs w:val="21"/>
          <w:highlight w:val="none"/>
          <w:lang w:val="zh-CN"/>
        </w:rPr>
      </w:pP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757C5B5B">
      <w:pPr>
        <w:spacing w:line="360" w:lineRule="auto"/>
        <w:ind w:firstLine="420"/>
        <w:jc w:val="center"/>
        <w:rPr>
          <w:rFonts w:hint="eastAsia" w:ascii="宋体" w:cs="宋体"/>
          <w:szCs w:val="21"/>
          <w:highlight w:val="none"/>
          <w:lang w:val="zh-CN"/>
        </w:rPr>
      </w:pPr>
    </w:p>
    <w:p w14:paraId="7C87870F">
      <w:pPr>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（备注：1、供应商如不提供此声明函，价格将不做相应扣除。2、</w:t>
      </w:r>
      <w:r>
        <w:rPr>
          <w:rFonts w:hint="eastAsia" w:ascii="宋体" w:hAnsi="宋体" w:cs="宋体"/>
          <w:color w:val="auto"/>
          <w:szCs w:val="21"/>
          <w:highlight w:val="none"/>
          <w:lang w:eastAsia="zh-CN"/>
        </w:rPr>
        <w:t>中标供应商</w:t>
      </w:r>
      <w:r>
        <w:rPr>
          <w:rFonts w:hint="eastAsia" w:ascii="宋体" w:hAnsi="宋体" w:cs="宋体"/>
          <w:color w:val="auto"/>
          <w:szCs w:val="21"/>
          <w:highlight w:val="none"/>
        </w:rPr>
        <w:t>为残疾人福利单位的，此声明函将随成交结果同时公告，接受社会监督）</w:t>
      </w:r>
    </w:p>
    <w:p w14:paraId="00455715">
      <w:pPr>
        <w:spacing w:line="360" w:lineRule="auto"/>
        <w:ind w:firstLine="420"/>
        <w:jc w:val="center"/>
        <w:rPr>
          <w:rFonts w:hint="eastAsia" w:ascii="宋体" w:cs="宋体"/>
          <w:szCs w:val="21"/>
          <w:highlight w:val="none"/>
          <w:lang w:val="zh-CN"/>
        </w:rPr>
      </w:pPr>
    </w:p>
    <w:p w14:paraId="56C5AF1B">
      <w:pPr>
        <w:spacing w:line="360" w:lineRule="auto"/>
        <w:ind w:firstLine="420"/>
        <w:jc w:val="center"/>
        <w:rPr>
          <w:rFonts w:hint="eastAsia" w:ascii="宋体" w:cs="宋体"/>
          <w:szCs w:val="21"/>
          <w:highlight w:val="none"/>
          <w:lang w:val="zh-CN"/>
        </w:rPr>
      </w:pPr>
    </w:p>
    <w:p w14:paraId="494370AF">
      <w:pPr>
        <w:spacing w:line="360" w:lineRule="auto"/>
        <w:jc w:val="center"/>
        <w:rPr>
          <w:rFonts w:ascii="宋体" w:cs="宋体"/>
          <w:color w:val="000000"/>
          <w:szCs w:val="21"/>
          <w:highlight w:val="none"/>
        </w:rPr>
      </w:pPr>
      <w:r>
        <w:rPr>
          <w:rFonts w:hint="eastAsia" w:ascii="宋体" w:cs="宋体"/>
          <w:color w:val="000000"/>
          <w:szCs w:val="21"/>
          <w:highlight w:val="none"/>
        </w:rPr>
        <w:t>属于监狱企业的证明文件</w:t>
      </w:r>
    </w:p>
    <w:p w14:paraId="22FA7F43">
      <w:pPr>
        <w:jc w:val="left"/>
        <w:rPr>
          <w:rFonts w:ascii="宋体" w:cs="宋体"/>
          <w:szCs w:val="21"/>
          <w:highlight w:val="none"/>
        </w:rPr>
      </w:pPr>
      <w:r>
        <w:rPr>
          <w:rFonts w:hint="eastAsia" w:ascii="宋体" w:cs="宋体"/>
          <w:szCs w:val="21"/>
          <w:highlight w:val="none"/>
        </w:rPr>
        <w:t>（提供由省级以上监狱管理局、戒毒管理局(含新疆生产建设兵团)出具的属于监狱企业的证明</w:t>
      </w:r>
    </w:p>
    <w:p w14:paraId="2D8A681B">
      <w:pPr>
        <w:jc w:val="left"/>
        <w:rPr>
          <w:rFonts w:ascii="宋体" w:cs="宋体"/>
          <w:szCs w:val="21"/>
          <w:highlight w:val="none"/>
        </w:rPr>
      </w:pPr>
      <w:r>
        <w:rPr>
          <w:rFonts w:hint="eastAsia" w:ascii="宋体" w:cs="宋体"/>
          <w:szCs w:val="21"/>
          <w:highlight w:val="none"/>
        </w:rPr>
        <w:t>文件）</w:t>
      </w:r>
    </w:p>
    <w:p w14:paraId="3D50B5D0">
      <w:pPr>
        <w:jc w:val="center"/>
        <w:rPr>
          <w:rFonts w:ascii="宋体" w:cs="宋体"/>
          <w:color w:val="000000"/>
          <w:szCs w:val="21"/>
          <w:highlight w:val="none"/>
        </w:rPr>
      </w:pPr>
    </w:p>
    <w:p w14:paraId="7BA06839">
      <w:pPr>
        <w:spacing w:line="360" w:lineRule="auto"/>
        <w:jc w:val="center"/>
        <w:rPr>
          <w:rFonts w:ascii="宋体" w:cs="宋体"/>
          <w:color w:val="000000"/>
          <w:szCs w:val="21"/>
          <w:highlight w:val="none"/>
        </w:rPr>
      </w:pPr>
    </w:p>
    <w:p w14:paraId="72CF8231">
      <w:pPr>
        <w:spacing w:line="360" w:lineRule="auto"/>
        <w:jc w:val="center"/>
        <w:rPr>
          <w:rFonts w:ascii="宋体" w:cs="宋体"/>
          <w:color w:val="000000"/>
          <w:szCs w:val="21"/>
          <w:highlight w:val="none"/>
        </w:rPr>
      </w:pPr>
      <w:r>
        <w:rPr>
          <w:rFonts w:hint="eastAsia" w:ascii="宋体" w:cs="宋体"/>
          <w:color w:val="000000"/>
          <w:szCs w:val="21"/>
          <w:highlight w:val="none"/>
        </w:rPr>
        <w:t>节能产品认证证书</w:t>
      </w:r>
    </w:p>
    <w:p w14:paraId="20C021E1">
      <w:pPr>
        <w:jc w:val="left"/>
        <w:rPr>
          <w:rFonts w:ascii="宋体" w:cs="宋体"/>
          <w:szCs w:val="21"/>
          <w:highlight w:val="none"/>
        </w:rPr>
      </w:pPr>
      <w:r>
        <w:rPr>
          <w:rFonts w:hint="eastAsia" w:ascii="宋体" w:cs="宋体"/>
          <w:szCs w:val="21"/>
          <w:highlight w:val="none"/>
        </w:rPr>
        <w:t>（提供国家确定的认证机构出具的、处于有效期之内的产品认证证书）</w:t>
      </w:r>
    </w:p>
    <w:p w14:paraId="157CAD8F">
      <w:pPr>
        <w:jc w:val="left"/>
        <w:rPr>
          <w:rFonts w:ascii="宋体" w:cs="宋体"/>
          <w:szCs w:val="21"/>
          <w:highlight w:val="none"/>
        </w:rPr>
      </w:pPr>
    </w:p>
    <w:p w14:paraId="353AB79B">
      <w:pPr>
        <w:jc w:val="center"/>
        <w:rPr>
          <w:rFonts w:ascii="宋体" w:cs="宋体"/>
          <w:color w:val="000000"/>
          <w:szCs w:val="21"/>
          <w:highlight w:val="none"/>
        </w:rPr>
      </w:pPr>
    </w:p>
    <w:p w14:paraId="0EB3C0C3">
      <w:pPr>
        <w:jc w:val="center"/>
        <w:rPr>
          <w:rFonts w:ascii="宋体" w:cs="宋体"/>
          <w:color w:val="000000"/>
          <w:szCs w:val="21"/>
          <w:highlight w:val="none"/>
        </w:rPr>
      </w:pPr>
    </w:p>
    <w:p w14:paraId="279F84FD">
      <w:pPr>
        <w:spacing w:line="360" w:lineRule="auto"/>
        <w:jc w:val="center"/>
        <w:rPr>
          <w:rFonts w:ascii="宋体" w:cs="宋体"/>
          <w:color w:val="000000"/>
          <w:szCs w:val="21"/>
          <w:highlight w:val="none"/>
        </w:rPr>
      </w:pPr>
      <w:r>
        <w:rPr>
          <w:rFonts w:hint="eastAsia" w:ascii="宋体" w:cs="宋体"/>
          <w:color w:val="000000"/>
          <w:szCs w:val="21"/>
          <w:highlight w:val="none"/>
        </w:rPr>
        <w:t>环境标志产品认证证书</w:t>
      </w:r>
    </w:p>
    <w:p w14:paraId="62805FEF">
      <w:pPr>
        <w:spacing w:line="360" w:lineRule="auto"/>
        <w:jc w:val="center"/>
        <w:outlineLvl w:val="0"/>
        <w:rPr>
          <w:rFonts w:hint="eastAsia" w:ascii="宋体" w:hAnsi="宋体" w:cs="宋体"/>
          <w:b/>
          <w:bCs/>
          <w:color w:val="auto"/>
          <w:sz w:val="32"/>
          <w:szCs w:val="32"/>
          <w:highlight w:val="none"/>
          <w:lang w:val="en-US" w:eastAsia="zh-CN"/>
        </w:rPr>
      </w:pPr>
      <w:r>
        <w:rPr>
          <w:rFonts w:hint="eastAsia" w:ascii="宋体" w:cs="宋体"/>
          <w:szCs w:val="21"/>
          <w:highlight w:val="none"/>
        </w:rPr>
        <w:t>（提供国家确定的认证机构出具的、处于有效期之内的产品认证证书）</w:t>
      </w:r>
    </w:p>
    <w:p w14:paraId="4F8C30B5">
      <w:pPr>
        <w:widowControl/>
        <w:spacing w:line="360" w:lineRule="auto"/>
        <w:jc w:val="center"/>
        <w:outlineLvl w:val="0"/>
        <w:rPr>
          <w:rFonts w:hint="eastAsia" w:ascii="宋体" w:hAnsi="宋体" w:eastAsia="宋体" w:cs="宋体"/>
          <w:b/>
          <w:bCs w:val="0"/>
          <w:color w:val="auto"/>
          <w:sz w:val="32"/>
          <w:szCs w:val="32"/>
          <w:highlight w:val="none"/>
          <w:lang w:val="en-US"/>
        </w:rPr>
      </w:pPr>
      <w:r>
        <w:rPr>
          <w:rFonts w:hint="eastAsia" w:ascii="宋体" w:hAnsi="宋体" w:eastAsia="宋体" w:cs="宋体"/>
          <w:b/>
          <w:bCs w:val="0"/>
          <w:color w:val="auto"/>
          <w:sz w:val="32"/>
          <w:szCs w:val="32"/>
          <w:highlight w:val="none"/>
          <w:lang w:val="en-US"/>
        </w:rPr>
        <w:t>附件二、无重大违法记录声明格式</w:t>
      </w:r>
    </w:p>
    <w:p w14:paraId="0FFBC51A">
      <w:pPr>
        <w:widowControl/>
        <w:adjustRightInd w:val="0"/>
        <w:spacing w:line="240" w:lineRule="atLeast"/>
        <w:rPr>
          <w:rFonts w:hint="default" w:ascii="Times New Roman" w:hAnsi="Times New Roman" w:cs="Times New Roman"/>
          <w:b/>
          <w:color w:val="auto"/>
          <w:szCs w:val="21"/>
        </w:rPr>
      </w:pPr>
    </w:p>
    <w:p w14:paraId="05F2B088">
      <w:pPr>
        <w:jc w:val="center"/>
        <w:rPr>
          <w:rFonts w:hint="default" w:ascii="Times New Roman" w:hAnsi="Times New Roman" w:cs="Times New Roman"/>
          <w:color w:val="auto"/>
          <w:szCs w:val="21"/>
        </w:rPr>
      </w:pPr>
      <w:r>
        <w:rPr>
          <w:rFonts w:hint="default" w:ascii="Times New Roman" w:hAnsi="Times New Roman" w:cs="Times New Roman"/>
          <w:color w:val="auto"/>
          <w:szCs w:val="21"/>
        </w:rPr>
        <w:t>无重大违法记录声明</w:t>
      </w:r>
    </w:p>
    <w:p w14:paraId="53C206F8">
      <w:pPr>
        <w:spacing w:line="360" w:lineRule="auto"/>
        <w:rPr>
          <w:rFonts w:hint="default" w:ascii="Times New Roman" w:hAnsi="Times New Roman" w:cs="Times New Roman"/>
          <w:color w:val="auto"/>
          <w:szCs w:val="21"/>
        </w:rPr>
      </w:pPr>
    </w:p>
    <w:p w14:paraId="4B7AC8C6">
      <w:pPr>
        <w:spacing w:line="360" w:lineRule="auto"/>
        <w:rPr>
          <w:rFonts w:hint="default" w:ascii="Times New Roman" w:hAnsi="Times New Roman" w:cs="Times New Roman"/>
          <w:color w:val="auto"/>
          <w:szCs w:val="21"/>
        </w:rPr>
      </w:pPr>
      <w:r>
        <w:rPr>
          <w:rFonts w:hint="eastAsia" w:cs="Times New Roman"/>
          <w:color w:val="auto"/>
          <w:szCs w:val="21"/>
          <w:lang w:eastAsia="zh-CN"/>
        </w:rPr>
        <w:t>南京市城市建设档案馆</w:t>
      </w:r>
      <w:r>
        <w:rPr>
          <w:rFonts w:hint="default" w:ascii="Times New Roman" w:hAnsi="Times New Roman" w:cs="Times New Roman"/>
          <w:color w:val="auto"/>
          <w:szCs w:val="21"/>
        </w:rPr>
        <w:t>：</w:t>
      </w:r>
    </w:p>
    <w:p w14:paraId="289EC9C8">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    我单位</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（供应商名称）郑重声明：</w:t>
      </w:r>
    </w:p>
    <w:p w14:paraId="54028505">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    参加政府采购活动前3年内在经营活动中</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（在下划线上如实填写：有或没有）重大违法记录。</w:t>
      </w:r>
    </w:p>
    <w:p w14:paraId="3F1370F5">
      <w:pPr>
        <w:spacing w:line="360" w:lineRule="auto"/>
        <w:ind w:firstLine="420"/>
        <w:rPr>
          <w:rFonts w:hint="default" w:ascii="Times New Roman" w:hAnsi="Times New Roman" w:cs="Times New Roman"/>
          <w:color w:val="auto"/>
          <w:szCs w:val="21"/>
        </w:rPr>
      </w:pPr>
      <w:r>
        <w:rPr>
          <w:rFonts w:hint="default" w:ascii="Times New Roman" w:hAnsi="Times New Roman" w:cs="Times New Roman"/>
          <w:color w:val="auto"/>
          <w:szCs w:val="21"/>
        </w:rPr>
        <w:t>（说明：政府采购法第二十二条第一款第五项所称重大违法记录，是指供应商因违法经营受到刑事处罚或者责令停产停业、吊销许可证或者执照、较大数额罚款等行政处罚。）</w:t>
      </w:r>
    </w:p>
    <w:p w14:paraId="7A0BB7B4">
      <w:pPr>
        <w:spacing w:line="360" w:lineRule="auto"/>
        <w:ind w:firstLine="420"/>
        <w:rPr>
          <w:rFonts w:hint="default" w:ascii="Times New Roman" w:hAnsi="Times New Roman" w:cs="Times New Roman"/>
          <w:color w:val="auto"/>
          <w:szCs w:val="21"/>
        </w:rPr>
      </w:pPr>
    </w:p>
    <w:p w14:paraId="4ABFCD01">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292AF963">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358EF7D9">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17A62765">
      <w:pPr>
        <w:autoSpaceDE w:val="0"/>
        <w:autoSpaceDN w:val="0"/>
        <w:adjustRightInd w:val="0"/>
        <w:spacing w:line="360" w:lineRule="auto"/>
        <w:ind w:firstLine="420"/>
        <w:rPr>
          <w:rFonts w:hint="default" w:ascii="Times New Roman" w:hAnsi="Times New Roman" w:cs="Times New Roman"/>
          <w:color w:val="auto"/>
          <w:szCs w:val="21"/>
          <w:lang w:val="zh-CN"/>
        </w:rPr>
      </w:pPr>
    </w:p>
    <w:p w14:paraId="14D21532">
      <w:pPr>
        <w:autoSpaceDE w:val="0"/>
        <w:autoSpaceDN w:val="0"/>
        <w:adjustRightInd w:val="0"/>
        <w:spacing w:line="360" w:lineRule="auto"/>
        <w:ind w:firstLine="420"/>
        <w:rPr>
          <w:rFonts w:hint="default" w:ascii="Times New Roman" w:hAnsi="Times New Roman" w:cs="Times New Roman"/>
          <w:color w:val="auto"/>
          <w:szCs w:val="21"/>
          <w:lang w:val="zh-CN"/>
        </w:rPr>
      </w:pPr>
    </w:p>
    <w:p w14:paraId="54612BA1">
      <w:pPr>
        <w:widowControl/>
        <w:spacing w:line="360" w:lineRule="auto"/>
        <w:rPr>
          <w:rFonts w:hint="default" w:ascii="Times New Roman" w:hAnsi="Times New Roman" w:eastAsia="宋体" w:cs="Times New Roman"/>
          <w:b/>
          <w:bCs/>
          <w:color w:val="auto"/>
          <w:sz w:val="28"/>
          <w:szCs w:val="28"/>
          <w:lang w:val="en-US"/>
        </w:rPr>
      </w:pPr>
      <w:r>
        <w:rPr>
          <w:rFonts w:hint="default" w:ascii="Times New Roman" w:hAnsi="Times New Roman" w:eastAsia="宋体" w:cs="Times New Roman"/>
          <w:b/>
          <w:bCs/>
          <w:color w:val="auto"/>
          <w:sz w:val="28"/>
          <w:szCs w:val="28"/>
          <w:lang w:val="en-US"/>
        </w:rPr>
        <w:t>附件三、具备履行合同所必需的设备和专业技术能力的声明格式及证明材料</w:t>
      </w:r>
    </w:p>
    <w:p w14:paraId="664FC3F7">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具备履行合同所必需的设备和专业技术能力的声明格式</w:t>
      </w:r>
    </w:p>
    <w:p w14:paraId="2F475332">
      <w:pPr>
        <w:spacing w:line="360" w:lineRule="auto"/>
        <w:rPr>
          <w:rFonts w:hint="default" w:ascii="Times New Roman" w:hAnsi="Times New Roman" w:cs="Times New Roman"/>
          <w:color w:val="auto"/>
          <w:szCs w:val="21"/>
        </w:rPr>
      </w:pPr>
      <w:r>
        <w:rPr>
          <w:rFonts w:hint="eastAsia" w:cs="Times New Roman"/>
          <w:color w:val="auto"/>
          <w:szCs w:val="21"/>
          <w:lang w:eastAsia="zh-CN"/>
        </w:rPr>
        <w:t>南京市城市建设档案馆</w:t>
      </w:r>
      <w:r>
        <w:rPr>
          <w:rFonts w:hint="default" w:ascii="Times New Roman" w:hAnsi="Times New Roman" w:cs="Times New Roman"/>
          <w:color w:val="auto"/>
          <w:szCs w:val="21"/>
        </w:rPr>
        <w:t>：</w:t>
      </w:r>
    </w:p>
    <w:p w14:paraId="67309217">
      <w:pPr>
        <w:spacing w:line="460" w:lineRule="exact"/>
        <w:ind w:firstLine="492"/>
        <w:rPr>
          <w:rFonts w:hint="default" w:ascii="Times New Roman" w:hAnsi="Times New Roman" w:cs="Times New Roman"/>
          <w:color w:val="auto"/>
          <w:szCs w:val="21"/>
        </w:rPr>
      </w:pPr>
      <w:r>
        <w:rPr>
          <w:rFonts w:hint="default" w:ascii="Times New Roman" w:hAnsi="Times New Roman" w:cs="Times New Roman"/>
          <w:color w:val="auto"/>
          <w:szCs w:val="21"/>
        </w:rPr>
        <w:t>我单位</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（供应商名称）郑重声明：我公司具备履行本项采购合同所必需的设备和专业技术能力，为履行本项采购合同我单位具备如下主要设备和主要专业技术能力：</w:t>
      </w:r>
    </w:p>
    <w:p w14:paraId="0B2675C0">
      <w:pPr>
        <w:spacing w:line="460" w:lineRule="exact"/>
        <w:ind w:firstLine="492"/>
        <w:rPr>
          <w:rFonts w:hint="default" w:ascii="Times New Roman" w:hAnsi="Times New Roman" w:cs="Times New Roman"/>
          <w:b/>
          <w:bCs/>
          <w:color w:val="auto"/>
          <w:szCs w:val="21"/>
        </w:rPr>
      </w:pPr>
      <w:r>
        <w:rPr>
          <w:rFonts w:hint="default" w:ascii="Times New Roman" w:hAnsi="Times New Roman" w:cs="Times New Roman"/>
          <w:b/>
          <w:bCs/>
          <w:color w:val="auto"/>
          <w:szCs w:val="21"/>
        </w:rPr>
        <w:t xml:space="preserve">主要设备有：                       </w:t>
      </w:r>
      <w:r>
        <w:rPr>
          <w:rFonts w:hint="default" w:ascii="Times New Roman" w:hAnsi="Times New Roman" w:cs="Times New Roman"/>
          <w:color w:val="auto"/>
          <w:szCs w:val="21"/>
        </w:rPr>
        <w:t xml:space="preserve">   。</w:t>
      </w:r>
    </w:p>
    <w:p w14:paraId="1027EA92">
      <w:pPr>
        <w:spacing w:line="460" w:lineRule="exact"/>
        <w:ind w:firstLine="492"/>
        <w:rPr>
          <w:rFonts w:hint="default" w:ascii="Times New Roman" w:hAnsi="Times New Roman" w:cs="Times New Roman"/>
          <w:color w:val="auto"/>
          <w:szCs w:val="21"/>
        </w:rPr>
      </w:pPr>
      <w:r>
        <w:rPr>
          <w:rFonts w:hint="default" w:ascii="Times New Roman" w:hAnsi="Times New Roman" w:cs="Times New Roman"/>
          <w:b/>
          <w:bCs/>
          <w:color w:val="auto"/>
          <w:szCs w:val="21"/>
        </w:rPr>
        <w:t>主要专业技术能力有：</w:t>
      </w:r>
      <w:r>
        <w:rPr>
          <w:rFonts w:hint="default" w:ascii="Times New Roman" w:hAnsi="Times New Roman" w:cs="Times New Roman"/>
          <w:color w:val="auto"/>
          <w:szCs w:val="21"/>
        </w:rPr>
        <w:t xml:space="preserve">                  。</w:t>
      </w:r>
    </w:p>
    <w:p w14:paraId="454E4B64">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p>
    <w:p w14:paraId="4F34A23E">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2008FE5C">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0AF2BE6E">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26D4D83A">
      <w:pPr>
        <w:autoSpaceDE w:val="0"/>
        <w:autoSpaceDN w:val="0"/>
        <w:adjustRightInd w:val="0"/>
        <w:spacing w:line="360" w:lineRule="auto"/>
        <w:jc w:val="center"/>
        <w:rPr>
          <w:rFonts w:ascii="Times New Roman" w:hAnsi="Times New Roman"/>
          <w:b/>
          <w:color w:val="auto"/>
          <w:szCs w:val="21"/>
          <w:highlight w:val="none"/>
        </w:rPr>
      </w:pPr>
      <w:r>
        <w:rPr>
          <w:rFonts w:hint="eastAsia" w:ascii="宋体" w:hAnsi="宋体" w:eastAsia="宋体" w:cs="宋体"/>
          <w:b/>
          <w:bCs w:val="0"/>
          <w:color w:val="auto"/>
          <w:sz w:val="32"/>
          <w:szCs w:val="32"/>
          <w:highlight w:val="none"/>
          <w:lang w:val="en-US"/>
        </w:rPr>
        <w:t>附件四</w:t>
      </w:r>
      <w:r>
        <w:rPr>
          <w:rFonts w:hint="eastAsia" w:ascii="宋体" w:hAnsi="宋体" w:cs="宋体"/>
          <w:b/>
          <w:bCs w:val="0"/>
          <w:color w:val="auto"/>
          <w:sz w:val="32"/>
          <w:szCs w:val="32"/>
          <w:highlight w:val="none"/>
          <w:lang w:val="en-US" w:eastAsia="zh-CN"/>
        </w:rPr>
        <w:t>、</w:t>
      </w:r>
      <w:r>
        <w:rPr>
          <w:rFonts w:hint="eastAsia" w:ascii="宋体" w:hAnsi="宋体" w:eastAsia="宋体" w:cs="宋体"/>
          <w:b/>
          <w:bCs w:val="0"/>
          <w:color w:val="auto"/>
          <w:sz w:val="32"/>
          <w:szCs w:val="32"/>
          <w:highlight w:val="none"/>
          <w:lang w:val="en-US"/>
        </w:rPr>
        <w:t>承诺书</w:t>
      </w:r>
    </w:p>
    <w:p w14:paraId="71E6C693">
      <w:pPr>
        <w:pStyle w:val="56"/>
        <w:spacing w:line="360" w:lineRule="auto"/>
        <w:ind w:firstLine="422"/>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承诺书</w:t>
      </w:r>
    </w:p>
    <w:p w14:paraId="1A367680">
      <w:pPr>
        <w:spacing w:line="360" w:lineRule="auto"/>
        <w:rPr>
          <w:rFonts w:hint="default" w:ascii="Times New Roman" w:hAnsi="Times New Roman" w:cs="Times New Roman"/>
          <w:color w:val="auto"/>
          <w:szCs w:val="21"/>
        </w:rPr>
      </w:pPr>
      <w:r>
        <w:rPr>
          <w:rFonts w:hint="eastAsia" w:cs="Times New Roman"/>
          <w:color w:val="auto"/>
          <w:szCs w:val="21"/>
          <w:lang w:eastAsia="zh-CN"/>
        </w:rPr>
        <w:t>南京市城市建设档案馆</w:t>
      </w:r>
      <w:r>
        <w:rPr>
          <w:rFonts w:hint="default" w:ascii="Times New Roman" w:hAnsi="Times New Roman" w:cs="Times New Roman"/>
          <w:color w:val="auto"/>
          <w:szCs w:val="21"/>
        </w:rPr>
        <w:t>：</w:t>
      </w:r>
    </w:p>
    <w:p w14:paraId="52041435">
      <w:pPr>
        <w:autoSpaceDE w:val="0"/>
        <w:autoSpaceDN w:val="0"/>
        <w:adjustRightInd w:val="0"/>
        <w:spacing w:line="360" w:lineRule="auto"/>
        <w:ind w:firstLine="420" w:firstLineChars="200"/>
        <w:rPr>
          <w:rFonts w:hint="eastAsia" w:ascii="Times New Roman" w:hAnsi="Times New Roman" w:eastAsia="宋体"/>
          <w:bCs/>
          <w:color w:val="auto"/>
          <w:szCs w:val="21"/>
          <w:highlight w:val="none"/>
          <w:lang w:eastAsia="zh-CN"/>
        </w:rPr>
      </w:pPr>
      <w:r>
        <w:rPr>
          <w:rFonts w:ascii="Times New Roman" w:hAnsi="Times New Roman"/>
          <w:bCs/>
          <w:color w:val="auto"/>
          <w:szCs w:val="21"/>
          <w:highlight w:val="none"/>
        </w:rPr>
        <w:t>根据贵方组织的</w:t>
      </w:r>
      <w:r>
        <w:rPr>
          <w:rFonts w:ascii="Times New Roman" w:hAnsi="Times New Roman"/>
          <w:bCs/>
          <w:color w:val="auto"/>
          <w:szCs w:val="21"/>
          <w:highlight w:val="none"/>
          <w:u w:val="single"/>
        </w:rPr>
        <w:t xml:space="preserve">                            </w:t>
      </w:r>
      <w:r>
        <w:rPr>
          <w:rFonts w:ascii="Times New Roman" w:hAnsi="Times New Roman"/>
          <w:bCs/>
          <w:color w:val="auto"/>
          <w:szCs w:val="21"/>
          <w:highlight w:val="none"/>
        </w:rPr>
        <w:t>项目（项目名称）</w:t>
      </w:r>
      <w:r>
        <w:rPr>
          <w:rFonts w:ascii="Times New Roman" w:hAnsi="Times New Roman"/>
          <w:bCs/>
          <w:color w:val="auto"/>
          <w:szCs w:val="21"/>
          <w:highlight w:val="none"/>
          <w:u w:val="single"/>
        </w:rPr>
        <w:t xml:space="preserve">          </w:t>
      </w:r>
      <w:r>
        <w:rPr>
          <w:rFonts w:ascii="Times New Roman" w:hAnsi="Times New Roman"/>
          <w:bCs/>
          <w:color w:val="auto"/>
          <w:szCs w:val="21"/>
          <w:highlight w:val="none"/>
        </w:rPr>
        <w:t xml:space="preserve">（项目编号）的要求，我方 </w:t>
      </w:r>
      <w:r>
        <w:rPr>
          <w:rFonts w:ascii="Times New Roman" w:hAnsi="Times New Roman"/>
          <w:bCs/>
          <w:color w:val="auto"/>
          <w:szCs w:val="21"/>
          <w:highlight w:val="none"/>
          <w:u w:val="single"/>
        </w:rPr>
        <w:t xml:space="preserve">              </w:t>
      </w:r>
      <w:r>
        <w:rPr>
          <w:rFonts w:ascii="Times New Roman" w:hAnsi="Times New Roman"/>
          <w:bCs/>
          <w:color w:val="auto"/>
          <w:szCs w:val="21"/>
          <w:highlight w:val="none"/>
        </w:rPr>
        <w:t>（投标供应商名称）作为供应商承诺</w:t>
      </w:r>
      <w:r>
        <w:rPr>
          <w:rFonts w:hint="eastAsia" w:ascii="宋体" w:hAnsi="宋体" w:eastAsia="宋体" w:cs="宋体"/>
          <w:sz w:val="21"/>
          <w:szCs w:val="21"/>
        </w:rPr>
        <w:t>法律、行政法规和采购文件规定的其他条件</w:t>
      </w:r>
      <w:r>
        <w:rPr>
          <w:rFonts w:hint="eastAsia"/>
          <w:color w:val="auto"/>
          <w:sz w:val="21"/>
          <w:szCs w:val="21"/>
          <w:highlight w:val="none"/>
          <w:lang w:eastAsia="zh-CN"/>
        </w:rPr>
        <w:t>。</w:t>
      </w:r>
    </w:p>
    <w:p w14:paraId="095DAEB4">
      <w:pPr>
        <w:autoSpaceDE w:val="0"/>
        <w:autoSpaceDN w:val="0"/>
        <w:adjustRightInd w:val="0"/>
        <w:spacing w:line="360" w:lineRule="auto"/>
        <w:ind w:firstLine="420" w:firstLineChars="200"/>
        <w:rPr>
          <w:rFonts w:ascii="Times New Roman" w:hAnsi="Times New Roman"/>
          <w:color w:val="auto"/>
          <w:szCs w:val="21"/>
          <w:highlight w:val="none"/>
          <w:lang w:val="zh-CN"/>
        </w:rPr>
      </w:pPr>
    </w:p>
    <w:p w14:paraId="7888C8CB">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141A5F24">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6ABA842E">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214543F2">
      <w:pPr>
        <w:widowControl/>
        <w:autoSpaceDE/>
        <w:autoSpaceDN/>
        <w:adjustRightInd/>
        <w:spacing w:line="360" w:lineRule="auto"/>
        <w:jc w:val="center"/>
        <w:outlineLvl w:val="0"/>
        <w:rPr>
          <w:rFonts w:hint="eastAsia" w:ascii="宋体" w:hAnsi="宋体" w:eastAsia="宋体" w:cs="宋体"/>
          <w:b/>
          <w:bCs w:val="0"/>
          <w:color w:val="auto"/>
          <w:sz w:val="32"/>
          <w:szCs w:val="32"/>
          <w:highlight w:val="none"/>
          <w:lang w:val="en-US"/>
        </w:rPr>
      </w:pPr>
    </w:p>
    <w:p w14:paraId="3AD79E50">
      <w:pPr>
        <w:widowControl/>
        <w:autoSpaceDE/>
        <w:autoSpaceDN/>
        <w:adjustRightInd/>
        <w:spacing w:line="360" w:lineRule="auto"/>
        <w:jc w:val="center"/>
        <w:outlineLvl w:val="0"/>
        <w:rPr>
          <w:rFonts w:hint="eastAsia" w:ascii="宋体" w:hAnsi="宋体" w:eastAsia="宋体" w:cs="宋体"/>
          <w:b/>
          <w:bCs w:val="0"/>
          <w:color w:val="auto"/>
          <w:sz w:val="32"/>
          <w:szCs w:val="32"/>
          <w:highlight w:val="none"/>
          <w:lang w:val="en-US"/>
        </w:rPr>
      </w:pPr>
    </w:p>
    <w:p w14:paraId="10F87AB2">
      <w:pPr>
        <w:widowControl/>
        <w:autoSpaceDE/>
        <w:autoSpaceDN/>
        <w:adjustRightInd/>
        <w:spacing w:line="360" w:lineRule="auto"/>
        <w:jc w:val="center"/>
        <w:outlineLvl w:val="0"/>
        <w:rPr>
          <w:rFonts w:hint="eastAsia" w:ascii="宋体" w:hAnsi="宋体" w:eastAsia="宋体" w:cs="宋体"/>
          <w:b/>
          <w:bCs w:val="0"/>
          <w:color w:val="auto"/>
          <w:sz w:val="32"/>
          <w:szCs w:val="32"/>
          <w:highlight w:val="none"/>
          <w:lang w:val="en-US"/>
        </w:rPr>
      </w:pPr>
    </w:p>
    <w:p w14:paraId="0C893C15">
      <w:pPr>
        <w:widowControl/>
        <w:autoSpaceDE/>
        <w:autoSpaceDN/>
        <w:adjustRightInd/>
        <w:spacing w:line="360" w:lineRule="auto"/>
        <w:jc w:val="center"/>
        <w:outlineLvl w:val="0"/>
        <w:rPr>
          <w:rFonts w:hint="eastAsia" w:ascii="宋体" w:hAnsi="宋体" w:cs="宋体"/>
          <w:b/>
          <w:color w:val="auto"/>
          <w:sz w:val="32"/>
          <w:szCs w:val="32"/>
          <w:highlight w:val="none"/>
        </w:rPr>
      </w:pPr>
      <w:r>
        <w:rPr>
          <w:rFonts w:hint="eastAsia" w:ascii="宋体" w:hAnsi="宋体" w:eastAsia="宋体" w:cs="宋体"/>
          <w:b/>
          <w:bCs w:val="0"/>
          <w:color w:val="auto"/>
          <w:sz w:val="32"/>
          <w:szCs w:val="32"/>
          <w:highlight w:val="none"/>
          <w:lang w:val="en-US"/>
        </w:rPr>
        <w:t>附件</w:t>
      </w:r>
      <w:r>
        <w:rPr>
          <w:rFonts w:hint="eastAsia" w:ascii="宋体" w:hAnsi="宋体" w:cs="宋体"/>
          <w:b/>
          <w:bCs w:val="0"/>
          <w:color w:val="auto"/>
          <w:sz w:val="32"/>
          <w:szCs w:val="32"/>
          <w:highlight w:val="none"/>
          <w:lang w:val="en-US" w:eastAsia="zh-CN"/>
        </w:rPr>
        <w:t>五</w:t>
      </w:r>
      <w:r>
        <w:rPr>
          <w:rFonts w:hint="eastAsia" w:ascii="宋体" w:hAnsi="宋体" w:eastAsia="宋体" w:cs="宋体"/>
          <w:b/>
          <w:bCs w:val="0"/>
          <w:color w:val="auto"/>
          <w:sz w:val="32"/>
          <w:szCs w:val="32"/>
          <w:highlight w:val="none"/>
          <w:lang w:val="en-US"/>
        </w:rPr>
        <w:t>、</w:t>
      </w:r>
      <w:r>
        <w:rPr>
          <w:rFonts w:hint="eastAsia" w:ascii="宋体" w:hAnsi="宋体" w:cs="宋体"/>
          <w:b/>
          <w:color w:val="auto"/>
          <w:sz w:val="32"/>
          <w:szCs w:val="32"/>
          <w:highlight w:val="none"/>
        </w:rPr>
        <w:t>承诺书</w:t>
      </w:r>
    </w:p>
    <w:p w14:paraId="78FB0D09">
      <w:pPr>
        <w:pStyle w:val="56"/>
        <w:ind w:firstLine="422"/>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承诺书</w:t>
      </w:r>
    </w:p>
    <w:p w14:paraId="0F7494E9">
      <w:pPr>
        <w:spacing w:line="360" w:lineRule="auto"/>
        <w:rPr>
          <w:rFonts w:hint="default" w:ascii="Times New Roman" w:hAnsi="Times New Roman" w:cs="Times New Roman"/>
          <w:color w:val="auto"/>
          <w:szCs w:val="21"/>
        </w:rPr>
      </w:pPr>
      <w:r>
        <w:rPr>
          <w:rFonts w:hint="eastAsia" w:cs="Times New Roman"/>
          <w:color w:val="auto"/>
          <w:szCs w:val="21"/>
          <w:lang w:eastAsia="zh-CN"/>
        </w:rPr>
        <w:t>南京市城市建设档案馆</w:t>
      </w:r>
      <w:r>
        <w:rPr>
          <w:rFonts w:hint="default" w:ascii="Times New Roman" w:hAnsi="Times New Roman" w:cs="Times New Roman"/>
          <w:color w:val="auto"/>
          <w:szCs w:val="21"/>
        </w:rPr>
        <w:t>：</w:t>
      </w:r>
    </w:p>
    <w:p w14:paraId="5079C9A1">
      <w:pPr>
        <w:autoSpaceDE w:val="0"/>
        <w:autoSpaceDN w:val="0"/>
        <w:adjustRightInd w:val="0"/>
        <w:spacing w:line="360" w:lineRule="auto"/>
        <w:ind w:firstLine="420" w:firstLineChars="200"/>
        <w:rPr>
          <w:rFonts w:hint="default" w:ascii="Times New Roman" w:hAnsi="Times New Roman" w:cs="Times New Roman"/>
          <w:b/>
          <w:color w:val="auto"/>
          <w:szCs w:val="21"/>
        </w:rPr>
      </w:pPr>
      <w:r>
        <w:rPr>
          <w:rFonts w:hint="default" w:ascii="Times New Roman" w:hAnsi="Times New Roman" w:cs="Times New Roman"/>
          <w:bCs/>
          <w:color w:val="auto"/>
          <w:szCs w:val="21"/>
        </w:rPr>
        <w:t>根据贵方组织的</w:t>
      </w:r>
      <w:r>
        <w:rPr>
          <w:rFonts w:hint="default" w:ascii="Times New Roman" w:hAnsi="Times New Roman" w:cs="Times New Roman"/>
          <w:bCs/>
          <w:color w:val="auto"/>
          <w:szCs w:val="21"/>
          <w:u w:val="single"/>
        </w:rPr>
        <w:t xml:space="preserve">                            </w:t>
      </w:r>
      <w:r>
        <w:rPr>
          <w:rFonts w:hint="default" w:ascii="Times New Roman" w:hAnsi="Times New Roman" w:cs="Times New Roman"/>
          <w:bCs/>
          <w:color w:val="auto"/>
          <w:szCs w:val="21"/>
        </w:rPr>
        <w:t>项目（项目名称）</w:t>
      </w:r>
      <w:r>
        <w:rPr>
          <w:rFonts w:hint="default" w:ascii="Times New Roman" w:hAnsi="Times New Roman" w:cs="Times New Roman"/>
          <w:bCs/>
          <w:color w:val="auto"/>
          <w:szCs w:val="21"/>
          <w:u w:val="single"/>
        </w:rPr>
        <w:t xml:space="preserve">          </w:t>
      </w:r>
      <w:r>
        <w:rPr>
          <w:rFonts w:hint="default" w:ascii="Times New Roman" w:hAnsi="Times New Roman" w:cs="Times New Roman"/>
          <w:bCs/>
          <w:color w:val="auto"/>
          <w:szCs w:val="21"/>
        </w:rPr>
        <w:t>（项目编号）的要求，我方承诺</w:t>
      </w:r>
      <w:r>
        <w:rPr>
          <w:rFonts w:hint="default" w:ascii="Times New Roman" w:hAnsi="Times New Roman" w:cs="Times New Roman"/>
          <w:color w:val="auto"/>
          <w:szCs w:val="21"/>
          <w:shd w:val="clear" w:color="auto" w:fill="FFFFFF"/>
        </w:rPr>
        <w:t>对信用承诺内容的真实性、合法性、有效性负责。如作出虚假信用承诺，视同为“提供虚假材料谋取中标、成交”的违法行为。经调查核实后，按照《政府采购法》第七十七条规定，接受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p>
    <w:p w14:paraId="40284318">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p>
    <w:p w14:paraId="7981667F">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7085EFCE">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57155527">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243430FC">
      <w:pPr>
        <w:widowControl/>
        <w:spacing w:line="360" w:lineRule="auto"/>
        <w:jc w:val="center"/>
        <w:outlineLvl w:val="0"/>
        <w:rPr>
          <w:rFonts w:hint="eastAsia" w:ascii="宋体" w:hAnsi="宋体" w:eastAsia="宋体" w:cs="宋体"/>
          <w:b/>
          <w:bCs w:val="0"/>
          <w:color w:val="auto"/>
          <w:sz w:val="32"/>
          <w:szCs w:val="32"/>
          <w:highlight w:val="none"/>
          <w:lang w:val="en-US" w:eastAsia="zh-CN" w:bidi="ar-SA"/>
        </w:rPr>
      </w:pPr>
    </w:p>
    <w:p w14:paraId="34C428A4">
      <w:pPr>
        <w:widowControl/>
        <w:autoSpaceDE/>
        <w:autoSpaceDN/>
        <w:adjustRightInd/>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附件</w:t>
      </w: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、承诺书</w:t>
      </w:r>
    </w:p>
    <w:p w14:paraId="202FC2E8">
      <w:pPr>
        <w:pStyle w:val="56"/>
        <w:spacing w:line="360" w:lineRule="auto"/>
        <w:ind w:firstLine="422"/>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承诺书</w:t>
      </w:r>
    </w:p>
    <w:p w14:paraId="0276F5BF">
      <w:pPr>
        <w:spacing w:line="360" w:lineRule="auto"/>
        <w:rPr>
          <w:rFonts w:hint="default" w:ascii="Times New Roman" w:hAnsi="Times New Roman" w:cs="Times New Roman"/>
          <w:color w:val="auto"/>
          <w:szCs w:val="21"/>
        </w:rPr>
      </w:pPr>
      <w:r>
        <w:rPr>
          <w:rFonts w:hint="eastAsia" w:cs="Times New Roman"/>
          <w:color w:val="auto"/>
          <w:szCs w:val="21"/>
          <w:lang w:eastAsia="zh-CN"/>
        </w:rPr>
        <w:t>南京市城市建设档案馆</w:t>
      </w:r>
      <w:r>
        <w:rPr>
          <w:rFonts w:hint="default" w:ascii="Times New Roman" w:hAnsi="Times New Roman" w:cs="Times New Roman"/>
          <w:color w:val="auto"/>
          <w:szCs w:val="21"/>
        </w:rPr>
        <w:t>：</w:t>
      </w:r>
    </w:p>
    <w:p w14:paraId="6B4C1E94">
      <w:pPr>
        <w:autoSpaceDE w:val="0"/>
        <w:autoSpaceDN w:val="0"/>
        <w:adjustRightInd w:val="0"/>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根据贵方组织的</w:t>
      </w:r>
      <w:r>
        <w:rPr>
          <w:rFonts w:hint="default" w:ascii="Times New Roman" w:hAnsi="Times New Roman" w:cs="Times New Roman"/>
          <w:bCs/>
          <w:color w:val="auto"/>
          <w:szCs w:val="21"/>
          <w:u w:val="single"/>
        </w:rPr>
        <w:t xml:space="preserve">                            </w:t>
      </w:r>
      <w:r>
        <w:rPr>
          <w:rFonts w:hint="default" w:ascii="Times New Roman" w:hAnsi="Times New Roman" w:cs="Times New Roman"/>
          <w:bCs/>
          <w:color w:val="auto"/>
          <w:szCs w:val="21"/>
        </w:rPr>
        <w:t>项目（项目名称）</w:t>
      </w:r>
      <w:r>
        <w:rPr>
          <w:rFonts w:hint="default" w:ascii="Times New Roman" w:hAnsi="Times New Roman" w:cs="Times New Roman"/>
          <w:bCs/>
          <w:color w:val="auto"/>
          <w:szCs w:val="21"/>
          <w:u w:val="single"/>
        </w:rPr>
        <w:t xml:space="preserve">          </w:t>
      </w:r>
      <w:r>
        <w:rPr>
          <w:rFonts w:hint="default" w:ascii="Times New Roman" w:hAnsi="Times New Roman" w:cs="Times New Roman"/>
          <w:bCs/>
          <w:color w:val="auto"/>
          <w:szCs w:val="21"/>
        </w:rPr>
        <w:t xml:space="preserve">（项目编号）的要求，我方 </w:t>
      </w:r>
      <w:r>
        <w:rPr>
          <w:rFonts w:hint="default" w:ascii="Times New Roman" w:hAnsi="Times New Roman" w:cs="Times New Roman"/>
          <w:bCs/>
          <w:color w:val="auto"/>
          <w:szCs w:val="21"/>
          <w:u w:val="single"/>
        </w:rPr>
        <w:t xml:space="preserve">              </w:t>
      </w:r>
      <w:r>
        <w:rPr>
          <w:rFonts w:hint="default" w:ascii="Times New Roman" w:hAnsi="Times New Roman" w:cs="Times New Roman"/>
          <w:bCs/>
          <w:color w:val="auto"/>
          <w:szCs w:val="21"/>
        </w:rPr>
        <w:t>（投标供应商名称）作为供应商承诺</w:t>
      </w:r>
      <w:r>
        <w:rPr>
          <w:rFonts w:hint="default" w:ascii="Times New Roman" w:hAnsi="Times New Roman" w:cs="Times New Roman"/>
          <w:b/>
          <w:color w:val="auto"/>
          <w:szCs w:val="21"/>
        </w:rPr>
        <w:t>不存在以下情况</w:t>
      </w:r>
      <w:r>
        <w:rPr>
          <w:rFonts w:hint="default" w:ascii="Times New Roman" w:hAnsi="Times New Roman" w:cs="Times New Roman"/>
          <w:bCs/>
          <w:color w:val="auto"/>
          <w:szCs w:val="21"/>
        </w:rPr>
        <w:t>：</w:t>
      </w:r>
    </w:p>
    <w:p w14:paraId="64AF2028">
      <w:pPr>
        <w:autoSpaceDE w:val="0"/>
        <w:autoSpaceDN w:val="0"/>
        <w:adjustRightInd w:val="0"/>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 xml:space="preserve"> （1）供应商单位负责人为同一人或者存在直接控股、管理关系的不同供应商，参加同一合同项下的政府采购活动。</w:t>
      </w:r>
    </w:p>
    <w:p w14:paraId="721EBA96">
      <w:pPr>
        <w:autoSpaceDE w:val="0"/>
        <w:autoSpaceDN w:val="0"/>
        <w:adjustRightInd w:val="0"/>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（2）凡为采购项目提供整体设计、规范编制或者项目管理、监理、检测等服务的供应商，再参加本项目的采购活动。</w:t>
      </w:r>
    </w:p>
    <w:p w14:paraId="227A9204">
      <w:pPr>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（3）供应商被“信用中国”网站（www.creditchina.gov.cn）、“中国政府采购网"(www.ccgp.gov.cn)列入失信被执行人、</w:t>
      </w:r>
      <w:r>
        <w:rPr>
          <w:rFonts w:hint="eastAsia" w:ascii="Times New Roman" w:hAnsi="Times New Roman" w:cs="Times New Roman"/>
          <w:bCs/>
          <w:color w:val="auto"/>
          <w:szCs w:val="21"/>
          <w:lang w:eastAsia="zh-CN"/>
        </w:rPr>
        <w:t>重大税收违法失信主体</w:t>
      </w:r>
      <w:r>
        <w:rPr>
          <w:rFonts w:hint="default" w:ascii="Times New Roman" w:hAnsi="Times New Roman" w:cs="Times New Roman"/>
          <w:bCs/>
          <w:color w:val="auto"/>
          <w:szCs w:val="21"/>
        </w:rPr>
        <w:t>、政府采购严重违法失信行为记录名单。</w:t>
      </w:r>
    </w:p>
    <w:p w14:paraId="444893AE">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54490DF2">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3AE589BC">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22473C80">
      <w:pPr>
        <w:autoSpaceDE w:val="0"/>
        <w:autoSpaceDN w:val="0"/>
        <w:adjustRightInd w:val="0"/>
        <w:spacing w:line="360" w:lineRule="auto"/>
        <w:rPr>
          <w:rFonts w:hint="eastAsia" w:ascii="宋体" w:cs="宋体"/>
          <w:b/>
          <w:color w:val="000000"/>
          <w:szCs w:val="21"/>
          <w:highlight w:val="none"/>
        </w:rPr>
      </w:pPr>
    </w:p>
    <w:p w14:paraId="03019308">
      <w:pPr>
        <w:widowControl/>
        <w:autoSpaceDE/>
        <w:autoSpaceDN/>
        <w:adjustRightInd/>
        <w:spacing w:line="360" w:lineRule="auto"/>
        <w:jc w:val="center"/>
        <w:outlineLvl w:val="0"/>
        <w:rPr>
          <w:rFonts w:hint="eastAsia" w:ascii="宋体" w:hAnsi="宋体" w:cs="宋体"/>
          <w:b/>
          <w:color w:val="auto"/>
          <w:sz w:val="32"/>
          <w:szCs w:val="32"/>
          <w:highlight w:val="none"/>
          <w:lang w:val="en-US" w:eastAsia="zh-CN"/>
        </w:rPr>
      </w:pPr>
    </w:p>
    <w:p w14:paraId="43311A19">
      <w:pPr>
        <w:widowControl/>
        <w:autoSpaceDE/>
        <w:autoSpaceDN/>
        <w:adjustRightInd/>
        <w:spacing w:line="360" w:lineRule="auto"/>
        <w:jc w:val="center"/>
        <w:outlineLvl w:val="0"/>
        <w:rPr>
          <w:rFonts w:hint="eastAsia" w:ascii="宋体" w:hAnsi="宋体" w:cs="宋体"/>
          <w:b/>
          <w:color w:val="auto"/>
          <w:sz w:val="32"/>
          <w:szCs w:val="32"/>
          <w:highlight w:val="none"/>
          <w:lang w:val="en-US" w:eastAsia="zh-CN"/>
        </w:rPr>
      </w:pPr>
    </w:p>
    <w:p w14:paraId="49ED695D">
      <w:pPr>
        <w:widowControl/>
        <w:autoSpaceDE/>
        <w:autoSpaceDN/>
        <w:adjustRightInd/>
        <w:spacing w:line="360" w:lineRule="auto"/>
        <w:jc w:val="center"/>
        <w:outlineLvl w:val="0"/>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附件七、信用中国”（www.creditchina.gov.cn）、“中国政府采购网"(www.ccgp.gov.cn)网站截图</w:t>
      </w:r>
    </w:p>
    <w:p w14:paraId="53CAAC67">
      <w:pPr>
        <w:widowControl/>
        <w:spacing w:line="360" w:lineRule="auto"/>
        <w:jc w:val="center"/>
        <w:outlineLvl w:val="0"/>
        <w:rPr>
          <w:rFonts w:hint="eastAsia" w:ascii="宋体" w:hAnsi="宋体" w:eastAsia="宋体" w:cs="宋体"/>
          <w:b/>
          <w:bCs w:val="0"/>
          <w:color w:val="auto"/>
          <w:sz w:val="32"/>
          <w:szCs w:val="32"/>
          <w:highlight w:val="none"/>
          <w:lang w:val="en-US" w:eastAsia="zh-CN" w:bidi="ar-SA"/>
        </w:rPr>
      </w:pPr>
    </w:p>
    <w:p w14:paraId="74F5D0FA">
      <w:pPr>
        <w:widowControl/>
        <w:spacing w:line="360" w:lineRule="auto"/>
        <w:jc w:val="center"/>
        <w:outlineLvl w:val="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br w:type="textWrapping"/>
      </w:r>
    </w:p>
    <w:p w14:paraId="337BFB61">
      <w:pPr>
        <w:pStyle w:val="2"/>
        <w:rPr>
          <w:rFonts w:hint="eastAsia" w:ascii="宋体" w:hAnsi="宋体" w:eastAsia="宋体" w:cs="宋体"/>
          <w:b/>
          <w:bCs w:val="0"/>
          <w:color w:val="auto"/>
          <w:sz w:val="32"/>
          <w:szCs w:val="32"/>
          <w:highlight w:val="none"/>
          <w:lang w:val="en-US" w:eastAsia="zh-CN" w:bidi="ar-SA"/>
        </w:rPr>
      </w:pPr>
    </w:p>
    <w:p w14:paraId="1BA222AE">
      <w:pPr>
        <w:pStyle w:val="3"/>
        <w:rPr>
          <w:rFonts w:hint="eastAsia" w:ascii="宋体" w:hAnsi="宋体" w:eastAsia="宋体" w:cs="宋体"/>
          <w:b/>
          <w:bCs w:val="0"/>
          <w:color w:val="auto"/>
          <w:sz w:val="32"/>
          <w:szCs w:val="32"/>
          <w:highlight w:val="none"/>
          <w:lang w:val="en-US" w:eastAsia="zh-CN" w:bidi="ar-SA"/>
        </w:rPr>
      </w:pPr>
    </w:p>
    <w:p w14:paraId="3F486F1E">
      <w:pPr>
        <w:pStyle w:val="3"/>
        <w:rPr>
          <w:rFonts w:hint="eastAsia" w:ascii="宋体" w:hAnsi="宋体" w:eastAsia="宋体" w:cs="宋体"/>
          <w:b/>
          <w:bCs w:val="0"/>
          <w:color w:val="auto"/>
          <w:sz w:val="32"/>
          <w:szCs w:val="32"/>
          <w:highlight w:val="none"/>
          <w:lang w:val="en-US" w:eastAsia="zh-CN" w:bidi="ar-SA"/>
        </w:rPr>
      </w:pPr>
    </w:p>
    <w:p w14:paraId="3860762B">
      <w:pPr>
        <w:pStyle w:val="2"/>
        <w:rPr>
          <w:rFonts w:hint="eastAsia"/>
          <w:lang w:val="en-US" w:eastAsia="zh-CN"/>
        </w:rPr>
      </w:pPr>
    </w:p>
    <w:p w14:paraId="1D6BE94F">
      <w:pPr>
        <w:widowControl/>
        <w:autoSpaceDE/>
        <w:autoSpaceDN/>
        <w:adjustRightInd/>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附件八、</w:t>
      </w:r>
      <w:r>
        <w:rPr>
          <w:rFonts w:hint="eastAsia" w:ascii="宋体" w:hAnsi="宋体" w:cs="宋体"/>
          <w:b/>
          <w:color w:val="auto"/>
          <w:sz w:val="32"/>
          <w:szCs w:val="32"/>
          <w:highlight w:val="none"/>
        </w:rPr>
        <w:t>承诺书（实质性响应内容）</w:t>
      </w:r>
    </w:p>
    <w:p w14:paraId="01C0B9D9">
      <w:pPr>
        <w:pStyle w:val="56"/>
        <w:ind w:firstLine="422"/>
        <w:rPr>
          <w:rFonts w:hint="eastAsia" w:ascii="宋体" w:hAnsi="宋体" w:eastAsia="宋体"/>
          <w:b/>
          <w:color w:val="000000"/>
          <w:sz w:val="21"/>
          <w:szCs w:val="21"/>
        </w:rPr>
      </w:pPr>
    </w:p>
    <w:p w14:paraId="74987EC6">
      <w:pPr>
        <w:pStyle w:val="56"/>
        <w:ind w:firstLine="422"/>
        <w:jc w:val="center"/>
        <w:rPr>
          <w:rFonts w:hint="eastAsia" w:ascii="宋体" w:hAnsi="宋体" w:eastAsia="宋体"/>
          <w:b/>
          <w:color w:val="000000"/>
          <w:sz w:val="21"/>
          <w:szCs w:val="21"/>
        </w:rPr>
      </w:pPr>
      <w:r>
        <w:rPr>
          <w:rFonts w:hint="eastAsia" w:ascii="宋体" w:hAnsi="宋体" w:eastAsia="宋体"/>
          <w:b/>
          <w:color w:val="000000"/>
          <w:sz w:val="21"/>
          <w:szCs w:val="21"/>
        </w:rPr>
        <w:t>承诺书</w:t>
      </w:r>
    </w:p>
    <w:p w14:paraId="0B43E6EA">
      <w:pPr>
        <w:spacing w:line="360" w:lineRule="auto"/>
        <w:rPr>
          <w:rFonts w:hint="eastAsia" w:ascii="宋体" w:hAnsi="宋体" w:cs="宋体"/>
          <w:color w:val="000000"/>
          <w:szCs w:val="21"/>
        </w:rPr>
      </w:pPr>
      <w:r>
        <w:rPr>
          <w:rFonts w:hint="eastAsia" w:ascii="宋体" w:hAnsi="宋体" w:cs="宋体"/>
          <w:color w:val="000000"/>
          <w:szCs w:val="21"/>
          <w:lang w:eastAsia="zh-CN"/>
        </w:rPr>
        <w:t>南京市城市建设档案馆</w:t>
      </w:r>
      <w:r>
        <w:rPr>
          <w:rFonts w:hint="eastAsia" w:ascii="宋体" w:hAnsi="宋体" w:cs="宋体"/>
          <w:color w:val="000000"/>
          <w:szCs w:val="21"/>
        </w:rPr>
        <w:t xml:space="preserve"> ：</w:t>
      </w:r>
    </w:p>
    <w:p w14:paraId="786807F4">
      <w:pPr>
        <w:spacing w:line="360" w:lineRule="auto"/>
        <w:ind w:firstLine="420" w:firstLineChars="200"/>
        <w:rPr>
          <w:rFonts w:ascii="宋体" w:hAnsi="宋体" w:cs="宋体"/>
          <w:b/>
          <w:color w:val="000000"/>
          <w:szCs w:val="21"/>
          <w:highlight w:val="none"/>
        </w:rPr>
      </w:pPr>
      <w:r>
        <w:rPr>
          <w:rFonts w:hint="eastAsia" w:ascii="宋体" w:hAnsi="宋体" w:cs="宋体"/>
          <w:color w:val="000000"/>
          <w:szCs w:val="21"/>
        </w:rPr>
        <w:t>我单位</w:t>
      </w:r>
      <w:r>
        <w:rPr>
          <w:rFonts w:hint="eastAsia" w:ascii="宋体" w:hAnsi="宋体" w:cs="宋体"/>
          <w:color w:val="000000"/>
          <w:szCs w:val="21"/>
          <w:u w:val="single"/>
        </w:rPr>
        <w:t xml:space="preserve">                            </w:t>
      </w:r>
      <w:r>
        <w:rPr>
          <w:rFonts w:hint="eastAsia" w:ascii="宋体" w:hAnsi="宋体" w:cs="宋体"/>
          <w:color w:val="000000"/>
          <w:szCs w:val="21"/>
        </w:rPr>
        <w:t xml:space="preserve"> （供应商名称）郑重声明：我单位本次投标。</w:t>
      </w:r>
      <w:r>
        <w:rPr>
          <w:rFonts w:hint="eastAsia" w:ascii="宋体" w:hAnsi="宋体" w:cs="宋体"/>
          <w:color w:val="000000"/>
          <w:szCs w:val="21"/>
          <w:highlight w:val="none"/>
        </w:rPr>
        <w:t>若中标会积极响应采购人以下要求：</w:t>
      </w:r>
    </w:p>
    <w:p w14:paraId="232FCEF3">
      <w:pPr>
        <w:widowControl/>
        <w:numPr>
          <w:ilvl w:val="0"/>
          <w:numId w:val="0"/>
        </w:numPr>
        <w:spacing w:line="360" w:lineRule="auto"/>
        <w:ind w:firstLine="210" w:firstLineChars="100"/>
        <w:rPr>
          <w:rFonts w:hint="default" w:ascii="宋体" w:hAnsi="宋体" w:cs="宋体"/>
          <w:bCs/>
          <w:color w:val="auto"/>
          <w:szCs w:val="21"/>
          <w:highlight w:val="none"/>
          <w:lang w:val="en-US" w:eastAsia="zh-CN"/>
        </w:rPr>
      </w:pPr>
      <w:r>
        <w:rPr>
          <w:rFonts w:hint="eastAsia" w:ascii="宋体" w:hAnsi="宋体" w:cs="宋体"/>
          <w:bCs/>
          <w:szCs w:val="21"/>
          <w:highlight w:val="none"/>
          <w:lang w:val="en-US" w:eastAsia="zh-CN"/>
        </w:rPr>
        <w:t>1、</w:t>
      </w:r>
      <w:r>
        <w:rPr>
          <w:rFonts w:hint="eastAsia" w:ascii="宋体" w:hAnsi="宋体" w:cs="宋体"/>
          <w:color w:val="000000"/>
          <w:szCs w:val="21"/>
        </w:rPr>
        <w:t>我单位</w:t>
      </w:r>
      <w:r>
        <w:rPr>
          <w:rFonts w:hint="eastAsia" w:ascii="宋体" w:hAnsi="宋体" w:cs="宋体"/>
          <w:bCs/>
          <w:szCs w:val="21"/>
          <w:highlight w:val="none"/>
          <w:lang w:val="en-US" w:eastAsia="zh-CN"/>
        </w:rPr>
        <w:t>工作人员数量与素质、技术与管理水平应满足承担项目的要求，</w:t>
      </w:r>
      <w:r>
        <w:rPr>
          <w:rFonts w:hint="eastAsia" w:ascii="宋体" w:hAnsi="宋体" w:cs="宋体"/>
          <w:color w:val="000000"/>
          <w:szCs w:val="21"/>
        </w:rPr>
        <w:t>我单位</w:t>
      </w:r>
      <w:r>
        <w:rPr>
          <w:rFonts w:hint="eastAsia" w:ascii="宋体" w:hAnsi="宋体" w:cs="宋体"/>
          <w:bCs/>
          <w:szCs w:val="21"/>
          <w:highlight w:val="none"/>
          <w:lang w:val="en-US" w:eastAsia="zh-CN"/>
        </w:rPr>
        <w:t>需派出1名该项目的现场负责人，保证半年驻守不离岗；派出不少于9名工作人员（不包含项目负责人）正常</w:t>
      </w:r>
      <w:r>
        <w:rPr>
          <w:rFonts w:hint="eastAsia" w:ascii="宋体" w:hAnsi="宋体" w:cs="宋体"/>
          <w:bCs/>
          <w:color w:val="auto"/>
          <w:szCs w:val="21"/>
          <w:highlight w:val="none"/>
          <w:lang w:val="en-US" w:eastAsia="zh-CN"/>
        </w:rPr>
        <w:t>工作。</w:t>
      </w:r>
    </w:p>
    <w:p w14:paraId="2EC91071">
      <w:pPr>
        <w:widowControl/>
        <w:numPr>
          <w:ilvl w:val="0"/>
          <w:numId w:val="0"/>
        </w:numPr>
        <w:spacing w:line="360" w:lineRule="auto"/>
        <w:ind w:firstLine="210" w:firstLineChars="100"/>
        <w:rPr>
          <w:rFonts w:hint="eastAsia" w:ascii="宋体" w:hAnsi="宋体" w:cs="宋体"/>
          <w:bCs/>
          <w:color w:val="auto"/>
          <w:szCs w:val="21"/>
          <w:highlight w:val="none"/>
          <w:lang w:val="en-US" w:eastAsia="zh-CN"/>
        </w:rPr>
      </w:pPr>
      <w:r>
        <w:rPr>
          <w:rFonts w:hint="eastAsia" w:ascii="宋体" w:hAnsi="宋体" w:cs="宋体"/>
          <w:color w:val="000000"/>
          <w:szCs w:val="21"/>
        </w:rPr>
        <w:t>我单位</w:t>
      </w:r>
      <w:r>
        <w:rPr>
          <w:rFonts w:hint="eastAsia" w:ascii="宋体" w:hAnsi="宋体" w:cs="宋体"/>
          <w:bCs/>
          <w:color w:val="auto"/>
          <w:szCs w:val="21"/>
          <w:highlight w:val="none"/>
          <w:lang w:val="en-US" w:eastAsia="zh-CN"/>
        </w:rPr>
        <w:t>应安排好本项目负责人，负责与采购人及时沟通，未经采购人同意不得中途更换。因特殊情况需调整的，需提前1个月向采购人提出书面申请，在确保工作不受影响，所调换人员资质及工作水平不低于变动人员的前提下，经采购人同意方可做人员调整。</w:t>
      </w:r>
    </w:p>
    <w:p w14:paraId="39C48133">
      <w:pPr>
        <w:widowControl/>
        <w:numPr>
          <w:ilvl w:val="0"/>
          <w:numId w:val="0"/>
        </w:numPr>
        <w:spacing w:line="360" w:lineRule="auto"/>
        <w:ind w:firstLine="210" w:firstLineChars="100"/>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2、</w:t>
      </w:r>
      <w:r>
        <w:rPr>
          <w:rFonts w:hint="eastAsia" w:ascii="宋体" w:hAnsi="宋体" w:cs="宋体"/>
          <w:color w:val="000000"/>
          <w:szCs w:val="21"/>
        </w:rPr>
        <w:t>我单位</w:t>
      </w:r>
      <w:r>
        <w:rPr>
          <w:rFonts w:hint="eastAsia" w:ascii="宋体" w:hAnsi="宋体" w:cs="宋体"/>
          <w:bCs/>
          <w:color w:val="auto"/>
          <w:szCs w:val="21"/>
          <w:highlight w:val="none"/>
          <w:lang w:val="en-US" w:eastAsia="zh-CN"/>
        </w:rPr>
        <w:t>负责提供计算机、A4高速扫描仪、A3平板式扫描仪、大幅面图纸扫描仪、书刊扫描仪、打印机等数字化设备。设备应满足承担项目的技术要求，并保证工作期间所需耗材。</w:t>
      </w:r>
      <w:r>
        <w:rPr>
          <w:rFonts w:hint="eastAsia" w:ascii="宋体" w:hAnsi="宋体" w:cs="宋体"/>
          <w:bCs/>
          <w:szCs w:val="21"/>
          <w:highlight w:val="none"/>
          <w:lang w:val="en-US" w:eastAsia="zh-CN"/>
        </w:rPr>
        <w:t>3、档案的整理复核和数字化需在南京市城建档案馆《城建档案数字信息管理系统》中进行,档案馆负责网络线路畅通，以及</w:t>
      </w:r>
      <w:r>
        <w:rPr>
          <w:rFonts w:hint="eastAsia" w:ascii="宋体" w:hAnsi="宋体" w:cs="宋体"/>
          <w:bCs/>
          <w:color w:val="auto"/>
          <w:szCs w:val="21"/>
          <w:highlight w:val="none"/>
          <w:lang w:val="en-US" w:eastAsia="zh-CN"/>
        </w:rPr>
        <w:t>《城建档案数字信息管理系统》的正常运行，中标供应商必须按照档案馆的保密与系统安全管理规定执行。（提供承诺书并加盖公章）</w:t>
      </w:r>
    </w:p>
    <w:p w14:paraId="755C9D06">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p>
    <w:p w14:paraId="488ABD80">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供应商名称：</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w:t>
      </w:r>
      <w:r>
        <w:rPr>
          <w:rFonts w:hint="eastAsia" w:cs="Times New Roman"/>
          <w:color w:val="auto"/>
          <w:szCs w:val="21"/>
          <w:highlight w:val="none"/>
          <w:lang w:val="zh-CN"/>
        </w:rPr>
        <w:t>电子公章</w:t>
      </w:r>
      <w:r>
        <w:rPr>
          <w:rFonts w:hint="default" w:ascii="Times New Roman" w:hAnsi="Times New Roman" w:cs="Times New Roman"/>
          <w:color w:val="auto"/>
          <w:szCs w:val="21"/>
          <w:highlight w:val="none"/>
          <w:lang w:val="zh-CN"/>
        </w:rPr>
        <w:t>）</w:t>
      </w:r>
    </w:p>
    <w:p w14:paraId="0A24E0DC">
      <w:pPr>
        <w:widowControl/>
        <w:adjustRightInd w:val="0"/>
        <w:spacing w:line="360" w:lineRule="auto"/>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 xml:space="preserve">    </w:t>
      </w:r>
      <w:r>
        <w:rPr>
          <w:rFonts w:hint="eastAsia" w:ascii="宋体" w:cs="宋体"/>
          <w:szCs w:val="21"/>
          <w:highlight w:val="none"/>
          <w:lang w:val="zh-CN"/>
        </w:rPr>
        <w:t>法定代表人或委托代理人（</w:t>
      </w:r>
      <w:r>
        <w:rPr>
          <w:rFonts w:hint="eastAsia" w:ascii="宋体" w:cs="宋体"/>
          <w:szCs w:val="21"/>
          <w:highlight w:val="none"/>
          <w:lang w:val="en-US" w:eastAsia="zh-CN"/>
        </w:rPr>
        <w:t>签字或签章</w:t>
      </w:r>
      <w:r>
        <w:rPr>
          <w:rFonts w:hint="eastAsia" w:ascii="宋体" w:cs="宋体"/>
          <w:szCs w:val="21"/>
          <w:highlight w:val="none"/>
          <w:lang w:val="zh-CN"/>
        </w:rPr>
        <w:t>）：</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hint="default" w:ascii="Times New Roman" w:hAnsi="Times New Roman" w:cs="Times New Roman"/>
          <w:color w:val="auto"/>
          <w:kern w:val="0"/>
          <w:szCs w:val="21"/>
          <w:highlight w:val="none"/>
          <w:lang w:val="zh-CN"/>
        </w:rPr>
        <w:t xml:space="preserve">                </w:t>
      </w:r>
    </w:p>
    <w:p w14:paraId="292A78E4">
      <w:pPr>
        <w:autoSpaceDE w:val="0"/>
        <w:autoSpaceDN w:val="0"/>
        <w:adjustRightInd w:val="0"/>
        <w:spacing w:line="360" w:lineRule="auto"/>
        <w:ind w:firstLine="420"/>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日    期：</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年</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月</w:t>
      </w:r>
      <w:r>
        <w:rPr>
          <w:rFonts w:hint="default" w:ascii="Times New Roman" w:hAnsi="Times New Roman" w:cs="Times New Roman"/>
          <w:color w:val="auto"/>
          <w:szCs w:val="21"/>
          <w:highlight w:val="none"/>
          <w:u w:val="single"/>
          <w:lang w:val="zh-CN"/>
        </w:rPr>
        <w:t xml:space="preserve">    </w:t>
      </w:r>
      <w:r>
        <w:rPr>
          <w:rFonts w:hint="default" w:ascii="Times New Roman" w:hAnsi="Times New Roman" w:cs="Times New Roman"/>
          <w:color w:val="auto"/>
          <w:szCs w:val="21"/>
          <w:highlight w:val="none"/>
          <w:lang w:val="zh-CN"/>
        </w:rPr>
        <w:t>日</w:t>
      </w:r>
    </w:p>
    <w:p w14:paraId="08202DC2">
      <w:pPr>
        <w:spacing w:line="360" w:lineRule="auto"/>
        <w:ind w:firstLine="420" w:firstLineChars="200"/>
        <w:rPr>
          <w:rFonts w:hint="eastAsia" w:ascii="宋体" w:hAnsi="宋体" w:cs="宋体"/>
          <w:kern w:val="0"/>
          <w:szCs w:val="21"/>
        </w:rPr>
      </w:pPr>
    </w:p>
    <w:p w14:paraId="68F65914">
      <w:pPr>
        <w:widowControl/>
        <w:spacing w:line="360" w:lineRule="auto"/>
        <w:jc w:val="center"/>
        <w:outlineLvl w:val="0"/>
        <w:rPr>
          <w:rFonts w:hint="default" w:ascii="宋体" w:hAnsi="宋体" w:eastAsia="宋体" w:cs="宋体"/>
          <w:b/>
          <w:bCs w:val="0"/>
          <w:color w:val="auto"/>
          <w:sz w:val="32"/>
          <w:szCs w:val="32"/>
          <w:highlight w:val="none"/>
          <w:lang w:val="en-US" w:eastAsia="zh-CN" w:bidi="ar-SA"/>
        </w:rPr>
      </w:pPr>
    </w:p>
    <w:p w14:paraId="55E5EC0B">
      <w:pPr>
        <w:widowControl/>
        <w:spacing w:line="360" w:lineRule="auto"/>
        <w:jc w:val="center"/>
        <w:outlineLvl w:val="0"/>
        <w:rPr>
          <w:rFonts w:hint="default" w:ascii="宋体" w:hAnsi="宋体" w:eastAsia="宋体" w:cs="宋体"/>
          <w:b/>
          <w:bCs w:val="0"/>
          <w:color w:val="auto"/>
          <w:sz w:val="32"/>
          <w:szCs w:val="32"/>
          <w:highlight w:val="none"/>
          <w:lang w:val="en-US" w:eastAsia="zh-CN" w:bidi="ar-SA"/>
        </w:rPr>
      </w:pPr>
    </w:p>
    <w:p w14:paraId="149599DA">
      <w:pPr>
        <w:widowControl/>
        <w:spacing w:line="360" w:lineRule="auto"/>
        <w:jc w:val="center"/>
        <w:outlineLvl w:val="0"/>
        <w:rPr>
          <w:rFonts w:hint="eastAsia" w:ascii="宋体" w:hAnsi="宋体" w:cs="宋体"/>
          <w:b/>
          <w:bCs w:val="0"/>
          <w:color w:val="auto"/>
          <w:sz w:val="32"/>
          <w:szCs w:val="32"/>
          <w:highlight w:val="none"/>
          <w:lang w:val="en-US" w:eastAsia="zh-CN" w:bidi="ar-SA"/>
        </w:rPr>
      </w:pPr>
    </w:p>
    <w:p w14:paraId="3AFBC98E">
      <w:pPr>
        <w:widowControl/>
        <w:spacing w:line="360" w:lineRule="auto"/>
        <w:jc w:val="center"/>
        <w:outlineLvl w:val="0"/>
        <w:rPr>
          <w:rFonts w:hint="eastAsia" w:ascii="宋体" w:hAnsi="宋体" w:cs="宋体"/>
          <w:b/>
          <w:bCs w:val="0"/>
          <w:color w:val="auto"/>
          <w:sz w:val="32"/>
          <w:szCs w:val="32"/>
          <w:highlight w:val="none"/>
          <w:lang w:val="en-US" w:eastAsia="zh-CN" w:bidi="ar-SA"/>
        </w:rPr>
      </w:pPr>
    </w:p>
    <w:p w14:paraId="64F2E2DE">
      <w:pPr>
        <w:widowControl/>
        <w:spacing w:line="360" w:lineRule="auto"/>
        <w:jc w:val="center"/>
        <w:outlineLvl w:val="0"/>
        <w:rPr>
          <w:rFonts w:hint="eastAsia" w:ascii="宋体" w:hAnsi="宋体" w:cs="宋体"/>
          <w:b/>
          <w:bCs w:val="0"/>
          <w:color w:val="auto"/>
          <w:sz w:val="32"/>
          <w:szCs w:val="32"/>
          <w:highlight w:val="none"/>
          <w:lang w:val="en-US" w:eastAsia="zh-CN" w:bidi="ar-SA"/>
        </w:rPr>
      </w:pPr>
    </w:p>
    <w:p w14:paraId="7D12AAB3">
      <w:pPr>
        <w:widowControl/>
        <w:spacing w:line="360" w:lineRule="auto"/>
        <w:jc w:val="center"/>
        <w:outlineLvl w:val="0"/>
        <w:rPr>
          <w:rFonts w:hint="eastAsia" w:ascii="宋体" w:hAnsi="宋体" w:eastAsia="宋体" w:cs="宋体"/>
          <w:b/>
          <w:bCs w:val="0"/>
          <w:color w:val="auto"/>
          <w:sz w:val="32"/>
          <w:szCs w:val="32"/>
          <w:highlight w:val="none"/>
          <w:lang w:val="en-US" w:eastAsia="zh-CN" w:bidi="ar-SA"/>
        </w:rPr>
      </w:pPr>
      <w:r>
        <w:rPr>
          <w:rFonts w:hint="eastAsia" w:ascii="宋体" w:hAnsi="宋体" w:cs="宋体"/>
          <w:b/>
          <w:bCs w:val="0"/>
          <w:color w:val="auto"/>
          <w:sz w:val="32"/>
          <w:szCs w:val="32"/>
          <w:highlight w:val="none"/>
          <w:lang w:val="en-US" w:eastAsia="zh-CN" w:bidi="ar-SA"/>
        </w:rPr>
        <w:t>附件九</w:t>
      </w:r>
      <w:r>
        <w:rPr>
          <w:rFonts w:hint="eastAsia" w:ascii="宋体" w:hAnsi="宋体" w:eastAsia="宋体" w:cs="宋体"/>
          <w:b/>
          <w:bCs w:val="0"/>
          <w:color w:val="auto"/>
          <w:sz w:val="32"/>
          <w:szCs w:val="32"/>
          <w:highlight w:val="none"/>
          <w:lang w:val="en-US" w:eastAsia="zh-CN" w:bidi="ar-SA"/>
        </w:rPr>
        <w:t>、南京市政府采购供应商信用记录表</w:t>
      </w:r>
    </w:p>
    <w:p w14:paraId="6163C8DC">
      <w:pPr>
        <w:spacing w:line="460" w:lineRule="exact"/>
        <w:ind w:firstLine="1620"/>
        <w:rPr>
          <w:rFonts w:ascii="黑体" w:eastAsia="黑体"/>
          <w:color w:val="000000"/>
          <w:sz w:val="36"/>
          <w:szCs w:val="36"/>
          <w:highlight w:val="none"/>
        </w:rPr>
      </w:pPr>
      <w:r>
        <w:rPr>
          <w:rFonts w:ascii="黑体" w:eastAsia="黑体"/>
          <w:color w:val="000000"/>
          <w:sz w:val="36"/>
          <w:szCs w:val="36"/>
          <w:highlight w:val="none"/>
        </w:rPr>
        <w:t>南京市政府采购供应商信用记录表</w:t>
      </w:r>
    </w:p>
    <w:p w14:paraId="56CC4CA2">
      <w:pPr>
        <w:spacing w:line="460" w:lineRule="exact"/>
        <w:ind w:firstLine="540"/>
        <w:rPr>
          <w:rFonts w:ascii="黑体" w:eastAsia="黑体"/>
          <w:color w:val="000000"/>
          <w:sz w:val="36"/>
          <w:szCs w:val="36"/>
          <w:highlight w:val="none"/>
        </w:rPr>
      </w:pPr>
      <w:r>
        <w:rPr>
          <w:rFonts w:hint="eastAsia" w:ascii="黑体" w:eastAsia="黑体"/>
          <w:color w:val="000000"/>
          <w:sz w:val="36"/>
          <w:szCs w:val="36"/>
          <w:highlight w:val="none"/>
        </w:rPr>
        <w:t>（</w:t>
      </w:r>
      <w:r>
        <w:rPr>
          <w:rFonts w:hint="eastAsia" w:ascii="黑体" w:eastAsia="黑体"/>
          <w:color w:val="000000"/>
          <w:sz w:val="28"/>
          <w:szCs w:val="28"/>
          <w:highlight w:val="none"/>
        </w:rPr>
        <w:t>根据《南京市政府采购供应商诚信档案管理系统》在线打印</w:t>
      </w:r>
      <w:r>
        <w:rPr>
          <w:rFonts w:hint="eastAsia" w:ascii="黑体" w:eastAsia="黑体"/>
          <w:color w:val="000000"/>
          <w:sz w:val="36"/>
          <w:szCs w:val="36"/>
          <w:highlight w:val="none"/>
        </w:rPr>
        <w:t>）</w:t>
      </w:r>
    </w:p>
    <w:p w14:paraId="5E38C686">
      <w:pPr>
        <w:spacing w:line="460" w:lineRule="exact"/>
        <w:ind w:firstLine="492"/>
        <w:rPr>
          <w:color w:val="000000"/>
          <w:highlight w:val="none"/>
        </w:rPr>
      </w:pPr>
    </w:p>
    <w:p w14:paraId="1453C0A3">
      <w:pPr>
        <w:spacing w:line="360" w:lineRule="auto"/>
        <w:rPr>
          <w:rFonts w:ascii="宋体" w:cs="宋体"/>
          <w:color w:val="000000"/>
          <w:szCs w:val="21"/>
          <w:highlight w:val="none"/>
          <w:lang w:val="zh-CN"/>
        </w:rPr>
      </w:pPr>
      <w:r>
        <w:rPr>
          <w:rFonts w:hint="eastAsia" w:ascii="宋体" w:cs="宋体"/>
          <w:color w:val="000000"/>
          <w:szCs w:val="21"/>
          <w:highlight w:val="none"/>
          <w:shd w:val="clear" w:color="auto" w:fill="FFFFFF"/>
        </w:rPr>
        <w:t>说明：供应商需每次参加政府采购活动时，在采购文件发布之日起至递交投标（响应）文件截止日前，应先登录“信用南京”</w:t>
      </w:r>
      <w:r>
        <w:rPr>
          <w:rFonts w:hint="eastAsia" w:ascii="宋体" w:cs="宋体"/>
          <w:b/>
          <w:bCs/>
          <w:color w:val="000000"/>
          <w:szCs w:val="21"/>
          <w:highlight w:val="none"/>
          <w:shd w:val="clear" w:color="auto" w:fill="FFFFFF"/>
        </w:rPr>
        <w:t>在线打印</w:t>
      </w:r>
      <w:r>
        <w:rPr>
          <w:rFonts w:hint="eastAsia" w:ascii="宋体" w:cs="宋体"/>
          <w:color w:val="000000"/>
          <w:szCs w:val="21"/>
          <w:highlight w:val="none"/>
          <w:shd w:val="clear" w:color="auto" w:fill="FFFFFF"/>
        </w:rPr>
        <w:t>其“南京市政府采购供应商信用记录表”，经</w:t>
      </w:r>
      <w:r>
        <w:rPr>
          <w:rFonts w:hint="eastAsia" w:ascii="宋体" w:cs="宋体"/>
          <w:b/>
          <w:bCs/>
          <w:color w:val="000000"/>
          <w:szCs w:val="21"/>
          <w:highlight w:val="none"/>
          <w:shd w:val="clear" w:color="auto" w:fill="FFFFFF"/>
        </w:rPr>
        <w:t>法定代表人签名</w:t>
      </w:r>
      <w:r>
        <w:rPr>
          <w:rFonts w:hint="eastAsia" w:ascii="宋体" w:cs="宋体"/>
          <w:b/>
          <w:bCs/>
          <w:color w:val="000000"/>
          <w:szCs w:val="21"/>
          <w:highlight w:val="none"/>
          <w:shd w:val="clear" w:color="auto" w:fill="FFFFFF"/>
          <w:lang w:val="en-US" w:eastAsia="zh-CN"/>
        </w:rPr>
        <w:t>盖章</w:t>
      </w:r>
      <w:r>
        <w:rPr>
          <w:rFonts w:hint="eastAsia" w:ascii="宋体" w:cs="宋体"/>
          <w:color w:val="000000"/>
          <w:szCs w:val="21"/>
          <w:highlight w:val="none"/>
          <w:shd w:val="clear" w:color="auto" w:fill="FFFFFF"/>
        </w:rPr>
        <w:t>后作为投标（响应）文件的组成部分提交给采购代理机构或采购人。</w:t>
      </w:r>
    </w:p>
    <w:p w14:paraId="6ACE1CE3">
      <w:pPr>
        <w:widowControl/>
        <w:spacing w:line="360" w:lineRule="auto"/>
        <w:jc w:val="center"/>
        <w:outlineLvl w:val="0"/>
        <w:rPr>
          <w:rFonts w:hint="default" w:ascii="宋体" w:hAnsi="宋体" w:eastAsia="宋体" w:cs="宋体"/>
          <w:b/>
          <w:bCs w:val="0"/>
          <w:color w:val="auto"/>
          <w:sz w:val="32"/>
          <w:szCs w:val="32"/>
          <w:highlight w:val="none"/>
          <w:lang w:val="en-US" w:eastAsia="zh-CN" w:bidi="ar-SA"/>
        </w:rPr>
      </w:pPr>
    </w:p>
    <w:p w14:paraId="2AD28149">
      <w:pPr>
        <w:widowControl/>
        <w:spacing w:line="360" w:lineRule="auto"/>
        <w:jc w:val="center"/>
        <w:outlineLvl w:val="0"/>
        <w:rPr>
          <w:rFonts w:hint="default" w:ascii="宋体" w:hAnsi="宋体" w:eastAsia="宋体" w:cs="宋体"/>
          <w:b/>
          <w:bCs w:val="0"/>
          <w:color w:val="auto"/>
          <w:sz w:val="32"/>
          <w:szCs w:val="32"/>
          <w:highlight w:val="none"/>
          <w:lang w:val="en-US" w:eastAsia="zh-CN" w:bidi="ar-SA"/>
        </w:rPr>
      </w:pPr>
    </w:p>
    <w:p w14:paraId="4866A498">
      <w:pPr>
        <w:widowControl/>
        <w:spacing w:line="360" w:lineRule="auto"/>
        <w:jc w:val="center"/>
        <w:outlineLvl w:val="0"/>
        <w:rPr>
          <w:rFonts w:hint="default" w:ascii="宋体" w:hAnsi="宋体" w:eastAsia="宋体" w:cs="宋体"/>
          <w:b/>
          <w:bCs w:val="0"/>
          <w:color w:val="auto"/>
          <w:sz w:val="32"/>
          <w:szCs w:val="32"/>
          <w:highlight w:val="none"/>
          <w:lang w:val="en-US" w:eastAsia="zh-CN" w:bidi="ar-SA"/>
        </w:rPr>
      </w:pPr>
    </w:p>
    <w:p w14:paraId="3ED99F0A">
      <w:pPr>
        <w:pStyle w:val="63"/>
        <w:spacing w:line="360" w:lineRule="auto"/>
        <w:ind w:left="0" w:leftChars="0" w:firstLine="0" w:firstLineChars="0"/>
        <w:jc w:val="both"/>
        <w:rPr>
          <w:rFonts w:hint="eastAsia" w:ascii="宋体" w:hAnsi="宋体" w:cs="宋体"/>
          <w:szCs w:val="20"/>
        </w:rPr>
      </w:pPr>
    </w:p>
    <w:sectPr>
      <w:footerReference r:id="rId7" w:type="first"/>
      <w:headerReference r:id="rId5" w:type="default"/>
      <w:footerReference r:id="rId6" w:type="default"/>
      <w:pgSz w:w="11906" w:h="16838"/>
      <w:pgMar w:top="1440" w:right="1797" w:bottom="1440" w:left="1599"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Arial Unicode MS"/>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UI Light"/>
    <w:panose1 w:val="020B0300000000000000"/>
    <w:charset w:val="80"/>
    <w:family w:val="auto"/>
    <w:pitch w:val="default"/>
    <w:sig w:usb0="00000000" w:usb1="00000000" w:usb2="00000012" w:usb3="00000000" w:csb0="0002000D" w:csb1="00000000"/>
  </w:font>
  <w:font w:name="Yu Gothic UI Light">
    <w:panose1 w:val="020B03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E7C19">
    <w:pPr>
      <w:pStyle w:val="29"/>
      <w:tabs>
        <w:tab w:val="center" w:pos="4819"/>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7B799A">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27B799A">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2F19B">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26E0EC">
                          <w:pPr>
                            <w:pStyle w:val="29"/>
                          </w:pPr>
                          <w:r>
                            <w:fldChar w:fldCharType="begin"/>
                          </w:r>
                          <w:r>
                            <w:instrText xml:space="preserve"> PAGE  \* MERGEFORMAT </w:instrText>
                          </w:r>
                          <w:r>
                            <w:fldChar w:fldCharType="separate"/>
                          </w:r>
                          <w:r>
                            <w:t>33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1E26E0EC">
                    <w:pPr>
                      <w:pStyle w:val="2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283FC">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4CE0F">
                          <w:pPr>
                            <w:pStyle w:val="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194CE0F">
                    <w:pPr>
                      <w:pStyle w:val="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6446C">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119099">
                          <w:pPr>
                            <w:pStyle w:val="2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8119099">
                    <w:pPr>
                      <w:pStyle w:val="2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8800D">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76CB41"/>
    <w:multiLevelType w:val="singleLevel"/>
    <w:tmpl w:val="DC76CB41"/>
    <w:lvl w:ilvl="0" w:tentative="0">
      <w:start w:val="7"/>
      <w:numFmt w:val="decimal"/>
      <w:suff w:val="nothing"/>
      <w:lvlText w:val="%1、"/>
      <w:lvlJc w:val="left"/>
    </w:lvl>
  </w:abstractNum>
  <w:abstractNum w:abstractNumId="1">
    <w:nsid w:val="00000006"/>
    <w:multiLevelType w:val="multilevel"/>
    <w:tmpl w:val="00000006"/>
    <w:lvl w:ilvl="0" w:tentative="0">
      <w:start w:val="1"/>
      <w:numFmt w:val="chineseCountingThousand"/>
      <w:pStyle w:val="4"/>
      <w:suff w:val="nothing"/>
      <w:lvlText w:val="第%1章"/>
      <w:lvlJc w:val="left"/>
      <w:pPr>
        <w:ind w:left="0" w:firstLine="0"/>
      </w:pPr>
    </w:lvl>
    <w:lvl w:ilvl="1" w:tentative="0">
      <w:start w:val="1"/>
      <w:numFmt w:val="none"/>
      <w:pStyle w:val="5"/>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130A2188"/>
    <w:multiLevelType w:val="multilevel"/>
    <w:tmpl w:val="130A2188"/>
    <w:lvl w:ilvl="0" w:tentative="0">
      <w:start w:val="1"/>
      <w:numFmt w:val="chineseCountingThousand"/>
      <w:pStyle w:val="157"/>
      <w:lvlText w:val="%1"/>
      <w:lvlJc w:val="left"/>
      <w:pPr>
        <w:ind w:left="425" w:hanging="425"/>
      </w:pPr>
      <w:rPr>
        <w:rFonts w:hint="eastAsia" w:ascii="Arial Unicode MS" w:hAnsi="Arial Unicode MS" w:eastAsia="微软雅黑"/>
        <w:b/>
        <w:i w:val="0"/>
        <w:lang w:val="en-US"/>
      </w:rPr>
    </w:lvl>
    <w:lvl w:ilvl="1" w:tentative="0">
      <w:start w:val="1"/>
      <w:numFmt w:val="decimal"/>
      <w:pStyle w:val="177"/>
      <w:isLgl/>
      <w:lvlText w:val="%1.%2"/>
      <w:lvlJc w:val="left"/>
      <w:pPr>
        <w:ind w:left="425" w:hanging="425"/>
      </w:pPr>
      <w:rPr>
        <w:rFonts w:hint="eastAsia" w:ascii="Arial Unicode MS" w:hAnsi="Arial Unicode MS" w:eastAsia="微软雅黑"/>
        <w:b/>
        <w:i w:val="0"/>
      </w:rPr>
    </w:lvl>
    <w:lvl w:ilvl="2" w:tentative="0">
      <w:start w:val="1"/>
      <w:numFmt w:val="decimal"/>
      <w:pStyle w:val="191"/>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34EFE337"/>
    <w:multiLevelType w:val="singleLevel"/>
    <w:tmpl w:val="34EFE337"/>
    <w:lvl w:ilvl="0" w:tentative="0">
      <w:start w:val="7"/>
      <w:numFmt w:val="chineseCounting"/>
      <w:suff w:val="nothing"/>
      <w:lvlText w:val="%1、"/>
      <w:lvlJc w:val="left"/>
      <w:rPr>
        <w:rFonts w:hint="eastAsia"/>
      </w:rPr>
    </w:lvl>
  </w:abstractNum>
  <w:abstractNum w:abstractNumId="4">
    <w:nsid w:val="4E3BBAB2"/>
    <w:multiLevelType w:val="singleLevel"/>
    <w:tmpl w:val="4E3BBAB2"/>
    <w:lvl w:ilvl="0" w:tentative="0">
      <w:start w:val="1"/>
      <w:numFmt w:val="decimal"/>
      <w:suff w:val="nothing"/>
      <w:lvlText w:val="%1、"/>
      <w:lvlJc w:val="left"/>
      <w:pPr>
        <w:ind w:left="0" w:firstLine="0"/>
      </w:pPr>
    </w:lvl>
  </w:abstractNum>
  <w:abstractNum w:abstractNumId="5">
    <w:nsid w:val="5683FAC1"/>
    <w:multiLevelType w:val="singleLevel"/>
    <w:tmpl w:val="5683FAC1"/>
    <w:lvl w:ilvl="0" w:tentative="0">
      <w:start w:val="1"/>
      <w:numFmt w:val="decimal"/>
      <w:suff w:val="space"/>
      <w:lvlText w:val="%1、"/>
      <w:lvlJc w:val="left"/>
    </w:lvl>
  </w:abstractNum>
  <w:abstractNum w:abstractNumId="6">
    <w:nsid w:val="69F91E29"/>
    <w:multiLevelType w:val="singleLevel"/>
    <w:tmpl w:val="69F91E29"/>
    <w:lvl w:ilvl="0" w:tentative="0">
      <w:start w:val="2"/>
      <w:numFmt w:val="decimal"/>
      <w:suff w:val="nothing"/>
      <w:lvlText w:val="%1）"/>
      <w:lvlJc w:val="left"/>
    </w:lvl>
  </w:abstractNum>
  <w:num w:numId="1">
    <w:abstractNumId w:val="1"/>
  </w:num>
  <w:num w:numId="2">
    <w:abstractNumId w:val="2"/>
  </w:num>
  <w:num w:numId="3">
    <w:abstractNumId w:val="0"/>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RiN2EzOTIwNTFkMWRjYjlhM2M2MjEwMTAzOTAyMTAifQ=="/>
  </w:docVars>
  <w:rsids>
    <w:rsidRoot w:val="00172A2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CF6"/>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07A95"/>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4B84"/>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672B9"/>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BDB"/>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2070"/>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D6E67"/>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56F"/>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19"/>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0B4D"/>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5688F"/>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3BD8"/>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0D6029"/>
    <w:rsid w:val="01101675"/>
    <w:rsid w:val="01214A1E"/>
    <w:rsid w:val="014D0B1B"/>
    <w:rsid w:val="014F1B49"/>
    <w:rsid w:val="01510A39"/>
    <w:rsid w:val="0158318B"/>
    <w:rsid w:val="01610327"/>
    <w:rsid w:val="0161201C"/>
    <w:rsid w:val="01674AD8"/>
    <w:rsid w:val="017B15F7"/>
    <w:rsid w:val="01944B97"/>
    <w:rsid w:val="019B2A51"/>
    <w:rsid w:val="01BB069A"/>
    <w:rsid w:val="01C963F3"/>
    <w:rsid w:val="01D95F0B"/>
    <w:rsid w:val="01DB1C83"/>
    <w:rsid w:val="01DB6127"/>
    <w:rsid w:val="01DD029F"/>
    <w:rsid w:val="01E41B1F"/>
    <w:rsid w:val="01EE6DBE"/>
    <w:rsid w:val="01F33470"/>
    <w:rsid w:val="01F82835"/>
    <w:rsid w:val="01FA47FF"/>
    <w:rsid w:val="01FA65AD"/>
    <w:rsid w:val="01FF3BC3"/>
    <w:rsid w:val="02025461"/>
    <w:rsid w:val="020E7F3F"/>
    <w:rsid w:val="021358C1"/>
    <w:rsid w:val="021A6004"/>
    <w:rsid w:val="022E08B9"/>
    <w:rsid w:val="0238311C"/>
    <w:rsid w:val="023A07E4"/>
    <w:rsid w:val="024339CB"/>
    <w:rsid w:val="025608A7"/>
    <w:rsid w:val="025D291A"/>
    <w:rsid w:val="02690B82"/>
    <w:rsid w:val="026B36AE"/>
    <w:rsid w:val="026B74AB"/>
    <w:rsid w:val="02711414"/>
    <w:rsid w:val="027202B1"/>
    <w:rsid w:val="02721F48"/>
    <w:rsid w:val="02805163"/>
    <w:rsid w:val="02815E8D"/>
    <w:rsid w:val="02820350"/>
    <w:rsid w:val="02946189"/>
    <w:rsid w:val="02964B6A"/>
    <w:rsid w:val="02A81D04"/>
    <w:rsid w:val="02B82E4C"/>
    <w:rsid w:val="02E41BF4"/>
    <w:rsid w:val="02F07CB0"/>
    <w:rsid w:val="02FA25DD"/>
    <w:rsid w:val="030D75EF"/>
    <w:rsid w:val="03100052"/>
    <w:rsid w:val="031168BC"/>
    <w:rsid w:val="03143E06"/>
    <w:rsid w:val="032D26C5"/>
    <w:rsid w:val="032D650E"/>
    <w:rsid w:val="033E696D"/>
    <w:rsid w:val="03426C59"/>
    <w:rsid w:val="03433AF1"/>
    <w:rsid w:val="0345012D"/>
    <w:rsid w:val="034C72DC"/>
    <w:rsid w:val="034F2928"/>
    <w:rsid w:val="03501AE4"/>
    <w:rsid w:val="0361440A"/>
    <w:rsid w:val="036B5288"/>
    <w:rsid w:val="036D00A2"/>
    <w:rsid w:val="03716722"/>
    <w:rsid w:val="039B623A"/>
    <w:rsid w:val="03B22EB7"/>
    <w:rsid w:val="03B44AA5"/>
    <w:rsid w:val="040020A7"/>
    <w:rsid w:val="04185410"/>
    <w:rsid w:val="042042C5"/>
    <w:rsid w:val="04473247"/>
    <w:rsid w:val="04477AA3"/>
    <w:rsid w:val="044D2B93"/>
    <w:rsid w:val="044E498E"/>
    <w:rsid w:val="044E5014"/>
    <w:rsid w:val="047F723D"/>
    <w:rsid w:val="04833676"/>
    <w:rsid w:val="0487549C"/>
    <w:rsid w:val="048F6CC6"/>
    <w:rsid w:val="049251C3"/>
    <w:rsid w:val="04930DBB"/>
    <w:rsid w:val="049525BD"/>
    <w:rsid w:val="049F51EA"/>
    <w:rsid w:val="04A171B4"/>
    <w:rsid w:val="04A2371F"/>
    <w:rsid w:val="04A26A62"/>
    <w:rsid w:val="04A53BA4"/>
    <w:rsid w:val="04AA1834"/>
    <w:rsid w:val="04C133B2"/>
    <w:rsid w:val="04D17C83"/>
    <w:rsid w:val="04D330E5"/>
    <w:rsid w:val="04D87E1C"/>
    <w:rsid w:val="04DC4690"/>
    <w:rsid w:val="04E374DE"/>
    <w:rsid w:val="04EB48D3"/>
    <w:rsid w:val="04F82B4C"/>
    <w:rsid w:val="04FF00EB"/>
    <w:rsid w:val="0501459E"/>
    <w:rsid w:val="050F4EDE"/>
    <w:rsid w:val="05175FCF"/>
    <w:rsid w:val="052263A0"/>
    <w:rsid w:val="0533099F"/>
    <w:rsid w:val="05377B18"/>
    <w:rsid w:val="053E0EA6"/>
    <w:rsid w:val="054E23E8"/>
    <w:rsid w:val="05524952"/>
    <w:rsid w:val="05544226"/>
    <w:rsid w:val="05586075"/>
    <w:rsid w:val="058E5789"/>
    <w:rsid w:val="059C5E7A"/>
    <w:rsid w:val="059F3F35"/>
    <w:rsid w:val="05A93EDA"/>
    <w:rsid w:val="05AB2DB2"/>
    <w:rsid w:val="05B431A7"/>
    <w:rsid w:val="05C127AF"/>
    <w:rsid w:val="05C20A0F"/>
    <w:rsid w:val="05C342DE"/>
    <w:rsid w:val="05C70E9C"/>
    <w:rsid w:val="05D25154"/>
    <w:rsid w:val="05D56659"/>
    <w:rsid w:val="05D9472B"/>
    <w:rsid w:val="05DE4CD6"/>
    <w:rsid w:val="05E535CA"/>
    <w:rsid w:val="05E55267"/>
    <w:rsid w:val="05EB76F4"/>
    <w:rsid w:val="05EC4B85"/>
    <w:rsid w:val="05EF21A1"/>
    <w:rsid w:val="05F56B6A"/>
    <w:rsid w:val="05F7106C"/>
    <w:rsid w:val="05FE4192"/>
    <w:rsid w:val="06027766"/>
    <w:rsid w:val="060D2627"/>
    <w:rsid w:val="06302DAA"/>
    <w:rsid w:val="06305727"/>
    <w:rsid w:val="06322461"/>
    <w:rsid w:val="063B53E6"/>
    <w:rsid w:val="063F5F20"/>
    <w:rsid w:val="06606BFB"/>
    <w:rsid w:val="06647C6C"/>
    <w:rsid w:val="06665E33"/>
    <w:rsid w:val="067B2FA9"/>
    <w:rsid w:val="06913A7D"/>
    <w:rsid w:val="06936D88"/>
    <w:rsid w:val="06A20FC1"/>
    <w:rsid w:val="06A31CA0"/>
    <w:rsid w:val="06AA4A28"/>
    <w:rsid w:val="06B0300B"/>
    <w:rsid w:val="06D01FD2"/>
    <w:rsid w:val="06D31947"/>
    <w:rsid w:val="06D92562"/>
    <w:rsid w:val="06E635A4"/>
    <w:rsid w:val="06E760D7"/>
    <w:rsid w:val="06EA54F3"/>
    <w:rsid w:val="06F21F49"/>
    <w:rsid w:val="06F650AE"/>
    <w:rsid w:val="06F914EA"/>
    <w:rsid w:val="06F97FA0"/>
    <w:rsid w:val="06FC6923"/>
    <w:rsid w:val="07075B45"/>
    <w:rsid w:val="070A76BD"/>
    <w:rsid w:val="070B6B66"/>
    <w:rsid w:val="0721282E"/>
    <w:rsid w:val="072E5643"/>
    <w:rsid w:val="07320597"/>
    <w:rsid w:val="073836D3"/>
    <w:rsid w:val="073D7196"/>
    <w:rsid w:val="074340EC"/>
    <w:rsid w:val="07465DF0"/>
    <w:rsid w:val="074A3B33"/>
    <w:rsid w:val="07504429"/>
    <w:rsid w:val="07603356"/>
    <w:rsid w:val="07612720"/>
    <w:rsid w:val="076D4D30"/>
    <w:rsid w:val="07754928"/>
    <w:rsid w:val="07792B42"/>
    <w:rsid w:val="077E3D0B"/>
    <w:rsid w:val="0781151E"/>
    <w:rsid w:val="0788465B"/>
    <w:rsid w:val="078A2181"/>
    <w:rsid w:val="078C511B"/>
    <w:rsid w:val="078D1C71"/>
    <w:rsid w:val="078D2D8A"/>
    <w:rsid w:val="07944DAE"/>
    <w:rsid w:val="07AC65D8"/>
    <w:rsid w:val="07B76CEE"/>
    <w:rsid w:val="07BE2A34"/>
    <w:rsid w:val="07C172BE"/>
    <w:rsid w:val="07C80EFB"/>
    <w:rsid w:val="07CA6A21"/>
    <w:rsid w:val="07D43E3E"/>
    <w:rsid w:val="07DA124D"/>
    <w:rsid w:val="07DF1893"/>
    <w:rsid w:val="07E53F70"/>
    <w:rsid w:val="07F03CBF"/>
    <w:rsid w:val="07F42B67"/>
    <w:rsid w:val="07FB6BDB"/>
    <w:rsid w:val="080D0CE3"/>
    <w:rsid w:val="080F6B2A"/>
    <w:rsid w:val="0825634E"/>
    <w:rsid w:val="083A1AF5"/>
    <w:rsid w:val="083E11BD"/>
    <w:rsid w:val="08447D35"/>
    <w:rsid w:val="086626CB"/>
    <w:rsid w:val="086724C2"/>
    <w:rsid w:val="08716E9D"/>
    <w:rsid w:val="08752E31"/>
    <w:rsid w:val="08790814"/>
    <w:rsid w:val="087B41C0"/>
    <w:rsid w:val="087F5A5E"/>
    <w:rsid w:val="08817F9A"/>
    <w:rsid w:val="08933F38"/>
    <w:rsid w:val="089808CE"/>
    <w:rsid w:val="089E56D2"/>
    <w:rsid w:val="08A92ADB"/>
    <w:rsid w:val="08A96637"/>
    <w:rsid w:val="08A97E40"/>
    <w:rsid w:val="08AA3EE9"/>
    <w:rsid w:val="08B472FE"/>
    <w:rsid w:val="08B614BD"/>
    <w:rsid w:val="08B84ACC"/>
    <w:rsid w:val="08B937A7"/>
    <w:rsid w:val="08BA4CE8"/>
    <w:rsid w:val="08BB0F23"/>
    <w:rsid w:val="08C16076"/>
    <w:rsid w:val="08CD671D"/>
    <w:rsid w:val="08D5688C"/>
    <w:rsid w:val="08D65C03"/>
    <w:rsid w:val="08D83875"/>
    <w:rsid w:val="08F024B8"/>
    <w:rsid w:val="08F301FA"/>
    <w:rsid w:val="08F5557B"/>
    <w:rsid w:val="08F56067"/>
    <w:rsid w:val="08F56798"/>
    <w:rsid w:val="08FD2E27"/>
    <w:rsid w:val="09072AF5"/>
    <w:rsid w:val="090B5543"/>
    <w:rsid w:val="090D78C9"/>
    <w:rsid w:val="09101FB3"/>
    <w:rsid w:val="09167A44"/>
    <w:rsid w:val="09293C1C"/>
    <w:rsid w:val="09296C06"/>
    <w:rsid w:val="093522CB"/>
    <w:rsid w:val="093E1EFF"/>
    <w:rsid w:val="09414AC1"/>
    <w:rsid w:val="09461CD6"/>
    <w:rsid w:val="097D234D"/>
    <w:rsid w:val="0991369C"/>
    <w:rsid w:val="09B00EFE"/>
    <w:rsid w:val="09C43A96"/>
    <w:rsid w:val="09D41DD9"/>
    <w:rsid w:val="09F8752F"/>
    <w:rsid w:val="0A0501E5"/>
    <w:rsid w:val="0A0D439F"/>
    <w:rsid w:val="0A0F0D09"/>
    <w:rsid w:val="0A1D4600"/>
    <w:rsid w:val="0A1F68B2"/>
    <w:rsid w:val="0A210F95"/>
    <w:rsid w:val="0A261F09"/>
    <w:rsid w:val="0A275C51"/>
    <w:rsid w:val="0A2836E0"/>
    <w:rsid w:val="0A29194C"/>
    <w:rsid w:val="0A2C39C3"/>
    <w:rsid w:val="0A332556"/>
    <w:rsid w:val="0A391C3C"/>
    <w:rsid w:val="0A4A5BF8"/>
    <w:rsid w:val="0A593073"/>
    <w:rsid w:val="0A5D6204"/>
    <w:rsid w:val="0A8E5529"/>
    <w:rsid w:val="0AB44EF5"/>
    <w:rsid w:val="0AC159A6"/>
    <w:rsid w:val="0ACE4A7B"/>
    <w:rsid w:val="0AE34BB1"/>
    <w:rsid w:val="0AE4097E"/>
    <w:rsid w:val="0AED0B6E"/>
    <w:rsid w:val="0B09160F"/>
    <w:rsid w:val="0B091922"/>
    <w:rsid w:val="0B16461C"/>
    <w:rsid w:val="0B1701D0"/>
    <w:rsid w:val="0B2A4738"/>
    <w:rsid w:val="0B343B39"/>
    <w:rsid w:val="0B354AFA"/>
    <w:rsid w:val="0B380146"/>
    <w:rsid w:val="0B440899"/>
    <w:rsid w:val="0B4B7099"/>
    <w:rsid w:val="0B73117E"/>
    <w:rsid w:val="0B747542"/>
    <w:rsid w:val="0B7C7FE2"/>
    <w:rsid w:val="0B957346"/>
    <w:rsid w:val="0B9A2BAF"/>
    <w:rsid w:val="0B9E1A60"/>
    <w:rsid w:val="0BAD70EA"/>
    <w:rsid w:val="0BBC2354"/>
    <w:rsid w:val="0BCB0FBA"/>
    <w:rsid w:val="0BD46379"/>
    <w:rsid w:val="0BE60C5C"/>
    <w:rsid w:val="0BE64446"/>
    <w:rsid w:val="0BED0F30"/>
    <w:rsid w:val="0C0B7609"/>
    <w:rsid w:val="0C0F534B"/>
    <w:rsid w:val="0C264442"/>
    <w:rsid w:val="0C296CAE"/>
    <w:rsid w:val="0C2D757F"/>
    <w:rsid w:val="0C326267"/>
    <w:rsid w:val="0C344DB1"/>
    <w:rsid w:val="0C365370"/>
    <w:rsid w:val="0C442C80"/>
    <w:rsid w:val="0C4B30F1"/>
    <w:rsid w:val="0C5D71EC"/>
    <w:rsid w:val="0C662A91"/>
    <w:rsid w:val="0C7376A8"/>
    <w:rsid w:val="0C801F53"/>
    <w:rsid w:val="0C8076E1"/>
    <w:rsid w:val="0C9B6BDE"/>
    <w:rsid w:val="0CA35A93"/>
    <w:rsid w:val="0CA97841"/>
    <w:rsid w:val="0CC55A09"/>
    <w:rsid w:val="0CCA1272"/>
    <w:rsid w:val="0CD36378"/>
    <w:rsid w:val="0CDA7707"/>
    <w:rsid w:val="0CE02843"/>
    <w:rsid w:val="0CF15084"/>
    <w:rsid w:val="0CF22F65"/>
    <w:rsid w:val="0CF63E15"/>
    <w:rsid w:val="0CFD3771"/>
    <w:rsid w:val="0CFF32E5"/>
    <w:rsid w:val="0D001BEA"/>
    <w:rsid w:val="0D097FEC"/>
    <w:rsid w:val="0D0A7F77"/>
    <w:rsid w:val="0D0B5B12"/>
    <w:rsid w:val="0D3A6B01"/>
    <w:rsid w:val="0D3F756A"/>
    <w:rsid w:val="0D4945E7"/>
    <w:rsid w:val="0D4D0748"/>
    <w:rsid w:val="0D4D2094"/>
    <w:rsid w:val="0D5A3338"/>
    <w:rsid w:val="0D5F5515"/>
    <w:rsid w:val="0D61544F"/>
    <w:rsid w:val="0D682F64"/>
    <w:rsid w:val="0D7E3520"/>
    <w:rsid w:val="0D8943DC"/>
    <w:rsid w:val="0D8A04E4"/>
    <w:rsid w:val="0D932BB8"/>
    <w:rsid w:val="0D95362E"/>
    <w:rsid w:val="0D98461B"/>
    <w:rsid w:val="0DAB4BFF"/>
    <w:rsid w:val="0DB904D9"/>
    <w:rsid w:val="0DBB0918"/>
    <w:rsid w:val="0DD00B0A"/>
    <w:rsid w:val="0DDE3227"/>
    <w:rsid w:val="0DE25782"/>
    <w:rsid w:val="0DEC6468"/>
    <w:rsid w:val="0DEE271A"/>
    <w:rsid w:val="0DEF71E2"/>
    <w:rsid w:val="0DF148E8"/>
    <w:rsid w:val="0DFA5B87"/>
    <w:rsid w:val="0DFC18FF"/>
    <w:rsid w:val="0E0D619B"/>
    <w:rsid w:val="0E210D90"/>
    <w:rsid w:val="0E280BF1"/>
    <w:rsid w:val="0E2A2732"/>
    <w:rsid w:val="0E2D1AB8"/>
    <w:rsid w:val="0E2F7B01"/>
    <w:rsid w:val="0E3F3599"/>
    <w:rsid w:val="0E4B5699"/>
    <w:rsid w:val="0E512E80"/>
    <w:rsid w:val="0E52151F"/>
    <w:rsid w:val="0E577F60"/>
    <w:rsid w:val="0E5C05EF"/>
    <w:rsid w:val="0E686F94"/>
    <w:rsid w:val="0E6B25E0"/>
    <w:rsid w:val="0E6E1A32"/>
    <w:rsid w:val="0E7F25F5"/>
    <w:rsid w:val="0E8F4521"/>
    <w:rsid w:val="0E915BD0"/>
    <w:rsid w:val="0E9E4C84"/>
    <w:rsid w:val="0EAA5D5A"/>
    <w:rsid w:val="0EC3241C"/>
    <w:rsid w:val="0ECC7523"/>
    <w:rsid w:val="0ECD1453"/>
    <w:rsid w:val="0ECD4128"/>
    <w:rsid w:val="0ED463D8"/>
    <w:rsid w:val="0EDB32C2"/>
    <w:rsid w:val="0EDC0ACC"/>
    <w:rsid w:val="0EE15926"/>
    <w:rsid w:val="0EEA08A5"/>
    <w:rsid w:val="0EF05635"/>
    <w:rsid w:val="0F0913A4"/>
    <w:rsid w:val="0F0A1DF9"/>
    <w:rsid w:val="0F106462"/>
    <w:rsid w:val="0F154AD4"/>
    <w:rsid w:val="0F1A523B"/>
    <w:rsid w:val="0F2316C5"/>
    <w:rsid w:val="0F360DD3"/>
    <w:rsid w:val="0F3C1993"/>
    <w:rsid w:val="0F67724C"/>
    <w:rsid w:val="0F6B1793"/>
    <w:rsid w:val="0F73799F"/>
    <w:rsid w:val="0F7B5DFB"/>
    <w:rsid w:val="0F7D4865"/>
    <w:rsid w:val="0F9A0919"/>
    <w:rsid w:val="0FBB29F6"/>
    <w:rsid w:val="0FC71A98"/>
    <w:rsid w:val="0FF00A2B"/>
    <w:rsid w:val="0FF37EF3"/>
    <w:rsid w:val="0FFE4C46"/>
    <w:rsid w:val="10042CED"/>
    <w:rsid w:val="10046849"/>
    <w:rsid w:val="10064480"/>
    <w:rsid w:val="1008458B"/>
    <w:rsid w:val="10090E16"/>
    <w:rsid w:val="100930B7"/>
    <w:rsid w:val="100B5E29"/>
    <w:rsid w:val="1010417D"/>
    <w:rsid w:val="10156FD1"/>
    <w:rsid w:val="10194746"/>
    <w:rsid w:val="10282537"/>
    <w:rsid w:val="102A2753"/>
    <w:rsid w:val="10371F2F"/>
    <w:rsid w:val="103C2486"/>
    <w:rsid w:val="105A6D80"/>
    <w:rsid w:val="105C0433"/>
    <w:rsid w:val="105F0FA1"/>
    <w:rsid w:val="1073353A"/>
    <w:rsid w:val="10750971"/>
    <w:rsid w:val="107A4C82"/>
    <w:rsid w:val="107B23CF"/>
    <w:rsid w:val="107E1871"/>
    <w:rsid w:val="10824E25"/>
    <w:rsid w:val="10947BCD"/>
    <w:rsid w:val="10991687"/>
    <w:rsid w:val="10A10E2A"/>
    <w:rsid w:val="10B244F7"/>
    <w:rsid w:val="10B71B72"/>
    <w:rsid w:val="10BD5626"/>
    <w:rsid w:val="10C304B2"/>
    <w:rsid w:val="10C85301"/>
    <w:rsid w:val="10F5099F"/>
    <w:rsid w:val="11046680"/>
    <w:rsid w:val="110A4333"/>
    <w:rsid w:val="1110186D"/>
    <w:rsid w:val="112076B2"/>
    <w:rsid w:val="112C7269"/>
    <w:rsid w:val="112E6273"/>
    <w:rsid w:val="11405FA6"/>
    <w:rsid w:val="11423CF0"/>
    <w:rsid w:val="1159255C"/>
    <w:rsid w:val="11592BC4"/>
    <w:rsid w:val="115D038D"/>
    <w:rsid w:val="116741A8"/>
    <w:rsid w:val="11887A9E"/>
    <w:rsid w:val="118E6D12"/>
    <w:rsid w:val="118F65E6"/>
    <w:rsid w:val="119E030F"/>
    <w:rsid w:val="11A622AD"/>
    <w:rsid w:val="11AC3296"/>
    <w:rsid w:val="11BB536B"/>
    <w:rsid w:val="11BF3764"/>
    <w:rsid w:val="11BF5D6D"/>
    <w:rsid w:val="11CB3AC2"/>
    <w:rsid w:val="11E669C9"/>
    <w:rsid w:val="11EF6486"/>
    <w:rsid w:val="11F75962"/>
    <w:rsid w:val="11FC0451"/>
    <w:rsid w:val="11FE3E97"/>
    <w:rsid w:val="120C4EB8"/>
    <w:rsid w:val="12266F4A"/>
    <w:rsid w:val="12274A70"/>
    <w:rsid w:val="122D760A"/>
    <w:rsid w:val="12311F5A"/>
    <w:rsid w:val="12384D02"/>
    <w:rsid w:val="12396EDB"/>
    <w:rsid w:val="123B77F4"/>
    <w:rsid w:val="12406C58"/>
    <w:rsid w:val="12425364"/>
    <w:rsid w:val="12427601"/>
    <w:rsid w:val="125944FB"/>
    <w:rsid w:val="125D103B"/>
    <w:rsid w:val="12624EB7"/>
    <w:rsid w:val="12791770"/>
    <w:rsid w:val="1282388F"/>
    <w:rsid w:val="128572E6"/>
    <w:rsid w:val="128A0F8B"/>
    <w:rsid w:val="129139EE"/>
    <w:rsid w:val="12B26461"/>
    <w:rsid w:val="12BF6F7B"/>
    <w:rsid w:val="12D228CA"/>
    <w:rsid w:val="12D442DB"/>
    <w:rsid w:val="12D546F4"/>
    <w:rsid w:val="12F36759"/>
    <w:rsid w:val="12F57F45"/>
    <w:rsid w:val="12FE2032"/>
    <w:rsid w:val="1300045E"/>
    <w:rsid w:val="130A6921"/>
    <w:rsid w:val="131E269C"/>
    <w:rsid w:val="131E73CE"/>
    <w:rsid w:val="132318D4"/>
    <w:rsid w:val="13312AE3"/>
    <w:rsid w:val="133D024F"/>
    <w:rsid w:val="133D6D87"/>
    <w:rsid w:val="134E49AB"/>
    <w:rsid w:val="136A4918"/>
    <w:rsid w:val="13716BB4"/>
    <w:rsid w:val="13821EE1"/>
    <w:rsid w:val="13890B9C"/>
    <w:rsid w:val="13897791"/>
    <w:rsid w:val="13944D7F"/>
    <w:rsid w:val="13983E78"/>
    <w:rsid w:val="13987F9F"/>
    <w:rsid w:val="139D323C"/>
    <w:rsid w:val="13B62550"/>
    <w:rsid w:val="13CB4137"/>
    <w:rsid w:val="13D11AEC"/>
    <w:rsid w:val="13D843CC"/>
    <w:rsid w:val="13DA623E"/>
    <w:rsid w:val="13E744B7"/>
    <w:rsid w:val="13EB044B"/>
    <w:rsid w:val="13EF4522"/>
    <w:rsid w:val="13F27FD8"/>
    <w:rsid w:val="13FA3C10"/>
    <w:rsid w:val="13FF0D0B"/>
    <w:rsid w:val="14197590"/>
    <w:rsid w:val="141C7AF8"/>
    <w:rsid w:val="142D5867"/>
    <w:rsid w:val="14311C3C"/>
    <w:rsid w:val="143A6CDD"/>
    <w:rsid w:val="14553B17"/>
    <w:rsid w:val="1468384A"/>
    <w:rsid w:val="146958AD"/>
    <w:rsid w:val="147321EF"/>
    <w:rsid w:val="14823CB2"/>
    <w:rsid w:val="148F5C37"/>
    <w:rsid w:val="14A05CEA"/>
    <w:rsid w:val="14BA7BD0"/>
    <w:rsid w:val="14BE0DA8"/>
    <w:rsid w:val="14BE346A"/>
    <w:rsid w:val="14BF76D0"/>
    <w:rsid w:val="14CD5299"/>
    <w:rsid w:val="14CD5DA3"/>
    <w:rsid w:val="14D058B3"/>
    <w:rsid w:val="14D56A06"/>
    <w:rsid w:val="14DF2DE8"/>
    <w:rsid w:val="14E20E88"/>
    <w:rsid w:val="14E71B9C"/>
    <w:rsid w:val="14ED24C4"/>
    <w:rsid w:val="14FE6E45"/>
    <w:rsid w:val="15004976"/>
    <w:rsid w:val="15030DD2"/>
    <w:rsid w:val="150660C7"/>
    <w:rsid w:val="151246C1"/>
    <w:rsid w:val="152A0AFF"/>
    <w:rsid w:val="152F6F01"/>
    <w:rsid w:val="15300534"/>
    <w:rsid w:val="153876C0"/>
    <w:rsid w:val="15430081"/>
    <w:rsid w:val="15453B8B"/>
    <w:rsid w:val="1549179A"/>
    <w:rsid w:val="154A2F50"/>
    <w:rsid w:val="154D0C92"/>
    <w:rsid w:val="154F67B8"/>
    <w:rsid w:val="15565D98"/>
    <w:rsid w:val="155855A0"/>
    <w:rsid w:val="155958EF"/>
    <w:rsid w:val="156264EB"/>
    <w:rsid w:val="15760A82"/>
    <w:rsid w:val="15767E12"/>
    <w:rsid w:val="157D000D"/>
    <w:rsid w:val="15885993"/>
    <w:rsid w:val="158A38FE"/>
    <w:rsid w:val="15943580"/>
    <w:rsid w:val="159E744E"/>
    <w:rsid w:val="159F71E4"/>
    <w:rsid w:val="15A22D8C"/>
    <w:rsid w:val="15A5462A"/>
    <w:rsid w:val="15A9411A"/>
    <w:rsid w:val="15AC3C0A"/>
    <w:rsid w:val="15D62A35"/>
    <w:rsid w:val="15DA54BE"/>
    <w:rsid w:val="15DE1A29"/>
    <w:rsid w:val="15E07A9A"/>
    <w:rsid w:val="1600559A"/>
    <w:rsid w:val="16023A61"/>
    <w:rsid w:val="160C6457"/>
    <w:rsid w:val="1615492F"/>
    <w:rsid w:val="16211C47"/>
    <w:rsid w:val="162C07E1"/>
    <w:rsid w:val="162D4D4B"/>
    <w:rsid w:val="162E461F"/>
    <w:rsid w:val="16411730"/>
    <w:rsid w:val="164976AB"/>
    <w:rsid w:val="1664769B"/>
    <w:rsid w:val="16691AFB"/>
    <w:rsid w:val="16781DF0"/>
    <w:rsid w:val="16883ABF"/>
    <w:rsid w:val="16905228"/>
    <w:rsid w:val="16A677CD"/>
    <w:rsid w:val="16A92D8E"/>
    <w:rsid w:val="16AA3EEF"/>
    <w:rsid w:val="16BB65F1"/>
    <w:rsid w:val="16BE59A3"/>
    <w:rsid w:val="16C30E50"/>
    <w:rsid w:val="16C6306C"/>
    <w:rsid w:val="16C805D0"/>
    <w:rsid w:val="16CE29B6"/>
    <w:rsid w:val="16D41C3C"/>
    <w:rsid w:val="16DA045E"/>
    <w:rsid w:val="16DC22CD"/>
    <w:rsid w:val="16DF70C3"/>
    <w:rsid w:val="16E36A8E"/>
    <w:rsid w:val="16EF355C"/>
    <w:rsid w:val="170F5918"/>
    <w:rsid w:val="17174321"/>
    <w:rsid w:val="171B4C60"/>
    <w:rsid w:val="17382C6C"/>
    <w:rsid w:val="173D57C7"/>
    <w:rsid w:val="17463BEB"/>
    <w:rsid w:val="17485CB6"/>
    <w:rsid w:val="175B7696"/>
    <w:rsid w:val="177469AA"/>
    <w:rsid w:val="177B5642"/>
    <w:rsid w:val="17884E38"/>
    <w:rsid w:val="17B2733D"/>
    <w:rsid w:val="17B60D70"/>
    <w:rsid w:val="17C90AA4"/>
    <w:rsid w:val="17D06C50"/>
    <w:rsid w:val="17D32110"/>
    <w:rsid w:val="17EF333D"/>
    <w:rsid w:val="17F13B56"/>
    <w:rsid w:val="17F3167D"/>
    <w:rsid w:val="17F378CF"/>
    <w:rsid w:val="17F65611"/>
    <w:rsid w:val="17F736BA"/>
    <w:rsid w:val="17FE4C9B"/>
    <w:rsid w:val="180A4C18"/>
    <w:rsid w:val="180B1C8C"/>
    <w:rsid w:val="180D6418"/>
    <w:rsid w:val="182A0E16"/>
    <w:rsid w:val="182F467F"/>
    <w:rsid w:val="1844012A"/>
    <w:rsid w:val="1856228A"/>
    <w:rsid w:val="18581E27"/>
    <w:rsid w:val="185A2304"/>
    <w:rsid w:val="185F457F"/>
    <w:rsid w:val="18626A98"/>
    <w:rsid w:val="18655549"/>
    <w:rsid w:val="186802F3"/>
    <w:rsid w:val="18811B0F"/>
    <w:rsid w:val="18883C96"/>
    <w:rsid w:val="18932A3E"/>
    <w:rsid w:val="18932E60"/>
    <w:rsid w:val="18943D05"/>
    <w:rsid w:val="18980476"/>
    <w:rsid w:val="189D5730"/>
    <w:rsid w:val="18A230A3"/>
    <w:rsid w:val="18A87D69"/>
    <w:rsid w:val="18AB1F57"/>
    <w:rsid w:val="18AE6BDF"/>
    <w:rsid w:val="18B352B0"/>
    <w:rsid w:val="18BC41FE"/>
    <w:rsid w:val="18CE406A"/>
    <w:rsid w:val="18D255E8"/>
    <w:rsid w:val="18E37943"/>
    <w:rsid w:val="18E73115"/>
    <w:rsid w:val="190A6030"/>
    <w:rsid w:val="19120228"/>
    <w:rsid w:val="191206D3"/>
    <w:rsid w:val="191A5C4B"/>
    <w:rsid w:val="192E2BD3"/>
    <w:rsid w:val="193470ED"/>
    <w:rsid w:val="19362545"/>
    <w:rsid w:val="1942610A"/>
    <w:rsid w:val="19510D51"/>
    <w:rsid w:val="1969287C"/>
    <w:rsid w:val="19704F4F"/>
    <w:rsid w:val="1973708C"/>
    <w:rsid w:val="19756CCC"/>
    <w:rsid w:val="19793E03"/>
    <w:rsid w:val="197B5636"/>
    <w:rsid w:val="197F7538"/>
    <w:rsid w:val="1987149D"/>
    <w:rsid w:val="19882298"/>
    <w:rsid w:val="198D30EC"/>
    <w:rsid w:val="199777B1"/>
    <w:rsid w:val="199C34C0"/>
    <w:rsid w:val="19AB7BCA"/>
    <w:rsid w:val="19AF7825"/>
    <w:rsid w:val="19C07ADC"/>
    <w:rsid w:val="19CA1788"/>
    <w:rsid w:val="19D74089"/>
    <w:rsid w:val="19D84FCE"/>
    <w:rsid w:val="19DC576F"/>
    <w:rsid w:val="19E00326"/>
    <w:rsid w:val="19E51499"/>
    <w:rsid w:val="19E80BA9"/>
    <w:rsid w:val="19F70954"/>
    <w:rsid w:val="1A02029D"/>
    <w:rsid w:val="1A1D2006"/>
    <w:rsid w:val="1A1F0E4F"/>
    <w:rsid w:val="1A200C49"/>
    <w:rsid w:val="1A2C7C12"/>
    <w:rsid w:val="1A382E26"/>
    <w:rsid w:val="1A3A2210"/>
    <w:rsid w:val="1A420699"/>
    <w:rsid w:val="1A4C1518"/>
    <w:rsid w:val="1A526576"/>
    <w:rsid w:val="1A5C16D9"/>
    <w:rsid w:val="1A5C6D63"/>
    <w:rsid w:val="1A604AA4"/>
    <w:rsid w:val="1A6B5E42"/>
    <w:rsid w:val="1A7636B6"/>
    <w:rsid w:val="1A7B17BE"/>
    <w:rsid w:val="1A8B4F58"/>
    <w:rsid w:val="1A8E7D82"/>
    <w:rsid w:val="1A907657"/>
    <w:rsid w:val="1A974E89"/>
    <w:rsid w:val="1A9F3C34"/>
    <w:rsid w:val="1A9F3D3E"/>
    <w:rsid w:val="1AC6751C"/>
    <w:rsid w:val="1AD312B6"/>
    <w:rsid w:val="1AD734D7"/>
    <w:rsid w:val="1AE133EF"/>
    <w:rsid w:val="1AE41750"/>
    <w:rsid w:val="1AE9320B"/>
    <w:rsid w:val="1AE94FB9"/>
    <w:rsid w:val="1AEF4DAE"/>
    <w:rsid w:val="1AF5395E"/>
    <w:rsid w:val="1AF77FAB"/>
    <w:rsid w:val="1AFB020E"/>
    <w:rsid w:val="1AFF47DC"/>
    <w:rsid w:val="1B1262BE"/>
    <w:rsid w:val="1B1D4C62"/>
    <w:rsid w:val="1B225454"/>
    <w:rsid w:val="1B36008B"/>
    <w:rsid w:val="1B43291B"/>
    <w:rsid w:val="1B492FF3"/>
    <w:rsid w:val="1B4950A4"/>
    <w:rsid w:val="1B556620"/>
    <w:rsid w:val="1B636B19"/>
    <w:rsid w:val="1B740D26"/>
    <w:rsid w:val="1BA15893"/>
    <w:rsid w:val="1BA324C2"/>
    <w:rsid w:val="1BA61267"/>
    <w:rsid w:val="1BAB226E"/>
    <w:rsid w:val="1BAF2B44"/>
    <w:rsid w:val="1BBB0703"/>
    <w:rsid w:val="1BBE6445"/>
    <w:rsid w:val="1BC33A5C"/>
    <w:rsid w:val="1BFE57FD"/>
    <w:rsid w:val="1C110922"/>
    <w:rsid w:val="1C146065"/>
    <w:rsid w:val="1C197B20"/>
    <w:rsid w:val="1C213F72"/>
    <w:rsid w:val="1C2663BF"/>
    <w:rsid w:val="1C36433C"/>
    <w:rsid w:val="1C370440"/>
    <w:rsid w:val="1C376E21"/>
    <w:rsid w:val="1C495776"/>
    <w:rsid w:val="1C534DE0"/>
    <w:rsid w:val="1C607E4F"/>
    <w:rsid w:val="1C646FED"/>
    <w:rsid w:val="1C721035"/>
    <w:rsid w:val="1C7A2EBA"/>
    <w:rsid w:val="1C887DF5"/>
    <w:rsid w:val="1C89288A"/>
    <w:rsid w:val="1C9D42AD"/>
    <w:rsid w:val="1CA47846"/>
    <w:rsid w:val="1CA70C88"/>
    <w:rsid w:val="1CA73EBC"/>
    <w:rsid w:val="1CAB4C1C"/>
    <w:rsid w:val="1CAE29FE"/>
    <w:rsid w:val="1CB27013"/>
    <w:rsid w:val="1CB735C0"/>
    <w:rsid w:val="1CB957A5"/>
    <w:rsid w:val="1CCB621E"/>
    <w:rsid w:val="1CD565D5"/>
    <w:rsid w:val="1CDF495F"/>
    <w:rsid w:val="1CDF6675"/>
    <w:rsid w:val="1CE26164"/>
    <w:rsid w:val="1CEF14EF"/>
    <w:rsid w:val="1CF061DA"/>
    <w:rsid w:val="1CF43006"/>
    <w:rsid w:val="1CFF0AC4"/>
    <w:rsid w:val="1D032FA4"/>
    <w:rsid w:val="1D077570"/>
    <w:rsid w:val="1D1207F7"/>
    <w:rsid w:val="1D1327C1"/>
    <w:rsid w:val="1D187DD7"/>
    <w:rsid w:val="1D1C3424"/>
    <w:rsid w:val="1D3021C0"/>
    <w:rsid w:val="1D325942"/>
    <w:rsid w:val="1D3E783E"/>
    <w:rsid w:val="1D4C37A3"/>
    <w:rsid w:val="1D571697"/>
    <w:rsid w:val="1D66588B"/>
    <w:rsid w:val="1D672B1F"/>
    <w:rsid w:val="1D686669"/>
    <w:rsid w:val="1D6B2AB2"/>
    <w:rsid w:val="1D6F3E9B"/>
    <w:rsid w:val="1D81597C"/>
    <w:rsid w:val="1D8A4831"/>
    <w:rsid w:val="1D8B3670"/>
    <w:rsid w:val="1D8F0099"/>
    <w:rsid w:val="1DA35BF9"/>
    <w:rsid w:val="1DA73124"/>
    <w:rsid w:val="1DAE0556"/>
    <w:rsid w:val="1DB1270C"/>
    <w:rsid w:val="1DB45D52"/>
    <w:rsid w:val="1DB67C12"/>
    <w:rsid w:val="1DC00253"/>
    <w:rsid w:val="1DC55869"/>
    <w:rsid w:val="1DD50B1E"/>
    <w:rsid w:val="1DE657E0"/>
    <w:rsid w:val="1DEE0182"/>
    <w:rsid w:val="1DEE051D"/>
    <w:rsid w:val="1DF47EFC"/>
    <w:rsid w:val="1E060554"/>
    <w:rsid w:val="1E0F6E32"/>
    <w:rsid w:val="1E415560"/>
    <w:rsid w:val="1E51534F"/>
    <w:rsid w:val="1E5304DD"/>
    <w:rsid w:val="1E5D18EA"/>
    <w:rsid w:val="1E604A81"/>
    <w:rsid w:val="1E706AC5"/>
    <w:rsid w:val="1E706D9C"/>
    <w:rsid w:val="1E841A5F"/>
    <w:rsid w:val="1E965458"/>
    <w:rsid w:val="1E9B4962"/>
    <w:rsid w:val="1EA33881"/>
    <w:rsid w:val="1EA40105"/>
    <w:rsid w:val="1EA972F9"/>
    <w:rsid w:val="1EB678A8"/>
    <w:rsid w:val="1EBC7CC4"/>
    <w:rsid w:val="1EC665E8"/>
    <w:rsid w:val="1EDC6093"/>
    <w:rsid w:val="1EEE0DF0"/>
    <w:rsid w:val="1EEE7042"/>
    <w:rsid w:val="1EFF4DAB"/>
    <w:rsid w:val="1F0625DD"/>
    <w:rsid w:val="1F091197"/>
    <w:rsid w:val="1F226CEB"/>
    <w:rsid w:val="1F3802BD"/>
    <w:rsid w:val="1F3868D2"/>
    <w:rsid w:val="1F446C62"/>
    <w:rsid w:val="1F524DE1"/>
    <w:rsid w:val="1F583D4C"/>
    <w:rsid w:val="1F5C044F"/>
    <w:rsid w:val="1F617814"/>
    <w:rsid w:val="1F69585D"/>
    <w:rsid w:val="1F6B38B0"/>
    <w:rsid w:val="1F770DE5"/>
    <w:rsid w:val="1F966A87"/>
    <w:rsid w:val="1FD0749B"/>
    <w:rsid w:val="1FDE2D41"/>
    <w:rsid w:val="1FE35ADC"/>
    <w:rsid w:val="1FEF4E1F"/>
    <w:rsid w:val="1FF05470"/>
    <w:rsid w:val="1FF24910"/>
    <w:rsid w:val="201302EF"/>
    <w:rsid w:val="201503A6"/>
    <w:rsid w:val="203A5250"/>
    <w:rsid w:val="203A5CDB"/>
    <w:rsid w:val="20497C75"/>
    <w:rsid w:val="204F1C56"/>
    <w:rsid w:val="204F514C"/>
    <w:rsid w:val="206823A1"/>
    <w:rsid w:val="207033FB"/>
    <w:rsid w:val="207215AC"/>
    <w:rsid w:val="207A43DF"/>
    <w:rsid w:val="207F6629"/>
    <w:rsid w:val="208539D6"/>
    <w:rsid w:val="20931C4F"/>
    <w:rsid w:val="209464F1"/>
    <w:rsid w:val="209B222F"/>
    <w:rsid w:val="20A61DD6"/>
    <w:rsid w:val="20B24112"/>
    <w:rsid w:val="20BF0C96"/>
    <w:rsid w:val="20CA3231"/>
    <w:rsid w:val="20CB4F5C"/>
    <w:rsid w:val="20D0522C"/>
    <w:rsid w:val="20D858B3"/>
    <w:rsid w:val="20D91DD8"/>
    <w:rsid w:val="20DD5762"/>
    <w:rsid w:val="20DF30E6"/>
    <w:rsid w:val="20EE43F2"/>
    <w:rsid w:val="20F070A1"/>
    <w:rsid w:val="20F301B2"/>
    <w:rsid w:val="20F621DE"/>
    <w:rsid w:val="20F716A2"/>
    <w:rsid w:val="20F903BB"/>
    <w:rsid w:val="21011A51"/>
    <w:rsid w:val="21096B24"/>
    <w:rsid w:val="210B25F8"/>
    <w:rsid w:val="211A14DF"/>
    <w:rsid w:val="211E2099"/>
    <w:rsid w:val="212154AC"/>
    <w:rsid w:val="2123675E"/>
    <w:rsid w:val="21260D15"/>
    <w:rsid w:val="212862D1"/>
    <w:rsid w:val="213276BA"/>
    <w:rsid w:val="213A031C"/>
    <w:rsid w:val="21637A27"/>
    <w:rsid w:val="216C08BA"/>
    <w:rsid w:val="2177570A"/>
    <w:rsid w:val="21A13955"/>
    <w:rsid w:val="21A33643"/>
    <w:rsid w:val="21A665AD"/>
    <w:rsid w:val="21AB49A6"/>
    <w:rsid w:val="21AC03AC"/>
    <w:rsid w:val="21B33C19"/>
    <w:rsid w:val="21BB34D8"/>
    <w:rsid w:val="21C44C50"/>
    <w:rsid w:val="21C66054"/>
    <w:rsid w:val="21CF315A"/>
    <w:rsid w:val="21D722C1"/>
    <w:rsid w:val="21DF24FF"/>
    <w:rsid w:val="21E77118"/>
    <w:rsid w:val="21EC2A92"/>
    <w:rsid w:val="21F82FB6"/>
    <w:rsid w:val="220D77DF"/>
    <w:rsid w:val="22136A87"/>
    <w:rsid w:val="222C0C93"/>
    <w:rsid w:val="22356D36"/>
    <w:rsid w:val="22433200"/>
    <w:rsid w:val="224B3D5F"/>
    <w:rsid w:val="224D22D1"/>
    <w:rsid w:val="2258252F"/>
    <w:rsid w:val="225E4F1E"/>
    <w:rsid w:val="22616C27"/>
    <w:rsid w:val="226513C9"/>
    <w:rsid w:val="226B21EE"/>
    <w:rsid w:val="228B5121"/>
    <w:rsid w:val="228F63A9"/>
    <w:rsid w:val="228F6446"/>
    <w:rsid w:val="229E2B2D"/>
    <w:rsid w:val="22A177E6"/>
    <w:rsid w:val="22A53EBB"/>
    <w:rsid w:val="22A90AC1"/>
    <w:rsid w:val="22AF4D3A"/>
    <w:rsid w:val="22B45EAC"/>
    <w:rsid w:val="22BD5CB7"/>
    <w:rsid w:val="22E6677E"/>
    <w:rsid w:val="22EC30DA"/>
    <w:rsid w:val="22EC5646"/>
    <w:rsid w:val="22ED0E76"/>
    <w:rsid w:val="2307412C"/>
    <w:rsid w:val="23103715"/>
    <w:rsid w:val="231A6657"/>
    <w:rsid w:val="231D3794"/>
    <w:rsid w:val="233236E3"/>
    <w:rsid w:val="233B768D"/>
    <w:rsid w:val="233D2346"/>
    <w:rsid w:val="2346752C"/>
    <w:rsid w:val="23500324"/>
    <w:rsid w:val="235558E1"/>
    <w:rsid w:val="23563407"/>
    <w:rsid w:val="23585DD8"/>
    <w:rsid w:val="235B4AD3"/>
    <w:rsid w:val="235C6C70"/>
    <w:rsid w:val="23745CDE"/>
    <w:rsid w:val="2378512C"/>
    <w:rsid w:val="237A5348"/>
    <w:rsid w:val="237D05D8"/>
    <w:rsid w:val="239B1C02"/>
    <w:rsid w:val="239D4B92"/>
    <w:rsid w:val="23A50FD0"/>
    <w:rsid w:val="23A61C99"/>
    <w:rsid w:val="23AB3963"/>
    <w:rsid w:val="23B75C54"/>
    <w:rsid w:val="23BA3996"/>
    <w:rsid w:val="23BA793E"/>
    <w:rsid w:val="23BC4648"/>
    <w:rsid w:val="23BF71FF"/>
    <w:rsid w:val="23C71178"/>
    <w:rsid w:val="23CB43ED"/>
    <w:rsid w:val="23D17044"/>
    <w:rsid w:val="23D172B3"/>
    <w:rsid w:val="23D308A7"/>
    <w:rsid w:val="23E40684"/>
    <w:rsid w:val="23F23381"/>
    <w:rsid w:val="24013373"/>
    <w:rsid w:val="24084702"/>
    <w:rsid w:val="2411563C"/>
    <w:rsid w:val="242447AF"/>
    <w:rsid w:val="24284DA4"/>
    <w:rsid w:val="24334C53"/>
    <w:rsid w:val="243948BB"/>
    <w:rsid w:val="244F40DF"/>
    <w:rsid w:val="24653902"/>
    <w:rsid w:val="24743B45"/>
    <w:rsid w:val="24771FAD"/>
    <w:rsid w:val="247E49C4"/>
    <w:rsid w:val="248E701E"/>
    <w:rsid w:val="24945F95"/>
    <w:rsid w:val="24AB0389"/>
    <w:rsid w:val="24B108F5"/>
    <w:rsid w:val="24C525F3"/>
    <w:rsid w:val="24C70119"/>
    <w:rsid w:val="24C83E91"/>
    <w:rsid w:val="24C90335"/>
    <w:rsid w:val="24D055DB"/>
    <w:rsid w:val="24D75451"/>
    <w:rsid w:val="24DC47FF"/>
    <w:rsid w:val="24E345E4"/>
    <w:rsid w:val="24E41AC1"/>
    <w:rsid w:val="24EA2059"/>
    <w:rsid w:val="24EE12D8"/>
    <w:rsid w:val="24F31D24"/>
    <w:rsid w:val="24FD3B3B"/>
    <w:rsid w:val="25005256"/>
    <w:rsid w:val="250439EF"/>
    <w:rsid w:val="250A219B"/>
    <w:rsid w:val="250F386E"/>
    <w:rsid w:val="251675CC"/>
    <w:rsid w:val="25207829"/>
    <w:rsid w:val="252C2672"/>
    <w:rsid w:val="252E0198"/>
    <w:rsid w:val="253357AE"/>
    <w:rsid w:val="253F05F7"/>
    <w:rsid w:val="2556149D"/>
    <w:rsid w:val="2557729C"/>
    <w:rsid w:val="255A6A4F"/>
    <w:rsid w:val="257239B5"/>
    <w:rsid w:val="25777D91"/>
    <w:rsid w:val="257A3E03"/>
    <w:rsid w:val="258C3DF5"/>
    <w:rsid w:val="25B132E6"/>
    <w:rsid w:val="25B20DC9"/>
    <w:rsid w:val="25B368EF"/>
    <w:rsid w:val="25D54AB7"/>
    <w:rsid w:val="25DC5E46"/>
    <w:rsid w:val="25E1786F"/>
    <w:rsid w:val="25EB11E1"/>
    <w:rsid w:val="25EF3DCB"/>
    <w:rsid w:val="25F13423"/>
    <w:rsid w:val="25F252DE"/>
    <w:rsid w:val="25F453F1"/>
    <w:rsid w:val="25F574EA"/>
    <w:rsid w:val="260104CB"/>
    <w:rsid w:val="26055266"/>
    <w:rsid w:val="260B280F"/>
    <w:rsid w:val="260E417C"/>
    <w:rsid w:val="261D1FBA"/>
    <w:rsid w:val="26265313"/>
    <w:rsid w:val="263F3EBB"/>
    <w:rsid w:val="26550220"/>
    <w:rsid w:val="265F25D3"/>
    <w:rsid w:val="2661634B"/>
    <w:rsid w:val="26633C49"/>
    <w:rsid w:val="266E1364"/>
    <w:rsid w:val="26834513"/>
    <w:rsid w:val="26841C37"/>
    <w:rsid w:val="268A4949"/>
    <w:rsid w:val="268E2249"/>
    <w:rsid w:val="2697027E"/>
    <w:rsid w:val="26A67D94"/>
    <w:rsid w:val="26B80661"/>
    <w:rsid w:val="26BA4AE0"/>
    <w:rsid w:val="26C1503C"/>
    <w:rsid w:val="26C52C94"/>
    <w:rsid w:val="26C610CA"/>
    <w:rsid w:val="26C708A4"/>
    <w:rsid w:val="26D96963"/>
    <w:rsid w:val="26E51871"/>
    <w:rsid w:val="26EC2D0B"/>
    <w:rsid w:val="26EC52C4"/>
    <w:rsid w:val="26FD1062"/>
    <w:rsid w:val="27127645"/>
    <w:rsid w:val="271909D4"/>
    <w:rsid w:val="271D527A"/>
    <w:rsid w:val="27201D62"/>
    <w:rsid w:val="27224B0F"/>
    <w:rsid w:val="272F1E9F"/>
    <w:rsid w:val="273C1105"/>
    <w:rsid w:val="273E668C"/>
    <w:rsid w:val="2742617D"/>
    <w:rsid w:val="274E1A68"/>
    <w:rsid w:val="275110AB"/>
    <w:rsid w:val="2764417B"/>
    <w:rsid w:val="27722C6D"/>
    <w:rsid w:val="27795A37"/>
    <w:rsid w:val="278476CC"/>
    <w:rsid w:val="27851DA0"/>
    <w:rsid w:val="27B34984"/>
    <w:rsid w:val="27C60B5C"/>
    <w:rsid w:val="27C617D8"/>
    <w:rsid w:val="27E81FE7"/>
    <w:rsid w:val="27EE3C0E"/>
    <w:rsid w:val="27EE40EE"/>
    <w:rsid w:val="27F710A0"/>
    <w:rsid w:val="281F201A"/>
    <w:rsid w:val="28252233"/>
    <w:rsid w:val="282E0D0A"/>
    <w:rsid w:val="28335AC5"/>
    <w:rsid w:val="283659E1"/>
    <w:rsid w:val="28463A4A"/>
    <w:rsid w:val="284737DD"/>
    <w:rsid w:val="284F7247"/>
    <w:rsid w:val="28504F00"/>
    <w:rsid w:val="285401B9"/>
    <w:rsid w:val="2854115A"/>
    <w:rsid w:val="28550131"/>
    <w:rsid w:val="285D758C"/>
    <w:rsid w:val="28620159"/>
    <w:rsid w:val="286744CD"/>
    <w:rsid w:val="28677614"/>
    <w:rsid w:val="28773C04"/>
    <w:rsid w:val="28774B99"/>
    <w:rsid w:val="287B2854"/>
    <w:rsid w:val="2887096F"/>
    <w:rsid w:val="28891A68"/>
    <w:rsid w:val="28A67723"/>
    <w:rsid w:val="28B0142C"/>
    <w:rsid w:val="28B031C4"/>
    <w:rsid w:val="28B813D8"/>
    <w:rsid w:val="28B9246E"/>
    <w:rsid w:val="28BE5DFF"/>
    <w:rsid w:val="28C05393"/>
    <w:rsid w:val="28C15F16"/>
    <w:rsid w:val="28C8217E"/>
    <w:rsid w:val="28D13A25"/>
    <w:rsid w:val="28DC7F0B"/>
    <w:rsid w:val="28E23AA6"/>
    <w:rsid w:val="28FE2577"/>
    <w:rsid w:val="28FE4325"/>
    <w:rsid w:val="29053946"/>
    <w:rsid w:val="290860F5"/>
    <w:rsid w:val="29127DD1"/>
    <w:rsid w:val="291433AE"/>
    <w:rsid w:val="291B15FB"/>
    <w:rsid w:val="291B6C85"/>
    <w:rsid w:val="29214463"/>
    <w:rsid w:val="292274D8"/>
    <w:rsid w:val="29291F9C"/>
    <w:rsid w:val="292C2C40"/>
    <w:rsid w:val="293123DA"/>
    <w:rsid w:val="29432A42"/>
    <w:rsid w:val="29490B9E"/>
    <w:rsid w:val="294F62D4"/>
    <w:rsid w:val="295D03D0"/>
    <w:rsid w:val="2967011C"/>
    <w:rsid w:val="29755B40"/>
    <w:rsid w:val="2976043F"/>
    <w:rsid w:val="29820AB2"/>
    <w:rsid w:val="29826D04"/>
    <w:rsid w:val="29834CA6"/>
    <w:rsid w:val="298429E5"/>
    <w:rsid w:val="298505A2"/>
    <w:rsid w:val="298A40CB"/>
    <w:rsid w:val="299407E6"/>
    <w:rsid w:val="29995F92"/>
    <w:rsid w:val="29A22815"/>
    <w:rsid w:val="29A94291"/>
    <w:rsid w:val="29AA7F26"/>
    <w:rsid w:val="29AB6C0F"/>
    <w:rsid w:val="29B570DA"/>
    <w:rsid w:val="29B64C00"/>
    <w:rsid w:val="29D250A3"/>
    <w:rsid w:val="29D65B8A"/>
    <w:rsid w:val="29D97152"/>
    <w:rsid w:val="29E346EC"/>
    <w:rsid w:val="29EA6773"/>
    <w:rsid w:val="29FB517A"/>
    <w:rsid w:val="2A007C29"/>
    <w:rsid w:val="2A21651D"/>
    <w:rsid w:val="2A247DBB"/>
    <w:rsid w:val="2A2622F9"/>
    <w:rsid w:val="2A2E7A7E"/>
    <w:rsid w:val="2A313BB1"/>
    <w:rsid w:val="2A413BB3"/>
    <w:rsid w:val="2A443FBA"/>
    <w:rsid w:val="2A470A00"/>
    <w:rsid w:val="2A4735A8"/>
    <w:rsid w:val="2A5D63DB"/>
    <w:rsid w:val="2A5F40B6"/>
    <w:rsid w:val="2A652E52"/>
    <w:rsid w:val="2A72308A"/>
    <w:rsid w:val="2A7939ED"/>
    <w:rsid w:val="2A834AE2"/>
    <w:rsid w:val="2A846AAC"/>
    <w:rsid w:val="2A8A0D83"/>
    <w:rsid w:val="2AA64C74"/>
    <w:rsid w:val="2AB557DB"/>
    <w:rsid w:val="2AD31D6D"/>
    <w:rsid w:val="2AD34292"/>
    <w:rsid w:val="2AD92954"/>
    <w:rsid w:val="2ADB2B81"/>
    <w:rsid w:val="2AF23A16"/>
    <w:rsid w:val="2B106F3D"/>
    <w:rsid w:val="2B1A174A"/>
    <w:rsid w:val="2B1C4F36"/>
    <w:rsid w:val="2B2141F9"/>
    <w:rsid w:val="2B230073"/>
    <w:rsid w:val="2B332625"/>
    <w:rsid w:val="2B361A30"/>
    <w:rsid w:val="2B3C079E"/>
    <w:rsid w:val="2B3C1E41"/>
    <w:rsid w:val="2B565E56"/>
    <w:rsid w:val="2B5B780D"/>
    <w:rsid w:val="2B5E674A"/>
    <w:rsid w:val="2B631DDB"/>
    <w:rsid w:val="2B632B65"/>
    <w:rsid w:val="2B7865F9"/>
    <w:rsid w:val="2B7A3C52"/>
    <w:rsid w:val="2B8C374E"/>
    <w:rsid w:val="2B8F46B6"/>
    <w:rsid w:val="2B991DFF"/>
    <w:rsid w:val="2BA03472"/>
    <w:rsid w:val="2BBD2276"/>
    <w:rsid w:val="2BD55811"/>
    <w:rsid w:val="2BD575BF"/>
    <w:rsid w:val="2BE21CDC"/>
    <w:rsid w:val="2BE5357A"/>
    <w:rsid w:val="2BF24C23"/>
    <w:rsid w:val="2BFC6B25"/>
    <w:rsid w:val="2BFF463C"/>
    <w:rsid w:val="2C023E73"/>
    <w:rsid w:val="2C0C6D59"/>
    <w:rsid w:val="2C0E0D23"/>
    <w:rsid w:val="2C163E61"/>
    <w:rsid w:val="2C1D2D14"/>
    <w:rsid w:val="2C2D6EE2"/>
    <w:rsid w:val="2C300C99"/>
    <w:rsid w:val="2C3562B0"/>
    <w:rsid w:val="2C372028"/>
    <w:rsid w:val="2C421FD2"/>
    <w:rsid w:val="2C436E5C"/>
    <w:rsid w:val="2C532F64"/>
    <w:rsid w:val="2C5867E5"/>
    <w:rsid w:val="2C610E53"/>
    <w:rsid w:val="2C66510D"/>
    <w:rsid w:val="2C6B4093"/>
    <w:rsid w:val="2C700266"/>
    <w:rsid w:val="2C8E6BD9"/>
    <w:rsid w:val="2C8E776E"/>
    <w:rsid w:val="2C997AF3"/>
    <w:rsid w:val="2C997CDE"/>
    <w:rsid w:val="2C9E14E5"/>
    <w:rsid w:val="2CB84C7B"/>
    <w:rsid w:val="2CCD48A6"/>
    <w:rsid w:val="2CCF1D5F"/>
    <w:rsid w:val="2CCF1ECB"/>
    <w:rsid w:val="2CD25FF8"/>
    <w:rsid w:val="2CE27DFB"/>
    <w:rsid w:val="2CE3244C"/>
    <w:rsid w:val="2CF021D7"/>
    <w:rsid w:val="2CF30852"/>
    <w:rsid w:val="2CF3392B"/>
    <w:rsid w:val="2CFC0B7C"/>
    <w:rsid w:val="2D0B78AE"/>
    <w:rsid w:val="2D1142CB"/>
    <w:rsid w:val="2D12214D"/>
    <w:rsid w:val="2D19172E"/>
    <w:rsid w:val="2D1A734B"/>
    <w:rsid w:val="2D2F71A3"/>
    <w:rsid w:val="2D35408E"/>
    <w:rsid w:val="2D360531"/>
    <w:rsid w:val="2D377655"/>
    <w:rsid w:val="2D403484"/>
    <w:rsid w:val="2D6329A9"/>
    <w:rsid w:val="2D651E34"/>
    <w:rsid w:val="2D6F1178"/>
    <w:rsid w:val="2D79041E"/>
    <w:rsid w:val="2D9147ED"/>
    <w:rsid w:val="2D947006"/>
    <w:rsid w:val="2D99286E"/>
    <w:rsid w:val="2DAB5DC1"/>
    <w:rsid w:val="2DAD00C8"/>
    <w:rsid w:val="2DB31B82"/>
    <w:rsid w:val="2DB80F46"/>
    <w:rsid w:val="2DCB2902"/>
    <w:rsid w:val="2DCF6FB5"/>
    <w:rsid w:val="2DD05EF0"/>
    <w:rsid w:val="2DDE64D3"/>
    <w:rsid w:val="2DE27D71"/>
    <w:rsid w:val="2DEC5D5C"/>
    <w:rsid w:val="2DED5CC6"/>
    <w:rsid w:val="2DF14475"/>
    <w:rsid w:val="2DF83CAE"/>
    <w:rsid w:val="2DFF1503"/>
    <w:rsid w:val="2E1036F7"/>
    <w:rsid w:val="2E270F76"/>
    <w:rsid w:val="2E290D16"/>
    <w:rsid w:val="2E2D2691"/>
    <w:rsid w:val="2E2E2FB7"/>
    <w:rsid w:val="2E2F76FC"/>
    <w:rsid w:val="2E36642A"/>
    <w:rsid w:val="2E3A56A0"/>
    <w:rsid w:val="2E3B3187"/>
    <w:rsid w:val="2E422DCC"/>
    <w:rsid w:val="2E427B73"/>
    <w:rsid w:val="2E5D389C"/>
    <w:rsid w:val="2E642E7C"/>
    <w:rsid w:val="2E731311"/>
    <w:rsid w:val="2E750BE6"/>
    <w:rsid w:val="2E754540"/>
    <w:rsid w:val="2E767F3F"/>
    <w:rsid w:val="2E7C5342"/>
    <w:rsid w:val="2E905186"/>
    <w:rsid w:val="2E9F5029"/>
    <w:rsid w:val="2EA17C2D"/>
    <w:rsid w:val="2EAC037F"/>
    <w:rsid w:val="2EAF6BF3"/>
    <w:rsid w:val="2EB72FAC"/>
    <w:rsid w:val="2EB86D24"/>
    <w:rsid w:val="2EBC6814"/>
    <w:rsid w:val="2ED2330B"/>
    <w:rsid w:val="2ED40002"/>
    <w:rsid w:val="2ED4221C"/>
    <w:rsid w:val="2EDA622A"/>
    <w:rsid w:val="2EDC447A"/>
    <w:rsid w:val="2EE5733A"/>
    <w:rsid w:val="2EEB6F16"/>
    <w:rsid w:val="2EEE11AC"/>
    <w:rsid w:val="2EF064BE"/>
    <w:rsid w:val="2EF35FAE"/>
    <w:rsid w:val="2EFE35E8"/>
    <w:rsid w:val="2F0106CB"/>
    <w:rsid w:val="2F0B779C"/>
    <w:rsid w:val="2F0D74C9"/>
    <w:rsid w:val="2F260132"/>
    <w:rsid w:val="2F315682"/>
    <w:rsid w:val="2F340AA1"/>
    <w:rsid w:val="2F416D1A"/>
    <w:rsid w:val="2F4A4EE0"/>
    <w:rsid w:val="2F4D3910"/>
    <w:rsid w:val="2F4E6128"/>
    <w:rsid w:val="2F50648D"/>
    <w:rsid w:val="2F5875B9"/>
    <w:rsid w:val="2F590507"/>
    <w:rsid w:val="2F593497"/>
    <w:rsid w:val="2F68699C"/>
    <w:rsid w:val="2F723875"/>
    <w:rsid w:val="2F80221D"/>
    <w:rsid w:val="2F8673B3"/>
    <w:rsid w:val="2F8B61E7"/>
    <w:rsid w:val="2F963160"/>
    <w:rsid w:val="2F9E5F1A"/>
    <w:rsid w:val="2FA6202F"/>
    <w:rsid w:val="2FAA2705"/>
    <w:rsid w:val="2FAC6889"/>
    <w:rsid w:val="2FB84C7B"/>
    <w:rsid w:val="2FBA6381"/>
    <w:rsid w:val="2FDA5341"/>
    <w:rsid w:val="2FDB47FA"/>
    <w:rsid w:val="2FE801F3"/>
    <w:rsid w:val="30032221"/>
    <w:rsid w:val="30053C88"/>
    <w:rsid w:val="301601A6"/>
    <w:rsid w:val="301B756B"/>
    <w:rsid w:val="303074BA"/>
    <w:rsid w:val="303A70C4"/>
    <w:rsid w:val="303F08C7"/>
    <w:rsid w:val="30403475"/>
    <w:rsid w:val="3040577F"/>
    <w:rsid w:val="30412492"/>
    <w:rsid w:val="304704C5"/>
    <w:rsid w:val="30564A47"/>
    <w:rsid w:val="305807BF"/>
    <w:rsid w:val="30601421"/>
    <w:rsid w:val="30615FED"/>
    <w:rsid w:val="30751371"/>
    <w:rsid w:val="308E19D8"/>
    <w:rsid w:val="309713C6"/>
    <w:rsid w:val="309D14D3"/>
    <w:rsid w:val="30A232E4"/>
    <w:rsid w:val="30A772E8"/>
    <w:rsid w:val="30AE6631"/>
    <w:rsid w:val="30C10112"/>
    <w:rsid w:val="30C50C66"/>
    <w:rsid w:val="30D20571"/>
    <w:rsid w:val="30E87D95"/>
    <w:rsid w:val="30EC50CB"/>
    <w:rsid w:val="30ED1711"/>
    <w:rsid w:val="31102E48"/>
    <w:rsid w:val="31167200"/>
    <w:rsid w:val="311A10B7"/>
    <w:rsid w:val="31215055"/>
    <w:rsid w:val="312406A1"/>
    <w:rsid w:val="312811AB"/>
    <w:rsid w:val="312C69BA"/>
    <w:rsid w:val="31393DCB"/>
    <w:rsid w:val="313E79B5"/>
    <w:rsid w:val="315E3BB3"/>
    <w:rsid w:val="3162183F"/>
    <w:rsid w:val="31636DC3"/>
    <w:rsid w:val="316450AF"/>
    <w:rsid w:val="316A224B"/>
    <w:rsid w:val="316D2854"/>
    <w:rsid w:val="31712EBC"/>
    <w:rsid w:val="317465BC"/>
    <w:rsid w:val="317D5FB6"/>
    <w:rsid w:val="318850D4"/>
    <w:rsid w:val="31886DD5"/>
    <w:rsid w:val="318A28BC"/>
    <w:rsid w:val="318B00D1"/>
    <w:rsid w:val="318C7F04"/>
    <w:rsid w:val="319C5AA7"/>
    <w:rsid w:val="319F465C"/>
    <w:rsid w:val="31A43C7A"/>
    <w:rsid w:val="31B14463"/>
    <w:rsid w:val="31B934DF"/>
    <w:rsid w:val="31C32FA3"/>
    <w:rsid w:val="31C37EBA"/>
    <w:rsid w:val="31CB082A"/>
    <w:rsid w:val="31CD468B"/>
    <w:rsid w:val="31D73965"/>
    <w:rsid w:val="31D91BE1"/>
    <w:rsid w:val="31E60856"/>
    <w:rsid w:val="31EA35E8"/>
    <w:rsid w:val="31EF5153"/>
    <w:rsid w:val="31FB58A6"/>
    <w:rsid w:val="320329AC"/>
    <w:rsid w:val="32087FC3"/>
    <w:rsid w:val="320E5A59"/>
    <w:rsid w:val="32221592"/>
    <w:rsid w:val="322C0610"/>
    <w:rsid w:val="322E1BFD"/>
    <w:rsid w:val="323A3E96"/>
    <w:rsid w:val="323E22F7"/>
    <w:rsid w:val="32413CD9"/>
    <w:rsid w:val="324C7EAF"/>
    <w:rsid w:val="324E3C27"/>
    <w:rsid w:val="32544FB6"/>
    <w:rsid w:val="327C20DC"/>
    <w:rsid w:val="32877139"/>
    <w:rsid w:val="32A02E1D"/>
    <w:rsid w:val="32A5173A"/>
    <w:rsid w:val="32B37F2E"/>
    <w:rsid w:val="32BB148C"/>
    <w:rsid w:val="32BB6217"/>
    <w:rsid w:val="32BD6FFF"/>
    <w:rsid w:val="32DC365B"/>
    <w:rsid w:val="32DF6ECB"/>
    <w:rsid w:val="32EC3440"/>
    <w:rsid w:val="32F26FB0"/>
    <w:rsid w:val="32F81DE5"/>
    <w:rsid w:val="32FB4F1E"/>
    <w:rsid w:val="330A4A2A"/>
    <w:rsid w:val="330B38C7"/>
    <w:rsid w:val="330D5C4B"/>
    <w:rsid w:val="330E1609"/>
    <w:rsid w:val="331D184C"/>
    <w:rsid w:val="33204932"/>
    <w:rsid w:val="33291ACF"/>
    <w:rsid w:val="333D7CDA"/>
    <w:rsid w:val="334C3C43"/>
    <w:rsid w:val="336456CD"/>
    <w:rsid w:val="3365548D"/>
    <w:rsid w:val="336C20F6"/>
    <w:rsid w:val="337C2A16"/>
    <w:rsid w:val="337D6DD6"/>
    <w:rsid w:val="3382645E"/>
    <w:rsid w:val="33863895"/>
    <w:rsid w:val="338F39E0"/>
    <w:rsid w:val="339670C9"/>
    <w:rsid w:val="339B1966"/>
    <w:rsid w:val="33A23507"/>
    <w:rsid w:val="33BB04D5"/>
    <w:rsid w:val="33C1178D"/>
    <w:rsid w:val="33C5616B"/>
    <w:rsid w:val="33CD5CBF"/>
    <w:rsid w:val="33CF6A93"/>
    <w:rsid w:val="33D36847"/>
    <w:rsid w:val="33D52CF0"/>
    <w:rsid w:val="33E3198C"/>
    <w:rsid w:val="33F352AE"/>
    <w:rsid w:val="33FD3B57"/>
    <w:rsid w:val="34051282"/>
    <w:rsid w:val="341663D8"/>
    <w:rsid w:val="3417159A"/>
    <w:rsid w:val="34207846"/>
    <w:rsid w:val="3436681E"/>
    <w:rsid w:val="34454F45"/>
    <w:rsid w:val="34491953"/>
    <w:rsid w:val="344F1FA8"/>
    <w:rsid w:val="34515C51"/>
    <w:rsid w:val="345721E6"/>
    <w:rsid w:val="34751483"/>
    <w:rsid w:val="348002E4"/>
    <w:rsid w:val="34853B4C"/>
    <w:rsid w:val="3489757C"/>
    <w:rsid w:val="34945B3E"/>
    <w:rsid w:val="349F69BC"/>
    <w:rsid w:val="34B166F0"/>
    <w:rsid w:val="34B3384E"/>
    <w:rsid w:val="34B44B7E"/>
    <w:rsid w:val="34BA37F6"/>
    <w:rsid w:val="34BA6BA8"/>
    <w:rsid w:val="34C226AB"/>
    <w:rsid w:val="34D04DC8"/>
    <w:rsid w:val="35006659"/>
    <w:rsid w:val="35044A71"/>
    <w:rsid w:val="35056F41"/>
    <w:rsid w:val="350A4AD0"/>
    <w:rsid w:val="350B4052"/>
    <w:rsid w:val="350D19BB"/>
    <w:rsid w:val="350F0702"/>
    <w:rsid w:val="351400AA"/>
    <w:rsid w:val="351C000D"/>
    <w:rsid w:val="352B46F4"/>
    <w:rsid w:val="353115DE"/>
    <w:rsid w:val="35373099"/>
    <w:rsid w:val="353C420B"/>
    <w:rsid w:val="35411821"/>
    <w:rsid w:val="35537C83"/>
    <w:rsid w:val="35555759"/>
    <w:rsid w:val="35613C72"/>
    <w:rsid w:val="35645360"/>
    <w:rsid w:val="356814A4"/>
    <w:rsid w:val="356E7175"/>
    <w:rsid w:val="3572001E"/>
    <w:rsid w:val="357716E7"/>
    <w:rsid w:val="357D65D2"/>
    <w:rsid w:val="358B6F41"/>
    <w:rsid w:val="3597707D"/>
    <w:rsid w:val="35A873D1"/>
    <w:rsid w:val="35AB6533"/>
    <w:rsid w:val="35B0664A"/>
    <w:rsid w:val="35B46497"/>
    <w:rsid w:val="35C76FEA"/>
    <w:rsid w:val="35DC779C"/>
    <w:rsid w:val="35FD03A5"/>
    <w:rsid w:val="35FF348B"/>
    <w:rsid w:val="3621472B"/>
    <w:rsid w:val="36312097"/>
    <w:rsid w:val="36392E40"/>
    <w:rsid w:val="36460B81"/>
    <w:rsid w:val="36495886"/>
    <w:rsid w:val="36525CB0"/>
    <w:rsid w:val="3653029E"/>
    <w:rsid w:val="3656754F"/>
    <w:rsid w:val="36637A63"/>
    <w:rsid w:val="367F4F73"/>
    <w:rsid w:val="36842149"/>
    <w:rsid w:val="369462C9"/>
    <w:rsid w:val="36A007CA"/>
    <w:rsid w:val="36A83064"/>
    <w:rsid w:val="36AC3C67"/>
    <w:rsid w:val="36D14E27"/>
    <w:rsid w:val="36D861B6"/>
    <w:rsid w:val="36D93CDC"/>
    <w:rsid w:val="36DF1B09"/>
    <w:rsid w:val="36F31241"/>
    <w:rsid w:val="36F5558D"/>
    <w:rsid w:val="36F80606"/>
    <w:rsid w:val="36FA75CB"/>
    <w:rsid w:val="36FE69CC"/>
    <w:rsid w:val="37040D59"/>
    <w:rsid w:val="37077031"/>
    <w:rsid w:val="370A446C"/>
    <w:rsid w:val="37144D14"/>
    <w:rsid w:val="371521A7"/>
    <w:rsid w:val="37186290"/>
    <w:rsid w:val="371F5514"/>
    <w:rsid w:val="37211C8D"/>
    <w:rsid w:val="37236D14"/>
    <w:rsid w:val="372F1B4E"/>
    <w:rsid w:val="37386C54"/>
    <w:rsid w:val="373D289B"/>
    <w:rsid w:val="374920E7"/>
    <w:rsid w:val="374A1271"/>
    <w:rsid w:val="37645C9B"/>
    <w:rsid w:val="376806DB"/>
    <w:rsid w:val="37696240"/>
    <w:rsid w:val="377A0694"/>
    <w:rsid w:val="377A101B"/>
    <w:rsid w:val="37824373"/>
    <w:rsid w:val="378325C5"/>
    <w:rsid w:val="37846EE5"/>
    <w:rsid w:val="378B76CC"/>
    <w:rsid w:val="379461DF"/>
    <w:rsid w:val="37971BCD"/>
    <w:rsid w:val="379C5527"/>
    <w:rsid w:val="379F25AA"/>
    <w:rsid w:val="37A20977"/>
    <w:rsid w:val="37A602B6"/>
    <w:rsid w:val="37B07132"/>
    <w:rsid w:val="37B7331B"/>
    <w:rsid w:val="37BE432D"/>
    <w:rsid w:val="37C0269B"/>
    <w:rsid w:val="37C20289"/>
    <w:rsid w:val="37C36E66"/>
    <w:rsid w:val="37CA75A9"/>
    <w:rsid w:val="37CC113C"/>
    <w:rsid w:val="37CF73B3"/>
    <w:rsid w:val="37DD3769"/>
    <w:rsid w:val="37FE4685"/>
    <w:rsid w:val="38174014"/>
    <w:rsid w:val="382A0185"/>
    <w:rsid w:val="38316343"/>
    <w:rsid w:val="38540962"/>
    <w:rsid w:val="385555E4"/>
    <w:rsid w:val="38683569"/>
    <w:rsid w:val="386862CF"/>
    <w:rsid w:val="38727B02"/>
    <w:rsid w:val="38812AD7"/>
    <w:rsid w:val="38997BC6"/>
    <w:rsid w:val="389C6EEF"/>
    <w:rsid w:val="389F5CD8"/>
    <w:rsid w:val="38A87971"/>
    <w:rsid w:val="38AA6BDA"/>
    <w:rsid w:val="38AE7EF7"/>
    <w:rsid w:val="38B279EB"/>
    <w:rsid w:val="38B82AF5"/>
    <w:rsid w:val="38BF46CC"/>
    <w:rsid w:val="38C70290"/>
    <w:rsid w:val="38C7204D"/>
    <w:rsid w:val="38CD161E"/>
    <w:rsid w:val="38D97FC3"/>
    <w:rsid w:val="38E51F81"/>
    <w:rsid w:val="38E52E0C"/>
    <w:rsid w:val="38EA6C83"/>
    <w:rsid w:val="38F17A02"/>
    <w:rsid w:val="38F23171"/>
    <w:rsid w:val="38F85A09"/>
    <w:rsid w:val="38F8669B"/>
    <w:rsid w:val="39020C1E"/>
    <w:rsid w:val="39033292"/>
    <w:rsid w:val="392B1828"/>
    <w:rsid w:val="392F4087"/>
    <w:rsid w:val="393A3157"/>
    <w:rsid w:val="39462149"/>
    <w:rsid w:val="394D58E5"/>
    <w:rsid w:val="395E36CB"/>
    <w:rsid w:val="39930ABA"/>
    <w:rsid w:val="39933B19"/>
    <w:rsid w:val="39A33CED"/>
    <w:rsid w:val="39B63F14"/>
    <w:rsid w:val="39BB11C0"/>
    <w:rsid w:val="39BC364C"/>
    <w:rsid w:val="39C55488"/>
    <w:rsid w:val="39CD3FCC"/>
    <w:rsid w:val="39E81284"/>
    <w:rsid w:val="39ED5AEC"/>
    <w:rsid w:val="39F25C1A"/>
    <w:rsid w:val="39FA2880"/>
    <w:rsid w:val="3A03179B"/>
    <w:rsid w:val="3A094ECC"/>
    <w:rsid w:val="3A1514CF"/>
    <w:rsid w:val="3A287454"/>
    <w:rsid w:val="3A2B463D"/>
    <w:rsid w:val="3A386A14"/>
    <w:rsid w:val="3A3C0A2C"/>
    <w:rsid w:val="3A453174"/>
    <w:rsid w:val="3A5133D0"/>
    <w:rsid w:val="3A52381C"/>
    <w:rsid w:val="3A5308B9"/>
    <w:rsid w:val="3A58654F"/>
    <w:rsid w:val="3A660FFC"/>
    <w:rsid w:val="3A687E26"/>
    <w:rsid w:val="3A7E7074"/>
    <w:rsid w:val="3A81712D"/>
    <w:rsid w:val="3A8322BE"/>
    <w:rsid w:val="3A9E14C4"/>
    <w:rsid w:val="3AC7728A"/>
    <w:rsid w:val="3ACB380C"/>
    <w:rsid w:val="3ADB0022"/>
    <w:rsid w:val="3ADB2718"/>
    <w:rsid w:val="3AED2353"/>
    <w:rsid w:val="3AF6205F"/>
    <w:rsid w:val="3B050D2B"/>
    <w:rsid w:val="3B1D2FE9"/>
    <w:rsid w:val="3B1F566C"/>
    <w:rsid w:val="3B265D2B"/>
    <w:rsid w:val="3B497D60"/>
    <w:rsid w:val="3B4B164C"/>
    <w:rsid w:val="3B4D0406"/>
    <w:rsid w:val="3B4F3729"/>
    <w:rsid w:val="3B5C1C29"/>
    <w:rsid w:val="3B5F284F"/>
    <w:rsid w:val="3B675D5A"/>
    <w:rsid w:val="3B716F78"/>
    <w:rsid w:val="3B822B94"/>
    <w:rsid w:val="3B8725C8"/>
    <w:rsid w:val="3B933D1F"/>
    <w:rsid w:val="3B9C3C56"/>
    <w:rsid w:val="3BA35552"/>
    <w:rsid w:val="3BA40D5C"/>
    <w:rsid w:val="3BB54638"/>
    <w:rsid w:val="3BBD597A"/>
    <w:rsid w:val="3BD62991"/>
    <w:rsid w:val="3BD95935"/>
    <w:rsid w:val="3BDB2E6C"/>
    <w:rsid w:val="3BEB5CB0"/>
    <w:rsid w:val="3BEC0523"/>
    <w:rsid w:val="3BF34A5A"/>
    <w:rsid w:val="3BF56022"/>
    <w:rsid w:val="3C0D4B53"/>
    <w:rsid w:val="3C133C00"/>
    <w:rsid w:val="3C2A50F0"/>
    <w:rsid w:val="3C2B11E4"/>
    <w:rsid w:val="3C2D2BF0"/>
    <w:rsid w:val="3C3814A4"/>
    <w:rsid w:val="3C40286C"/>
    <w:rsid w:val="3C4373C4"/>
    <w:rsid w:val="3C511010"/>
    <w:rsid w:val="3C662451"/>
    <w:rsid w:val="3C6D114E"/>
    <w:rsid w:val="3C83545A"/>
    <w:rsid w:val="3C8B42AF"/>
    <w:rsid w:val="3C9508B9"/>
    <w:rsid w:val="3C9B3F0D"/>
    <w:rsid w:val="3CB72D11"/>
    <w:rsid w:val="3CBE1861"/>
    <w:rsid w:val="3CCF1E09"/>
    <w:rsid w:val="3CD06F1D"/>
    <w:rsid w:val="3CD9405C"/>
    <w:rsid w:val="3CDB019A"/>
    <w:rsid w:val="3CDB255C"/>
    <w:rsid w:val="3CE83CA8"/>
    <w:rsid w:val="3CF672F5"/>
    <w:rsid w:val="3D11065F"/>
    <w:rsid w:val="3D2F4655"/>
    <w:rsid w:val="3D32517E"/>
    <w:rsid w:val="3D3659E4"/>
    <w:rsid w:val="3D51281E"/>
    <w:rsid w:val="3D5B4B1B"/>
    <w:rsid w:val="3D6702AE"/>
    <w:rsid w:val="3D6A1B31"/>
    <w:rsid w:val="3D736C38"/>
    <w:rsid w:val="3D7778E1"/>
    <w:rsid w:val="3D7F382F"/>
    <w:rsid w:val="3D8B21D4"/>
    <w:rsid w:val="3DC254CA"/>
    <w:rsid w:val="3DD64A42"/>
    <w:rsid w:val="3DE0464F"/>
    <w:rsid w:val="3DE11DF4"/>
    <w:rsid w:val="3DED69EA"/>
    <w:rsid w:val="3DF70BD6"/>
    <w:rsid w:val="3DFF7691"/>
    <w:rsid w:val="3E0C1BA4"/>
    <w:rsid w:val="3E21293C"/>
    <w:rsid w:val="3E30610D"/>
    <w:rsid w:val="3E3703FB"/>
    <w:rsid w:val="3E42537F"/>
    <w:rsid w:val="3E592176"/>
    <w:rsid w:val="3E6A644A"/>
    <w:rsid w:val="3E711D4C"/>
    <w:rsid w:val="3E7569E0"/>
    <w:rsid w:val="3E7D113A"/>
    <w:rsid w:val="3E860BED"/>
    <w:rsid w:val="3E861F2A"/>
    <w:rsid w:val="3E865C72"/>
    <w:rsid w:val="3E8D3D29"/>
    <w:rsid w:val="3E920965"/>
    <w:rsid w:val="3E92378D"/>
    <w:rsid w:val="3EA63B08"/>
    <w:rsid w:val="3EB968CD"/>
    <w:rsid w:val="3EC57D85"/>
    <w:rsid w:val="3ED71DD3"/>
    <w:rsid w:val="3ED81093"/>
    <w:rsid w:val="3EF13E60"/>
    <w:rsid w:val="3EF76DEB"/>
    <w:rsid w:val="3F03223E"/>
    <w:rsid w:val="3F081602"/>
    <w:rsid w:val="3F147322"/>
    <w:rsid w:val="3F1B7BDA"/>
    <w:rsid w:val="3F255D10"/>
    <w:rsid w:val="3F2B4F32"/>
    <w:rsid w:val="3F310B59"/>
    <w:rsid w:val="3F424B14"/>
    <w:rsid w:val="3F4343E8"/>
    <w:rsid w:val="3F4F53D8"/>
    <w:rsid w:val="3F5220BF"/>
    <w:rsid w:val="3F5900B0"/>
    <w:rsid w:val="3F6009A6"/>
    <w:rsid w:val="3F7561FB"/>
    <w:rsid w:val="3F775701"/>
    <w:rsid w:val="3F7F15D7"/>
    <w:rsid w:val="3F8175A9"/>
    <w:rsid w:val="3F9110FB"/>
    <w:rsid w:val="3F970AC9"/>
    <w:rsid w:val="3F983970"/>
    <w:rsid w:val="3FA04C1F"/>
    <w:rsid w:val="3FAB3EF2"/>
    <w:rsid w:val="3FB74B79"/>
    <w:rsid w:val="3FB97FE1"/>
    <w:rsid w:val="3FC62C11"/>
    <w:rsid w:val="3FC801AF"/>
    <w:rsid w:val="3FD15E98"/>
    <w:rsid w:val="3FE10133"/>
    <w:rsid w:val="3FE61943"/>
    <w:rsid w:val="3FE7526D"/>
    <w:rsid w:val="3FEF631E"/>
    <w:rsid w:val="3FF03FC2"/>
    <w:rsid w:val="3FF102E8"/>
    <w:rsid w:val="400F586A"/>
    <w:rsid w:val="401546BB"/>
    <w:rsid w:val="401F4E55"/>
    <w:rsid w:val="40225FCC"/>
    <w:rsid w:val="402C43AB"/>
    <w:rsid w:val="402D0F85"/>
    <w:rsid w:val="4031573F"/>
    <w:rsid w:val="403329CA"/>
    <w:rsid w:val="403645F3"/>
    <w:rsid w:val="403F51D3"/>
    <w:rsid w:val="40491F46"/>
    <w:rsid w:val="40582115"/>
    <w:rsid w:val="40630F8D"/>
    <w:rsid w:val="40664832"/>
    <w:rsid w:val="406D3E12"/>
    <w:rsid w:val="407658B9"/>
    <w:rsid w:val="407F7AEC"/>
    <w:rsid w:val="40923879"/>
    <w:rsid w:val="409475F1"/>
    <w:rsid w:val="40A86353"/>
    <w:rsid w:val="40CC47B9"/>
    <w:rsid w:val="40D05E19"/>
    <w:rsid w:val="40D07877"/>
    <w:rsid w:val="40E41DEF"/>
    <w:rsid w:val="40F17FA1"/>
    <w:rsid w:val="40F2256A"/>
    <w:rsid w:val="40F2485A"/>
    <w:rsid w:val="40FC47E1"/>
    <w:rsid w:val="411650BF"/>
    <w:rsid w:val="411C1395"/>
    <w:rsid w:val="411E510D"/>
    <w:rsid w:val="41232723"/>
    <w:rsid w:val="412901AA"/>
    <w:rsid w:val="412F738A"/>
    <w:rsid w:val="41345493"/>
    <w:rsid w:val="4138297C"/>
    <w:rsid w:val="41395AA3"/>
    <w:rsid w:val="41521466"/>
    <w:rsid w:val="415C1E5E"/>
    <w:rsid w:val="417D62D7"/>
    <w:rsid w:val="41850061"/>
    <w:rsid w:val="4188317F"/>
    <w:rsid w:val="41923405"/>
    <w:rsid w:val="41924FB9"/>
    <w:rsid w:val="41A623DC"/>
    <w:rsid w:val="41AD6698"/>
    <w:rsid w:val="41B34DF1"/>
    <w:rsid w:val="41B94E35"/>
    <w:rsid w:val="41BB0480"/>
    <w:rsid w:val="41BB6E00"/>
    <w:rsid w:val="41BF708C"/>
    <w:rsid w:val="41CC6917"/>
    <w:rsid w:val="41D37CA5"/>
    <w:rsid w:val="41DA2A3C"/>
    <w:rsid w:val="41DA6ADE"/>
    <w:rsid w:val="41E53E7C"/>
    <w:rsid w:val="41F20E3F"/>
    <w:rsid w:val="42041BE8"/>
    <w:rsid w:val="42051E29"/>
    <w:rsid w:val="42097713"/>
    <w:rsid w:val="420B5DF7"/>
    <w:rsid w:val="420D42E6"/>
    <w:rsid w:val="42186FAF"/>
    <w:rsid w:val="42436B6D"/>
    <w:rsid w:val="425C5EED"/>
    <w:rsid w:val="4262727B"/>
    <w:rsid w:val="42635B8E"/>
    <w:rsid w:val="42642FF3"/>
    <w:rsid w:val="4269685C"/>
    <w:rsid w:val="426C67C4"/>
    <w:rsid w:val="426E724D"/>
    <w:rsid w:val="42772D26"/>
    <w:rsid w:val="427878A4"/>
    <w:rsid w:val="428B1B54"/>
    <w:rsid w:val="42927D51"/>
    <w:rsid w:val="429D57CF"/>
    <w:rsid w:val="42A819B7"/>
    <w:rsid w:val="42BB2A5D"/>
    <w:rsid w:val="42BE0955"/>
    <w:rsid w:val="42C83582"/>
    <w:rsid w:val="42CB6444"/>
    <w:rsid w:val="42CD0B98"/>
    <w:rsid w:val="42D00689"/>
    <w:rsid w:val="42E20CF5"/>
    <w:rsid w:val="42EF3074"/>
    <w:rsid w:val="42F27836"/>
    <w:rsid w:val="42F51E9D"/>
    <w:rsid w:val="42F531CE"/>
    <w:rsid w:val="42FF4BE0"/>
    <w:rsid w:val="430A6E5A"/>
    <w:rsid w:val="430F2F5F"/>
    <w:rsid w:val="430F6EAD"/>
    <w:rsid w:val="431303D0"/>
    <w:rsid w:val="432809C5"/>
    <w:rsid w:val="4330416F"/>
    <w:rsid w:val="43340C18"/>
    <w:rsid w:val="433E2AAC"/>
    <w:rsid w:val="434A0B41"/>
    <w:rsid w:val="434F7A62"/>
    <w:rsid w:val="435412BA"/>
    <w:rsid w:val="43633E12"/>
    <w:rsid w:val="436752A6"/>
    <w:rsid w:val="43696F7C"/>
    <w:rsid w:val="4374370A"/>
    <w:rsid w:val="43804E58"/>
    <w:rsid w:val="43843FDD"/>
    <w:rsid w:val="439F0E69"/>
    <w:rsid w:val="43A86F10"/>
    <w:rsid w:val="43A94310"/>
    <w:rsid w:val="43AC4C52"/>
    <w:rsid w:val="43C51792"/>
    <w:rsid w:val="43D42973"/>
    <w:rsid w:val="43D7406A"/>
    <w:rsid w:val="43DC5799"/>
    <w:rsid w:val="43E02B4D"/>
    <w:rsid w:val="43F42B17"/>
    <w:rsid w:val="441A3D23"/>
    <w:rsid w:val="441E1F6C"/>
    <w:rsid w:val="4427077C"/>
    <w:rsid w:val="44284DFE"/>
    <w:rsid w:val="4436276D"/>
    <w:rsid w:val="443B29FC"/>
    <w:rsid w:val="443B4DCB"/>
    <w:rsid w:val="443D5D23"/>
    <w:rsid w:val="445826E4"/>
    <w:rsid w:val="44613C8E"/>
    <w:rsid w:val="446217B4"/>
    <w:rsid w:val="4464327A"/>
    <w:rsid w:val="4467501D"/>
    <w:rsid w:val="446A3FBF"/>
    <w:rsid w:val="448B2AB9"/>
    <w:rsid w:val="448E7C6D"/>
    <w:rsid w:val="44973488"/>
    <w:rsid w:val="44A75419"/>
    <w:rsid w:val="44AA3B64"/>
    <w:rsid w:val="44BC57EA"/>
    <w:rsid w:val="44BD072C"/>
    <w:rsid w:val="44C367B8"/>
    <w:rsid w:val="44D8473A"/>
    <w:rsid w:val="44DB259F"/>
    <w:rsid w:val="44E37827"/>
    <w:rsid w:val="44E701A5"/>
    <w:rsid w:val="44E95A32"/>
    <w:rsid w:val="44FC7513"/>
    <w:rsid w:val="44FD4B05"/>
    <w:rsid w:val="45080D22"/>
    <w:rsid w:val="450A60D4"/>
    <w:rsid w:val="450E74EC"/>
    <w:rsid w:val="4511711A"/>
    <w:rsid w:val="45225C2E"/>
    <w:rsid w:val="45265484"/>
    <w:rsid w:val="452D74E0"/>
    <w:rsid w:val="452F78E8"/>
    <w:rsid w:val="45303661"/>
    <w:rsid w:val="45321187"/>
    <w:rsid w:val="45396AC7"/>
    <w:rsid w:val="453E1A33"/>
    <w:rsid w:val="45536CBB"/>
    <w:rsid w:val="45576CDE"/>
    <w:rsid w:val="45756CBD"/>
    <w:rsid w:val="45777091"/>
    <w:rsid w:val="457C4123"/>
    <w:rsid w:val="45855844"/>
    <w:rsid w:val="458B69F6"/>
    <w:rsid w:val="458D2861"/>
    <w:rsid w:val="459260C9"/>
    <w:rsid w:val="45941E41"/>
    <w:rsid w:val="45A40F60"/>
    <w:rsid w:val="45A647C9"/>
    <w:rsid w:val="45A94A5A"/>
    <w:rsid w:val="45AC0C01"/>
    <w:rsid w:val="45AC718B"/>
    <w:rsid w:val="45B93656"/>
    <w:rsid w:val="45C30031"/>
    <w:rsid w:val="45C325DF"/>
    <w:rsid w:val="45C943D0"/>
    <w:rsid w:val="45CC116E"/>
    <w:rsid w:val="45DA04A4"/>
    <w:rsid w:val="45DA6D30"/>
    <w:rsid w:val="45DE14B8"/>
    <w:rsid w:val="45E16709"/>
    <w:rsid w:val="45F20916"/>
    <w:rsid w:val="46116C98"/>
    <w:rsid w:val="461865CE"/>
    <w:rsid w:val="46232DCE"/>
    <w:rsid w:val="462A00B0"/>
    <w:rsid w:val="462A12E7"/>
    <w:rsid w:val="463842DE"/>
    <w:rsid w:val="46386E53"/>
    <w:rsid w:val="4639036D"/>
    <w:rsid w:val="46395320"/>
    <w:rsid w:val="463A05A5"/>
    <w:rsid w:val="463A5557"/>
    <w:rsid w:val="463D6457"/>
    <w:rsid w:val="463F1DAD"/>
    <w:rsid w:val="4644686C"/>
    <w:rsid w:val="46460291"/>
    <w:rsid w:val="464A0A81"/>
    <w:rsid w:val="465313B5"/>
    <w:rsid w:val="46596C56"/>
    <w:rsid w:val="465F41FD"/>
    <w:rsid w:val="4662439C"/>
    <w:rsid w:val="46625A9D"/>
    <w:rsid w:val="4666004F"/>
    <w:rsid w:val="46753A21"/>
    <w:rsid w:val="467557CF"/>
    <w:rsid w:val="467873FB"/>
    <w:rsid w:val="46891645"/>
    <w:rsid w:val="469506DA"/>
    <w:rsid w:val="469B1818"/>
    <w:rsid w:val="469D0882"/>
    <w:rsid w:val="46A9385A"/>
    <w:rsid w:val="46B61944"/>
    <w:rsid w:val="46BA5335"/>
    <w:rsid w:val="46C43C98"/>
    <w:rsid w:val="46CA4E0D"/>
    <w:rsid w:val="46CE3131"/>
    <w:rsid w:val="46DB7947"/>
    <w:rsid w:val="46DC584E"/>
    <w:rsid w:val="46E42955"/>
    <w:rsid w:val="46E542E8"/>
    <w:rsid w:val="46F012F9"/>
    <w:rsid w:val="4709504A"/>
    <w:rsid w:val="470B23CA"/>
    <w:rsid w:val="471E70AB"/>
    <w:rsid w:val="4727210E"/>
    <w:rsid w:val="472762D3"/>
    <w:rsid w:val="472B0748"/>
    <w:rsid w:val="472B2D63"/>
    <w:rsid w:val="473016F6"/>
    <w:rsid w:val="47433D25"/>
    <w:rsid w:val="47454177"/>
    <w:rsid w:val="474F15D8"/>
    <w:rsid w:val="474F4272"/>
    <w:rsid w:val="4754049B"/>
    <w:rsid w:val="47555600"/>
    <w:rsid w:val="47571378"/>
    <w:rsid w:val="47583095"/>
    <w:rsid w:val="475845FC"/>
    <w:rsid w:val="475E7C0D"/>
    <w:rsid w:val="476415D8"/>
    <w:rsid w:val="476A2E5A"/>
    <w:rsid w:val="476F764D"/>
    <w:rsid w:val="47701558"/>
    <w:rsid w:val="477426A5"/>
    <w:rsid w:val="477B49D4"/>
    <w:rsid w:val="47873BD6"/>
    <w:rsid w:val="47934980"/>
    <w:rsid w:val="47A53E92"/>
    <w:rsid w:val="47B2336A"/>
    <w:rsid w:val="47BA4F6E"/>
    <w:rsid w:val="47C6198F"/>
    <w:rsid w:val="47CF67EF"/>
    <w:rsid w:val="47D06A35"/>
    <w:rsid w:val="47D7366E"/>
    <w:rsid w:val="47DB3D58"/>
    <w:rsid w:val="47E12DA0"/>
    <w:rsid w:val="47ED3A8B"/>
    <w:rsid w:val="47FB7F56"/>
    <w:rsid w:val="482D42BC"/>
    <w:rsid w:val="484F02A2"/>
    <w:rsid w:val="48691363"/>
    <w:rsid w:val="486C3D94"/>
    <w:rsid w:val="48773D46"/>
    <w:rsid w:val="4887459B"/>
    <w:rsid w:val="488F069E"/>
    <w:rsid w:val="48A226AD"/>
    <w:rsid w:val="48B2699F"/>
    <w:rsid w:val="48B67D8D"/>
    <w:rsid w:val="48C260C0"/>
    <w:rsid w:val="48C60564"/>
    <w:rsid w:val="48D26D9A"/>
    <w:rsid w:val="48DB1B35"/>
    <w:rsid w:val="490177EE"/>
    <w:rsid w:val="4902628A"/>
    <w:rsid w:val="490B2882"/>
    <w:rsid w:val="49116A8B"/>
    <w:rsid w:val="4912008E"/>
    <w:rsid w:val="492412C0"/>
    <w:rsid w:val="49302BF1"/>
    <w:rsid w:val="493E459E"/>
    <w:rsid w:val="49481096"/>
    <w:rsid w:val="494E7D53"/>
    <w:rsid w:val="49535B70"/>
    <w:rsid w:val="495C2C76"/>
    <w:rsid w:val="49755E59"/>
    <w:rsid w:val="4988006D"/>
    <w:rsid w:val="49883A6B"/>
    <w:rsid w:val="498E0547"/>
    <w:rsid w:val="49942410"/>
    <w:rsid w:val="499646A6"/>
    <w:rsid w:val="499F4D25"/>
    <w:rsid w:val="49A40179"/>
    <w:rsid w:val="49AC0AB2"/>
    <w:rsid w:val="49AE2DA6"/>
    <w:rsid w:val="49B26E0D"/>
    <w:rsid w:val="49B36FE4"/>
    <w:rsid w:val="49BB06FB"/>
    <w:rsid w:val="49BC2A68"/>
    <w:rsid w:val="49BC3715"/>
    <w:rsid w:val="49D30BCF"/>
    <w:rsid w:val="49EB7211"/>
    <w:rsid w:val="49F04BCB"/>
    <w:rsid w:val="49FD451C"/>
    <w:rsid w:val="4A037F21"/>
    <w:rsid w:val="4A0B01F8"/>
    <w:rsid w:val="4A0D21C2"/>
    <w:rsid w:val="4A152F65"/>
    <w:rsid w:val="4A1A3486"/>
    <w:rsid w:val="4A1E1CDA"/>
    <w:rsid w:val="4A2D016F"/>
    <w:rsid w:val="4A3E0914"/>
    <w:rsid w:val="4A3E237C"/>
    <w:rsid w:val="4A3F1207"/>
    <w:rsid w:val="4A4200BE"/>
    <w:rsid w:val="4A45195C"/>
    <w:rsid w:val="4A4A6F73"/>
    <w:rsid w:val="4A4D4DB2"/>
    <w:rsid w:val="4A5527FC"/>
    <w:rsid w:val="4A57472F"/>
    <w:rsid w:val="4A715E3D"/>
    <w:rsid w:val="4A8F3747"/>
    <w:rsid w:val="4A9A1CA8"/>
    <w:rsid w:val="4AB56AE2"/>
    <w:rsid w:val="4AB72982"/>
    <w:rsid w:val="4ABB1C1E"/>
    <w:rsid w:val="4ABE1C4B"/>
    <w:rsid w:val="4ADF76BB"/>
    <w:rsid w:val="4AE922E8"/>
    <w:rsid w:val="4AFA62A3"/>
    <w:rsid w:val="4B1B2082"/>
    <w:rsid w:val="4B336491"/>
    <w:rsid w:val="4B555BCF"/>
    <w:rsid w:val="4B5C6F5D"/>
    <w:rsid w:val="4B630CDF"/>
    <w:rsid w:val="4B635F8B"/>
    <w:rsid w:val="4B643369"/>
    <w:rsid w:val="4B65032C"/>
    <w:rsid w:val="4B6C4CC7"/>
    <w:rsid w:val="4B712A43"/>
    <w:rsid w:val="4B82202B"/>
    <w:rsid w:val="4B97620C"/>
    <w:rsid w:val="4BA13CA3"/>
    <w:rsid w:val="4BA60D92"/>
    <w:rsid w:val="4BB56E75"/>
    <w:rsid w:val="4BBE1692"/>
    <w:rsid w:val="4BBE3774"/>
    <w:rsid w:val="4BC114B6"/>
    <w:rsid w:val="4BCA0C2B"/>
    <w:rsid w:val="4BD5655B"/>
    <w:rsid w:val="4BD65A7B"/>
    <w:rsid w:val="4BE737DA"/>
    <w:rsid w:val="4BF43EA0"/>
    <w:rsid w:val="4BF74ED8"/>
    <w:rsid w:val="4BF929FE"/>
    <w:rsid w:val="4BFB49C8"/>
    <w:rsid w:val="4C0B49E3"/>
    <w:rsid w:val="4C180EC0"/>
    <w:rsid w:val="4C1930A0"/>
    <w:rsid w:val="4C4B6676"/>
    <w:rsid w:val="4C50175E"/>
    <w:rsid w:val="4C5916EF"/>
    <w:rsid w:val="4C696745"/>
    <w:rsid w:val="4C737423"/>
    <w:rsid w:val="4C792BE9"/>
    <w:rsid w:val="4C7B3413"/>
    <w:rsid w:val="4C875B06"/>
    <w:rsid w:val="4C87625C"/>
    <w:rsid w:val="4C987A51"/>
    <w:rsid w:val="4C993ABE"/>
    <w:rsid w:val="4CAA2DCE"/>
    <w:rsid w:val="4CAF130F"/>
    <w:rsid w:val="4CB13E3B"/>
    <w:rsid w:val="4CB30DFF"/>
    <w:rsid w:val="4CB96EE9"/>
    <w:rsid w:val="4CD66C96"/>
    <w:rsid w:val="4CDC4359"/>
    <w:rsid w:val="4CDC5A3B"/>
    <w:rsid w:val="4CDD40CE"/>
    <w:rsid w:val="4CDF0E5D"/>
    <w:rsid w:val="4CE376D5"/>
    <w:rsid w:val="4CE511D4"/>
    <w:rsid w:val="4CFA6A2E"/>
    <w:rsid w:val="4D0D3FCB"/>
    <w:rsid w:val="4D137AF0"/>
    <w:rsid w:val="4D265A75"/>
    <w:rsid w:val="4D2A5D2C"/>
    <w:rsid w:val="4D31476E"/>
    <w:rsid w:val="4D355CB8"/>
    <w:rsid w:val="4D3B1A90"/>
    <w:rsid w:val="4D4759EB"/>
    <w:rsid w:val="4D547564"/>
    <w:rsid w:val="4D61529C"/>
    <w:rsid w:val="4D693BB4"/>
    <w:rsid w:val="4D6C65CD"/>
    <w:rsid w:val="4D754306"/>
    <w:rsid w:val="4D7A191D"/>
    <w:rsid w:val="4D7F0CE1"/>
    <w:rsid w:val="4D8217BA"/>
    <w:rsid w:val="4D901140"/>
    <w:rsid w:val="4D9A1FBF"/>
    <w:rsid w:val="4D9C1BB4"/>
    <w:rsid w:val="4DA22C22"/>
    <w:rsid w:val="4DA43BF6"/>
    <w:rsid w:val="4DAA2DE6"/>
    <w:rsid w:val="4DB0533F"/>
    <w:rsid w:val="4DC65A69"/>
    <w:rsid w:val="4DD038DE"/>
    <w:rsid w:val="4DDE00FE"/>
    <w:rsid w:val="4DE374C2"/>
    <w:rsid w:val="4DEB281B"/>
    <w:rsid w:val="4DEF7E89"/>
    <w:rsid w:val="4DF4626D"/>
    <w:rsid w:val="4DF711BF"/>
    <w:rsid w:val="4DFC20A2"/>
    <w:rsid w:val="4DFF1B97"/>
    <w:rsid w:val="4E01203E"/>
    <w:rsid w:val="4E020B1B"/>
    <w:rsid w:val="4E043535"/>
    <w:rsid w:val="4E1230F9"/>
    <w:rsid w:val="4E1362FB"/>
    <w:rsid w:val="4E25360E"/>
    <w:rsid w:val="4E257ADB"/>
    <w:rsid w:val="4E2719FC"/>
    <w:rsid w:val="4E465CA3"/>
    <w:rsid w:val="4E4D7031"/>
    <w:rsid w:val="4E5E12F1"/>
    <w:rsid w:val="4E62045F"/>
    <w:rsid w:val="4E7740AE"/>
    <w:rsid w:val="4E783F31"/>
    <w:rsid w:val="4E881E17"/>
    <w:rsid w:val="4E946A0E"/>
    <w:rsid w:val="4EA529C9"/>
    <w:rsid w:val="4EAC689C"/>
    <w:rsid w:val="4EB25AA5"/>
    <w:rsid w:val="4EC92B5C"/>
    <w:rsid w:val="4ED35788"/>
    <w:rsid w:val="4ED67027"/>
    <w:rsid w:val="4EDD2691"/>
    <w:rsid w:val="4EE96D5A"/>
    <w:rsid w:val="4EEC05F8"/>
    <w:rsid w:val="4EF911E3"/>
    <w:rsid w:val="4EF94046"/>
    <w:rsid w:val="4F003827"/>
    <w:rsid w:val="4F0048E8"/>
    <w:rsid w:val="4F0A0EE8"/>
    <w:rsid w:val="4F0C760F"/>
    <w:rsid w:val="4F15188C"/>
    <w:rsid w:val="4F255836"/>
    <w:rsid w:val="4F29165C"/>
    <w:rsid w:val="4F3F24FD"/>
    <w:rsid w:val="4F3F4BCC"/>
    <w:rsid w:val="4F4F67C3"/>
    <w:rsid w:val="4F580453"/>
    <w:rsid w:val="4F5F526E"/>
    <w:rsid w:val="4F642884"/>
    <w:rsid w:val="4F647CAE"/>
    <w:rsid w:val="4F691C49"/>
    <w:rsid w:val="4F7F4759"/>
    <w:rsid w:val="4F8A3560"/>
    <w:rsid w:val="4F8A6E9D"/>
    <w:rsid w:val="4FA00EA1"/>
    <w:rsid w:val="4FA703F4"/>
    <w:rsid w:val="4FA7410F"/>
    <w:rsid w:val="4FAD422B"/>
    <w:rsid w:val="4FB10DBD"/>
    <w:rsid w:val="4FB1747E"/>
    <w:rsid w:val="4FB70C06"/>
    <w:rsid w:val="4FBE30A4"/>
    <w:rsid w:val="4FC43323"/>
    <w:rsid w:val="4FD02150"/>
    <w:rsid w:val="4FD2167A"/>
    <w:rsid w:val="4FD47514"/>
    <w:rsid w:val="4FDC31A9"/>
    <w:rsid w:val="4FE15CB0"/>
    <w:rsid w:val="4FE65959"/>
    <w:rsid w:val="4FF525AA"/>
    <w:rsid w:val="4FF63DCE"/>
    <w:rsid w:val="4FF82FCD"/>
    <w:rsid w:val="500A5543"/>
    <w:rsid w:val="501778F7"/>
    <w:rsid w:val="501D01A2"/>
    <w:rsid w:val="501D19C7"/>
    <w:rsid w:val="50372AA4"/>
    <w:rsid w:val="50372FFC"/>
    <w:rsid w:val="50381A05"/>
    <w:rsid w:val="503C55AF"/>
    <w:rsid w:val="503C735D"/>
    <w:rsid w:val="504305E6"/>
    <w:rsid w:val="50445DD7"/>
    <w:rsid w:val="504A0BE3"/>
    <w:rsid w:val="504C6018"/>
    <w:rsid w:val="50500C93"/>
    <w:rsid w:val="506E1264"/>
    <w:rsid w:val="507B5903"/>
    <w:rsid w:val="50860A79"/>
    <w:rsid w:val="508B7406"/>
    <w:rsid w:val="509F73B0"/>
    <w:rsid w:val="50A0029B"/>
    <w:rsid w:val="50A43A3C"/>
    <w:rsid w:val="50AA076B"/>
    <w:rsid w:val="50B11AF9"/>
    <w:rsid w:val="50B26A6B"/>
    <w:rsid w:val="50C01D3C"/>
    <w:rsid w:val="50C20F4E"/>
    <w:rsid w:val="50CA4969"/>
    <w:rsid w:val="50CD4459"/>
    <w:rsid w:val="50D40C4B"/>
    <w:rsid w:val="50DA38D6"/>
    <w:rsid w:val="50DB6B76"/>
    <w:rsid w:val="50E46F54"/>
    <w:rsid w:val="50EC0D83"/>
    <w:rsid w:val="510F5BEA"/>
    <w:rsid w:val="51170A8E"/>
    <w:rsid w:val="512247A5"/>
    <w:rsid w:val="512F07EA"/>
    <w:rsid w:val="513B13C3"/>
    <w:rsid w:val="5144267E"/>
    <w:rsid w:val="514D07CA"/>
    <w:rsid w:val="514F30C0"/>
    <w:rsid w:val="515B1A65"/>
    <w:rsid w:val="515D57DD"/>
    <w:rsid w:val="51604849"/>
    <w:rsid w:val="516632CA"/>
    <w:rsid w:val="51747844"/>
    <w:rsid w:val="51777F08"/>
    <w:rsid w:val="51797862"/>
    <w:rsid w:val="51912DDA"/>
    <w:rsid w:val="519B7908"/>
    <w:rsid w:val="51AB47E1"/>
    <w:rsid w:val="51AD4828"/>
    <w:rsid w:val="51B047FE"/>
    <w:rsid w:val="51B204B9"/>
    <w:rsid w:val="51B56296"/>
    <w:rsid w:val="51C72834"/>
    <w:rsid w:val="51E16066"/>
    <w:rsid w:val="51E74EF3"/>
    <w:rsid w:val="520914C1"/>
    <w:rsid w:val="520C2961"/>
    <w:rsid w:val="521560B8"/>
    <w:rsid w:val="522F500B"/>
    <w:rsid w:val="52322221"/>
    <w:rsid w:val="523522B6"/>
    <w:rsid w:val="523852D6"/>
    <w:rsid w:val="523C1897"/>
    <w:rsid w:val="523E768F"/>
    <w:rsid w:val="52410C5B"/>
    <w:rsid w:val="5242577E"/>
    <w:rsid w:val="52530988"/>
    <w:rsid w:val="525668F2"/>
    <w:rsid w:val="525941F7"/>
    <w:rsid w:val="52595FA5"/>
    <w:rsid w:val="525F10E1"/>
    <w:rsid w:val="52631C79"/>
    <w:rsid w:val="52662470"/>
    <w:rsid w:val="526D1A50"/>
    <w:rsid w:val="527076ED"/>
    <w:rsid w:val="5278251C"/>
    <w:rsid w:val="52783884"/>
    <w:rsid w:val="52972F71"/>
    <w:rsid w:val="529D66D8"/>
    <w:rsid w:val="52A16EC8"/>
    <w:rsid w:val="52A5407B"/>
    <w:rsid w:val="52A80CDA"/>
    <w:rsid w:val="52AC28BC"/>
    <w:rsid w:val="52AF02BB"/>
    <w:rsid w:val="52B05067"/>
    <w:rsid w:val="52B97E01"/>
    <w:rsid w:val="52C52E7D"/>
    <w:rsid w:val="52CA29FF"/>
    <w:rsid w:val="52CC01AE"/>
    <w:rsid w:val="52CC23E6"/>
    <w:rsid w:val="52D05C12"/>
    <w:rsid w:val="52D7787C"/>
    <w:rsid w:val="52E07238"/>
    <w:rsid w:val="52E2243E"/>
    <w:rsid w:val="52EA11D5"/>
    <w:rsid w:val="52EF49AD"/>
    <w:rsid w:val="53035F10"/>
    <w:rsid w:val="530D4FE1"/>
    <w:rsid w:val="5329120F"/>
    <w:rsid w:val="5337070E"/>
    <w:rsid w:val="5337092C"/>
    <w:rsid w:val="533B56AA"/>
    <w:rsid w:val="53456529"/>
    <w:rsid w:val="534E1882"/>
    <w:rsid w:val="53640E6B"/>
    <w:rsid w:val="536F68C7"/>
    <w:rsid w:val="537C1F2B"/>
    <w:rsid w:val="5382736B"/>
    <w:rsid w:val="538C4158"/>
    <w:rsid w:val="539D6771"/>
    <w:rsid w:val="539E491F"/>
    <w:rsid w:val="53B24EEA"/>
    <w:rsid w:val="53B37937"/>
    <w:rsid w:val="53B84F4D"/>
    <w:rsid w:val="53B97E84"/>
    <w:rsid w:val="53BF4F14"/>
    <w:rsid w:val="53C72845"/>
    <w:rsid w:val="53CA6414"/>
    <w:rsid w:val="53CC1436"/>
    <w:rsid w:val="53CD661E"/>
    <w:rsid w:val="53CF1DAE"/>
    <w:rsid w:val="53D00E36"/>
    <w:rsid w:val="53D31D47"/>
    <w:rsid w:val="53DD499C"/>
    <w:rsid w:val="53EF09CA"/>
    <w:rsid w:val="53F014B1"/>
    <w:rsid w:val="5408182A"/>
    <w:rsid w:val="5411488E"/>
    <w:rsid w:val="54125F57"/>
    <w:rsid w:val="54187343"/>
    <w:rsid w:val="541C31AF"/>
    <w:rsid w:val="541D74A6"/>
    <w:rsid w:val="5420466B"/>
    <w:rsid w:val="54261A12"/>
    <w:rsid w:val="54317177"/>
    <w:rsid w:val="5433414C"/>
    <w:rsid w:val="54413194"/>
    <w:rsid w:val="54422A68"/>
    <w:rsid w:val="54465F20"/>
    <w:rsid w:val="54520EFE"/>
    <w:rsid w:val="545D4199"/>
    <w:rsid w:val="545F186C"/>
    <w:rsid w:val="546E1AAF"/>
    <w:rsid w:val="54752E3E"/>
    <w:rsid w:val="547F1F0F"/>
    <w:rsid w:val="54831B18"/>
    <w:rsid w:val="548B08B3"/>
    <w:rsid w:val="548F5C4F"/>
    <w:rsid w:val="549335EC"/>
    <w:rsid w:val="54936AF0"/>
    <w:rsid w:val="549502FD"/>
    <w:rsid w:val="549E05E7"/>
    <w:rsid w:val="54AB09A6"/>
    <w:rsid w:val="54AF20D4"/>
    <w:rsid w:val="54B72A99"/>
    <w:rsid w:val="54B971CF"/>
    <w:rsid w:val="54BC49A0"/>
    <w:rsid w:val="54CC7AC8"/>
    <w:rsid w:val="54CE7E18"/>
    <w:rsid w:val="54D97871"/>
    <w:rsid w:val="54E81862"/>
    <w:rsid w:val="54FE4EC4"/>
    <w:rsid w:val="55022976"/>
    <w:rsid w:val="551A2201"/>
    <w:rsid w:val="551C096F"/>
    <w:rsid w:val="55202DAA"/>
    <w:rsid w:val="55240097"/>
    <w:rsid w:val="552A0691"/>
    <w:rsid w:val="552C3D46"/>
    <w:rsid w:val="552F123F"/>
    <w:rsid w:val="554D13EE"/>
    <w:rsid w:val="55797798"/>
    <w:rsid w:val="55854A5F"/>
    <w:rsid w:val="559341A6"/>
    <w:rsid w:val="5594298A"/>
    <w:rsid w:val="55A0213D"/>
    <w:rsid w:val="55B17EA6"/>
    <w:rsid w:val="55B33C1E"/>
    <w:rsid w:val="55C57ADE"/>
    <w:rsid w:val="55CE22F2"/>
    <w:rsid w:val="55D63DB0"/>
    <w:rsid w:val="55F936EF"/>
    <w:rsid w:val="55FA0B36"/>
    <w:rsid w:val="55FC3817"/>
    <w:rsid w:val="56066443"/>
    <w:rsid w:val="56160365"/>
    <w:rsid w:val="561717F3"/>
    <w:rsid w:val="561E54E3"/>
    <w:rsid w:val="561F5757"/>
    <w:rsid w:val="56220DA3"/>
    <w:rsid w:val="562D5D29"/>
    <w:rsid w:val="564E3947"/>
    <w:rsid w:val="56503B63"/>
    <w:rsid w:val="56552F27"/>
    <w:rsid w:val="566539D0"/>
    <w:rsid w:val="56665134"/>
    <w:rsid w:val="566D0271"/>
    <w:rsid w:val="566E4C9F"/>
    <w:rsid w:val="566E6821"/>
    <w:rsid w:val="567A298E"/>
    <w:rsid w:val="567F1D52"/>
    <w:rsid w:val="5697353F"/>
    <w:rsid w:val="569F32F8"/>
    <w:rsid w:val="56A8416C"/>
    <w:rsid w:val="56B51C18"/>
    <w:rsid w:val="56D274B5"/>
    <w:rsid w:val="56D77002"/>
    <w:rsid w:val="56DD5432"/>
    <w:rsid w:val="56DD747D"/>
    <w:rsid w:val="56EA5375"/>
    <w:rsid w:val="56EB5639"/>
    <w:rsid w:val="56EE039D"/>
    <w:rsid w:val="56F664B8"/>
    <w:rsid w:val="56F96728"/>
    <w:rsid w:val="56FA762A"/>
    <w:rsid w:val="571B7CCD"/>
    <w:rsid w:val="571F273F"/>
    <w:rsid w:val="57284198"/>
    <w:rsid w:val="572F7A73"/>
    <w:rsid w:val="57380D29"/>
    <w:rsid w:val="5751212C"/>
    <w:rsid w:val="575256B8"/>
    <w:rsid w:val="575B5634"/>
    <w:rsid w:val="575D7EC0"/>
    <w:rsid w:val="576138FC"/>
    <w:rsid w:val="576A00F7"/>
    <w:rsid w:val="577B69BD"/>
    <w:rsid w:val="577E200A"/>
    <w:rsid w:val="578736CD"/>
    <w:rsid w:val="578739BB"/>
    <w:rsid w:val="57893C0F"/>
    <w:rsid w:val="579601A7"/>
    <w:rsid w:val="5798256F"/>
    <w:rsid w:val="579840C7"/>
    <w:rsid w:val="57990C53"/>
    <w:rsid w:val="579B6A3A"/>
    <w:rsid w:val="57AA72A2"/>
    <w:rsid w:val="57AF2B0B"/>
    <w:rsid w:val="57C2221D"/>
    <w:rsid w:val="57C42129"/>
    <w:rsid w:val="57C9597B"/>
    <w:rsid w:val="57DC1CDA"/>
    <w:rsid w:val="57E1536E"/>
    <w:rsid w:val="57F23C5C"/>
    <w:rsid w:val="57F549C2"/>
    <w:rsid w:val="57F937DC"/>
    <w:rsid w:val="57FD673B"/>
    <w:rsid w:val="581224A2"/>
    <w:rsid w:val="5818245E"/>
    <w:rsid w:val="581D1822"/>
    <w:rsid w:val="58360B36"/>
    <w:rsid w:val="583A7FA8"/>
    <w:rsid w:val="583B7EFB"/>
    <w:rsid w:val="58440A79"/>
    <w:rsid w:val="584A6390"/>
    <w:rsid w:val="58544955"/>
    <w:rsid w:val="58566AE7"/>
    <w:rsid w:val="585962B5"/>
    <w:rsid w:val="585F5B75"/>
    <w:rsid w:val="587126D4"/>
    <w:rsid w:val="587A4269"/>
    <w:rsid w:val="587A6C75"/>
    <w:rsid w:val="5889510A"/>
    <w:rsid w:val="589715D5"/>
    <w:rsid w:val="589A5A5F"/>
    <w:rsid w:val="58A106A5"/>
    <w:rsid w:val="58A43CF2"/>
    <w:rsid w:val="58B101BD"/>
    <w:rsid w:val="58B2640F"/>
    <w:rsid w:val="58B77EC9"/>
    <w:rsid w:val="58B94375"/>
    <w:rsid w:val="58BA4A70"/>
    <w:rsid w:val="58D81BED"/>
    <w:rsid w:val="58DF11CE"/>
    <w:rsid w:val="58F537AF"/>
    <w:rsid w:val="5902444F"/>
    <w:rsid w:val="59043A09"/>
    <w:rsid w:val="59091DA7"/>
    <w:rsid w:val="590B3D71"/>
    <w:rsid w:val="591075D9"/>
    <w:rsid w:val="59117AC6"/>
    <w:rsid w:val="591B5CBF"/>
    <w:rsid w:val="5927514C"/>
    <w:rsid w:val="593A4151"/>
    <w:rsid w:val="594050EB"/>
    <w:rsid w:val="594F610B"/>
    <w:rsid w:val="59600EE5"/>
    <w:rsid w:val="59634BDC"/>
    <w:rsid w:val="596516D3"/>
    <w:rsid w:val="596D67DA"/>
    <w:rsid w:val="59766ED3"/>
    <w:rsid w:val="597A4916"/>
    <w:rsid w:val="598A15DC"/>
    <w:rsid w:val="59941B20"/>
    <w:rsid w:val="599A4004"/>
    <w:rsid w:val="599B086D"/>
    <w:rsid w:val="59A10DD3"/>
    <w:rsid w:val="59AA358A"/>
    <w:rsid w:val="59B927ED"/>
    <w:rsid w:val="59BF5C8E"/>
    <w:rsid w:val="59C02DAD"/>
    <w:rsid w:val="59C31511"/>
    <w:rsid w:val="59D625D1"/>
    <w:rsid w:val="59D97EC2"/>
    <w:rsid w:val="59E27409"/>
    <w:rsid w:val="59E52BA1"/>
    <w:rsid w:val="59ED36DC"/>
    <w:rsid w:val="59FB3DE5"/>
    <w:rsid w:val="59FB5539"/>
    <w:rsid w:val="59FB5B93"/>
    <w:rsid w:val="59FC781F"/>
    <w:rsid w:val="5A0724B1"/>
    <w:rsid w:val="5A0C1B4F"/>
    <w:rsid w:val="5A0E1D6B"/>
    <w:rsid w:val="5A0F163F"/>
    <w:rsid w:val="5A1F5D24"/>
    <w:rsid w:val="5A296BA4"/>
    <w:rsid w:val="5A33532D"/>
    <w:rsid w:val="5A3526A3"/>
    <w:rsid w:val="5A4E41C1"/>
    <w:rsid w:val="5A6210CC"/>
    <w:rsid w:val="5A654D08"/>
    <w:rsid w:val="5A7348C9"/>
    <w:rsid w:val="5A7521D8"/>
    <w:rsid w:val="5A7C4F26"/>
    <w:rsid w:val="5A7E7218"/>
    <w:rsid w:val="5A7F4506"/>
    <w:rsid w:val="5A936069"/>
    <w:rsid w:val="5A9725BE"/>
    <w:rsid w:val="5A987886"/>
    <w:rsid w:val="5AAE0E58"/>
    <w:rsid w:val="5AC76508"/>
    <w:rsid w:val="5AD45AFB"/>
    <w:rsid w:val="5AD61113"/>
    <w:rsid w:val="5AEE56F8"/>
    <w:rsid w:val="5AF15538"/>
    <w:rsid w:val="5AFC1624"/>
    <w:rsid w:val="5B095493"/>
    <w:rsid w:val="5B115BA8"/>
    <w:rsid w:val="5B1C2265"/>
    <w:rsid w:val="5B235AE9"/>
    <w:rsid w:val="5B246A53"/>
    <w:rsid w:val="5B2F1F99"/>
    <w:rsid w:val="5B33382B"/>
    <w:rsid w:val="5B3405CD"/>
    <w:rsid w:val="5B413A7A"/>
    <w:rsid w:val="5B416E74"/>
    <w:rsid w:val="5B437EA2"/>
    <w:rsid w:val="5B460DF6"/>
    <w:rsid w:val="5B487B58"/>
    <w:rsid w:val="5B534ED1"/>
    <w:rsid w:val="5B57329D"/>
    <w:rsid w:val="5B6065F6"/>
    <w:rsid w:val="5B70435F"/>
    <w:rsid w:val="5B745D8C"/>
    <w:rsid w:val="5B750108"/>
    <w:rsid w:val="5B7E4CCE"/>
    <w:rsid w:val="5B8859A0"/>
    <w:rsid w:val="5B886BD0"/>
    <w:rsid w:val="5B8E2674"/>
    <w:rsid w:val="5B8F6E7C"/>
    <w:rsid w:val="5B9932D2"/>
    <w:rsid w:val="5B9F7743"/>
    <w:rsid w:val="5BA858A7"/>
    <w:rsid w:val="5BB37628"/>
    <w:rsid w:val="5BB522B5"/>
    <w:rsid w:val="5BBA4618"/>
    <w:rsid w:val="5BC9548B"/>
    <w:rsid w:val="5BCB0D3D"/>
    <w:rsid w:val="5BDD7C46"/>
    <w:rsid w:val="5BF84DDB"/>
    <w:rsid w:val="5BFE7BBD"/>
    <w:rsid w:val="5C005A2D"/>
    <w:rsid w:val="5C036F81"/>
    <w:rsid w:val="5C111338"/>
    <w:rsid w:val="5C2C78B7"/>
    <w:rsid w:val="5C3D5142"/>
    <w:rsid w:val="5C4A4BB0"/>
    <w:rsid w:val="5C58107B"/>
    <w:rsid w:val="5C6043D4"/>
    <w:rsid w:val="5C6519EA"/>
    <w:rsid w:val="5C691941"/>
    <w:rsid w:val="5C763BF7"/>
    <w:rsid w:val="5C7919DF"/>
    <w:rsid w:val="5C7A5495"/>
    <w:rsid w:val="5C8C51C9"/>
    <w:rsid w:val="5C9A5B38"/>
    <w:rsid w:val="5C9F314E"/>
    <w:rsid w:val="5CA22C3E"/>
    <w:rsid w:val="5CAC13C7"/>
    <w:rsid w:val="5CB35D47"/>
    <w:rsid w:val="5CB50EF3"/>
    <w:rsid w:val="5CC85C68"/>
    <w:rsid w:val="5CD10384"/>
    <w:rsid w:val="5CD1707F"/>
    <w:rsid w:val="5CDD3C76"/>
    <w:rsid w:val="5CEC3A93"/>
    <w:rsid w:val="5CEF405D"/>
    <w:rsid w:val="5CF52D6E"/>
    <w:rsid w:val="5CFE5040"/>
    <w:rsid w:val="5D0134C1"/>
    <w:rsid w:val="5D0E2082"/>
    <w:rsid w:val="5D1341B2"/>
    <w:rsid w:val="5D154AF0"/>
    <w:rsid w:val="5D243653"/>
    <w:rsid w:val="5D251093"/>
    <w:rsid w:val="5D275A93"/>
    <w:rsid w:val="5D287B54"/>
    <w:rsid w:val="5D3047D1"/>
    <w:rsid w:val="5D3933E5"/>
    <w:rsid w:val="5D483FF4"/>
    <w:rsid w:val="5D494018"/>
    <w:rsid w:val="5D4B5084"/>
    <w:rsid w:val="5D5A0E23"/>
    <w:rsid w:val="5D6B14A2"/>
    <w:rsid w:val="5D722610"/>
    <w:rsid w:val="5D7C705D"/>
    <w:rsid w:val="5D816F8F"/>
    <w:rsid w:val="5D83037A"/>
    <w:rsid w:val="5D942587"/>
    <w:rsid w:val="5D983984"/>
    <w:rsid w:val="5D9B0E6A"/>
    <w:rsid w:val="5D9E1AED"/>
    <w:rsid w:val="5D9E4E16"/>
    <w:rsid w:val="5DA87DE0"/>
    <w:rsid w:val="5DAF46CB"/>
    <w:rsid w:val="5DBA0135"/>
    <w:rsid w:val="5DCA244C"/>
    <w:rsid w:val="5DCD5DE5"/>
    <w:rsid w:val="5DCF7A63"/>
    <w:rsid w:val="5DD437EF"/>
    <w:rsid w:val="5DD5494D"/>
    <w:rsid w:val="5DE057CC"/>
    <w:rsid w:val="5DF16302"/>
    <w:rsid w:val="5DFE20F6"/>
    <w:rsid w:val="5DFF4B46"/>
    <w:rsid w:val="5E3B0A10"/>
    <w:rsid w:val="5E424B71"/>
    <w:rsid w:val="5E693A13"/>
    <w:rsid w:val="5E7128C8"/>
    <w:rsid w:val="5E881A80"/>
    <w:rsid w:val="5E9200BF"/>
    <w:rsid w:val="5EB51AB3"/>
    <w:rsid w:val="5EC33621"/>
    <w:rsid w:val="5ECA3D86"/>
    <w:rsid w:val="5ECE3876"/>
    <w:rsid w:val="5ECE5E6C"/>
    <w:rsid w:val="5EDE5813"/>
    <w:rsid w:val="5EE17A4E"/>
    <w:rsid w:val="5EE427C3"/>
    <w:rsid w:val="5EEF53E5"/>
    <w:rsid w:val="5EF31C67"/>
    <w:rsid w:val="5EF4004E"/>
    <w:rsid w:val="5EFA106E"/>
    <w:rsid w:val="5EFF06CD"/>
    <w:rsid w:val="5F010576"/>
    <w:rsid w:val="5F0251FA"/>
    <w:rsid w:val="5F047298"/>
    <w:rsid w:val="5F0E45BB"/>
    <w:rsid w:val="5F0E693E"/>
    <w:rsid w:val="5F13572D"/>
    <w:rsid w:val="5F1A3805"/>
    <w:rsid w:val="5F1F747E"/>
    <w:rsid w:val="5F2416E8"/>
    <w:rsid w:val="5F2E6A0B"/>
    <w:rsid w:val="5F335DCF"/>
    <w:rsid w:val="5F385194"/>
    <w:rsid w:val="5F4475AE"/>
    <w:rsid w:val="5F4A6799"/>
    <w:rsid w:val="5F546472"/>
    <w:rsid w:val="5F5875E4"/>
    <w:rsid w:val="5F6C2424"/>
    <w:rsid w:val="5F6E0BB6"/>
    <w:rsid w:val="5F6E718C"/>
    <w:rsid w:val="5F70492E"/>
    <w:rsid w:val="5F881C77"/>
    <w:rsid w:val="5F904FD0"/>
    <w:rsid w:val="5F920D48"/>
    <w:rsid w:val="5F946A7C"/>
    <w:rsid w:val="5F964E5F"/>
    <w:rsid w:val="5FA171DD"/>
    <w:rsid w:val="5FA97E40"/>
    <w:rsid w:val="5FAD5B82"/>
    <w:rsid w:val="5FAF1A92"/>
    <w:rsid w:val="5FB44B37"/>
    <w:rsid w:val="5FB57A0D"/>
    <w:rsid w:val="5FBA79B0"/>
    <w:rsid w:val="5FC01EE5"/>
    <w:rsid w:val="5FC61813"/>
    <w:rsid w:val="5FD27396"/>
    <w:rsid w:val="5FD57CF6"/>
    <w:rsid w:val="5FE1582B"/>
    <w:rsid w:val="5FF50EAD"/>
    <w:rsid w:val="5FFE03A3"/>
    <w:rsid w:val="600676E3"/>
    <w:rsid w:val="601C5687"/>
    <w:rsid w:val="602219B8"/>
    <w:rsid w:val="602776E2"/>
    <w:rsid w:val="602B7B91"/>
    <w:rsid w:val="602F6597"/>
    <w:rsid w:val="60391C4C"/>
    <w:rsid w:val="6039337D"/>
    <w:rsid w:val="603B021E"/>
    <w:rsid w:val="604069F6"/>
    <w:rsid w:val="604C7149"/>
    <w:rsid w:val="604D2EC1"/>
    <w:rsid w:val="60524986"/>
    <w:rsid w:val="60584683"/>
    <w:rsid w:val="606A3A73"/>
    <w:rsid w:val="606D5311"/>
    <w:rsid w:val="606E3563"/>
    <w:rsid w:val="606F768E"/>
    <w:rsid w:val="6070328D"/>
    <w:rsid w:val="6071095D"/>
    <w:rsid w:val="6078526D"/>
    <w:rsid w:val="608D00E3"/>
    <w:rsid w:val="60957760"/>
    <w:rsid w:val="60992490"/>
    <w:rsid w:val="60A1419A"/>
    <w:rsid w:val="60A2320D"/>
    <w:rsid w:val="60A43A47"/>
    <w:rsid w:val="60A96349"/>
    <w:rsid w:val="60C33C2B"/>
    <w:rsid w:val="60E5134B"/>
    <w:rsid w:val="60E97ACC"/>
    <w:rsid w:val="60F168D4"/>
    <w:rsid w:val="61016185"/>
    <w:rsid w:val="61045C75"/>
    <w:rsid w:val="61120392"/>
    <w:rsid w:val="61160E7E"/>
    <w:rsid w:val="61273712"/>
    <w:rsid w:val="61311E12"/>
    <w:rsid w:val="61637659"/>
    <w:rsid w:val="617C570B"/>
    <w:rsid w:val="61811074"/>
    <w:rsid w:val="61853804"/>
    <w:rsid w:val="618C0568"/>
    <w:rsid w:val="619B53CA"/>
    <w:rsid w:val="61A56DFA"/>
    <w:rsid w:val="61B41449"/>
    <w:rsid w:val="61BB4BC5"/>
    <w:rsid w:val="61C13B66"/>
    <w:rsid w:val="61D03DA9"/>
    <w:rsid w:val="61D373F6"/>
    <w:rsid w:val="61E77B08"/>
    <w:rsid w:val="61EB5F1D"/>
    <w:rsid w:val="61EF4230"/>
    <w:rsid w:val="621355E2"/>
    <w:rsid w:val="621B5631"/>
    <w:rsid w:val="623460E6"/>
    <w:rsid w:val="624502F4"/>
    <w:rsid w:val="624C125B"/>
    <w:rsid w:val="624C3573"/>
    <w:rsid w:val="62606EDB"/>
    <w:rsid w:val="6266050E"/>
    <w:rsid w:val="626D1DCC"/>
    <w:rsid w:val="626D5F91"/>
    <w:rsid w:val="62787EEC"/>
    <w:rsid w:val="627E7D9D"/>
    <w:rsid w:val="628407FE"/>
    <w:rsid w:val="62880405"/>
    <w:rsid w:val="629073C4"/>
    <w:rsid w:val="62946B85"/>
    <w:rsid w:val="62996318"/>
    <w:rsid w:val="62AA6D2C"/>
    <w:rsid w:val="62B0179B"/>
    <w:rsid w:val="62BB2364"/>
    <w:rsid w:val="62C27B96"/>
    <w:rsid w:val="62C54F90"/>
    <w:rsid w:val="62C90F25"/>
    <w:rsid w:val="62CC094F"/>
    <w:rsid w:val="62F12CA6"/>
    <w:rsid w:val="62FB45CD"/>
    <w:rsid w:val="630024DF"/>
    <w:rsid w:val="630334E9"/>
    <w:rsid w:val="630C7063"/>
    <w:rsid w:val="631B72A6"/>
    <w:rsid w:val="63242B23"/>
    <w:rsid w:val="632F68AE"/>
    <w:rsid w:val="63406BFB"/>
    <w:rsid w:val="63511C8D"/>
    <w:rsid w:val="63554566"/>
    <w:rsid w:val="635C73A1"/>
    <w:rsid w:val="63641914"/>
    <w:rsid w:val="63743838"/>
    <w:rsid w:val="637455EF"/>
    <w:rsid w:val="637509AF"/>
    <w:rsid w:val="63862972"/>
    <w:rsid w:val="63A23228"/>
    <w:rsid w:val="63A70B3A"/>
    <w:rsid w:val="63AB5D44"/>
    <w:rsid w:val="63AC528F"/>
    <w:rsid w:val="63B04CF8"/>
    <w:rsid w:val="63BA7188"/>
    <w:rsid w:val="63BF796E"/>
    <w:rsid w:val="63C8241B"/>
    <w:rsid w:val="63D47B81"/>
    <w:rsid w:val="63D731CD"/>
    <w:rsid w:val="63DF02D4"/>
    <w:rsid w:val="63DF59C2"/>
    <w:rsid w:val="63E31B72"/>
    <w:rsid w:val="63E6136F"/>
    <w:rsid w:val="63EA625B"/>
    <w:rsid w:val="63EF5D9F"/>
    <w:rsid w:val="63FC6F31"/>
    <w:rsid w:val="641066DF"/>
    <w:rsid w:val="641C32D6"/>
    <w:rsid w:val="642A59F3"/>
    <w:rsid w:val="642E4F72"/>
    <w:rsid w:val="64373C6C"/>
    <w:rsid w:val="64405FB0"/>
    <w:rsid w:val="64487C27"/>
    <w:rsid w:val="64497199"/>
    <w:rsid w:val="646469D4"/>
    <w:rsid w:val="646F1658"/>
    <w:rsid w:val="6477675E"/>
    <w:rsid w:val="647A419D"/>
    <w:rsid w:val="64846083"/>
    <w:rsid w:val="64851089"/>
    <w:rsid w:val="648C0E64"/>
    <w:rsid w:val="648D1ADE"/>
    <w:rsid w:val="648F1CFA"/>
    <w:rsid w:val="64983CC9"/>
    <w:rsid w:val="64A71486"/>
    <w:rsid w:val="64A77044"/>
    <w:rsid w:val="64B109D5"/>
    <w:rsid w:val="64C5396E"/>
    <w:rsid w:val="64C9520C"/>
    <w:rsid w:val="64CB617B"/>
    <w:rsid w:val="64E060B2"/>
    <w:rsid w:val="64E43E7F"/>
    <w:rsid w:val="64FE5C71"/>
    <w:rsid w:val="65007BC5"/>
    <w:rsid w:val="65107E36"/>
    <w:rsid w:val="654A79CF"/>
    <w:rsid w:val="654E476E"/>
    <w:rsid w:val="65631B13"/>
    <w:rsid w:val="657B11CD"/>
    <w:rsid w:val="658A6BCD"/>
    <w:rsid w:val="65926965"/>
    <w:rsid w:val="65972885"/>
    <w:rsid w:val="659A6BA8"/>
    <w:rsid w:val="659D0782"/>
    <w:rsid w:val="659D7C90"/>
    <w:rsid w:val="65A17F37"/>
    <w:rsid w:val="65B07F96"/>
    <w:rsid w:val="65D04378"/>
    <w:rsid w:val="65D04EEB"/>
    <w:rsid w:val="65D424B9"/>
    <w:rsid w:val="65D75707"/>
    <w:rsid w:val="65DB6E4D"/>
    <w:rsid w:val="65DC4ACB"/>
    <w:rsid w:val="65E63B9C"/>
    <w:rsid w:val="65EB2F60"/>
    <w:rsid w:val="65F30067"/>
    <w:rsid w:val="66001BA4"/>
    <w:rsid w:val="66025947"/>
    <w:rsid w:val="660D1128"/>
    <w:rsid w:val="66214BD4"/>
    <w:rsid w:val="662303C6"/>
    <w:rsid w:val="662C6373"/>
    <w:rsid w:val="66303069"/>
    <w:rsid w:val="66344907"/>
    <w:rsid w:val="663C583B"/>
    <w:rsid w:val="663C7469"/>
    <w:rsid w:val="66486604"/>
    <w:rsid w:val="664D3C1B"/>
    <w:rsid w:val="66634077"/>
    <w:rsid w:val="66690859"/>
    <w:rsid w:val="666D1D58"/>
    <w:rsid w:val="667747F4"/>
    <w:rsid w:val="66A71014"/>
    <w:rsid w:val="66B8269C"/>
    <w:rsid w:val="66B912B0"/>
    <w:rsid w:val="66CC2D91"/>
    <w:rsid w:val="66D93700"/>
    <w:rsid w:val="66DA6749"/>
    <w:rsid w:val="66F57243"/>
    <w:rsid w:val="66F66060"/>
    <w:rsid w:val="66FD119D"/>
    <w:rsid w:val="66FE3167"/>
    <w:rsid w:val="670047E9"/>
    <w:rsid w:val="670E33AA"/>
    <w:rsid w:val="671D46C8"/>
    <w:rsid w:val="671E7365"/>
    <w:rsid w:val="671F22A3"/>
    <w:rsid w:val="67291A35"/>
    <w:rsid w:val="67346B89"/>
    <w:rsid w:val="673669FF"/>
    <w:rsid w:val="67393CB7"/>
    <w:rsid w:val="6739419F"/>
    <w:rsid w:val="673C6439"/>
    <w:rsid w:val="67406A12"/>
    <w:rsid w:val="67423054"/>
    <w:rsid w:val="676A0B2B"/>
    <w:rsid w:val="676C3006"/>
    <w:rsid w:val="67746F85"/>
    <w:rsid w:val="67827A7F"/>
    <w:rsid w:val="678E3B31"/>
    <w:rsid w:val="67A00EC8"/>
    <w:rsid w:val="67A667D3"/>
    <w:rsid w:val="67A74C82"/>
    <w:rsid w:val="67A95111"/>
    <w:rsid w:val="67AE2497"/>
    <w:rsid w:val="67B845F6"/>
    <w:rsid w:val="67B90E87"/>
    <w:rsid w:val="67C365BF"/>
    <w:rsid w:val="67C41CBB"/>
    <w:rsid w:val="67CE2B39"/>
    <w:rsid w:val="67D068B1"/>
    <w:rsid w:val="67D8341E"/>
    <w:rsid w:val="67E46FF5"/>
    <w:rsid w:val="67ED6C16"/>
    <w:rsid w:val="67F0485E"/>
    <w:rsid w:val="680A6C82"/>
    <w:rsid w:val="680F0305"/>
    <w:rsid w:val="6824034C"/>
    <w:rsid w:val="682B1D3A"/>
    <w:rsid w:val="683706DE"/>
    <w:rsid w:val="683D39DA"/>
    <w:rsid w:val="683E3347"/>
    <w:rsid w:val="685E57CE"/>
    <w:rsid w:val="685F4AA0"/>
    <w:rsid w:val="68623D3F"/>
    <w:rsid w:val="68690D12"/>
    <w:rsid w:val="686C7E0A"/>
    <w:rsid w:val="687423EC"/>
    <w:rsid w:val="68757042"/>
    <w:rsid w:val="687D6111"/>
    <w:rsid w:val="6886166B"/>
    <w:rsid w:val="688B0A2A"/>
    <w:rsid w:val="688C683F"/>
    <w:rsid w:val="68954A3C"/>
    <w:rsid w:val="689B0DF8"/>
    <w:rsid w:val="689C2C37"/>
    <w:rsid w:val="689E21E1"/>
    <w:rsid w:val="68B5096E"/>
    <w:rsid w:val="68BC6E36"/>
    <w:rsid w:val="68CA16AC"/>
    <w:rsid w:val="68CC10BC"/>
    <w:rsid w:val="68E1689C"/>
    <w:rsid w:val="68EB3277"/>
    <w:rsid w:val="68F11DA4"/>
    <w:rsid w:val="68F44B09"/>
    <w:rsid w:val="68FA1B9A"/>
    <w:rsid w:val="690A194F"/>
    <w:rsid w:val="690F51B7"/>
    <w:rsid w:val="69140A20"/>
    <w:rsid w:val="691555DA"/>
    <w:rsid w:val="6922138F"/>
    <w:rsid w:val="694A5AE0"/>
    <w:rsid w:val="694E046E"/>
    <w:rsid w:val="695F613F"/>
    <w:rsid w:val="69652D27"/>
    <w:rsid w:val="696C085C"/>
    <w:rsid w:val="696F21D5"/>
    <w:rsid w:val="696F6B93"/>
    <w:rsid w:val="697274F4"/>
    <w:rsid w:val="69827F32"/>
    <w:rsid w:val="698414AB"/>
    <w:rsid w:val="698E5CD2"/>
    <w:rsid w:val="69951B60"/>
    <w:rsid w:val="69952A0C"/>
    <w:rsid w:val="699A1218"/>
    <w:rsid w:val="699B4BDB"/>
    <w:rsid w:val="69A2602B"/>
    <w:rsid w:val="69A51678"/>
    <w:rsid w:val="69AB6F5A"/>
    <w:rsid w:val="69BB329B"/>
    <w:rsid w:val="69BD4C61"/>
    <w:rsid w:val="69C229DF"/>
    <w:rsid w:val="69C75A92"/>
    <w:rsid w:val="69CE6E20"/>
    <w:rsid w:val="69D1246D"/>
    <w:rsid w:val="69E403F2"/>
    <w:rsid w:val="69E629F3"/>
    <w:rsid w:val="69E7185D"/>
    <w:rsid w:val="69F5057B"/>
    <w:rsid w:val="69F83E9D"/>
    <w:rsid w:val="69FC56C6"/>
    <w:rsid w:val="69FD3B6F"/>
    <w:rsid w:val="6A0065EF"/>
    <w:rsid w:val="6A0B281D"/>
    <w:rsid w:val="6A1F1C32"/>
    <w:rsid w:val="6A222CC8"/>
    <w:rsid w:val="6A2259D9"/>
    <w:rsid w:val="6A227D0E"/>
    <w:rsid w:val="6A27604A"/>
    <w:rsid w:val="6A3D7B02"/>
    <w:rsid w:val="6A445335"/>
    <w:rsid w:val="6A5064B5"/>
    <w:rsid w:val="6A5D0E85"/>
    <w:rsid w:val="6A616283"/>
    <w:rsid w:val="6A641407"/>
    <w:rsid w:val="6A656882"/>
    <w:rsid w:val="6A7F011B"/>
    <w:rsid w:val="6A80552A"/>
    <w:rsid w:val="6A8B60FB"/>
    <w:rsid w:val="6A9674BF"/>
    <w:rsid w:val="6A9A37E0"/>
    <w:rsid w:val="6A9C0CCD"/>
    <w:rsid w:val="6A9C2A7B"/>
    <w:rsid w:val="6AA36F43"/>
    <w:rsid w:val="6AA604CA"/>
    <w:rsid w:val="6AA656A7"/>
    <w:rsid w:val="6AB67B97"/>
    <w:rsid w:val="6ACB15B2"/>
    <w:rsid w:val="6ACD532A"/>
    <w:rsid w:val="6ADB41F3"/>
    <w:rsid w:val="6AFB4F4A"/>
    <w:rsid w:val="6AFC5C0F"/>
    <w:rsid w:val="6B0A20DA"/>
    <w:rsid w:val="6B0E324B"/>
    <w:rsid w:val="6B12444F"/>
    <w:rsid w:val="6B2A12A7"/>
    <w:rsid w:val="6B2F1B41"/>
    <w:rsid w:val="6B4533C9"/>
    <w:rsid w:val="6B5C39DF"/>
    <w:rsid w:val="6B5E11EE"/>
    <w:rsid w:val="6B611EB1"/>
    <w:rsid w:val="6B643240"/>
    <w:rsid w:val="6B657311"/>
    <w:rsid w:val="6B6F63E1"/>
    <w:rsid w:val="6B70119D"/>
    <w:rsid w:val="6B943EF8"/>
    <w:rsid w:val="6B961766"/>
    <w:rsid w:val="6BA918F3"/>
    <w:rsid w:val="6BB362CE"/>
    <w:rsid w:val="6BC8334A"/>
    <w:rsid w:val="6BD47294"/>
    <w:rsid w:val="6BD61A98"/>
    <w:rsid w:val="6BE16F41"/>
    <w:rsid w:val="6BE20961"/>
    <w:rsid w:val="6BF77F96"/>
    <w:rsid w:val="6BFE19E1"/>
    <w:rsid w:val="6C050A47"/>
    <w:rsid w:val="6C07486C"/>
    <w:rsid w:val="6C0B1A74"/>
    <w:rsid w:val="6C1634E5"/>
    <w:rsid w:val="6C16659B"/>
    <w:rsid w:val="6C171E92"/>
    <w:rsid w:val="6C19105E"/>
    <w:rsid w:val="6C2076DB"/>
    <w:rsid w:val="6C27235B"/>
    <w:rsid w:val="6C3342D8"/>
    <w:rsid w:val="6C394A8B"/>
    <w:rsid w:val="6C420156"/>
    <w:rsid w:val="6C477830"/>
    <w:rsid w:val="6C5142B7"/>
    <w:rsid w:val="6C554E54"/>
    <w:rsid w:val="6C5E0930"/>
    <w:rsid w:val="6C622720"/>
    <w:rsid w:val="6C6475C8"/>
    <w:rsid w:val="6C7457E7"/>
    <w:rsid w:val="6C7968E2"/>
    <w:rsid w:val="6C7D6E82"/>
    <w:rsid w:val="6C8311C3"/>
    <w:rsid w:val="6C8C5C8D"/>
    <w:rsid w:val="6C8E2897"/>
    <w:rsid w:val="6C924BA3"/>
    <w:rsid w:val="6C983716"/>
    <w:rsid w:val="6CA5691E"/>
    <w:rsid w:val="6CAC29D4"/>
    <w:rsid w:val="6CC14A1B"/>
    <w:rsid w:val="6CC96475"/>
    <w:rsid w:val="6CD14E74"/>
    <w:rsid w:val="6CD20B06"/>
    <w:rsid w:val="6CFC1EEB"/>
    <w:rsid w:val="6CFD1C58"/>
    <w:rsid w:val="6CFD2D93"/>
    <w:rsid w:val="6D035033"/>
    <w:rsid w:val="6D06067F"/>
    <w:rsid w:val="6D0B5F7A"/>
    <w:rsid w:val="6D1B3C07"/>
    <w:rsid w:val="6D290842"/>
    <w:rsid w:val="6D2A0812"/>
    <w:rsid w:val="6D334FAA"/>
    <w:rsid w:val="6D3B2F57"/>
    <w:rsid w:val="6D3C3588"/>
    <w:rsid w:val="6D4A2C62"/>
    <w:rsid w:val="6D5910F7"/>
    <w:rsid w:val="6D614E24"/>
    <w:rsid w:val="6D680792"/>
    <w:rsid w:val="6D93423A"/>
    <w:rsid w:val="6DAB0FE0"/>
    <w:rsid w:val="6DB427D1"/>
    <w:rsid w:val="6DB7283B"/>
    <w:rsid w:val="6DCC7B1B"/>
    <w:rsid w:val="6DDC646C"/>
    <w:rsid w:val="6DDD7632"/>
    <w:rsid w:val="6DEE7FF8"/>
    <w:rsid w:val="6DF57072"/>
    <w:rsid w:val="6DFA5DCC"/>
    <w:rsid w:val="6E0B6604"/>
    <w:rsid w:val="6E0C76AD"/>
    <w:rsid w:val="6E162B44"/>
    <w:rsid w:val="6E1E5CB1"/>
    <w:rsid w:val="6E2E4332"/>
    <w:rsid w:val="6E360871"/>
    <w:rsid w:val="6E3B07FD"/>
    <w:rsid w:val="6E51496A"/>
    <w:rsid w:val="6E657628"/>
    <w:rsid w:val="6E6C6C08"/>
    <w:rsid w:val="6E8555D0"/>
    <w:rsid w:val="6E876629"/>
    <w:rsid w:val="6E893B3A"/>
    <w:rsid w:val="6E8F3156"/>
    <w:rsid w:val="6E900B48"/>
    <w:rsid w:val="6EA02DB6"/>
    <w:rsid w:val="6EA6211A"/>
    <w:rsid w:val="6EB02F99"/>
    <w:rsid w:val="6EB8009F"/>
    <w:rsid w:val="6EB81E4D"/>
    <w:rsid w:val="6EBA7973"/>
    <w:rsid w:val="6EBD15FB"/>
    <w:rsid w:val="6ECB1B80"/>
    <w:rsid w:val="6ECE043D"/>
    <w:rsid w:val="6ED053E9"/>
    <w:rsid w:val="6EDA7020"/>
    <w:rsid w:val="6EDF1C43"/>
    <w:rsid w:val="6EE80984"/>
    <w:rsid w:val="6EEB2223"/>
    <w:rsid w:val="6EEF1D13"/>
    <w:rsid w:val="6F08338C"/>
    <w:rsid w:val="6F084B83"/>
    <w:rsid w:val="6F0E6B0E"/>
    <w:rsid w:val="6F1C418A"/>
    <w:rsid w:val="6F40431D"/>
    <w:rsid w:val="6F4638FD"/>
    <w:rsid w:val="6F492FDA"/>
    <w:rsid w:val="6F561A7D"/>
    <w:rsid w:val="6F6005AE"/>
    <w:rsid w:val="6F793301"/>
    <w:rsid w:val="6F7B35A7"/>
    <w:rsid w:val="6F7B5355"/>
    <w:rsid w:val="6F821AC6"/>
    <w:rsid w:val="6FA629B9"/>
    <w:rsid w:val="6FB41CDF"/>
    <w:rsid w:val="6FBD596D"/>
    <w:rsid w:val="6FCB7D7F"/>
    <w:rsid w:val="6FE32EFA"/>
    <w:rsid w:val="6FE52B7F"/>
    <w:rsid w:val="6FE81560"/>
    <w:rsid w:val="6FE832DA"/>
    <w:rsid w:val="6FE875AE"/>
    <w:rsid w:val="6FE949B4"/>
    <w:rsid w:val="6FFD2C76"/>
    <w:rsid w:val="6FFD6D35"/>
    <w:rsid w:val="70047746"/>
    <w:rsid w:val="70090C45"/>
    <w:rsid w:val="700F3CEF"/>
    <w:rsid w:val="70194B6E"/>
    <w:rsid w:val="701B0C93"/>
    <w:rsid w:val="701B22C2"/>
    <w:rsid w:val="701E2184"/>
    <w:rsid w:val="70293003"/>
    <w:rsid w:val="704A18A5"/>
    <w:rsid w:val="70535193"/>
    <w:rsid w:val="705353D7"/>
    <w:rsid w:val="70595CFD"/>
    <w:rsid w:val="70702E6E"/>
    <w:rsid w:val="70731CBA"/>
    <w:rsid w:val="70756248"/>
    <w:rsid w:val="70761500"/>
    <w:rsid w:val="70AB2A5F"/>
    <w:rsid w:val="70AC08A3"/>
    <w:rsid w:val="70B617AD"/>
    <w:rsid w:val="70BB3FEA"/>
    <w:rsid w:val="70C20D61"/>
    <w:rsid w:val="70C40F6B"/>
    <w:rsid w:val="70D70CB1"/>
    <w:rsid w:val="70E43FFB"/>
    <w:rsid w:val="70E72450"/>
    <w:rsid w:val="70EE5D63"/>
    <w:rsid w:val="70F27898"/>
    <w:rsid w:val="70FF2B52"/>
    <w:rsid w:val="71015D2D"/>
    <w:rsid w:val="71053071"/>
    <w:rsid w:val="710B6BAC"/>
    <w:rsid w:val="710C10F0"/>
    <w:rsid w:val="710C4547"/>
    <w:rsid w:val="710E21F8"/>
    <w:rsid w:val="71146B3B"/>
    <w:rsid w:val="711E1A75"/>
    <w:rsid w:val="7128341B"/>
    <w:rsid w:val="71333A0D"/>
    <w:rsid w:val="71445C1A"/>
    <w:rsid w:val="71530C93"/>
    <w:rsid w:val="71573ACB"/>
    <w:rsid w:val="715E5257"/>
    <w:rsid w:val="717C1858"/>
    <w:rsid w:val="717E3252"/>
    <w:rsid w:val="718176C8"/>
    <w:rsid w:val="718A6573"/>
    <w:rsid w:val="718B3DD1"/>
    <w:rsid w:val="71A315DF"/>
    <w:rsid w:val="71B50A2A"/>
    <w:rsid w:val="71B72890"/>
    <w:rsid w:val="71BB1264"/>
    <w:rsid w:val="71C14470"/>
    <w:rsid w:val="71D8375D"/>
    <w:rsid w:val="71DD01AD"/>
    <w:rsid w:val="71DD241B"/>
    <w:rsid w:val="71DE7E1D"/>
    <w:rsid w:val="71E01DDD"/>
    <w:rsid w:val="71EA0570"/>
    <w:rsid w:val="71F2621E"/>
    <w:rsid w:val="72121874"/>
    <w:rsid w:val="721B697B"/>
    <w:rsid w:val="722F68CA"/>
    <w:rsid w:val="72323CC5"/>
    <w:rsid w:val="723A2626"/>
    <w:rsid w:val="723D68AF"/>
    <w:rsid w:val="724721AC"/>
    <w:rsid w:val="724E3C2C"/>
    <w:rsid w:val="72587BCF"/>
    <w:rsid w:val="72620A4E"/>
    <w:rsid w:val="72695938"/>
    <w:rsid w:val="72705108"/>
    <w:rsid w:val="729452D5"/>
    <w:rsid w:val="72AE33B3"/>
    <w:rsid w:val="72B739A4"/>
    <w:rsid w:val="72D059B7"/>
    <w:rsid w:val="72D27981"/>
    <w:rsid w:val="72E476B5"/>
    <w:rsid w:val="72E651DB"/>
    <w:rsid w:val="72E66F89"/>
    <w:rsid w:val="72F657B0"/>
    <w:rsid w:val="72F84F0E"/>
    <w:rsid w:val="72FC409A"/>
    <w:rsid w:val="73032FC0"/>
    <w:rsid w:val="730F48D7"/>
    <w:rsid w:val="73253B84"/>
    <w:rsid w:val="733D0BED"/>
    <w:rsid w:val="734F4226"/>
    <w:rsid w:val="735321EF"/>
    <w:rsid w:val="73613DC2"/>
    <w:rsid w:val="736305DA"/>
    <w:rsid w:val="73644352"/>
    <w:rsid w:val="73702CF6"/>
    <w:rsid w:val="738707F8"/>
    <w:rsid w:val="738754CA"/>
    <w:rsid w:val="738B6F89"/>
    <w:rsid w:val="739D3646"/>
    <w:rsid w:val="73AF1CC4"/>
    <w:rsid w:val="73B10EE9"/>
    <w:rsid w:val="73B24691"/>
    <w:rsid w:val="73BE7F06"/>
    <w:rsid w:val="73C056D8"/>
    <w:rsid w:val="73C13552"/>
    <w:rsid w:val="73C179F6"/>
    <w:rsid w:val="73C83268"/>
    <w:rsid w:val="73CB6AC4"/>
    <w:rsid w:val="73DE5EB2"/>
    <w:rsid w:val="73ED1A3A"/>
    <w:rsid w:val="73F05696"/>
    <w:rsid w:val="73F50B6F"/>
    <w:rsid w:val="74024213"/>
    <w:rsid w:val="74042527"/>
    <w:rsid w:val="740A4B39"/>
    <w:rsid w:val="74146799"/>
    <w:rsid w:val="741A1B16"/>
    <w:rsid w:val="741B3D04"/>
    <w:rsid w:val="741E67C6"/>
    <w:rsid w:val="742970E4"/>
    <w:rsid w:val="742C5E27"/>
    <w:rsid w:val="742E25B0"/>
    <w:rsid w:val="74365CEE"/>
    <w:rsid w:val="74446F14"/>
    <w:rsid w:val="74551D23"/>
    <w:rsid w:val="7456013E"/>
    <w:rsid w:val="745D7B18"/>
    <w:rsid w:val="745F299C"/>
    <w:rsid w:val="746F1484"/>
    <w:rsid w:val="74806F69"/>
    <w:rsid w:val="749D5D6D"/>
    <w:rsid w:val="749E5641"/>
    <w:rsid w:val="74A14CC6"/>
    <w:rsid w:val="74AB66DC"/>
    <w:rsid w:val="74B03CF2"/>
    <w:rsid w:val="74B50BE4"/>
    <w:rsid w:val="74B66E2F"/>
    <w:rsid w:val="74B800CA"/>
    <w:rsid w:val="74D3178F"/>
    <w:rsid w:val="74E05C5A"/>
    <w:rsid w:val="74E26C97"/>
    <w:rsid w:val="74E514C2"/>
    <w:rsid w:val="74F040EF"/>
    <w:rsid w:val="74F55B27"/>
    <w:rsid w:val="74F811F5"/>
    <w:rsid w:val="750202C6"/>
    <w:rsid w:val="750758DC"/>
    <w:rsid w:val="75157FF9"/>
    <w:rsid w:val="752968DA"/>
    <w:rsid w:val="752D5343"/>
    <w:rsid w:val="75363ACC"/>
    <w:rsid w:val="753D165B"/>
    <w:rsid w:val="75511543"/>
    <w:rsid w:val="75581C94"/>
    <w:rsid w:val="755F1275"/>
    <w:rsid w:val="756B2471"/>
    <w:rsid w:val="756D1BE3"/>
    <w:rsid w:val="756E3266"/>
    <w:rsid w:val="75726F76"/>
    <w:rsid w:val="75760D96"/>
    <w:rsid w:val="75813016"/>
    <w:rsid w:val="75862CA5"/>
    <w:rsid w:val="758D6086"/>
    <w:rsid w:val="758F1A33"/>
    <w:rsid w:val="75970A0E"/>
    <w:rsid w:val="75A4312B"/>
    <w:rsid w:val="75AB6268"/>
    <w:rsid w:val="75AD3D8E"/>
    <w:rsid w:val="75B04FED"/>
    <w:rsid w:val="75E05B69"/>
    <w:rsid w:val="75E44CC4"/>
    <w:rsid w:val="75E55443"/>
    <w:rsid w:val="75E65560"/>
    <w:rsid w:val="75F25C45"/>
    <w:rsid w:val="75F8009A"/>
    <w:rsid w:val="760161F4"/>
    <w:rsid w:val="761941D4"/>
    <w:rsid w:val="761D64FD"/>
    <w:rsid w:val="763A3819"/>
    <w:rsid w:val="76434DFC"/>
    <w:rsid w:val="76471DE8"/>
    <w:rsid w:val="764C1D57"/>
    <w:rsid w:val="76592168"/>
    <w:rsid w:val="76694A23"/>
    <w:rsid w:val="766C59F7"/>
    <w:rsid w:val="766F3739"/>
    <w:rsid w:val="76700FC9"/>
    <w:rsid w:val="76701D3D"/>
    <w:rsid w:val="76777B95"/>
    <w:rsid w:val="767B3E8C"/>
    <w:rsid w:val="76935753"/>
    <w:rsid w:val="76951140"/>
    <w:rsid w:val="76974BD9"/>
    <w:rsid w:val="76977026"/>
    <w:rsid w:val="76A70C95"/>
    <w:rsid w:val="76A93CE9"/>
    <w:rsid w:val="76C375E1"/>
    <w:rsid w:val="76D15D09"/>
    <w:rsid w:val="76D65566"/>
    <w:rsid w:val="76EB626F"/>
    <w:rsid w:val="76F57B1F"/>
    <w:rsid w:val="770E1875"/>
    <w:rsid w:val="77106CCA"/>
    <w:rsid w:val="771349E5"/>
    <w:rsid w:val="7714635C"/>
    <w:rsid w:val="771C30FA"/>
    <w:rsid w:val="77206134"/>
    <w:rsid w:val="77242776"/>
    <w:rsid w:val="772F3A61"/>
    <w:rsid w:val="77336738"/>
    <w:rsid w:val="773553A7"/>
    <w:rsid w:val="77521091"/>
    <w:rsid w:val="77524A58"/>
    <w:rsid w:val="77580A66"/>
    <w:rsid w:val="7758241F"/>
    <w:rsid w:val="77690189"/>
    <w:rsid w:val="77707769"/>
    <w:rsid w:val="777D20D6"/>
    <w:rsid w:val="778C7231"/>
    <w:rsid w:val="778D01FE"/>
    <w:rsid w:val="77901BD0"/>
    <w:rsid w:val="77A3436B"/>
    <w:rsid w:val="77A613DD"/>
    <w:rsid w:val="77B27D81"/>
    <w:rsid w:val="77B5517C"/>
    <w:rsid w:val="77B86288"/>
    <w:rsid w:val="77DD5D14"/>
    <w:rsid w:val="77E85551"/>
    <w:rsid w:val="77F437B1"/>
    <w:rsid w:val="77F85931"/>
    <w:rsid w:val="780340CB"/>
    <w:rsid w:val="780738D1"/>
    <w:rsid w:val="780D398B"/>
    <w:rsid w:val="782226C6"/>
    <w:rsid w:val="78263974"/>
    <w:rsid w:val="783D4AFF"/>
    <w:rsid w:val="7840713B"/>
    <w:rsid w:val="78412EB3"/>
    <w:rsid w:val="784D30F3"/>
    <w:rsid w:val="785031C4"/>
    <w:rsid w:val="7856695F"/>
    <w:rsid w:val="78693C27"/>
    <w:rsid w:val="78697846"/>
    <w:rsid w:val="788A2C6A"/>
    <w:rsid w:val="78994A9D"/>
    <w:rsid w:val="789C1B98"/>
    <w:rsid w:val="789D6CAA"/>
    <w:rsid w:val="78A0407E"/>
    <w:rsid w:val="78AD0D21"/>
    <w:rsid w:val="78B73B4F"/>
    <w:rsid w:val="78B934ED"/>
    <w:rsid w:val="78C338C8"/>
    <w:rsid w:val="78C37C8A"/>
    <w:rsid w:val="78C47EA2"/>
    <w:rsid w:val="78C53AE4"/>
    <w:rsid w:val="78C87131"/>
    <w:rsid w:val="78DE2D7C"/>
    <w:rsid w:val="78E0091E"/>
    <w:rsid w:val="78EC1071"/>
    <w:rsid w:val="79112886"/>
    <w:rsid w:val="7922596C"/>
    <w:rsid w:val="792C5912"/>
    <w:rsid w:val="792F01A6"/>
    <w:rsid w:val="79382965"/>
    <w:rsid w:val="793B3189"/>
    <w:rsid w:val="794C1894"/>
    <w:rsid w:val="795161CA"/>
    <w:rsid w:val="79820F11"/>
    <w:rsid w:val="799E6545"/>
    <w:rsid w:val="799F228B"/>
    <w:rsid w:val="79A81252"/>
    <w:rsid w:val="79AC037E"/>
    <w:rsid w:val="79B31B8F"/>
    <w:rsid w:val="79B4594A"/>
    <w:rsid w:val="79B80F53"/>
    <w:rsid w:val="79B978EA"/>
    <w:rsid w:val="79BC5296"/>
    <w:rsid w:val="79BC708D"/>
    <w:rsid w:val="79C1605A"/>
    <w:rsid w:val="79D77FF8"/>
    <w:rsid w:val="79E104AA"/>
    <w:rsid w:val="79EB1C7D"/>
    <w:rsid w:val="79FB1EE7"/>
    <w:rsid w:val="7A0349BA"/>
    <w:rsid w:val="7A0D5D0B"/>
    <w:rsid w:val="7A1B476E"/>
    <w:rsid w:val="7A2A5E86"/>
    <w:rsid w:val="7A3C3FD7"/>
    <w:rsid w:val="7A401675"/>
    <w:rsid w:val="7A4F7B0A"/>
    <w:rsid w:val="7A50702E"/>
    <w:rsid w:val="7A635363"/>
    <w:rsid w:val="7A6F5AB6"/>
    <w:rsid w:val="7A752301"/>
    <w:rsid w:val="7A8552D9"/>
    <w:rsid w:val="7A8A0B42"/>
    <w:rsid w:val="7A9113F7"/>
    <w:rsid w:val="7A9722EA"/>
    <w:rsid w:val="7A99237D"/>
    <w:rsid w:val="7A9E5013"/>
    <w:rsid w:val="7AA240DD"/>
    <w:rsid w:val="7AA274F5"/>
    <w:rsid w:val="7AAC4971"/>
    <w:rsid w:val="7AAD4830"/>
    <w:rsid w:val="7AB14807"/>
    <w:rsid w:val="7ACD6C80"/>
    <w:rsid w:val="7AE53FCA"/>
    <w:rsid w:val="7AE959CB"/>
    <w:rsid w:val="7AEE2741"/>
    <w:rsid w:val="7AF27BF0"/>
    <w:rsid w:val="7AFC6FE5"/>
    <w:rsid w:val="7B002BB2"/>
    <w:rsid w:val="7B095F0A"/>
    <w:rsid w:val="7B1242D4"/>
    <w:rsid w:val="7B13662A"/>
    <w:rsid w:val="7B18439F"/>
    <w:rsid w:val="7B1A6AB5"/>
    <w:rsid w:val="7B1B5C3E"/>
    <w:rsid w:val="7B276391"/>
    <w:rsid w:val="7B327BB5"/>
    <w:rsid w:val="7B33563C"/>
    <w:rsid w:val="7B4C0E94"/>
    <w:rsid w:val="7B5737ED"/>
    <w:rsid w:val="7B594633"/>
    <w:rsid w:val="7B763FD0"/>
    <w:rsid w:val="7B784E3E"/>
    <w:rsid w:val="7B797300"/>
    <w:rsid w:val="7B875081"/>
    <w:rsid w:val="7B894EDD"/>
    <w:rsid w:val="7B8B4B71"/>
    <w:rsid w:val="7B8D6D12"/>
    <w:rsid w:val="7B8F2DE3"/>
    <w:rsid w:val="7B9147B3"/>
    <w:rsid w:val="7BAC1017"/>
    <w:rsid w:val="7BB404C8"/>
    <w:rsid w:val="7BC5015F"/>
    <w:rsid w:val="7BDB40C8"/>
    <w:rsid w:val="7BDD1145"/>
    <w:rsid w:val="7BEC1388"/>
    <w:rsid w:val="7BF70459"/>
    <w:rsid w:val="7BFC639E"/>
    <w:rsid w:val="7BFD3595"/>
    <w:rsid w:val="7C052E28"/>
    <w:rsid w:val="7C0663D3"/>
    <w:rsid w:val="7C067B78"/>
    <w:rsid w:val="7C08260A"/>
    <w:rsid w:val="7C1060A4"/>
    <w:rsid w:val="7C212B16"/>
    <w:rsid w:val="7C257585"/>
    <w:rsid w:val="7C3015A2"/>
    <w:rsid w:val="7C344D27"/>
    <w:rsid w:val="7C3B1912"/>
    <w:rsid w:val="7C3C2310"/>
    <w:rsid w:val="7C3F6B56"/>
    <w:rsid w:val="7C4B2553"/>
    <w:rsid w:val="7C4B60AF"/>
    <w:rsid w:val="7C6034EF"/>
    <w:rsid w:val="7C683105"/>
    <w:rsid w:val="7C713B95"/>
    <w:rsid w:val="7C812849"/>
    <w:rsid w:val="7C8F3841"/>
    <w:rsid w:val="7C927737"/>
    <w:rsid w:val="7CA83501"/>
    <w:rsid w:val="7CAB244D"/>
    <w:rsid w:val="7CB270BB"/>
    <w:rsid w:val="7CBC0D5A"/>
    <w:rsid w:val="7CDD49A2"/>
    <w:rsid w:val="7CE055BA"/>
    <w:rsid w:val="7CF93D5D"/>
    <w:rsid w:val="7CFC1051"/>
    <w:rsid w:val="7D0304AC"/>
    <w:rsid w:val="7D0A5F6A"/>
    <w:rsid w:val="7D0C3A90"/>
    <w:rsid w:val="7D15058B"/>
    <w:rsid w:val="7D157DA1"/>
    <w:rsid w:val="7D1B7C1D"/>
    <w:rsid w:val="7D213138"/>
    <w:rsid w:val="7D222D25"/>
    <w:rsid w:val="7D2406DD"/>
    <w:rsid w:val="7D2521B2"/>
    <w:rsid w:val="7D2863F0"/>
    <w:rsid w:val="7D317598"/>
    <w:rsid w:val="7D3230DC"/>
    <w:rsid w:val="7D3F5A81"/>
    <w:rsid w:val="7D417612"/>
    <w:rsid w:val="7D436814"/>
    <w:rsid w:val="7D4D08D5"/>
    <w:rsid w:val="7D551F58"/>
    <w:rsid w:val="7D6A282B"/>
    <w:rsid w:val="7D6B1788"/>
    <w:rsid w:val="7D6B7FF7"/>
    <w:rsid w:val="7D7004C3"/>
    <w:rsid w:val="7D755AD9"/>
    <w:rsid w:val="7D7F5DD6"/>
    <w:rsid w:val="7D893333"/>
    <w:rsid w:val="7DB21246"/>
    <w:rsid w:val="7DB859C6"/>
    <w:rsid w:val="7DB97E53"/>
    <w:rsid w:val="7DCF14E3"/>
    <w:rsid w:val="7DD30A52"/>
    <w:rsid w:val="7DDB3462"/>
    <w:rsid w:val="7DE70059"/>
    <w:rsid w:val="7DE92023"/>
    <w:rsid w:val="7DF04831"/>
    <w:rsid w:val="7DF22A1C"/>
    <w:rsid w:val="7DFF1847"/>
    <w:rsid w:val="7E00781F"/>
    <w:rsid w:val="7E0E1134"/>
    <w:rsid w:val="7E24305B"/>
    <w:rsid w:val="7E2748F9"/>
    <w:rsid w:val="7E282CD5"/>
    <w:rsid w:val="7E2A37DA"/>
    <w:rsid w:val="7E2D1F10"/>
    <w:rsid w:val="7E2F667A"/>
    <w:rsid w:val="7E3672A9"/>
    <w:rsid w:val="7E374B3D"/>
    <w:rsid w:val="7E4618EE"/>
    <w:rsid w:val="7E47133D"/>
    <w:rsid w:val="7E49452F"/>
    <w:rsid w:val="7E577B57"/>
    <w:rsid w:val="7E5A03C7"/>
    <w:rsid w:val="7E655B4E"/>
    <w:rsid w:val="7E682F48"/>
    <w:rsid w:val="7E7A400D"/>
    <w:rsid w:val="7E7F4735"/>
    <w:rsid w:val="7E857F9E"/>
    <w:rsid w:val="7E872237"/>
    <w:rsid w:val="7E873820"/>
    <w:rsid w:val="7E8C3F75"/>
    <w:rsid w:val="7E955D07"/>
    <w:rsid w:val="7E9832EF"/>
    <w:rsid w:val="7EA80241"/>
    <w:rsid w:val="7EAB6E1B"/>
    <w:rsid w:val="7ED378A3"/>
    <w:rsid w:val="7ED54355"/>
    <w:rsid w:val="7ED76DD4"/>
    <w:rsid w:val="7ED93E46"/>
    <w:rsid w:val="7ED94418"/>
    <w:rsid w:val="7EE354CD"/>
    <w:rsid w:val="7EE54599"/>
    <w:rsid w:val="7EEB147F"/>
    <w:rsid w:val="7EFD24F6"/>
    <w:rsid w:val="7F06366D"/>
    <w:rsid w:val="7F127358"/>
    <w:rsid w:val="7F13011A"/>
    <w:rsid w:val="7F1B445E"/>
    <w:rsid w:val="7F1D01D6"/>
    <w:rsid w:val="7F313C82"/>
    <w:rsid w:val="7F3814A3"/>
    <w:rsid w:val="7F4A08A0"/>
    <w:rsid w:val="7F536596"/>
    <w:rsid w:val="7F5456A0"/>
    <w:rsid w:val="7F5C0130"/>
    <w:rsid w:val="7F604567"/>
    <w:rsid w:val="7F79289E"/>
    <w:rsid w:val="7F8F1F7C"/>
    <w:rsid w:val="7FA8445B"/>
    <w:rsid w:val="7FAB7D12"/>
    <w:rsid w:val="7FBA7AF7"/>
    <w:rsid w:val="7FCA114D"/>
    <w:rsid w:val="7FD338C7"/>
    <w:rsid w:val="7FD422E4"/>
    <w:rsid w:val="7FEA0101"/>
    <w:rsid w:val="7FEA5BDF"/>
    <w:rsid w:val="7FF76C79"/>
    <w:rsid w:val="7FFA05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7"/>
    <w:qFormat/>
    <w:uiPriority w:val="0"/>
    <w:pPr>
      <w:keepNext/>
      <w:keepLines/>
      <w:numPr>
        <w:ilvl w:val="0"/>
        <w:numId w:val="1"/>
      </w:numPr>
      <w:spacing w:before="340" w:after="330" w:line="578" w:lineRule="auto"/>
      <w:jc w:val="center"/>
      <w:outlineLvl w:val="0"/>
    </w:pPr>
    <w:rPr>
      <w:b/>
      <w:bCs/>
      <w:kern w:val="44"/>
      <w:sz w:val="32"/>
      <w:szCs w:val="44"/>
    </w:rPr>
  </w:style>
  <w:style w:type="paragraph" w:styleId="5">
    <w:name w:val="heading 2"/>
    <w:basedOn w:val="1"/>
    <w:next w:val="1"/>
    <w:link w:val="73"/>
    <w:autoRedefine/>
    <w:qFormat/>
    <w:uiPriority w:val="0"/>
    <w:pPr>
      <w:keepNext/>
      <w:keepLines/>
      <w:numPr>
        <w:ilvl w:val="1"/>
        <w:numId w:val="1"/>
      </w:numPr>
      <w:spacing w:before="260" w:after="260" w:line="416" w:lineRule="auto"/>
      <w:outlineLvl w:val="1"/>
    </w:pPr>
    <w:rPr>
      <w:rFonts w:ascii="Cambria" w:hAnsi="Cambria"/>
      <w:sz w:val="32"/>
      <w:szCs w:val="32"/>
    </w:rPr>
  </w:style>
  <w:style w:type="paragraph" w:styleId="6">
    <w:name w:val="heading 3"/>
    <w:basedOn w:val="1"/>
    <w:next w:val="1"/>
    <w:link w:val="112"/>
    <w:autoRedefine/>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149"/>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102"/>
    <w:autoRedefine/>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88"/>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143"/>
    <w:autoRedefine/>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128"/>
    <w:autoRedefine/>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106"/>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autoRedefine/>
    <w:semiHidden/>
    <w:unhideWhenUsed/>
    <w:qFormat/>
    <w:uiPriority w:val="1"/>
  </w:style>
  <w:style w:type="table" w:default="1" w:styleId="46">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83"/>
    <w:autoRedefine/>
    <w:qFormat/>
    <w:uiPriority w:val="0"/>
    <w:pPr>
      <w:spacing w:after="120"/>
      <w:ind w:left="420" w:leftChars="200"/>
    </w:pPr>
  </w:style>
  <w:style w:type="paragraph" w:styleId="3">
    <w:name w:val="envelope return"/>
    <w:basedOn w:val="1"/>
    <w:qFormat/>
    <w:uiPriority w:val="0"/>
    <w:pPr>
      <w:snapToGrid w:val="0"/>
    </w:pPr>
    <w:rPr>
      <w:rFonts w:ascii="Arial" w:hAnsi="Arial"/>
    </w:rPr>
  </w:style>
  <w:style w:type="paragraph" w:styleId="13">
    <w:name w:val="List 3"/>
    <w:basedOn w:val="1"/>
    <w:autoRedefine/>
    <w:unhideWhenUsed/>
    <w:qFormat/>
    <w:uiPriority w:val="99"/>
    <w:pPr>
      <w:spacing w:before="100" w:beforeAutospacing="1" w:after="100" w:afterAutospacing="1"/>
      <w:ind w:left="1260" w:hanging="420"/>
    </w:pPr>
    <w:rPr>
      <w:szCs w:val="21"/>
    </w:rPr>
  </w:style>
  <w:style w:type="paragraph" w:styleId="14">
    <w:name w:val="toc 7"/>
    <w:basedOn w:val="1"/>
    <w:next w:val="1"/>
    <w:autoRedefine/>
    <w:unhideWhenUsed/>
    <w:qFormat/>
    <w:uiPriority w:val="39"/>
    <w:pPr>
      <w:ind w:left="2520" w:leftChars="1200"/>
    </w:pPr>
    <w:rPr>
      <w:rFonts w:ascii="Calibri" w:hAnsi="Calibri"/>
      <w:szCs w:val="22"/>
    </w:rPr>
  </w:style>
  <w:style w:type="paragraph" w:styleId="15">
    <w:name w:val="Normal Indent"/>
    <w:basedOn w:val="1"/>
    <w:autoRedefine/>
    <w:qFormat/>
    <w:uiPriority w:val="0"/>
    <w:pPr>
      <w:ind w:firstLine="420"/>
    </w:pPr>
    <w:rPr>
      <w:b/>
      <w:sz w:val="24"/>
      <w:szCs w:val="20"/>
    </w:rPr>
  </w:style>
  <w:style w:type="paragraph" w:styleId="16">
    <w:name w:val="caption"/>
    <w:basedOn w:val="1"/>
    <w:next w:val="1"/>
    <w:autoRedefine/>
    <w:qFormat/>
    <w:uiPriority w:val="0"/>
    <w:rPr>
      <w:rFonts w:ascii="Cambria" w:hAnsi="Cambria" w:eastAsia="黑体"/>
      <w:sz w:val="20"/>
      <w:szCs w:val="22"/>
    </w:rPr>
  </w:style>
  <w:style w:type="paragraph" w:styleId="17">
    <w:name w:val="Document Map"/>
    <w:basedOn w:val="1"/>
    <w:link w:val="96"/>
    <w:autoRedefine/>
    <w:qFormat/>
    <w:uiPriority w:val="0"/>
    <w:rPr>
      <w:rFonts w:ascii="宋体"/>
      <w:sz w:val="18"/>
      <w:szCs w:val="18"/>
    </w:rPr>
  </w:style>
  <w:style w:type="paragraph" w:styleId="18">
    <w:name w:val="annotation text"/>
    <w:basedOn w:val="1"/>
    <w:link w:val="120"/>
    <w:autoRedefine/>
    <w:qFormat/>
    <w:uiPriority w:val="99"/>
    <w:pPr>
      <w:jc w:val="left"/>
    </w:pPr>
  </w:style>
  <w:style w:type="paragraph" w:styleId="19">
    <w:name w:val="Body Text 3"/>
    <w:basedOn w:val="1"/>
    <w:link w:val="139"/>
    <w:qFormat/>
    <w:uiPriority w:val="0"/>
    <w:rPr>
      <w:rFonts w:ascii="宋体"/>
      <w:sz w:val="24"/>
      <w:szCs w:val="20"/>
    </w:rPr>
  </w:style>
  <w:style w:type="paragraph" w:styleId="20">
    <w:name w:val="Body Text"/>
    <w:basedOn w:val="1"/>
    <w:link w:val="127"/>
    <w:autoRedefine/>
    <w:qFormat/>
    <w:uiPriority w:val="0"/>
    <w:pPr>
      <w:jc w:val="center"/>
    </w:pPr>
    <w:rPr>
      <w:rFonts w:eastAsia="幼圆"/>
      <w:b/>
      <w:bCs/>
      <w:sz w:val="44"/>
    </w:rPr>
  </w:style>
  <w:style w:type="paragraph" w:styleId="21">
    <w:name w:val="index 4"/>
    <w:basedOn w:val="1"/>
    <w:next w:val="1"/>
    <w:autoRedefine/>
    <w:qFormat/>
    <w:uiPriority w:val="0"/>
    <w:pPr>
      <w:ind w:left="600" w:leftChars="600"/>
    </w:pPr>
    <w:rPr>
      <w:rFonts w:ascii="Calibri" w:hAnsi="Calibri"/>
    </w:rPr>
  </w:style>
  <w:style w:type="paragraph" w:styleId="22">
    <w:name w:val="toc 5"/>
    <w:basedOn w:val="1"/>
    <w:next w:val="1"/>
    <w:autoRedefine/>
    <w:unhideWhenUsed/>
    <w:qFormat/>
    <w:uiPriority w:val="39"/>
    <w:pPr>
      <w:ind w:left="1680" w:leftChars="800"/>
    </w:pPr>
    <w:rPr>
      <w:rFonts w:ascii="Calibri" w:hAnsi="Calibri"/>
      <w:szCs w:val="22"/>
    </w:rPr>
  </w:style>
  <w:style w:type="paragraph" w:styleId="23">
    <w:name w:val="toc 3"/>
    <w:basedOn w:val="1"/>
    <w:next w:val="1"/>
    <w:autoRedefine/>
    <w:qFormat/>
    <w:uiPriority w:val="39"/>
    <w:pPr>
      <w:ind w:left="840" w:leftChars="400"/>
    </w:pPr>
    <w:rPr>
      <w:rFonts w:ascii="Calibri" w:hAnsi="Calibri"/>
      <w:szCs w:val="22"/>
    </w:rPr>
  </w:style>
  <w:style w:type="paragraph" w:styleId="24">
    <w:name w:val="Plain Text"/>
    <w:basedOn w:val="1"/>
    <w:link w:val="89"/>
    <w:autoRedefine/>
    <w:qFormat/>
    <w:uiPriority w:val="0"/>
    <w:rPr>
      <w:rFonts w:ascii="Ari"/>
    </w:rPr>
  </w:style>
  <w:style w:type="paragraph" w:styleId="25">
    <w:name w:val="toc 8"/>
    <w:basedOn w:val="1"/>
    <w:next w:val="1"/>
    <w:autoRedefine/>
    <w:unhideWhenUsed/>
    <w:qFormat/>
    <w:uiPriority w:val="39"/>
    <w:pPr>
      <w:ind w:left="2940" w:leftChars="1400"/>
    </w:pPr>
    <w:rPr>
      <w:rFonts w:ascii="Calibri" w:hAnsi="Calibri"/>
      <w:szCs w:val="22"/>
    </w:rPr>
  </w:style>
  <w:style w:type="paragraph" w:styleId="26">
    <w:name w:val="Date"/>
    <w:basedOn w:val="1"/>
    <w:next w:val="1"/>
    <w:link w:val="97"/>
    <w:autoRedefine/>
    <w:unhideWhenUsed/>
    <w:qFormat/>
    <w:uiPriority w:val="0"/>
  </w:style>
  <w:style w:type="paragraph" w:styleId="27">
    <w:name w:val="Body Text Indent 2"/>
    <w:basedOn w:val="1"/>
    <w:link w:val="119"/>
    <w:autoRedefine/>
    <w:unhideWhenUsed/>
    <w:qFormat/>
    <w:uiPriority w:val="99"/>
    <w:pPr>
      <w:spacing w:line="420" w:lineRule="exact"/>
      <w:ind w:firstLine="525"/>
    </w:pPr>
    <w:rPr>
      <w:rFonts w:ascii="宋体"/>
      <w:kern w:val="0"/>
      <w:sz w:val="20"/>
      <w:szCs w:val="20"/>
    </w:rPr>
  </w:style>
  <w:style w:type="paragraph" w:styleId="28">
    <w:name w:val="Balloon Text"/>
    <w:basedOn w:val="1"/>
    <w:link w:val="142"/>
    <w:autoRedefine/>
    <w:qFormat/>
    <w:uiPriority w:val="0"/>
    <w:rPr>
      <w:sz w:val="18"/>
      <w:szCs w:val="18"/>
    </w:rPr>
  </w:style>
  <w:style w:type="paragraph" w:styleId="29">
    <w:name w:val="footer"/>
    <w:basedOn w:val="1"/>
    <w:link w:val="132"/>
    <w:autoRedefine/>
    <w:qFormat/>
    <w:uiPriority w:val="99"/>
    <w:pPr>
      <w:tabs>
        <w:tab w:val="center" w:pos="4153"/>
        <w:tab w:val="right" w:pos="8306"/>
      </w:tabs>
      <w:snapToGrid w:val="0"/>
      <w:jc w:val="left"/>
    </w:pPr>
    <w:rPr>
      <w:sz w:val="18"/>
      <w:szCs w:val="18"/>
    </w:rPr>
  </w:style>
  <w:style w:type="paragraph" w:styleId="30">
    <w:name w:val="header"/>
    <w:basedOn w:val="1"/>
    <w:link w:val="87"/>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style>
  <w:style w:type="paragraph" w:styleId="32">
    <w:name w:val="toc 4"/>
    <w:basedOn w:val="1"/>
    <w:next w:val="1"/>
    <w:autoRedefine/>
    <w:unhideWhenUsed/>
    <w:qFormat/>
    <w:uiPriority w:val="39"/>
    <w:pPr>
      <w:ind w:left="1260" w:leftChars="600"/>
    </w:pPr>
    <w:rPr>
      <w:rFonts w:ascii="Calibri" w:hAnsi="Calibri"/>
      <w:szCs w:val="22"/>
    </w:rPr>
  </w:style>
  <w:style w:type="paragraph" w:styleId="33">
    <w:name w:val="index heading"/>
    <w:basedOn w:val="1"/>
    <w:next w:val="34"/>
    <w:autoRedefine/>
    <w:unhideWhenUsed/>
    <w:qFormat/>
    <w:uiPriority w:val="99"/>
    <w:pPr>
      <w:tabs>
        <w:tab w:val="left" w:pos="240"/>
      </w:tabs>
    </w:pPr>
  </w:style>
  <w:style w:type="paragraph" w:styleId="34">
    <w:name w:val="index 1"/>
    <w:basedOn w:val="1"/>
    <w:next w:val="1"/>
    <w:autoRedefine/>
    <w:qFormat/>
    <w:uiPriority w:val="0"/>
    <w:pPr>
      <w:spacing w:line="220" w:lineRule="exact"/>
      <w:jc w:val="center"/>
    </w:pPr>
    <w:rPr>
      <w:rFonts w:ascii="仿宋_GB2312" w:hAnsi="Calibri" w:eastAsia="仿宋_GB2312"/>
      <w:szCs w:val="22"/>
    </w:rPr>
  </w:style>
  <w:style w:type="paragraph" w:styleId="35">
    <w:name w:val="Subtitle"/>
    <w:basedOn w:val="1"/>
    <w:next w:val="1"/>
    <w:link w:val="115"/>
    <w:autoRedefine/>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autoRedefine/>
    <w:unhideWhenUsed/>
    <w:qFormat/>
    <w:uiPriority w:val="39"/>
    <w:pPr>
      <w:ind w:left="2100" w:leftChars="1000"/>
    </w:pPr>
    <w:rPr>
      <w:rFonts w:ascii="Calibri" w:hAnsi="Calibri"/>
      <w:szCs w:val="22"/>
    </w:rPr>
  </w:style>
  <w:style w:type="paragraph" w:styleId="37">
    <w:name w:val="Body Text Indent 3"/>
    <w:basedOn w:val="1"/>
    <w:link w:val="140"/>
    <w:autoRedefine/>
    <w:qFormat/>
    <w:uiPriority w:val="0"/>
    <w:pPr>
      <w:spacing w:after="120"/>
      <w:ind w:left="420" w:leftChars="200"/>
    </w:pPr>
    <w:rPr>
      <w:sz w:val="16"/>
      <w:szCs w:val="20"/>
    </w:rPr>
  </w:style>
  <w:style w:type="paragraph" w:styleId="38">
    <w:name w:val="toc 2"/>
    <w:basedOn w:val="1"/>
    <w:next w:val="1"/>
    <w:autoRedefine/>
    <w:qFormat/>
    <w:uiPriority w:val="39"/>
    <w:pPr>
      <w:ind w:left="420" w:leftChars="200"/>
    </w:pPr>
    <w:rPr>
      <w:rFonts w:ascii="Calibri" w:hAnsi="Calibri"/>
      <w:szCs w:val="22"/>
    </w:rPr>
  </w:style>
  <w:style w:type="paragraph" w:styleId="39">
    <w:name w:val="toc 9"/>
    <w:basedOn w:val="1"/>
    <w:next w:val="1"/>
    <w:autoRedefine/>
    <w:unhideWhenUsed/>
    <w:qFormat/>
    <w:uiPriority w:val="39"/>
    <w:pPr>
      <w:ind w:left="3360" w:leftChars="1600"/>
    </w:pPr>
    <w:rPr>
      <w:rFonts w:ascii="Calibri" w:hAnsi="Calibri"/>
      <w:szCs w:val="22"/>
    </w:rPr>
  </w:style>
  <w:style w:type="paragraph" w:styleId="40">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2">
    <w:name w:val="Title"/>
    <w:basedOn w:val="1"/>
    <w:next w:val="1"/>
    <w:link w:val="92"/>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3">
    <w:name w:val="annotation subject"/>
    <w:basedOn w:val="18"/>
    <w:next w:val="18"/>
    <w:link w:val="130"/>
    <w:autoRedefine/>
    <w:qFormat/>
    <w:uiPriority w:val="0"/>
    <w:rPr>
      <w:b/>
      <w:bCs/>
    </w:rPr>
  </w:style>
  <w:style w:type="paragraph" w:styleId="44">
    <w:name w:val="Body Text First Indent"/>
    <w:basedOn w:val="20"/>
    <w:autoRedefine/>
    <w:qFormat/>
    <w:uiPriority w:val="0"/>
    <w:pPr>
      <w:ind w:firstLine="420" w:firstLineChars="100"/>
    </w:pPr>
  </w:style>
  <w:style w:type="paragraph" w:styleId="45">
    <w:name w:val="Body Text First Indent 2"/>
    <w:basedOn w:val="2"/>
    <w:autoRedefine/>
    <w:qFormat/>
    <w:uiPriority w:val="99"/>
    <w:pPr>
      <w:ind w:firstLine="420" w:firstLineChars="200"/>
    </w:pPr>
  </w:style>
  <w:style w:type="table" w:styleId="47">
    <w:name w:val="Table Grid"/>
    <w:basedOn w:val="46"/>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autoRedefine/>
    <w:qFormat/>
    <w:uiPriority w:val="0"/>
    <w:rPr>
      <w:rFonts w:cs="Times New Roman"/>
      <w:b/>
    </w:rPr>
  </w:style>
  <w:style w:type="character" w:styleId="50">
    <w:name w:val="page number"/>
    <w:basedOn w:val="48"/>
    <w:autoRedefine/>
    <w:qFormat/>
    <w:uiPriority w:val="0"/>
    <w:rPr>
      <w:rFonts w:eastAsia="宋体"/>
      <w:b/>
      <w:spacing w:val="0"/>
      <w:kern w:val="2"/>
      <w:sz w:val="24"/>
      <w:szCs w:val="24"/>
      <w:vertAlign w:val="baseline"/>
      <w:lang w:val="en-US" w:eastAsia="zh-CN" w:bidi="ar-SA"/>
    </w:rPr>
  </w:style>
  <w:style w:type="character" w:styleId="51">
    <w:name w:val="FollowedHyperlink"/>
    <w:autoRedefine/>
    <w:qFormat/>
    <w:uiPriority w:val="0"/>
    <w:rPr>
      <w:color w:val="800080"/>
      <w:u w:val="single"/>
    </w:rPr>
  </w:style>
  <w:style w:type="character" w:styleId="52">
    <w:name w:val="Emphasis"/>
    <w:autoRedefine/>
    <w:qFormat/>
    <w:uiPriority w:val="0"/>
    <w:rPr>
      <w:color w:val="CC0000"/>
    </w:rPr>
  </w:style>
  <w:style w:type="character" w:styleId="53">
    <w:name w:val="Hyperlink"/>
    <w:basedOn w:val="48"/>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HTML Cite"/>
    <w:qFormat/>
    <w:uiPriority w:val="0"/>
    <w:rPr>
      <w:color w:val="008000"/>
    </w:rPr>
  </w:style>
  <w:style w:type="paragraph" w:customStyle="1" w:styleId="56">
    <w:name w:val="首行缩进"/>
    <w:basedOn w:val="1"/>
    <w:qFormat/>
    <w:uiPriority w:val="0"/>
    <w:pPr>
      <w:spacing w:line="360" w:lineRule="auto"/>
      <w:ind w:firstLine="480" w:firstLineChars="200"/>
    </w:pPr>
    <w:rPr>
      <w:rFonts w:ascii="宋体" w:hAnsi="宋体" w:cs="宋体"/>
      <w:kern w:val="0"/>
      <w:sz w:val="24"/>
    </w:rPr>
  </w:style>
  <w:style w:type="paragraph" w:customStyle="1" w:styleId="57">
    <w:name w:val="一级条标题"/>
    <w:basedOn w:val="58"/>
    <w:next w:val="59"/>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8">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59">
    <w:name w:val="段"/>
    <w:basedOn w:val="60"/>
    <w:next w:val="1"/>
    <w:autoRedefine/>
    <w:qFormat/>
    <w:uiPriority w:val="0"/>
    <w:pPr>
      <w:widowControl/>
      <w:autoSpaceDE w:val="0"/>
      <w:autoSpaceDN w:val="0"/>
      <w:ind w:firstLine="200" w:firstLineChars="200"/>
    </w:pPr>
    <w:rPr>
      <w:rFonts w:hint="eastAsia" w:ascii="宋体"/>
      <w:kern w:val="0"/>
      <w:szCs w:val="20"/>
    </w:rPr>
  </w:style>
  <w:style w:type="paragraph" w:customStyle="1" w:styleId="60">
    <w:name w:val="正文11"/>
    <w:next w:val="61"/>
    <w:qFormat/>
    <w:uiPriority w:val="0"/>
    <w:rPr>
      <w:rFonts w:ascii="Calibri" w:hAnsi="Calibri" w:eastAsia="宋体" w:cs="Calibri"/>
      <w:sz w:val="24"/>
      <w:szCs w:val="24"/>
      <w:lang w:val="en-US" w:eastAsia="zh-CN" w:bidi="ar-SA"/>
    </w:rPr>
  </w:style>
  <w:style w:type="paragraph" w:customStyle="1" w:styleId="61">
    <w:name w:val="标题 111"/>
    <w:basedOn w:val="60"/>
    <w:next w:val="60"/>
    <w:autoRedefine/>
    <w:qFormat/>
    <w:uiPriority w:val="0"/>
    <w:pPr>
      <w:keepNext/>
      <w:keepLines/>
      <w:spacing w:line="578" w:lineRule="auto"/>
      <w:jc w:val="center"/>
      <w:outlineLvl w:val="0"/>
    </w:pPr>
    <w:rPr>
      <w:rFonts w:eastAsia="新宋体"/>
      <w:b/>
      <w:bCs/>
      <w:sz w:val="30"/>
      <w:szCs w:val="44"/>
    </w:rPr>
  </w:style>
  <w:style w:type="paragraph" w:styleId="62">
    <w:name w:val="List Paragraph"/>
    <w:basedOn w:val="1"/>
    <w:autoRedefine/>
    <w:qFormat/>
    <w:uiPriority w:val="34"/>
    <w:pPr>
      <w:ind w:firstLine="420" w:firstLineChars="200"/>
    </w:pPr>
  </w:style>
  <w:style w:type="paragraph" w:customStyle="1" w:styleId="63">
    <w:name w:val="列表段落1"/>
    <w:basedOn w:val="1"/>
    <w:next w:val="18"/>
    <w:autoRedefine/>
    <w:qFormat/>
    <w:uiPriority w:val="99"/>
    <w:pPr>
      <w:ind w:firstLine="420" w:firstLineChars="200"/>
    </w:pPr>
  </w:style>
  <w:style w:type="paragraph" w:customStyle="1" w:styleId="6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5">
    <w:name w:val="正文首行缩进 21"/>
    <w:basedOn w:val="66"/>
    <w:next w:val="1"/>
    <w:autoRedefine/>
    <w:qFormat/>
    <w:uiPriority w:val="0"/>
    <w:pPr>
      <w:spacing w:before="100" w:beforeAutospacing="1"/>
      <w:ind w:firstLine="420"/>
    </w:pPr>
    <w:rPr>
      <w:rFonts w:ascii="宋体" w:hAnsi="宋体"/>
      <w:szCs w:val="21"/>
    </w:rPr>
  </w:style>
  <w:style w:type="paragraph" w:customStyle="1" w:styleId="66">
    <w:name w:val="正文文本缩进1"/>
    <w:basedOn w:val="1"/>
    <w:autoRedefine/>
    <w:qFormat/>
    <w:uiPriority w:val="0"/>
    <w:pPr>
      <w:spacing w:line="500" w:lineRule="exact"/>
      <w:ind w:firstLine="880" w:firstLineChars="200"/>
    </w:pPr>
  </w:style>
  <w:style w:type="character" w:customStyle="1" w:styleId="67">
    <w:name w:val="标题 1 字符"/>
    <w:link w:val="4"/>
    <w:autoRedefine/>
    <w:qFormat/>
    <w:uiPriority w:val="0"/>
    <w:rPr>
      <w:rFonts w:ascii="Times New Roman" w:hAnsi="Times New Roman" w:eastAsia="宋体" w:cs="Times New Roman"/>
      <w:b/>
      <w:bCs/>
      <w:kern w:val="44"/>
      <w:sz w:val="32"/>
      <w:szCs w:val="44"/>
    </w:rPr>
  </w:style>
  <w:style w:type="character" w:customStyle="1" w:styleId="68">
    <w:name w:val="明显强调1"/>
    <w:autoRedefine/>
    <w:qFormat/>
    <w:uiPriority w:val="0"/>
    <w:rPr>
      <w:b/>
      <w:bCs/>
      <w:i/>
      <w:iCs/>
      <w:color w:val="4F81BD"/>
    </w:rPr>
  </w:style>
  <w:style w:type="character" w:customStyle="1" w:styleId="69">
    <w:name w:val="批注文字 Char2"/>
    <w:qFormat/>
    <w:uiPriority w:val="0"/>
    <w:rPr>
      <w:kern w:val="2"/>
      <w:sz w:val="21"/>
    </w:rPr>
  </w:style>
  <w:style w:type="character" w:customStyle="1" w:styleId="70">
    <w:name w:val="标题 3 Char_0"/>
    <w:link w:val="71"/>
    <w:autoRedefine/>
    <w:qFormat/>
    <w:uiPriority w:val="0"/>
    <w:rPr>
      <w:b/>
      <w:bCs/>
      <w:sz w:val="32"/>
      <w:szCs w:val="32"/>
    </w:rPr>
  </w:style>
  <w:style w:type="paragraph" w:customStyle="1" w:styleId="71">
    <w:name w:val="标题 3_0"/>
    <w:basedOn w:val="72"/>
    <w:next w:val="72"/>
    <w:link w:val="70"/>
    <w:autoRedefine/>
    <w:qFormat/>
    <w:uiPriority w:val="0"/>
    <w:pPr>
      <w:keepNext/>
      <w:keepLines/>
      <w:spacing w:before="260" w:after="260" w:line="416" w:lineRule="auto"/>
      <w:outlineLvl w:val="2"/>
    </w:pPr>
    <w:rPr>
      <w:b/>
      <w:bCs/>
      <w:kern w:val="0"/>
      <w:sz w:val="32"/>
      <w:szCs w:val="32"/>
    </w:rPr>
  </w:style>
  <w:style w:type="paragraph" w:customStyle="1" w:styleId="72">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3">
    <w:name w:val="标题 2 字符"/>
    <w:link w:val="5"/>
    <w:autoRedefine/>
    <w:qFormat/>
    <w:uiPriority w:val="0"/>
    <w:rPr>
      <w:rFonts w:ascii="Cambria" w:hAnsi="Cambria"/>
      <w:b/>
      <w:bCs/>
      <w:kern w:val="2"/>
      <w:sz w:val="32"/>
      <w:szCs w:val="32"/>
    </w:rPr>
  </w:style>
  <w:style w:type="character" w:customStyle="1" w:styleId="74">
    <w:name w:val="正文文本 Char2"/>
    <w:autoRedefine/>
    <w:semiHidden/>
    <w:qFormat/>
    <w:uiPriority w:val="99"/>
    <w:rPr>
      <w:rFonts w:ascii="Calibri" w:hAnsi="Calibri" w:eastAsia="宋体" w:cs="Times New Roman"/>
    </w:rPr>
  </w:style>
  <w:style w:type="character" w:customStyle="1" w:styleId="75">
    <w:name w:val="页脚 Char1"/>
    <w:autoRedefine/>
    <w:semiHidden/>
    <w:qFormat/>
    <w:uiPriority w:val="99"/>
    <w:rPr>
      <w:rFonts w:ascii="Calibri" w:hAnsi="Calibri" w:eastAsia="宋体" w:cs="Times New Roman"/>
      <w:sz w:val="18"/>
      <w:szCs w:val="18"/>
    </w:rPr>
  </w:style>
  <w:style w:type="character" w:customStyle="1" w:styleId="76">
    <w:name w:val="明显引用 Char2"/>
    <w:autoRedefine/>
    <w:qFormat/>
    <w:uiPriority w:val="99"/>
    <w:rPr>
      <w:b/>
      <w:bCs/>
      <w:i/>
      <w:iCs/>
      <w:color w:val="4F81BD"/>
      <w:kern w:val="2"/>
      <w:sz w:val="21"/>
      <w:szCs w:val="24"/>
    </w:rPr>
  </w:style>
  <w:style w:type="character" w:customStyle="1" w:styleId="77">
    <w:name w:val="引用 Char"/>
    <w:link w:val="78"/>
    <w:autoRedefine/>
    <w:qFormat/>
    <w:uiPriority w:val="0"/>
    <w:rPr>
      <w:i/>
      <w:iCs/>
      <w:color w:val="000000"/>
    </w:rPr>
  </w:style>
  <w:style w:type="paragraph" w:customStyle="1" w:styleId="78">
    <w:name w:val="引用1"/>
    <w:basedOn w:val="1"/>
    <w:next w:val="1"/>
    <w:link w:val="77"/>
    <w:autoRedefine/>
    <w:qFormat/>
    <w:uiPriority w:val="0"/>
    <w:rPr>
      <w:i/>
      <w:iCs/>
      <w:color w:val="000000"/>
      <w:kern w:val="0"/>
      <w:sz w:val="20"/>
      <w:szCs w:val="20"/>
    </w:rPr>
  </w:style>
  <w:style w:type="character" w:customStyle="1" w:styleId="79">
    <w:name w:val="标题 1 Char_0"/>
    <w:link w:val="80"/>
    <w:autoRedefine/>
    <w:qFormat/>
    <w:uiPriority w:val="0"/>
    <w:rPr>
      <w:b/>
      <w:bCs/>
      <w:kern w:val="44"/>
      <w:sz w:val="44"/>
      <w:szCs w:val="44"/>
    </w:rPr>
  </w:style>
  <w:style w:type="paragraph" w:customStyle="1" w:styleId="80">
    <w:name w:val="标题 1_0"/>
    <w:basedOn w:val="72"/>
    <w:next w:val="72"/>
    <w:link w:val="79"/>
    <w:autoRedefine/>
    <w:qFormat/>
    <w:uiPriority w:val="0"/>
    <w:pPr>
      <w:keepNext/>
      <w:keepLines/>
      <w:spacing w:before="340" w:after="330" w:line="578" w:lineRule="auto"/>
      <w:outlineLvl w:val="0"/>
    </w:pPr>
    <w:rPr>
      <w:b/>
      <w:bCs/>
      <w:kern w:val="44"/>
      <w:sz w:val="44"/>
      <w:szCs w:val="44"/>
    </w:rPr>
  </w:style>
  <w:style w:type="character" w:customStyle="1" w:styleId="81">
    <w:name w:val="正文文本缩进 3 Char1"/>
    <w:autoRedefine/>
    <w:semiHidden/>
    <w:qFormat/>
    <w:uiPriority w:val="99"/>
    <w:rPr>
      <w:kern w:val="2"/>
      <w:sz w:val="16"/>
      <w:szCs w:val="16"/>
    </w:rPr>
  </w:style>
  <w:style w:type="character" w:customStyle="1" w:styleId="82">
    <w:name w:val="引用 Char1"/>
    <w:qFormat/>
    <w:uiPriority w:val="29"/>
    <w:rPr>
      <w:i/>
      <w:iCs/>
      <w:color w:val="000000"/>
      <w:kern w:val="2"/>
      <w:sz w:val="21"/>
    </w:rPr>
  </w:style>
  <w:style w:type="character" w:customStyle="1" w:styleId="83">
    <w:name w:val="正文文本缩进 字符"/>
    <w:link w:val="2"/>
    <w:qFormat/>
    <w:uiPriority w:val="0"/>
    <w:rPr>
      <w:kern w:val="2"/>
      <w:sz w:val="21"/>
      <w:szCs w:val="24"/>
    </w:rPr>
  </w:style>
  <w:style w:type="character" w:customStyle="1" w:styleId="84">
    <w:name w:val="font161"/>
    <w:qFormat/>
    <w:uiPriority w:val="0"/>
    <w:rPr>
      <w:b/>
      <w:sz w:val="32"/>
    </w:rPr>
  </w:style>
  <w:style w:type="character" w:customStyle="1" w:styleId="85">
    <w:name w:val="标题 4 Char_0"/>
    <w:link w:val="86"/>
    <w:qFormat/>
    <w:uiPriority w:val="0"/>
    <w:rPr>
      <w:rFonts w:ascii="Arial" w:hAnsi="Arial" w:eastAsia="黑体"/>
      <w:b/>
      <w:bCs/>
      <w:sz w:val="28"/>
      <w:szCs w:val="28"/>
    </w:rPr>
  </w:style>
  <w:style w:type="paragraph" w:customStyle="1" w:styleId="86">
    <w:name w:val="标题 4_0"/>
    <w:basedOn w:val="72"/>
    <w:next w:val="72"/>
    <w:link w:val="85"/>
    <w:autoRedefine/>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7">
    <w:name w:val="页眉 字符"/>
    <w:link w:val="30"/>
    <w:qFormat/>
    <w:uiPriority w:val="0"/>
    <w:rPr>
      <w:kern w:val="2"/>
      <w:sz w:val="18"/>
      <w:szCs w:val="18"/>
    </w:rPr>
  </w:style>
  <w:style w:type="character" w:customStyle="1" w:styleId="88">
    <w:name w:val="标题 6 字符"/>
    <w:link w:val="9"/>
    <w:qFormat/>
    <w:uiPriority w:val="0"/>
    <w:rPr>
      <w:rFonts w:ascii="Cambria" w:hAnsi="Cambria" w:eastAsia="宋体" w:cs="Times New Roman"/>
      <w:b/>
      <w:bCs/>
      <w:kern w:val="2"/>
      <w:sz w:val="24"/>
      <w:szCs w:val="24"/>
    </w:rPr>
  </w:style>
  <w:style w:type="character" w:customStyle="1" w:styleId="89">
    <w:name w:val="纯文本 字符"/>
    <w:link w:val="24"/>
    <w:qFormat/>
    <w:uiPriority w:val="0"/>
    <w:rPr>
      <w:rFonts w:ascii="Ari"/>
      <w:lang w:val="en-US" w:eastAsia="zh-CN" w:bidi="ar-SA"/>
    </w:rPr>
  </w:style>
  <w:style w:type="character" w:customStyle="1" w:styleId="90">
    <w:name w:val="引用 Char2"/>
    <w:autoRedefine/>
    <w:qFormat/>
    <w:uiPriority w:val="99"/>
    <w:rPr>
      <w:i/>
      <w:iCs/>
      <w:color w:val="000000"/>
      <w:kern w:val="2"/>
      <w:sz w:val="21"/>
      <w:szCs w:val="24"/>
    </w:rPr>
  </w:style>
  <w:style w:type="character" w:customStyle="1" w:styleId="91">
    <w:name w:val="rvts11"/>
    <w:qFormat/>
    <w:uiPriority w:val="0"/>
    <w:rPr>
      <w:rFonts w:hint="default" w:ascii="KNLe" w:hAnsi="KNLe"/>
      <w:sz w:val="24"/>
      <w:szCs w:val="24"/>
      <w:u w:val="single"/>
    </w:rPr>
  </w:style>
  <w:style w:type="character" w:customStyle="1" w:styleId="92">
    <w:name w:val="标题 字符"/>
    <w:link w:val="42"/>
    <w:qFormat/>
    <w:uiPriority w:val="0"/>
    <w:rPr>
      <w:rFonts w:ascii="Arial" w:hAnsi="Arial"/>
      <w:b/>
      <w:sz w:val="32"/>
    </w:rPr>
  </w:style>
  <w:style w:type="character" w:customStyle="1" w:styleId="93">
    <w:name w:val="标题5 Char Char"/>
    <w:link w:val="94"/>
    <w:qFormat/>
    <w:uiPriority w:val="0"/>
    <w:rPr>
      <w:rFonts w:ascii="Arial" w:hAnsi="Arial"/>
      <w:b/>
      <w:bCs/>
      <w:sz w:val="24"/>
      <w:szCs w:val="32"/>
    </w:rPr>
  </w:style>
  <w:style w:type="paragraph" w:customStyle="1" w:styleId="94">
    <w:name w:val="标题5"/>
    <w:basedOn w:val="6"/>
    <w:link w:val="93"/>
    <w:qFormat/>
    <w:uiPriority w:val="0"/>
    <w:pPr>
      <w:numPr>
        <w:ilvl w:val="0"/>
        <w:numId w:val="0"/>
      </w:numPr>
      <w:spacing w:line="413" w:lineRule="auto"/>
    </w:pPr>
    <w:rPr>
      <w:rFonts w:ascii="Arial" w:hAnsi="Arial"/>
      <w:kern w:val="0"/>
      <w:sz w:val="24"/>
    </w:rPr>
  </w:style>
  <w:style w:type="character" w:customStyle="1" w:styleId="95">
    <w:name w:val="副标题 Char2"/>
    <w:qFormat/>
    <w:uiPriority w:val="11"/>
    <w:rPr>
      <w:rFonts w:ascii="Cambria" w:hAnsi="Cambria" w:cs="Times New Roman"/>
      <w:b/>
      <w:bCs/>
      <w:kern w:val="28"/>
      <w:sz w:val="32"/>
      <w:szCs w:val="32"/>
    </w:rPr>
  </w:style>
  <w:style w:type="character" w:customStyle="1" w:styleId="96">
    <w:name w:val="文档结构图 字符"/>
    <w:link w:val="17"/>
    <w:qFormat/>
    <w:uiPriority w:val="0"/>
    <w:rPr>
      <w:rFonts w:ascii="宋体"/>
      <w:kern w:val="2"/>
      <w:sz w:val="18"/>
      <w:szCs w:val="18"/>
    </w:rPr>
  </w:style>
  <w:style w:type="character" w:customStyle="1" w:styleId="97">
    <w:name w:val="日期 字符"/>
    <w:link w:val="26"/>
    <w:qFormat/>
    <w:uiPriority w:val="0"/>
    <w:rPr>
      <w:kern w:val="2"/>
      <w:sz w:val="21"/>
      <w:szCs w:val="24"/>
    </w:rPr>
  </w:style>
  <w:style w:type="character" w:customStyle="1" w:styleId="98">
    <w:name w:val="批注主题 Char1"/>
    <w:qFormat/>
    <w:uiPriority w:val="0"/>
    <w:rPr>
      <w:b/>
      <w:bCs/>
      <w:kern w:val="2"/>
      <w:sz w:val="21"/>
      <w:szCs w:val="22"/>
    </w:rPr>
  </w:style>
  <w:style w:type="character" w:customStyle="1" w:styleId="99">
    <w:name w:val="font31"/>
    <w:qFormat/>
    <w:uiPriority w:val="0"/>
    <w:rPr>
      <w:rFonts w:hint="eastAsia" w:ascii="宋体" w:hAnsi="宋体" w:eastAsia="宋体" w:cs="宋体"/>
      <w:color w:val="000000"/>
      <w:sz w:val="20"/>
      <w:szCs w:val="20"/>
      <w:u w:val="none"/>
    </w:rPr>
  </w:style>
  <w:style w:type="character" w:customStyle="1" w:styleId="100">
    <w:name w:val="明显引用 Char"/>
    <w:link w:val="101"/>
    <w:qFormat/>
    <w:uiPriority w:val="0"/>
    <w:rPr>
      <w:b/>
      <w:bCs/>
      <w:i/>
      <w:iCs/>
      <w:color w:val="4F81BD"/>
    </w:rPr>
  </w:style>
  <w:style w:type="paragraph" w:customStyle="1" w:styleId="101">
    <w:name w:val="明显引用1"/>
    <w:basedOn w:val="1"/>
    <w:next w:val="1"/>
    <w:link w:val="100"/>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2">
    <w:name w:val="标题 5 字符"/>
    <w:link w:val="8"/>
    <w:qFormat/>
    <w:uiPriority w:val="0"/>
    <w:rPr>
      <w:b/>
      <w:bCs/>
      <w:kern w:val="2"/>
      <w:sz w:val="28"/>
      <w:szCs w:val="28"/>
    </w:rPr>
  </w:style>
  <w:style w:type="character" w:customStyle="1" w:styleId="103">
    <w:name w:val="日期 Char1"/>
    <w:qFormat/>
    <w:uiPriority w:val="0"/>
    <w:rPr>
      <w:rFonts w:ascii="Calibri" w:hAnsi="Calibri" w:eastAsia="宋体" w:cs="Times New Roman"/>
    </w:rPr>
  </w:style>
  <w:style w:type="character" w:customStyle="1" w:styleId="104">
    <w:name w:val="批注框文本 Char1"/>
    <w:qFormat/>
    <w:uiPriority w:val="0"/>
    <w:rPr>
      <w:kern w:val="2"/>
      <w:sz w:val="18"/>
      <w:szCs w:val="18"/>
    </w:rPr>
  </w:style>
  <w:style w:type="character" w:customStyle="1" w:styleId="105">
    <w:name w:val="标题 Char1"/>
    <w:qFormat/>
    <w:uiPriority w:val="10"/>
    <w:rPr>
      <w:rFonts w:ascii="Cambria" w:hAnsi="Cambria" w:eastAsia="宋体" w:cs="Times New Roman"/>
      <w:b/>
      <w:bCs/>
      <w:sz w:val="32"/>
      <w:szCs w:val="32"/>
    </w:rPr>
  </w:style>
  <w:style w:type="character" w:customStyle="1" w:styleId="106">
    <w:name w:val="标题 9 字符"/>
    <w:link w:val="12"/>
    <w:autoRedefine/>
    <w:qFormat/>
    <w:uiPriority w:val="0"/>
    <w:rPr>
      <w:rFonts w:ascii="Cambria" w:hAnsi="Cambria" w:eastAsia="宋体" w:cs="Times New Roman"/>
      <w:kern w:val="2"/>
      <w:sz w:val="21"/>
      <w:szCs w:val="21"/>
    </w:rPr>
  </w:style>
  <w:style w:type="character" w:customStyle="1" w:styleId="107">
    <w:name w:val="不明显参考1"/>
    <w:qFormat/>
    <w:uiPriority w:val="0"/>
    <w:rPr>
      <w:smallCaps/>
      <w:color w:val="C0504D"/>
      <w:u w:val="single"/>
    </w:rPr>
  </w:style>
  <w:style w:type="character" w:customStyle="1" w:styleId="108">
    <w:name w:val="批注文字 Char1"/>
    <w:autoRedefine/>
    <w:qFormat/>
    <w:uiPriority w:val="0"/>
    <w:rPr>
      <w:rFonts w:ascii="Calibri" w:hAnsi="Calibri" w:eastAsia="宋体" w:cs="Times New Roman"/>
    </w:rPr>
  </w:style>
  <w:style w:type="character" w:customStyle="1" w:styleId="109">
    <w:name w:val="标题 Char2"/>
    <w:qFormat/>
    <w:uiPriority w:val="10"/>
    <w:rPr>
      <w:rFonts w:ascii="Cambria" w:hAnsi="Cambria" w:cs="Times New Roman"/>
      <w:b/>
      <w:bCs/>
      <w:kern w:val="2"/>
      <w:sz w:val="32"/>
      <w:szCs w:val="32"/>
    </w:rPr>
  </w:style>
  <w:style w:type="character" w:customStyle="1" w:styleId="110">
    <w:name w:val="正文文本 3 Char1"/>
    <w:autoRedefine/>
    <w:semiHidden/>
    <w:qFormat/>
    <w:uiPriority w:val="99"/>
    <w:rPr>
      <w:kern w:val="2"/>
      <w:sz w:val="16"/>
      <w:szCs w:val="16"/>
    </w:rPr>
  </w:style>
  <w:style w:type="character" w:customStyle="1" w:styleId="111">
    <w:name w:val="批注主题 Char2"/>
    <w:autoRedefine/>
    <w:qFormat/>
    <w:uiPriority w:val="0"/>
    <w:rPr>
      <w:b/>
      <w:bCs/>
      <w:kern w:val="2"/>
      <w:sz w:val="21"/>
    </w:rPr>
  </w:style>
  <w:style w:type="character" w:customStyle="1" w:styleId="112">
    <w:name w:val="标题 3 字符"/>
    <w:link w:val="6"/>
    <w:qFormat/>
    <w:uiPriority w:val="0"/>
    <w:rPr>
      <w:b/>
      <w:bCs/>
      <w:kern w:val="2"/>
      <w:sz w:val="32"/>
      <w:szCs w:val="32"/>
    </w:rPr>
  </w:style>
  <w:style w:type="character" w:customStyle="1" w:styleId="113">
    <w:name w:val="正文文本 Char_0"/>
    <w:link w:val="114"/>
    <w:autoRedefine/>
    <w:qFormat/>
    <w:uiPriority w:val="0"/>
    <w:rPr>
      <w:szCs w:val="24"/>
    </w:rPr>
  </w:style>
  <w:style w:type="paragraph" w:customStyle="1" w:styleId="114">
    <w:name w:val="正文文本_0"/>
    <w:basedOn w:val="72"/>
    <w:link w:val="113"/>
    <w:autoRedefine/>
    <w:qFormat/>
    <w:uiPriority w:val="0"/>
    <w:pPr>
      <w:spacing w:after="120"/>
    </w:pPr>
    <w:rPr>
      <w:kern w:val="0"/>
      <w:sz w:val="20"/>
    </w:rPr>
  </w:style>
  <w:style w:type="character" w:customStyle="1" w:styleId="115">
    <w:name w:val="副标题 字符"/>
    <w:link w:val="35"/>
    <w:autoRedefine/>
    <w:qFormat/>
    <w:uiPriority w:val="0"/>
    <w:rPr>
      <w:rFonts w:ascii="Cambria" w:hAnsi="Cambria"/>
      <w:b/>
      <w:bCs/>
      <w:kern w:val="28"/>
      <w:sz w:val="32"/>
      <w:szCs w:val="32"/>
    </w:rPr>
  </w:style>
  <w:style w:type="character" w:customStyle="1" w:styleId="116">
    <w:name w:val="bookmark"/>
    <w:basedOn w:val="48"/>
    <w:qFormat/>
    <w:uiPriority w:val="0"/>
  </w:style>
  <w:style w:type="character" w:customStyle="1" w:styleId="117">
    <w:name w:val="标题 5 Char_0"/>
    <w:link w:val="118"/>
    <w:autoRedefine/>
    <w:qFormat/>
    <w:uiPriority w:val="0"/>
    <w:rPr>
      <w:rFonts w:ascii="Calibri" w:hAnsi="Calibri"/>
      <w:b/>
      <w:bCs/>
      <w:sz w:val="28"/>
      <w:szCs w:val="28"/>
    </w:rPr>
  </w:style>
  <w:style w:type="paragraph" w:customStyle="1" w:styleId="118">
    <w:name w:val="标题 5_0"/>
    <w:basedOn w:val="72"/>
    <w:next w:val="72"/>
    <w:link w:val="117"/>
    <w:autoRedefine/>
    <w:qFormat/>
    <w:uiPriority w:val="0"/>
    <w:pPr>
      <w:keepNext/>
      <w:keepLines/>
      <w:spacing w:before="280" w:after="290" w:line="372" w:lineRule="auto"/>
      <w:outlineLvl w:val="4"/>
    </w:pPr>
    <w:rPr>
      <w:rFonts w:ascii="Calibri" w:hAnsi="Calibri"/>
      <w:b/>
      <w:bCs/>
      <w:kern w:val="0"/>
      <w:sz w:val="28"/>
      <w:szCs w:val="28"/>
    </w:rPr>
  </w:style>
  <w:style w:type="character" w:customStyle="1" w:styleId="119">
    <w:name w:val="正文文本缩进 2 字符"/>
    <w:link w:val="27"/>
    <w:autoRedefine/>
    <w:qFormat/>
    <w:uiPriority w:val="99"/>
    <w:rPr>
      <w:rFonts w:ascii="宋体"/>
    </w:rPr>
  </w:style>
  <w:style w:type="character" w:customStyle="1" w:styleId="120">
    <w:name w:val="批注文字 字符"/>
    <w:link w:val="18"/>
    <w:autoRedefine/>
    <w:qFormat/>
    <w:uiPriority w:val="99"/>
    <w:rPr>
      <w:kern w:val="2"/>
      <w:sz w:val="21"/>
      <w:szCs w:val="24"/>
    </w:rPr>
  </w:style>
  <w:style w:type="character" w:customStyle="1" w:styleId="121">
    <w:name w:val="font11"/>
    <w:autoRedefine/>
    <w:qFormat/>
    <w:uiPriority w:val="0"/>
    <w:rPr>
      <w:rFonts w:hint="eastAsia" w:ascii="宋体" w:hAnsi="宋体" w:eastAsia="宋体" w:cs="宋体"/>
      <w:color w:val="000000"/>
      <w:sz w:val="20"/>
      <w:szCs w:val="20"/>
      <w:u w:val="none"/>
    </w:rPr>
  </w:style>
  <w:style w:type="character" w:customStyle="1" w:styleId="122">
    <w:name w:val="明显参考1"/>
    <w:autoRedefine/>
    <w:qFormat/>
    <w:uiPriority w:val="0"/>
    <w:rPr>
      <w:b/>
      <w:bCs/>
      <w:smallCaps/>
      <w:color w:val="C0504D"/>
      <w:spacing w:val="5"/>
      <w:u w:val="single"/>
    </w:rPr>
  </w:style>
  <w:style w:type="character" w:customStyle="1" w:styleId="123">
    <w:name w:val="超链接_0"/>
    <w:autoRedefine/>
    <w:qFormat/>
    <w:uiPriority w:val="99"/>
    <w:rPr>
      <w:rFonts w:ascii="Calibri" w:hAnsi="Calibri"/>
      <w:color w:val="0000FF"/>
      <w:u w:val="single"/>
    </w:rPr>
  </w:style>
  <w:style w:type="character" w:customStyle="1" w:styleId="124">
    <w:name w:val="文档结构图 Char2"/>
    <w:autoRedefine/>
    <w:semiHidden/>
    <w:qFormat/>
    <w:uiPriority w:val="99"/>
    <w:rPr>
      <w:rFonts w:ascii="宋体" w:hAnsi="Calibri" w:eastAsia="宋体" w:cs="Times New Roman"/>
      <w:sz w:val="18"/>
      <w:szCs w:val="18"/>
    </w:rPr>
  </w:style>
  <w:style w:type="character" w:customStyle="1" w:styleId="125">
    <w:name w:val="textcontents"/>
    <w:autoRedefine/>
    <w:qFormat/>
    <w:uiPriority w:val="0"/>
    <w:rPr>
      <w:rFonts w:cs="Times New Roman"/>
    </w:rPr>
  </w:style>
  <w:style w:type="character" w:customStyle="1" w:styleId="126">
    <w:name w:val="标题 1 Char"/>
    <w:qFormat/>
    <w:uiPriority w:val="0"/>
    <w:rPr>
      <w:b/>
      <w:bCs/>
      <w:kern w:val="44"/>
      <w:sz w:val="32"/>
      <w:szCs w:val="44"/>
    </w:rPr>
  </w:style>
  <w:style w:type="character" w:customStyle="1" w:styleId="127">
    <w:name w:val="正文文本 字符"/>
    <w:link w:val="20"/>
    <w:autoRedefine/>
    <w:qFormat/>
    <w:uiPriority w:val="0"/>
    <w:rPr>
      <w:rFonts w:eastAsia="幼圆"/>
      <w:b/>
      <w:bCs/>
      <w:kern w:val="2"/>
      <w:sz w:val="44"/>
      <w:szCs w:val="24"/>
    </w:rPr>
  </w:style>
  <w:style w:type="character" w:customStyle="1" w:styleId="128">
    <w:name w:val="标题 8 字符"/>
    <w:link w:val="11"/>
    <w:autoRedefine/>
    <w:qFormat/>
    <w:uiPriority w:val="0"/>
    <w:rPr>
      <w:rFonts w:ascii="Cambria" w:hAnsi="Cambria" w:eastAsia="宋体" w:cs="Times New Roman"/>
      <w:kern w:val="2"/>
      <w:sz w:val="24"/>
      <w:szCs w:val="24"/>
    </w:rPr>
  </w:style>
  <w:style w:type="character" w:customStyle="1" w:styleId="129">
    <w:name w:val="副标题 Char1"/>
    <w:autoRedefine/>
    <w:qFormat/>
    <w:uiPriority w:val="11"/>
    <w:rPr>
      <w:rFonts w:ascii="Cambria" w:hAnsi="Cambria" w:cs="Times New Roman"/>
      <w:b/>
      <w:bCs/>
      <w:kern w:val="28"/>
      <w:sz w:val="32"/>
      <w:szCs w:val="32"/>
    </w:rPr>
  </w:style>
  <w:style w:type="character" w:customStyle="1" w:styleId="130">
    <w:name w:val="批注主题 字符"/>
    <w:link w:val="43"/>
    <w:autoRedefine/>
    <w:qFormat/>
    <w:uiPriority w:val="0"/>
    <w:rPr>
      <w:b/>
      <w:bCs/>
      <w:kern w:val="2"/>
      <w:sz w:val="21"/>
      <w:szCs w:val="24"/>
    </w:rPr>
  </w:style>
  <w:style w:type="character" w:customStyle="1" w:styleId="131">
    <w:name w:val="书籍标题1"/>
    <w:autoRedefine/>
    <w:qFormat/>
    <w:uiPriority w:val="0"/>
    <w:rPr>
      <w:b/>
      <w:bCs/>
      <w:smallCaps/>
      <w:spacing w:val="5"/>
    </w:rPr>
  </w:style>
  <w:style w:type="character" w:customStyle="1" w:styleId="132">
    <w:name w:val="页脚 字符"/>
    <w:link w:val="29"/>
    <w:qFormat/>
    <w:uiPriority w:val="99"/>
    <w:rPr>
      <w:kern w:val="2"/>
      <w:sz w:val="18"/>
      <w:szCs w:val="18"/>
    </w:rPr>
  </w:style>
  <w:style w:type="character" w:customStyle="1" w:styleId="133">
    <w:name w:val="标题4 Char Char"/>
    <w:link w:val="134"/>
    <w:autoRedefine/>
    <w:qFormat/>
    <w:uiPriority w:val="0"/>
    <w:rPr>
      <w:rFonts w:ascii="Arial" w:hAnsi="Arial"/>
      <w:b/>
      <w:bCs/>
      <w:sz w:val="24"/>
      <w:szCs w:val="32"/>
    </w:rPr>
  </w:style>
  <w:style w:type="paragraph" w:customStyle="1" w:styleId="134">
    <w:name w:val="标题4"/>
    <w:basedOn w:val="5"/>
    <w:next w:val="21"/>
    <w:link w:val="133"/>
    <w:autoRedefine/>
    <w:qFormat/>
    <w:uiPriority w:val="0"/>
    <w:pPr>
      <w:numPr>
        <w:ilvl w:val="0"/>
        <w:numId w:val="0"/>
      </w:numPr>
      <w:spacing w:line="413" w:lineRule="auto"/>
    </w:pPr>
    <w:rPr>
      <w:rFonts w:ascii="Arial" w:hAnsi="Arial"/>
      <w:kern w:val="0"/>
      <w:sz w:val="24"/>
    </w:rPr>
  </w:style>
  <w:style w:type="character" w:customStyle="1" w:styleId="135">
    <w:name w:val="正文文本 Char1"/>
    <w:autoRedefine/>
    <w:qFormat/>
    <w:uiPriority w:val="0"/>
    <w:rPr>
      <w:rFonts w:ascii="Calibri" w:hAnsi="Calibri" w:eastAsia="宋体" w:cs="Times New Roman"/>
    </w:rPr>
  </w:style>
  <w:style w:type="character" w:customStyle="1" w:styleId="136">
    <w:name w:val="明显引用 Char1"/>
    <w:autoRedefine/>
    <w:qFormat/>
    <w:uiPriority w:val="30"/>
    <w:rPr>
      <w:b/>
      <w:bCs/>
      <w:i/>
      <w:iCs/>
      <w:color w:val="4F81BD"/>
      <w:kern w:val="2"/>
      <w:sz w:val="21"/>
    </w:rPr>
  </w:style>
  <w:style w:type="character" w:customStyle="1" w:styleId="137">
    <w:name w:val="页眉 Char1"/>
    <w:autoRedefine/>
    <w:semiHidden/>
    <w:qFormat/>
    <w:uiPriority w:val="99"/>
    <w:rPr>
      <w:rFonts w:ascii="Calibri" w:hAnsi="Calibri" w:eastAsia="宋体" w:cs="Times New Roman"/>
      <w:sz w:val="18"/>
      <w:szCs w:val="18"/>
    </w:rPr>
  </w:style>
  <w:style w:type="character" w:customStyle="1" w:styleId="138">
    <w:name w:val="不明显强调1"/>
    <w:autoRedefine/>
    <w:qFormat/>
    <w:uiPriority w:val="0"/>
    <w:rPr>
      <w:i/>
      <w:iCs/>
      <w:color w:val="808080"/>
    </w:rPr>
  </w:style>
  <w:style w:type="character" w:customStyle="1" w:styleId="139">
    <w:name w:val="正文文本 3 字符"/>
    <w:link w:val="19"/>
    <w:autoRedefine/>
    <w:qFormat/>
    <w:uiPriority w:val="0"/>
    <w:rPr>
      <w:rFonts w:ascii="宋体"/>
      <w:kern w:val="2"/>
      <w:sz w:val="24"/>
    </w:rPr>
  </w:style>
  <w:style w:type="character" w:customStyle="1" w:styleId="140">
    <w:name w:val="正文文本缩进 3 字符"/>
    <w:link w:val="37"/>
    <w:autoRedefine/>
    <w:qFormat/>
    <w:uiPriority w:val="0"/>
    <w:rPr>
      <w:kern w:val="2"/>
      <w:sz w:val="16"/>
    </w:rPr>
  </w:style>
  <w:style w:type="character" w:customStyle="1" w:styleId="141">
    <w:name w:val="font21"/>
    <w:autoRedefine/>
    <w:qFormat/>
    <w:uiPriority w:val="0"/>
    <w:rPr>
      <w:rFonts w:hint="eastAsia" w:ascii="宋体" w:hAnsi="宋体" w:eastAsia="宋体" w:cs="宋体"/>
      <w:color w:val="000000"/>
      <w:sz w:val="20"/>
      <w:szCs w:val="20"/>
      <w:u w:val="none"/>
    </w:rPr>
  </w:style>
  <w:style w:type="character" w:customStyle="1" w:styleId="142">
    <w:name w:val="批注框文本 字符"/>
    <w:link w:val="28"/>
    <w:autoRedefine/>
    <w:qFormat/>
    <w:uiPriority w:val="0"/>
    <w:rPr>
      <w:kern w:val="2"/>
      <w:sz w:val="18"/>
      <w:szCs w:val="18"/>
    </w:rPr>
  </w:style>
  <w:style w:type="character" w:customStyle="1" w:styleId="143">
    <w:name w:val="标题 7 字符"/>
    <w:link w:val="10"/>
    <w:autoRedefine/>
    <w:qFormat/>
    <w:uiPriority w:val="0"/>
    <w:rPr>
      <w:b/>
      <w:bCs/>
      <w:kern w:val="2"/>
      <w:sz w:val="24"/>
      <w:szCs w:val="24"/>
    </w:rPr>
  </w:style>
  <w:style w:type="character" w:customStyle="1" w:styleId="144">
    <w:name w:val="文档结构图 Char1"/>
    <w:autoRedefine/>
    <w:qFormat/>
    <w:uiPriority w:val="0"/>
    <w:rPr>
      <w:rFonts w:ascii="宋体" w:hAnsi="Calibri" w:eastAsia="宋体" w:cs="Times New Roman"/>
      <w:sz w:val="18"/>
      <w:szCs w:val="18"/>
    </w:rPr>
  </w:style>
  <w:style w:type="character" w:customStyle="1" w:styleId="145">
    <w:name w:val="标题 2 Char_0"/>
    <w:link w:val="146"/>
    <w:autoRedefine/>
    <w:qFormat/>
    <w:uiPriority w:val="0"/>
    <w:rPr>
      <w:rFonts w:ascii="Cambria" w:hAnsi="Cambria"/>
      <w:b/>
      <w:bCs/>
      <w:sz w:val="32"/>
      <w:szCs w:val="32"/>
    </w:rPr>
  </w:style>
  <w:style w:type="paragraph" w:customStyle="1" w:styleId="146">
    <w:name w:val="标题 2_0"/>
    <w:basedOn w:val="72"/>
    <w:next w:val="72"/>
    <w:link w:val="145"/>
    <w:autoRedefine/>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autoRedefine/>
    <w:semiHidden/>
    <w:qFormat/>
    <w:uiPriority w:val="99"/>
    <w:rPr>
      <w:rFonts w:ascii="Calibri" w:hAnsi="Calibri" w:eastAsia="宋体" w:cs="Times New Roman"/>
    </w:rPr>
  </w:style>
  <w:style w:type="character" w:customStyle="1" w:styleId="148">
    <w:name w:val="批注框文本 Char2"/>
    <w:autoRedefine/>
    <w:semiHidden/>
    <w:qFormat/>
    <w:uiPriority w:val="99"/>
    <w:rPr>
      <w:rFonts w:ascii="Calibri" w:hAnsi="Calibri" w:eastAsia="宋体" w:cs="Times New Roman"/>
      <w:sz w:val="18"/>
      <w:szCs w:val="18"/>
    </w:rPr>
  </w:style>
  <w:style w:type="character" w:customStyle="1" w:styleId="149">
    <w:name w:val="标题 4 字符"/>
    <w:link w:val="7"/>
    <w:autoRedefine/>
    <w:qFormat/>
    <w:uiPriority w:val="0"/>
    <w:rPr>
      <w:rFonts w:ascii="Cambria" w:hAnsi="Cambria" w:eastAsia="宋体" w:cs="Times New Roman"/>
      <w:b/>
      <w:bCs/>
      <w:kern w:val="2"/>
      <w:sz w:val="28"/>
      <w:szCs w:val="28"/>
    </w:rPr>
  </w:style>
  <w:style w:type="character" w:customStyle="1" w:styleId="150">
    <w:name w:val="列出段落 Char"/>
    <w:link w:val="151"/>
    <w:autoRedefine/>
    <w:qFormat/>
    <w:locked/>
    <w:uiPriority w:val="99"/>
    <w:rPr>
      <w:kern w:val="2"/>
      <w:sz w:val="21"/>
      <w:szCs w:val="24"/>
    </w:rPr>
  </w:style>
  <w:style w:type="paragraph" w:customStyle="1" w:styleId="151">
    <w:name w:val="List Paragraph1"/>
    <w:basedOn w:val="1"/>
    <w:link w:val="150"/>
    <w:autoRedefine/>
    <w:qFormat/>
    <w:uiPriority w:val="99"/>
    <w:pPr>
      <w:ind w:firstLine="420" w:firstLineChars="200"/>
    </w:pPr>
  </w:style>
  <w:style w:type="paragraph" w:customStyle="1" w:styleId="152">
    <w:name w:val="样式 标题 3 + (中文) 黑体 小四 非加粗 段前: 7.8 磅 段后: 0 磅 行距: 固定值 20 磅"/>
    <w:basedOn w:val="6"/>
    <w:next w:val="1"/>
    <w:autoRedefine/>
    <w:qFormat/>
    <w:uiPriority w:val="0"/>
    <w:pPr>
      <w:spacing w:before="0" w:after="0" w:line="400" w:lineRule="exact"/>
    </w:pPr>
    <w:rPr>
      <w:rFonts w:eastAsia="黑体" w:cs="宋体"/>
      <w:b w:val="0"/>
      <w:bCs w:val="0"/>
      <w:sz w:val="24"/>
      <w:szCs w:val="20"/>
    </w:rPr>
  </w:style>
  <w:style w:type="paragraph" w:customStyle="1" w:styleId="153">
    <w:name w:val="_Style 34"/>
    <w:next w:val="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5">
    <w:name w:val="_Style 36"/>
    <w:next w:val="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6">
    <w:name w:val="空半行"/>
    <w:basedOn w:val="1"/>
    <w:autoRedefine/>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7">
    <w:name w:val="1方案格式1"/>
    <w:basedOn w:val="4"/>
    <w:autoRedefine/>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8">
    <w:name w:val="格式３"/>
    <w:basedOn w:val="1"/>
    <w:autoRedefine/>
    <w:qFormat/>
    <w:uiPriority w:val="0"/>
    <w:pPr>
      <w:spacing w:line="420" w:lineRule="exact"/>
      <w:ind w:left="600" w:hanging="600" w:hangingChars="250"/>
    </w:pPr>
    <w:rPr>
      <w:rFonts w:ascii="宋体" w:hAnsi="宋体"/>
      <w:color w:val="000000"/>
      <w:sz w:val="24"/>
      <w:szCs w:val="20"/>
    </w:rPr>
  </w:style>
  <w:style w:type="paragraph" w:customStyle="1" w:styleId="159">
    <w:name w:val="正文1"/>
    <w:autoRedefine/>
    <w:qFormat/>
    <w:uiPriority w:val="0"/>
    <w:pPr>
      <w:widowControl w:val="0"/>
      <w:jc w:val="both"/>
    </w:pPr>
    <w:rPr>
      <w:rFonts w:ascii="Calibri" w:hAnsi="Calibri" w:eastAsia="宋体" w:cs="Times New Roman"/>
      <w:lang w:val="en-US" w:eastAsia="zh-CN" w:bidi="ar-SA"/>
    </w:rPr>
  </w:style>
  <w:style w:type="paragraph" w:customStyle="1" w:styleId="160">
    <w:name w:val="列出段落1"/>
    <w:basedOn w:val="1"/>
    <w:autoRedefine/>
    <w:qFormat/>
    <w:uiPriority w:val="34"/>
    <w:pPr>
      <w:widowControl/>
      <w:ind w:left="720"/>
      <w:contextualSpacing/>
      <w:jc w:val="left"/>
    </w:pPr>
    <w:rPr>
      <w:rFonts w:ascii="Arial" w:hAnsi="Arial" w:eastAsia="黑体"/>
      <w:kern w:val="0"/>
      <w:sz w:val="24"/>
      <w:lang w:eastAsia="en-US"/>
    </w:rPr>
  </w:style>
  <w:style w:type="paragraph" w:customStyle="1" w:styleId="161">
    <w:name w:val="正文空2字"/>
    <w:basedOn w:val="1"/>
    <w:autoRedefine/>
    <w:qFormat/>
    <w:locked/>
    <w:uiPriority w:val="0"/>
    <w:pPr>
      <w:spacing w:beforeLines="40" w:afterLines="40" w:line="360" w:lineRule="auto"/>
      <w:ind w:firstLine="200" w:firstLineChars="200"/>
    </w:pPr>
    <w:rPr>
      <w:kern w:val="0"/>
      <w:sz w:val="24"/>
      <w:lang w:bidi="en-US"/>
    </w:rPr>
  </w:style>
  <w:style w:type="paragraph" w:customStyle="1" w:styleId="162">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163">
    <w:name w:val="目录 5_0"/>
    <w:basedOn w:val="72"/>
    <w:next w:val="72"/>
    <w:autoRedefine/>
    <w:qFormat/>
    <w:uiPriority w:val="39"/>
    <w:pPr>
      <w:ind w:left="1680" w:leftChars="800"/>
    </w:pPr>
    <w:rPr>
      <w:rFonts w:ascii="Calibri" w:hAnsi="Calibri"/>
    </w:rPr>
  </w:style>
  <w:style w:type="paragraph" w:customStyle="1" w:styleId="164">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165">
    <w:name w:val="标题 11"/>
    <w:basedOn w:val="159"/>
    <w:next w:val="159"/>
    <w:autoRedefine/>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6">
    <w:name w:val="正文 + 行距: 固定值 20 磅"/>
    <w:basedOn w:val="1"/>
    <w:autoRedefine/>
    <w:qFormat/>
    <w:uiPriority w:val="0"/>
    <w:pPr>
      <w:spacing w:line="400" w:lineRule="exact"/>
      <w:ind w:firstLine="716" w:firstLineChars="341"/>
    </w:pPr>
    <w:rPr>
      <w:rFonts w:ascii="Calibri" w:hAnsi="Calibri"/>
      <w:szCs w:val="22"/>
    </w:rPr>
  </w:style>
  <w:style w:type="paragraph" w:customStyle="1" w:styleId="167">
    <w:name w:val="TOC 标题1"/>
    <w:basedOn w:val="4"/>
    <w:next w:val="1"/>
    <w:autoRedefine/>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8">
    <w:name w:val="表格文字"/>
    <w:basedOn w:val="1"/>
    <w:link w:val="198"/>
    <w:autoRedefine/>
    <w:qFormat/>
    <w:uiPriority w:val="0"/>
    <w:pPr>
      <w:adjustRightInd w:val="0"/>
      <w:spacing w:line="420" w:lineRule="atLeast"/>
      <w:jc w:val="left"/>
      <w:textAlignment w:val="baseline"/>
    </w:pPr>
    <w:rPr>
      <w:rFonts w:ascii="Calibri" w:hAnsi="Calibri"/>
      <w:kern w:val="0"/>
      <w:szCs w:val="22"/>
    </w:rPr>
  </w:style>
  <w:style w:type="paragraph" w:customStyle="1" w:styleId="169">
    <w:name w:val="flNote"/>
    <w:basedOn w:val="1"/>
    <w:autoRedefine/>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0">
    <w:name w:val="文章正文"/>
    <w:basedOn w:val="1"/>
    <w:autoRedefine/>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1">
    <w:name w:val="表格"/>
    <w:basedOn w:val="1"/>
    <w:autoRedefine/>
    <w:qFormat/>
    <w:uiPriority w:val="0"/>
    <w:pPr>
      <w:jc w:val="center"/>
      <w:textAlignment w:val="center"/>
    </w:pPr>
    <w:rPr>
      <w:rFonts w:ascii="华文细黑" w:hAnsi="华文细黑"/>
      <w:kern w:val="0"/>
      <w:szCs w:val="22"/>
    </w:rPr>
  </w:style>
  <w:style w:type="paragraph" w:customStyle="1" w:styleId="172">
    <w:name w:val="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4">
    <w:name w:val="列出段落2"/>
    <w:basedOn w:val="1"/>
    <w:qFormat/>
    <w:uiPriority w:val="99"/>
    <w:pPr>
      <w:ind w:firstLine="420" w:firstLineChars="200"/>
    </w:pPr>
  </w:style>
  <w:style w:type="paragraph" w:customStyle="1" w:styleId="175">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6">
    <w:name w:val="Char Char Char Char Char Char Char"/>
    <w:basedOn w:val="1"/>
    <w:qFormat/>
    <w:uiPriority w:val="0"/>
    <w:pPr>
      <w:adjustRightInd w:val="0"/>
      <w:spacing w:line="360" w:lineRule="auto"/>
    </w:pPr>
    <w:rPr>
      <w:kern w:val="0"/>
      <w:sz w:val="24"/>
      <w:szCs w:val="20"/>
    </w:rPr>
  </w:style>
  <w:style w:type="paragraph" w:customStyle="1" w:styleId="177">
    <w:name w:val="2方案格式2"/>
    <w:basedOn w:val="157"/>
    <w:qFormat/>
    <w:uiPriority w:val="0"/>
    <w:pPr>
      <w:numPr>
        <w:ilvl w:val="1"/>
      </w:numPr>
      <w:spacing w:before="50" w:after="50" w:line="240" w:lineRule="auto"/>
      <w:outlineLvl w:val="1"/>
    </w:pPr>
    <w:rPr>
      <w:sz w:val="44"/>
    </w:rPr>
  </w:style>
  <w:style w:type="paragraph" w:customStyle="1" w:styleId="17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9">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0">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1">
    <w:name w:val="目录 4_0"/>
    <w:basedOn w:val="72"/>
    <w:next w:val="72"/>
    <w:qFormat/>
    <w:uiPriority w:val="39"/>
    <w:pPr>
      <w:ind w:left="1260" w:leftChars="600"/>
    </w:pPr>
    <w:rPr>
      <w:rFonts w:ascii="Calibri" w:hAnsi="Calibri"/>
    </w:rPr>
  </w:style>
  <w:style w:type="paragraph" w:customStyle="1" w:styleId="182">
    <w:name w:val="目录 3_0"/>
    <w:basedOn w:val="72"/>
    <w:next w:val="72"/>
    <w:qFormat/>
    <w:uiPriority w:val="39"/>
    <w:pPr>
      <w:ind w:left="840" w:leftChars="400"/>
    </w:pPr>
    <w:rPr>
      <w:rFonts w:ascii="Calibri" w:hAnsi="Calibri"/>
    </w:rPr>
  </w:style>
  <w:style w:type="paragraph" w:customStyle="1" w:styleId="183">
    <w:name w:val="样式 标题 1 + 黑体 三号 非加粗 居中 段前: 6 磅 段后: 6 磅 行距: 固定值 20 磅"/>
    <w:basedOn w:val="4"/>
    <w:qFormat/>
    <w:uiPriority w:val="0"/>
    <w:pPr>
      <w:numPr>
        <w:numId w:val="0"/>
      </w:numPr>
      <w:spacing w:before="120" w:after="120" w:line="400" w:lineRule="exact"/>
    </w:pPr>
    <w:rPr>
      <w:rFonts w:ascii="黑体" w:hAnsi="黑体" w:eastAsia="黑体"/>
      <w:b w:val="0"/>
      <w:bCs w:val="0"/>
      <w:szCs w:val="20"/>
    </w:rPr>
  </w:style>
  <w:style w:type="paragraph" w:customStyle="1" w:styleId="184">
    <w:name w:val="1"/>
    <w:basedOn w:val="1"/>
    <w:next w:val="1"/>
    <w:qFormat/>
    <w:uiPriority w:val="0"/>
    <w:rPr>
      <w:rFonts w:ascii="Calibri" w:hAnsi="Calibri"/>
      <w:szCs w:val="22"/>
    </w:rPr>
  </w:style>
  <w:style w:type="paragraph" w:customStyle="1" w:styleId="185">
    <w:name w:val="Blockquote_0"/>
    <w:basedOn w:val="72"/>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6">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7">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8">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p0"/>
    <w:basedOn w:val="1"/>
    <w:qFormat/>
    <w:uiPriority w:val="0"/>
    <w:pPr>
      <w:widowControl/>
    </w:pPr>
    <w:rPr>
      <w:b/>
      <w:bCs/>
      <w:kern w:val="0"/>
      <w:sz w:val="24"/>
    </w:rPr>
  </w:style>
  <w:style w:type="paragraph" w:customStyle="1" w:styleId="190">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1">
    <w:name w:val="3方案格式3"/>
    <w:basedOn w:val="177"/>
    <w:qFormat/>
    <w:uiPriority w:val="0"/>
    <w:pPr>
      <w:numPr>
        <w:ilvl w:val="2"/>
      </w:numPr>
      <w:outlineLvl w:val="2"/>
    </w:pPr>
    <w:rPr>
      <w:sz w:val="32"/>
    </w:rPr>
  </w:style>
  <w:style w:type="paragraph" w:customStyle="1" w:styleId="192">
    <w:name w:val="样式 标题 2 + Times New Roman 四号 非加粗 段前: 5 磅 段后: 0 磅 行距: 固定值 20..."/>
    <w:basedOn w:val="5"/>
    <w:qFormat/>
    <w:uiPriority w:val="0"/>
    <w:pPr>
      <w:numPr>
        <w:ilvl w:val="0"/>
        <w:numId w:val="0"/>
      </w:numPr>
      <w:spacing w:before="100" w:after="0" w:line="400" w:lineRule="exact"/>
    </w:pPr>
    <w:rPr>
      <w:rFonts w:ascii="Times New Roman" w:hAnsi="Times New Roman" w:eastAsia="黑体"/>
      <w:sz w:val="28"/>
      <w:szCs w:val="20"/>
    </w:rPr>
  </w:style>
  <w:style w:type="paragraph" w:customStyle="1" w:styleId="193">
    <w:name w:val="标题2"/>
    <w:basedOn w:val="5"/>
    <w:next w:val="20"/>
    <w:qFormat/>
    <w:uiPriority w:val="0"/>
    <w:pPr>
      <w:spacing w:before="156" w:after="156" w:line="360" w:lineRule="auto"/>
    </w:pPr>
    <w:rPr>
      <w:sz w:val="24"/>
    </w:rPr>
  </w:style>
  <w:style w:type="paragraph" w:customStyle="1" w:styleId="194">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character" w:customStyle="1" w:styleId="198">
    <w:name w:val="表格文字 字符"/>
    <w:link w:val="168"/>
    <w:qFormat/>
    <w:uiPriority w:val="0"/>
    <w:rPr>
      <w:rFonts w:ascii="Calibri" w:hAnsi="Calibri" w:eastAsia="宋体" w:cs="Times New Roman"/>
      <w:sz w:val="21"/>
      <w:szCs w:val="22"/>
    </w:rPr>
  </w:style>
  <w:style w:type="paragraph" w:customStyle="1" w:styleId="199">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200">
    <w:name w:val="标题二级"/>
    <w:basedOn w:val="1"/>
    <w:qFormat/>
    <w:uiPriority w:val="0"/>
    <w:pPr>
      <w:ind w:firstLine="412" w:firstLineChars="196"/>
    </w:pPr>
    <w:rPr>
      <w:rFonts w:ascii="宋体" w:hAnsi="宋体"/>
      <w:szCs w:val="21"/>
    </w:rPr>
  </w:style>
  <w:style w:type="paragraph" w:customStyle="1" w:styleId="20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03">
    <w:name w:val="无"/>
    <w:autoRedefine/>
    <w:qFormat/>
    <w:uiPriority w:val="0"/>
  </w:style>
  <w:style w:type="paragraph" w:customStyle="1" w:styleId="204">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5">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206">
    <w:name w:val="_Style 1931"/>
    <w:basedOn w:val="1"/>
    <w:next w:val="62"/>
    <w:autoRedefine/>
    <w:qFormat/>
    <w:uiPriority w:val="34"/>
    <w:pPr>
      <w:ind w:firstLine="420" w:firstLineChars="200"/>
    </w:pPr>
  </w:style>
  <w:style w:type="paragraph" w:customStyle="1" w:styleId="207">
    <w:name w:val="段落"/>
    <w:basedOn w:val="1"/>
    <w:qFormat/>
    <w:uiPriority w:val="0"/>
    <w:pPr>
      <w:spacing w:line="460" w:lineRule="exact"/>
      <w:ind w:firstLine="480"/>
    </w:pPr>
    <w:rPr>
      <w:rFonts w:ascii="Calibri" w:hAnsi="Calibri"/>
      <w:sz w:val="24"/>
      <w:szCs w:val="20"/>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2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semiHidden/>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62"/>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Table Text"/>
    <w:basedOn w:val="1"/>
    <w:semiHidden/>
    <w:qFormat/>
    <w:uiPriority w:val="0"/>
    <w:rPr>
      <w:rFonts w:ascii="宋体" w:hAnsi="宋体" w:eastAsia="宋体" w:cs="宋体"/>
      <w:sz w:val="21"/>
      <w:szCs w:val="21"/>
      <w:lang w:val="en-US" w:eastAsia="en-US" w:bidi="ar-SA"/>
    </w:rPr>
  </w:style>
  <w:style w:type="paragraph" w:customStyle="1" w:styleId="244">
    <w:name w:val="标准文本"/>
    <w:basedOn w:val="1"/>
    <w:qFormat/>
    <w:uiPriority w:val="0"/>
    <w:pPr>
      <w:spacing w:line="360" w:lineRule="auto"/>
      <w:ind w:firstLine="480" w:firstLineChars="200"/>
    </w:pPr>
    <w:rPr>
      <w:rFonts w:ascii="Calibri" w:hAnsi="Calibri" w:eastAsia="宋体" w:cs="宋体"/>
    </w:rPr>
  </w:style>
  <w:style w:type="character" w:customStyle="1" w:styleId="245">
    <w:name w:val="fontstyle01"/>
    <w:qFormat/>
    <w:uiPriority w:val="0"/>
    <w:rPr>
      <w:rFonts w:hint="eastAsia" w:ascii="宋体" w:hAnsi="宋体" w:eastAsia="宋体"/>
      <w:color w:val="000000"/>
      <w:sz w:val="24"/>
      <w:szCs w:val="24"/>
    </w:rPr>
  </w:style>
  <w:style w:type="paragraph" w:customStyle="1" w:styleId="246">
    <w:name w:val="日期1"/>
    <w:basedOn w:val="1"/>
    <w:next w:val="1"/>
    <w:qFormat/>
    <w:uiPriority w:val="0"/>
    <w:rPr>
      <w:sz w:val="24"/>
      <w:szCs w:val="20"/>
    </w:rPr>
  </w:style>
  <w:style w:type="paragraph" w:customStyle="1" w:styleId="247">
    <w:name w:val="标题 21"/>
    <w:basedOn w:val="1"/>
    <w:next w:val="248"/>
    <w:qFormat/>
    <w:uiPriority w:val="0"/>
    <w:pPr>
      <w:keepNext/>
      <w:keepLines/>
      <w:spacing w:before="260" w:after="260" w:line="416" w:lineRule="auto"/>
      <w:outlineLvl w:val="1"/>
    </w:pPr>
    <w:rPr>
      <w:rFonts w:ascii="Cambria" w:hAnsi="Cambria"/>
      <w:b/>
      <w:bCs/>
      <w:sz w:val="32"/>
      <w:szCs w:val="32"/>
    </w:rPr>
  </w:style>
  <w:style w:type="paragraph" w:customStyle="1" w:styleId="248">
    <w:name w:val="正文缩进1"/>
    <w:basedOn w:val="1"/>
    <w:qFormat/>
    <w:uiPriority w:val="0"/>
    <w:pPr>
      <w:ind w:firstLine="420"/>
    </w:pPr>
    <w:rPr>
      <w:rFonts w:ascii="Calibri" w:hAnsi="Calibri"/>
    </w:rPr>
  </w:style>
  <w:style w:type="paragraph" w:customStyle="1" w:styleId="249">
    <w:name w:val="Table Paragraph"/>
    <w:basedOn w:val="1"/>
    <w:qFormat/>
    <w:uiPriority w:val="0"/>
    <w:rPr>
      <w:rFonts w:ascii="宋体" w:hAnsi="宋体" w:cs="宋体"/>
      <w:sz w:val="22"/>
      <w:lang w:val="zh-CN" w:bidi="zh-CN"/>
    </w:rPr>
  </w:style>
  <w:style w:type="character" w:customStyle="1" w:styleId="250">
    <w:name w:val="要点1"/>
    <w:qFormat/>
    <w:uiPriority w:val="0"/>
    <w:rPr>
      <w:rFonts w:ascii="Times New Roman" w:hAnsi="Times New Roman" w:eastAsia="宋体" w:cs="Times New Roman"/>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49</Pages>
  <Words>28459</Words>
  <Characters>30165</Characters>
  <Lines>235</Lines>
  <Paragraphs>66</Paragraphs>
  <TotalTime>22</TotalTime>
  <ScaleCrop>false</ScaleCrop>
  <LinksUpToDate>false</LinksUpToDate>
  <CharactersWithSpaces>32306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2024-09-05T09:13:00Z</dcterms:created>
  <dc:creator>Lenovo User</dc:creator>
  <cp:lastModifiedBy>徐洁</cp:lastModifiedBy>
  <cp:lastPrinted>2024-11-08T15:41:00Z</cp:lastPrinted>
  <dcterms:modified xsi:type="dcterms:W3CDTF">2025-01-24T03:31:37Z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402218C381703741A69191675472D36C_43</vt:lpwstr>
  </property>
  <property fmtid="{D5CDD505-2E9C-101B-9397-08002B2CF9AE}" pid="4" name="KSOTemplateDocerSaveRecord">
    <vt:lpwstr>eyJoZGlkIjoiZjIwYThlMjdlMjAzMmNlNDQzYWIyZmRlMTM4MWZhMzAiLCJ1c2VySWQiOiI3Nzc3NDA4ODEifQ==</vt:lpwstr>
  </property>
</Properties>
</file>