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2160"/>
        <w:jc w:val="both"/>
        <w:spacing w:before="120" w:after="12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72"/>
        </w:rPr>
        <w:t xml:space="preserve">招　标　文　件</w:t>
      </w:r>
      <w:r/>
    </w:p>
    <w:p>
      <w:pPr>
        <w:ind w:left="0" w:right="0" w:firstLine="2249"/>
        <w:jc w:val="center"/>
        <w:spacing w:before="120" w:after="12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1942"/>
        <w:jc w:val="both"/>
        <w:spacing w:before="120" w:after="12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7"/>
          <w:sz w:val="36"/>
        </w:rPr>
        <w:t xml:space="preserve">项目名称：七套卫生院信息化系统</w:t>
      </w:r>
      <w:r/>
    </w:p>
    <w:p>
      <w:pPr>
        <w:ind w:left="0" w:right="0" w:firstLine="652"/>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7"/>
          <w:sz w:val="36"/>
        </w:rPr>
        <w:t xml:space="preserve">项目编号：JSZC-320921-QHGS-G2024-0004</w:t>
      </w:r>
      <w:r/>
    </w:p>
    <w:p>
      <w:pPr>
        <w:ind w:left="2100" w:right="0" w:hanging="2100"/>
        <w:jc w:val="center"/>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080"/>
        <w:jc w:val="both"/>
        <w:spacing w:before="120" w:after="12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采购人：响水县七套卫生院</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采购代理机构：江苏千禾建设项目管理有限公司</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2024年06月</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总目录</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720"/>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第一章招标公告</w:t>
      </w:r>
      <w:r/>
    </w:p>
    <w:p>
      <w:pPr>
        <w:ind w:left="0" w:right="0" w:firstLine="720"/>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第二章投标人须知</w:t>
      </w:r>
      <w:r/>
    </w:p>
    <w:p>
      <w:pPr>
        <w:ind w:left="0" w:right="0" w:firstLine="720"/>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第三章合同文本</w:t>
      </w:r>
      <w:r/>
    </w:p>
    <w:p>
      <w:pPr>
        <w:ind w:left="0" w:right="0" w:firstLine="720"/>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第四章采购需求</w:t>
      </w:r>
      <w:r/>
    </w:p>
    <w:p>
      <w:pPr>
        <w:ind w:left="0" w:right="0" w:firstLine="720"/>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第五章评标方法与评标标准</w:t>
      </w:r>
      <w:r/>
    </w:p>
    <w:p>
      <w:pPr>
        <w:ind w:left="0" w:right="0" w:firstLine="720"/>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第六章投标文件格式</w:t>
      </w:r>
      <w:r/>
    </w:p>
    <w:p>
      <w:pPr>
        <w:ind w:left="0" w:right="0" w:firstLine="720"/>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720"/>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第一章招标公告</w:t>
      </w:r>
      <w:r/>
    </w:p>
    <w:p>
      <w:pPr>
        <w:ind w:left="0" w:right="0" w:firstLine="480"/>
        <w:jc w:val="both"/>
        <w:spacing w:before="0" w:after="0" w:line="45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5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七套卫生院信息化系统</w:t>
      </w:r>
      <w:r>
        <w:rPr>
          <w:rFonts w:ascii="SimSun" w:hAnsi="SimSun" w:eastAsia="SimSun" w:cs="SimSun"/>
          <w:color w:val="000000"/>
          <w:sz w:val="24"/>
        </w:rPr>
        <w:t xml:space="preserve">的潜在投标人可在</w:t>
      </w:r>
      <w:r>
        <w:rPr>
          <w:rFonts w:ascii="SimSun" w:hAnsi="SimSun" w:eastAsia="SimSun" w:cs="SimSun"/>
          <w:color w:val="000000"/>
          <w:sz w:val="24"/>
          <w:u w:val="single"/>
        </w:rPr>
        <w:t xml:space="preserve">“中国政府采购网”、“江苏政府采购网、盐城市政府采购网”</w:t>
      </w:r>
      <w:r>
        <w:rPr>
          <w:rFonts w:ascii="SimSun" w:hAnsi="SimSun" w:eastAsia="SimSun" w:cs="SimSun"/>
          <w:color w:val="000000"/>
          <w:sz w:val="24"/>
        </w:rPr>
        <w:t xml:space="preserve">获取招标文件，并于</w:t>
      </w:r>
      <w:r>
        <w:rPr>
          <w:rFonts w:ascii="SimSun" w:hAnsi="SimSun" w:eastAsia="SimSun" w:cs="SimSun"/>
          <w:color w:val="ff0000"/>
          <w:sz w:val="24"/>
          <w:u w:val="single"/>
        </w:rPr>
        <w:t xml:space="preserve">2024年7月5日15点00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北京时间）前递交投标文件。</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1、项目编号：JSZC-320921-QHGS-G2024-0004         </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2、项目名称：七套卫生院信息化系统</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3、预算金额：114.7903万元</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4、最高限价：114.7903万元，投标报价总价高于最高限价的，采购人将不予接受，视为无效标书。</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rPr>
          <w:rFonts w:ascii="Arial" w:hAnsi="Arial" w:eastAsia="Arial" w:cs="Arial"/>
          <w:color w:val="000000"/>
          <w:sz w:val="24"/>
        </w:rPr>
        <w:t xml:space="preserve">本项目为七套卫生院信息化系统，具体采购范围及所应达到的具体要求，以本采购文件中项目需求及清单的相应规定为准。报价超过最高限价为无效标。</w:t>
      </w:r>
      <w:r>
        <w:rPr>
          <w:rFonts w:ascii="SimSun" w:hAnsi="SimSun" w:eastAsia="SimSun" w:cs="SimSun"/>
          <w:color w:val="000000"/>
          <w:sz w:val="24"/>
        </w:rPr>
        <w:t xml:space="preserve">具体要求详见招标文件</w:t>
      </w:r>
      <w:r>
        <w:rPr>
          <w:rFonts w:ascii="Arial" w:hAnsi="Arial" w:eastAsia="Arial" w:cs="Arial"/>
          <w:color w:val="000000"/>
          <w:sz w:val="24"/>
        </w:rPr>
        <w:t xml:space="preserve">项目需求</w:t>
      </w:r>
      <w:r>
        <w:rPr>
          <w:rFonts w:ascii="SimSun" w:hAnsi="SimSun" w:eastAsia="SimSun" w:cs="SimSun"/>
          <w:color w:val="000000"/>
          <w:sz w:val="24"/>
        </w:rPr>
        <w:t xml:space="preserve">。</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6、合同履行期限：合同签订后30日内供货、安装调试到位。</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1.2上一年度的财务状况报表（成立不满一年无需提供）；</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1.8单位负责人为同一人或者存在直接控股、管理关系的不同供应商，不得参加同一合同项下的政府采购活动。</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2、落实政府采购政策需满足的资格要求：本项目对小型和微型企业提供的服务给予20%的扣除价格。</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3、本项目的特定资格要求：无</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1、招标文件获取截止时间：</w:t>
      </w:r>
      <w:r>
        <w:rPr>
          <w:rFonts w:ascii="SimSun" w:hAnsi="SimSun" w:eastAsia="SimSun" w:cs="SimSun"/>
          <w:color w:val="ff0000"/>
          <w:sz w:val="24"/>
        </w:rPr>
        <w:t xml:space="preserve">2024年06月12日至2024年07月04日</w:t>
      </w:r>
      <w:r>
        <w:rPr>
          <w:rFonts w:ascii="SimSun" w:hAnsi="SimSun" w:eastAsia="SimSun" w:cs="SimSun"/>
          <w:color w:val="000000"/>
          <w:sz w:val="24"/>
        </w:rPr>
        <w:t xml:space="preserve">，每天上午00:00-12:00，下午12:00-23:59（北京时间，法定节假日除外）；</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2.地点：中国政府采购网、江苏政府采购网、盐城市政府采购网</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3.方式：在“中国政府采购网”、“江苏政府采购网”、“盐城市政府采购网”自行免费下载招标文件。</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ff0000"/>
          <w:sz w:val="24"/>
        </w:rPr>
        <w:t xml:space="preserve">时间：2024年7月5日15点00分（北京时间）</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如确定参加投标，可自行下载招标文件及有关资料，按照招标文件规定进行注册、领取CA和办理电子签章（亭湖区政务服务中心二楼226窗口，联系电话：15051556883，办理邮箱：yancheng@ideabank.net.cn）。根据《“苏采云”系统供应商操作手册》规定，在“苏采云”系统http://jszfcg.jsczt.cn/jszc/login）中按要求制作、上传电子投标文件。</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投标人在使用系统进行投标的过程中如遇到涉及“苏采云”系统使用的任何问题，应在工作日上午9：00-11：30下午13：30-17：30期间致电技术支持热线咨询，联系电话：0519-86722805、0519-86617173。</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2、电子投标文件一份(通过系统提交)；纸质投标文件正本一份，副本四份（评审结束后由中标候选人邮寄至（代理公司），未中标单位不需要提供）。</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3、本次招标不收取投标保证金，不收取质量保证金。</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4.本项目公告在《中国政府采购网》、《江苏政府采购网》、《盐城市政府采购网》公示发布，敬请各供应商关注。</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支持节能环保产品(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等政策。</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7.引用盐城信用办推行的第三方信用报告，3A的供应商免交履约保证金，2A的供应商按一半金额缴纳（需提供信用管理部门备案的第三方信用报告，且信用报告通过“信用盐城网”可查实）。</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注：根据江苏省财政厅国家金融监督管理总局江苏监管局江苏省地方金融监督管理局《关于在全省政府采购领域推行电子履约保函（保险）的通知》盐财购[2023]150号的文件精神，具体操作流程请按《关于在全省政府采购领域推行电子履约保函（保险）》苏财购[2023]150号文执行。</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8、各投标人在投标截止时间前应当每天都上网查询，以便获取更新的澄清、修改、补充内容。凡涉及到该项目的补充说明和修改，均以江苏政府采购网上的更正或补充通知为准。</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9、因供应商的系统环境、操作等原因导致报名、开评标过程中出现问题由供应商自行承担负责。</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七、本次招标联系方式</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名称：响水县七套卫生院</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地址：响水县七套街聚兴路228号</w:t>
      </w:r>
      <w:r/>
    </w:p>
    <w:p>
      <w:pPr>
        <w:ind w:left="0" w:right="0" w:firstLine="480"/>
        <w:spacing w:before="79" w:after="79"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联系人：</w:t>
      </w:r>
      <w:r>
        <w:rPr>
          <w:rFonts w:ascii="SimSun" w:hAnsi="SimSun" w:eastAsia="SimSun" w:cs="SimSun"/>
          <w:color w:val="000000"/>
          <w:sz w:val="24"/>
        </w:rPr>
        <w:t xml:space="preserve">顾先生</w:t>
      </w:r>
      <w:r/>
    </w:p>
    <w:p>
      <w:pPr>
        <w:ind w:left="0" w:right="0" w:firstLine="480"/>
        <w:spacing w:before="79" w:after="79"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w:t>
      </w:r>
      <w:r>
        <w:rPr>
          <w:rFonts w:ascii="SimSun" w:hAnsi="SimSun" w:eastAsia="SimSun" w:cs="SimSun"/>
          <w:color w:val="000000"/>
          <w:sz w:val="24"/>
        </w:rPr>
        <w:t xml:space="preserve">15358915703</w:t>
      </w:r>
      <w:r/>
    </w:p>
    <w:p>
      <w:pPr>
        <w:ind w:left="0" w:right="0" w:firstLine="480"/>
        <w:spacing w:before="79" w:after="79"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79" w:after="79"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采购代理机构信息</w:t>
      </w:r>
      <w:r/>
    </w:p>
    <w:p>
      <w:pPr>
        <w:ind w:left="0" w:right="0" w:firstLine="480"/>
        <w:spacing w:before="79" w:after="79"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单位名称：江苏千禾建设项目管理有限公司</w:t>
      </w:r>
      <w:r/>
    </w:p>
    <w:p>
      <w:pPr>
        <w:ind w:left="0" w:right="0" w:firstLine="480"/>
        <w:spacing w:before="79" w:after="79"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单位地址：</w:t>
      </w:r>
      <w:r>
        <w:rPr>
          <w:rFonts w:ascii="SimSun" w:hAnsi="SimSun" w:eastAsia="SimSun" w:cs="SimSun"/>
          <w:color w:val="000000"/>
          <w:spacing w:val="-6"/>
          <w:sz w:val="24"/>
        </w:rPr>
        <w:t xml:space="preserve">响水县长江路13号</w:t>
      </w:r>
      <w:r/>
    </w:p>
    <w:p>
      <w:pPr>
        <w:ind w:left="0" w:right="0" w:firstLine="480"/>
        <w:spacing w:before="79" w:after="79"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联系人：杨工</w:t>
      </w:r>
      <w:r/>
    </w:p>
    <w:p>
      <w:pPr>
        <w:ind w:left="0" w:right="0" w:firstLine="480"/>
        <w:spacing w:before="79" w:after="79"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w:t>
      </w:r>
      <w:r>
        <w:rPr>
          <w:rFonts w:ascii="SimSun" w:hAnsi="SimSun" w:eastAsia="SimSun" w:cs="SimSun"/>
          <w:color w:val="000000"/>
          <w:sz w:val="24"/>
        </w:rPr>
        <w:t xml:space="preserve">15061433452</w:t>
      </w:r>
      <w:r/>
    </w:p>
    <w:p>
      <w:pPr>
        <w:ind w:left="0" w:right="0" w:firstLine="480"/>
        <w:spacing w:before="79" w:after="79"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79" w:after="79"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项目联系方式</w:t>
      </w:r>
      <w:r/>
    </w:p>
    <w:p>
      <w:pPr>
        <w:ind w:left="0" w:right="0" w:firstLine="480"/>
        <w:spacing w:before="79" w:after="79"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项目联系人：杨工</w:t>
      </w:r>
      <w:r/>
    </w:p>
    <w:p>
      <w:pPr>
        <w:ind w:left="0" w:right="0" w:firstLine="480"/>
        <w:spacing w:before="79" w:after="79"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w:t>
      </w:r>
      <w:r>
        <w:rPr>
          <w:rFonts w:ascii="SimSun" w:hAnsi="SimSun" w:eastAsia="SimSun" w:cs="SimSun"/>
          <w:color w:val="000000"/>
          <w:sz w:val="24"/>
        </w:rPr>
        <w:t xml:space="preserve">15061433452</w:t>
      </w:r>
      <w:r/>
    </w:p>
    <w:p>
      <w:pPr>
        <w:ind w:left="1890" w:right="0" w:hanging="21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48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2.2满足本文件实质性要求和条件的规定。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4.1投标人应自行承担所有与参加投标有关的费用，无论投标过程中的做法和结果如何，采购人或采购代理机构在任何情况下均无义务和责任承担这些费用。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4.2代理机构将苏招协【2022】02号文向中标人收取服务费用，由中标供应商在领取中标通知书前一次性支付。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6.1招标文件由以下部分组成：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请仔细检查招标文件是否齐全，如有缺漏请立即与采购人或采购代理机构联系解决。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7.1任何要求对招标文件进行澄清的投标人，应在投标截止期十日前按招标公告中的通讯地址，以书面形式通知采购人或采购代理机构。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8.1在投标截止时间前，采购人或采购代理机构可以对招标文件进行修改。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8.2采购人或采购代理机构有权按照法定的要求推迟投标截止日期和开标日期。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8.3招标文件的修改将在江苏政府采购网公布，补充文件将作为招标文件的组成部分，并对投标人具有约束力。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9、投标文件的语言及度量衡单位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9.1投标人提交的投标文件以及投标人与采购人或采购代理机构就有关投标的所有来往通知、函件和文件均应使用简体中文。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10.1投标人编写的投标文件应包括资格证明文件、符合性证明文件、投标分项报价表、技术要求响应及偏离表、商务要求响应及偏离表、供应商认为需要提供的其他材料、投标函、开标一览表等部分。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11、证明投标人及投标标的符合招标文件规定的文件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11.1投标人应按照招标文件要求提交证明文件，证明其及投标标的符合招标文件规定。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13、技术要求响应及偏离表、商务要求响应及偏离表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14、投标函和开标一览表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14.1投标人应按照招标文件中提供的格式完整、正确填写投标函、开标一览表。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15、投标有效期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15.1投标有效期为开标之日后</w:t>
      </w:r>
      <w:r>
        <w:rPr>
          <w:rFonts w:ascii="SimSun" w:hAnsi="SimSun" w:eastAsia="SimSun" w:cs="SimSun"/>
          <w:color w:val="000000"/>
          <w:sz w:val="24"/>
          <w:u w:val="single"/>
        </w:rPr>
        <w:t xml:space="preserve"> 六十（60）</w:t>
      </w:r>
      <w:r>
        <w:rPr>
          <w:rFonts w:ascii="SimSun" w:hAnsi="SimSun" w:eastAsia="SimSun" w:cs="SimSun"/>
          <w:color w:val="000000"/>
          <w:sz w:val="24"/>
        </w:rPr>
        <w:t xml:space="preserve">天。投标有效期比规定短的将被视为未实质性响应招标文件而予以拒绝。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16、投标有效期的延长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17、电子投标文件的递交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17.1投标人应当按照《操作手册》规定，在投标截止时间前制作并上传电子投标文件。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w:t>
      </w:r>
      <w:r>
        <w:rPr>
          <w:rFonts w:ascii="SimSun" w:hAnsi="SimSun" w:eastAsia="SimSun" w:cs="SimSun"/>
          <w:b/>
          <w:color w:val="000000"/>
          <w:sz w:val="24"/>
        </w:rPr>
        <w:t xml:space="preserve">中标人在领取中标通知书之前，必须提供五份与电子投标文件一致的纸质打印投标文件并且加盖投标人公章。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18、投标截止日期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18.1 投标人上传电子投标文件的时间不得迟于招标公告中规定的投标截止时间。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18.2采购人可以按照规定，通过修改招标文件酌情延长投标截止日期，在此情况下，投标人的所有权利和义务以及投标人受制的截止日期均应以延长后新的截止日期为准。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19、投标文件的拒收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采购人拒绝接收在其规定的投标截止时间后上传的任何投标文件。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20、投标文件的撤回和修改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21、开标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21.1采购人或采购代理机构将在招标公告中规定的时间和地点组织公开开标。投标人应当按照《操作手册》规定，参加开标活动和在苏采云系统规定的时间内对投标文件进行解密。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22、评标委员会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22.1开标后，采购人将立即组织评标委员会（以下简称评委会）进行评标。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23、评标过程的保密与公正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23.1凡是与审查、澄清、评价和比较投标的有关资料以及授标建议等，采购人、评委、采购代理机构均不得向投标人或与评标无关的其他人员透露。</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23.3采购人、采购代理机构和评标委员会不向未中标的投标人解释未中标原因，也不公布评标过程中的相关细节。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24、投标文件的澄清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24.3接到评委会澄清、说明和补正要求的投标人如未按规定做出澄清、说明和补正，其风险由投标人自行承担。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25.1.1资格审查：依据法律法规和招标文件的规定，由采购人或采购代理机构对投标文件中的资格证明文件进行审查。资格审查的结论，采购人以书面形式向评委会进行反馈。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25.4评委会将对确定为实质性响应的投标进行进一步审核，看其是否有计算上或累加上的算术错误，修正错误的原则如下：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25.6投标人在开、评标全过程中应保持通讯畅通，及时登录苏采云系统查阅、答复相关信息，并安排专人与采购代理机构及评标委员会联系。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26、无效投标条款和废标条款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26.1.1投标人在苏采云系统规定的时间内未成功解密电子投标文件的。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26.1.2投标人未按照招标文件要求上传电子投标文件的。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26.1.9投标文件含有采购人不能接受的附加条件的。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26.1.11投标文件未按照招标文件要求加盖CA电子公章的。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26.2.5因苏采云系统系统故障原因造成开标不成功的。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26.3投标截止时间结束后参加投标的供应商不足三家的处理：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27、确定中标单位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w:t>
      </w:r>
      <w:r>
        <w:rPr>
          <w:rFonts w:ascii="SimSun" w:hAnsi="SimSun" w:eastAsia="SimSun" w:cs="SimSun"/>
          <w:color w:val="ff0000"/>
          <w:sz w:val="24"/>
        </w:rPr>
        <w:t xml:space="preserve">中标候选人的选取原则和数量见招标文件第五章规定</w:t>
      </w: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27.3采购人或采购代理机构将在“中国政府采购网”、“江苏政府采购网”、“盐城市政府采购网”发布中标公告，公告期限为1个工作日。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27.4.2向采购人、采购中心行贿或者提供其他不正当利益的。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27.5.有下列情形之一的，视为投标人串通投标，投标无效：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28、质疑处理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参加投标供应商认为采购文件、采购过程和中标结果使自己的权益受到损害的，可以在知道或应知其权益受到损害之日起七个工作日内，以书面形式向采购代理机构或采购人提出质疑。上述应知其权益受到损害之日，是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28.2.1对可以质疑的招标文件提出质疑的，为收到招标文件之日或者招标文件公告期限届满之日；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28.2.3对中标结果提出质疑的，为中标结果公告期限届满之日。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28.3质疑必须按《政府采购法》、《政府采购法实施条例》及《江苏省政府采购供应商监督管理暂行办法》的相关规定提交，未按上述要求提交的质疑函（含传真、电子邮件等）采购代理机构有权不予受理。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28.4未参加投标活动的供应商或在投标活动中自身权益未受到损害的供应商所提出的质疑不予受理。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28.5质疑函应当包括下列内容：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28.5.1质疑投标人的名称、地址、邮编、联系人、联系电话；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28.5.2具体的质疑事项及明确的请求；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28.5.3认为自己合法权益受到损害或可能受到损害的相关证据材料；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28.5.4提起质疑的日期；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质疑函应当署名：质疑人为自然人的，应当由本人签字并附有效身份证明；质疑人为法人或其他组织的，应当由法定代表人签字并加盖单位公章。未按要求签字和盖章的为无效质疑，采购代理机构将不予受理。)质疑人委托代理质疑的，应当向采购代理机构提交授权委托书，并载明委托代理的具体权限和事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28.6采购代理机构收到质疑函后，将对质疑的形式和内容进行审查，如质疑函内容、格式不符合规定，采购代理机构将告知质疑人进行补正。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28.7质疑人应当在法定质疑期限内进行补正并重新提交质疑函，拒不补正或者在法定期限内未重新提交质疑函的，为无效质疑，采购代理机构将不予受理。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28.8对于内容、格式符合规定的质疑函，采购代理机构应当在收到投标供应商的书面质疑后七个工作日内作出答复，并以书面形式通知质疑供应商和其他有关供应商，但答复的内容不得涉及商业秘密。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28.9供应商提出书面质疑必须有理、有据，不得恶意质疑或提交虚假质疑。否则，一经查实，采购代理机构有权依据政府采购的有关规定，报请政府采购监管部门对该供应商进行相应的行政处罚和记录该供应商的失信信息。</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28.10以下情形的质疑不予受理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28.10.1内容不符合《政府采购质疑和投诉办法》第十二条规定的质疑。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28.10.2超出政府采购法定期限的质疑。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28.10.3未参加投标活动的供应商或在投标活动中自身权益未受到损害的供应商所提出的质疑。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29、中标通知书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签订合同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30.l中标人应当在中标通知书发出之日起30日内，按照招标文件确定的事项与采购人签订政府采购合同。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31、服务（包含与服务相关的货物）的追加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32、政府采购履约资金扶持政策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72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采购合同（货物）</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项目名称：七套卫生院信息化系统</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项目编号：JSZC-320921-QHGS-G2024-0004           </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                        </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SimSun" w:hAnsi="SimSun" w:eastAsia="SimSun" w:cs="SimSun"/>
          <w:color w:val="000000"/>
          <w:sz w:val="24"/>
          <w:u w:val="single"/>
        </w:rPr>
        <w:t xml:space="preserve">                        </w:t>
      </w:r>
      <w:r/>
    </w:p>
    <w:p>
      <w:pPr>
        <w:ind w:left="560" w:right="0" w:firstLine="56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根据《中华人民共和国民法典（合同编）》、《中华人民共和国政府采购法》等法律法规的规定以及</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项目采购结果，甲乙双方遵循平等、自愿、公平、诚实信用的原则，就</w:t>
      </w:r>
      <w:r>
        <w:rPr>
          <w:rFonts w:ascii="SimSun" w:hAnsi="SimSun" w:eastAsia="SimSun" w:cs="SimSun"/>
          <w:color w:val="000000"/>
          <w:sz w:val="24"/>
          <w:u w:val="single"/>
        </w:rPr>
        <w:t xml:space="preserve">                       </w:t>
      </w:r>
      <w:r>
        <w:rPr>
          <w:rFonts w:ascii="SimSun" w:hAnsi="SimSun" w:eastAsia="SimSun" w:cs="SimSun"/>
          <w:color w:val="000000"/>
          <w:sz w:val="24"/>
        </w:rPr>
        <w:t xml:space="preserve">项目事宜经双方协商一致，订立本合同。</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一、产品内容</w:t>
      </w:r>
      <w:r/>
    </w:p>
    <w:p>
      <w:pPr>
        <w:ind w:left="0" w:right="0" w:firstLine="48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产品名称：</w:t>
      </w:r>
      <w:r/>
    </w:p>
    <w:p>
      <w:pPr>
        <w:ind w:left="0" w:right="0" w:firstLine="48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型号规格：</w:t>
      </w:r>
      <w:r/>
    </w:p>
    <w:p>
      <w:pPr>
        <w:ind w:left="0" w:right="0" w:firstLine="48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数量（单位）：</w:t>
      </w:r>
      <w:r/>
    </w:p>
    <w:p>
      <w:pPr>
        <w:ind w:left="0" w:right="0" w:firstLine="48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质量要求:</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357" w:right="0" w:firstLine="69"/>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2.1本合同金额为（大写）：_________________________________圆</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（￥_______________元）人民币。</w:t>
      </w:r>
      <w:r/>
    </w:p>
    <w:p>
      <w:pPr>
        <w:ind w:left="364" w:right="0" w:hanging="7"/>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2.2本合同金额包括但不限于：货物本身、场所改造、安装调试、运输、培训、人</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工、服务、税金、相关辅助设施以及交付使用过程中涉及到的其他一切费用。</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364" w:right="0" w:hanging="7"/>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3.1乙方应按采购文件规定的时间向甲方提供货物的有关技术资料。</w:t>
      </w:r>
      <w:r/>
    </w:p>
    <w:p>
      <w:pPr>
        <w:ind w:left="364" w:right="0" w:hanging="7"/>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3.2没有甲方事先书面同意，乙方不得将由甲方提供的有关合同或任何合同条文、 </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规格、计划、图纸、样品或资料提供给与履行本合同无关的任何其他人。即使向履行本合同有关的人员提供，也应注意保密并限于履行合同的必需范围。</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364" w:right="0" w:hanging="7"/>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4.1乙方应保证甲方在使用、接受本合同货物和服务或其任何一部分时不受第三</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方提出侵犯其专利权、版权、商标权和工业设计权等知识产权的起诉。一旦出现侵权，由乙方负全部责任。</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364" w:right="0" w:hanging="7"/>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5.1乙方保证所交付的货物的所有权完全属于乙方且无任何抵押、查封等产权瑕</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疵。</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6.1乙方交纳合同金额的10％，即人民币_________元作为本合同的履约保证金。</w:t>
      </w:r>
      <w:r/>
    </w:p>
    <w:p>
      <w:pPr>
        <w:ind w:left="210" w:right="0" w:firstLine="24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left="0" w:right="0" w:firstLine="48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6.3履约保证金的退还：</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6.3.1方式：退还至投标人缴纳履约保证金的账户。如为保函，在到期时自行失效。</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6.3.2时间：验收合格且采购人收到发票后30日内。</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6.3.3条件：按合同要求全部履约完成并经采购人验收合格，且采购人收到中标人出具的发票。</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6.3.4不予退还情形：除不可抗力情况外，投标人出现下列情形之一的，其履约保证金，招标人将视情节决定不予退还或部分不予退还。</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6.3.5逾期退还的违约责任：采购人逾期无故未退还履约保证金的，按中国人民银行同期贷款基准利率上浮20%后的利率支付超期资金占用费，但因供应商自身原因导致无法及时退还的除外。</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rPr>
          <w:rFonts w:ascii="SimSun" w:hAnsi="SimSun" w:eastAsia="SimSun" w:cs="SimSun"/>
          <w:b/>
          <w:color w:val="000000"/>
          <w:sz w:val="24"/>
        </w:rPr>
        <w:t xml:space="preserve">七、转包</w:t>
      </w:r>
      <w:r/>
    </w:p>
    <w:p>
      <w:pPr>
        <w:ind w:left="364" w:right="0" w:hanging="7"/>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7.1本合同范围的货物，应由乙方直接供应，不得转让他人供应。</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八、质保期</w:t>
      </w:r>
      <w:r/>
    </w:p>
    <w:p>
      <w:pPr>
        <w:ind w:left="364" w:right="0" w:hanging="7"/>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8.1质保期</w:t>
      </w:r>
      <w:r>
        <w:rPr>
          <w:rFonts w:ascii="SimSun" w:hAnsi="SimSun" w:eastAsia="SimSun" w:cs="SimSun"/>
          <w:color w:val="000000"/>
          <w:sz w:val="24"/>
          <w:u w:val="single"/>
        </w:rPr>
        <w:t xml:space="preserve">按招投标文件要求</w:t>
      </w:r>
      <w:r>
        <w:rPr>
          <w:rFonts w:ascii="SimSun" w:hAnsi="SimSun" w:eastAsia="SimSun" w:cs="SimSun"/>
          <w:color w:val="000000"/>
          <w:sz w:val="24"/>
        </w:rPr>
        <w:t xml:space="preserve">。（自交货验收合格之日起计）</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九、交货期、交货方式及交货地点</w:t>
      </w:r>
      <w:r/>
    </w:p>
    <w:p>
      <w:pPr>
        <w:ind w:left="0" w:right="0" w:firstLine="24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9.1交货期：签订合同后</w:t>
      </w:r>
      <w:r>
        <w:rPr>
          <w:rFonts w:ascii="SimSun" w:hAnsi="SimSun" w:eastAsia="SimSun" w:cs="SimSun"/>
          <w:color w:val="000000"/>
          <w:sz w:val="24"/>
          <w:u w:val="single"/>
        </w:rPr>
        <w:t xml:space="preserve">30</w:t>
      </w:r>
      <w:r>
        <w:rPr>
          <w:rFonts w:ascii="SimSun" w:hAnsi="SimSun" w:eastAsia="SimSun" w:cs="SimSun"/>
          <w:color w:val="000000"/>
          <w:sz w:val="24"/>
        </w:rPr>
        <w:t xml:space="preserve">内完成供货、安装、调试（如是甲方原因可延期） </w:t>
      </w:r>
      <w:r/>
    </w:p>
    <w:p>
      <w:pPr>
        <w:ind w:left="0" w:right="0" w:firstLine="24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9.2交货方式：</w:t>
      </w:r>
      <w:r>
        <w:rPr>
          <w:rFonts w:ascii="SimSun" w:hAnsi="SimSun" w:eastAsia="SimSun" w:cs="SimSun"/>
          <w:color w:val="000000"/>
          <w:sz w:val="24"/>
          <w:u w:val="single"/>
        </w:rPr>
        <w:t xml:space="preserve">现场清点</w:t>
      </w:r>
      <w:r/>
    </w:p>
    <w:p>
      <w:pPr>
        <w:ind w:left="0" w:right="0" w:firstLine="24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9.3交货地点：</w:t>
      </w:r>
      <w:r>
        <w:rPr>
          <w:rFonts w:ascii="SimSun" w:hAnsi="SimSun" w:eastAsia="SimSun" w:cs="SimSun"/>
          <w:color w:val="000000"/>
          <w:sz w:val="24"/>
          <w:u w:val="single"/>
        </w:rPr>
        <w:t xml:space="preserve">采购人指定地点</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十、货款支付</w:t>
      </w:r>
      <w:r/>
    </w:p>
    <w:p>
      <w:pPr>
        <w:ind w:left="0" w:right="0" w:firstLine="0"/>
        <w:spacing w:before="0" w:after="0" w:line="25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10.1付款方式： </w:t>
      </w:r>
      <w:r>
        <w:rPr>
          <w:rFonts w:ascii="SimSun" w:hAnsi="SimSun" w:eastAsia="SimSun" w:cs="SimSun"/>
          <w:color w:val="ff0000"/>
          <w:sz w:val="24"/>
          <w:u w:val="single"/>
        </w:rPr>
        <w:t xml:space="preserve">合同签订后</w:t>
      </w:r>
      <w:r>
        <w:rPr>
          <w:rFonts w:ascii="Times New Roman" w:hAnsi="Times New Roman" w:eastAsia="Times New Roman" w:cs="Times New Roman"/>
          <w:color w:val="ff0000"/>
          <w:sz w:val="24"/>
          <w:u w:val="single"/>
        </w:rPr>
        <w:t xml:space="preserve">7</w:t>
      </w:r>
      <w:r>
        <w:rPr>
          <w:rFonts w:ascii="SimSun" w:hAnsi="SimSun" w:eastAsia="SimSun" w:cs="SimSun"/>
          <w:color w:val="ff0000"/>
          <w:sz w:val="24"/>
          <w:u w:val="single"/>
        </w:rPr>
        <w:t xml:space="preserve">日内支付合同总价的</w:t>
      </w:r>
      <w:r>
        <w:rPr>
          <w:rFonts w:ascii="Times New Roman" w:hAnsi="Times New Roman" w:eastAsia="Times New Roman" w:cs="Times New Roman"/>
          <w:color w:val="ff0000"/>
          <w:sz w:val="24"/>
          <w:u w:val="single"/>
        </w:rPr>
        <w:t xml:space="preserve">30%</w:t>
      </w:r>
      <w:r>
        <w:rPr>
          <w:rFonts w:ascii="SimSun" w:hAnsi="SimSun" w:eastAsia="SimSun" w:cs="SimSun"/>
          <w:color w:val="ff0000"/>
          <w:sz w:val="24"/>
          <w:u w:val="single"/>
        </w:rPr>
        <w:t xml:space="preserve">作为预付款；中标人按要求将设备送到指定地点完成安装调试并经采购人验收全部合格后付至合同总价的90%，余款在质保满一年后结清。</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十一.税费</w:t>
      </w:r>
      <w:r/>
    </w:p>
    <w:p>
      <w:pPr>
        <w:ind w:left="484" w:right="0" w:hanging="127"/>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11.1本合同执行中相关的一切税费均由乙方负担。</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十二、质量保证及售后服务</w:t>
      </w:r>
      <w:r/>
    </w:p>
    <w:p>
      <w:pPr>
        <w:ind w:left="484" w:right="0" w:hanging="127"/>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12.1乙方应按采购文件规定的货物性能、技术要求、质量标准向甲方提供未经使</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用的全新产品。</w:t>
      </w:r>
      <w:r/>
    </w:p>
    <w:p>
      <w:pPr>
        <w:ind w:left="484" w:right="0" w:hanging="127"/>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12.2乙方提供的货物在质保期内因货物本身的质量问题发生故障，乙方应负责免</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费更换。对达不到技术要求者，根据实际情况，经双方协商，可按以下办法处理：                           </w:t>
      </w:r>
      <w:r/>
    </w:p>
    <w:p>
      <w:pPr>
        <w:ind w:left="612" w:right="0" w:hanging="612"/>
        <w:jc w:val="both"/>
        <w:spacing w:before="120" w:after="12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退货处理：乙方应退还甲方支付的合同款，同时承担该货物的直接费用（运输、保险、检测、货款利息及银行手续费等）。</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（2）更换：由乙方承担所有发生的全部费。</w:t>
      </w:r>
      <w:r/>
    </w:p>
    <w:p>
      <w:pPr>
        <w:ind w:left="484" w:right="0" w:hanging="127"/>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12.3如在使用过程中发生质量问题，乙方在接到甲方通知后在</w:t>
      </w:r>
      <w:r>
        <w:rPr>
          <w:rFonts w:ascii="SimSun" w:hAnsi="SimSun" w:eastAsia="SimSun" w:cs="SimSun"/>
          <w:color w:val="000000"/>
          <w:sz w:val="24"/>
          <w:u w:val="single"/>
        </w:rPr>
        <w:t xml:space="preserve">24</w:t>
      </w:r>
      <w:r>
        <w:rPr>
          <w:rFonts w:ascii="SimSun" w:hAnsi="SimSun" w:eastAsia="SimSun" w:cs="SimSun"/>
          <w:color w:val="000000"/>
          <w:sz w:val="24"/>
        </w:rPr>
        <w:t xml:space="preserve">小时内到达</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甲方现场，并在48小时内解决质量及故障问题。</w:t>
      </w:r>
      <w:r/>
    </w:p>
    <w:p>
      <w:pPr>
        <w:ind w:left="484" w:right="0" w:hanging="127"/>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12.4在质保期内，乙方应对货物出现的质量及安全问题负责处理解决并承担所产生的一切费用。</w:t>
      </w:r>
      <w:r/>
    </w:p>
    <w:p>
      <w:pPr>
        <w:ind w:left="0" w:right="0" w:firstLine="48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12.5上述的货物免费保修期为</w:t>
      </w:r>
      <w:r>
        <w:rPr>
          <w:rFonts w:ascii="SimSun" w:hAnsi="SimSun" w:eastAsia="SimSun" w:cs="SimSun"/>
          <w:color w:val="000000"/>
          <w:sz w:val="24"/>
          <w:u w:val="single"/>
        </w:rPr>
        <w:t xml:space="preserve">根据招投标文件要求</w:t>
      </w:r>
      <w:r>
        <w:rPr>
          <w:rFonts w:ascii="SimSun" w:hAnsi="SimSun" w:eastAsia="SimSun" w:cs="SimSun"/>
          <w:color w:val="000000"/>
          <w:sz w:val="24"/>
        </w:rPr>
        <w:t xml:space="preserve">，因人为因素出现的故障不在</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免费保修范围内。超过免费质量保修期的货物，乙方应提供终生维修（除甲方不再要求继续维修外），维修时只收部件成本费。</w:t>
      </w:r>
      <w:r/>
    </w:p>
    <w:p>
      <w:pPr>
        <w:ind w:left="0" w:right="0" w:firstLine="48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12.6乙方需与甲方相关系统做好接口对接工作，并承担因此产生的所有费用。其他系统需要接入的，乙方应当无条件配合，不得收取任何费用。</w:t>
      </w:r>
      <w:r/>
    </w:p>
    <w:p>
      <w:pPr>
        <w:ind w:left="0" w:right="0" w:firstLine="48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12.7售后服务：乙方须按招标文件要求和投标文件的承诺执行。</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十三、货物验收</w:t>
      </w:r>
      <w:r/>
    </w:p>
    <w:p>
      <w:pPr>
        <w:ind w:left="498" w:right="0" w:hanging="141"/>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13.1甲方对乙方提供的货物依据采购文件上的技术规格要求和国家有关质量标</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准进行验收，不满足要求或标准的不予验收。</w:t>
      </w:r>
      <w:r/>
    </w:p>
    <w:p>
      <w:pPr>
        <w:ind w:left="498" w:right="0" w:hanging="141"/>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13.2乙方交货前应对货物作出全面检查和对验收文件进行整理，并列出清单，作</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为甲方收货验收和使用的技术依据，清单应随货物交付甲方。</w:t>
      </w:r>
      <w:r/>
    </w:p>
    <w:p>
      <w:pPr>
        <w:ind w:left="498" w:right="0" w:hanging="141"/>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13.3对技术复杂的货物，甲方可请具有资质的专业检测机构参与验收与检测，并</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由其出具质量检测报告，费用由乙方承担。</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十四、货物包装、发运及运输</w:t>
      </w:r>
      <w:r/>
    </w:p>
    <w:p>
      <w:pPr>
        <w:ind w:left="498" w:right="0" w:hanging="141"/>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14.1乙方应在货物发运前对其进行满足运输距离、防潮、防震、防锈和防破损装</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卸等要求包装，以保证货物安全运达甲方指定地点。</w:t>
      </w:r>
      <w:r/>
    </w:p>
    <w:p>
      <w:pPr>
        <w:ind w:left="498" w:right="0" w:hanging="141"/>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14.2使用说明书、质量检测证明书、随配附件和工具以及清单一并附于货物内。</w:t>
      </w:r>
      <w:r/>
    </w:p>
    <w:p>
      <w:pPr>
        <w:ind w:left="498" w:right="0" w:hanging="141"/>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14.3乙方在货物发运手续办理完毕后24小时内或货到甲方48小时前通知甲方，</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以准备接货。</w:t>
      </w:r>
      <w:r/>
    </w:p>
    <w:p>
      <w:pPr>
        <w:ind w:left="498" w:right="0" w:hanging="141"/>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14.4货物在验收合格交付甲方前所发生的所有风险由乙方承担。</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十五、违约责任</w:t>
      </w:r>
      <w:r/>
    </w:p>
    <w:p>
      <w:pPr>
        <w:ind w:left="498" w:right="0" w:hanging="141"/>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15.1货物逾期交付的，乙方应按货物中标金额每日历天</w:t>
      </w:r>
      <w:r>
        <w:rPr>
          <w:rFonts w:ascii="SimSun" w:hAnsi="SimSun" w:eastAsia="SimSun" w:cs="SimSun"/>
          <w:color w:val="000000"/>
          <w:sz w:val="24"/>
          <w:u w:val="single"/>
        </w:rPr>
        <w:t xml:space="preserve"> 2% </w:t>
      </w:r>
      <w:r>
        <w:rPr>
          <w:rFonts w:ascii="SimSun" w:hAnsi="SimSun" w:eastAsia="SimSun" w:cs="SimSun"/>
          <w:color w:val="000000"/>
          <w:sz w:val="24"/>
        </w:rPr>
        <w:t xml:space="preserve">向甲方支付违约金。</w:t>
      </w:r>
      <w:r/>
    </w:p>
    <w:p>
      <w:pPr>
        <w:ind w:left="0" w:right="0" w:firstLine="48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15.2货物供货逾期超过</w:t>
      </w:r>
      <w:r>
        <w:rPr>
          <w:rFonts w:ascii="SimSun" w:hAnsi="SimSun" w:eastAsia="SimSun" w:cs="SimSun"/>
          <w:color w:val="000000"/>
          <w:sz w:val="24"/>
          <w:u w:val="single"/>
        </w:rPr>
        <w:t xml:space="preserve">30</w:t>
      </w:r>
      <w:r>
        <w:rPr>
          <w:rFonts w:ascii="SimSun" w:hAnsi="SimSun" w:eastAsia="SimSun" w:cs="SimSun"/>
          <w:color w:val="000000"/>
          <w:sz w:val="24"/>
        </w:rPr>
        <w:t xml:space="preserve">个日历天的，视为违约，甲方有权终止设备供货，乙方应向甲方支付单项货物中标金额</w:t>
      </w:r>
      <w:r>
        <w:rPr>
          <w:rFonts w:ascii="SimSun" w:hAnsi="SimSun" w:eastAsia="SimSun" w:cs="SimSun"/>
          <w:color w:val="000000"/>
          <w:sz w:val="24"/>
          <w:u w:val="single"/>
        </w:rPr>
        <w:t xml:space="preserve">30%</w:t>
      </w:r>
      <w:r>
        <w:rPr>
          <w:rFonts w:ascii="SimSun" w:hAnsi="SimSun" w:eastAsia="SimSun" w:cs="SimSun"/>
          <w:color w:val="000000"/>
          <w:sz w:val="24"/>
        </w:rPr>
        <w:t xml:space="preserve">的违约金。</w:t>
      </w:r>
      <w:r/>
    </w:p>
    <w:p>
      <w:pPr>
        <w:ind w:left="0" w:right="0" w:firstLine="48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乙方所交的货物品种、型号、规格、技术参数、质量不符合合同规定及采购</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文件规定标准的，甲方有权拒收，若因此产生的违约责任按照15.1条款执行。</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十六、不可抗力事件处理</w:t>
      </w:r>
      <w:r/>
    </w:p>
    <w:p>
      <w:pPr>
        <w:ind w:left="498" w:right="0" w:hanging="141"/>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16.1在合同有效期内，任何一方因不可抗力事件导致不能履行合同，则合同履行</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期可延长，其延长期与不可抗力影响期相同。</w:t>
      </w:r>
      <w:r/>
    </w:p>
    <w:p>
      <w:pPr>
        <w:ind w:left="498" w:right="0" w:hanging="141"/>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16.2不可抗力事件发生后，应立即通知对方，并寄送有关权威机构出具的证明。</w:t>
      </w:r>
      <w:r/>
    </w:p>
    <w:p>
      <w:pPr>
        <w:ind w:left="498" w:right="0" w:hanging="141"/>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16.3不可抗力事件延续120天以上，双方应通过友好协商，确定是否继续履行合</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十七、解决争议的方法</w:t>
      </w:r>
      <w:r/>
    </w:p>
    <w:p>
      <w:pPr>
        <w:ind w:left="498" w:right="0" w:hanging="141"/>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双方在执行合同中所发生的一切争议，可通过协商解决，并签订补充协议。如协</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商不成，双方均可向响水县县人民法院提起诉讼。</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十八、其他</w:t>
      </w:r>
      <w:r/>
    </w:p>
    <w:p>
      <w:pPr>
        <w:ind w:left="498" w:right="0" w:hanging="141"/>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18.1本合同所有附件、招标文件、投标文件、中标通知书及补充协议均为合同的</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有效组成部分，与本合同具有同等法律效力。</w:t>
      </w:r>
      <w:r/>
    </w:p>
    <w:p>
      <w:pPr>
        <w:ind w:left="498" w:right="0" w:hanging="141"/>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18.2如一方地址、电话、传真号码有变更，应在变更当日内书面通知对方，否则，</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应承担相应责任。</w:t>
      </w:r>
      <w:r/>
    </w:p>
    <w:p>
      <w:pPr>
        <w:ind w:left="498" w:right="0" w:hanging="141"/>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18.3除甲方事先书面同意外，乙方不得部分或全部转让其应履行的合同项下的义</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务。</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十九、合同生效</w:t>
      </w:r>
      <w:r/>
    </w:p>
    <w:p>
      <w:pPr>
        <w:ind w:left="498" w:right="0" w:hanging="141"/>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19.1合同经双方法定代表人或授权委托代表人签字并加盖单位公章后生效。</w:t>
      </w:r>
      <w:r/>
    </w:p>
    <w:p>
      <w:pPr>
        <w:ind w:left="498" w:right="0" w:hanging="141"/>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19.2本合同未尽事宜，遵照《中华人民共和国民法典》有关条文执行。</w:t>
      </w:r>
      <w:r/>
    </w:p>
    <w:p>
      <w:pPr>
        <w:ind w:left="498" w:right="0" w:hanging="141"/>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本合同正本一式</w:t>
      </w:r>
      <w:r>
        <w:rPr>
          <w:rFonts w:ascii="SimSun" w:hAnsi="SimSun" w:eastAsia="SimSun" w:cs="SimSun"/>
          <w:color w:val="000000"/>
          <w:sz w:val="24"/>
          <w:u w:val="single"/>
        </w:rPr>
        <w:t xml:space="preserve">肆</w:t>
      </w:r>
      <w:r>
        <w:rPr>
          <w:rFonts w:ascii="SimSun" w:hAnsi="SimSun" w:eastAsia="SimSun" w:cs="SimSun"/>
          <w:color w:val="000000"/>
          <w:sz w:val="24"/>
        </w:rPr>
        <w:t xml:space="preserve">份。具有同等法律效力，甲方、乙方各执</w:t>
      </w:r>
      <w:r>
        <w:rPr>
          <w:rFonts w:ascii="SimSun" w:hAnsi="SimSun" w:eastAsia="SimSun" w:cs="SimSun"/>
          <w:color w:val="000000"/>
          <w:sz w:val="24"/>
          <w:u w:val="single"/>
        </w:rPr>
        <w:t xml:space="preserve">贰</w:t>
      </w:r>
      <w:r>
        <w:rPr>
          <w:rFonts w:ascii="SimSun" w:hAnsi="SimSun" w:eastAsia="SimSun" w:cs="SimSun"/>
          <w:color w:val="000000"/>
          <w:sz w:val="24"/>
        </w:rPr>
        <w:t xml:space="preserve">份。</w:t>
      </w:r>
      <w:r/>
    </w:p>
    <w:p>
      <w:pPr>
        <w:ind w:left="479" w:right="0" w:hanging="24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79" w:right="0" w:hanging="24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 </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24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24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注：以上合同版本作为合同签订时的正式文本，最终签订时详细条款需参照招标文件要求及投标文件的响应情况，合同条款中的付款方式及交货期不得出现偏离。</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一、采购清单：</w:t>
      </w:r>
      <w:r/>
    </w:p>
    <w:tbl>
      <w:tblPr>
        <w:tblStyle w:val="6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1865"/>
        <w:gridCol w:w="5283"/>
        <w:gridCol w:w="555"/>
        <w:gridCol w:w="908"/>
      </w:tblGrid>
      <w:tr>
        <w:trPr>
          <w:trHeight w:val="5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bottom"/>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一、综合布线</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设备名称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参数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防火墙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top"/>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1、千兆Combo接口≥8；万兆光口≥2；千兆WAN口≥2；SSL VPN并发数≥490；IPSec VPN隧道≥3950；虚拟防火墙数量≥50；配置1个电源，可扩展双电源</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2、设备形态1U；采用多核架构；支持交流双电源；支持风扇可插拔；支持前后风道；</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3、吞吐量≥3Gbps，最大并发连接数≥240万，每秒新建连接数≥8万,IPSec吞吐量≥1.9Gbps；SSLVPN吞吐量≥280Mbps；SSL加密流量检测吞吐量280Mbps；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能够基于时间、用户/用户组/安全组、应用层协议、地理位置、IP地址、端口、域名组、URL分类、接入类型、终端类型、设备组、内容安全统一界面进行安全策略配置；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支持静态路由、策略路由、RIP、OSPF、BGP、ISIS等路由协议，策略路由支持的匹配条件：源IP/目的IP，服务类型，应用类型，用户(组)，入接口，DSCP优先级。</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4、支持IPv6协议栈、IPV6穿越技术、IPV6路由协议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5、支持IPv6overIPv4GRE隧道，6RD隧道；</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可识别应用数量≥6000种；支持识别国标SIP协议及主流安防厂家的私有协议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可支持基于应用层协议设置流控策略，包括设置最大带宽、保证带宽、协议流量优先级等。</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支持基于用户，IP的带宽保证。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支持每IP，每用户的最大连接数限制，防护服务器。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支持用户流量配额管理。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支持基于地理位置的流量和威胁分析；</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支持策略的模糊查询，策略组，策略规则标签，方便策略的管理及运维。</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6、支持将基于端口的安全策略转换为基于应用的安全策略，分析设备策略风险，及冗余策略，提供安全策略优化建议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支持数据防泄露，对传输的文件和内容进行识别过滤，对内容与身份证、信用卡、银行卡、社会安全卡号等类型进行匹配</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支持DNS过滤，提高WEB网页过滤的性能。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支持HTTP、HTTPS、DNS、SIP等应用层Flood攻击，支持流量自学习功能，可设置自学习时间，并自动生成DDoS防范策略</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支持IP信誉库，可实现对内网僵尸主机的检测和防御；</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支持全面NAT功能，对多种应用层协议支持ALG功能，包括ILS、DNS、PPTP、SIP、FTP、ICQ、RTSP、QQ、MSN、MMS等</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支持源NAT自动探测并排除NAT-IP地址池中无效地址（防封杀）</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支持源NAT地址池使用率超限告警</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支持三元组NATsmart-fullcone。</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支持NAT地址复用技术，可实现单个公网IP地址的无限制端口转换，可有效解决地址短缺问题</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基于特征检测，支持超过8000种特征的攻击检测和防御</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支持基于场景进行策略入侵防御的模板定制。</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支持对常见应用服务（HTTP、FTP、SSH、SMTP、IMAP）和数据库软件（MySQL、Oracle、MSSQL）的口令暴力破解防护功能。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支持恶意域名过滤，实现对C&amp;C进行阻断。</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可以支持HTTP、FTP、SMTP、POP3、IMAP、NFS等协议的病毒防护</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反病毒&amp;入侵防御License试用（可选2个月license试用），在试用期内反病毒和入侵防御功能可用，升级服务可以。</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支持对HTTPS，POP3S，SMTPS,IMAPS加密流量代理解密后，并进行内容过滤，审计，安全防护。</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支持基于URL分类的精细化解密，提高解密性能。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支持加密流量解密后镜像给第三方设备做审计，安全检测。</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支持防火墙向云管理平台自动注册，云管理平台对防火墙进行统一的管理及运维。</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支持U盘升级，减少运维成本。</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开放RESTCONF，NETCONF等北向接口，对接第三方的管理平台。</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支持与云沙箱联动（免费试用6个月），实现对APT攻击的防御功能。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支持与本地沙箱联动，实现对APT攻击的防御功能。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7、支持防火墙与云沙箱，本地沙箱混合联动，敏感文件在本地沙箱检测，普通文件上传到云沙箱，及保护了客户敏感数据有提高了云检测能力。</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支持防火墙与网络安全智能分析系统联动，做态势感知，全网威胁展示，并能针对威胁生成阻断策略。</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支持防火墙与云端WEB信誉系统，文件信誉系统，IP信誉系统联动，实时阻断威胁。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支持将网络安全智能分析系统、沙箱的检测结果形成本地信誉，供防火墙查询，从而实现威胁闭环。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8、支持防火墙内置流探针，对网络中的流量进行采集，上送网络安全智能分析系统进行威胁分析。</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支持AD单点登录，Radius单点登录，NTLM认证，免认证，与认证服务器配合实现微信认证，MAC认证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支持动态安全组，对横向组织机构进行动态授权。</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支持多认证域，满足多分公司独立管理，认证的述求。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支持Portal页面定制及调查问卷，进行营销推广。</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支持BFD链路检测，支持BFD与VRRP联动实现双机快速切换，支持BFD与OSPF联动实现双机快速切换</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支持HA平滑升级，升级窗口中支持不同版本的软件形成双机热备</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可根据目的地址智能优选运营商链路，支持主备接口配置以及按比例分配的负载分担方式</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★9、具有公安部颁发的防火墙《计算机信息系统安全专用产品销售许可证》（USG6000E/V6增强级），提供原件扫描件加盖供应商公章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具有中国信息安全认证中心颁发《信息安全应急处理服务资质》（一级），并且在有效期内，提供原件扫描件加盖供应商公章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具有中国信息安全认证中心颁发《信息系统安全集成服务资质》（一级），并且在有效期内，提供原件扫描件加盖供应商公章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具有《TL9000》品质管理体系认证证书，提供原件扫描件加盖供应商公章，以及在TL9000证书查询网站的链接与截图证明</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国家信息安全漏洞库漏洞提交厂商（提供CNNVD官网链接和截图）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防火墙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1、千兆Combo接口≥8；万兆光口≥2；千兆WAN口≥2；SSL VPN并发数实配100可扩展500；IPSec VPN隧道≥4000；虚拟防火墙数量≥50；配置1个电源，可扩展双电源；</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2、Δ采用多核架构，自研芯片；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3、吞吐量≥600Mbps，最大并发连接数≥120万，每秒新建连接数≥8万,IPSec吞吐量≥600Mbps，SSL_VPN吞吐量≥300Mbps,IPS吞吐量≥700Mbps,SSL代理吞吐量≥400Mbps；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4、具有未知威胁的检测能力，支持与云沙箱联动（实配6个月license授权），实现对APT攻击的防御功能；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5、能够基于时间、用户/用户组/安全组、应用层协议、地理位置、IP地址、端口、域名组、URL分类、接入类型、终端类型、设备组、内容安全统一界面进行安全策略配置；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6、支持静态路由、策略路由、RIP、OSPF、BGP、ISIS等路由协议；策略路由支持的匹配条件：源IP/目的IP，服务类型，应用类型，用户(组)，入接口，DSCP优先级；</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7、支持IPv6协议栈、IPV6穿越技术、IPV6路由协议； Δ支持IPv6 over IPv4 GRE隧道，6RD隧道；</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8、支持识别国标SIP协议及主流安防厂家的私有协议；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9、可支持基于应用层协议设置流控策略，包括设置最大带宽、保证带宽、协议流量优先级等；支持基于用户，IP的带宽保证；Δ支持每IP， 每用户的最大连接数限制，防护服务器；支持用户流量配额管理；支持流量整形；支持基于地理位置的流量和威胁分析；</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10、支持策略的模糊查询，策略组，策略规则标签，方便策略的管理及运维；支持将基于端口的安全策略转换为基于应用的安全策略，分析设备策略风险，及冗余策略，提供安全策略优化建议；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支持数据防泄露，对传输的文件和内容进行识别过滤，对内容与身份证、信用卡、银行卡、社会安全卡号等类型进行匹配；支持DNS过滤，提高WEB网页过滤的性能；支持SafeSearch，过滤掉Google等搜索引擎返回的不健康的内容；</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12、支持HTTP、HTTPS、DNS、SIP等应用层Flood攻击，支持流量自学习功能，可设置自学习时间，并自动生成DDoS防范策略；支持IP信誉；</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支持全面NAT功能，对多种应用层协议支持ALG功能，包括ILS、DNS、PPTP、SIP、FTP、ICQ、RTSP、QQ、MSN、MMS等；支持源NAT自动探测并排除NAT-IP地址池中无效地址（防封杀）；支持源NAT地址池使用率超限告警；支持三元组NAT smart-fullcone；</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基于特征检测，支持超过8000种特征的攻击检测和防御；支持基于场景进行策略入侵防御的模板定制；支持对常见应用服务（HTTP、FTP、SSH、SMTP、IMAP）和数据库软件（MySQL、Oracle、MSSQL）的口令暴力破解防护功能；支持恶意域名过滤，实现对C&amp;C进行阻断；可以支持HTTP、FTP、SMTP、POP3、IMAP、NFS等协议的病毒防护；反病毒&amp;入侵防御License试用（可选2个月license试用），在试用期内反病毒和入侵防御功能可用，升级服务可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15、支持对HTTPS，POP3S，SMTPS,IMAPS加密流量代理解密后，并进行内容过滤，审计，安全防护；支持基于URL分类的精细化解密，提高解密性能；支持加密流量解密后镜像给第三方设备做审计，安全检测；</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16、支持防火墙向云管理平台自动注册，云管理平台对防火墙进行统一的管理及运维；支持U盘升级，减少运维成本；开放RESTCONF，NETCONF等北向接口，对接第三方的管理平台；</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支持与本地沙箱联动，实现对APT攻击的防御功能；支持防火墙与云沙箱，本地沙箱混合联动，敏感文件在本地沙箱检测，普通文件上传到云沙箱，及保护了客户敏感数据有提高了云检测能力；支持防火墙与网络安全智能分析系统联动，做态势感知，全网威胁展示，并能针对威胁生成阻断策略；支持防火墙与云端WEB信誉系统，文件信誉系统，IP信誉系统联动，实时阻断威胁；支持将网络安全智能分析系统、沙箱的检测结果形成本地信誉，供防火墙查询，从而实现威胁闭环；具备基于AI技术检测DGA/C&amp;C/ECA等APT攻击的威胁防御能力；配置防火</w:t>
            </w:r>
            <w:r>
              <w:rPr>
                <w:rFonts w:ascii="SimSun" w:hAnsi="SimSun" w:eastAsia="SimSun" w:cs="SimSun"/>
                <w:color w:val="000000"/>
                <w:sz w:val="20"/>
              </w:rPr>
              <w:t xml:space="preserve">墙流探针功能，对网络中的流量进行采集，上送网络安全智能分析系统进行威胁分析；</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支持AD单点登录，Radius单点登录，NTLM认证，免认证，与认证服务器配合实现微信认证，MAC认证；支持动态安全组，对横向组织机构进行动态授权；支持多认证域，满足多分公司独立管理，认证的述求；支持Portal页面定制及调查问卷，进行营销推广；</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19、支持BFD链路检测，支持BFD与VRRP联动实现双机快速切换，支持BFD与OSPF联动实现双机快速切换；支持HA平滑升级，升级窗口中支持不同版本的软件形成双机热备；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20、可根据目的地址智能优选运营商链路，支持主备接口配置以及按比例分配的负载分担方式；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授权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IPS特征库、僵尸网络与病毒防护库、实时漏洞分析识别库和URL&amp;应用识别库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企业级多WAN口路由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1、采用无阻塞交换架构。</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2、支持多核CPU。</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3、可以扩展5G能力；</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4、支持多发选收，主动抗丢包，逐包负载分担，带宽利用率&gt;90%；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5、支持防火墙、IPS、AV等安全功能，支持IPSec VPN，IPSec VPN≥2000条隧道，多重边缘防护，保障分支安全互联；</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6、模块插槽≥2个；</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7、整机高度≤1U；</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8、包转发能力≥9Mpps；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9、WAN：2*GE Combo，1*10GE光，LAN：1*GE Combo，8*GE电（可切换为WAN口）；</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10、内存≥4GB；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11、所有业务板卡支持直接热插拔；</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12、支持静态路由，路由策略，RIP，OSPF，BGP，IS-IS；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13、支持静态路由，路由策略，RIPng，OSPFv3，IS-ISv6，BGP4+；</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14、支持 LDP，MPLS L3 VPN，VLL，PWE3，静态LSP，动态LSP，MPLS TE，IP FRR，LDP FRR，TE FRR；</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15、支持IPsec VPN，GRE VPN，DSVPN，L2TP VPN，L2TPv3 VPN；</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16、支持Diffserv模式，MPLS QoS，优先级映射，流量监管（CAR），流量整形，拥塞避免，拥塞管理，HQoS，MQC（流分类，流行为，流策略），端口三级调度和三级整形（Hierarchical QoS），智能应用控制（SAC）；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内外网核心交换机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1、交换容量≥19.84/86.4Tbps；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2、包转发率≥2880/26400Mpps；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3、主控引擎≥2；整机业务板槽位数≥6；</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4、支持每槽位带宽≥160Gbps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5、适用600mm深度机柜；</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6、高度≤10U；</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7、整机万兆端口密度≥288个；</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8、实配1: 48千兆电口，24千兆SFP光口，24个万兆SFP+口；</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9、为保证设备散热效果和可靠性，要求设备支持模块化风扇框，可热插拔，独立风扇框数≥2；</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10、支持颗粒化电源，整机电源槽位数≥3；</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11、为适应机柜并排部署，设备机箱（包括业务板卡区）采用后出风风道设计，提供设备散热气流流向截图；</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12、支持独立的硬件监控模块, 控制平面和监控平面物理槽位分离，支持1+1备份，能集中监控板卡、风扇、电源、环境，调节能耗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13、支持横向虚拟化技术，将多台设备虚拟为一台设备，支持长距离集群，且用于虚拟化的板卡与业务板卡物理槽位分离，单向虚拟化集群带宽≥80Gbps；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14、为了简化管理，支持纵向虚拟化技术，支持把交换机和AP虚拟为一台设备，支持两层子节点，且子节点接入交换机支持堆叠；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15、支持4K VLAN;支持1：1，N：1 VLAN mapping;支持端口VLAN，协议VLAN，IP子网VLAN；支持Super VLAN;支持Super VLAN;</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16、投标产品支持VTP或者相似技术，实现“服务器-客户机”模型的VLAN自动分发功能；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17、支持IEEE 802.1d(STP)、 802.w(RSTP)、 802.1s(MSTP);支持VLAN内端口隔离;支持1:1, N:1端口镜像；支持流镜像；支持远程端口镜像（RSPAN）；支持ERSPAN, 通过GRE隧道实现跨域远程镜像；支持DHCP Client, DHCP Server，DHCP Relay；支持Option 82；</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18、支持静态路由、RIP、RIPng、OSPF、OSPFv3、BGP、BGP4+、ISIS、ISISv6</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19、支持路由协议多实例;支持GR for OSPF/IS-IS/BGP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20、支持IGMP Snooping V1,V2,V3；支持PIM-SM/DM/SSM；支持MLD V1，V2；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21、支持IPv6过渡技术，IPv4/IPv6双栈、6over4隧道、4 over6隧道;支持IPv6 DHCP SERVER, IPv6 DHCP Relay, DHCP Snooping，支持IPv6 Souce Guard;</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22、支持MPLS L3VPN、MPLS L2VPN(VPLS，VLL)、MPLS-TE、MPLS QoS；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23、支持基于第二层、第三层和第四层的ACL;支持双向ACL；支持VLAN ACL和IPv6 ACL；支持IP/Port/MAC的绑定功能;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24、支持SP, WRR,DWRR,SP+WRR, SP+DWRR调度方式；支持双向CAR；提供广播风暴抑制功能；风暴控制支持shutdown端口或拒绝转发的安全策略下发；支持WRED；</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25、支持DHCP Snooping trust, 防止私设DHCP服务器；支持DHCP snooping binding table (DAI, IP source guard), 防止ARP攻击、DDOS攻击、中间人攻击；支持BPDU guard， Root guard;支持802.1X、MAC、Portal等认证方式;</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26、支持真实业务流的实时检测技术，秒级快速故障定位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27、支持G.8032标准环网协议，要求倒换时间≤50ms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28、支持业务板集成AC功能，业务单板+AC只占用1个业务槽位，实现对AP的接入控制、AP域管理、有线无线用户的统一认证管理；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29、支持802.1X、MAC、Portal等认证方式；</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30、支持基于流量、DAA目的地址和时长计费方式；</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31、支持SNMP V1/V2/V3、Telnet、RMON、SSHV2；</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32、支持通过命令行、中文图形化配置软件等方式进行配置和管理；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设备网核心交换机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1、交换容量≥432Gbps，堆叠后的交换容量≥4.32Tbps；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2、包转发率≥120Mpps；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3、24个千兆光口，8个千兆电口，4个万兆光口；</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4、支持MAC地址≥32K，支持4K VLAN，支持Voice VLAN，支持基于MAC/协议/端口的VLAN，支持 1:1 和 N:1 VLAN Mapping 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5、支持RIP、RIPng、OSPF、OSPFv3、BGP路由协议；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6、支持智能iStack堆叠，将多台支持堆叠特性的交换机组合在一起，从逻辑上虚拟为一台交换机；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7、MTBF（平均无故障时间）超过50年；</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8、可用度满足99.999%的电信级可靠性要求；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9、业务口防雷可达10KV；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10、使用非工业级光模块情况下的长期工作环境温度范围：-5℃~50℃；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11、长期工作环境相对湿度为5%~95%，非凝露；</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12、支持 802.3az 能效以太网EEE，节能环保；</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13、支持以太网环网保护协议，故障倒换时间小于50ms；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14、支持SNMP v1/v2/v3、Telnet、RMON，支持通过命令行、Web、中文图形化配置软件等方式进行配置和管理；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汇聚交换机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1、交换容量≥758Gbps，堆叠后的交换容量≥7.58Tbps；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2、包转发率≥148Mpps；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3、48个千兆电口；4个千兆SFP；</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4、支持Console接口；</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5、支持独立的网络指示灯，可以快速感知设备是否联网、是否被云管纳管。设备上线，清晰可见；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6、支持MAC地址≥16K；支持4K VLAN，支持Voice VLAN，支持基于 MAC/协议/IP 子网/策略/端口的 VLAN，支持 VLAN Stacking</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7、支持 ERPS 以太环保护协议（G.8032）；支持 STP（IEEE 802.1d），RSTP（IEEE 802.1w）和 MSTP（IEEE 802.1s）协议；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8、支持静态路由，策略路由路由，最大 512 个 FIBv4 条目，最大 512 个 FIBv6 条目并提供官网链接及截图；支持IPv6特性；</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9、支持智能iStack堆叠，将多台支持堆叠特性的交换机组合在一起，从逻辑上虚拟为一台交换机；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10、MTBF（平均无故障时间）超过40年；</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11、可用度满足99.999%的电信级可靠性要求;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12、业务口防雷可达10KV；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13、设备能够长期在-5°C ~ +50°C温度范围内稳定运行；</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14、支持 802.3az 能效以太网 EEE，节能环保；</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15、支持SNMP v1/v2/v3,Telnet,RMON，HTTPS,Web等方式进行管理和维护；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接入交换机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1、交换容量≥192Gbps；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2、包转发率≥42Mpps;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3、24个千兆电口，4个千兆SFP;</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4、自然散热</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5、★交换机重启时（版本升级），对下挂PD设备供电不会中断，保证交换机重启过程中PD设备不掉电，实现POE供电零中断，并提供官网链接及截图；</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6、支持MAC地址≥8K，支持4K VLAN；</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7、支持动静态ARP，支持DNS Client；</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8、支持入端口流量限速，支持端口队列调度，支持拥塞避免；</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9、MTBF（平均无故障时间）超过70年；</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10、可用度满足99.999%的电信级可靠性要求；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11、业务口防雷可达6KV；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12、长期工作环境相对湿度为5%~95%，非凝露；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单网口面板模块【网络】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1.颜色：白色；</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2.规格：平面90度86x86型单口信息面板；</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3.材料：高强度ABS塑料制造，结构强度高、耐冲击，阻燃级别 94V-0；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4.结构：面板表面采用不可见螺钉孔设计，美观大方；扣位式面板设计可防止施工时污染面板；面板设计线条流畅、棱角清晰；带有防尘盖，适应于不同的恶劣施工环境，方便跳线插拔；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单网口面板模块【电话】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1.颜色：白色；</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2.规格：平面90度86x86型单口信息面板；</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3.材料：高强度ABS塑料制造，结构强度高、耐冲击，阻燃级别 94V-0；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4.结构：面板表面采用不可见螺钉孔设计，美观大方；扣位式面板设计可防止施工时污染面板；面板设计线条流畅、棱角清晰；带有防尘盖，适应于不同的恶劣施工环境，方便跳线插拔；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66</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双网口面板模块【内外网】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1.颜色：白色；</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2.规格：平面90度86x86型双口信息面板；</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3.材料：高强度ABS塑料制造，结构强度高、耐冲击，阻燃级别 94V-0；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4.结构：面板表面采用不可见螺钉孔设计，美观大方；扣位式面板设计可防止施工时污染面板；面板设计线条流畅、棱角清晰；带有防尘盖，适应于不同的恶劣施工环境，方便跳线插拔；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148</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双绞语音电话线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1.颜色：蓝色；</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2.导体：23AWG，带宽达到250MHz；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3.芯线：8根芯线采用单股软铜线，每根芯线带有彩色绝缘层；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4.特性：符合ANSI/TIA-568-C.2、ISO/IEC 11801、EN50173-1：2001六类规范；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4290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六类非屏蔽双绞线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1.颜色：蓝色；</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2.导体：23AWG，带宽达到250MHz；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3.芯线：8根芯线采用单股软铜线，每根芯线带有彩色绝缘层；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4.特性：符合ANSI/TIA-568-C.2、ISO/IEC 11801、EN50173-1：2001六类规范；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19530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110配线架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1.规格：100对110机架式配线架；</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2.含四对、五对接线端子、背板套件，无需额购买，省心省力；</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3.符合ANSI/TIA-568.2-D三类规范；</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4.IDC簧片：磷青铜镀镍（100μ英寸），可容纳 23-26 AWG 单股和多股线缆，最少750次打线；</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5.适合于语音大对数电缆的端接，采用通用110接线工具端接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300*100防火桥架加分隔板，国标.含吊筋、连接片、螺丝接地线等（不含开孔）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325</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国标YJV3*2.5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183</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光纤配线架【48芯】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48芯满配单模（sc/ups）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耦合器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光纤单模法兰耦合器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96</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光纤跳线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top"/>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有ST,LC,FC,SC等接口跳线供选择；标准：ISO/IEC 11801:2002 Ed2.0，TIA/EIA 568B.3，最大损耗：&lt; 0.5dB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单模光模块光模块-SFP-GE-单模模块-(1310nm,10km,LC)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网络机柜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600*800*2000mm机柜42U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PDU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机架式PDU插座，带过载保护，6位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五方对讲线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RVVP屏蔽电缆4*1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w:t>
            </w:r>
            <w:r/>
          </w:p>
        </w:tc>
      </w:tr>
      <w:tr>
        <w:trPr>
          <w:trHeight w:val="62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二、视频监控</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400万全彩网络摄像机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1、具有400万像素 CMOS传感器。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2、具有不小于1/1.8"靶面尺寸</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3、最低照度彩色：0.0005 lx。</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4、内置暖白光补光灯。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5、★智能侦测：支持越界侦测，区域入侵侦测，补光距离不小于60米。（提供公安部检测报告原件扫描件加盖供应商公章）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6、★动态范围不小于110dB。（提供公安部检测报告原件扫描件加盖供应商公章）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7、信噪比不小于62dB。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8、★需支持IP67防尘防水。（提供公安部检测报告原件扫描件加盖供应商公章）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9、需支持DC12V供电，且在不小于DC12V±30%范围内变化时可以正常工作。</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PoE：IEEE 802.3af，CLASS 3，最大功耗：7.5 W</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供电方式：DC：12 V ± 25%，支持防反接保护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87</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接入交换机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1、交换容量≥192Gbps；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2、包转发率≥42Mpps;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3、24个千兆电口，4个千兆SFP;</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4、支持POE/POE+，POE功率≥370W;</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5、★交换机重启时（版本升级），对下挂PD设备供电不会中断，保证交换机重启过程中PD设备不掉电，实现POE供电零中断，并提供官网链接及截图；</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6、支持MAC地址≥8K，支持4K VLAN；</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7、支持动静态ARP，支持DNS Client；</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8、支持入端口流量限速，支持端口队列调度；</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9、MTBF（平均无故障时间）超过40年；</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10、可用度满足99.999%的电信级可靠性要求；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11、业务口防雷可达6KV；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12、长期工作环境相对湿度为5%~95%，非凝露；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网络硬盘录像机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top"/>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1、具有2个HDMI接口、2个VGA接口、2个RJ45网络接口、2个USB2.0接口、1个USB3.0接口、1个RS232接口、1个RS485接口、1个eSata接口、1路音频输入接口、2路音频输出接口；16路报警输入接口、9路报警输出接口、具有2路直流DC 12V输出接口（其中1路为Ctrl报警输出口）；可内置9个SATA接口硬盘，可接入1T、2T、3T、4T、6T、8T、10T、12TB、14TB、16TB、18TB容量的SATA接口硬盘</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2、可接入32路分辨率为1920×1080的视频图像；支持最大接入带宽 256Mbps，最大存储带宽 256Mbps，最大转发带宽160Mbps，最大回放带宽160Mbps，开启视频流智能分析后NVR网络带宽不应降低。预览分辨率支持：8160×3616、8208×3072、8160×2304、6912×2800、5760×1696、5520×2400、4096×2160、4000×3000、3072×3072、4096×2160、3840×2160、2560×2560、2560×1440、1920×1080</w:t>
            </w:r>
            <w:r>
              <w:rPr>
                <w:rFonts w:ascii="SimSun" w:hAnsi="SimSun" w:eastAsia="SimSun" w:cs="SimSun"/>
                <w:color w:val="000000"/>
                <w:sz w:val="20"/>
              </w:rPr>
              <w:t xml:space="preserve"> 、1280×960、1280×720、704×576；帧率均为25帧/秒</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3、★可同时显示输出12路H.265编码、30fps、1920×1080格式的视频图像，或同时输出3路 H.265编码、25fps、4096×2160或者3840×2160格式的视频图像，或同时解码2路 H.265编码、20fps、4000×3000格式的视频图像。输出1路H.265编码、25fps、8160×3072格式的视频图像；开启视频流智能分析，NVR解码性能不会降低（提供公安部检测报告原件扫描件加盖供应商公章）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4、支持16个人脸库，库容5万张人脸图片</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5、★支持2路视频流人脸识别，支持8路图片流人脸识别。支持10张/秒人脸比对报警，比对结果显示包括人脸比对成功、人脸比对失败和陌生人报警（提供公安部检测报告原件扫描件加盖供应商公章）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6、人脸库建模成功率不低于99.99%。</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7、采用单人戴口罩正脸依次循环通行进行试验，试验人员数量不小于5人，通过速度不小于1m/s，人员通过间隔时间不大于1s，戴口罩人脸检出率不低于99%</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8、人脸正对相机、人脸无遮挡等干扰情况，人脸识别准确率≥99%</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9、支持周界报警过滤功能，对IPC上报的越界侦测报警和区域入侵报警进行去误报，可去除由树叶、灯光、车辆、阴影以及小动物引起的误报；最大支持32路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10、支持接入高级移动侦测的相机，移动侦测报警能够区分是人、车还是其它目标产生，可录像和记录报警信息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接入带有温度报警、烟雾报警、障碍物遮挡报警、移动报警、防拆报警、紧急报警的智慧消防相机，当触发报警时，样机可联动录像、抓拍并保存图片、弹出报警画面、声音警告、上传中心、发送邮件、触发报警输出，并按通道、时间、类型检索报警图片，录像搜索结果支持图片和列表两种展现形式</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最大可接入32路支持高空抛物行为检测的IPC，可联动录像、抓图、蜂鸣报警、预置点、邮件、本地报警输出、IPC报警输出以及日志记录；支持按通道、日期对高空抛物行为进行录像检索，以及关联录像回放，并导出图片</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 接入带有人体测温功能的IPC，支持在预览界面以卡片形式实时展示体温信息，体温正常为绿色，体温异常为红色，支持根据体温状态联动语音输出，语音支持“体温正常”、“体温异常”。支持按体温状态、温度范围检索人脸图片</w:t>
            </w:r>
            <w:r/>
          </w:p>
          <w:p>
            <w:pPr>
              <w:ind w:left="0" w:right="0" w:firstLine="0"/>
              <w:jc w:val="both"/>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 接入警戒摄像机，支持对IPC的声音和闪光参数进行配置， 支持通过移动侦测、区域入侵、越界侦测、进入区域和离开区域事件联动一个或多个IPC的声光报警，可以对声光联动一键撤防。</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15、企业技术要求：支持导入不同的语音文件，支持播报语音文件；支持人脸、周界、车辆检测、视频结构化的报警触发时联动语音播报</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16、具有存储安全保障功能，当存储压力过高或硬盘出现性能不足时，可优先录像业务存储，支持从其他设备导入录像文件，并对录像文件进行人脸检测和识别，显示识别结果</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支持活动目标与实时预览同屏显示。实时预览的同时可以提取视频画面中的活动目标，可显示人脸、人体、车辆等目标图片，点击图片可即时回放相关录像；配合车辆抓拍摄像机，可显示车辆抓拍图、抓拍时间、车牌号码、车辆品牌、车型、车辆颜色、车牌颜色信息；配合人脸抓拍摄像机，可显示人脸抓拍图、抓拍时间信息；可显示人体抓拍图、性别、上衣颜色、下装颜色、是否戴眼镜、是否背包信息、是否拎东西、是否戴帽子、是否戴口罩（提供公安部检测报告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18、支持过车记录导出表格功能，表格包含通道、时间、车牌号、车型、车牌颜色、车身颜色、车辆品牌、车辆抓拍图片信息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19、支持以IPv6方式接入IPC进行预览、参数配置、报警接收和展现、语音对讲、IPC列表导入、IP地址冲突检测等功能。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top"/>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1、★设备具有1个DP接口、2个HDMI接口，1个VGA口、4个RJ45 10/100/1000Mbps 自适应以太网口、7个USB接口（其中5个USB2.0接口,2个USB3.0接口）、1个RS-485接口、1个RS-232接口、16路报警输入接口、4路报警输出接口、 5个SATA 3.0接口；具有2路音频输入（1路3.5mm，1路RCA），2路音频输出（1路3.5mm、1路RCA），支持对用户、角色、组织、区域、人员、车辆、卡片、设备等基础资源进行管理调配。（提供公安部检测报告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支持人员信息采集，可对人脸照片质量进行评价（合格/不合格），采集方式包括：①通过多功能采集仪在线采集人脸、指纹、身份证信息；②在公网或内网环境下，通过APP实现人脸照片采集；③通过人证比对设备实现离线或在线采集人脸照片；④通过平台批量导入人脸照片，并验证人脸照片命名、大小和质量是否符合要求。运行管理中心提供统一的认证、授权管理机制，支持HTTPS以及密码安全加密访问认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3、支持业务应用组件化，各组件独立运行、维护，支持独立安装或卸载。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多类数据自定义扩展，包括门禁事件展示信息与查询信息自定义扩展、考勤数据来源自定义扩展、考勤事件类型自定义扩展、考勤规则自定义扩展、食堂消费规则自定义扩展、巡更点自定义扩展、车辆和卡片信息自定义扩展、停车场放行规则自定义扩展、停车场收费规则自定义扩展、停车场支付方式自定义扩展。监控点最大管理容量为1000路。客户端支持在1/2/3/4/6/8/9/10/13/14/16/17/24/25画面分隔模式下进行监控点轮巡预览，轮巡时间可设置，支持全屏显示（提供公安部检测报告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支持在视频预览、录像回放、即时回放、录像剪辑、手动录像和录像下载时叠加水印；支持管理10个电视墙，监控点上墙出图像耗时小于3秒，支持电视墙场景管理和场景切换（提供公安部检测报告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支持大屏控制，可对大屏进行1/4/9/16/25分屏、拼接、开窗、窗口漫游的操作，通过客户端支持电视墙开窗后支持分割，并可将大屏分屏配置另保存为场景，支持在iPad上操作监控点上墙、拼接、分屏、漫游、预案切换等操作</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7、通过客户端支持预览上墙、回放上墙、轮巡上墙、报警联动上墙，通过配置窗口分屏数（1/4/9/16/25），使预览上墙分割数等于或大于配置的数时上墙子码流，低于配置的分屏数时上墙主码流；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支持在线和离线GIS地图、静态地图导入，同时支持对一个区域添加多张静态地图，支持在地图上添加标记、收藏、测量、放大缩小等基本地图工具，支持地图上资源点的搜索，实现在地图上资源的快速定位，支持资源点报警时，在地图上发生颜色变化，按不同等级的报警显示报警数，并显示报警列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9、支持以脸搜脸的多脸模式，上传一张图片中有多个人脸时，可对图片中的多个人脸一次识别后依次选择进行以脸搜脸，无需多次上传，人脸数最大不超过五个，支持管理门禁点数量500个</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支持门禁权限自动下发更新数据到设备；可配置固定时间、固定次数自动下发异动的门禁权限，包含卡、人脸、指纹；支持人员的卡权限在平台进行权限认证，当卡权限还未下发到设备时，平台可以根据刷卡事件进行人员权限判断并进行反控开门；支持人员通行记录区分：内部人员、外部人员、陌生人员，停车场每个进出口最多支持管理9车道，支持潮汐车道、摩托车车道、混行车道等多种车道模式</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支持纯车牌，车主卡辅，纯卡片，卡主车辅四种识别模式；支持新能源车牌识别。支持自动放行、手动放行、车卡一致和单进单出等多种放行模式；支持车位满时固定车辆、临时车辆自动放行；支持零收费时的自动放行，支持特殊车辆自动放行，支持特定节日车辆自动免费放行</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支持车辆进出可通过LED屏和语音播报两种方式来展示车辆信息，收费信息，停车时间等内容并且内容都可以自定义，支持固定车到期提醒，提醒方式为LED屏展示提醒和语音提醒，支持一户多车功能；支持客户端、LED屏、语音提示“一户多车”：支持一户多车车主查询；支持对不同车辆类型（黑名单、特殊车、群组车、预约车、固定车、临时车）进出停车场时配置不同的文字和颜色在出入口显示屏上进行提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13、支持根据用户使用习惯自定义配置快捷功能入口，支持首页投放大屏展示，支持最近7天每日的用户活跃数统计；</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支持多色彩（红、橙、黄）展示运行告警状态，支持告警统计、概览、处理，支持告警记录查看、查询，支持告警单条、批量处理；支持系统最近7天每日告警数统计，支持评分量化系统监控指数，显示系统运行状态；支持多种事件类型配置联动规则，事件源包含：通用视频事件、入侵报警事件、IO事件、门禁事件、停车场事件、可视对讲事件、园区卡口事件、行车监控事件、梯控事件、动环事件、人脸识别事件、消防事件、热成像事件、行为分析事件；支持自定义事件等级，支持报警预案功能，配置事件联动时可以自定义输入预案。</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支持对监控点、编码设备的在线状态进行设备巡检，并以统计图方式展示巡检结果；支持对监控的图像进行视频质量诊断，图像异常项包括图像偏色、噪声干扰、图像过暗、图像过亮、视频丢帧、视频抖动、对比度异常、条纹干扰、视频遮挡、信号丢失、图像黑白、图像模糊、场景变换、视频剧变；</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支持对历史录像的完整率进行监控，统计项包括录像完整数、录像丢失数、巡检失败数、未检测数、监控点总数；支持以统计图展现指定区域的录像完整情况，支持报表展示视频质量统计、录像完整率统计、区域运维考核结果统计，支持设备巡检计划配置，包括计划名称、巡检类型、采集对象、巡检时间、巡检频率、状态，并以列表形式展现；</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支持按测温分组、测温点和测温时间筛选测温数据，可根据测温数据制作统计报表，统计报表包括监测数据总览、未登记情况统计、登记情况统计、登记状态占比、来自疫区占比图，支持将在线报告保存至本地或报告库，报告库中包含历史保存到报告库中的在线报告，可通过生成日期搜索报告库中的报告，可在线预览和保存到本地（，支持GB/T 28181-2011/2016协议平台级联配置，（提供公安部检测报告原件扫描件加盖供应商公章）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支持开启SVC解码功能，可同时回放5路400W分辨率、H.264/H.265编码格式的视频图像，解码总资源为10个1920×1080格式的视频图像，显示输出分辨率具有1024×768/60Hz、1280×720/60Hz、1280×1024/60Hz、1600×1200/60Hz、1920×1080/60Hz、2560×1440/60Hz、4K(3840×2160)/30Hz、4K(4096×2160)/30Hz设置选项，智能后检索：接入支持智能分析功能的IPC，录像回放时，可设置移动侦测区域、越界</w:t>
            </w:r>
            <w:r>
              <w:rPr>
                <w:rFonts w:ascii="SimSun" w:hAnsi="SimSun" w:eastAsia="SimSun" w:cs="SimSun"/>
                <w:color w:val="000000"/>
                <w:sz w:val="20"/>
              </w:rPr>
              <w:t xml:space="preserve">/区域入侵区域并进行检索，可自动跳过未触发设定规则的录像，只播放触发规则的录像，并且播放速度可设置，网络容错：可将多个网口设置同一IP地址，其中任一网口损坏时，仍能正常工作，可对IPC的参数配置进行修改，可设置曝光、日夜转换、背光、图像增强、分辨率、码率、帧率、字符叠加、隐私遮盖等；并支持将IPC参数配置到其他通道（提供公安部检测报告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19、支持接入高级移动侦测的相机，移动侦测报警能够区分是人、车还是其它目标产生，可录像和记录报警信息；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接入警戒摄像机，支持对IPC的声音和闪光参数进行配置， 支持通过移动侦测、区域入侵、越界侦测、进入区域和离开区域事件联动一个或多个IPC的声光报警，可以对声光联动一键撤防，人脸侦测：接入带有人脸侦测报警功能的IPC，当触发报警时，样机可联动录像、抓拍并保存图片、弹出报警画面、声音警告、上传中心、发送邮件、触发报警输出，可联动外接球机预置点、球机轮巡、球机轨迹。</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车牌侦测：接入带有车牌侦测报警功能的IPC，可导入导出车牌黑白名单，可单独设置黑白名单报警联动、白名单报警联动，可设置图片叠加监测点编号、监测点信息、设备编号、车牌号码、抓拍时间等信息，当触发报警时，可联动录像、抓拍并保存图片，同时弹出报警画面、声音警告、上传中心、发送邮件、触发报警输出；可联动球机预置点、球机轮巡、球机轨迹，并可按通道、时间、车牌号码检索图片，支持将多路通道的视频画面合并为一个画面，用单个通道的带宽在客户端软件中查看，并可设置帧率、码率（提供公安部检测报告原件扫描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监控存储硬盘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top"/>
            <w:textDirection w:val="lrTb"/>
            <w:noWrap w:val="false"/>
          </w:tcPr>
          <w:p>
            <w:pPr>
              <w:ind w:left="0" w:right="0" w:firstLine="0"/>
              <w:jc w:val="both"/>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配套8T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网桥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top"/>
            <w:textDirection w:val="lrTb"/>
            <w:noWrap w:val="false"/>
          </w:tcPr>
          <w:p>
            <w:pPr>
              <w:ind w:left="0" w:right="0" w:firstLine="0"/>
              <w:jc w:val="both"/>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2.4GHz提供最高提供300Mbps的无线桥接协商速率 ，推荐500米 ，</w:t>
            </w:r>
            <w:r/>
          </w:p>
          <w:p>
            <w:pPr>
              <w:ind w:left="0" w:right="0" w:firstLine="0"/>
              <w:jc w:val="both"/>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支持12VDC供电和12V非标PoE供电，支持APP/Web配置模式，</w:t>
            </w:r>
            <w:r/>
          </w:p>
          <w:p>
            <w:pPr>
              <w:ind w:left="0" w:right="0" w:firstLine="0"/>
              <w:jc w:val="both"/>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支持APP/Web配置同步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显示器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top"/>
            <w:textDirection w:val="lrTb"/>
            <w:noWrap w:val="false"/>
          </w:tcPr>
          <w:p>
            <w:pPr>
              <w:ind w:left="0" w:right="0" w:firstLine="0"/>
              <w:jc w:val="both"/>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55英寸4K 监控专用液晶金属壳 HDMI/VGA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高清线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top"/>
            <w:textDirection w:val="lrTb"/>
            <w:noWrap w:val="false"/>
          </w:tcPr>
          <w:p>
            <w:pPr>
              <w:ind w:left="0" w:right="0" w:firstLine="0"/>
              <w:jc w:val="both"/>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8米HDMI高清线 4K/30Hz 版本1.4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操作台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管理电脑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六类非屏蔽双绞线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1.颜色：蓝色；</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2.导体：23AWG，带宽达到250MHz；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3.芯线：8根芯线采用单股软铜线，每根芯线带有彩色绝缘层；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4.特性：符合ANSI/TIA-568-C.2、ISO/IEC 11801、EN50173-1：2001六类规范；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6250</w:t>
            </w:r>
            <w:r/>
          </w:p>
        </w:tc>
      </w:tr>
      <w:tr>
        <w:trPr>
          <w:trHeight w:val="62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三、门禁系统</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人脸指纹刷卡一体机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top"/>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1、LAN、WIFI双网络，支持多网络同时连接(10M/100M自适应)；RS-485接口×1个；韦根接口×1个；USB接口×1个；喇叭扬声器；门锁I/O输出×1个；门磁I/O输入×1个；开门按钮I/O输入X1个；机械防拆开关×1个</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设备采用4.3英寸LCD触摸显示屏，屏幕防暴等级IK04，设备结构后壳防破坏能力应满足IK07的要求.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设备应支持TCP/IP有线网络通信传输方式；设备应支持wifi无线网络通信传输方式，有线网络与无线网络应能自由切换；设备应支特10M/100M网络自适应配置；设备应支持根据WiFi热点强度自动切换网络；设备应支持通过IPV4网络地址登录；设备应支持云平台通信，实现视频、对讲及权限管控功能；设备应支持被4个客户端软件同时实时监听，在线状态下实时上传比对记录。</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支持红外补光；指示灯支持固定频率的亮起和熄灭（呼吸状态）及识别状态提示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应能离线存储10000个用户信息（用户能设定为管理员）；设备应能离线存储10000张人脸库；设备应能离线存储50000张卡片信息；设备应能离线存储150000笔进出记录；设备应能离线存储10000个密码；设备应能离线存储3000枚指纹信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应支持通过 WEB进行设备各项功能参数配置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应支持人脸在画面内持续动态监测；应支持人脸验证功能，现场抓拍人脸照片与本地人脸库照片进行比对，进行人员身份核验；应支持联网与后端平台对接，实现人脸比对功能；应支持在0.0011ux低照度无补光环境下正常实现人脸验证，适应强光、逆光、暗光等条件的人脸验证；应支持侧脸，遮挡，模糊，表情，戴眼镜及帽子等实际场景识别；应支持用户人脸数据下发及人脸验证双线程同步工作；设备垂直及水平区域人脸验证范围应能设置；人脸在各角度偏转±45°，应能进行人脸验证，并且该识别角度应能支持设置；人脸验证应支持多阈值设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应支持以下认证方式：人脸；支持刷卡（支持IC卡、CPU卡、NFC、身份证序列号）；指纹；二维码；密码；应支持任意一种、任意两组、任意三组组合认证。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设备应支持在管理中心远程视频预览功能；应支持与管理平台或客户端中心、室内机、管理机、手机APP可视对讲功能；应能通过web进行视频连接；应支持配置一键呼叫管理机或室内机的可视对讲功能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支持对用户进行非授权名单标注；支持本地非授权名单信息比对；支持本地非授权名单记录上传。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设备应支持本地加密存储进出事件、人员信息及抓拍人脸照片；设备应支持实时加密传进出事件、人员信息及抓拍人脸照片等至管理中心；设备应支持断网续传离线加密进出记录功能；设备USB导出的数据（进出事件等）采用加密处理；人员信息及进出事件采用加密处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应支持在没有用户使用时，自动切换到屏保或息屏待机状态；支持物体靠近自动唤醒待机设备，唤醒距离可调节；设备待机功耗低手8W</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系统应能对门的开启方式，卡（人脸、密码）的各种使用权限进行组合设置，实现以下权限管理：反潜回（防跟随）功能；多重卡认证开门；多重卡+中心远程认证开门；多重卡+超级密码开门；多重卡+超级卡开门；首卡开门；超级权限开门；管理中心远程升门；APP远程开门；室内机及管理机远程开门；应支持普通卡、来宾卡、胁迫卡、超级卡、巡更卡等多种类型用户权限设置；应支持按时间分时段管控门禁权限，支持255组时段计划管理，支持1024个假日计划管理；应支持常开、常闭时段管理；应支持首卡开门管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设备应支持手动校时和自动校时功能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5、对所要求的功能而言，需要的所有软件均应保存到固态存储器中；具有文字界面系统管理软件，文字必须为简体中文；当电源不正常、掉电或更换电池时，系统的密钥（钥匙）信息及各记录信息不得丢失</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设备支持在线升级、本地U盘升级、OTA 升级功能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根据设定事件的联动关系，当检测到该件发生时，可触发对应的动作。</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有授权人员刷人脸时，设备可抓拍图片并实时上传平台；设备应支持将非授权人员刷脸记录上报平台。</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生以下情况时，系统应告警：当连续若干次在目标信息识读设备或管理/控制部分上实施错误操作时；当未使用授权的钥匙而强行通过出入口时；未经正常操作而使出入口开启时；出入口开启时间超过设定值时；设备被拆除时；胁迫卡和胁迫码；非授权名单卡刷卡时接入系统平台后可支持视频联动报警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设备应配备4.3英寸触摸显示屏</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6、产品供应商应具有符合ISO/IEC 27701：2019要求的隐私信息管理体系认证。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7、符合GB/T24021-2001idt ISO14021:1999《环境管理环境标志与声明自我环境声明(Ⅱ型环境标志)》的要求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出门按钮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top"/>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结构：塑料面板；</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性能：最大耐电流1.25A，电压250V；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输出：常开；</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类型：适合埋入式电器盒使用；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尺寸：86*86mm，安装后露出13mm</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重量：0.07kg；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双门磁力锁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铝外壳采用高强度合金材料，阳极硬化处理；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最大静态直线拉力：230kg±10%*2；</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断电开锁，满足消防要求；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指示灯：红灯为开锁状态， 绿灯为上锁状态；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支持锁状态侦测信号(门磁)输出：NO/NC/COM接点；</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工作电压：12V/940mA 或 24V/470mA，可自行设定工作电压，出厂默认为DC12V；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防残磁设计，选用防磨损材料；</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磁力锁无机械故障，完全采用电磁吸力工作；</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加大电磁吸力，专业设计、双重锁体绝缘处理；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使用环境：室内（不防水）；</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适用门型：木门、玻璃门、金属门、防火门。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注意：左右两个进线孔都要使用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门禁控制器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管控门数：1门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通讯方式：上行TCP/IP</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可接读卡器：RS485读卡器*2、Wiegand读卡器*2</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存储容量：10万张卡和20万记录存储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门禁高级功能：支持单主机反潜回、多重卡认证等</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输入接口：门磁*1、开门按钮*1、Case输入*5、防拆*1、消防*1</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输出接口：开门继电器*1、报警继电器*4</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其他功能：带消防联动继电器接口</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工作电压：DC 12V（自带开关电源：220V输入，12V50W输出）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设备尺寸：373(高)*345(宽)*90mm(厚)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权限发卡器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配置双色指示灯，配置蜂鸣器提示，在读卡写卡时反映系统的当前工作状态提醒功能；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设备支持USB通讯功能；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免驱动，即插即用；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USB接口供电，无需外接电源；</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工作模式支持可读可写；</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性能参数：</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读卡类型：IC卡；</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读卡距离：≤5CM；</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通讯接口：USB；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工作频率：13.56MHz；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工作功耗：DC5V，200mA；</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工作温度：0~50℃；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设备尺寸：105*45*155mm；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管理电脑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国标RVV2*1.0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450</w:t>
            </w:r>
            <w:r/>
          </w:p>
        </w:tc>
      </w:tr>
      <w:tr>
        <w:trPr>
          <w:trHeight w:val="62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四、会议室扩声系统</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高档会议音箱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精确设计的分频器，优化频率响应及人声部分的中频表现力。</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支持吊装、壁装、落地等多种安装方式。</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箱体表面采用持久耐用的亚光聚安脂涂料，有良好的防潮性。</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可用于会议室，多功能厅，舞台监听及辅助音箱。</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单元组成：低音：≥10寸低音单元铝盆架150磁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单元组成：高音：≥34芯高音单元100磁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频率响应(-3dB)：65Hz-18KHz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频率响应(-10dB)：60Hz-20KHz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覆盖角度(-6dB)：≥90度(H)×60度(V)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灵敏度(1W/1m)：≥96dB/1W  1米</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连续声压级：≥120dB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峰值声压级：≥126dB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标准阻抗：8Ω</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输入功率：≥250W(额定)/1000W(峰值)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7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专业功放350W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top"/>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具有工作状态实时指示灯，1 个电源指示，2 个信号通道指示，2 个限幅通道指示，2 个保护通道指示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支持短路保护功能，自动保护重置功能，防止功放发生短路，或输出电路发生其它应激故障。</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设有限幅器，信号峰值过大自动限幅过大输出到达扬声器，最高限幅可达到10V。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支持过热保护，输出级操作温度过高，温控连续变速风扇，从前到后的空气流动。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支持过载保护，峰值负反馈保护，当信号输入输出出现失真、冲击、或线电压严重过压时，能有效地对功放进行保护。</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内设保护电路，软启动，输入浪涌限制，输出短路、直流，开关机哑音保护，射频干扰保护。</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输出功率@立体声8Ω（失真≤1%时）：≥2×400W</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输出功率@立体声4Ω（失真≤1%时）：≥2×560W</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输出功率@立体声2Ω（失真≤1%时）：≥2×780W</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频率响应（1W 8Ω）：20Hz～20KHz±0.5dB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灵敏度（8Ω 1KHz）：≥1V/32dB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信噪比( A计权，额定功率8Ω )：≥105dB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相位响应( 1W &amp; 8Ω，20Hz-20KHz )：≤±1.5°</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转换速率：≥60V / us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前面板指示：电源，削波，压限，信号</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后面板接口：并机输入：≥2*母3针XLR，输出：≥2*公3针XLR；PSZ信号输出外接线柱。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音箱壁挂支架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产品描述：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音箱壁装支架适用于10寸.12寸.15寸专业音箱。 加厚支架，可有效承重50公斤。 支架立柱为35mm直径，可直接连接音箱底座。 壁架可调节长度、角度和摆动方向。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技术参数：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颜色：黑色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材质：加厚加硬钢板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伸缩方式：可调长度.可调角度，可调方向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最大承重：50KG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固定方式：墙壁平面固定式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壁挂伸缩长度：26.5-35.5cm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数字音频处理器(8进8出)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1、≥8路平衡式话筒、线路输入/输出，采用凤凰插接线端子。</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2、★麦克风输入和线路输入自由切换，每路输入带48V幻相电源选择。</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3、系统内置锁屏功能，有效避免发生误操作。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4、★Enternet多用途数据传输及控制端口，可以支持实时管理单台及多台设备。</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支持U盘播放，即插即用，可通过PC客户端进行播放操作；</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≥1路光钎输出，可在OUT1/OUT2、OUT3/OUT4、OUT5/OUT6、OUT7/OUT8信号中切换选择。</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DSP音频处理，内置AM自动混音功能、自动增益。</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输入每通道：前级放大、灵敏度选择，信号发生器、噪声门，FBX，分频器，自动增益、压缩器、10段参量均衡。</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输出每通道：≥10段参量均衡、最大输出电平、延时器、分频器、压缩器。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全功能矩阵混音功能，不单单是混音和自动混音功能，还具备混音分量控制功能。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通道支持拷贝、粘贴、联控功能。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内置自动摄像跟踪功能。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支持≥12组场景预设功能。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具有断电自动保护记忆功能。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配置RS485接口、标准以太网控制接口、≥8通道可编程GPIO控制接口（可自定义输入输出）。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频率响应（20~20KHz）：±0.5dB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信噪比：≥105dB（A加权）（@输出10dBu@0dBu&gt;95 dB）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总谐波失真+噪声：≤0.02 @20-20KHz ，15dBu</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底噪（A-计权）：≤-90dBu</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延时存储 ：≥1000ms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等效输入噪声EIN（20-20kHz，A计权）：≤-110dBU</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★（要求提供第三方检测检测机构认可的检测报告原件扫描件，加盖供应商公章）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反馈抑制器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高性能 8核DSP处理器、≥24Bit数据带宽、48KHz采样率，可精准、快速找到啸叫频点。</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≥2寸高清真彩TFT屏，支持中英文双语切换，主页面可实时显示通道啸叫频点数量、当前音量等，直观明了。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★1、采用 96kHz 采样频率，32-bitDSP 处理器，24-bitA/D 及 D/A 转换，全自动窄带陷波式反馈抑制。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2、可通过面板的 BYPASS/ON 按键切换工作模式为直通或抑制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★3、可提供模拟输入输出或数字 AES3、光纤，同轴输入输出。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输入通道及插座:2 路 XLR 母卡依座 1 路数字卡依光纤同轴输入；输出通道及插座:2 路 XLR 公卡</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依座 1 路数字卡依光纤同轴输出。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专业PC调试控制工具，针对现场的声学环境进行个性化、专业化的设置，满足啸叫抑制的需求。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灵敏度：0dBu(@Out=0dBu)</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信号比 &gt;110dB（A计权）</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失真度 &lt; 0.05%</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频率响应：+/- 0.5dB (20Hz to 20KHz)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动态增益提升：5-10dBu</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最大输入电平：15dBu</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★（要求提供第三方检测检测机构认可的检测报告原件扫描件，加盖供应商公章）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2编组8路调音台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1.具一个48V幻象电源总开关，一键控制所有通道幻象电源打开关闭。</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2.每通道有增益开关、输入三段均衡高中低、效果、辅助旋钮。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★3.调音台内置≥16种参数可调的24BIT的DSP效果处理器，≥7段均衡器。（要求提供第三方检测检测机构认可的检测报告原件扫描件加盖供应商公章）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★4.具有SD/USB接口的MP3功能。（要求提供第三方检测检测机构认可的检测报告原件扫描件，加盖供应商公章）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5.标准蓝牙系统，连接蓝牙设备进行音频播放。</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 ≥2路主输出，≥2路编组输出，≥1路监听输出，≥2辅助发送/返回。★（要求提供第三方检测检测机构认可的检测报告原件扫描件，加盖供应商公章）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7.麦克风输入不少于6路，立体声输入不少于2组</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8.灵敏度：0VU=+4dBu</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9.频率响应：±1dB，20Hz-30KHz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10.麦克风共模抑制比@1KHz：&gt;80dB 典型值</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THD+N @14dBu，1KHz：&lt;0.01%</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串扰 @1KHz：&gt;82dB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U段无线话筒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1.具有LED液晶屏显示RF/AF信号强度，自动选讯，可设定频道/频率，状态一目了然；</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2.全新独特ID编码功能，对周围环境或≥10台叠机多套使用，具备优良的抗干扰能力</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3.支持自动搜索无干扰信道功能，PLL相位锁定频率合成振荡模式；</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4.双频道频道组数，可切换频率数≥ 400组；</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5.载波频率： UHF频段（640.125~690.000 MHz）；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6.频带宽度： 50MHz，频率间隔：125KHz；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7.话筒输出功率： 30MW；</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8.综合S/N比： ±105dB(1KHz-A)</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9.综合失真度： &lt;0.5% @ 1KHz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10.综合频率响应： 50Hz-18KHz±3dB具低频衰减滤频电路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11.静音控制模式： 独立“音码及杂讯锁定”双重静音控制</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12.麦克风使用易购的5号电池，续用时间达≥8小时</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13.天线座带DC9V供电，可直接接放大天线使用；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★14.要求所投产品具有“无线电发射设备型号核准证”证书，提供证书原件扫描件并加盖供应商公章，证书编号网上可查询；</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★15.所投设备生产厂家的无线话筒必须拥有自主的知识产权，要求提供“无线话筒控制软件”的相关技术证明或自主产权证明文件（提供原件扫描件加盖供应商公章）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U段红外对频一拖四会议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采用标准1U机柜式安装设计，支持机柜或桌面安装。</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一拖四桌面鹅颈话筒。</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设有四路彩色LED显示屏，可实时显示每通道话筒编号、RF和AF信号强度、频率、频率组/频道等工作状态信息，直观方便。</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≥4通道独立输出，音频输出音量单独可控，≥1通道合并输出，可实现≥4通道音频混合输出。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支持IR红外线自动对频功能，可实现一键自动对频锁定。</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设有独立式的防误触系统锁键，可有效防止他人误操作。</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发射器采用鹅颈麦克风，曲度可调，美观时尚，支持理想条件下≥80米有效使用距离。</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发射器采用2节5号（AA）电池，超长续航，可持续使用超过≥13个小时。</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支持会议/手持/领夹等发射机选择，支持不同发射机混合使用。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可用于各种会议、演讲等使用场景。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频率范围 : 610~670 MHz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可调范围 : ≥60MHz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信道数目 : ≥200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信道间隔 : ≥300KHz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频率稳定度 :±0.005%</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音频响应 : 80Hz-18KHz(±3dB)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综合信噪比 SNR:&gt;105 dB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综合失真 : ≤0.5%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U段红外对频一拖二会议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产品描述：</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一拖二桌面鹅颈话筒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采用标准1U机柜式安装设计，支持机柜或桌面安装。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采用最新的UHF波段无线音频发射芯片模块IC。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设有彩色LED显示屏，可实时显示话筒编号、RF和AF信号强度、频率、频率组/频道等工作状态信息，直观方便。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设有2通道独立输出，音频输出音量单独可控，另有1通道合并输出。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内置4编组叠机频率，可一键调取.，同一频段可同时轻松叠机四套使用。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支持IR红外线自动对频功能，可实现一键自动对频锁定。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设有独立式的防误触系统锁键，可有效防止他人误操作。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支持会议/手持/领夹等发射机选择，并支持不同发射机混用。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可用于各种会议、演讲等使用场景。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技术参数：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频率范围: 610~670 MHz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调制方式: FM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可调范围 : 50MHz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信道数目: 200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信道间隔 : 300KHz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频率稳定度 :±0.005%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输出功率 ：高功率High power15mW; 低功率 8mW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杂散抑制：-60dB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供电 ：两节AA电池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使用时间 ：连续使用13个小时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无线话筒天线放大器(室内)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产品描述：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采用高动态稳流偏压设计，具有低失真特性，能在多频道同时使用排除混频干扰。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天线输入插座可以直接配置适用频带范围内的各种单竿天线、同轴天线、延长天线组及对数定向天线组。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支持1-4台UHF无线接收器接入，共用一对天线使用。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天线翼叶子配合带有螺纹的集成式支架，可轻松固定在话筒支架上,也可将其悬挂在天花板或墙壁上。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技术参数：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频率范围：500-950MHz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输入截断点：+22dBm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噪声比：4.0dB Type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增益：+6-9dB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阻抗：50Ω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频宽：450MHz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插座：BNC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电源供应：100-240V/50/60Hz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电源消耗：170mA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产品尺寸（W×D×H）：484×210×44mm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8+2通道电源时序器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1、1U机柜式、电源开关防触碰设计；双层双色双拼前面板，采用隐藏式条形出气口及弧形进风口设计，设备散热均匀，有效延长使用寿命。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大电流三芯电源输入缆线，支持宽电压220V输入。</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2、前面板具有≥1路直通220V电源座，≥2路USB DC-5V,1A直流供电接口，≥5个功能键。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后面板≥8路可控多功能标准插座输出，通用于国际多种类型插头。</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设备前面板有液晶显示屏，可实时显示电压、电流、时间、操作菜单等信息。（投标时要求提供公安部安全与警用电子产品质量检测中心出具的此内容的检测报告原件扫描件加盖供应商公章，并提供公安部安全与警用电子产品质量检测中心官网查询截图）</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带≥8个LED指示灯显示，实时查看每个通道的工作状态。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支持定时开启/关闭任意AC220V选通输出接口，当同时开启/关闭全部AC220V选通输出接口时，输出接口逐一开启或关闭，间隔时间0-9s可调。</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设备支持TCP/IP网络和串口控制，可通过软件开启/关闭任意AC220V选通输出接口。</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4、支持一键恢复出厂设置，支持中控和编程两种工作模式。带远程干结点信号控制功能及短路信号输出功能，便于联机下一台设备达到统一管理。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接口：前面板≥1个万能插座、≥1个空气开关、≥2个USB口、后面板≥8个万能插座、≥1个网口、≥1个485口、≥1个短路输入，≥1个输出口</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5、★所投设备生产厂家的控制软件必须拥有自主的知识产权，要求提供“电源时序器电子密码软件”的相关技术证明或自主产权证明文件（原件扫描件加盖供应商公章）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6、电源指示：LED指示灯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600*600*1200mm机柜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1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五、党员活动室扩声系统</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高档会议音箱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精确设计的分频器，优化频率响应及人声部分的中频表现力。</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支持吊装、壁装、落地等多种安装方式。</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箱体表面采用持久耐用的亚光聚安脂涂料，有良好的防潮性。</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可用于会议室，多功能厅，舞台监听及辅助音箱。</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单元组成：低音：≥10寸低音单元铝盆架150磁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单元组成：高音：≥34芯高音单元100磁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频率响应(-3dB)：65Hz-18KHz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频率响应(-10dB)：60Hz-20KHz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覆盖角度(-6dB)：≥90度(H)×60度(V)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灵敏度(1W/1m)：≥96dB/1W  1米</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连续声压级：≥120dB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峰值声压级：≥126dB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标准阻抗：8Ω</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输入功率：≥250W(额定)/1000W(峰值)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专业功放350W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top"/>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具有工作状态实时指示灯，1 个电源指示，2 个信号通道指示，2 个限幅通道指示，2 个保护通道指示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支持短路保护功能，自动保护重置功能，防止功放发生短路，或输出电路发生其它应激故障。</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设有限幅器，信号峰值过大自动限幅过大输出到达扬声器，最高限幅可达到10V。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支持过热保护，输出级操作温度过高，温控连续变速风扇，从前到后的空气流动。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支持过载保护，峰值负反馈保护，当信号输入输出出现失真、冲击、或线电压严重过压时，能有效地对功放进行保护。</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内设保护电路，软启动，输入浪涌限制，输出短路、直流，开关机哑音保护，射频干扰保护。</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输出功率@立体声8Ω（失真≤1%时）：≥2×400W</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输出功率@立体声4Ω（失真≤1%时）：≥2×560W</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输出功率@立体声2Ω（失真≤1%时）：≥2×780W</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频率响应（1W 8Ω）：20Hz～20KHz±0.5dB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灵敏度（8Ω 1KHz）：≥1V/32dB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信噪比( A计权，额定功率8Ω )：≥105dB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相位响应( 1W &amp; 8Ω，20Hz-20KHz )：≤±1.5°</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转换速率：≥60V / us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前面板指示：电源，削波，压限，信号</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后面板接口：并机输入：≥2*母3针XLR，输出：≥2*公3针XLR；PSZ信号输出外接线柱。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音箱壁挂支架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产品描述：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音箱壁装支架适用于10寸.12寸.15寸专业音箱。 加厚支架，可有效承重50公斤。 支架立柱为35mm直径，可直接连接音箱底座。 壁架可调节长度、角度和摆动方向。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颜色：黑色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材质：加厚加硬钢板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伸缩方式：可调长度.可调角度，可调方向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最大承重：50KG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固定方式：墙壁平面固定式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壁挂伸缩长度：26.5-35.5cm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数字音频处理器(8进8出)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1、≥8路平衡式话筒、线路输入/输出，采用凤凰插接线端子。</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2、★麦克风输入和线路输入自由切换，每路输入带48V幻相电源选择。</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3、系统内置锁屏功能，有效避免发生误操作。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4、★Enternet多用途数据传输及控制端口，可以支持实时管理单台及多台设备。</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支持U盘播放，即插即用，可通过PC客户端进行播放操作；</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≥1路光钎输出，可在OUT1/OUT2、OUT3/OUT4、OUT5/OUT6、OUT7/OUT8信号中切换选择。</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DSP音频处理，内置AM自动混音功能、自动增益。</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输入每通道：前级放大、灵敏度选择，信号发生器、噪声门，FBX，分频器，自动增益、压缩器、10段参量均衡。</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输出每通道：≥10段参量均衡、最大输出电平、延时器、分频器、压缩器。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全功能矩阵混音功能，不单单是混音和自动混音功能，还具备混音分量控制功能。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通道支持拷贝、粘贴、联控功能。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内置自动摄像跟踪功能。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支持≥12组场景预设功能。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具有断电自动保护记忆功能。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配置RS485接口、标准以太网控制接口、≥8通道可编程GPIO控制接口（可自定义输入输出）。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频率响应（20~20KHz）：±0.5dB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信噪比：≥105dB（A加权）（@输出10dBu@0dBu&gt;95 dB）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总谐波失真+噪声：≤0.02 @20-20KHz ，15dBu</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底噪（A-计权）：≤-90dBu</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延时存储 ：≥1000ms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等效输入噪声EIN（20-20kHz，A计权）：≤-110dBU</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★（要求提供第三方检测检测机构认可的检测原件扫描件加盖供应商公章）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反馈抑制器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高性能 8核DSP处理器、≥24Bit数据带宽、48KHz采样率，可精准、快速找到啸叫频点。</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≥2寸高清真彩TFT屏，支持中英文双语切换，主页面可实时显示通道啸叫频点数量、当前音量等，直观明了。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 96kHz 采样频率，32-bitDSP 处理器，24-bitA/D 及 D/A 转换，全自动窄带陷波式反馈抑制。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2、可通过面板的 BYPASS/ON 按键切换工作模式为直通或抑制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★3、可提供模拟输入输出或数字 AES3、光纤，同轴输入输出。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输入通道及插座:2 路 XLR 母卡依座 1 路数字卡依光纤同轴输入；输出通道及插座:2 路 XLR 公卡</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依座 1 路数字卡依光纤同轴输出。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专业PC调试控制工具，针对现场的声学环境进行个性化、专业化的设置，满足啸叫抑制的需求。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灵敏度：0dBu(@Out=0dBu)</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信号比 &gt;110dB（A计权）</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失真度 &lt; 0.05%</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频率响应：+/- 0.5dB (20Hz to 20KHz)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动态增益提升：5-10dBu</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最大输入电平：15dBu</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★（要求提供第三方检测检测机构认可的检测原件扫描件加盖供应商公章）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2编组8路调音台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1.具一个48V幻象电源总开关，一键控制所有通道幻象电源打开关闭。</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2.每通道有增益开关、输入三段均衡高中低、效果、辅助旋钮。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★3.调音台内置≥16种参数可调的24BIT的DSP效果处理器，≥7段均衡器。（要求提供第三方检测检测机构认可的检测报告原件扫描件加盖供应商公章）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★4.具有SD/USB接口的MP3功能。（要求提供第三方检测检测机构认可的检测报告原件扫描件加盖供应商公章）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5.标准蓝牙系统，连接蓝牙设备进行音频播放。</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≥2路主输出，≥2路编组输出，≥1路监听输出，≥2辅助发送/返回。（要求提供第三方检测检测机构认可的检测报告原件扫描件加盖供应商公章）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7.麦克风输入不少于6路，立体声输入不少于2组</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8.灵敏度：0VU=+4dBu</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9.频率响应：±1dB，20Hz-30KHz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10.麦克风共模抑制比@1KHz：&gt;80dB 典型值</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THD+N @14dBu，1KHz：&lt;0.01%</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串扰 @1KHz：&gt;82dB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U段无线话筒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1.具有LED液晶屏显示RF/AF信号强度，自动选讯，可设定频道/频率，状态一目了然；</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2.全新独特ID编码功能，对周围环境或≥10台叠机多套使用，具备优良的抗干扰能力</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3.支持自动搜索无干扰信道功能，PLL相位锁定频率合成振荡模式；</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4.双频道频道组数，可切换频率数≥ 400组；</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5.载波频率： UHF频段（640.125~690.000 MHz）；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6.频带宽度： 50MHz，频率间隔：125KHz；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7.话筒输出功率： 30MW；</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8.综合S/N比： ±105dB(1KHz-A)</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9.综合失真度： &lt;0.5% @ 1KHz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10.综合频率响应： 50Hz-18KHz±3dB具低频衰减滤频电路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11.静音控制模式： 独立“音码及杂讯锁定”双重静音控制</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12.麦克风使用易购的5号电池，续用时间达≥8小时</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13.天线座带DC9V供电，可直接接放大天线使用；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★14.要求所投产品具有“无线电发射设备型号核准证”证书，提供公安部检测报告原件扫描件加盖供应商公章，证书编号网上可查询；</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★15.所投设备生产厂家的无线话筒必须拥有自主的知识产权，要求提供“无线话筒控制软件”的相关技术证明或自主产权证明文件（原件扫描件并加盖供应商公章）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U段红外对频一拖二会议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产品描述：</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一拖二桌面鹅颈话筒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采用标准1U机柜式安装设计，支持机柜或桌面安装。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采用最新的UHF波段无线音频发射芯片模块IC。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设有彩色LED显示屏，可实时显示话筒编号、RF和AF信号强度、频率、频率组/频道等工作状态信息，直观方便。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设有2通道独立输出，音频输出音量单独可控，另有1通道合并输出。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内置4编组叠机频率，可一键调取.，同一频段可同时轻松叠机四套使用。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支持IR红外线自动对频功能，可实现一键自动对频锁定。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设有独立式的防误触系统锁键，可有效防止他人误操作。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支持会议/手持/领夹等发射机选择，并支持不同发射机混用。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可用于各种会议、演讲等使用场景。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频率范围: 610~670 MHz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调制方式: FM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可调范围 : 50MHz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信道数目: 200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信道间隔 : 300KHz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频率稳定度 :±0.005%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输出功率 ：高功率High power15mW; 低功率 8mW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杂散抑制：-60dB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 ：两节AA电池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使用时间 ：连续使用13个小时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8+2通道电源时序器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1、1U机柜式、电源开关防触碰设计；双层双色双拼前面板，采用隐藏式条形出气口及弧形进风口设计，设备散热均匀，有效延长使用寿命。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大电流三芯电源输入缆线，支持宽电压220V输入。</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2、前面板具有≥1路直通220V电源座，≥2路USB DC-5V,1A直流供电接口，≥5个功能键。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后面板≥8路可控多功能标准插座输出，通用于国际多种类型插头。</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前面板有液晶显示屏，可实时显示电压、电流、时间、操作菜单等信息。（投标时要求提供公安部安全与警用电子产品质量检测中心出具的此内容的检测报告原件扫描件，加盖供应商公章，并提供公安部安全与警用电子产品质量检测中心官网查询截图）</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带≥8个LED指示灯显示，实时查看每个通道的工作状态。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支持定时开启/关闭任意AC220V选通输出接口，当同时开启/关闭全部AC220V选通输出接口时，输出接口逐一开启或关闭，间隔时间0-9s可调。</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设备支持TCP/IP网络和串口控制，可通过软件开启/关闭任意AC220V选通输出接口。</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4、支持一键恢复出厂设置，支持中控和编程两种工作模式。</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带远程干结点信号控制功能及短路信号输出功能，便于联机下一台设备达到统一管理。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接口：前面板≥1个万能插座、≥1个空气开关、≥2个USB口、后面板≥8个万能插座、≥1个网口、≥1个485口、≥1个短路输入，≥1个输出口</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5、★所投设备生产厂家的控制软件必须拥有自主的知识产权，要求提供“电源时序器电子密码软件”的相关技术证明或自主产权证明文件（原件扫描件并加盖供应商公章）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6、电源指示：LED指示灯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600*600*1200mm机柜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六、弱电机房</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静电地板</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3" w:type="dxa"/>
            <w:vAlign w:val="top"/>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全钢防静电地板：由地板、可调支撑、横梁、螺丝组成；</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2.地板结构：由全钢外壳、425号水泥、陶瓷贴面组成；</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3.地板规格：HDG.QD.602*602*45mm；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4.地板厚度极限公差：±0.3mm；</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5.地板边长极限公差：0-0.4mm；</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6.表面平整度≦0.6mm 相邻边垂直度≦0.3mm；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接入电缆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6200" cy="4857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981804" name=""/>
                              <pic:cNvPicPr>
                                <a:picLocks noChangeAspect="1"/>
                              </pic:cNvPicPr>
                              <pic:nvPr/>
                            </pic:nvPicPr>
                            <pic:blipFill>
                              <a:blip/>
                              <a:stretch/>
                            </pic:blipFill>
                            <pic:spPr bwMode="auto">
                              <a:xfrm>
                                <a:off x="0" y="0"/>
                                <a:ext cx="76199" cy="485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0pt;height:3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4857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356850" name=""/>
                              <pic:cNvPicPr>
                                <a:picLocks noChangeAspect="1"/>
                              </pic:cNvPicPr>
                              <pic:nvPr/>
                            </pic:nvPicPr>
                            <pic:blipFill>
                              <a:blip/>
                              <a:stretch/>
                            </pic:blipFill>
                            <pic:spPr bwMode="auto">
                              <a:xfrm>
                                <a:off x="0" y="0"/>
                                <a:ext cx="76199" cy="485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pt;height:3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4857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421091" name=""/>
                              <pic:cNvPicPr>
                                <a:picLocks noChangeAspect="1"/>
                              </pic:cNvPicPr>
                              <pic:nvPr/>
                            </pic:nvPicPr>
                            <pic:blipFill>
                              <a:blip/>
                              <a:stretch/>
                            </pic:blipFill>
                            <pic:spPr bwMode="auto">
                              <a:xfrm>
                                <a:off x="0" y="0"/>
                                <a:ext cx="76199" cy="485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pt;height:3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4857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559440" name=""/>
                              <pic:cNvPicPr>
                                <a:picLocks noChangeAspect="1"/>
                              </pic:cNvPicPr>
                              <pic:nvPr/>
                            </pic:nvPicPr>
                            <pic:blipFill>
                              <a:blip/>
                              <a:stretch/>
                            </pic:blipFill>
                            <pic:spPr bwMode="auto">
                              <a:xfrm>
                                <a:off x="0" y="0"/>
                                <a:ext cx="76199" cy="485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pt;height:3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4857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348831" name=""/>
                              <pic:cNvPicPr>
                                <a:picLocks noChangeAspect="1"/>
                              </pic:cNvPicPr>
                              <pic:nvPr/>
                            </pic:nvPicPr>
                            <pic:blipFill>
                              <a:blip/>
                              <a:stretch/>
                            </pic:blipFill>
                            <pic:spPr bwMode="auto">
                              <a:xfrm>
                                <a:off x="0" y="0"/>
                                <a:ext cx="76199" cy="485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pt;height:3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4857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719991" name=""/>
                              <pic:cNvPicPr>
                                <a:picLocks noChangeAspect="1"/>
                              </pic:cNvPicPr>
                              <pic:nvPr/>
                            </pic:nvPicPr>
                            <pic:blipFill>
                              <a:blip/>
                              <a:stretch/>
                            </pic:blipFill>
                            <pic:spPr bwMode="auto">
                              <a:xfrm>
                                <a:off x="0" y="0"/>
                                <a:ext cx="76199" cy="485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pt;height:3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48577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912091" name=""/>
                              <pic:cNvPicPr>
                                <a:picLocks noChangeAspect="1"/>
                              </pic:cNvPicPr>
                              <pic:nvPr/>
                            </pic:nvPicPr>
                            <pic:blipFill>
                              <a:blip/>
                              <a:stretch/>
                            </pic:blipFill>
                            <pic:spPr bwMode="auto">
                              <a:xfrm>
                                <a:off x="0" y="0"/>
                                <a:ext cx="76199" cy="485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pt;height:3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48577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95619" name=""/>
                              <pic:cNvPicPr>
                                <a:picLocks noChangeAspect="1"/>
                              </pic:cNvPicPr>
                              <pic:nvPr/>
                            </pic:nvPicPr>
                            <pic:blipFill>
                              <a:blip/>
                              <a:stretch/>
                            </pic:blipFill>
                            <pic:spPr bwMode="auto">
                              <a:xfrm>
                                <a:off x="0" y="0"/>
                                <a:ext cx="76199" cy="485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0pt;height:3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485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718987" name=""/>
                              <pic:cNvPicPr>
                                <a:picLocks noChangeAspect="1"/>
                              </pic:cNvPicPr>
                              <pic:nvPr/>
                            </pic:nvPicPr>
                            <pic:blipFill>
                              <a:blip/>
                              <a:stretch/>
                            </pic:blipFill>
                            <pic:spPr bwMode="auto">
                              <a:xfrm>
                                <a:off x="0" y="0"/>
                                <a:ext cx="76199" cy="485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pt;height:3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48577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223834" name=""/>
                              <pic:cNvPicPr>
                                <a:picLocks noChangeAspect="1"/>
                              </pic:cNvPicPr>
                              <pic:nvPr/>
                            </pic:nvPicPr>
                            <pic:blipFill>
                              <a:blip/>
                              <a:stretch/>
                            </pic:blipFill>
                            <pic:spPr bwMode="auto">
                              <a:xfrm>
                                <a:off x="0" y="0"/>
                                <a:ext cx="76199" cy="485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0pt;height:3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48577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415469" name=""/>
                              <pic:cNvPicPr>
                                <a:picLocks noChangeAspect="1"/>
                              </pic:cNvPicPr>
                              <pic:nvPr/>
                            </pic:nvPicPr>
                            <pic:blipFill>
                              <a:blip/>
                              <a:stretch/>
                            </pic:blipFill>
                            <pic:spPr bwMode="auto">
                              <a:xfrm>
                                <a:off x="0" y="0"/>
                                <a:ext cx="76199" cy="485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0pt;height:3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48577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926064" name=""/>
                              <pic:cNvPicPr>
                                <a:picLocks noChangeAspect="1"/>
                              </pic:cNvPicPr>
                              <pic:nvPr/>
                            </pic:nvPicPr>
                            <pic:blipFill>
                              <a:blip/>
                              <a:stretch/>
                            </pic:blipFill>
                            <pic:spPr bwMode="auto">
                              <a:xfrm>
                                <a:off x="0" y="0"/>
                                <a:ext cx="76199" cy="485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0pt;height:3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48577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482994" name=""/>
                              <pic:cNvPicPr>
                                <a:picLocks noChangeAspect="1"/>
                              </pic:cNvPicPr>
                              <pic:nvPr/>
                            </pic:nvPicPr>
                            <pic:blipFill>
                              <a:blip/>
                              <a:stretch/>
                            </pic:blipFill>
                            <pic:spPr bwMode="auto">
                              <a:xfrm>
                                <a:off x="0" y="0"/>
                                <a:ext cx="76199" cy="485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0pt;height:3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48577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844448" name=""/>
                              <pic:cNvPicPr>
                                <a:picLocks noChangeAspect="1"/>
                              </pic:cNvPicPr>
                              <pic:nvPr/>
                            </pic:nvPicPr>
                            <pic:blipFill>
                              <a:blip/>
                              <a:stretch/>
                            </pic:blipFill>
                            <pic:spPr bwMode="auto">
                              <a:xfrm>
                                <a:off x="0" y="0"/>
                                <a:ext cx="76199" cy="485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0pt;height:3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485775"/>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916312" name=""/>
                              <pic:cNvPicPr>
                                <a:picLocks noChangeAspect="1"/>
                              </pic:cNvPicPr>
                              <pic:nvPr/>
                            </pic:nvPicPr>
                            <pic:blipFill>
                              <a:blip/>
                              <a:stretch/>
                            </pic:blipFill>
                            <pic:spPr bwMode="auto">
                              <a:xfrm>
                                <a:off x="0" y="0"/>
                                <a:ext cx="76199" cy="485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0pt;height:38.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ZR-YJV-5*10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70</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横向配电箱采用优质的冷轧板经过酸洗、喷粉及高温烘烤而成，6位空开位。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ups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top"/>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1、容量：20KVA，输出功率因数0.9(18kw)提供更强的带载能力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2、数字化控制，控制系统更加稳定可靠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3、ECO运行模式高效节能，降低用户使用成本</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4、用户可设定充电电流，恒流、恒压和浮充充电模式可自动平滑切换</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5、电池数量16/18/20节可选</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6、输入电压范围:208Vac~478Vac</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7、输出电压：220V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8、输出频率：当市电频率超出最大±10%（可设置±1%、±2%、±4%、±5%）时，输出频率50/60(±0.1);  电池模式：50/60(±0.1)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9、波形：正弦波 THDV≤2%（100％线性负载）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10、尺寸：（W*D*H）250*502*616mm</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11、★所投产品制造商具有ISO9001、ISO14001、TSO45001认证，认证范围包含不间断电源的设计与制造，提供相关证明文件并加盖原厂公章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蓄电池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★1.1、供应商须提供有效期内带有国际认可和中国合格评定国家认可委员会两种标识的ISO 9001质量管理体系认证证书、ISO 14001环境管理体系认证证书、ISO 45001职业健康安全管理体系认证证书，并且每个证书要明确标注适用于蓄电池和蓄电池零</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★1.2、供应商所供蓄电池同系列必须满足 YD/T 799-2010标准，（要求提供第三方检测检测机构认可的检测报告原件扫描件）。</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主要技术要求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 外观要求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蓄电池外壳采用耐热、耐腐、耐压、耐震动、 耐变形的高性能 ABS 材料，蓄电池外观不得有变形、漏液、裂纹及污迹，标志应清晰。</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2.2结构要求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正、负极端子有明显标志，便于连接。连接端子采用嵌入式下旋螺纹纯铜无镀层端子，以保证电池导电性能，同时确保无金属铅或铅合金外露。</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 外观尺寸要求( 蓄电池最大外形尺寸小于等于以下参数；单位mm）:</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型号：GP 12V100Ah  ，电池最大外形尺寸（长*宽*高*总高）：407*174*215*233</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2.4容量要求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蓄电池10小时率放电，终止电压10.8V，放电容量应≥1.00C10；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蓄电池3小时率放电，终止电压10.8V，放电容量应≥0.92C10；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蓄电池1小时率放电，终止电压10.5V，放电容量应≥0.85C10；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 充电参数</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浮充充电电压：13.5～13.8V；均衡充电电压：14.4～15.0V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 一致性要求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2.6.1 容量一致性</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同组蓄电池10小时率容量实验时，最大实际容量与最小实际容量差值应＜1.5%；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2.6.2 端电压均衡性</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标称12V蓄电池，在开路时，端电压最高与最低差值应＜15mV；进入浮充状态24h后,端电压差应＜20mV；放电时，端电压差应＜85mV；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2.6.3内阻一致性</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同组电池内阻偏差应≤3.5%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 安全性要求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2.7.1 蓄电池能承受50kPa的正压或或负压而不破裂、不开胶，压力释放后壳体无残余变形；</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2.7.2 蓄电池防爆性能，充电过程中遇明火，内部应不引燃、不引爆；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 大电流放电</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以30I10放电3min，极柱应不熔断、内部汇流排不熔断，外观不应出现异常；</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 容量保存率要求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蓄电池静置28天容量保存率应≥98%；</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2.10 密封反应效率</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蓄电池密封反应效率应＞97.5%；</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2.11 防酸雾性能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完全充电后的电池以0.2I10A电流连续再充电4h，PH值应呈中性；</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2.12 耐过充能力</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完全充电后的电池以0.3I10A连续充电160h，外观应无变形、无漏液；</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2.13 电池连接压降要求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5.5I10A放电条件下，电池间连接压降△U≤5.5mV；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2.14蓄电池封口剂性能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环境温度-30℃～+65℃之间，封口剂应无裂纹与溢流现象；</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2.15蓄电池热失控敏感性</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以2.45V/单体的恒定电压（不限流）连续充电168h，充电过程中每隔24h记录一次充电电流值和蓄电池端子部位温度值，充电结束时蓄电池温度应≤35℃；每24h的电流增长率应≤37%；</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2.16过度放电</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蓄电池过度放电，容量恢复值≥98%；</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2.17 蓄电池低温敏感性</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10h率容量≥0.94C10；外观应无破裂、过度膨胀及槽、盖分离现象；</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2.18 蓄电池再充电性能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恒压充电24h的再充电能力因素Rbf24h应≥94%；</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2.19安全阀要求：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蓄电池安全阀应具有自动开启和自动关闭的功能，其开阀压力应是20-24kpa，闭阀压应是13-16kpa，开闭阀压差不应超过7kpa。                                                  2.20设计寿命要求：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蓄电池在环境温度25℃条件下，其设计寿命应不低于12年，提供证明文件。                                                                                                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电池柜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放置20节12V/120AH蓄电池，含内部连接线和空开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七、室内大厅大屏</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LED屏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1、像素点间距：</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≤1.8mm</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2、像素密度：</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≥288906 Dots/m2</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3、单元板分辨率：</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≥14792 Dots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4、显示效果：4K超清显示、色温均匀性好、亮度均匀性好，对比度高、色域广</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5、驱动方式：恒流驱动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6、供电方式：支持电源均流DC4.2V～DC5V，供电支持电源双输出电压DC2.8V/DC3.8V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7、整屏平整度：≤0.04mm</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8、模组平整度：≤0.03mm</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9、拼接缝：≤0.03mm</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10、白平衡亮度：≥600Cd/m²</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11、亮度均匀性：≥99%</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12、色度均匀性：±0.001Cx、Cy内</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13、色温：800-18000K</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14、水平视角：≥170°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15、垂直视角：≥170°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16、对比度：≥8000：1</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17、刷新率：≥3840Hz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18、像素失控率：&lt;1/100000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19、发光点中心偏距：＜0.8%</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20、峰值功耗：≤300W/m²</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21、平均功耗：≤120W/m²</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22、最大电流：≤5A</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23、电流增益：电流增益调节范围：1%～199%，电流增益调节级别≥8位</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24、具有列下消隐功能、倍频刷新率提升2/4/8倍、低灰偏色改善</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25、色温为6500K时，100%、75%、50%、25%四档电平白场调节色温误差≤200K</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26、PCB板材采用玻璃化温度≥150℃的覆铜板；PCB板采用FR-4材质，电路采用多层设计，符合CQC13-471301-2018国家标准"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27、每个灯芯的波长误差值在±1nm以内，每个灯芯的亮度误差在5%以内</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28、具有H2S宽动态处理技术，解决主控机二次重复播放时的衰减等现象</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29、屏幕表面光反射率：照度=10Lux/5600K条件下， 显示屏屏幕表面光反射率 （单位面积反射亮度）＜3.0cd/m²</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30、绝缘电阻：在器具输入插座端或者电源引入端子与外壳裸露金属部件之间的绝缘电阻在正常大气条件下应≥100MΩ，湿热条件下应≥2MΩ</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31、抗拉强度：≥230Mpa</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32、屈服强度：≥170Mpa</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33、灰度等级：采用14bit技术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34、采用EPWM 灰阶控制技术提升低灰视觉效果，100%亮度时，14bit灰度；70%亮度，14bit灰度；50%亮度，14bit灰度；20%亮度，12bit灰度，显示画面无单列或单行像素失控现象；支持0-100%亮度时，8-14bits灰度自定义设置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35、支持鬼影消除、首行暗亮消除、低灰偏色补偿、低灰均匀性、低灰横条纹消除、慢速开启、十字架消除、去坏点、毛毛虫消除、余辉消除、亮度缓慢变亮功能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36、抗电强度：在器具输入插座端与屏正面之间施加试验电压3kv/50Hz，保持1min，不应出现飞弧和击穿现象</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37、LED显示屏图像质量主观评价优、支持4K超清技术、HDR高动态光照渲染技术；符合LED显示屏绿色健康分级认证技术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38、具有多点测温系统、通讯检测、电源检测、可实现远程监督控制，对可能发生的潜在故障记录日志，并向操作员发出警报信息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39、具有单点亮度校正，校正后亮度损失≤8%；具有颜色校正功能，具有灰度校正，支持模组校正，具有校正数据存储及自动回读功能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40、可实现LED单点检测，通讯检测、温度检测、电源检测、温度监控等功能。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41、数据备份：数据记忆储存于LED显示模块箱体中，更换箱体设备时，无需重新设定参数</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42、产品采用高端芯片，可智能调节正常工作与睡眠状态下的节能效果（动态节能，智能息屏），开启智能节电功能比没有开启节能45%以上</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43、防护性能：具有防静电、防电磁干扰、防腐蚀、防霉菌、防虫、防潮、抗震动、抗雷击等功能；具有电源过压、过流、断电保护、分布上电措施、防护等级达到IP60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44、LED显示屏通过在正常环境下168h不间断运行无故障的老化测试</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45、使用寿命：≥100000h</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46、平均无故障时间：MTBF平均无故障时间≥20000h；MTTR平均修复时间≤4分钟</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47、屏幕温升：最高亮度（白平衡）持续工作4小时，模组表面温升小于20K</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48、为确保屏体在不同的环境下仍可正常启动工作，要求投标人所投LED显示屏须通过零下40℃和高温80℃的环境运行12h产品能正常工作。</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支持自动GAMMA校正技术，14bit自动调节，通过构造非线性校正曲线和色坐标变换系数矩阵实现了显示效果的不断改善，各项重要指标如色彩还原性、色温调节范围、亮度均匀性、色度均匀性、刷新率、换帧频率等，均符合广电级标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光生物安全检测：无危害类：8h（30000s）曝辐中不造成光化学紫外危害（ES），并在16min（1000s）内不造成近紫外危害（EUVA），并在2.8h（10000s）内不造成对视网膜蓝光危害（LB）并在10s内不造成对视网膜热危害（LR），且在1000s内不造成对眼睛的红外辐射危害（EIR）</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51、盐雾：盐雾10级</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52、阻燃：PCB板、防火保护外壳及内部其他元器件均达到V-0等级</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53、产品通过 GB/T9254-2008《信息技术设备的无线电骚扰限值和测量方法》试验，辐射干扰检测结果符合标准规范要求，符合ClassB限值要求。在30-230MHz频率范围内，峰值限值 dB≤41μV/m；在230-1000MHz频率范围内，峰值限值 dB≤46μV/m</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54、支持一键点屏技术，开机后自动识别系统连接，无需重置系统配置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55、箱体防护等级：IK10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56、抗震实验：显示屏通过YD 5083-2005标准抗震测试，测试结果满足抗震10级</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57、防呆设计：模组电源接口采用 4P 接插头，免工具维护,同时有防呆设计</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58、摩尔纹抑制功能：显示屏支持抑制摩尔纹功能，减轻摩尔纹视觉主观效果80%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59、高海拔工作试验：5000米海拔环境下，产品可正常工作</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60、表面硬度：具备划痕性能技术,表面硬度≥15H</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61、浪涌 （冲击）抗扰度：LED 显示屏通过符合 GB/T17626.5-2008 标准的浪涌 （冲击）抗扰度试验</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62、具备防蓝光护眼功能，蓝光辐射能量≤20%。蓝光辐射能量值对人眼视网膜无伤害，LED显示屏蓝光辐亮度≤80W.m-2.sr-1,符合肉眼观看标准。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63、滑石粉密度：2KG/m3网孔径75um使用次数：小于20次，实验时间8H。试验后检查样品无进尘现象。屏幕防尘等级符合IP6X（防尘）</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64、产品符合TIRT-GK-JS-55-2020《显示设备显示性能视觉健康认证技术规范第5部分：室内图像显示系统显示屏》技术标准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65、要求投标人所投LED显示屏支持DVI、VGA输入、支持HDMI视频输入、支持视频PAL/NTSC制式自适应、支持复合视频信号、支持USB输入、支持IP输入、支持CVBS/DP/HDBASE输入、支持光纤/网络等接口输入。</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66、所投LED显示屏产品在1×105～1×109Ω技术要求下满足点对点电阻（A面）≤3.02×108；点对点电阻（B面）≤2.21×108；并且在（±1000-±100V）≤2S的技术要求下满足静电电压衰减期值：（+V0.35S,-V0.26S）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67、所投LED显示屏的灯管耐焊耐热：灯珠引脚无氧化,焊接正常,灯珠胶体正常,点亮正常；灯管抗静电(ESD)测试：HBM模式:ESD&gt;2000V,灯珠点亮无异常；灯管红墨水试验：纯红墨水常温浸泡24h,无渗透,灯管气密性良好。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68、为不影响屏体周边人员的健康，要求投标人所投LED显示屏在正常工作中，显示屏1m范围内，前后左右4个位置噪音不大于1.4dB；所投LED显示屏观看舒适度需符合：“人眼视觉舒适度(VICO)1级，基本无疲劳感。</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69、★所投产品具有CCC、CE、ROHS、FCC认证证书（提供相关证书原件扫描件并加盖供应商公章）。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70、★符合光生物安全检测标准，无视网膜蓝光危害，并提供具有 TUV 标识的低蓝光认证证书（提供相关证书原件扫描件并加盖供应商公章）。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14.74</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最大带载390万像素，最宽或最高8192像素，HDMI×1、DVI×2 、SDI×1,4输入3画面，位置、大小自由调节，最大输入分辨率</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1920*1200@60Hz，支持分辨率任意设置，支持串口控制，支持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双USB2.0控制和级联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直流电压 4.5V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额定电流 40A</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电流范围 0～40A</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额定功率 180W</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纹波与噪声 150mVp-p</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电压调节范围 ±5%</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电压精度 ±1.0%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线性调整率 ±0.5%</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负载调整率 ±2%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接收卡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带载512*512；输出12*HUB75；18bit+、配置参数双备份、支持固件程序版本回读、支持固件程序版</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本回读，配置参数回读，90°旋转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操作控制台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配电柜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ED显示屏控制方式均采用智能PLC控制方式，PLC控制功能强大，使用范围广，维护更加方便，同时稳定性更好，PLC智能配电柜除了具备多功能卡配电柜的功能外，还具备远程监控、分布上电、分布断电、控制功能可以增加和修改、可以多台并联通讯、保护功能可根据客户需要额外增加。软件控制界面简单明了，便于客户监控和操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框架结构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LED屏定制框架结构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14.74</w:t>
            </w:r>
            <w:r/>
          </w:p>
        </w:tc>
      </w:tr>
      <w:tr>
        <w:trPr>
          <w:trHeight w:val="62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八、</w:t>
            </w:r>
            <w:r>
              <w:rPr>
                <w:rFonts w:ascii="SimSun" w:hAnsi="SimSun" w:eastAsia="SimSun" w:cs="SimSun"/>
                <w:b/>
                <w:color w:val="000000"/>
                <w:sz w:val="21"/>
              </w:rPr>
              <w:t xml:space="preserve">4F会议室大屏</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LED屏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1、像素点间距：</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≤1.8mm</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2、像素密度：</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≥288906 Dots/m2</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3、单元板分辨率：</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≥14792 Dots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4、显示效果：4K超清显示、色温均匀性好、亮度均匀性好，对比度高、色域广</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5、驱动方式：恒流驱动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6、供电方式：支持电源均流DC4.2V～DC5V，供电支持电源双输出电压DC2.8V/DC3.8V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7、整屏平整度：≤0.04mm</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8、模组平整度：≤0.03mm</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9、拼接缝：≤0.03mm</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10、白平衡亮度：≥600Cd/m²</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11、亮度均匀性：≥99%</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12、色度均匀性：±0.001Cx、Cy内</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13、色温：800-18000K</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14、水平视角：≥170°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15、垂直视角：≥170°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16、对比度：≥8000：1</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17、刷新率：≥3840Hz</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18、像素失控率：&lt;1/100000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19、发光点中心偏距：＜0.8%</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20、峰值功耗：≤300W/m²</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21、平均功耗：≤120W/m²</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22、最大电流：≤5A</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23、电流增益：电流增益调节范围：1%～199%，电流增益调节级别≥8位</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24、具有列下消隐功能、倍频刷新率提升2/4/8倍、低灰偏色改善</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25、色温为6500K时，100%、75%、50%、25%四档电平白场调节色温误差≤200K</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26、PCB板材采用玻璃化温度≥150℃的覆铜板；PCB板采用FR-4材质，电路采用多层设计，符合CQC13-471301-2018国家标准"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27、每个灯芯的波长误差值在±1nm以内，每个灯芯的亮度误差在5%以内</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28、具有H2S宽动态处理技术，解决主控机二次重复播放时的衰减等现象</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29、屏幕表面光反射率：照度=10Lux/5600K条件下， 显示屏屏幕表面光反射率 （单位面积反射亮度）＜3.0cd/m²</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30、绝缘电阻：在器具输入插座端或者电源引入端子与外壳裸露金属部件之间的绝缘电阻在正常大气条件下应≥100MΩ，湿热条件下应≥2MΩ</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31、抗拉强度：≥230Mpa</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32、屈服强度：≥170Mpa</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33、灰度等级：采用14bit技术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34、采用EPWM 灰阶控制技术提升低灰视觉效果，100%亮度时，14bit灰度；70%亮度，14bit灰度；50%亮度，14bit灰度；20%亮度，12bit灰度，显示画面无单列或单行像素失控现象；支持0-100%亮度时，8-14bits灰度自定义设置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35、支持鬼影消除、首行暗亮消除、低灰偏色补偿、低灰均匀性、低灰横条纹消除、慢速开启、十字架消除、去坏点、毛毛虫消除、余辉消除、亮度缓慢变亮功能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36、抗电强度：在器具输入插座端与屏正面之间施加试验电压3kv/50Hz，保持1min，不应出现飞弧和击穿现象</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37、LED显示屏图像质量主观评价优、支持4K超清技术、HDR高动态光照渲染技术；符合LED显示屏绿色健康分级认证技术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38、具有多点测温系统、通讯检测、电源检测、可实现远程监督控制，对可能发生的潜在故障记录日志，并向操作员发出警报信息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39、具有单点亮度校正，校正后亮度损失≤8%；具有颜色校正功能，具有灰度校正，支持模组校正，具有校正数据存储及自动回读功能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40、可实现LED单点检测，通讯检测、温度检测、电源检测、温度监控等功能。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41、数据备份：数据记忆储存于LED显示模块箱体中，更换箱体设备时，无需重新设定参数</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42、产品采用高端芯片，可智能调节正常工作与睡眠状态下的节能效果（动态节能，智能息屏），开启智能节电功能比没有开启节能45%以上</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43、防护性能：具有防静电、防电磁干扰、防腐蚀、防霉菌、防虫、防潮、抗震动、抗雷击等功能；具有电源过压、过流、断电保护、分布上电措施、防护等级达到IP60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44、LED显示屏通过在正常环境下168h不间断运行无故障的老化测试</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45、使用寿命：≥100000h</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46、平均无故障时间：MTBF平均无故障时间≥20000h；MTTR平均修复时间≤4分钟</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47、屏幕温升：最高亮度（白平衡）持续工作4小时，模组表面温升小于20K</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48、为确保屏体在不同的环境下仍可正常启动工作，要求投标人所投LED显示屏须通过零下40℃和高温80℃的环境运行12h产品能正常工作。</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支持自动GAMMA校正技术，14bit自动调节，通过构造非线性校正曲线和色坐标变换系数矩阵实现了显示效果的不断改善，各项重要指标如色彩还原性、色温调节范围、亮度均匀性、色度均匀性、刷新率、换帧频率等，均符合广电级标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光生物安全检测：无危害类：8h（30000s）曝辐中不造成光化学紫外危害（ES），并在16min（1000s）内不造成近紫外危害（EUVA），并在2.8h（10000s）内不造成对视网膜蓝光危害（LB）并在10s内不造成对视网膜热危害（LR），且在1000s内不造成对眼睛的红外辐射危害（EIR）</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51、盐雾：盐雾10级</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52、阻燃：PCB板、防火保护外壳及内部其他元器件均达到V-0等级</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53、产品通过 GB/T9254-2008《信息技术设备的无线电骚扰限值和测量方法》试验，辐射干扰检测结果符合标准规范要求，符合ClassB限值要求。在30-230MHz频率范围内，峰值限值 dB≤41μV/m；在230-1000MHz频率范围内，峰值限值 dB≤46μV/m</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54、支持一键点屏技术，开机后自动识别系统连接，无需重置系统配置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55、箱体防护等级：IK10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56、抗震实验：显示屏通过YD 5083-2005标准抗震测试，测试结果满足抗震10级</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57、防呆设计：模组电源接口采用 4P 接插头，免工具维护,同时有防呆设计</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58、摩尔纹抑制功能：显示屏支持抑制摩尔纹功能，减轻摩尔纹视觉主观效果80%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59、高海拔工作试验：5000米海拔环境下，产品可正常工作</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60、表面硬度：具备划痕性能技术,表面硬度≥15H</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61、浪涌 （冲击）抗扰度：LED 显示屏通过符合 GB/T17626.5-2008 标准的浪涌 （冲击）抗扰度试验</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62、具备防蓝光护眼功能，蓝光辐射能量≤20%。蓝光辐射能量值对人眼视网膜无伤害，LED显示屏蓝光辐亮度≤80W.m-2.sr-1,符合肉眼观看标准。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63、滑石粉密度：2KG/m3网孔径75um使用次数：小于20次，实验时间8H。试验后检查样品无进尘现象。屏幕防尘等级符合IP6X（防尘）</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64、产品符合TIRT-GK-JS-55-2020《显示设备显示性能视觉健康认证技术规范第5部分：室内图像显示系统显示屏》技术标准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65、要求投标人所投LED显示屏支持DVI、VGA输入、支持HDMI视频输入、支持视频PAL/NTSC制式自适应、支持复合视频信号、支持USB输入、支持IP输入、支持CVBS/DP/HDBASE输入、支持光纤/网络等接口输入。</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66、所投LED显示屏产品在1×105～1×109Ω技术要求下满足点对点电阻（A面）≤3.02×108；点对点电阻（B面）≤2.21×108；并且在（±1000-±100V）≤2S的技术要求下满足静电电压衰减期值：（+V0.35S,-V0.26S）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67、所投LED显示屏的灯管耐焊耐热：灯珠引脚无氧化,焊接正常,灯珠胶体正常,点亮正常；灯管抗静电(ESD)测试：HBM模式:ESD&gt;2000V,灯珠点亮无异常；灯管红墨水试验：纯红墨水常温浸泡24h,无渗透,灯管气密性良好。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68、为不影响屏体周边人员的健康，要求投标人所投LED显示屏在正常工作中，显示屏1m范围内，前后左右4个位置噪音不大于1.4dB；所投LED显示屏观看舒适度需符合：“人眼视觉舒适度(VICO)1级，基本无疲劳感。</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69、★所投产品具有CCC、CE、ROHS、FCC认证证书（提供相关证书原件扫描件并加盖供应商公章）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70、★符合光生物安全检测标准，无视网膜蓝光危害，并提供具有 TUV 标识的低蓝光认证证书（提供相关证书原件扫描件并加盖供应商公章）。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6"/>
              </w:rPr>
              <w:t xml:space="preserve">8.65</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视频处理器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最大带载390万像素，最宽或最高8192像素，HDMI×1、DVI×2 、SDI×1,4输入3画面，位置、大小自由调节，最大输入分辨率</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1920*1200@60Hz，支持分辨率任意设置，支持串口控制，支持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双USB2.0控制和级联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6"/>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直流电压 4.5V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额定电流 40A</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电流范围 0～40A</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额定功率 180W</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纹波与噪声 150mVp-p</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电压调节范围 ±5%</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电压精度 ±1.0%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线性调整率 ±0.5%</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负载调整率 ±2%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6"/>
              </w:rPr>
              <w:t xml:space="preserve">29</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接收卡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带载512*512；输出12*HUB75；18bit+、配置参数双备份、支持固件程序版本回读、支持固件程序版</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本回读，配置参数回读，90°旋转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6"/>
              </w:rPr>
              <w:t xml:space="preserve">26</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操作控制台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6"/>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配电柜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ED显示屏控制方式均采用智能PLC控制方式，PLC控制功能强大，使用范围广，维护更加方便，同时稳定性更好，PLC智能配电柜除了具备多功能卡配电柜的功能外，还具备远程监控、分布上电、分布断电、控制功能可以增加和修改、可以多台并联通讯、保护功能可根据客户需要额外增加。软件控制界面简单明了，便于客户监控和操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6"/>
              </w:rPr>
              <w:t xml:space="preserve">1</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框架结构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3"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LED屏定制框架结构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6"/>
              </w:rPr>
              <w:t xml:space="preserve">8.65</w:t>
            </w:r>
            <w:r/>
          </w:p>
        </w:tc>
      </w:tr>
    </w:tbl>
    <w:p>
      <w:pPr>
        <w:ind w:left="0" w:right="0" w:firstLine="480"/>
        <w:spacing w:before="73" w:after="73"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spacing w:before="73" w:after="73"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注：（1）投标参数等于</w:t>
      </w:r>
      <w:r>
        <w:rPr>
          <w:rFonts w:ascii="SimSun" w:hAnsi="SimSun" w:eastAsia="SimSun" w:cs="SimSun"/>
          <w:color w:val="000000"/>
          <w:sz w:val="24"/>
        </w:rPr>
        <w:t xml:space="preserve">或相当</w:t>
      </w:r>
      <w:r>
        <w:rPr>
          <w:rFonts w:ascii="SimSun" w:hAnsi="SimSun" w:eastAsia="SimSun" w:cs="SimSun"/>
          <w:color w:val="000000"/>
          <w:sz w:val="24"/>
          <w:highlight w:val="white"/>
        </w:rPr>
        <w:t xml:space="preserve">于采购要求为无偏离，投标参数优于采购要求为正偏离，投标参数低于采购要求为负偏离。技术条款要求中如出现具体产品的品牌、规格/型号、参数等，仅供供应商更好地理解采购人对物品的需求，不能理解为唯一指定。只要投标设备符合招标文件的要求，均为实质性响应。以上要求同时作为验收标准。</w:t>
      </w:r>
      <w:r/>
    </w:p>
    <w:p>
      <w:pPr>
        <w:ind w:left="0" w:right="0" w:firstLine="482"/>
        <w:spacing w:before="73" w:after="73"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以上设备产品采购均为全费用综合单价为完成整个招标范围内的全部项目总费用（包括承包项目的施工、材料（制作安装）、人工、措施费、管理费、劳务配合、水、电、税费、利润、规费、便道、赶工措施费等一切相关费用）。此全费用综合合价为完成整个投标项目的最终报价，国家政策性调价、市场价格变动，全费用综合单价均不作调整。采购人一律不另行支付其他费用。中标后竣工结算时全费用综合单价不予调整。</w:t>
      </w:r>
      <w:r/>
    </w:p>
    <w:p>
      <w:pPr>
        <w:ind w:left="0" w:right="0" w:firstLine="0"/>
        <w:spacing w:before="73" w:after="73"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二、其他要求</w:t>
      </w:r>
      <w:r/>
    </w:p>
    <w:p>
      <w:pPr>
        <w:ind w:left="0" w:right="0" w:firstLine="480"/>
        <w:spacing w:before="73" w:after="73"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（1）免费质保期：</w:t>
      </w:r>
      <w:r>
        <w:rPr>
          <w:rFonts w:ascii="SimSun" w:hAnsi="SimSun" w:eastAsia="SimSun" w:cs="SimSun"/>
          <w:b/>
          <w:color w:val="000000"/>
          <w:sz w:val="24"/>
        </w:rPr>
        <w:t xml:space="preserve">一年</w:t>
      </w:r>
      <w:r>
        <w:rPr>
          <w:rFonts w:ascii="SimSun" w:hAnsi="SimSun" w:eastAsia="SimSun" w:cs="SimSun"/>
          <w:color w:val="000000"/>
          <w:sz w:val="24"/>
        </w:rPr>
        <w:t xml:space="preserve">，从验收合格之日起计算。</w:t>
      </w:r>
      <w:r/>
    </w:p>
    <w:p>
      <w:pPr>
        <w:ind w:left="0" w:right="0" w:firstLine="480"/>
        <w:spacing w:before="73" w:after="73"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（2）售后服务要求：报修后必须在1小时内响应，24小时内指派专业维修技术人员到现场检修，72小时内解决故障。</w:t>
      </w:r>
      <w:r/>
    </w:p>
    <w:p>
      <w:pPr>
        <w:ind w:left="0" w:right="0" w:firstLine="480"/>
        <w:spacing w:before="73" w:after="73"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（3）所有报价产品必须为合格产品，各项技术标准应当符合国家（强制性）标准及各项规范要求。国家没有相应标准、规范的，可使用行业标准。中标人供货时须提供有关货物的合格证明材料等。</w:t>
      </w:r>
      <w:r/>
    </w:p>
    <w:p>
      <w:pPr>
        <w:ind w:left="0" w:right="0" w:firstLine="480"/>
        <w:spacing w:before="73" w:after="73"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（4）中标人应保证货物是全新、未使用过的合格产品。并完全符合合同规定的质量、规格和性能的要求。</w:t>
      </w:r>
      <w:r/>
    </w:p>
    <w:p>
      <w:pPr>
        <w:ind w:left="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（5）采购标的的所属行业为</w:t>
      </w:r>
      <w:r>
        <w:rPr>
          <w:rFonts w:ascii="SimSun" w:hAnsi="SimSun" w:eastAsia="SimSun" w:cs="SimSun"/>
          <w:color w:val="000000"/>
          <w:sz w:val="24"/>
          <w:u w:val="single"/>
        </w:rPr>
        <w:t xml:space="preserve"> 工业 </w:t>
      </w:r>
      <w:r>
        <w:rPr>
          <w:rFonts w:ascii="SimSun" w:hAnsi="SimSun" w:eastAsia="SimSun" w:cs="SimSun"/>
          <w:color w:val="000000"/>
          <w:sz w:val="24"/>
        </w:rPr>
        <w:t xml:space="preserve">，根据《工业和信息化部、国家统计局、国家发展和改革委员会、财政部关于印发中小企业划型标准规定的通知》（工信部联企业[2011]300号）规定的划分标准填写。</w:t>
        <w:br w:type="page" w:clear="all"/>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第五章评标方法与评标标准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（1）本项目对小型和微型企业提供的服务给予20%的扣除价格，用扣除后的价格参与评审。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（1）本项目对残疾人福利性单位视同小型、微型企业，给予20%</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（1）本项目对监狱和戒毒企业（简称监狱企业）视同小型、微型企业，给予20%</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6、供应商对于投标产品的商品包装、快递包装应按照《关于印发《商品包装政府采购需求标准（试行）》、《快递包装政府采购需求标准（试行）》的通知》（财办库〔2020〕123号）执行。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7、本文件中若涉及到数据中心采购，应按照《&lt;绿色数据中心政府采购需求标准（试行）&gt;的通知》（财库〔2023〕7号）执行。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8、根据《江苏省政府采购信用管理暂行办法》的规定，供应商信用评价结果为三星的扣2分，评价结果为二星的扣3分，评价结果为一星的扣4分。</w:t>
      </w:r>
      <w:r/>
    </w:p>
    <w:p>
      <w:pPr>
        <w:ind w:left="0" w:right="0" w:firstLine="482"/>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tbl>
      <w:tblPr>
        <w:tblStyle w:val="6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tblGrid>
      <w:tr>
        <w:trPr>
          <w:gridAfter w:val="1"/>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vMerge w:val="restart"/>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组成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6"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商务部分</w:t>
            </w:r>
            <w:r/>
          </w:p>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6"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用低价优先法计算，即满足招标文件要求且投标价格最低的投标报价为评标基准价，其价格分为满分。其他投标人的价格分按照下列公式计算（小数点后保留二位）：投标报价得分=(评标基准价／投标报价)×30</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vMerge w:val="restart"/>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w:t>
            </w:r>
            <w:r/>
          </w:p>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参数响应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6"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投标人所投产品完全满足招标文件的相关要求，得30分；（招标文件技术参数项中带有★标识为重要响应指标，需根据要求提供截图、报告、证书等证明材料。如有一项不满足，减1分。）</w:t>
            </w:r>
            <w:r/>
          </w:p>
        </w:tc>
      </w:tr>
      <w:tr>
        <w:trPr>
          <w:gridAfter w:val="1"/>
          <w:trHeight w:val="84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厂商实力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6" w:type="dxa"/>
            <w:vAlign w:val="top"/>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1、所投监控系统制造商可提供信息系统集成交付能力等级一级证书得2分，二级证书得1分，最高得2分，需提供原件扫描件加盖供应商公章加盖投标人公章，不提供不得分。</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2、所投监控系统制造商可提供中国网络安全审查技术与认证中心颁发的信息系统安全运维服务资质证书二级及以上的得3分，最高得3分，需提供原件扫描件加盖供应商公章加盖投标人公章，不提供不得分。</w:t>
            </w:r>
            <w:r/>
          </w:p>
          <w:p>
            <w:pPr>
              <w:ind w:left="0" w:right="0" w:firstLine="20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3、所投音视频会议智能系统设备制造商具有商品售后5星级服务评价证书得3分，最高得3分，需提供原件扫描件加盖供应商公章加盖投标人公章，不提供不得分。</w:t>
            </w:r>
            <w:r/>
          </w:p>
          <w:p>
            <w:pPr>
              <w:ind w:left="0" w:right="0" w:firstLine="20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4、所投音视频智能系统集成工程资质壹级认证证书得1分，专业音响工程设计施工承包壹级认证证书得1分，每项得1分；最高得2分，需提供原件扫描件加盖供应商公章加盖投标人公章，不提供不得分。</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5、所投LED屏制造商具有信息安全管理体系认证证书得2分，信息技术服务管理体系认证证书得2分，最高得4分，需提供原件扫描件加盖供应商公章加盖投标人公章，不提供不得分。</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6、所投LED屏制造商具有质量管理体系认证证书得2分、环境管理体系认证证书得2分、职业健康安全管理系统体系认证证书得2分，最高得6分，需提供原件扫描件加盖供应商公章加盖投标人公章，不提供不得分。</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所投防火墙具有中国信息安全认证中心颁发的《中国国家信息安全产品认证证书》得2分。具有中国信息安全测评中心EAL4+级证书得2分，具有中国信息安全测评中心出具的AI防火墙测试报告得2分，最高得6分，需提供证书及测试报告原件扫描件加盖投标人公章，不提供不得分。</w:t>
            </w:r>
            <w:r/>
          </w:p>
        </w:tc>
      </w:tr>
      <w:tr>
        <w:trPr>
          <w:gridAfter w:val="1"/>
          <w:trHeight w:val="6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vMerge w:val="restart"/>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综合能力</w:t>
            </w:r>
            <w:r/>
          </w:p>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6" w:type="dxa"/>
            <w:vAlign w:val="center"/>
            <w:textDirection w:val="lrTb"/>
            <w:noWrap w:val="false"/>
          </w:tcPr>
          <w:p>
            <w:pPr>
              <w:ind w:left="0" w:right="0" w:firstLine="0"/>
              <w:jc w:val="both"/>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评委根据投标人提供的服务方案的合理性、先进性、扩展性并结合等方面，评委根据其合理程度综合打分。</w:t>
            </w:r>
            <w:r/>
          </w:p>
        </w:tc>
      </w:tr>
      <w:tr>
        <w:trPr>
          <w:gridAfter w:val="1"/>
          <w:trHeight w:val="10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6"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投标人自2021年1月1日以来有实施类似项目成功案例业绩，每提供一个得2分，最多得6分。</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（须在响应文件中提供相对应的合同扫描件、验收报告扫描件加盖投标人公章。）</w:t>
            </w:r>
            <w:r/>
          </w:p>
        </w:tc>
      </w:tr>
      <w:tr>
        <w:trPr>
          <w:gridAfter w:val="1"/>
          <w:trHeight w:val="10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top"/>
            <w:textDirection w:val="lrTb"/>
            <w:noWrap w:val="false"/>
          </w:tcPr>
          <w:p>
            <w:pPr>
              <w:ind w:left="0" w:right="0" w:firstLine="1003"/>
              <w:jc w:val="both"/>
              <w:spacing w:before="120" w:after="12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1003"/>
              <w:jc w:val="both"/>
              <w:spacing w:before="120" w:after="12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1003"/>
              <w:jc w:val="both"/>
              <w:spacing w:before="120" w:after="12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rPr>
                <w:rFonts w:ascii="SimSun" w:hAnsi="SimSun" w:eastAsia="SimSun" w:cs="SimSun"/>
                <w:color w:val="000000"/>
                <w:sz w:val="22"/>
              </w:rPr>
              <w:t xml:space="preserve">节能环保（2分）</w:t>
            </w:r>
            <w:r/>
          </w:p>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top"/>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6" w:type="dxa"/>
            <w:vAlign w:val="center"/>
            <w:textDirection w:val="lrTb"/>
            <w:noWrap w:val="false"/>
          </w:tcPr>
          <w:p>
            <w:pPr>
              <w:numPr>
                <w:ilvl w:val="0"/>
                <w:numId w:val="3"/>
              </w:numP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属于财政部、国家发改委公布的“节能产品品目清单”范围内的，投标人提供国家确定的认证机构出具的、处于有效期之内的该节能产品认证证书原件扫描件的，有1个得0.5分，最多得1分。如投标产品均属于政府强制采购节能产品品目清单范围内，本项不得分。(扫描件加盖投标人公章）</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产品属于财政部、生态环境部公布的“环境标志产品品目清单”范围内的，投标人提供国家确定的认证机构出具的、处于有效期内的该环保产品认证证书原件扫描件的，有1个得0.5分，最多得1分。(扫描件加盖投标人公章）</w:t>
            </w:r>
            <w:r/>
          </w:p>
        </w:tc>
      </w:tr>
    </w:tbl>
    <w:p>
      <w:pPr>
        <w:ind w:left="0" w:right="-92" w:firstLine="480"/>
        <w:spacing w:before="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备注：本项目核心产品为</w:t>
      </w:r>
      <w:r>
        <w:rPr>
          <w:rFonts w:ascii="SimSun" w:hAnsi="SimSun" w:eastAsia="SimSun" w:cs="SimSun"/>
          <w:b/>
          <w:color w:val="000000"/>
          <w:sz w:val="24"/>
          <w:u w:val="single"/>
        </w:rPr>
        <w:t xml:space="preserve"> 内外网核心交换机 </w:t>
      </w:r>
      <w:r>
        <w:rPr>
          <w:rFonts w:ascii="SimSun" w:hAnsi="SimSun" w:eastAsia="SimSun" w:cs="SimSun"/>
          <w:color w:val="000000"/>
          <w:sz w:val="24"/>
        </w:rPr>
        <w:t xml:space="preserve">。核心产品提供相同品牌且通过资格审查、符合性审查的不同投标人参加本合同项下投标的，按一家投标人计算，评审后得分最高的同品牌投标人获得中标人推荐资格；评审得分相同的，由采购人委托评标委员会采取随机抽取方式确定一个投标人获得中标人推荐资格，其他同品牌投标人不作为中标候选人。</w:t>
      </w:r>
      <w:r/>
    </w:p>
    <w:p>
      <w:pPr>
        <w:ind w:left="38" w:right="0" w:firstLine="508"/>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定标办法</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1、最终取累计评审总得分高的第一名为中标候选人。</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2、评委打分取所有成员的算术平均值作为投标人该项得分。</w:t>
      </w:r>
      <w:r/>
    </w:p>
    <w:p>
      <w:pPr>
        <w:ind w:left="0" w:right="0" w:firstLine="4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用综合评分法的，评标结果按评审后得分由高到低顺序排列，得分相同的，按投标报价得分由低到高顺序排列。得分且投标报价相同的由采购人委托评标委员会采取随机抽取方式确定。投标文件满足招标文件全部实质性要求，且按照评审因素的量化指标评审得分最高的投标人为排名第一的中标候选人。</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4、在评标计分出现相同积分时，取报价低者为排名在前的中标候选人；如积分相同，报价也相同，由评标委员会抽签确定。</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5、评标委员会决定投标文件的响应性只根据投标文件本身的内容，而不寻求外部的证据。</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6、对不中标的候选人，招标人有权不作任何解释。</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一、法人或者其他组织的营业执照等证明文件，自然人的身份证明（如供应商为事业单位的，</w:t>
      </w:r>
      <w:r>
        <w:rPr>
          <w:rFonts w:ascii="SimSun" w:hAnsi="SimSun" w:eastAsia="SimSun" w:cs="SimSun"/>
          <w:color w:val="000000"/>
          <w:sz w:val="24"/>
          <w:highlight w:val="white"/>
          <w:u w:val="single"/>
        </w:rPr>
        <w:t xml:space="preserve">提供事业单位法人证书）</w:t>
      </w:r>
      <w:r>
        <w:rPr>
          <w:rFonts w:ascii="SimSun" w:hAnsi="SimSun" w:eastAsia="SimSun" w:cs="SimSun"/>
          <w:color w:val="000000"/>
          <w:sz w:val="24"/>
          <w:u w:val="single"/>
        </w:rPr>
        <w:t xml:space="preserve">；</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二、上一年度的财务状况报表；距投标截止之日止，成立不足一年的供应商，可不提供财务报表；如供应商为事业单位的，财务报表至少应包括资产负债表、</w:t>
      </w:r>
      <w:r>
        <w:rPr>
          <w:rFonts w:ascii="Arial" w:hAnsi="Arial" w:eastAsia="Arial" w:cs="Arial"/>
          <w:color w:val="000000"/>
          <w:sz w:val="24"/>
          <w:highlight w:val="white"/>
          <w:u w:val="single"/>
        </w:rPr>
        <w:t xml:space="preserve">收入支出表或者收入费用表</w:t>
      </w:r>
      <w:r>
        <w:rPr>
          <w:rFonts w:ascii="SimSun" w:hAnsi="SimSun" w:eastAsia="SimSun" w:cs="SimSun"/>
          <w:color w:val="000000"/>
          <w:sz w:val="24"/>
          <w:u w:val="single"/>
        </w:rPr>
        <w:t xml:space="preserve">）；</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三、依法缴纳税收和社会保障资金的相关材料（提供2023年1月以来任意一个月的依法缴纳税收及社会保障资金的证明材料。投标人依法享受缓缴、免缴税收、社会保障资金的提供证明材料。）；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四、具备履行合同所必需的设备和专业技术能力的书面声明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五、参加政府采购活动前 3 年内在经营活动中没有重大违法记录的书面声明；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六、特定资格要求的证明文件（如果本项目设置特定资格要求，则需要提供）</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八、投标函</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九、小微企业声明函（如有）</w:t>
      </w:r>
      <w:r/>
    </w:p>
    <w:p>
      <w:pPr>
        <w:ind w:left="0" w:right="0" w:firstLine="480"/>
        <w:jc w:val="both"/>
        <w:spacing w:before="0" w:after="20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十、残疾人福利性单位声明函（如有）</w:t>
      </w:r>
      <w:r/>
    </w:p>
    <w:p>
      <w:pPr>
        <w:ind w:left="0" w:right="0" w:firstLine="480"/>
        <w:jc w:val="both"/>
        <w:spacing w:before="0" w:after="20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十四、技术方案</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十五、开标一览表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十六、供应商认为需要提供的其他材料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十七、盐城市政府采购事前信用承诺书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30"/>
          <w:u w:val="single"/>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w:t>
      </w:r>
      <w:r>
        <w:rPr>
          <w:rFonts w:ascii="SimSun" w:hAnsi="SimSun" w:eastAsia="SimSun" w:cs="SimSun"/>
          <w:b/>
          <w:color w:val="000000"/>
          <w:sz w:val="30"/>
        </w:rPr>
        <w:t xml:space="preserve">法人或者其他组织的营业执照等证明文件，自然人的身份证明</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（提供营业执照、自然人的身份证明或</w:t>
      </w:r>
      <w:r>
        <w:rPr>
          <w:rFonts w:ascii="SimSun" w:hAnsi="SimSun" w:eastAsia="SimSun" w:cs="SimSun"/>
          <w:color w:val="000000"/>
          <w:sz w:val="24"/>
          <w:highlight w:val="white"/>
        </w:rPr>
        <w:t xml:space="preserve">事业单位法人证书）</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二、上一年度的财务状况报表</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提供2023年度的财务报表（财务报表至少应包括资产负债表、利润表）；距投标截止之日止，成立不足一年的供应商，可不提供财务报表；如供应商为事业单位的，财务报表至少应包括资产负债表、</w:t>
      </w:r>
      <w:r>
        <w:rPr>
          <w:rFonts w:ascii="Arial" w:hAnsi="Arial" w:eastAsia="Arial" w:cs="Arial"/>
          <w:color w:val="000000"/>
          <w:sz w:val="24"/>
          <w:highlight w:val="white"/>
        </w:rPr>
        <w:t xml:space="preserve">收入支出表或者收入费用表</w:t>
      </w:r>
      <w:r>
        <w:rPr>
          <w:rFonts w:ascii="SimSun" w:hAnsi="SimSun" w:eastAsia="SimSun" w:cs="SimSun"/>
          <w:color w:val="000000"/>
          <w:sz w:val="24"/>
        </w:rPr>
        <w:t xml:space="preserve">）</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三、依法缴纳税收和社会保障资金的相关材料</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提供2023年1月以来任意一个月的依法缴纳税收及社会保障资金的证明材料。投标人依法享受缓缴、免缴税收、社会保障资金的提供证明材料。投标人依法享受缓缴、免缴税收、社会保障资金的提供证明材料。）；</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四、具备履行合同所必需的设备和专业技术能力的书面声明</w:t>
      </w:r>
      <w:r/>
    </w:p>
    <w:p>
      <w:pPr>
        <w:ind w:left="0" w:right="0" w:firstLine="48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声明</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主要设备有：。</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主要专业技术能力有：。</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投标人全称：</w:t>
      </w:r>
      <w:r>
        <w:rPr>
          <w:rFonts w:ascii="SimSun" w:hAnsi="SimSun" w:eastAsia="SimSun" w:cs="SimSun"/>
          <w:color w:val="000000"/>
          <w:sz w:val="28"/>
          <w:u w:val="single"/>
        </w:rPr>
        <w:t xml:space="preserve">  （加盖CA电子签章或盖公章）</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五、参加政府采购活动前 3 年内在经营活动中没有重大违法记录的书面声明</w:t>
      </w:r>
      <w:r/>
    </w:p>
    <w:p>
      <w:pPr>
        <w:ind w:left="0" w:right="0" w:firstLine="4016"/>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4016"/>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声明</w:t>
      </w:r>
      <w:r/>
    </w:p>
    <w:p>
      <w:pPr>
        <w:ind w:left="0" w:right="0" w:firstLine="56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56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如我公司在前3年内有重大违法记录，则视为我公司出具的声明为虚假材料，我单位愿意接收监管部门的相应处罚。</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投标人全称：</w:t>
      </w:r>
      <w:r>
        <w:rPr>
          <w:rFonts w:ascii="SimSun" w:hAnsi="SimSun" w:eastAsia="SimSun" w:cs="SimSun"/>
          <w:color w:val="000000"/>
          <w:sz w:val="28"/>
          <w:u w:val="single"/>
        </w:rPr>
        <w:t xml:space="preserve">  （加盖CA电子签章或盖公章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六、特定资格要求的证明文件（如有）</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七、法人授权书</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p>
    <w:p>
      <w:pPr>
        <w:ind w:left="0" w:right="0" w:firstLine="120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（加盖CA电子签章或盖公章）</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2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八、投标函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致：响水县七套卫生院</w:t>
      </w:r>
      <w:r/>
    </w:p>
    <w:p>
      <w:pPr>
        <w:ind w:left="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九、小微企业声明函（如有）</w:t>
      </w:r>
      <w:r/>
    </w:p>
    <w:p>
      <w:pPr>
        <w:ind w:left="0" w:right="0" w:firstLine="36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本公司郑重声明，根据《政府采购促进中小企业发展管理办法》(财库[2020]46号)的规定，本公司参加</w:t>
      </w:r>
      <w:r>
        <w:rPr>
          <w:rFonts w:ascii="SimSun" w:hAnsi="SimSun" w:eastAsia="SimSun" w:cs="SimSun"/>
          <w:color w:val="000000"/>
          <w:sz w:val="24"/>
          <w:u w:val="single"/>
        </w:rPr>
        <w:t xml:space="preserve"> 响水县七套卫生院 </w:t>
      </w:r>
      <w:r>
        <w:rPr>
          <w:rFonts w:ascii="SimSun" w:hAnsi="SimSun" w:eastAsia="SimSun" w:cs="SimSun"/>
          <w:color w:val="000000"/>
          <w:sz w:val="24"/>
        </w:rPr>
        <w:t xml:space="preserve">组织的采购编号为</w:t>
      </w:r>
      <w:r>
        <w:rPr>
          <w:rFonts w:ascii="SimSun" w:hAnsi="SimSun" w:eastAsia="SimSun" w:cs="SimSun"/>
          <w:color w:val="000000"/>
          <w:sz w:val="24"/>
          <w:u w:val="single"/>
        </w:rPr>
        <w:t xml:space="preserve">JSZC-320921-QHGS-G2024-0004           </w:t>
      </w:r>
      <w:r>
        <w:rPr>
          <w:rFonts w:ascii="SimSun" w:hAnsi="SimSun" w:eastAsia="SimSun" w:cs="SimSun"/>
          <w:color w:val="000000"/>
          <w:sz w:val="24"/>
        </w:rPr>
        <w:t xml:space="preserve"> ，</w:t>
      </w:r>
      <w:r>
        <w:rPr>
          <w:rFonts w:ascii="SimSun" w:hAnsi="SimSun" w:eastAsia="SimSun" w:cs="SimSun"/>
          <w:color w:val="000000"/>
          <w:sz w:val="24"/>
          <w:u w:val="single"/>
        </w:rPr>
        <w:t xml:space="preserve">七套卫生院信息化系统</w:t>
      </w:r>
      <w:r>
        <w:rPr>
          <w:rFonts w:ascii="SimSun" w:hAnsi="SimSun" w:eastAsia="SimSun" w:cs="SimSun"/>
          <w:color w:val="000000"/>
          <w:sz w:val="24"/>
        </w:rPr>
        <w:t xml:space="preserve">的采购活动，提供的服务全部由符合政策要求的小微企业制造。根据《工业和信息化部、国家统计局、国家发展和改革委员会、财政部关于印发中小企业划型标准规定的通知》(工信部联企业[2011]300号)的规定，相关企业的具体情况如下：</w:t>
      </w:r>
      <w:r/>
    </w:p>
    <w:p>
      <w:pPr>
        <w:numPr>
          <w:ilvl w:val="0"/>
          <w:numId w:val="4"/>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七套卫生院信息化系统</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（小型企业、微型企业）；</w:t>
      </w:r>
      <w:r/>
    </w:p>
    <w:p>
      <w:pPr>
        <w:numPr>
          <w:ilvl w:val="0"/>
          <w:numId w:val="4"/>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（小型企业、微型企业）；</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企业名称（加盖CA电子公章或盖公章）：</w:t>
      </w:r>
      <w:r/>
    </w:p>
    <w:p>
      <w:pPr>
        <w:ind w:left="0" w:right="480" w:firstLine="54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20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w:t>
      </w:r>
      <w:r>
        <w:rPr>
          <w:rFonts w:ascii="SimSun" w:hAnsi="SimSun" w:eastAsia="SimSun" w:cs="SimSun"/>
          <w:b/>
          <w:color w:val="000000"/>
          <w:sz w:val="36"/>
        </w:rPr>
        <w:t xml:space="preserve">（如有）</w:t>
      </w:r>
      <w:r/>
    </w:p>
    <w:p>
      <w:pPr>
        <w:ind w:left="0" w:right="0" w:firstLine="480"/>
        <w:jc w:val="both"/>
        <w:spacing w:before="0" w:after="20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项目采购活动提供本单位制造的货物，或者提供其他残疾人福利性单位制造的货物（不包括使用非残疾人福利性单位注册商标的货物）。</w:t>
      </w:r>
      <w:r/>
    </w:p>
    <w:p>
      <w:pPr>
        <w:ind w:left="0" w:right="0" w:firstLine="480"/>
        <w:jc w:val="both"/>
        <w:spacing w:before="0" w:after="20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200" w:line="2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20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200" w:line="2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1560" w:firstLine="624"/>
        <w:jc w:val="center"/>
        <w:spacing w:before="0" w:after="200" w:line="27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20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十一、投标分项报价表</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项目名称:七套卫生院信息化系统</w:t>
      </w:r>
      <w:r/>
    </w:p>
    <w:p>
      <w:pPr>
        <w:ind w:left="0" w:right="0" w:firstLine="560"/>
        <w:jc w:val="right"/>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tbl>
      <w:tblPr>
        <w:tblStyle w:val="6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93"/>
        <w:gridCol w:w="3410"/>
        <w:gridCol w:w="619"/>
        <w:gridCol w:w="796"/>
        <w:gridCol w:w="796"/>
        <w:gridCol w:w="1403"/>
      </w:tblGrid>
      <w:tr>
        <w:trPr>
          <w:trHeight w:val="2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1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1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品牌、型号等相关说明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设备生产厂家</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1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1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1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1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6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8"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合计报价人民币大写：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小写：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p>
        </w:tc>
      </w:tr>
      <w:tr>
        <w:trPr>
          <w:trHeight w:val="36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8"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供货时间：合同签订后</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日内供货、安装调试到位。</w:t>
            </w:r>
            <w:r/>
          </w:p>
        </w:tc>
      </w:tr>
    </w:tbl>
    <w:p>
      <w:pPr>
        <w:ind w:left="0" w:right="0" w:firstLine="560"/>
        <w:jc w:val="right"/>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、明细报价表必须认真填写，包括产品的品牌、型号、价格、数量等详细说明。</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、单价和总价均应包括全部设备价、包装费、运输、安装、调试、保险、培训、技术服务、必不可少的部件、标准备件、专用工具等费用，以及已支付或将支付的税费，总之包括交付使用前的一切费用。</w:t>
      </w:r>
      <w:r/>
    </w:p>
    <w:p>
      <w:pPr>
        <w:ind w:left="0" w:right="0" w:firstLine="560"/>
        <w:jc w:val="right"/>
        <w:spacing w:before="24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投标人全称：</w:t>
      </w:r>
      <w:r>
        <w:rPr>
          <w:rFonts w:ascii="SimSun" w:hAnsi="SimSun" w:eastAsia="SimSun" w:cs="SimSun"/>
          <w:color w:val="000000"/>
          <w:sz w:val="24"/>
          <w:u w:val="single"/>
        </w:rPr>
        <w:t xml:space="preserve">  （加盖CA电子签章或盖公章）</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1560" w:firstLine="643"/>
        <w:jc w:val="center"/>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十二、技术要求响应及偏离表</w:t>
      </w:r>
      <w:r/>
    </w:p>
    <w:tbl>
      <w:tblPr>
        <w:tblStyle w:val="6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8"/>
        <w:gridCol w:w="2652"/>
        <w:gridCol w:w="2246"/>
        <w:gridCol w:w="1377"/>
        <w:gridCol w:w="10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十三、商务要求响应及偏离表</w:t>
      </w:r>
      <w:r/>
    </w:p>
    <w:tbl>
      <w:tblPr>
        <w:tblStyle w:val="6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8"/>
        <w:gridCol w:w="2652"/>
        <w:gridCol w:w="2246"/>
        <w:gridCol w:w="1377"/>
        <w:gridCol w:w="10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十四、技术方案（如有）</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（根据项目需求和评标办法自行编制，格式自拟）；</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0"/>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十五、开标一览表</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投标人全称（CA公章）：  </w:t>
      </w:r>
      <w:r/>
    </w:p>
    <w:p>
      <w:pPr>
        <w:ind w:left="0" w:right="48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48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48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  </w:t>
      </w:r>
      <w:r/>
    </w:p>
    <w:tbl>
      <w:tblPr>
        <w:tblStyle w:val="6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65"/>
        <w:gridCol w:w="2813"/>
        <w:gridCol w:w="2976"/>
      </w:tblGrid>
      <w:tr>
        <w:trPr>
          <w:trHeight w:val="6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65"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3"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0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5"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七套卫生院信息化系统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3"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核心产品品牌： </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5"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89"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2"/>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0"/>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十六、供应商认为需要提供的其他材料</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890" w:right="0" w:hanging="210"/>
        <w:spacing w:before="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890" w:right="0" w:hanging="210"/>
        <w:spacing w:before="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890" w:right="0" w:hanging="210"/>
        <w:spacing w:before="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890" w:right="0" w:hanging="21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十七、盐城市政府采购事前信用承诺书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投标人全称：（电子签章）</w:t>
      </w:r>
      <w:r/>
    </w:p>
    <w:p>
      <w:pPr>
        <w:ind w:left="0" w:right="0" w:firstLine="420"/>
        <w:jc w:val="both"/>
        <w:spacing w:before="20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公章：</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rPr>
          <w:rFonts w:ascii="Times New Roman" w:hAnsi="Times New Roman" w:eastAsia="Times New Roman" w:cs="Times New Roman"/>
          <w:sz w:val="22"/>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2"/>
          <w:szCs w:val="22"/>
        </w:rPr>
      </w:r>
      <w:r/>
    </w:p>
    <w:p>
      <w:pPr>
        <w:ind w:left="0" w:right="0" w:firstLine="0"/>
        <w:jc w:val="center"/>
        <w:spacing w:before="120" w:after="120" w:line="85" w:lineRule="atLeast"/>
        <w:rPr>
          <w:rFonts w:ascii="Times New Roman" w:hAnsi="Times New Roman" w:eastAsia="Times New Roman" w:cs="Times New Roman"/>
          <w:sz w:val="22"/>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2"/>
          <w:szCs w:val="22"/>
        </w:rPr>
      </w:r>
      <w:r/>
    </w:p>
    <w:p>
      <w:pPr>
        <w:ind w:left="0" w:right="0" w:firstLine="0"/>
        <w:jc w:val="center"/>
        <w:spacing w:before="120" w:after="120" w:line="85" w:lineRule="atLeast"/>
        <w:rPr>
          <w:rFonts w:ascii="Times New Roman" w:hAnsi="Times New Roman" w:eastAsia="Times New Roman" w:cs="Times New Roman"/>
          <w:sz w:val="22"/>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2"/>
          <w:szCs w:val="22"/>
        </w:rPr>
      </w:r>
      <w:r/>
    </w:p>
    <w:p>
      <w:pPr>
        <w:ind w:left="0" w:right="0" w:firstLine="0"/>
        <w:jc w:val="center"/>
        <w:spacing w:before="120" w:after="120" w:line="85" w:lineRule="atLeast"/>
        <w:rPr>
          <w:rFonts w:ascii="Times New Roman" w:hAnsi="Times New Roman" w:eastAsia="Times New Roman" w:cs="Times New Roman"/>
          <w:sz w:val="22"/>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2"/>
          <w:szCs w:val="22"/>
        </w:rPr>
      </w:r>
      <w:r/>
    </w:p>
    <w:p>
      <w:pPr>
        <w:ind w:left="0" w:right="0" w:firstLine="0"/>
        <w:jc w:val="center"/>
        <w:spacing w:before="120" w:after="120" w:line="85" w:lineRule="atLeast"/>
        <w:rPr>
          <w:rFonts w:ascii="Times New Roman" w:hAnsi="Times New Roman" w:eastAsia="Times New Roman" w:cs="Times New Roman"/>
          <w:sz w:val="22"/>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2"/>
          <w:szCs w:val="22"/>
        </w:rPr>
      </w:r>
      <w:r/>
    </w:p>
    <w:p>
      <w:pPr>
        <w:ind w:left="0" w:right="0" w:firstLine="0"/>
        <w:jc w:val="center"/>
        <w:spacing w:before="120" w:after="120" w:line="85" w:lineRule="atLeast"/>
        <w:rPr>
          <w:rFonts w:ascii="Times New Roman" w:hAnsi="Times New Roman" w:eastAsia="Times New Roman" w:cs="Times New Roman"/>
          <w:sz w:val="22"/>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2"/>
          <w:szCs w:val="22"/>
        </w:rPr>
      </w:r>
      <w:r/>
    </w:p>
    <w:p>
      <w:pPr>
        <w:ind w:left="0" w:right="0" w:firstLine="0"/>
        <w:jc w:val="center"/>
        <w:spacing w:before="120" w:after="120" w:line="85" w:lineRule="atLeast"/>
        <w:rPr>
          <w:rFonts w:ascii="Times New Roman" w:hAnsi="Times New Roman" w:eastAsia="Times New Roman" w:cs="Times New Roman"/>
          <w:sz w:val="22"/>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2"/>
          <w:szCs w:val="22"/>
        </w:rPr>
      </w:r>
      <w:r/>
    </w:p>
    <w:p>
      <w:pPr>
        <w:ind w:left="0" w:right="0" w:firstLine="0"/>
        <w:jc w:val="center"/>
        <w:spacing w:before="120" w:after="120" w:line="85" w:lineRule="atLeast"/>
        <w:rPr>
          <w:rFonts w:ascii="Times New Roman" w:hAnsi="Times New Roman" w:eastAsia="Times New Roman" w:cs="Times New Roman"/>
          <w:sz w:val="22"/>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2"/>
          <w:szCs w:val="22"/>
        </w:rPr>
      </w:r>
      <w:r/>
    </w:p>
    <w:p>
      <w:pPr>
        <w:ind w:left="0" w:right="0" w:firstLine="0"/>
        <w:jc w:val="center"/>
        <w:spacing w:before="120" w:after="120" w:line="85" w:lineRule="atLeast"/>
        <w:rPr>
          <w:rFonts w:ascii="Times New Roman" w:hAnsi="Times New Roman" w:eastAsia="Times New Roman" w:cs="Times New Roman"/>
          <w:sz w:val="22"/>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2"/>
          <w:szCs w:val="22"/>
        </w:rPr>
      </w:r>
      <w:r/>
    </w:p>
    <w:p>
      <w:pPr>
        <w:ind w:left="0" w:right="0" w:firstLine="0"/>
        <w:jc w:val="left"/>
        <w:spacing w:before="120" w:after="120" w:line="85" w:lineRule="atLeast"/>
        <w:rPr>
          <w:rFonts w:ascii="黑体" w:hAnsi="黑体" w:eastAsia="黑体" w:cs="黑体"/>
          <w:color w:val="000000"/>
          <w:sz w:val="72"/>
          <w:szCs w:val="72"/>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72"/>
          <w:szCs w:val="72"/>
          <w:highlight w:val="none"/>
        </w:rPr>
      </w:r>
      <w:r/>
    </w:p>
    <w:p>
      <w:pPr>
        <w:ind w:left="0" w:right="0" w:firstLine="0"/>
        <w:jc w:val="center"/>
        <w:spacing w:before="120" w:after="120" w:line="85" w:lineRule="atLeast"/>
        <w:rPr>
          <w:rFonts w:ascii="黑体" w:hAnsi="黑体" w:eastAsia="黑体" w:cs="黑体"/>
          <w:color w:val="000000"/>
          <w:sz w:val="72"/>
          <w:szCs w:val="72"/>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72"/>
        </w:rPr>
        <w:t xml:space="preserve">招　标　文　件</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652"/>
        <w:jc w:val="both"/>
        <w:spacing w:before="120" w:after="120" w:line="85" w:lineRule="atLeast"/>
        <w:rPr>
          <w:rFonts w:hint="eastAsia" w:eastAsia="黑体"/>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7"/>
          <w:sz w:val="36"/>
        </w:rPr>
        <w:t xml:space="preserve">项目名称：</w:t>
      </w:r>
      <w:r>
        <w:rPr>
          <w:rFonts w:hint="eastAsia" w:ascii="黑体" w:hAnsi="黑体" w:eastAsia="黑体" w:cs="黑体"/>
          <w:color w:val="000000"/>
          <w:spacing w:val="-17"/>
          <w:sz w:val="36"/>
          <w:lang w:eastAsia="zh-CN"/>
        </w:rPr>
        <w:t xml:space="preserve">七套卫生院信息化系统</w:t>
      </w:r>
      <w:r/>
    </w:p>
    <w:p>
      <w:pPr>
        <w:ind w:left="0" w:right="0" w:firstLine="652"/>
        <w:jc w:val="both"/>
        <w:spacing w:before="120" w:after="120" w:line="85" w:lineRule="atLeast"/>
        <w:rPr>
          <w:rFonts w:hint="eastAsia" w:eastAsia="黑体"/>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7"/>
          <w:sz w:val="36"/>
        </w:rPr>
        <w:t xml:space="preserve">项目编号：JSZC-320921-QHGS-G2024-0004</w:t>
      </w:r>
      <w:r>
        <w:rPr>
          <w:rFonts w:hint="eastAsia" w:ascii="黑体" w:hAnsi="黑体" w:eastAsia="黑体" w:cs="黑体"/>
          <w:color w:val="000000"/>
          <w:spacing w:val="-17"/>
          <w:sz w:val="36"/>
          <w:lang w:eastAsia="zh-CN"/>
        </w:rPr>
        <w:t xml:space="preserve">          </w:t>
      </w:r>
      <w:r/>
    </w:p>
    <w:p>
      <w:pPr>
        <w:ind w:left="2100" w:right="0" w:hanging="210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0"/>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080"/>
        <w:jc w:val="both"/>
        <w:spacing w:before="120" w:after="120" w:line="142" w:lineRule="atLeast"/>
        <w:rPr>
          <w:rFonts w:hint="eastAsia" w:eastAsia="黑体"/>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采购人：</w:t>
      </w:r>
      <w:r>
        <w:rPr>
          <w:rFonts w:hint="eastAsia" w:ascii="黑体" w:hAnsi="黑体" w:eastAsia="黑体" w:cs="黑体"/>
          <w:color w:val="000000"/>
          <w:sz w:val="36"/>
          <w:lang w:eastAsia="zh-CN"/>
        </w:rPr>
        <w:t xml:space="preserve">响水县七套卫生院</w:t>
      </w:r>
      <w:r/>
    </w:p>
    <w:p>
      <w:pPr>
        <w:ind w:left="0" w:right="0" w:firstLine="0"/>
        <w:jc w:val="center"/>
        <w:spacing w:before="120" w:after="120" w:line="142" w:lineRule="atLeast"/>
        <w:rPr>
          <w:rFonts w:hint="eastAsia" w:eastAsia="黑体"/>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采购代理机构：</w:t>
      </w:r>
      <w:r>
        <w:rPr>
          <w:rFonts w:hint="eastAsia" w:ascii="黑体" w:hAnsi="黑体" w:eastAsia="黑体" w:cs="黑体"/>
          <w:color w:val="000000"/>
          <w:sz w:val="36"/>
          <w:lang w:eastAsia="zh-CN"/>
        </w:rPr>
        <w:t xml:space="preserve">江苏千禾建设项目管理有限公司</w:t>
      </w:r>
      <w:r/>
    </w:p>
    <w:p>
      <w:pPr>
        <w:ind w:left="0" w:right="0" w:firstLine="0"/>
        <w:jc w:val="center"/>
        <w:spacing w:before="120" w:after="120" w:line="142"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2024年0</w:t>
      </w:r>
      <w:r>
        <w:rPr>
          <w:rFonts w:hint="eastAsia" w:ascii="黑体" w:hAnsi="黑体" w:eastAsia="黑体" w:cs="黑体"/>
          <w:color w:val="000000"/>
          <w:sz w:val="36"/>
          <w:lang w:val="en-US" w:eastAsia="zh-CN"/>
        </w:rPr>
        <w:t xml:space="preserve">6</w:t>
      </w:r>
      <w:r>
        <w:rPr>
          <w:rFonts w:ascii="黑体" w:hAnsi="黑体" w:eastAsia="黑体" w:cs="黑体"/>
          <w:color w:val="000000"/>
          <w:sz w:val="36"/>
        </w:rPr>
        <w:t xml:space="preserve">月</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总目录</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r/>
    </w:p>
    <w:p>
      <w:pPr>
        <w:ind w:left="0" w:right="0" w:firstLine="720"/>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第一章招标公告</w:t>
      </w:r>
      <w:r/>
    </w:p>
    <w:p>
      <w:pPr>
        <w:ind w:left="0" w:right="0" w:firstLine="720"/>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第二章投标人须知</w:t>
      </w:r>
      <w:r/>
    </w:p>
    <w:p>
      <w:pPr>
        <w:ind w:left="0" w:right="0" w:firstLine="720"/>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第三章合同文本</w:t>
      </w:r>
      <w:r/>
    </w:p>
    <w:p>
      <w:pPr>
        <w:ind w:left="0" w:right="0" w:firstLine="720"/>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第四章采购需求</w:t>
      </w:r>
      <w:r/>
    </w:p>
    <w:p>
      <w:pPr>
        <w:ind w:left="0" w:right="0" w:firstLine="720"/>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第五章评标方法与评标标准</w:t>
      </w:r>
      <w:r/>
    </w:p>
    <w:p>
      <w:pPr>
        <w:ind w:left="0" w:right="0" w:firstLine="720"/>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第六章投标文件格式</w:t>
      </w:r>
      <w:r/>
    </w:p>
    <w:p>
      <w:pPr>
        <w:ind w:left="0" w:right="0" w:firstLine="720"/>
        <w:jc w:val="both"/>
        <w:spacing w:before="0" w:after="0" w:line="17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 </w:t>
      </w:r>
      <w:r/>
    </w:p>
    <w:p>
      <w:pPr>
        <w:ind w:left="0" w:right="0" w:firstLine="720"/>
        <w:jc w:val="both"/>
        <w:spacing w:before="0" w:after="0" w:line="17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 </w:t>
      </w:r>
      <w:r/>
    </w:p>
    <w:p>
      <w:pPr>
        <w:ind w:left="0" w:right="0" w:firstLine="0"/>
        <w:jc w:val="center"/>
        <w:spacing w:before="0" w:after="0" w:line="85" w:lineRule="atLeast"/>
        <w:rPr>
          <w:rFonts w:ascii="黑体" w:hAnsi="黑体" w:eastAsia="黑体" w:cs="黑体"/>
          <w:color w:val="000000"/>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708" w:equalWidth="1"/>
          <w:docGrid w:linePitch="360"/>
        </w:sectPr>
      </w:pPr>
      <w:r>
        <w:rPr>
          <w:rFonts w:ascii="黑体" w:hAnsi="黑体" w:eastAsia="黑体" w:cs="黑体"/>
          <w:color w:val="000000"/>
          <w:sz w:val="44"/>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第一章招标公告</w:t>
      </w:r>
      <w:r/>
    </w:p>
    <w:p>
      <w:pPr>
        <w:ind w:left="0" w:right="0" w:firstLine="480"/>
        <w:jc w:val="both"/>
        <w:spacing w:before="0" w:after="0" w:line="45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50" w:lineRule="atLeast"/>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u w:val="single"/>
          <w:lang w:eastAsia="zh-CN"/>
        </w:rPr>
        <w:t xml:space="preserve">七套卫生院信息化系统</w:t>
      </w:r>
      <w:r>
        <w:rPr>
          <w:rFonts w:ascii="宋体" w:hAnsi="宋体" w:eastAsia="宋体" w:cs="宋体"/>
          <w:color w:val="000000"/>
          <w:sz w:val="24"/>
        </w:rPr>
        <w:t xml:space="preserve">的潜在投标人可在</w:t>
      </w:r>
      <w:r>
        <w:rPr>
          <w:rFonts w:ascii="宋体" w:hAnsi="宋体" w:eastAsia="宋体" w:cs="宋体"/>
          <w:color w:val="000000"/>
          <w:sz w:val="24"/>
          <w:u w:val="single"/>
        </w:rPr>
        <w:t xml:space="preserve">“中国政府采购网”、“江苏政府采购网、盐城市政府采购网”</w:t>
      </w:r>
      <w:r>
        <w:rPr>
          <w:rFonts w:ascii="宋体" w:hAnsi="宋体" w:eastAsia="宋体" w:cs="宋体"/>
          <w:color w:val="000000"/>
          <w:sz w:val="24"/>
        </w:rPr>
        <w:t xml:space="preserve">获取招标文件，并于</w:t>
      </w:r>
      <w:r>
        <w:rPr>
          <w:rFonts w:ascii="宋体" w:hAnsi="宋体" w:eastAsia="宋体" w:cs="宋体"/>
          <w:color w:val="ff0000"/>
          <w:sz w:val="24"/>
          <w:u w:val="single"/>
        </w:rPr>
        <w:t xml:space="preserve">2024年</w:t>
      </w:r>
      <w:r>
        <w:rPr>
          <w:rFonts w:hint="eastAsia" w:ascii="宋体" w:hAnsi="宋体" w:eastAsia="宋体" w:cs="宋体"/>
          <w:color w:val="ff0000"/>
          <w:sz w:val="24"/>
          <w:u w:val="single"/>
          <w:lang w:val="en-US" w:eastAsia="zh-CN"/>
        </w:rPr>
        <w:t xml:space="preserve">7</w:t>
      </w:r>
      <w:r>
        <w:rPr>
          <w:rFonts w:ascii="宋体" w:hAnsi="宋体" w:eastAsia="宋体" w:cs="宋体"/>
          <w:color w:val="ff0000"/>
          <w:sz w:val="24"/>
          <w:u w:val="single"/>
        </w:rPr>
        <w:t xml:space="preserve">月</w:t>
      </w:r>
      <w:r>
        <w:rPr>
          <w:rFonts w:hint="eastAsia" w:ascii="宋体" w:hAnsi="宋体" w:eastAsia="宋体" w:cs="宋体"/>
          <w:color w:val="ff0000"/>
          <w:sz w:val="24"/>
          <w:u w:val="single"/>
          <w:lang w:val="en-US" w:eastAsia="zh-CN"/>
        </w:rPr>
        <w:t xml:space="preserve">5</w:t>
      </w:r>
      <w:r>
        <w:rPr>
          <w:rFonts w:ascii="宋体" w:hAnsi="宋体" w:eastAsia="宋体" w:cs="宋体"/>
          <w:color w:val="ff0000"/>
          <w:sz w:val="24"/>
          <w:u w:val="single"/>
        </w:rPr>
        <w:t xml:space="preserve">日</w:t>
      </w:r>
      <w:r>
        <w:rPr>
          <w:rFonts w:hint="eastAsia" w:ascii="宋体" w:hAnsi="宋体" w:eastAsia="宋体" w:cs="宋体"/>
          <w:color w:val="ff0000"/>
          <w:sz w:val="24"/>
          <w:u w:val="single"/>
          <w:lang w:val="en-US" w:eastAsia="zh-CN"/>
        </w:rPr>
        <w:t xml:space="preserve">15</w:t>
      </w:r>
      <w:r>
        <w:rPr>
          <w:rFonts w:ascii="宋体" w:hAnsi="宋体" w:eastAsia="宋体" w:cs="宋体"/>
          <w:color w:val="ff0000"/>
          <w:sz w:val="24"/>
          <w:u w:val="single"/>
        </w:rPr>
        <w:t xml:space="preserve">点00</w:t>
      </w:r>
      <w:r>
        <w:rPr>
          <w:rFonts w:ascii="宋体" w:hAnsi="宋体" w:eastAsia="宋体" w:cs="宋体"/>
          <w:color w:val="000000"/>
          <w:sz w:val="24"/>
          <w:u w:val="single"/>
        </w:rPr>
        <w:t xml:space="preserve">分（</w:t>
      </w:r>
      <w:r>
        <w:rPr>
          <w:rFonts w:ascii="宋体" w:hAnsi="宋体" w:eastAsia="宋体" w:cs="宋体"/>
          <w:color w:val="000000"/>
          <w:sz w:val="24"/>
        </w:rPr>
        <w:t xml:space="preserve">北京时间）前递交投标文件。</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一、项目基本情况</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1、项目编号：JSZC-320921-QHGS-G2024-0004</w:t>
      </w:r>
      <w:r>
        <w:rPr>
          <w:rFonts w:hint="eastAsia" w:ascii="宋体" w:hAnsi="宋体" w:eastAsia="宋体" w:cs="宋体"/>
          <w:color w:val="000000"/>
          <w:sz w:val="24"/>
          <w:lang w:eastAsia="zh-CN"/>
        </w:rPr>
        <w:t xml:space="preserve">     </w:t>
      </w:r>
      <w:r>
        <w:rPr>
          <w:rFonts w:ascii="宋体" w:hAnsi="宋体" w:eastAsia="宋体" w:cs="宋体"/>
          <w:color w:val="000000"/>
          <w:sz w:val="24"/>
        </w:rPr>
        <w:t xml:space="preserve">    </w:t>
      </w:r>
      <w:r/>
    </w:p>
    <w:p>
      <w:pPr>
        <w:ind w:left="0" w:right="0" w:firstLine="480"/>
        <w:jc w:val="both"/>
        <w:spacing w:before="0" w:after="0" w:line="4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lang w:eastAsia="zh-CN"/>
        </w:rPr>
        <w:t xml:space="preserve">七套卫生院信息化系统</w:t>
      </w:r>
      <w:r/>
    </w:p>
    <w:p>
      <w:pPr>
        <w:ind w:left="0" w:right="0" w:firstLine="480"/>
        <w:jc w:val="both"/>
        <w:spacing w:before="0" w:after="0" w:line="4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rPr>
          <w:rFonts w:hint="eastAsia" w:ascii="宋体" w:hAnsi="宋体" w:eastAsia="宋体" w:cs="宋体"/>
          <w:color w:val="000000"/>
          <w:sz w:val="24"/>
          <w:lang w:eastAsia="zh-CN"/>
        </w:rPr>
        <w:t xml:space="preserve">114.7903万元</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rPr>
          <w:rFonts w:hint="eastAsia" w:ascii="宋体" w:hAnsi="宋体" w:eastAsia="宋体" w:cs="宋体"/>
          <w:color w:val="000000"/>
          <w:sz w:val="24"/>
          <w:lang w:eastAsia="zh-CN"/>
        </w:rPr>
        <w:t xml:space="preserve">114.7903万元，</w:t>
      </w:r>
      <w:r>
        <w:rPr>
          <w:rFonts w:ascii="宋体" w:hAnsi="宋体" w:eastAsia="宋体" w:cs="宋体"/>
          <w:color w:val="000000"/>
          <w:sz w:val="24"/>
        </w:rPr>
        <w:t xml:space="preserve">投标报价总价高于最高限价的，采购人将不予接受，视为无效标书。</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w:t>
      </w:r>
      <w:r>
        <w:rPr>
          <w:rFonts w:hint="eastAsia" w:ascii="宋体" w:hAnsi="宋体"/>
          <w:color w:val="auto"/>
          <w:sz w:val="24"/>
        </w:rPr>
        <w:t xml:space="preserve">本项目为</w:t>
      </w:r>
      <w:r>
        <w:rPr>
          <w:rFonts w:hint="eastAsia" w:ascii="宋体" w:hAnsi="宋体"/>
          <w:color w:val="auto"/>
          <w:sz w:val="24"/>
          <w:lang w:eastAsia="zh-CN"/>
        </w:rPr>
        <w:t xml:space="preserve">七套卫生院信息化系统</w:t>
      </w:r>
      <w:r>
        <w:rPr>
          <w:rFonts w:hint="eastAsia" w:ascii="宋体" w:hAnsi="宋体"/>
          <w:color w:val="auto"/>
          <w:sz w:val="24"/>
        </w:rPr>
        <w:t xml:space="preserve">，具体采购范围及所应达到的具体要求，以本采购文件中项目需求及清单的相应规定为准。报价超过最高限价为无效标。</w:t>
      </w:r>
      <w:r>
        <w:rPr>
          <w:rFonts w:ascii="宋体" w:hAnsi="宋体" w:eastAsia="宋体" w:cs="宋体"/>
          <w:color w:val="000000"/>
          <w:sz w:val="24"/>
        </w:rPr>
        <w:t xml:space="preserve">具体要求详见招标文件</w:t>
      </w:r>
      <w:r>
        <w:rPr>
          <w:rFonts w:hint="eastAsia" w:ascii="宋体" w:hAnsi="宋体"/>
          <w:color w:val="auto"/>
          <w:sz w:val="24"/>
        </w:rPr>
        <w:t xml:space="preserve">项目需求</w:t>
      </w:r>
      <w:r>
        <w:rPr>
          <w:rFonts w:ascii="宋体" w:hAnsi="宋体" w:eastAsia="宋体" w:cs="宋体"/>
          <w:color w:val="000000"/>
          <w:sz w:val="24"/>
        </w:rPr>
        <w:t xml:space="preserve">。</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6、合同履行期限：合同签订后30日内供货、安装调试到位。</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7、本项目不接受联合体投标。</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二、申请人的资格要求：</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1.2上一年度的财务状况报表（成立不满一年无需提供）；</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1.3具备履行合同所必需的设备和专业技术能力的书面声明；</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1.6法律、行政法规规定的其他条件。</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1.8单位负责人为同一人或者存在直接控股、管理关系的不同供应商，不得参加同一合同项下的政府采购活动。</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2、落实政府采购政策需满足的资格要求：本项目对小型和微型企业提供的服务给予20%的扣除价格。</w:t>
      </w:r>
      <w:r/>
    </w:p>
    <w:p>
      <w:pPr>
        <w:ind w:left="0" w:right="0" w:firstLine="480"/>
        <w:spacing w:before="240" w:after="24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3、本项目的特定资格要求：无</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三、获取招标文件</w:t>
      </w:r>
      <w:r/>
    </w:p>
    <w:p>
      <w:pPr>
        <w:ind w:left="0" w:right="0" w:firstLine="480"/>
        <w:jc w:val="both"/>
        <w:spacing w:before="0" w:after="0" w:line="4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1、招标文件获取截止时间：</w:t>
      </w:r>
      <w:r>
        <w:rPr>
          <w:rFonts w:ascii="宋体" w:hAnsi="宋体" w:eastAsia="宋体" w:cs="宋体"/>
          <w:color w:val="ff0000"/>
          <w:sz w:val="24"/>
        </w:rPr>
        <w:t xml:space="preserve">2024年</w:t>
      </w:r>
      <w:r>
        <w:rPr>
          <w:rFonts w:hint="eastAsia" w:ascii="宋体" w:hAnsi="宋体" w:eastAsia="宋体" w:cs="宋体"/>
          <w:color w:val="ff0000"/>
          <w:sz w:val="24"/>
          <w:lang w:val="en-US" w:eastAsia="zh-CN"/>
        </w:rPr>
        <w:t xml:space="preserve">06</w:t>
      </w:r>
      <w:r>
        <w:rPr>
          <w:rFonts w:ascii="宋体" w:hAnsi="宋体" w:eastAsia="宋体" w:cs="宋体"/>
          <w:color w:val="ff0000"/>
          <w:sz w:val="24"/>
        </w:rPr>
        <w:t xml:space="preserve">月</w:t>
      </w:r>
      <w:r>
        <w:rPr>
          <w:rFonts w:hint="eastAsia" w:ascii="宋体" w:hAnsi="宋体" w:eastAsia="宋体" w:cs="宋体"/>
          <w:color w:val="ff0000"/>
          <w:sz w:val="24"/>
          <w:lang w:val="en-US" w:eastAsia="zh-CN"/>
        </w:rPr>
        <w:t xml:space="preserve">12</w:t>
      </w:r>
      <w:r>
        <w:rPr>
          <w:rFonts w:ascii="宋体" w:hAnsi="宋体" w:eastAsia="宋体" w:cs="宋体"/>
          <w:color w:val="ff0000"/>
          <w:sz w:val="24"/>
        </w:rPr>
        <w:t xml:space="preserve">日至2024年</w:t>
      </w:r>
      <w:r>
        <w:rPr>
          <w:rFonts w:hint="eastAsia" w:ascii="宋体" w:hAnsi="宋体" w:eastAsia="宋体" w:cs="宋体"/>
          <w:color w:val="ff0000"/>
          <w:sz w:val="24"/>
          <w:lang w:val="en-US" w:eastAsia="zh-CN"/>
        </w:rPr>
        <w:t xml:space="preserve">07</w:t>
      </w:r>
      <w:r>
        <w:rPr>
          <w:rFonts w:ascii="宋体" w:hAnsi="宋体" w:eastAsia="宋体" w:cs="宋体"/>
          <w:color w:val="ff0000"/>
          <w:sz w:val="24"/>
        </w:rPr>
        <w:t xml:space="preserve">月</w:t>
      </w:r>
      <w:r>
        <w:rPr>
          <w:rFonts w:hint="eastAsia" w:ascii="宋体" w:hAnsi="宋体" w:eastAsia="宋体" w:cs="宋体"/>
          <w:color w:val="ff0000"/>
          <w:sz w:val="24"/>
          <w:lang w:val="en-US" w:eastAsia="zh-CN"/>
        </w:rPr>
        <w:t xml:space="preserve">04</w:t>
      </w:r>
      <w:r>
        <w:rPr>
          <w:rFonts w:ascii="宋体" w:hAnsi="宋体" w:eastAsia="宋体" w:cs="宋体"/>
          <w:color w:val="ff0000"/>
          <w:sz w:val="24"/>
        </w:rPr>
        <w:t xml:space="preserve">日</w:t>
      </w:r>
      <w:r>
        <w:rPr>
          <w:rFonts w:ascii="宋体" w:hAnsi="宋体" w:eastAsia="宋体" w:cs="宋体"/>
          <w:color w:val="000000"/>
          <w:sz w:val="24"/>
        </w:rPr>
        <w:t xml:space="preserve">，每天上午00:00-12:00，下午12:00-23:59（北京时间，法定节假日除外）；</w:t>
      </w:r>
      <w:r/>
    </w:p>
    <w:p>
      <w:pPr>
        <w:ind w:left="0" w:right="0" w:firstLine="480"/>
        <w:jc w:val="both"/>
        <w:spacing w:before="0" w:after="0" w:line="45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2.地点：中国政府采购网、江苏政府采购网、盐城市政府采购网</w:t>
      </w:r>
      <w:r/>
    </w:p>
    <w:p>
      <w:pPr>
        <w:ind w:left="0" w:right="0" w:firstLine="480"/>
        <w:jc w:val="both"/>
        <w:spacing w:before="0" w:after="0" w:line="45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.方式：在“</w:t>
      </w:r>
      <w:r>
        <w:rPr>
          <w:rFonts w:hint="eastAsia" w:ascii="宋体" w:hAnsi="宋体" w:eastAsia="宋体" w:cs="宋体"/>
          <w:color w:val="000000"/>
          <w:sz w:val="24"/>
          <w:lang w:val="en-US" w:eastAsia="zh-CN"/>
        </w:rPr>
        <w:t xml:space="preserve">中国政府采购网</w:t>
      </w: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“江苏政府采购网”、“盐城市政府采购网”自行免费下载</w:t>
      </w:r>
      <w:r>
        <w:rPr>
          <w:rFonts w:hint="eastAsia" w:ascii="宋体" w:hAnsi="宋体" w:eastAsia="宋体" w:cs="宋体"/>
          <w:color w:val="000000"/>
          <w:sz w:val="24"/>
          <w:lang w:val="en-US" w:eastAsia="zh-CN"/>
        </w:rPr>
        <w:t xml:space="preserve">招标</w:t>
      </w:r>
      <w:r>
        <w:rPr>
          <w:rFonts w:hint="eastAsia" w:ascii="宋体" w:hAnsi="宋体" w:eastAsia="宋体" w:cs="宋体"/>
          <w:color w:val="000000"/>
          <w:sz w:val="24"/>
        </w:rPr>
        <w:t xml:space="preserve">文件。</w:t>
      </w:r>
      <w:r/>
    </w:p>
    <w:p>
      <w:pPr>
        <w:ind w:left="0" w:right="0" w:firstLine="480"/>
        <w:jc w:val="both"/>
        <w:spacing w:before="0" w:after="0" w:line="4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4.售价：0元</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四、提交投标文件截止时间、开标时间和地点</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ff0000"/>
          <w:sz w:val="24"/>
        </w:rPr>
        <w:t xml:space="preserve">时间：2024年</w:t>
      </w:r>
      <w:r>
        <w:rPr>
          <w:rFonts w:hint="eastAsia" w:ascii="宋体" w:hAnsi="宋体" w:eastAsia="宋体" w:cs="宋体"/>
          <w:color w:val="ff0000"/>
          <w:sz w:val="24"/>
          <w:lang w:val="en-US" w:eastAsia="zh-CN"/>
        </w:rPr>
        <w:t xml:space="preserve">7</w:t>
      </w:r>
      <w:r>
        <w:rPr>
          <w:rFonts w:ascii="宋体" w:hAnsi="宋体" w:eastAsia="宋体" w:cs="宋体"/>
          <w:color w:val="ff0000"/>
          <w:sz w:val="24"/>
        </w:rPr>
        <w:t xml:space="preserve">月</w:t>
      </w:r>
      <w:r>
        <w:rPr>
          <w:rFonts w:hint="eastAsia" w:ascii="宋体" w:hAnsi="宋体" w:eastAsia="宋体" w:cs="宋体"/>
          <w:color w:val="ff0000"/>
          <w:sz w:val="24"/>
          <w:lang w:val="en-US" w:eastAsia="zh-CN"/>
        </w:rPr>
        <w:t xml:space="preserve">5</w:t>
      </w:r>
      <w:r>
        <w:rPr>
          <w:rFonts w:ascii="宋体" w:hAnsi="宋体" w:eastAsia="宋体" w:cs="宋体"/>
          <w:color w:val="ff0000"/>
          <w:sz w:val="24"/>
        </w:rPr>
        <w:t xml:space="preserve">日</w:t>
      </w:r>
      <w:r>
        <w:rPr>
          <w:rFonts w:hint="eastAsia" w:ascii="宋体" w:hAnsi="宋体" w:eastAsia="宋体" w:cs="宋体"/>
          <w:color w:val="ff0000"/>
          <w:sz w:val="24"/>
          <w:lang w:val="en-US" w:eastAsia="zh-CN"/>
        </w:rPr>
        <w:t xml:space="preserve">15</w:t>
      </w:r>
      <w:r>
        <w:rPr>
          <w:rFonts w:ascii="宋体" w:hAnsi="宋体" w:eastAsia="宋体" w:cs="宋体"/>
          <w:color w:val="ff0000"/>
          <w:sz w:val="24"/>
        </w:rPr>
        <w:t xml:space="preserve">点00分（北京时间）</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2、地点：”苏采云”政府采购交易系统网上开标大厅。</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五、公告期限</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招标公告及招标文件公告期限为自本公告发布之日起5个工作日。</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六、其他补充事宜</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如确定参加投标，可自行下载招标文件及有关资料，按照招标文件规定进行注册、领取CA和办理电子签章（亭湖区政务服务中心二楼226窗口，联系电话：15051556883，办理邮箱：yancheng@ideabank.net.cn）。根据《“苏采云”系统供应商操作手册》规定，在“苏采云”系统http://jszfcg.jsczt.cn/jszc/login）中按要求制作、上传电子投标文件。</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投标人在使用系统进行投标的过程中如遇到涉及“苏采云”系统使用的任何问题，应在工作日上午9：00-11：30下午13：30-17：30期间致电技术支持热线咨询，联系电话：0519-86722805、0519-86617173。</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2、电子投标文件一份(通过系统提交)；纸质投标文件正本一份，副本四份（评审结束后由中标候选人邮寄至（代理公司），未中标单位不需要提供）。</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3、本次招标不收取投标保证金，不收取质量保证金。</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4.本项目公告在《中国政府采购网》、《江苏政府采购网》、《盐城市政府采购网》公示发布，敬请各供应商关注。</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本项目支持节能环保产品(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等政策。</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7、各投标人在投标截止时间前应当每天都上网查询，以便获取更新的澄清、修改、补充内容。凡涉及到该项目的补充说明和修改，均以江苏政府采购网上的更正或补充通知为准。</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8、因供应商的系统环境、操作等原因导致报名、开评标过程中出现问题由供应商自行承担负责。</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七、本次招标联系方式</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480"/>
        <w:jc w:val="both"/>
        <w:spacing w:before="0" w:after="0" w:line="4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lang w:eastAsia="zh-CN"/>
        </w:rPr>
        <w:t xml:space="preserve">响水县七套卫生院</w:t>
      </w:r>
      <w:r/>
    </w:p>
    <w:p>
      <w:pPr>
        <w:ind w:left="0" w:right="0" w:firstLine="480"/>
        <w:jc w:val="both"/>
        <w:spacing w:before="0" w:after="0" w:line="4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lang w:eastAsia="zh-CN"/>
        </w:rPr>
        <w:t xml:space="preserve">响水县七套街聚兴路228号</w:t>
      </w:r>
      <w:r/>
    </w:p>
    <w:p>
      <w:pPr>
        <w:ind w:firstLine="480"/>
        <w:pageBreakBefore w:val="0"/>
        <w:spacing w:before="79" w:after="79" w:line="420" w:lineRule="exact"/>
        <w:widowControl w:val="off"/>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联系人：</w:t>
      </w:r>
      <w:r>
        <w:rPr>
          <w:rFonts w:hint="eastAsia" w:ascii="宋体" w:hAnsi="宋体" w:eastAsia="宋体" w:cs="宋体"/>
          <w:color w:val="auto"/>
          <w:sz w:val="24"/>
          <w:lang w:val="en-US" w:eastAsia="zh-CN"/>
        </w:rPr>
        <w:t xml:space="preserve">顾先生</w:t>
      </w:r>
      <w:r/>
    </w:p>
    <w:p>
      <w:pPr>
        <w:ind w:firstLine="480"/>
        <w:pageBreakBefore w:val="0"/>
        <w:spacing w:before="79" w:after="79" w:line="420" w:lineRule="exact"/>
        <w:widowControl w:val="off"/>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联系电话：</w:t>
      </w:r>
      <w:r>
        <w:rPr>
          <w:rFonts w:hint="eastAsia" w:ascii="宋体" w:hAnsi="宋体" w:eastAsia="宋体" w:cs="宋体"/>
          <w:color w:val="auto"/>
          <w:sz w:val="24"/>
          <w:lang w:val="en-US" w:eastAsia="zh-CN"/>
        </w:rPr>
        <w:t xml:space="preserve">15358915703</w:t>
      </w:r>
      <w:r/>
    </w:p>
    <w:p>
      <w:pPr>
        <w:ind w:firstLine="480"/>
        <w:pageBreakBefore w:val="0"/>
        <w:spacing w:before="79" w:after="79" w:line="420" w:lineRule="exact"/>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ind w:firstLine="480"/>
        <w:pageBreakBefore w:val="0"/>
        <w:spacing w:before="79" w:after="79" w:line="420" w:lineRule="exact"/>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2.采购代理机构信息</w:t>
      </w:r>
      <w:r/>
    </w:p>
    <w:p>
      <w:pPr>
        <w:ind w:firstLine="480"/>
        <w:pageBreakBefore w:val="0"/>
        <w:spacing w:before="79" w:after="79" w:line="420" w:lineRule="exact"/>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单位名称：</w:t>
      </w:r>
      <w:r>
        <w:rPr>
          <w:rFonts w:hint="eastAsia" w:ascii="宋体" w:hAnsi="宋体" w:cs="宋体"/>
          <w:color w:val="auto"/>
          <w:sz w:val="24"/>
          <w:lang w:val="en-US" w:eastAsia="zh-CN"/>
        </w:rPr>
        <w:t xml:space="preserve">江苏千禾建设项目管理有限公司</w:t>
      </w:r>
      <w:r/>
    </w:p>
    <w:p>
      <w:pPr>
        <w:ind w:firstLine="480"/>
        <w:pageBreakBefore w:val="0"/>
        <w:spacing w:before="79" w:after="79" w:line="420" w:lineRule="exact"/>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单位地址：</w:t>
      </w:r>
      <w:r>
        <w:rPr>
          <w:rFonts w:hint="eastAsia" w:ascii="宋体" w:hAnsi="宋体" w:eastAsia="宋体" w:cs="宋体"/>
          <w:color w:val="auto"/>
          <w:spacing w:val="-6"/>
          <w:sz w:val="24"/>
          <w:szCs w:val="24"/>
          <w:lang w:eastAsia="zh-CN" w:bidi="ar"/>
        </w:rPr>
        <w:t xml:space="preserve">响水县长江路13号</w:t>
      </w:r>
      <w:r/>
    </w:p>
    <w:p>
      <w:pPr>
        <w:ind w:firstLine="480"/>
        <w:pageBreakBefore w:val="0"/>
        <w:spacing w:before="79" w:after="79" w:line="420" w:lineRule="exact"/>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联系人：</w:t>
      </w:r>
      <w:r>
        <w:rPr>
          <w:rFonts w:hint="eastAsia" w:ascii="宋体" w:hAnsi="宋体" w:cs="宋体"/>
          <w:color w:val="auto"/>
          <w:sz w:val="24"/>
          <w:lang w:val="en-US" w:eastAsia="zh-CN"/>
        </w:rPr>
        <w:t xml:space="preserve">杨工</w:t>
      </w:r>
      <w:r/>
    </w:p>
    <w:p>
      <w:pPr>
        <w:ind w:firstLine="480"/>
        <w:pageBreakBefore w:val="0"/>
        <w:spacing w:before="79" w:after="79" w:line="420" w:lineRule="exact"/>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联系电话：</w:t>
      </w:r>
      <w:r>
        <w:rPr>
          <w:rFonts w:hint="eastAsia" w:ascii="宋体" w:hAnsi="宋体" w:cs="宋体"/>
          <w:color w:val="auto"/>
          <w:sz w:val="24"/>
          <w:szCs w:val="24"/>
          <w:u w:val="none"/>
          <w:lang w:val="en-US" w:eastAsia="zh-CN"/>
        </w:rPr>
        <w:t xml:space="preserve">15061433452</w:t>
      </w:r>
      <w:r/>
    </w:p>
    <w:p>
      <w:pPr>
        <w:ind w:firstLine="480"/>
        <w:pageBreakBefore w:val="0"/>
        <w:spacing w:before="79" w:after="79" w:line="420" w:lineRule="exact"/>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ind w:firstLine="480"/>
        <w:pageBreakBefore w:val="0"/>
        <w:spacing w:before="79" w:after="79" w:line="420" w:lineRule="exact"/>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3.项目联系方式</w:t>
      </w:r>
      <w:r/>
    </w:p>
    <w:p>
      <w:pPr>
        <w:ind w:firstLine="480"/>
        <w:pageBreakBefore w:val="0"/>
        <w:spacing w:before="79" w:after="79" w:line="420" w:lineRule="exact"/>
        <w:widowControl w:val="off"/>
        <w:rPr>
          <w:rFonts w:hint="eastAsia" w:ascii="宋体" w:hAnsi="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项目联系人：</w:t>
      </w:r>
      <w:r>
        <w:rPr>
          <w:rFonts w:hint="eastAsia" w:ascii="宋体" w:hAnsi="宋体" w:cs="宋体"/>
          <w:color w:val="auto"/>
          <w:sz w:val="24"/>
          <w:lang w:val="en-US" w:eastAsia="zh-CN"/>
        </w:rPr>
        <w:t xml:space="preserve">杨工</w:t>
      </w:r>
      <w:r/>
    </w:p>
    <w:p>
      <w:pPr>
        <w:ind w:firstLine="480"/>
        <w:pageBreakBefore w:val="0"/>
        <w:spacing w:before="79" w:after="79" w:line="420" w:lineRule="exact"/>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联系电话：</w:t>
      </w:r>
      <w:r>
        <w:rPr>
          <w:rFonts w:hint="eastAsia" w:ascii="宋体" w:hAnsi="宋体" w:cs="宋体"/>
          <w:color w:val="auto"/>
          <w:sz w:val="24"/>
          <w:szCs w:val="24"/>
          <w:u w:val="none"/>
          <w:lang w:val="en-US" w:eastAsia="zh-CN"/>
        </w:rPr>
        <w:t xml:space="preserve">15061433452</w:t>
      </w:r>
      <w:r/>
    </w:p>
    <w:p>
      <w:pPr>
        <w:pStyle w:val="678"/>
        <w:rPr>
          <w:rFonts w:hint="eastAsia"/>
        </w:rPr>
      </w:pPr>
      <w:r>
        <w:rPr>
          <w:rFonts w:hint="eastAsia"/>
        </w:rPr>
      </w:r>
      <w:r/>
    </w:p>
    <w:p>
      <w:pPr>
        <w:ind w:left="0" w:right="0" w:firstLine="480"/>
        <w:jc w:val="center"/>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黑体" w:hAnsi="黑体" w:eastAsia="黑体" w:cs="黑体"/>
          <w:b/>
          <w:color w:val="000000"/>
          <w:sz w:val="44"/>
        </w:rPr>
        <w:t xml:space="preserve">第二章投标人须知</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一、总则</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1、招标方式</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2、合格的投标人</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2.2满足本文件实质性要求和条件的规定。</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3、适用法律</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4、投标费用</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4.1投标人应自行承担所有与参加投标有关的费用，无论投标过程中的做法和结果如何，采购人或采购代理机构在任何情况下均无义务和责任承担这些费用。</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4.2代理机构将苏招协【2022】02号文向中标人收取服务费用，由中标供应商在领取中标通知书前一次性支付。</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5、招标文件的约束力</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二、招标文件</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6、招标文件构成</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6.1招标文件由以下部分组成：</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（1）招标公告</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请仔细检查招标文件是否齐全，如有缺漏请立即与采购人或采购代理机构联系解决。</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7、招标文件的澄清</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7.1任何要求对招标文件进行澄清的投标人，应在投标截止期十日前按招标公告中的通讯地址，以书面形式通知采购人或采购代理机构。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8、招标文件的修改</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8.1在投标截止时间前，采购人或采购代理机构可以对招标文件进行修改。</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8.2采购人或采购代理机构有权按照法定的要求推迟投标截止日期和开标日期。</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8.3招标文件的修改将在江苏政府采购网公布，补充文件将作为招标文件的组成部分，并对投标人具有约束力。</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三、投标文件的编制</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9、投标文件的语言及度量衡单位</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9.1投标人提交的投标文件以及投标人与采购人或采购代理机构就有关投标的所有来往通知、函件和文件均应使用简体中文。</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9.2除技术性能另有规定外，投标文件所使用的度量衡单位，均须采用国家法定计量单位。</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10、投标文件构成</w:t>
      </w:r>
      <w:r/>
    </w:p>
    <w:p>
      <w:pPr>
        <w:ind w:left="0" w:right="0" w:firstLine="480"/>
        <w:jc w:val="both"/>
        <w:spacing w:before="0" w:after="0" w:line="460" w:lineRule="atLeast"/>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10.1投标人编写的投标文件应包括资格证明文件、符合性证明文件、投标分项报价表、技术要求响应及偏离表、商务要求响应及偏离表、供应商认为需要提供的其他材料、投标函、开标一览表等部分。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11、证明投标人及投标标的符合招标文件规定的文件</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11.1投标人应按照招标文件要求提交证明文件，证明其及投标标的符合招标文件规定。</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11.2招标文件对证明文件无明确形式要求的，证明文件可以以文字资料、图纸和数据等形式提交。</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12、投标分项报价表</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12.1投标人应按照招标文件规定格式填报投标分项报价表。</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13、技术要求响应及偏离表、商务要求响应及偏离表</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13.1投标人需对招标文件中的技术要求与商务要求逐项作出响应或偏离，并说明原因。</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13.2投标人可在投标文件中提供认为需要的其他技术文件或说明。</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14、投标函和开标一览表</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15、投标有效期</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15.1投标有效期为开标之日后</w:t>
      </w:r>
      <w:r>
        <w:rPr>
          <w:rFonts w:ascii="宋体" w:hAnsi="宋体" w:eastAsia="宋体" w:cs="宋体"/>
          <w:color w:val="000000"/>
          <w:sz w:val="24"/>
          <w:u w:val="single"/>
        </w:rPr>
        <w:t xml:space="preserve"> 六十（60）</w:t>
      </w:r>
      <w:r>
        <w:rPr>
          <w:rFonts w:ascii="宋体" w:hAnsi="宋体" w:eastAsia="宋体" w:cs="宋体"/>
          <w:color w:val="000000"/>
          <w:sz w:val="24"/>
        </w:rPr>
        <w:t xml:space="preserve">天。投标有效期比规定短的将被视为未实质性响应招标文件而予以拒绝。</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16、投标有效期的延长</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四、投标文件的递交</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17、电子投标文件的递交</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17.1投标人应当按照《操作手册》规定，在投标截止时间前制作并上传电子投标文件。</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w:t>
      </w:r>
      <w:r>
        <w:rPr>
          <w:rFonts w:ascii="宋体" w:hAnsi="宋体" w:eastAsia="宋体" w:cs="宋体"/>
          <w:b/>
          <w:color w:val="000000"/>
          <w:sz w:val="24"/>
        </w:rPr>
        <w:t xml:space="preserve">中标人在领取中标通知书之前，必须提供五份与电子投标文件一致的纸质打印投标文件并且加盖投标人公章。</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18、投标截止日期</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18.1 投标人上传电子投标文件的时间不得迟于招标公告中规定的投标截止时间。</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18.2采购人可以按照规定，通过修改招标文件酌情延长投标截止日期，在此情况下，投标人的所有权利和义务以及投标人受制的截止日期均应以延长后新的截止日期为准。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19、投标文件的拒收</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采购人拒绝接收在其规定的投标截止时间后上传的任何投标文件。</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20、投标文件的撤回和修改</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 投标文件的修改</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五、开标与评标</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21、开标</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21.1采购人或采购代理机构将在招标公告中规定的时间和地点组织公开开标。投标人应当按照《操作手册》规定，参加开标活动和在苏采云系统规定的时间内对投标文件进行解密。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21.2开标仪式由采购人组织。苏采云系统将自动对项目进行开标，并宣布各投标人名称和投标价格。</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22、评标委员会</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22.1开标后，采购人将立即组织评标委员会（以下简称评委会）进行评标。</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22.2评委会由采购人代表和有关技术、经济等方面的专家组成，且人员构成符合政府采购有关规定。</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23、评标过程的保密与公正</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23.1凡是与审查、澄清、评价和比较投标的有关资料以及授标建议等，采购人、评委、采购代理机构均不得向投标人或与评标无关的其他人员透露。</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23.3采购人、采购代理机构和评标委员会不向未中标的投标人解释未中标原因，也不公布评标过程中的相关细节。</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24、投标文件的澄清</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24.3接到评委会澄清、说明和补正要求的投标人如未按规定做出澄清、说明和补正，其风险由投标人自行承担。</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25、对投标文件的初审</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25.1.1资格审查：依据法律法规和招标文件的规定，由采购人或采购代理机构对投标文件中的资格证明文件进行审查。资格审查的结论，采购人以书面形式向评委会进行反馈。</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采购人或采购代理机构在进行资格性审查的同时，将在“信用中国”网站（www.creditchina.gov.cn）查询投标人的信用记录，以确定投标人是否具备投标资格,查询结果留存并归档。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25.4评委会将对确定为实质性响应的投标进行进一步审核，看其是否有计算上或累加上的算术错误，修正错误的原则如下：</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25.6投标人在开、评标全过程中应保持通讯畅通，及时登录苏采云系统查阅、答复相关信息，并安排专人与采购代理机构及评标委员会联系。</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26、无效投标条款和废标条款</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26.1.3同一投标人提交两个（含两个）以上不同的投标报价的。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26.1.7不符合招标文件中规定的实质性要求和条件的。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26.1.9投标文件含有采购人不能接受的附加条件的。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26.1.11投标文件未按照招标文件要求加盖CA电子公章的。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26.1.12其他法律、法规及本招标文件规定的属无效投标的情形。</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479"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26.2.1符合专业条件的供应商或者对招标文件作实质响应的供应商不足三家的。26.2.2出现影响采购公正的违法、违规行为的。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26.2.4评标委员会认定招标文件存在歧义、重大缺陷导致评审工作无法进行。</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六、定标</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27、确定中标单位</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w:t>
      </w:r>
      <w:r>
        <w:rPr>
          <w:rFonts w:ascii="宋体" w:hAnsi="宋体" w:eastAsia="宋体" w:cs="宋体"/>
          <w:color w:val="ff0000"/>
          <w:sz w:val="24"/>
        </w:rPr>
        <w:t xml:space="preserve">中标候选人的选取原则和数量见招标文件第五章规定</w:t>
      </w:r>
      <w:r>
        <w:rPr>
          <w:rFonts w:ascii="宋体" w:hAnsi="宋体" w:eastAsia="宋体" w:cs="宋体"/>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27.2采购人应根据评委会推荐的中标候选人确定中标人。</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27.3采购人或采购代理机构将在“中国政府采购网”、“江苏政府采购网”、“盐城市政府采购网”发布中标公告，公告期限为1个工作日。</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 若有充分证据证明，中标人出现下列情况之一的，一经查实，将被取消中标资格：</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27.4.2向采购人、采购中心行贿或者提供其他不正当利益的。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27.5.有下列情形之一的，视为投标人串通投标，投标无效：</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27.5.2不同投标人委托同一单位或者个人办理投标事宜；</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不同投标人的投标文件载明的项目管理成员或者联系人员为同一人；</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28、质疑处理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参加投标供应商认为采购文件、采购过程和中标结果使自己的权益受到损害的，可以在知道或应知其权益受到损害之日起七个工作日内，以书面形式向采购代理机构或采购人提出质疑。上述应知其权益受到损害之日，是指：</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28.2.1对可以质疑的招标文件提出质疑的，为收到招标文件之日或者招标文件公告期限届满之日；</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28.2.3对中标结果提出质疑的，为中标结果公告期限届满之日。</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28.3质疑必须按《政府采购法》、《政府采购法实施条例》及《江苏省政府采购供应商监督管理暂行办法》的相关规定提交，未按上述要求提交的质疑函（含传真、电子邮件等）采购代理机构有权不予受理。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28.4未参加投标活动的供应商或在投标活动中自身权益未受到损害的供应商所提出的质疑不予受理。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28.5质疑函应当包括下列内容：</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28.5.1质疑投标人的名称、地址、邮编、联系人、联系电话；</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28.5.2具体的质疑事项及明确的请求；</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28.5.3认为自己合法权益受到损害或可能受到损害的相关证据材料；</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28.5.4提起质疑的日期；</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质疑函应当署名：质疑人为自然人的，应当由本人签字并附有效身份证明；质疑人为法人或其他组织的，应当由法定代表人签字并加盖单位公章。未按要求签字和盖章的为无效质疑，采购代理机构将不予受理。)质疑人委托代理质疑的，应当向采购代理机构提交授权委托书，并载明委托代理的具体权限和事项。</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28.6采购代理机构收到质疑函后，将对质疑的形式和内容进行审查，如质疑函内容、格式不符合规定，采购代理机构将告知质疑人进行补正。</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28.7质疑人应当在法定质疑期限内进行补正并重新提交质疑函，拒不补正或者在法定期限内未重新提交质疑函的，为无效质疑，采购代理机构将不予受理。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28.8对于内容、格式符合规定的质疑函，采购代理机构应当在收到投标供应商的书面质疑后七个工作日内作出答复，并以书面形式通知质疑供应商和其他有关供应商，但答复的内容不得涉及商业秘密。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28.9供应商提出书面质疑必须有理、有据，不得恶意质疑或提交虚假质疑。否则，一经查实，采购代理机构有权依据政府采购的有关规定，报请政府采购监管部门对该供应商进行相应的行政处罚和记录该供应商的失信信息。</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28.10以下情形的质疑不予受理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28.10.1内容不符合《政府采购质疑和投诉办法》第十二条规定的质疑。</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28.10.2超出政府采购法定期限的质疑。</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28.10.3未参加投标活动的供应商或在投标活动中自身权益未受到损害的供应商所提出的质疑。</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29、中标通知书</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七、授予合同</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30、 签订合同</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30.l中标人应当在中标通知书发出之日起30日内，按照招标文件确定的事项与采购人签订政府采购合同。</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30.2招标文件、中标人的投标文件及招标过程中有关澄清、承诺文件均应作为合同附件。</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w:t>
      </w:r>
      <w:r>
        <w:rPr>
          <w:rFonts w:ascii="宋体" w:hAnsi="宋体" w:eastAsia="宋体" w:cs="宋体"/>
          <w:color w:val="000000"/>
          <w:sz w:val="24"/>
          <w:u w:val="single"/>
        </w:rPr>
        <w:t xml:space="preserve">中标人不得将合同标的进行转包。</w:t>
      </w:r>
      <w:r>
        <w:rPr>
          <w:rFonts w:ascii="宋体" w:hAnsi="宋体" w:eastAsia="宋体" w:cs="宋体"/>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31、服务（包含与服务相关的货物）的追加</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32、政府采购履约资金扶持政策</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第三章合同文本</w:t>
      </w:r>
      <w:r/>
    </w:p>
    <w:p>
      <w:pPr>
        <w:ind w:left="0" w:right="0" w:firstLine="72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采购合同（货物）</w:t>
      </w:r>
      <w:r/>
    </w:p>
    <w:p>
      <w:pPr>
        <w:ind w:left="0" w:right="0" w:firstLine="0"/>
        <w:jc w:val="both"/>
        <w:spacing w:before="120" w:after="12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eastAsia="宋体" w:cs="宋体"/>
          <w:color w:val="000000"/>
          <w:sz w:val="24"/>
          <w:lang w:eastAsia="zh-CN"/>
        </w:rPr>
        <w:t xml:space="preserve">七套卫生院信息化系统</w:t>
      </w:r>
      <w:r/>
    </w:p>
    <w:p>
      <w:pPr>
        <w:ind w:left="0" w:right="0" w:firstLine="0"/>
        <w:jc w:val="both"/>
        <w:spacing w:before="120" w:after="12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项目编号：JSZC-320921-QHGS-G2024-0004</w:t>
      </w:r>
      <w:r>
        <w:rPr>
          <w:rFonts w:hint="eastAsia" w:ascii="宋体" w:hAnsi="宋体" w:eastAsia="宋体" w:cs="宋体"/>
          <w:color w:val="000000"/>
          <w:sz w:val="24"/>
          <w:lang w:eastAsia="zh-CN"/>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w:t>
      </w:r>
      <w:r>
        <w:rPr>
          <w:rFonts w:ascii="宋体" w:hAnsi="宋体" w:eastAsia="宋体" w:cs="宋体"/>
          <w:color w:val="000000"/>
          <w:sz w:val="24"/>
          <w:u w:val="single"/>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w:t>
      </w:r>
      <w:r>
        <w:rPr>
          <w:rFonts w:ascii="宋体" w:hAnsi="宋体" w:eastAsia="宋体" w:cs="宋体"/>
          <w:color w:val="000000"/>
          <w:sz w:val="24"/>
          <w:u w:val="single"/>
        </w:rPr>
        <w:t xml:space="preserve">                        </w:t>
      </w:r>
      <w:r/>
    </w:p>
    <w:p>
      <w:pPr>
        <w:ind w:left="560" w:right="0" w:firstLine="560"/>
        <w:jc w:val="both"/>
        <w:spacing w:before="20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根据《中华人民共和国民法典（合同编）》、《中华人民共和国政府采购法》等法律法规的规定以及</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项目采购结果，甲乙双方遵循平等、自愿、公平、诚实信用的原则，就</w:t>
      </w:r>
      <w:r>
        <w:rPr>
          <w:rFonts w:ascii="宋体" w:hAnsi="宋体" w:eastAsia="宋体" w:cs="宋体"/>
          <w:color w:val="000000"/>
          <w:sz w:val="24"/>
          <w:u w:val="single"/>
        </w:rPr>
        <w:t xml:space="preserve">                       </w:t>
      </w:r>
      <w:r>
        <w:rPr>
          <w:rFonts w:ascii="宋体" w:hAnsi="宋体" w:eastAsia="宋体" w:cs="宋体"/>
          <w:color w:val="000000"/>
          <w:sz w:val="24"/>
        </w:rPr>
        <w:t xml:space="preserve">项目事宜经双方协商一致，订立本合同。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一、产品内容</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产品名称：</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型号规格：</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数量（单位）：</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质量要求:</w:t>
      </w:r>
      <w:r/>
    </w:p>
    <w:p>
      <w:pPr>
        <w:ind w:left="0" w:right="0" w:firstLine="0"/>
        <w:jc w:val="both"/>
        <w:spacing w:before="120" w:after="12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357" w:right="0" w:firstLine="6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2.1本合同金额为（大写）：_________________________________圆</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（￥_______________元）人民币。</w:t>
      </w:r>
      <w:r/>
    </w:p>
    <w:p>
      <w:pPr>
        <w:ind w:left="364" w:right="0" w:hanging="7"/>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2.2本合同金额包括但不限于：货物本身、场所改造、安装调试、运输、培训、人</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工、服务、税金、相关辅助设施以及交付使用过程中涉及到的其他一切费用。</w:t>
      </w:r>
      <w:r/>
    </w:p>
    <w:p>
      <w:pPr>
        <w:ind w:left="0" w:right="0" w:firstLine="0"/>
        <w:jc w:val="both"/>
        <w:spacing w:before="120" w:after="12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364" w:right="0" w:hanging="7"/>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3.1乙方应按采购文件规定的时间向甲方提供货物的有关技术资料。</w:t>
      </w:r>
      <w:r/>
    </w:p>
    <w:p>
      <w:pPr>
        <w:ind w:left="364" w:right="0" w:hanging="7"/>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3.2没有甲方事先书面同意，乙方不得将由甲方提供的有关合同或任何合同条文、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规格、计划、图纸、样品或资料提供给与履行本合同无关的任何其他人。即使向履行本合同有关的人员提供，也应注意保密并限于履行合同的必需范围。</w:t>
      </w:r>
      <w:r/>
    </w:p>
    <w:p>
      <w:pPr>
        <w:ind w:left="0" w:right="0" w:firstLine="0"/>
        <w:jc w:val="both"/>
        <w:spacing w:before="120" w:after="12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364" w:right="0" w:hanging="7"/>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4.1乙方应保证甲方在使用、接受本合同货物和服务或其任何一部分时不受第三</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方提出侵犯其专利权、版权、商标权和工业设计权等知识产权的起诉。一旦出现侵权，由乙方负全部责任。</w:t>
      </w:r>
      <w:r/>
    </w:p>
    <w:p>
      <w:pPr>
        <w:ind w:left="0" w:right="0" w:firstLine="0"/>
        <w:jc w:val="both"/>
        <w:spacing w:before="120" w:after="12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364" w:right="0" w:hanging="7"/>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5.1乙方保证所交付的货物的所有权完全属于乙方且无任何抵押、查封等产权瑕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疵。</w:t>
      </w:r>
      <w:r/>
    </w:p>
    <w:p>
      <w:pPr>
        <w:ind w:left="0" w:right="0" w:firstLine="0"/>
        <w:jc w:val="both"/>
        <w:spacing w:before="120" w:after="12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6.1乙方交纳合同金额的10％，即人民币_________元作为本合同的履约保证金。</w:t>
      </w:r>
      <w:r/>
    </w:p>
    <w:p>
      <w:pPr>
        <w:ind w:left="210" w:right="0" w:firstLine="24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6.3履约保证金的退还：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6.3.1方式：退还至投标人缴纳履约保证金的账户。如为保函，在到期时自行失效。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6.3.2时间：验收合格且采购人收到发票后</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0日内。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6.3.3条件：按合同要求全部履约完成并经采购人验收合格，且采购人收到中标人出具的发票。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6.3.4不予退还情形：除不可抗力情况外，投标人出现下列情形之一的，其履约保证金，招标人将视情节决定不予退还或部分不予退还。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（1）中标人无正当理由拒绝签订合同的，或者在签订合同时向采购人提出附加条件或者更改合同实质性内容要求的；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（2）中标人不履行与采购人订立的合同的；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（3）中标人所供货物或服务不符合招标文件规定要求的；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（4）中标人采取欺骗、弄虚作假方式投标的或与其它投标人串通投标的；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（5）中标人将合同内容转包、违法分包的；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（6）中标人故意捏造事实或伪造证明材料，进行虚假恶意投诉或反映的。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6.3.5逾期退还的违约责任：采购人逾期无故未退还履约保证金的，按中国人民银行同期贷款基准利率上浮20%后的利率支付超期资金占用费，但因供应商自身原因导致无法及时退还的除外。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rPr>
          <w:rFonts w:ascii="宋体" w:hAnsi="宋体" w:eastAsia="宋体" w:cs="宋体"/>
          <w:b/>
          <w:color w:val="000000"/>
          <w:sz w:val="24"/>
        </w:rPr>
        <w:t xml:space="preserve">七、转包</w:t>
      </w:r>
      <w:r/>
    </w:p>
    <w:p>
      <w:pPr>
        <w:ind w:left="364" w:right="0" w:hanging="7"/>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7.1本合同范围的货物，应由乙方直接供应，不得转让他人供应。</w:t>
      </w:r>
      <w:r/>
    </w:p>
    <w:p>
      <w:pPr>
        <w:ind w:right="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八、质保期</w:t>
      </w:r>
      <w:r/>
    </w:p>
    <w:p>
      <w:pPr>
        <w:ind w:left="364" w:right="0" w:hanging="7"/>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8.1质保期</w:t>
      </w:r>
      <w:r>
        <w:rPr>
          <w:rFonts w:ascii="宋体" w:hAnsi="宋体" w:eastAsia="宋体" w:cs="宋体"/>
          <w:color w:val="000000"/>
          <w:sz w:val="24"/>
          <w:u w:val="single"/>
        </w:rPr>
        <w:t xml:space="preserve">按招投标文件要求</w:t>
      </w:r>
      <w:r>
        <w:rPr>
          <w:rFonts w:ascii="宋体" w:hAnsi="宋体" w:eastAsia="宋体" w:cs="宋体"/>
          <w:color w:val="000000"/>
          <w:sz w:val="24"/>
        </w:rPr>
        <w:t xml:space="preserve">。（自交货验收合格之日起计）</w:t>
      </w:r>
      <w:r/>
    </w:p>
    <w:p>
      <w:pPr>
        <w:ind w:left="0" w:right="0" w:firstLine="0"/>
        <w:jc w:val="both"/>
        <w:spacing w:before="120" w:after="12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九、交货期、交货方式及交货地点</w:t>
      </w:r>
      <w:r/>
    </w:p>
    <w:p>
      <w:pPr>
        <w:ind w:left="0" w:right="0" w:firstLine="240"/>
        <w:jc w:val="both"/>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9.1交货期：签订合同后</w:t>
      </w:r>
      <w:r>
        <w:rPr>
          <w:rFonts w:ascii="宋体" w:hAnsi="宋体" w:eastAsia="宋体" w:cs="宋体"/>
          <w:color w:val="000000"/>
          <w:sz w:val="24"/>
          <w:u w:val="single"/>
        </w:rPr>
        <w:t xml:space="preserve">30</w:t>
      </w:r>
      <w:r>
        <w:rPr>
          <w:rFonts w:ascii="宋体" w:hAnsi="宋体" w:eastAsia="宋体" w:cs="宋体"/>
          <w:color w:val="000000"/>
          <w:sz w:val="24"/>
        </w:rPr>
        <w:t xml:space="preserve">内完成供货、安装、调试（如是甲方原因可延期） </w:t>
      </w:r>
      <w:r/>
    </w:p>
    <w:p>
      <w:pPr>
        <w:ind w:left="0" w:right="0" w:firstLine="240"/>
        <w:jc w:val="both"/>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9.2交货方式：</w:t>
      </w:r>
      <w:r>
        <w:rPr>
          <w:rFonts w:ascii="宋体" w:hAnsi="宋体" w:eastAsia="宋体" w:cs="宋体"/>
          <w:color w:val="000000"/>
          <w:sz w:val="24"/>
          <w:u w:val="single"/>
        </w:rPr>
        <w:t xml:space="preserve">现场清点</w:t>
      </w:r>
      <w:r/>
    </w:p>
    <w:p>
      <w:pPr>
        <w:ind w:left="0" w:right="0" w:firstLine="240"/>
        <w:jc w:val="both"/>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9.3交货地点：</w:t>
      </w:r>
      <w:r>
        <w:rPr>
          <w:rFonts w:ascii="宋体" w:hAnsi="宋体" w:eastAsia="宋体" w:cs="宋体"/>
          <w:color w:val="000000"/>
          <w:sz w:val="24"/>
          <w:u w:val="single"/>
        </w:rPr>
        <w:t xml:space="preserve">采购人指定地点</w:t>
      </w:r>
      <w:r/>
    </w:p>
    <w:p>
      <w:pPr>
        <w:ind w:left="0" w:right="0" w:firstLine="0"/>
        <w:jc w:val="both"/>
        <w:spacing w:before="120" w:after="12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十、货款支付</w:t>
      </w:r>
      <w:r/>
    </w:p>
    <w:p>
      <w:pPr>
        <w:ind w:left="0" w:right="0" w:firstLine="0"/>
        <w:spacing w:before="0" w:after="0" w:line="85" w:lineRule="atLeast"/>
        <w:shd w:val="clear" w:color="ffffff" w:fill="ffffff"/>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10.1付款方式： </w:t>
      </w:r>
      <w:r>
        <w:rPr>
          <w:rFonts w:ascii="宋体" w:hAnsi="宋体" w:eastAsia="宋体" w:cs="宋体"/>
          <w:color w:val="ff0000"/>
          <w:sz w:val="24"/>
          <w:u w:val="single"/>
        </w:rPr>
        <w:t xml:space="preserve">合同签订后</w:t>
      </w:r>
      <w:r>
        <w:rPr>
          <w:rFonts w:ascii="Times New Roman" w:hAnsi="Times New Roman" w:eastAsia="Times New Roman" w:cs="Times New Roman"/>
          <w:color w:val="ff0000"/>
          <w:sz w:val="24"/>
          <w:u w:val="single"/>
        </w:rPr>
        <w:t xml:space="preserve">7</w:t>
      </w:r>
      <w:r>
        <w:rPr>
          <w:rFonts w:ascii="宋体" w:hAnsi="宋体" w:eastAsia="宋体" w:cs="宋体"/>
          <w:color w:val="ff0000"/>
          <w:sz w:val="24"/>
          <w:u w:val="single"/>
        </w:rPr>
        <w:t xml:space="preserve">日内支付合同总价的</w:t>
      </w:r>
      <w:r>
        <w:rPr>
          <w:rFonts w:ascii="Times New Roman" w:hAnsi="Times New Roman" w:eastAsia="Times New Roman" w:cs="Times New Roman"/>
          <w:color w:val="ff0000"/>
          <w:sz w:val="24"/>
          <w:u w:val="single"/>
        </w:rPr>
        <w:t xml:space="preserve">30%</w:t>
      </w:r>
      <w:r>
        <w:rPr>
          <w:rFonts w:ascii="宋体" w:hAnsi="宋体" w:eastAsia="宋体" w:cs="宋体"/>
          <w:color w:val="ff0000"/>
          <w:sz w:val="24"/>
          <w:u w:val="single"/>
        </w:rPr>
        <w:t xml:space="preserve">作为预付款；中标人按要求将设备送到指定地点完成安装调试并经采购人验收全部合格后</w:t>
      </w:r>
      <w:r>
        <w:rPr>
          <w:rFonts w:hint="eastAsia" w:ascii="宋体" w:hAnsi="宋体" w:eastAsia="宋体" w:cs="宋体"/>
          <w:color w:val="ff0000"/>
          <w:sz w:val="24"/>
          <w:u w:val="single"/>
          <w:lang w:val="en-US" w:eastAsia="zh-CN"/>
        </w:rPr>
        <w:t xml:space="preserve">付至合同总价的90%，余款在质保满一年后结清</w:t>
      </w:r>
      <w:r>
        <w:rPr>
          <w:rFonts w:ascii="宋体" w:hAnsi="宋体" w:eastAsia="宋体" w:cs="宋体"/>
          <w:color w:val="ff0000"/>
          <w:sz w:val="24"/>
          <w:u w:val="single"/>
        </w:rPr>
        <w:t xml:space="preserve">。</w:t>
      </w:r>
      <w:r/>
    </w:p>
    <w:p>
      <w:pPr>
        <w:ind w:left="0" w:right="0" w:firstLine="0"/>
        <w:jc w:val="both"/>
        <w:spacing w:before="120" w:after="12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十一.税费</w:t>
      </w:r>
      <w:r/>
    </w:p>
    <w:p>
      <w:pPr>
        <w:ind w:left="484" w:right="0" w:hanging="127"/>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11.1本合同执行中相关的一切税费均由乙方负担。</w:t>
      </w:r>
      <w:r/>
    </w:p>
    <w:p>
      <w:pPr>
        <w:ind w:left="0" w:right="0" w:firstLine="0"/>
        <w:jc w:val="both"/>
        <w:spacing w:before="120" w:after="12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十二、质量保证及售后服务</w:t>
      </w:r>
      <w:r/>
    </w:p>
    <w:p>
      <w:pPr>
        <w:ind w:left="484" w:right="0" w:hanging="127"/>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12.1乙方应按采购文件规定的货物性能、技术要求、质量标准向甲方提供未经使</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用的全新产品。</w:t>
      </w:r>
      <w:r/>
    </w:p>
    <w:p>
      <w:pPr>
        <w:ind w:left="484" w:right="0" w:hanging="127"/>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12.2乙方提供的货物在质保期内因货物本身的质量问题发生故障，乙方应负责免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费更换。对达不到技术要求者，根据实际情况，经双方协商，可按以下办法处理：                           </w:t>
      </w:r>
      <w:r/>
    </w:p>
    <w:p>
      <w:pPr>
        <w:ind w:left="612" w:right="0" w:hanging="612"/>
        <w:jc w:val="both"/>
        <w:spacing w:before="120" w:after="120" w:line="2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 退货处理：乙方应退还甲方支付的合同款，同时承担该货物的直接费用（运输、保险、</w:t>
      </w:r>
      <w:r>
        <w:rPr>
          <w:rFonts w:hint="eastAsia" w:ascii="宋体" w:hAnsi="宋体" w:eastAsia="宋体" w:cs="宋体"/>
          <w:color w:val="000000"/>
          <w:sz w:val="24"/>
          <w:lang w:eastAsia="zh-CN"/>
        </w:rPr>
        <w:t xml:space="preserve">检测</w:t>
      </w:r>
      <w:r>
        <w:rPr>
          <w:rFonts w:ascii="宋体" w:hAnsi="宋体" w:eastAsia="宋体" w:cs="宋体"/>
          <w:color w:val="000000"/>
          <w:sz w:val="24"/>
        </w:rPr>
        <w:t xml:space="preserve">、货款利息及银行手续费等）。</w:t>
      </w:r>
      <w:r/>
    </w:p>
    <w:p>
      <w:pPr>
        <w:pStyle w:val="678"/>
        <w:ind w:left="0" w:firstLine="0"/>
        <w:rPr>
          <w:rFonts w:hint="default" w:eastAsia="宋体"/>
          <w:lang w:val="en-US" w:eastAsia="zh-CN"/>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更换：由乙方承担所有发生的全部费。</w:t>
      </w:r>
      <w:r/>
    </w:p>
    <w:p>
      <w:pPr>
        <w:ind w:left="484" w:right="0" w:hanging="127"/>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12.3如在使用过程中发生质量问题，乙方在接到甲方通知后在</w:t>
      </w:r>
      <w:r>
        <w:rPr>
          <w:rFonts w:ascii="宋体" w:hAnsi="宋体" w:eastAsia="宋体" w:cs="宋体"/>
          <w:color w:val="000000"/>
          <w:sz w:val="24"/>
          <w:u w:val="single"/>
        </w:rPr>
        <w:t xml:space="preserve">24</w:t>
      </w:r>
      <w:r>
        <w:rPr>
          <w:rFonts w:ascii="宋体" w:hAnsi="宋体" w:eastAsia="宋体" w:cs="宋体"/>
          <w:color w:val="000000"/>
          <w:sz w:val="24"/>
        </w:rPr>
        <w:t xml:space="preserve">小时内到达</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甲方现场，并在48小时内解决质量及故障问题。</w:t>
      </w:r>
      <w:r/>
    </w:p>
    <w:p>
      <w:pPr>
        <w:ind w:left="484" w:right="0" w:hanging="127"/>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12.4在质保期内，乙方应对货物出现的质量及安全问题负责处理解决并承担所产生的一切费用。</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12.5上述的货物免费保修期为</w:t>
      </w:r>
      <w:r>
        <w:rPr>
          <w:rFonts w:ascii="宋体" w:hAnsi="宋体" w:eastAsia="宋体" w:cs="宋体"/>
          <w:color w:val="000000"/>
          <w:sz w:val="24"/>
          <w:u w:val="single"/>
        </w:rPr>
        <w:t xml:space="preserve">根据招投标文件要求</w:t>
      </w:r>
      <w:r>
        <w:rPr>
          <w:rFonts w:ascii="宋体" w:hAnsi="宋体" w:eastAsia="宋体" w:cs="宋体"/>
          <w:color w:val="000000"/>
          <w:sz w:val="24"/>
        </w:rPr>
        <w:t xml:space="preserve">，因人为因素出现的故障不在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免费保修范围内。超过免费质量保修期的货物，乙方应提供终生维修（除甲方不再要求继续维修外），维修时只收部件成本费。</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12.6乙方需与甲方相关系统做好接口对接工作，并承担因此产生的所有费用。其他系统需要接入的，乙方应当无条件配合，不得收取任何费用。</w:t>
      </w:r>
      <w:r/>
    </w:p>
    <w:p>
      <w:pPr>
        <w:ind w:left="0" w:right="0" w:firstLine="480"/>
        <w:jc w:val="both"/>
        <w:spacing w:before="20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12.7售后服务：乙方须按招标文件要求和投标文件的承诺执行。</w:t>
      </w:r>
      <w:r/>
    </w:p>
    <w:p>
      <w:pPr>
        <w:ind w:left="0" w:right="0" w:firstLine="0"/>
        <w:jc w:val="both"/>
        <w:spacing w:before="120" w:after="12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十三、货物验收</w:t>
      </w:r>
      <w:r/>
    </w:p>
    <w:p>
      <w:pPr>
        <w:ind w:left="498" w:right="0" w:hanging="1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13.1甲方对乙方提供的货物依据采购文件上的技术规格要求和国家有关质量标</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准进行验收，不满足要求或标准的不予验收。</w:t>
      </w:r>
      <w:r/>
    </w:p>
    <w:p>
      <w:pPr>
        <w:ind w:left="498" w:right="0" w:hanging="1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13.2乙方交货前应对货物作出全面检查和对验收文件进行整理，并列出清单，作</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为甲方收货验收和使用的技术依据，清单应随货物交付甲方。</w:t>
      </w:r>
      <w:r/>
    </w:p>
    <w:p>
      <w:pPr>
        <w:ind w:left="498" w:right="0" w:hanging="1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13.3对技术复杂的货物，甲方可请具有资质的专业检测机构参与验收与检测，并</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由其出具质量检测报告，费用由乙方承担。</w:t>
      </w:r>
      <w:r/>
    </w:p>
    <w:p>
      <w:pPr>
        <w:ind w:left="0" w:right="0" w:firstLine="0"/>
        <w:jc w:val="both"/>
        <w:spacing w:before="120" w:after="12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十四、货物包装、发运及运输</w:t>
      </w:r>
      <w:r/>
    </w:p>
    <w:p>
      <w:pPr>
        <w:ind w:left="498" w:right="0" w:hanging="1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14.1乙方应在货物发运前对其进行满足运输距离、防潮、防震、防锈和防破损装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卸等要求包装，以保证货物安全运达甲方指定地点。</w:t>
      </w:r>
      <w:r/>
    </w:p>
    <w:p>
      <w:pPr>
        <w:ind w:left="498" w:right="0" w:hanging="1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14.2使用说明书、质量</w:t>
      </w:r>
      <w:r>
        <w:rPr>
          <w:rFonts w:hint="eastAsia" w:ascii="宋体" w:hAnsi="宋体" w:eastAsia="宋体" w:cs="宋体"/>
          <w:color w:val="000000"/>
          <w:sz w:val="24"/>
          <w:lang w:eastAsia="zh-CN"/>
        </w:rPr>
        <w:t xml:space="preserve">检测</w:t>
      </w:r>
      <w:r>
        <w:rPr>
          <w:rFonts w:ascii="宋体" w:hAnsi="宋体" w:eastAsia="宋体" w:cs="宋体"/>
          <w:color w:val="000000"/>
          <w:sz w:val="24"/>
        </w:rPr>
        <w:t xml:space="preserve">证明书、随配附件和工具以及清单一并附于货物内。</w:t>
      </w:r>
      <w:r/>
    </w:p>
    <w:p>
      <w:pPr>
        <w:ind w:left="498" w:right="0" w:hanging="1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14.3乙方在货物发运手续办理完毕后24小时内或货到甲方48小时前通知甲方，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以准备接货。</w:t>
      </w:r>
      <w:r/>
    </w:p>
    <w:p>
      <w:pPr>
        <w:ind w:left="498" w:right="0" w:hanging="1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14.4货物在验收合格交付甲方前所发生的所有风险由乙方承担。</w:t>
      </w:r>
      <w:r/>
    </w:p>
    <w:p>
      <w:pPr>
        <w:ind w:left="0" w:right="0" w:firstLine="0"/>
        <w:jc w:val="both"/>
        <w:spacing w:before="120" w:after="12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十五、违约责任</w:t>
      </w:r>
      <w:r/>
    </w:p>
    <w:p>
      <w:pPr>
        <w:ind w:left="498" w:right="0" w:hanging="1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15.1货物逾期交付的，乙方应按货物中标金额每日历天</w:t>
      </w:r>
      <w:r>
        <w:rPr>
          <w:rFonts w:ascii="宋体" w:hAnsi="宋体" w:eastAsia="宋体" w:cs="宋体"/>
          <w:color w:val="000000"/>
          <w:sz w:val="24"/>
          <w:u w:val="single"/>
        </w:rPr>
        <w:t xml:space="preserve"> 2% </w:t>
      </w:r>
      <w:r>
        <w:rPr>
          <w:rFonts w:ascii="宋体" w:hAnsi="宋体" w:eastAsia="宋体" w:cs="宋体"/>
          <w:color w:val="000000"/>
          <w:sz w:val="24"/>
        </w:rPr>
        <w:t xml:space="preserve">向甲方支付违约金。</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15.2货物供货逾期超过</w:t>
      </w:r>
      <w:r>
        <w:rPr>
          <w:rFonts w:ascii="宋体" w:hAnsi="宋体" w:eastAsia="宋体" w:cs="宋体"/>
          <w:color w:val="000000"/>
          <w:sz w:val="24"/>
          <w:u w:val="single"/>
        </w:rPr>
        <w:t xml:space="preserve">30</w:t>
      </w:r>
      <w:r>
        <w:rPr>
          <w:rFonts w:ascii="宋体" w:hAnsi="宋体" w:eastAsia="宋体" w:cs="宋体"/>
          <w:color w:val="000000"/>
          <w:sz w:val="24"/>
        </w:rPr>
        <w:t xml:space="preserve">个日历天的，视为违约，甲方有权终止设备供货，乙方应向甲方支付单项货物中标金额</w:t>
      </w:r>
      <w:r>
        <w:rPr>
          <w:rFonts w:ascii="宋体" w:hAnsi="宋体" w:eastAsia="宋体" w:cs="宋体"/>
          <w:color w:val="000000"/>
          <w:sz w:val="24"/>
          <w:u w:val="single"/>
        </w:rPr>
        <w:t xml:space="preserve">30%</w:t>
      </w:r>
      <w:r>
        <w:rPr>
          <w:rFonts w:ascii="宋体" w:hAnsi="宋体" w:eastAsia="宋体" w:cs="宋体"/>
          <w:color w:val="000000"/>
          <w:sz w:val="24"/>
        </w:rPr>
        <w:t xml:space="preserve">的违约金。</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 乙方所交的货物品种、型号、规格、技术参数、质量不符合合同规定及采购</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文件规定标准的，甲方有权拒收，若因此产生的违约责任按照15.1条款执行。</w:t>
      </w:r>
      <w:r/>
    </w:p>
    <w:p>
      <w:pPr>
        <w:ind w:left="0" w:right="0" w:firstLine="0"/>
        <w:jc w:val="both"/>
        <w:spacing w:before="120" w:after="12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十六、不可抗力事件处理</w:t>
      </w:r>
      <w:r/>
    </w:p>
    <w:p>
      <w:pPr>
        <w:ind w:left="498" w:right="0" w:hanging="1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16.1在合同有效期内，任何一方因不可抗力事件导致不能履行合同，则合同履行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期可延长，其延长期与不可抗力影响期相同。</w:t>
      </w:r>
      <w:r/>
    </w:p>
    <w:p>
      <w:pPr>
        <w:ind w:left="498" w:right="0" w:hanging="1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16.2不可抗力事件发生后，应立即通知对方，并寄送有关权威机构出具的证明。</w:t>
      </w:r>
      <w:r/>
    </w:p>
    <w:p>
      <w:pPr>
        <w:ind w:left="498" w:right="0" w:hanging="1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16.3不可抗力事件延续120天以上，双方应通过友好协商，确定是否继续履行合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w:t>
      </w:r>
      <w:r/>
    </w:p>
    <w:p>
      <w:pPr>
        <w:ind w:left="0" w:right="0" w:firstLine="0"/>
        <w:jc w:val="both"/>
        <w:spacing w:before="120" w:after="12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十七、解决争议的方法</w:t>
      </w:r>
      <w:r/>
    </w:p>
    <w:p>
      <w:pPr>
        <w:ind w:left="498" w:right="0" w:hanging="1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双方在执行合同中所发生的一切争议，可通过协商解决，并签订补充协议。如协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商不成，双方均可向响水县县人民法院提起诉讼。</w:t>
      </w:r>
      <w:r/>
    </w:p>
    <w:p>
      <w:pPr>
        <w:ind w:left="0" w:right="0" w:firstLine="0"/>
        <w:jc w:val="both"/>
        <w:spacing w:before="120" w:after="12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十八、其他</w:t>
      </w:r>
      <w:r/>
    </w:p>
    <w:p>
      <w:pPr>
        <w:ind w:left="498" w:right="0" w:hanging="1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18.1本合同所有附件、招标文件、投标文件、中标通知书及补充协议均为合同的</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有效组成部分，与本合同具有同等法律效力。</w:t>
      </w:r>
      <w:r/>
    </w:p>
    <w:p>
      <w:pPr>
        <w:ind w:left="498" w:right="0" w:hanging="1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18.2如一方地址、电话、传真号码有变更，应在变更当日内书面通知对方，否则，</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应承担相应责任。</w:t>
      </w:r>
      <w:r/>
    </w:p>
    <w:p>
      <w:pPr>
        <w:ind w:left="498" w:right="0" w:hanging="1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18.3除甲方事先书面同意外，乙方不得部分或全部转让其应履行的合同项下的义</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务。</w:t>
      </w:r>
      <w:r/>
    </w:p>
    <w:p>
      <w:pPr>
        <w:ind w:left="0" w:right="0" w:firstLine="0"/>
        <w:jc w:val="both"/>
        <w:spacing w:before="120" w:after="12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十九、合同生效</w:t>
      </w:r>
      <w:r/>
    </w:p>
    <w:p>
      <w:pPr>
        <w:ind w:left="498" w:right="0" w:hanging="1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19.1合同经双方法定代表人或授权委托代表人签字并加盖单位公章后生效。</w:t>
      </w:r>
      <w:r/>
    </w:p>
    <w:p>
      <w:pPr>
        <w:ind w:left="498" w:right="0" w:hanging="1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19.2本合同未尽事宜，遵照《中华人民共和国民法典》有关条文执行。</w:t>
      </w:r>
      <w:r/>
    </w:p>
    <w:p>
      <w:pPr>
        <w:ind w:left="498" w:right="0" w:hanging="1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本合同正本一式</w:t>
      </w:r>
      <w:r>
        <w:rPr>
          <w:rFonts w:ascii="宋体" w:hAnsi="宋体" w:eastAsia="宋体" w:cs="宋体"/>
          <w:color w:val="000000"/>
          <w:sz w:val="24"/>
          <w:u w:val="single"/>
        </w:rPr>
        <w:t xml:space="preserve">肆</w:t>
      </w:r>
      <w:r>
        <w:rPr>
          <w:rFonts w:ascii="宋体" w:hAnsi="宋体" w:eastAsia="宋体" w:cs="宋体"/>
          <w:color w:val="000000"/>
          <w:sz w:val="24"/>
        </w:rPr>
        <w:t xml:space="preserve">份。具有同等法律效力，甲方、乙方各执</w:t>
      </w:r>
      <w:r>
        <w:rPr>
          <w:rFonts w:ascii="宋体" w:hAnsi="宋体" w:eastAsia="宋体" w:cs="宋体"/>
          <w:color w:val="000000"/>
          <w:sz w:val="24"/>
          <w:u w:val="single"/>
        </w:rPr>
        <w:t xml:space="preserve">贰</w:t>
      </w:r>
      <w:r>
        <w:rPr>
          <w:rFonts w:ascii="宋体" w:hAnsi="宋体" w:eastAsia="宋体" w:cs="宋体"/>
          <w:color w:val="000000"/>
          <w:sz w:val="24"/>
        </w:rPr>
        <w:t xml:space="preserve">份。</w:t>
      </w:r>
      <w:r/>
    </w:p>
    <w:p>
      <w:pPr>
        <w:ind w:left="479" w:right="0" w:hanging="24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79" w:right="0" w:hanging="24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                           乙方：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地址：                           地址：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法定代表人或授权代表：           法定代表人或授权代表：</w:t>
      </w:r>
      <w:r/>
    </w:p>
    <w:p>
      <w:pPr>
        <w:ind w:left="0" w:right="0" w:firstLine="24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                       联系电话：</w:t>
      </w:r>
      <w:r/>
    </w:p>
    <w:p>
      <w:pPr>
        <w:ind w:left="0" w:right="0" w:firstLine="24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注：以上合同版本作为合同签订时的正式文本，最终签订时详细条款需参照招标文件要求及投标文件的响应情况，合同条款中的付款方式及交货期不得出现偏离。</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第四章 采购需求</w:t>
      </w:r>
      <w:r/>
    </w:p>
    <w:p>
      <w:pPr>
        <w:ind w:left="0" w:right="0" w:firstLine="0"/>
        <w:jc w:val="both"/>
        <w:spacing w:before="0" w:after="0" w:line="499" w:lineRule="atLeast"/>
        <w:rPr>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4"/>
        </w:rPr>
        <w:t xml:space="preserve">一、采购清单：</w:t>
      </w:r>
      <w:r/>
    </w:p>
    <w:tbl>
      <w:tblPr>
        <w:tblStyle w:val="685"/>
        <w:tblW w:w="10535" w:type="dxa"/>
        <w:tblInd w:w="-85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100"/>
        <w:gridCol w:w="5950"/>
        <w:gridCol w:w="625"/>
        <w:gridCol w:w="1023"/>
      </w:tblGrid>
      <w:tr>
        <w:trPr>
          <w:trHeight w:val="5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35" w:type="dxa"/>
            <w:vAlign w:val="bottom"/>
            <w:textDirection w:val="lrTb"/>
            <w:noWrap w:val="false"/>
          </w:tcPr>
          <w:p>
            <w:pPr>
              <w:jc w:val="center"/>
              <w:keepLines w:val="0"/>
              <w:keepNext w:val="0"/>
              <w:widowControl/>
              <w:rPr>
                <w:rFonts w:ascii="黑体" w:hAnsi="黑体" w:eastAsia="黑体" w:cs="黑体"/>
                <w:color w:val="000000"/>
                <w:sz w:val="24"/>
              </w:rPr>
              <w:suppressLineNumbers w:val="0"/>
            </w:pPr>
            <w:r>
              <w:rPr>
                <w:rFonts w:hint="eastAsia" w:ascii="宋体" w:hAnsi="宋体" w:eastAsia="宋体" w:cs="宋体"/>
                <w:b/>
                <w:bCs/>
                <w:i w:val="0"/>
                <w:iCs w:val="0"/>
                <w:color w:val="000000"/>
                <w:sz w:val="20"/>
                <w:szCs w:val="20"/>
                <w:u w:val="none"/>
                <w:lang w:val="en-US" w:eastAsia="zh-CN" w:bidi="ar"/>
              </w:rPr>
              <w:t xml:space="preserve">一、综合布线</w:t>
            </w:r>
            <w:r/>
          </w:p>
        </w:tc>
      </w:tr>
      <w:tr>
        <w:trPr>
          <w:trHeight w:val="623"/>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37" w:type="dxa"/>
            <w:vAlign w:val="center"/>
            <w:textDirection w:val="lrTb"/>
            <w:noWrap w:val="false"/>
          </w:tcPr>
          <w:p>
            <w:pPr>
              <w:jc w:val="center"/>
              <w:keepLines w:val="0"/>
              <w:keepNext w:val="0"/>
              <w:widowControl/>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2100" w:type="dxa"/>
            <w:vAlign w:val="center"/>
            <w:textDirection w:val="lrTb"/>
            <w:noWrap w:val="false"/>
          </w:tcPr>
          <w:p>
            <w:pPr>
              <w:jc w:val="center"/>
              <w:keepLines w:val="0"/>
              <w:keepNext w:val="0"/>
              <w:widowControl/>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950" w:type="dxa"/>
            <w:vAlign w:val="center"/>
            <w:textDirection w:val="lrTb"/>
            <w:noWrap w:val="false"/>
          </w:tcPr>
          <w:p>
            <w:pPr>
              <w:jc w:val="center"/>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参数</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625" w:type="dxa"/>
            <w:vAlign w:val="center"/>
            <w:textDirection w:val="lrTb"/>
            <w:noWrap w:val="false"/>
          </w:tcPr>
          <w:p>
            <w:pPr>
              <w:jc w:val="center"/>
              <w:keepLines w:val="0"/>
              <w:keepNext w:val="0"/>
              <w:widowControl/>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ascii="宋体" w:hAnsi="宋体" w:eastAsia="宋体" w:cs="宋体"/>
                <w:color w:val="000000"/>
                <w:sz w:val="24"/>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防火墙</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top"/>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1、千兆Combo接口≥8；万兆光口≥2；千兆WAN口≥2；SSL VPN并发数≥490；IPSec VPN隧道≥3950；虚拟防火墙数量≥50；配置1个电源，可扩展双电源</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2、设备形态1U；采用多核架构；支持交流双电源；支持风扇可插拔；支持前后风道；</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3、吞吐量≥3Gbps，最大并发连接数≥240万，每秒新建连接数≥8万,IPSec吞吐量≥1.9Gbps；SSLVPN吞吐量≥280Mbps；SSL加密流量检测吞吐量280Mbps；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能够基于时间、用户/用户组/安全组、应用层协议、地理位置、IP地址、端口、域名组、URL分类、接入类型、终端类型、设备组、内容安全统一界面进行安全策略配置；</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支持静态路由、策略路由、RIP、OSPF、BGP、ISIS等路由协议，策略路由支持的匹配条件：源IP/目的IP，服务类型，应用类型，用户(组)，入接口，DSCP优先级。</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4、支持IPv6协议栈、IPV6穿越技术、IPV6路由协议</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5、支持IPv6overIPv4GRE隧道，6RD隧道；</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可识别应用数量≥6000种；支持识别国标SIP协议及主流安防厂家的私有协议</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可支持基于应用层协议设置流控策略，包括设置最大带宽、保证带宽、协议流量优先级等。</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支持基于用户，IP的带宽保证。</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支持每IP，每用户的最大连接数限制，防护服务器。</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支持用户流量配额管理。</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支持基于地理位置的流量和威胁分析；</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支持策略的模糊查询，策略组，策略规则标签，方便策略的管理及运维。</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6、支持将基于端口的安全策略转换为基于应用的安全策略，分析设备策略风险，及冗余策略，提供安全策略优化建议</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支持数据防泄露，对传输的文件和内容进行识别过滤，对内容与身份证、信用卡、银行卡、社会安全卡号等类型进行匹配</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支持DNS过滤，提高WEB网页过滤的性能。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支持HTTP、HTTPS、DNS、SIP等应用层Flood攻击，支持流量自学习功能，可设置自学习时间，并自动生成DDoS防范策略</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支持IP信誉库，可实现对内网僵尸主机的检测和防御；</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支持全面NAT功能，对多种应用层协议支持ALG功能，包括ILS、DNS、PPTP、SIP、FTP、ICQ、RTSP、QQ、MSN、MMS等</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支持源NAT自动探测并排除NAT-IP地址池中无效地址（防封杀）</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支持源NAT地址池使用率超限告警</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支持三元组NATsmart-fullcone。</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支持NAT地址复用技术，可实现单个公网IP地址的无限制端口转换，可有效解决地址短缺问题</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基于特征检测，支持超过8000种特征的攻击检测和防御</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支持基于场景进行策略入侵防御的模板定制。</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支持对常见应用服务（HTTP、FTP、SSH、SMTP、IMAP）和数据库软件（MySQL、Oracle、MSSQL）的口令暴力破解防护功能。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支持恶意域名过滤，实现对C&amp;C进行阻断。</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可以支持HTTP、FTP、SMTP、POP3、IMAP、NFS等协议的病毒防护</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反病毒&amp;入侵防御License试用（可选2个月license试用），在试用期内反病毒和入侵防御功能可用，升级服务可以。</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支持对HTTPS，POP3S，SMTPS,IMAPS加密流量代理解密后，并进行内容过滤，审计，安全防护。</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支持基于URL分类的精细化解密，提高解密性能。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支持加密流量解密后镜像给第三方设备做审计，安全检测。</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支持防火墙向云管理平台自动注册，云管理平台对防火墙进行统一的管理及运维。</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支持U盘升级，减少运维成本。</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开放RESTCONF，NETCONF等北向接口，对接第三方的管理平台。</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支持与云沙箱联动（免费试用6个月），实现对APT攻击的防御功能。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支持与本地沙箱联动，实现对APT攻击的防御功能。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7、支持防火墙与云沙箱，本地沙箱混合联动，敏感文件在本地沙箱检测，普通文件上传到云沙箱，及保护了客户敏感数据有提高了云检测能力。</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支持防火墙与网络安全智能分析系统联动，做态势感知，全网威胁展示，并能针对威胁生成阻断策略。</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支持防火墙与云端WEB信誉系统，文件信誉系统，IP信誉系统联动，实时阻断威胁。</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支持将网络安全智能分析系统、沙箱的检测结果形成本地信誉，供防火墙查询，从而实现威胁闭环。</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8、支持防火墙内置流探针，对网络中的流量进行采集，上送网络安全智能分析系统进行威胁分析。</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支持AD单点登录，Radius单点登录，NTLM认证，免认证，与认证服务器配合实现微信认证，MAC认证</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支持动态安全组，对横向组织机构进行动态授权。</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支持多认证域，满足多分公司独立管理，认证的述求。</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支持Portal页面定制及调查问卷，进行营销推广。</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支持BFD链路检测，支持BFD与VRRP联动实现双机快速切换，支持BFD与OSPF联动实现双机快速切换</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支持HA平滑升级，升级窗口中支持不同版本的软件形成双机热备</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可根据目的地址智能优选运营商链路，支持主备接口配置以及按比例分配的负载分担方式</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★9、具有公安部颁发的防火墙《计算机信息系统安全专用产品销售许可证》（USG6000E/V6增强级），提供原件扫描件加盖供应商公章</w:t>
            </w:r>
            <w:r/>
          </w:p>
          <w:p>
            <w:pPr>
              <w:jc w:val="left"/>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具有中国信息安全认证中心颁发《信息安全应急处理服务资质》（一级），并且在有效期内，提供原件扫描件加盖供应商公章</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具有中国信息安全认证中心颁发《信息系统安全集成服务资质》（一级），并且在有效期内，提供原件扫描件加盖供应商公章</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具有《TL9000》品质管理体系认证证书，提供原件扫描件加盖供应商公章，以及在TL9000证书查询网站的链接与截图证明</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国家信息安全漏洞库漏洞提交厂商（提供CNNVD官网链接和截图）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防火墙</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1、千兆Combo接口≥8；万兆光口≥2；千兆WAN口≥2；SSL VPN并发数实配100可扩展500；IPSec VPN隧道≥4000；虚拟防火墙数量≥50；配置1个电源，可扩展双电源；</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2、Δ采用多核架构，自研芯片；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3、吞吐量≥600Mbps，最大并发连接数≥120万，每秒新建连接数≥8万,IPSec吞吐量≥600Mbps，SSL_VPN吞吐量≥300Mbps,IPS吞吐量≥700Mbps,SSL代理吞吐量≥400Mbps；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4、具有未知威胁的检测能力，支持与云沙箱联动（实配6个月license授权），实现对APT攻击的防御功能；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5、能够基于时间、用户/用户组/安全组、应用层协议、地理位置、IP地址、端口、域名组、URL分类、接入类型、终端类型、设备组、内容安全统一界面进行安全策略配置；</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6、支持静态路由、策略路由、RIP、OSPF、BGP、ISIS等路由协议；策略路由支持的匹配条件：源IP/目的IP，服务类型，应用类型，用户(组)，入接口，DSCP优先级；</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7、支持IPv6协议栈、IPV6穿越技术、IPV6路由协议； Δ支持IPv6 over IPv4 GRE隧道，6RD隧道；</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8、支持识别国标SIP协议及主流安防厂家的私有协议；</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9、可支持基于应用层协议设置流控策略，包括设置最大带宽、保证带宽、协议流量优先级等；支持基于用户，IP的带宽保证；Δ支持每IP， 每用户的最大连接数限制，防护服务器；支持用户流量配额管理；支持流量整形；支持基于地理位置的流量和威胁分析；</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10、支持策略的模糊查询，策略组，策略规则标签，方便策略的管理及运维；支持将基于端口的安全策略转换为基于应用的安全策略，分析设备策略风险，及冗余策略，提供安全策略优化建议；</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支持数据防泄露，对传输的文件和内容进行识别过滤，对内容与身份证、信用卡、银行卡、社会安全卡号等类型进行匹配；支持DNS过滤，提高WEB网页过滤的性能；支持SafeSearch，过滤掉Google等搜索引擎返回的不健康的内容；</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12、支持HTTP、HTTPS、DNS、SIP等应用层Flood攻击，支持流量自学习功能，可设置自学习时间，并自动生成DDoS防范策略；支持IP信誉；</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支持全面NAT功能，对多种应用层协议支持ALG功能，包括ILS、DNS、PPTP、SIP、FTP、ICQ、RTSP、QQ、MSN、MMS等；支持源NAT自动探测并排除NAT-IP地址池中无效地址（防封杀）；支持源NAT地址池使用率超限告警；支持三元组NAT smart-fullcone；</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基于特征检测，支持超过8000种特征的攻击检测和防御；支持基于场景进行策略入侵防御的模板定制；支持对常见应用服务（HTTP、FTP、SSH、SMTP、IMAP）和数据库软件（MySQL、Oracle、MSSQL）的口令暴力破解防护功能；支持恶意域名过滤，实现对C&amp;C进行阻断；可以支持HTTP、FTP、SMTP、POP3、IMAP、NFS等协议的病毒防护；反病毒&amp;入侵防御License试用（可选2个月license试用），在试用期内反病毒和入侵防御功能可用，升级服务可用；</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15、支持对HTTPS，POP3S，SMTPS,IMAPS加密流量代理解密后，并进行内容过滤，审计，安全防护；支持基于URL分类的精细化解密，提高解密性能；支持加密流量解密后镜像给第三方设备做审计，安全检测；</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16、支持防火墙向云管理平台自动注册，云管理平台对防火墙进行统一的管理及运维；支持U盘升级，减少运维成本；开放RESTCONF，NETCONF等北向接口，对接第三方的管理平台；</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17、支持与本地沙箱联动，实现对APT攻击的防御功能；支持防火墙与云沙箱，本</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地沙箱混合联动，敏感文件在本地沙箱检测，普通文件上传到云沙箱，及保护了客户敏感数据有提高了云检测能力；支持防火墙与网络安全智能分析系统联动，做态势感知，全网威胁展示，并能针对威胁生成阻断策略；支持防火墙与云端WEB信誉系统，文件信誉系统，IP信誉系统联动，实时阻断威胁；支持将网络安全智能分析系统、沙箱的检测结果形成本地信誉，供防火墙查询，从而实现威胁闭环；具备基于AI技术检测DGA/C&amp;C/ECA等APT攻击的威胁防御能力；配置防火墙流探针功能，对网络中的流量进行采集，上送网络安全智能分析系统进行威胁分析；</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支持AD单点登录，Radius单点登录，NTLM认证，免认证，与认证服务器配合实现微信认证，MAC认证；支持动态安全组，对横向组织机构进行动态授权；支持多认证域，满足多分公司独立管理，认证的述求；支持Portal页面定制及调查问卷，进行营销推广；</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19、支持BFD链路检测，支持BFD与VRRP联动实现双机快速切换，支持BFD与OSPF联动实现双机快速切换；支持HA平滑升级，升级窗口中支持不同版本的软件形成双机热备；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20、可根据目的地址智能优选运营商链路，支持主备接口配置以及按比例分配的负载分担方式；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授权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IPS特征库、僵尸网络与病毒防护库、实时漏洞分析识别库和URL&amp;应用识别库</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企业级多WAN口路由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1、采用无阻塞交换架构。</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2、支持多核CPU。</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3、可以扩展5G能力；</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4、支持多发选收，主动抗丢包，逐包负载分担，带宽利用率&gt;90%；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5、支持防火墙、IPS、AV等安全功能，支持IPSec VPN，IPSec VPN≥2000条隧道，多重边缘防护，保障分支安全互联；</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6、模块插槽≥2个；</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7、整机高度≤1U；</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8、包转发能力≥9Mpps；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9、WAN：2*GE Combo，1*10GE光，LAN：1*GE Combo，8*GE电（可切换为WAN口）；</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10、内存≥4GB；</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11、所有业务板卡支持直接热插拔；</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12、支持静态路由，路由策略，RIP，OSPF，BGP，IS-IS；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13、支持静态路由，路由策略，RIPng，OSPFv3，IS-ISv6，BGP4+；</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14、支持 LDP，MPLS L3 VPN，VLL，PWE3，静态LSP，动态LSP，MPLS TE，IP FRR，LDP FRR，TE FRR；</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15、支持IPsec VPN，GRE VPN，DSVPN，L2TP VPN，L2TPv3 VPN；</w:t>
            </w:r>
            <w:r/>
          </w:p>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16、支持Diffserv模式，MPLS QoS，优先级映射，流量监管（CAR），流量整形，拥塞避免，拥塞管理，HQoS，MQC（流分类，流行为，流策略），端口三级调度和三级整形（Hierarchical QoS），智能应用控制（SAC）；</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内外网核心交换机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1、交换容量≥19.84/86.4Tbps；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2、包转发率≥2880/26400Mpps；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3、主控引擎≥2；整机业务板槽位数≥6；</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4、支持每槽位带宽≥160Gbps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5、适用600mm深度机柜；</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6、高度≤10U；</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7、整机万兆端口密度≥288个；</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8、实配1: 48千兆电口，24千兆SFP光口，24个万兆SFP+口；</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9、为保证设备散热效果和可靠性，要求设备支持模块化风扇框，可热插拔，独立风扇框数≥2；</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10、支持颗粒化电源，整机电源槽位数≥3；</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11、为适应机柜并排部署，设备机箱（包括业务板卡区）采用后出风风道设计，提供设备散热气流流向截图；</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12、支持独立的硬件监控模块, 控制平面和监控平面物理槽位分离，支持1+1备份，能集中监控板卡、风扇、电源、环境，调节能耗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13、支持横向虚拟化技术，将多台设备虚拟为一台设备，支持长距离集群，且用于虚拟化的板卡与业务板卡物理槽位分离，单向虚拟化集群带宽≥80Gbps；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14、为了简化管理，支持纵向虚拟化技术，支持把交换机和AP虚拟为一台设备，支持两层子节点，且子节点接入交换机支持堆叠；</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15、支持4K VLAN;支持1：1，N：1 VLAN mapping;支持端口VLAN，协议VLAN，IP子网VLAN；支持Super VLAN;支持Super VLAN;</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16、投标产品支持VTP或者相似技术，实现“服务器-客户机”模型的VLAN自动分发功能；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17、支持IEEE 802.1d(STP)、 802.w(RSTP)、 802.1s(MSTP);支持VLAN内端口隔离;支持1:1, N:1端口镜像；支持流镜像；支持远程端口镜像（RSPAN）；支持ERSPAN, 通过GRE隧道实现跨域远程镜像；支持DHCP Client, DHCP Server，DHCP Relay；支持Option 82；</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18、支持静态路由、RIP、RIPng、OSPF、OSPFv3、BGP、BGP4+、ISIS、ISISv6</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19、支持路由协议多实例;支持GR for OSPF/IS-IS/BGP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20、支持IGMP Snooping V1,V2,V3；支持PIM-SM/DM/SSM；支持MLD V1，V2；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21、支持IPv6过渡技术，IPv4/IPv6双栈、6over4隧道、4 over6隧道;支持IPv6 DHCP SERVER, IPv6 DHCP Relay, DHCP Snooping，支持IPv6 Souce Guard;</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22、支持MPLS L3VPN、MPLS L2VPN(VPLS，VLL)、MPLS-TE、MPLS QoS；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23、支持基于第二层、第三层和第四层的ACL;支持双向ACL；支持VLAN ACL和IPv6 ACL；支持IP/Port/MAC的绑定功能;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24、支持SP, WRR,DWRR,SP+WRR, SP+DWRR调度方式；支持双向CAR；提供广播风暴抑制功能；风暴控制支持shutdown端口或拒绝转发的安全策略下发；支持WRED；</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25、支持DHCP Snooping trust, 防止私设DHCP服务器；支持DHCP snooping binding table (DAI, IP source guard), 防止ARP攻击、DDOS攻击、中间人攻击；支持BPDU guard， Root guard;支持802.1X、MAC、Portal等认证方式;</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26、支持真实业务流的实时检测技术，秒级快速故障定位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27、支持G.8032标准环网协议，要求倒换时间≤50ms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28、支持业务板集成AC功能，业务单板+AC只占用1个业务槽位，实现对AP的接入控制、AP域管理、有线无线用户的统一认证管理；</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29、支持802.1X、MAC、Portal等认证方式；</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30、支持基于流量、DAA目的地址和时长计费方式；</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31、支持SNMP V1/V2/V3、Telnet、RMON、SSHV2；</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32、支持通过命令行、中文图形化配置软件等方式进行配置和管理；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设备网核心交换机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1、交换容量≥432Gbps，堆叠后的交换容量≥4.32Tbps；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2、包转发率≥120Mpps；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3、24个千兆光口，8个千兆电口，4个万兆光口；</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4、支持MAC地址≥32K，支持4K VLAN，支持Voice VLAN，支持基于MAC/协议/端口的VLAN，支持 1:1 和 N:1 VLAN Mapping 功能；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5、支持RIP、RIPng、OSPF、OSPFv3、BGP路由协议；</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6、支持智能iStack堆叠，将多台支持堆叠特性的交换机组合在一起，从逻辑上虚拟为一台交换机；</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7、MTBF（平均无故障时间）超过50年；</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8、可用度满足99.999%的电信级可靠性要求；</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9、业务口防雷可达10KV；</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10、使用非工业级光模块情况下的长期工作环境温度范围：-5℃~50℃；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11、长期工作环境相对湿度为5%~95%，非凝露；</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12、支持 802.3az 能效以太网EEE，节能环保；</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13、支持以太网环网保护协议，故障倒换时间小于50ms；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14、支持SNMP v1/v2/v3、Telnet、RMON，支持通过命令行、Web、中文图形化配置软件等方式进行配置和管理；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汇聚交换机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1、交换容量≥758Gbps，堆叠后的交换容量≥7.58Tbps；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2、包转发率≥148Mpps；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3、48个千兆电口；4个千兆SFP；</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4、支持Console接口；</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5、支持独立的网络指示灯，可以快速感知设备是否联网、是否被云管纳管。设备上线，清晰可见；</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6、支持MAC地址≥16K；支持4K VLAN，支持Voice VLAN，支持基于 MAC/协议/IP 子网/策略/端口的 VLAN，支持 VLAN Stacking</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7、支持 ERPS 以太环保护协议（G.8032）；支持 STP（IEEE 802.1d），RSTP（IEEE 802.1w）和 MSTP（IEEE 802.1s）协议；</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8、支持静态路由，策略路由路由，最大 512 个 FIBv4 条目，最大 512 个 FIBv6 条目并提供官网链接及截图；支持IPv6特性；</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9、支持智能iStack堆叠，将多台支持堆叠特性的交换机组合在一起，从逻辑上虚拟为一台交换机；</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10、MTBF（平均无故障时间）超过40年；</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11、可用度满足99.999%的电信级可靠性要求;</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12、业务口防雷可达10KV；</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13、设备能够长期在-5°C ~ +50°C温度范围内稳定运行；</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14、支持 802.3az 能效以太网 EEE，节能环保；</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15、支持SNMP v1/v2/v3,Telnet,RMON，HTTPS,Web等方式进行管理和维护；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接入交换机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1、交换容量≥192Gbps；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2、包转发率≥42Mpps;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3、24个千兆电口，4个千兆SFP;</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4、自然散热</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5、★交换机重启时（版本升级），对下挂PD设备供电不会中断，保证交换机重启过程中PD设备不掉电，实现POE供电零中断，并提供官网链接及截图；</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6、支持MAC地址≥8K，支持4K VLAN；</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7、支持动静态ARP，支持DNS Client；</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8、支持入端口流量限速，支持端口队列调度，支持拥塞避免；</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9、MTBF（平均无故障时间）超过70年；</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10、可用度满足99.999%的电信级可靠性要求；</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11、业务口防雷可达6KV；</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12、长期工作环境相对湿度为5%~95%，非凝露；</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单网口面板模块【网络】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1.颜色：白色；</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2.规格：平面90度86x86型单口信息面板；</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3.材料：高强度ABS塑料制造，结构强度高、耐冲击，阻燃级别 94V-0；</w:t>
            </w:r>
            <w:r/>
          </w:p>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4.结构：面板表面采用不可见螺钉孔设计，美观大方；扣位式面板设计可防止施工时污染面板；面板设计线条流畅、棱角清晰；带有防尘盖，适应于不同的恶劣施工环境，方便跳线插拔；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单网口面板模块【电话】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1.颜色：白色；</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2.规格：平面90度86x86型单口信息面板；</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3.材料：高强度ABS塑料制造，结构强度高、耐冲击，阻燃级别 94V-0；</w:t>
            </w:r>
            <w:r/>
          </w:p>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4.结构：面板表面采用不可见螺钉孔设计，美观大方；扣位式面板设计可防止施工时污染面板；面板设计线条流畅、棱角清晰；带有防尘盖，适应于不同的恶劣施工环境，方便跳线插拔；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66</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双网口面板模块【内外网】</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1.颜色：白色；</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2.规格：平面90度86x86型双口信息面板；</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3.材料：高强度ABS塑料制造，结构强度高、耐冲击，阻燃级别 94V-0；</w:t>
            </w:r>
            <w:r/>
          </w:p>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4.结构：面板表面采用不可见螺钉孔设计，美观大方；扣位式面板设计可防止施工时污染面板；面板设计线条流畅、棱角清晰；带有防尘盖，适应于不同的恶劣施工环境，方便跳线插拔；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148</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双绞语音电话线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1.颜色：蓝色；</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2.导体：23AWG，带宽达到250MHz；</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3.芯线：8根芯线采用单股软铜线，每根芯线带有彩色绝缘层；</w:t>
            </w:r>
            <w:r/>
          </w:p>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4.特性：符合ANSI/TIA-568-C.2、ISO/IEC 11801、EN50173-1：2001六类规范；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4290</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六类非屏蔽双绞线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1.颜色：蓝色；</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2.导体：23AWG，带宽达到250MHz；</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3.芯线：8根芯线采用单股软铜线，每根芯线带有彩色绝缘层；</w:t>
            </w:r>
            <w:r/>
          </w:p>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4.特性：符合ANSI/TIA-568-C.2、ISO/IEC 11801、EN50173-1：2001六类规范；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19530</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110配线架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1.规格：100对110机架式配线架；</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2.含四对、五对接线端子、背板套件，无需额购买，省心省力；</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3.符合ANSI/TIA-568.2-D三类规范；</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4.IDC簧片：磷青铜镀镍（100μ英寸），可容纳 23-26 AWG 单股和多股线缆，最少750次打线；</w:t>
            </w:r>
            <w:r/>
          </w:p>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5.适合于语音大对数电缆的端接，采用通用110接线工具端接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300*100防火桥架加分隔板，国标.含吊筋、连接片、螺丝接地线等（不含开孔）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325</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光纤光缆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国标YJV3*2.5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183</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光纤配线架【48芯】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48芯满配单模（sc/ups）</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耦合器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光纤单模法兰耦合器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96</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光纤跳线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top"/>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有ST,LC,FC,SC等接口跳线供选择；标准：ISO/IEC 11801:2002 Ed2.0，TIA/EIA 568B.3，最大损耗：&lt; 0.5dB</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44</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光模块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单模光模块光模块-SFP-GE-单模模块-(1310nm,10km,LC)</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44</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网络机柜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600*800*2000mm机柜42U</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PDU</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机架式PDU插座，带过载保护，6位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五方对讲线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RVVP屏蔽电缆4*1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500</w:t>
            </w:r>
            <w:r/>
          </w:p>
        </w:tc>
      </w:tr>
      <w:tr>
        <w:trPr>
          <w:trHeight w:val="623"/>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3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二、视频监控</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参数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400万全彩网络摄像机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1、具有400万像素 CMOS传感器。</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2、具有不小于1/1.8"靶面尺寸</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3、最低照度彩色：0.0005 lx。</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4、内置暖白光补光灯。</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5、★智能侦测：支持越界侦测，区域入侵侦测，补光距离不小于60米。（提供公安部检测报告原件扫描件加盖供应商公章）</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6、★动态范围不小于110dB。（提供公安部检测报告原件扫描件加盖供应商公章）</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7、信噪比不小于62dB。</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8、★需支持IP67防尘防水。（提供公安部检测报告原件扫描件加盖供应商公章）</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9、需支持DC12V供电，且在不小于DC12V±30%范围内变化时可以正常工作。</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PoE：IEEE 802.3af，CLASS 3，最大功耗：7.5 W</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 供电方式：DC：12 V ± 25%，支持防反接保护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87</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接入交换机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1、交换容量≥192Gbps；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2、包转发率≥42Mpps;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3、24个千兆电口，4个千兆SFP;</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4、支持POE/POE+，POE功率≥370W;</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5、★交换机重启时（版本升级），对下挂PD设备供电不会中断，保证交换机重启过程中PD设备不掉电，实现POE供电零中断，并提供官网链接及截图；</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6、支持MAC地址≥8K，支持4K VLAN；</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7、支持动静态ARP，支持DNS Client；</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8、支持入端口流量限速，支持端口队列调度；</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9、MTBF（平均无故障时间）超过40年；</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10、可用度满足99.999%的电信级可靠性要求；</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11、业务口防雷可达6KV；</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12、长期工作环境相对湿度为5%~95%，非凝露；</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网络硬盘录像机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top"/>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1、具有2个HDMI接口、2个VGA接口、2个RJ45网络接口、2个USB2.0接口、1个USB3.0接口、1个RS232接口、1个RS485接口、1个eSata接口、1路音频输入接口、2路音频输出接口；16路报警输入接口、9路报警输出接口、具有2路直流DC 12V输出接口（其中1路为Ctrl报警输出口）；可内置9个SATA接口硬盘，可接入1T、2T、3T、4T、6T、8T、10T、12TB、14TB、16TB、18TB容量的SATA接口硬盘</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2、可接入32路分辨率为1920×1080的视频图像；支持最大接入带宽 2</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56Mbps，最大存储带宽 256Mbps，最大转发带宽160Mbps，最大回放带宽160Mbps，开启视频流智能分析后NVR网络带宽不应降低。预览分辨率支持：8160×3616、8208×3072、8160×2304、6912×2800、5760×1696、5520×2400、4096×2160、4000×3000、3072×3072、4096×2160、3840×2160、2560×2560、2560×1440、1920×1080 、1280×960、1280×720、704×576；帧率均为25帧/秒</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3、★可同时显示输出12路H.265编码、30fps、1920×1080格式的视频图像，或同时输出3路 H.265编码、25fps、4096×2160或者3840×2160格式的视频图像，或同时解码2路 H.265编码、20fps、4000×3000格式的视频图像。输出1路H.265编码、25fps、8160×3072格式的视频图像；开启视频流智能分析，NVR解码性能不会降低（提供公安部检测报告原件扫描件加盖供应商公章）</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4、支持16个人脸库，库容5万张人脸图片</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5、★支持2路视频流人脸识别，支持8路图片流人脸识别。支持10张/秒人脸比对报警，比对结果显示包括人脸比对成功、人脸比对失败和陌生人报警（提供公安部检测报告原件扫描件加盖供应商公章）</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6、人脸库建模成功率不低于99.99%。</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7、采用单人戴口罩正脸依次循环通行进行试验，试验人员数量不小于5人，通过速度不小于1m/s，人员通过间隔时间不大于1s，戴口罩人脸检出率不低于99%</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8、人脸正对相机、人脸无遮挡等干扰情况，人脸识别准确率≥99%</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9、支持周界报警过滤功能，对IPC上报的越界侦测报警和区域入侵报警进行去误报，可去除由树叶、灯光、车辆、阴影以及小动物引起的误报；最大支持32路</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10、支持接入高级移动侦测的相机，移动侦测报警能够区分是人、车还是其它目标产生，可录像和记录报警信息</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接入带有温度报警、烟雾报警、障碍物遮挡报警、移动报警、防拆报警、紧急报警的智慧消防相机，当触发报警时，样机可联动录像、抓拍并保存图片、弹出报警画面、声音警告、上传中心、发送邮件、触发报警输出，并按通道、时间、类型检索报警图片，录像搜索结果支持图片和列表两种展现形式</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最大可接入32路支持高空抛物行为检测的IPC，可联动录像、抓图、蜂鸣报警、预置点、邮件、本地报警输出、IPC报警输出以及日志记录；支持按通道、日期对高空抛物行为进行录像检索，以及关联录像回放，并导出图片</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 接入带有人体测温功能的IPC，支持在预览界面以卡片形式实时展示体温信息，体温正常为绿色，体温异常为红色，支持根据体温状态联动语音输出，语音支持“体温正常”、“体温异常”。支持按体温状态、温度范围检索人脸图片</w:t>
            </w:r>
            <w:r/>
          </w:p>
          <w:p>
            <w:pPr>
              <w:jc w:val="both"/>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 接入警戒摄像机，支持对IPC的声音和闪光参数进行配置， 支持通过移动侦测、区域入侵、越界侦测、进入区域和离开区域事件联动一个或多个IPC的声光报警，可以对声光联动一键撤防。</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15、企业技术要求：支持导入不同的语音文件，支持播报语音文件；支持人脸、周界、车辆检测、视频结构化的报警触发时联动语音播报</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16、具有存储安全保障功能，当存储压力过高或硬盘出现性能不足时，可优先录像业务存储，支持从其他设备导入录像文件，并对录像文件进行人脸检测和识别，显示识别结果</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支持活动目标与实时预览同屏显示。实时预览的同时可以提取视频画面中的活动目标，可显示人脸、人体、车辆等目标图片，点击图片可即时回放相关录像；配合车辆抓拍摄像机，可显示车辆抓拍图、抓拍时间、车牌号码、车辆品牌、车型、车辆颜色、车牌颜色信息；配合人脸抓拍摄像机，可显示人脸抓拍图、抓拍时间信息；可显示人体抓拍图、性别、上衣颜色、下装颜色、是否戴眼镜、是否背包信息、是否拎东西、是否戴帽子、是否戴口罩（提供公安部检测报告原件扫描件加盖供应商公章）</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18、支持过车记录导出表格功能，表格包含通道、时间、车牌号、车型、车牌颜色、车身颜色、车辆品牌、车辆抓拍图片信息</w:t>
            </w:r>
            <w:r/>
          </w:p>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19、支持以IPv6方式接入IPC进行预览、参数配置、报警接收和展现、语音对讲、IPC列表导入、IP地址冲突检测等功能。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视频服务器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top"/>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1、★设备具有1个DP接口、2个HDMI接口，1个VGA口、4个RJ45 10/100/1000Mbps 自适应以太网口、7个USB接口（其中5个USB2.0接口,2个USB3.0接口）、1个RS-485接口、1个RS-232接口、16路报警输入接口、4路报警输出接口、 5个SATA 3.0接口；具有2路音频输入（1路3.5mm，1路RCA），2路音频输出（1路3.5mm、1路RCA），支持对用户、角色、组织、区域、人员、车辆、卡片、设备等基础资源进行管理调配。（提供公安部检测报告原件扫描件加盖供应商公章）</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支持人员信息采集，可对人脸照片质量进行评价（合格/不合格），采集方式包括：①通过多功能采集仪在线采集人脸、指纹、身份证信息；②在公网或内网环境下，通过APP实现人脸照片采集；③通过人证比对设备实现离线或在线采集人脸照片；④通过平台批量导入人脸照片，并验证人脸照片命名、大小和质量是否符合要求。运行管理中心提供统一的认证、授权管理机制，支持HTTPS以及密码安全加密访问认证。</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3、支持业务应用组件化，各组件独立运行、维护，支持独立安装或卸载。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支持多类数据自定义扩展，包括门禁事件展示信息与查询信息自定义扩展、考勤数据来源自定义扩展、考勤事件类型自定义扩展、考勤规则自定义扩展、食堂消费规则自定义扩展、巡更点自定义扩展、车辆和卡片信息自定义扩展、停车场放行规则自定义扩展、停车场收费规则自定义扩展、停车场支付方式自定义扩展。监控点最大管理容量为1000路。客户端支持在1/2/3/4/6/8/9/10/13/14/16/17/24/25画面分隔模式下进行监控点轮巡预览，轮巡时间可设置，支持全屏显示（提供公安部检测报告原件扫描件加盖供应商公章）</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支持在视频预览、录像回放、即时回放、录像剪辑、手动录像和录像下载时叠加水印；支持管理10个电视墙，监控点上墙出图像耗时小于3秒，支持电视墙场景管理和场景切换（提供公安部检测报告原件扫描件加盖供应商公章）</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支持大屏控制，可对大屏进行1/4/9/16/25分屏、拼接、开窗、窗口漫游的操作，通过客户端支持电视墙开窗后支持分割，并可将大屏分屏配置另保存为场景，支持在iPad上操作监控点上墙、拼接、分屏、漫游、预案切换等操作</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7、通过客户端支持预览上墙、回放上墙、轮巡上墙、报警联动上墙，通过配置窗口分屏数（1/4/9/16/25），使预览上墙分割数等于或大于配置的数时上墙子码流，低于配置的分屏数时上墙主码流；</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支持在线和离线GIS地图、静态地图导入，同时支持对一个区域添加多张静态地图，支持在地图上添加标记、收藏、测量、放大缩小等基本地图工具，支持地图上资源点的搜索，实现在地图上资源的快速定位，支持资源点报警时，在地图上发生颜色变化，按不同等级的报警显示报警数，并显示报警列表。</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9、支持以脸搜脸的多脸模式，上传一张图片中有多个人脸时，可对图片中的多个人脸一次识别后依次选择进行以脸搜脸，无需多次上传，人脸数最大不超过五个，支持管理门禁点数量500个</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支持门禁权限自动下发更新数据到设备；可配置固定时间、固定次数自动下发异动的门禁权限，包含卡、人脸、指纹；支持人员的卡权限在平台进行权限认证，当卡权限还未下发到设备时，平台可以根据刷卡事件进行人员权限判断并进行反控开门；支持人员通行记录区分：内部人员、外部人员、陌生人员，停车场每个进出口最多支持管理9车道，支持潮汐车道、摩托车车道、混行车道等多种车道模式</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支持纯车牌，车主卡辅，纯卡片，卡主车辅四种识别模式；支持新能源车牌识别。支持自动放行、手动放行、车卡一致和单进单出等多种放行模式；支持车位满时固定车辆、临时车辆自动放行；支持零收费时的自动放行，支持特殊车辆自动放行，支持特定节日车辆自动免费放行</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支持车辆进出可通过LED屏和语音播报两种方式来展示车辆信息，收费信息，停车时间等内容并且内容都可以自定义，支持固定车到期提醒，提醒方式为LED屏展示提醒和语音提醒，支持一户多车功能；支持客户端、LED屏、语音提示“一户多车”：支持一户多车车主查询；支持对不同车辆类型（黑名单、特殊车、群组车、预约车、固定车、临时车）进出停车场时配置不同的文字和颜色在出入口显示屏上进行提示；</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13、支持根据用户使用习惯自定义配置快捷功能入口，支持首页投放大屏展示，支持最近7天每日的用户活跃数统计；</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支持多色彩（红、橙、黄）展示运行告警状态，支持告警统计、概览、处理，支持告警记录查看、查询，支持告警单条、批量处理；支持系统最近7天每日告警数统计，支持评分量化系统监控指数，显示系统运行状态；支持多种事件类型配置联动规则，事件源包含：通用视频事件、入侵报警事件、IO事件、门禁事件、停车场事件、可视对讲事件、园区卡口事件、行车监控事件、梯控事件、动环事件、人脸识别事件、消防事件、热成像事件、行为分析事件；支持自定义事件等级，支持报警预案功能，配置事件联动时可以自定义输入预案。</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支持对监控点、编码设备的在线状态进行设备巡检，并以统计图方式展示巡检结果；支持对监控的图像进行视频质量诊断，图像异常项包括图像偏色、噪声干扰、图像过暗、图像过亮、视频丢帧、视频抖动、对比度异常、条纹干扰、视频遮挡、信号丢失、图像黑白、图像模糊、场景变换、视频剧变；</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支持对历史录像的完整率进行监控，统计项包括录像完整数、录像丢失数、巡检失败数、未检测数、监控点总数；支持以统计图展现指定区域的录像完整情况，支持报表展示视频质量统计、录像完整率统计、区域运维考核结果统计，支持设备巡检计划配置，包括计划名称、巡检类型、采集对象、巡检时间、巡检频率、状态，并以列表形式展现；</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支持按测温分组、测温点和测温时间筛选测温数据，可根据测温数据制作统计报表，统计报表包括监测数据总览、未登记情况统计、登记情况统计、登记状态占比、来自疫区占比图，支持将在线报告保存至本地或报告库，报告库中包含历史保存到报告库中的在线报告，可通过生成日期搜索报告库中的报告，可在线预览和保存到本地（，支持GB/T 28181-2011/2016协议平台级联配置，（提供公安部检测报告原件扫描件加盖供应商公章）</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r>
            <w:r/>
          </w:p>
          <w:p>
            <w:pPr>
              <w:jc w:val="left"/>
              <w:keepLines w:val="0"/>
              <w:keepNext w:val="0"/>
              <w:widowControl/>
              <w:rPr>
                <w:rStyle w:val="837"/>
                <w:color w:val="000000" w:themeColor="text1"/>
                <w:sz w:val="20"/>
                <w:szCs w:val="20"/>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支持开启SVC解码功能，可同时回放5路400W分辨率、H.264/H.265编码格式的视频图像，解码总资源为10个1920×1080格式的视频图像，显示输出分辨率具有1024×768/60Hz、1280×720/60Hz、1280×1024/60Hz、1600×1200/60Hz、1920×1080/60H</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z、2560×1440/60Hz、4K(3840×2160)/30Hz、4K(4096×2160)/30Hz设置选项，智能后检索：接入支持智能分析功能的IPC，录像回放时，可设置移动侦测区域、越界/区域入侵区域并进行检索，可自动跳过未触发设定规则的录像，只播放触发规则的录像，并且播放速度可设置，网络容错：可将多个网口设置同一IP地址，其中任一网口损坏时，仍能正常工作，可对IPC的参数配置进行修改，可设置曝光、日夜转换、背光、图像增强、分辨率、码率、帧率、字符叠加、隐私遮盖等；并支持将IPC参数配置到其他通道</w:t>
            </w:r>
            <w:r>
              <w:rPr>
                <w:rStyle w:val="837"/>
                <w:color w:val="000000" w:themeColor="text1"/>
                <w:sz w:val="20"/>
                <w:szCs w:val="20"/>
                <w:lang w:val="en-US" w:eastAsia="zh-CN" w:bidi="ar"/>
                <w14:textFill>
                  <w14:solidFill>
                    <w14:schemeClr w14:val="tx1"/>
                  </w14:solidFill>
                </w14:textFill>
              </w:rPr>
              <w:t xml:space="preserve">（提供公安部检测报告原件扫描件加盖供应商公章）</w:t>
            </w:r>
            <w:r/>
          </w:p>
          <w:p>
            <w:pPr>
              <w:jc w:val="left"/>
              <w:keepLines w:val="0"/>
              <w:keepNext w:val="0"/>
              <w:widowControl/>
              <w:rPr>
                <w:rStyle w:val="837"/>
                <w:color w:val="000000" w:themeColor="text1"/>
                <w:sz w:val="20"/>
                <w:szCs w:val="20"/>
                <w:lang w:val="en-US" w:eastAsia="zh-CN" w:bidi="ar"/>
                <w14:textFill>
                  <w14:solidFill>
                    <w14:schemeClr w14:val="tx1"/>
                  </w14:solidFill>
                </w14:textFill>
              </w:rPr>
              <w:suppressLineNumbers w:val="0"/>
            </w:pPr>
            <w:r>
              <w:rPr>
                <w:rStyle w:val="837"/>
                <w:color w:val="000000" w:themeColor="text1"/>
                <w:sz w:val="20"/>
                <w:szCs w:val="20"/>
                <w:lang w:val="en-US" w:eastAsia="zh-CN" w:bidi="ar"/>
                <w14:textFill>
                  <w14:solidFill>
                    <w14:schemeClr w14:val="tx1"/>
                  </w14:solidFill>
                </w14:textFill>
              </w:rPr>
              <w:t xml:space="preserve">19、支持接入高级移动侦测的相机，移动侦测报警能够区分是人、车还是其它目标产生，可录像和记录报警信息；</w:t>
            </w:r>
            <w:r/>
          </w:p>
          <w:p>
            <w:pPr>
              <w:jc w:val="left"/>
              <w:keepLines w:val="0"/>
              <w:keepNext w:val="0"/>
              <w:widowControl/>
              <w:rPr>
                <w:rStyle w:val="837"/>
                <w:color w:val="000000" w:themeColor="text1"/>
                <w:sz w:val="20"/>
                <w:szCs w:val="20"/>
                <w:lang w:val="en-US" w:eastAsia="zh-CN" w:bidi="ar"/>
                <w14:textFill>
                  <w14:solidFill>
                    <w14:schemeClr w14:val="tx1"/>
                  </w14:solidFill>
                </w14:textFill>
              </w:rPr>
              <w:suppressLineNumbers w:val="0"/>
            </w:pPr>
            <w:r>
              <w:rPr>
                <w:rStyle w:val="837"/>
                <w:color w:val="000000" w:themeColor="text1"/>
                <w:sz w:val="20"/>
                <w:szCs w:val="20"/>
                <w:lang w:val="en-US" w:eastAsia="zh-CN" w:bidi="ar"/>
                <w14:textFill>
                  <w14:solidFill>
                    <w14:schemeClr w14:val="tx1"/>
                  </w14:solidFill>
                </w14:textFill>
              </w:rPr>
              <w:t xml:space="preserve">接入警戒摄像机，支持对IPC的声音和闪光参数进行配置， 支持通过移动侦测、区域入侵、越界侦测、进入区域和离开区域事件联动一个或多个IPC的声光报警，可以对声光联动一键撤防，人脸侦测：接入带有人脸侦测报警功能的IPC，当触发报警时，样机可联动录像、抓拍并保存图片、弹出报警画面、声音警告、上传中心、发送邮件、触发报警输出，可联动外接球机预置点、球机轮巡、球机轨迹。</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SA"/>
                <w14:textFill>
                  <w14:solidFill>
                    <w14:schemeClr w14:val="tx1"/>
                  </w14:solidFill>
                </w14:textFill>
              </w:rPr>
              <w:suppressLineNumbers w:val="0"/>
            </w:pPr>
            <w:r>
              <w:rPr>
                <w:rStyle w:val="838"/>
                <w:color w:val="000000" w:themeColor="text1"/>
                <w:lang w:val="en-US" w:eastAsia="zh-CN" w:bidi="ar"/>
                <w14:textFill>
                  <w14:solidFill>
                    <w14:schemeClr w14:val="tx1"/>
                  </w14:solidFill>
                </w14:textFill>
              </w:rPr>
              <w:t xml:space="preserve">20、★车牌侦测：接入带有车牌侦测报警功能的IPC，可导入导出车牌黑白名单，可单独设置黑白名单报警联动、白名单报警联动，可设置图片叠加监测点编号、监测点信息、设备编号、车牌号码、抓拍时间等信息，当触发报警时，可联动录像、抓拍并保存图片，同时弹出报警画面、声音警告、上传中心、发送邮件、触发报警输出；可联动球机预置点、球机轮巡、球机轨迹，并可按通道、时间、车牌号码检索图片，支持将多路通道的视频画面合并为一个画面，用单个通道的带宽在客户端软件中查看，并可设置帧率、码率（提供公安部检测报告原件扫描件加盖供应商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监控存储硬盘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top"/>
            <w:textDirection w:val="lrTb"/>
            <w:noWrap w:val="false"/>
          </w:tcPr>
          <w:p>
            <w:p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配套8T</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网桥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2.4GHz提供最高提供300Mbps的无线桥接协商速率 ，推荐500米 ，</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支持12VDC供电和12V非标PoE供电，支持APP/Web配置模式，</w:t>
            </w:r>
            <w:r/>
          </w:p>
          <w:p>
            <w:p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支持APP/Web配置同步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显示器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top"/>
            <w:textDirection w:val="lrTb"/>
            <w:noWrap w:val="false"/>
          </w:tcPr>
          <w:p>
            <w:p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55英寸4K 监控专用液晶金属壳 HDMI/VGA</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高清线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top"/>
            <w:textDirection w:val="lrTb"/>
            <w:noWrap w:val="false"/>
          </w:tcPr>
          <w:p>
            <w:p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8米HDMI高清线 4K/30Hz 版本1.4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操作台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管理电脑</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六类非屏蔽双绞线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1.颜色：蓝色；</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2.导体：23AWG，带宽达到250MHz；</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3.芯线：8根芯线采用单股软铜线，每根芯线带有彩色绝缘层；</w:t>
            </w:r>
            <w:r/>
          </w:p>
          <w:p>
            <w:pPr>
              <w:jc w:val="left"/>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4.特性：符合ANSI/TIA-568-C.2、ISO/IEC 11801、EN50173-1：2001六类规范；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6250</w:t>
            </w:r>
            <w:r/>
          </w:p>
        </w:tc>
      </w:tr>
      <w:tr>
        <w:trPr>
          <w:trHeight w:val="623"/>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35"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三、门禁系统</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参数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人脸指纹刷卡一体机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1、LAN、WIFI双网络，支持多网络同时连接(10M/100M自适应)；RS-485接口×1个；韦根接口×1个；USB接口×1个；喇叭扬声器；门锁I/O输出×1个；门磁I/O输入×1个；开门按钮I/O输入X1个；机械防拆开关×1个</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设备采用4.3英寸LCD触摸显示屏，屏幕防暴等级IK04，设备结构后壳防破坏能力应满足IK07的要求.</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设备应支持TCP/IP有线网络通信传输方式；设备应支持wifi无线网络通信传输方式，有线网络与无线网络应能自由切换；设备应支特10M/100M网络自适应配置；设备应支持根据WiFi热点强度自动切换网络；设备应支持通过IPV4网络地址登录；设备应支持云平台通信，实现视频、对讲及权限管控功能；设备应支持被4个客户端软件同时实时监听，在线状态下实时上传比对记录。</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支持红外补光；指示灯支持固定频率的亮起和熄灭（呼吸状态）及识别状态提示</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备应能离线存储10000个用户信息（用户能设定为管理员）；设备应能离线存储10000张人脸库；设备应能离线存储50000张卡片信息；设备应能离线存储150000笔进出记录；设备应能离线存储10000个密码；设备应能离线存储3000枚指纹信息</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应支持通过 WEB进行设备各项功能参数配置</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应支持人脸在画面内持续动态监测；应支持人脸验证功能，现场抓拍人脸照片与本地人脸库照片进行比对，进行人员身份核验；应支持联网与后端平台对接，实现人脸比对功能；应支持在0.0011ux低照度无补光环境下正常实现人脸验证，适应强光、逆光、暗光等条件的人脸验证；应支持侧脸，遮挡，模糊，表情，戴眼镜及帽子等实际场景识别；应支持用户人脸数据下发及人脸验证双线程同步工作；设备垂直及水平区域人脸验证范围应能设置；人脸在各角度偏转±45°，应能进行人脸验证，并且该识别角度应能支持设置；人脸验证应支持多阈值设置。</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应支持以下认证方式：人脸；支持刷卡（支持IC卡、CPU卡、NFC、身份证序列号）；指纹；二维码；密码；应支持任意一种、任意两组、任意三组组合认证。</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设备应支持在管理中心远程视频预览功能；应支持与管理平台或客户端中心、室内机、管理机、手机APP可视对讲功能；应能通过web进行视频连接；应支持配置一键呼叫管理机或室内机的可视对讲功能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支持对用户进行非授权名单标注；支持本地非授权名单信息比对；支持本地非授权名单记录上传。</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设备应支持本地加密存储进出事件、人员信息及抓拍人脸照片；设备应支持实时加密传进出事件、人员信息及抓拍人脸照片等至管理中心；设备应支持断网续传离线加密进出记录功能；设备USB导出的数据（进出事件等）采用加密处理；人员信息及进出事件采用加密处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应支持在没有用户使用时，自动切换到屏保或息屏待机状态；支持物体靠近自动唤醒待机设备，唤醒距离可调节；设备待机功耗低手8W</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应能对门的开启方式，卡（人脸、密码）的各种使用权限进行组合设置，实现以下权限管理：反潜回（防跟随）功能；多重卡认证开门；多重卡+中心远程认证开门；多重卡+超级密码开门；多重卡+超级卡开门；首卡开门；超级权限开门；管理中心远程升门；APP远程开门；室内机及管理机远程开门；应支持普通卡、来宾卡、胁迫卡、超级卡、巡更卡等多种类型用户权限设置；应支持按时间分时段管控门禁权限，支持255组时段计划管理，支持1024个假日计划管理；应支持常开、常闭时段管理；应支持首卡开门管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设备应支持手动校时和自动校时功能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5、对所要求的功能而言，需要的所有软件均应保存到固态存储器中；具有文字界面系统管理软件，文字必须为简体中文；当电源不正常、掉电或更换电池时，系统的密钥（钥匙）信息及各记录信息不得丢失</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设备支持在线升级、本地U盘升级、OTA 升级功能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根据设定事件的联动关系，当检测到该件发生时，可触发对应的动作。</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有授权人员刷人脸时，设备可抓拍图片并实时上传平台；设备应支持将非授权人员刷脸记录上报平台。</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发生以下情况时，系统应告警：当连续若干次在目标信息识读设备或管理/控制部分上实施错误操作时；当未使用授权的钥匙而强行通过出入口时；未经正常操作而使出入口开启时；出入口开启时间超过设定值时；设备被拆除时；胁迫卡和胁迫码；非授权名单卡刷卡时接入系统平台后可支持视频联动报警功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设备应配备4.3英寸触摸显示屏</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6、产品供应商应具有符合ISO/IEC 27701：2019要求的隐私信息管理体系认证。</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7、符合GB/T24021-2001idt ISO14021:1999《环境管理环境标志与声明自我环境声明(Ⅱ型环境标志)》的要求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出门按钮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结构：塑料面板；</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性能：最大耐电流1.25A，电压250V；</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输出：常开；</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类型：适合埋入式电器盒使用；</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尺寸：86*86mm，安装后露出13mm</w:t>
            </w:r>
            <w:r/>
          </w:p>
          <w:p>
            <w:pPr>
              <w:jc w:val="left"/>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重量：0.07kg；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双门磁力锁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铝外壳采用高强度合金材料，阳极硬化处理；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最大静态直线拉力：230kg±10%*2；</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断电开锁，满足消防要求；</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指示灯：红灯为开锁状态， 绿灯为上锁状态；</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支持锁状态侦测信号(门磁)输出：NO/NC/COM接点；</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工作电压：12V/940mA 或 24V/470mA，可自行设定工作电压，出厂默认为DC12V；</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防残磁设计，选用防磨损材料；</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磁力锁无机械故障，完全采用电磁吸力工作；</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加大电磁吸力，专业设计、双重锁体绝缘处理；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使用环境：室内（不防水）；</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适用门型：木门、玻璃门、金属门、防火门。</w:t>
            </w:r>
            <w:r/>
          </w:p>
          <w:p>
            <w:pPr>
              <w:jc w:val="left"/>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注意：左右两个进线孔都要使用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门禁控制器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管控门数：1门</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通讯方式：上行TCP/IP</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可接读卡器：RS485读卡器*2、Wiegand读卡器*2</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存储容量：10万张卡和20万记录存储</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门禁高级功能：支持单主机反潜回、多重卡认证等</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输入接口：门磁*1、开门按钮*1、Case输入*5、防拆*1、消防*1</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输出接口：开门继电器*1、报警继电器*4</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其他功能：带消防联动继电器接口</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工作电压：DC 12V（自带开关电源：220V输入，12V50W输出）</w:t>
            </w:r>
            <w:r/>
          </w:p>
          <w:p>
            <w:pPr>
              <w:jc w:val="left"/>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设备尺寸：373(高)*345(宽)*90mm(厚)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权限发卡器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配置双色指示灯，配置蜂鸣器提示，在读卡写卡时反映系统的当前工作状态提醒功能；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设备支持USB通讯功能；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免驱动，即插即用；</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USB接口供电，无需外接电源；</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工作模式支持可读可写；</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性能参数：</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读卡类型：IC卡；</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读卡距离：≤5CM；</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通讯接口：USB；</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工作频率：13.56MHz；</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工作功耗：DC5V，200mA；</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工作温度：0~50℃；</w:t>
            </w:r>
            <w:r/>
          </w:p>
          <w:p>
            <w:pPr>
              <w:jc w:val="left"/>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设备尺寸：105*45*155mm；</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管理电脑</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信号线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国标RVV2*1.0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450</w:t>
            </w:r>
            <w:r/>
          </w:p>
        </w:tc>
      </w:tr>
      <w:tr>
        <w:trPr>
          <w:trHeight w:val="623"/>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35"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四、会议室扩声系统</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参数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高档会议音箱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精确设计的分频器，优化频率响应及人声部分的中频表现力。</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支持吊装、壁装、落地等多种安装方式。</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箱体表面采用持久耐用的亚光聚安脂涂料，有良好的防潮性。</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可用于会议室，多功能厅，舞台监听及辅助音箱。</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单元组成：低音：≥10寸低音单元铝盆架150磁</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单元组成：高音：≥34芯高音单元100磁</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频率响应(-3dB)：65Hz-18KHz</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频率响应(-10dB)：60Hz-20KHz</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覆盖角度(-6dB)：≥90度(H)×60度(V)</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灵敏度(1W/1m)：≥96dB/1W  1米</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连续声压级：≥120dB</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峰值声压级：≥126dB</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标准阻抗：8Ω</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输入功率：≥250W(额定)/1000W(峰值)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777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专业功放350W</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具有工作状态实时指示灯，1 个电源指示，2 个信号通道指示，2 个限幅通道指示，2 个保护通道指示</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支持短路保护功能，自动保护重置功能，防止功放发生短路，或输出电路发生其它应激故障。</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设有限幅器，信号峰值过大自动限幅过大输出到达扬声器，最高限幅可达到10V。</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支持过热保护，输出级操作温度过高，温控连续变速风扇，从前到后的空气流动。</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支持过载保护，峰值负反馈保护，当信号输入输出出现失真、冲击、或线电压严重过压时，能有效地对功放进行保护。</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内设保护电路，软启动，输入浪涌限制，输出短路、直流，开关机哑音保护，射频干扰保护。</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输出功率@立体声8Ω（失真≤1%时）：≥2×400W</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输出功率@立体声4Ω（失真≤1%时）：≥2×560W</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输出功率@立体声2Ω（失真≤1%时）：≥2×780W</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频率响应（1W 8Ω）：20Hz～20KHz±0.5dB</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灵敏度（8Ω 1KHz）：≥1V/32dB</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信噪比( A计权，额定功率8Ω )：≥105dB</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相位响应( 1W &amp; 8Ω，20Hz-20KHz )：≤±1.5°</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转换速率：≥60V / us</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前面板指示：电源，削波，压限，信号</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后面板接口：并机输入：≥2*母3针XLR，输出：≥2*公3针XLR；PSZ信号输出外接线柱。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音箱壁挂支架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产品描述： </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音箱壁装支架适用于10寸.12寸.15寸专业音箱。 加厚支架，可有效承重50公斤。 支架立柱为35mm直径，可直接连接音箱底座。 壁架可调节长度、角度和摆动方向。 </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技术参数： </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颜色：黑色 </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材质：加厚加硬钢板 </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伸缩方式：可调长度.可调角度，可调方向 </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最大承重：50KG </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固定方式：墙壁平面固定式 </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壁挂伸缩长度：26.5-35.5cm</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数字音频处理器(8进8出)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1、≥8路平衡式话筒、线路输入/输出，采用凤凰插接线端子。</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2、★麦克风输入和线路输入自由切换，每路输入带48V幻相电源选择。</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3、系统内置锁屏功能，有效避免发生误操作。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4、★Enternet多用途数据传输及控制端口，可以支持实时管理单台及多台设备。</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支持U盘播放，即插即用，可通过PC客户端进行播放操作；</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≥1路光钎输出，可在OUT1/OUT2、OUT3/OUT4、OUT5/OUT6、OUT7/OUT8信号中切换选择。</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DSP音频处理，内置AM自动混音功能、自动增益。</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输入每通道：前级放大、灵敏度选择，信号发生器、噪声门，FBX，分频器，自动增益、压缩器、10段参量均衡。</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输出每通道：≥10段参量均衡、最大输出电平、延时器、分频器、压缩器。</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全功能矩阵混音功能，不单单是混音和自动混音功能，还具备混音分量控制功能。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通道支持拷贝、粘贴、联控功能。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内置自动摄像跟踪功能。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支持≥12组场景预设功能。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具有断电自动保护记忆功能。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配置RS485接口、标准以太网控制接口、≥8通道可编程GPIO控制接口（可自定义输入输出）。</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频率响应（20~20KHz）：±0.5dB</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信噪比：≥105dB（A加权）（@输出10dBu@0dBu&gt;95 dB）</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总谐波失真+噪声：≤0.02 @20-20KHz ，15dBu</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底噪（A-计权）：≤-90dBu</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延时存储 ：≥1000ms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等效输入噪声EIN（20-20kHz，A计权）：≤-110dBU</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★（要求提供第三方检测检测机构认可的检测报告原件扫描件，加盖供应商公章）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反馈抑制器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高性能 8核DSP处理器、≥24Bit数据带宽、48KHz采样率，可精准、快速找到啸叫频点。</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≥2寸高清真彩TFT屏，支持中英文双语切换，主页面可实时显示通道啸叫频点数量、当前音量等，直观明了。</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★1、采用 96kHz 采样频率，32-bitDSP 处理器，24-bitA/D 及 D/A 转换，全自动窄带陷波式反馈抑制。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2、可通过面板的 BYPASS/ON 按键切换工作模式为直通或抑制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★3、可提供模拟输入输出或数字 AES3、光纤，同轴输入输出。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输入通道及插座:2 路 XLR 母卡依座 1 路数字卡依光纤同轴输入；输出通道及插座:2 路 XLR 公卡</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依座 1 路数字卡依光纤同轴输出。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专业PC调试控制工具，针对现场的声学环境进行个性化、专业化的设置，满足啸叫抑制的需求。</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灵敏度：0dBu(@Out=0dBu)</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信号比 &gt;110dB（A计权）</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失真度 &lt; 0.05%</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频率响应：+/- 0.5dB (20Hz to 20KHz)</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动态增益提升：5-10dBu</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最大输入电平：15dBu</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 ★（要求提供第三方检测检测机构认可的检测报告原件扫描件，加盖供应商公章）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2编组8路调音台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1.具一个48V幻象电源总开关，一键控制所有通道幻象电源打开关闭。</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2.每通道有增益开关、输入三段均衡高中低、效果、辅助旋钮。</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★3.调音台内置≥16种参数可调的24BIT的DSP效果处理器，≥7段均衡器。（要求提供第三方检测检测机构认可的检测报告原件扫描件加盖供应商公章）</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★4.具有SD/USB接口的MP3功能。（要求提供第三方检测检测机构认可的检测报告原件扫描件，加盖供应商公章）</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5.标准蓝牙系统，连接蓝牙设备进行音频播放。</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 ≥2路主输出，≥2路编组输出，≥1路监听输出，≥2辅助发送/返回。★（要求提供第三方检测检测机构认可的检测报告原件扫描件，加盖供应商公章）</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7.麦克风输入不少于6路，立体声输入不少于2组</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8.灵敏度：0VU=+4dBu</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9.频率响应：±1dB，20Hz-30KHz</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10.麦克风共模抑制比@1KHz：&gt;80dB 典型值</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THD+N @14dBu，1KHz：&lt;0.01%</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串扰 @1KHz：&gt;82dB</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U段无线话筒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1.具有LED液晶屏显示RF/AF信号强度，自动选讯，可设定频道/频率，状态一目了然；</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2.全新独特ID编码功能，对周围环境或≥10台叠机多套使用，具备优良的抗干扰能力</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3.支持自动搜索无干扰信道功能，PLL相位锁定频率合成振荡模式；</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4.双频道频道组数，可切换频率数≥ 400组；</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5.载波频率： UHF频段（640.125~690.000 MHz）；</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6.频带宽度： 50MHz，频率间隔：125KHz；</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7.话筒输出功率： 30MW；</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8.综合S/N比： ±105dB(1KHz-A)</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9.综合失真度： &lt;0.5% @ 1KHz</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10.综合频率响应： 50Hz-18KHz±3dB具低频衰减滤频电路</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11.静音控制模式： 独立“音码及杂讯锁定”双重静音控制</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12.麦克风使用易购的5号电池，续用时间达≥8小时</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13.天线座带DC9V供电，可直接接放大天线使用；</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★14.要求所投产品具有“无线电发射设备型号核准证”证书，提供证书原件扫描件并加盖供应商公章，证书编号网上可查询；</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★15.所投设备生产厂家的无线话筒必须拥有自主的知识产权，要求提供“无线话筒控制软件”的相关技术证明或自主产权证明文件（提供原件扫描件加盖供应商公章）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U段红外对频一拖四会议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采用标准1U机柜式安装设计，支持机柜或桌面安装。</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一拖四桌面鹅颈话筒。</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设有四路彩色LED显示屏，可实时显示每通道话筒编号、RF和AF信号强度、频率、频率组/频道等工作状态信息，直观方便。</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≥4通道独立输出，音频输出音量单独可控，≥1通道合并输出，可实现≥4通道音频混合输出。</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支持IR红外线自动对频功能，可实现一键自动对频锁定。</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设有独立式的防误触系统锁键，可有效防止他人误操作。</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发射器采用鹅颈麦克风，曲度可调，美观时尚，支持理想条件下≥80米有效使用距离。</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发射器采用2节5号（AA）电池，超长续航，可持续使用超过≥13个小时。</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支持会议/手持/领夹等发射机选择，支持不同发射机混合使用。</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可用于各种会议、演讲等使用场景。</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频率范围 : 610~670 MHz</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可调范围 : ≥60MHz</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信道数目 : ≥200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信道间隔 : ≥300KHz</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频率稳定度 :±0.005%</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音频响应 : 80Hz-18KHz(±3dB)</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综合信噪比 SNR:&gt;105 dB</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综合失真 : ≤0.5%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U段红外对频一拖二会议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产品描述：</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一拖二桌面鹅颈话筒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采用标准1U机柜式安装设计，支持机柜或桌面安装。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采用最新的UHF波段无线音频发射芯片模块IC。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设有彩色LED显示屏，可实时显示话筒编号、RF和AF信号强度、频率、频率组/频道等工作状态信息，直观方便。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设有2通道独立输出，音频输出音量单独可控，另有1通道合并输出。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内置4编组叠机频率，可一键调取.，同一频段可同时轻松叠机四套使用。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支持IR红外线自动对频功能，可实现一键自动对频锁定。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设有独立式的防误触系统锁键，可有效防止他人误操作。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支持会议/手持/领夹等发射机选择，并支持不同发射机混用。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可用于各种会议、演讲等使用场景。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技术参数：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频率范围: 610~670 MHz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调制方式: FM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可调范围 : 50MHz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信道数目: 200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信道间隔 : 300KHz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频率稳定度 :±0.005%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输出功率 ：高功率High power15mW; 低功率 8mW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杂散抑制：-60dB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供电 ：两节AA电池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使用时间 ：连续使用13个小时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无线话筒天线放大器(室内)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产品描述：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采用高动态稳流偏压设计，具有低失真特性，能在多频道同时使用排除混频干扰。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天线输入插座可以直接配置适用频带范围内的各种单竿天线、同轴天线、延长天线组及对数定向天线组。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支持1-4台UHF无线接收器接入，共用一对天线使用。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天线翼叶子配合带有螺纹的集成式支架，可轻松固定在话筒支架上,也可将其悬挂在天花板或墙壁上。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技术参数：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频率范围：500-950MHz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输入截断点：+22dBm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噪声比：4.0dB Type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增益：+6-9dB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阻抗：50Ω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频宽：450MHz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插座：BNC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电源供应：100-240V/50/60Hz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电源消耗：170mA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产品尺寸（W×D×H）：484×210×44mm</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8+2通道电源时序器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1、1U机柜式、电源开关防触碰设计；双层双色双拼前面板，采用隐藏式条形出气口及弧形进风口设计，设备散热均匀，有效延长使用寿命。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大电流三芯电源输入缆线，支持宽电压220V输入。</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2、前面板具有≥1路直通220V电源座，≥2路USB DC-5V,1A直流供电接口，≥5个功能键。</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后面板≥8路可控多功能标准插座输出，通用于国际多种类型插头。</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设备前面板有液晶显示屏，可实时显示电压、电流、时间、操作菜单等信息。（投标时要求提供公安部安全与警用电子产品质量检测中心出具的此内容的检测报告原件扫描件加盖供应商公章，并提供公安部安全与警用电子产品质量检测中心官网查询截图）</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带≥8个LED指示灯显示，实时查看每个通道的工作状态。</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支持定时开启/关闭任意AC220V选通输出接口，当同时开启/关闭全部AC220V选通输出接口时，输出接口逐一开启或关闭，间隔时间0-9s可调。</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设备支持TCP/IP网络和串口控制，可通过软件开启/关闭任意AC220V选通输出接口。</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4、支持一键恢复出厂设置，支持中控和编程两种工作模式。带远程干结点信号控制功能及短路信号输出功能，便于联机下一台设备达到统一管理。</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接口：前面板≥1个万能插座、≥1个空气开关、≥2个USB口、后面板≥8个万能插座、≥1个网口、≥1个485口、≥1个短路输入，≥1个输出口</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5、★所投设备生产厂家的控制软件必须拥有自主的知识产权，要求提供“电源时序器电子密码软件”的相关技术证明或自主产权证明文件（原件扫描件加盖供应商公章）</w:t>
            </w:r>
            <w:r/>
          </w:p>
          <w:p>
            <w:pPr>
              <w:jc w:val="left"/>
              <w:keepLines w:val="0"/>
              <w:keepNext w:val="0"/>
              <w:widowControl/>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6、电源指示：LED指示灯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机柜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600*600*1200mm机柜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16"/>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35"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五、党员活动室扩声系统</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设备名称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参数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数量</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高档会议音箱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精确设计的分频器，优化频率响应及人声部分的中频表现力。</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支持吊装、壁装、落地等多种安装方式。</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箱体表面采用持久耐用的亚光聚安脂涂料，有良好的防潮性。</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可用于会议室，多功能厅，舞台监听及辅助音箱。</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单元组成：低音：≥10寸低音单元铝盆架150磁</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单元组成：高音：≥34芯高音单元100磁</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频率响应(-3dB)：65Hz-18KHz</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频率响应(-10dB)：60Hz-20KHz</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覆盖角度(-6dB)：≥90度(H)×60度(V)</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灵敏度(1W/1m)：≥96dB/1W  1米</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连续声压级：≥120dB</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峰值声压级：≥126dB</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标准阻抗：8Ω</w:t>
            </w:r>
            <w:r/>
          </w:p>
          <w:p>
            <w:pPr>
              <w:jc w:val="left"/>
              <w:keepLines w:val="0"/>
              <w:keepNext w:val="0"/>
              <w:widowControl/>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输入功率：≥250W(额定)/1000W(峰值)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只</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专业功放350W</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top"/>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具有工作状态实时指示灯，1 个电源指示，2 个信号通道指示，2 个限幅通道指示，2 个保护通道指示</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支持短路保护功能，自动保护重置功能，防止功放发生短路，或输出电路发生其它应激故障。</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设有限幅器，信号峰值过大自动限幅过大输出到达扬声器，最高限幅可达到10V。</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支持过热保护，输出级操作温度过高，温控连续变速风扇，从前到后的空气流动。</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支持过载保护，峰值负反馈保护，当信号输入输出出现失真、冲击、或线电压严重过压时，能有效地对功放进行保护。</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内设保护电路，软启动，输入浪涌限制，输出短路、直流，开关机哑音保护，射频干扰保护。</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输出功率@立体声8Ω（失真≤1%时）：≥2×400W</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输出功率@立体声4Ω（失真≤1%时）：≥2×560W</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输出功率@立体声2Ω（失真≤1%时）：≥2×780W</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频率响应（1W 8Ω）：20Hz～20KHz±0.5dB</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灵敏度（8Ω 1KHz）：≥1V/32dB</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信噪比( A计权，额定功率8Ω )：≥105dB</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相位响应( 1W &amp; 8Ω，20Hz-20KHz )：≤±1.5°</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转换速率：≥60V / us</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前面板指示：电源，削波，压限，信号</w:t>
            </w:r>
            <w:r/>
          </w:p>
          <w:p>
            <w:pPr>
              <w:jc w:val="left"/>
              <w:keepLines w:val="0"/>
              <w:keepNext w:val="0"/>
              <w:widowControl/>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后面板接口：并机输入：≥2*母3针XLR，输出：≥2*公3针XLR；PSZ信号输出外接线柱。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音箱壁挂支架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产品描述：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音箱壁装支架适用于10寸.12寸.15寸专业音箱。 加厚支架，可有效承重50公斤。 支架立柱为35mm直径，可直接连接音箱底座。 壁架可调节长度、角度和摆动方向。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技术参数：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颜色：黑色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材质：加厚加硬钢板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伸缩方式：可调长度.可调角度，可调方向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最大承重：50KG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固定方式：墙壁平面固定式 </w:t>
            </w:r>
            <w:r/>
          </w:p>
          <w:p>
            <w:pPr>
              <w:jc w:val="left"/>
              <w:keepLines w:val="0"/>
              <w:keepNext w:val="0"/>
              <w:widowControl/>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壁挂伸缩长度：26.5-35.5cm</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只</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数字音频处理器(8进8出)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1、≥8路平衡式话筒、线路输入/输出，采用凤凰插接线端子。</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2、★麦克风输入和线路输入自由切换，每路输入带48V幻相电源选择。</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3、系统内置锁屏功能，有效避免发生误操作。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4、★Enternet多用途数据传输及控制端口，可以支持实时管理单台及多台设备。</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支持U盘播放，即插即用，可通过PC客户端进行播放操作；</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≥1路光钎输出，可在OUT1/OUT2、OUT3/OUT4、OUT5/OUT6、OUT7/OUT8信号中切换选择。</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DSP音频处理，内置AM自动混音功能、自动增益。</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输入每通道：前级放大、灵敏度选择，信号发生器、噪声门，FBX，分频器，自动增益、压缩器、10段参量均衡。</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输出每通道：≥10段参量均衡、最大输出电平、延时器、分频器、压缩器。</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全功能矩阵混音功能，不单单是混音和自动混音功能，还具备混音分量控制功能。</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通道支持拷贝、粘贴、联控功能。</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内置自动摄像跟踪功能。</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支持≥12组场景预设功能。</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具有断电自动保护记忆功能。</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配置RS485接口、标准以太网控制接口、≥8通道可编程GPIO控制接口（可自定义输入输出）。</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频率响应（20~20KHz）：±0.5dB</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信噪比：≥105dB（A加权）（@输出10dBu@0dBu&gt;95 dB）</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总谐波失真+噪声：≤0.02 @20-20KHz ，15dBu</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底噪（A-计权）：≤-90dBu</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延时存储 ：≥1000ms</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等效输入噪声EIN（20-20kHz，A计权）：≤-110dBU</w:t>
            </w:r>
            <w:r/>
          </w:p>
          <w:p>
            <w:pPr>
              <w:jc w:val="left"/>
              <w:keepLines w:val="0"/>
              <w:keepNext w:val="0"/>
              <w:widowControl/>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★（要求提供第三方检测检测机构认可的检测原件扫描件加盖供应商公章）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反馈抑制器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高性能 8核DSP处理器、≥24Bit数据带宽、48KHz采样率，可精准、快速找到啸叫频点。</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≥2寸高清真彩TFT屏，支持中英文双语切换，主页面可实时显示通道啸叫频点数量、当前音量等，直观明了。</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★1、采用 96kHz 采样频率，32-bitDSP 处理器，24-bitA/D 及 D/A 转换，全自动窄带陷波式反馈抑制。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2、可通过面板的 BYPASS/ON 按键切换工作模式为直通或抑制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★3、可提供模拟输入输出或数字 AES3、光纤，同轴输入输出。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输入通道及插座:2 路 XLR 母卡依座 1 路数字卡依光纤同轴输入；输出通道及插座:2 路 XLR 公卡</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依座 1 路数字卡依光纤同轴输出。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专业PC调试控制工具，针对现场的声学环境进行个性化、专业化的设置，满足啸叫抑制的需求。</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灵敏度：0dBu(@Out=0dBu)</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信号比 &gt;110dB（A计权）</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失真度 &lt; 0.05%</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频率响应：+/- 0.5dB (20Hz to 20KHz)</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动态增益提升：5-10dBu</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最大输入电平：15dBu</w:t>
            </w:r>
            <w:r/>
          </w:p>
          <w:p>
            <w:pPr>
              <w:jc w:val="left"/>
              <w:keepLines w:val="0"/>
              <w:keepNext w:val="0"/>
              <w:widowControl/>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 ★（要求提供第三方检测检测机构认可的检测原件扫描件加盖供应商公章）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2编组8路调音台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1.具一个48V幻象电源总开关，一键控制所有通道幻象电源打开关闭。</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2.每通道有增益开关、输入三段均衡高中低、效果、辅助旋钮。</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★3.调音台内置≥16种参数可调的24BIT的DSP效果处理器，≥7段均衡器。（要求提供第三方检测检测机构认可的检测报告原件扫描件加盖供应商公章）</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★4.具有SD/USB接口的MP3功能。（要求提供第三方检测检测机构认可的检测报告原件扫描件加盖供应商公章）</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5.标准蓝牙系统，连接蓝牙设备进行音频播放。</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 ≥2路主输出，≥2路编组输出，≥1路监听输出，≥2辅助发送/返回。（要求提供第三方检测检测机构认可的检测报告原件扫描件加盖供应商公章）</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7.麦克风输入不少于6路，立体声输入不少于2组</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8.灵敏度：0VU=+4dBu</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9.频率响应：±1dB，20Hz-30KHz</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10.麦克风共模抑制比@1KHz：&gt;80dB 典型值</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THD+N @14dBu，1KHz：&lt;0.01%</w:t>
            </w:r>
            <w:r/>
          </w:p>
          <w:p>
            <w:pPr>
              <w:jc w:val="left"/>
              <w:keepLines w:val="0"/>
              <w:keepNext w:val="0"/>
              <w:widowControl/>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串扰 @1KHz：&gt;82dB</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U段无线话筒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276225</wp:posOffset>
                      </wp:positionV>
                      <wp:extent cx="19050" cy="0"/>
                      <wp:effectExtent l="0" t="0" r="0" b="0"/>
                      <wp:wrapNone/>
                      <wp:docPr id="16" name="图片_1"/>
                      <wp:cNvGraphicFramePr/>
                      <a:graphic xmlns:a="http://schemas.openxmlformats.org/drawingml/2006/main">
                        <a:graphicData uri="http://schemas.openxmlformats.org/drawingml/2006/picture">
                          <pic:pic xmlns:pic="http://schemas.openxmlformats.org/drawingml/2006/picture">
                            <pic:nvPicPr>
                              <pic:cNvPr id="9" name="图片_1"/>
                              <pic:cNvPicPr/>
                              <pic:nvPr/>
                            </pic:nvPicPr>
                            <pic:blipFill>
                              <a:blip r:embed="rId10"/>
                              <a:stretch/>
                            </pic:blipFill>
                            <pic:spPr bwMode="auto">
                              <a:xfrm>
                                <a:off x="0" y="0"/>
                                <a:ext cx="19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2.2pt;mso-position-horizontal:absolute;mso-position-vertical-relative:text;margin-top:21.8pt;mso-position-vertical:absolute;width:1.5pt;height:0.0pt;mso-wrap-distance-left:9.0pt;mso-wrap-distance-top:0.0pt;mso-wrap-distance-right:9.0pt;mso-wrap-distance-bottom:0.0pt;" stroked="f">
                      <v:path textboxrect="0,0,0,0"/>
                      <v:imagedata r:id="rId10"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276225</wp:posOffset>
                      </wp:positionV>
                      <wp:extent cx="19050" cy="0"/>
                      <wp:effectExtent l="0" t="0" r="0" b="0"/>
                      <wp:wrapNone/>
                      <wp:docPr id="17" name="图片_3"/>
                      <wp:cNvGraphicFramePr/>
                      <a:graphic xmlns:a="http://schemas.openxmlformats.org/drawingml/2006/main">
                        <a:graphicData uri="http://schemas.openxmlformats.org/drawingml/2006/picture">
                          <pic:pic xmlns:pic="http://schemas.openxmlformats.org/drawingml/2006/picture">
                            <pic:nvPicPr>
                              <pic:cNvPr id="10" name="图片_3"/>
                              <pic:cNvPicPr/>
                              <pic:nvPr/>
                            </pic:nvPicPr>
                            <pic:blipFill>
                              <a:blip r:embed="rId10"/>
                              <a:stretch/>
                            </pic:blipFill>
                            <pic:spPr bwMode="auto">
                              <a:xfrm>
                                <a:off x="0" y="0"/>
                                <a:ext cx="19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2.2pt;mso-position-horizontal:absolute;mso-position-vertical-relative:text;margin-top:21.8pt;mso-position-vertical:absolute;width:1.5pt;height:0.0pt;mso-wrap-distance-left:9.0pt;mso-wrap-distance-top:0.0pt;mso-wrap-distance-right:9.0pt;mso-wrap-distance-bottom:0.0pt;" stroked="f">
                      <v:path textboxrect="0,0,0,0"/>
                      <v:imagedata r:id="rId10"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276225</wp:posOffset>
                      </wp:positionV>
                      <wp:extent cx="19050" cy="0"/>
                      <wp:effectExtent l="0" t="0" r="0" b="0"/>
                      <wp:wrapNone/>
                      <wp:docPr id="18" name="图片_7"/>
                      <wp:cNvGraphicFramePr/>
                      <a:graphic xmlns:a="http://schemas.openxmlformats.org/drawingml/2006/main">
                        <a:graphicData uri="http://schemas.openxmlformats.org/drawingml/2006/picture">
                          <pic:pic xmlns:pic="http://schemas.openxmlformats.org/drawingml/2006/picture">
                            <pic:nvPicPr>
                              <pic:cNvPr id="11" name="图片_7"/>
                              <pic:cNvPicPr/>
                              <pic:nvPr/>
                            </pic:nvPicPr>
                            <pic:blipFill>
                              <a:blip r:embed="rId10"/>
                              <a:stretch/>
                            </pic:blipFill>
                            <pic:spPr bwMode="auto">
                              <a:xfrm>
                                <a:off x="0" y="0"/>
                                <a:ext cx="19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2.2pt;mso-position-horizontal:absolute;mso-position-vertical-relative:text;margin-top:21.8pt;mso-position-vertical:absolute;width:1.5pt;height:0.0pt;mso-wrap-distance-left:9.0pt;mso-wrap-distance-top:0.0pt;mso-wrap-distance-right:9.0pt;mso-wrap-distance-bottom:0.0pt;" stroked="f">
                      <v:path textboxrect="0,0,0,0"/>
                      <v:imagedata r:id="rId10"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276225</wp:posOffset>
                      </wp:positionV>
                      <wp:extent cx="19050" cy="0"/>
                      <wp:effectExtent l="0" t="0" r="0" b="0"/>
                      <wp:wrapNone/>
                      <wp:docPr id="19" name="图片_6"/>
                      <wp:cNvGraphicFramePr/>
                      <a:graphic xmlns:a="http://schemas.openxmlformats.org/drawingml/2006/main">
                        <a:graphicData uri="http://schemas.openxmlformats.org/drawingml/2006/picture">
                          <pic:pic xmlns:pic="http://schemas.openxmlformats.org/drawingml/2006/picture">
                            <pic:nvPicPr>
                              <pic:cNvPr id="12" name="图片_6"/>
                              <pic:cNvPicPr/>
                              <pic:nvPr/>
                            </pic:nvPicPr>
                            <pic:blipFill>
                              <a:blip r:embed="rId10"/>
                              <a:stretch/>
                            </pic:blipFill>
                            <pic:spPr bwMode="auto">
                              <a:xfrm>
                                <a:off x="0" y="0"/>
                                <a:ext cx="19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2.2pt;mso-position-horizontal:absolute;mso-position-vertical-relative:text;margin-top:21.8pt;mso-position-vertical:absolute;width:1.5pt;height:0.0pt;mso-wrap-distance-left:9.0pt;mso-wrap-distance-top:0.0pt;mso-wrap-distance-right:9.0pt;mso-wrap-distance-bottom:0.0pt;" stroked="f">
                      <v:path textboxrect="0,0,0,0"/>
                      <v:imagedata r:id="rId10"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276225</wp:posOffset>
                      </wp:positionV>
                      <wp:extent cx="19050" cy="0"/>
                      <wp:effectExtent l="0" t="0" r="0" b="0"/>
                      <wp:wrapNone/>
                      <wp:docPr id="20" name="图片_8"/>
                      <wp:cNvGraphicFramePr/>
                      <a:graphic xmlns:a="http://schemas.openxmlformats.org/drawingml/2006/main">
                        <a:graphicData uri="http://schemas.openxmlformats.org/drawingml/2006/picture">
                          <pic:pic xmlns:pic="http://schemas.openxmlformats.org/drawingml/2006/picture">
                            <pic:nvPicPr>
                              <pic:cNvPr id="13" name="图片_8"/>
                              <pic:cNvPicPr/>
                              <pic:nvPr/>
                            </pic:nvPicPr>
                            <pic:blipFill>
                              <a:blip r:embed="rId10"/>
                              <a:stretch/>
                            </pic:blipFill>
                            <pic:spPr bwMode="auto">
                              <a:xfrm>
                                <a:off x="0" y="0"/>
                                <a:ext cx="19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2.2pt;mso-position-horizontal:absolute;mso-position-vertical-relative:text;margin-top:21.8pt;mso-position-vertical:absolute;width:1.5pt;height:0.0pt;mso-wrap-distance-left:9.0pt;mso-wrap-distance-top:0.0pt;mso-wrap-distance-right:9.0pt;mso-wrap-distance-bottom:0.0pt;" stroked="f">
                      <v:path textboxrect="0,0,0,0"/>
                      <v:imagedata r:id="rId10"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276225</wp:posOffset>
                      </wp:positionV>
                      <wp:extent cx="19050" cy="0"/>
                      <wp:effectExtent l="0" t="0" r="0" b="0"/>
                      <wp:wrapNone/>
                      <wp:docPr id="21" name="图片_5"/>
                      <wp:cNvGraphicFramePr/>
                      <a:graphic xmlns:a="http://schemas.openxmlformats.org/drawingml/2006/main">
                        <a:graphicData uri="http://schemas.openxmlformats.org/drawingml/2006/picture">
                          <pic:pic xmlns:pic="http://schemas.openxmlformats.org/drawingml/2006/picture">
                            <pic:nvPicPr>
                              <pic:cNvPr id="14" name="图片_5"/>
                              <pic:cNvPicPr/>
                              <pic:nvPr/>
                            </pic:nvPicPr>
                            <pic:blipFill>
                              <a:blip r:embed="rId10"/>
                              <a:stretch/>
                            </pic:blipFill>
                            <pic:spPr bwMode="auto">
                              <a:xfrm>
                                <a:off x="0" y="0"/>
                                <a:ext cx="19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2.2pt;mso-position-horizontal:absolute;mso-position-vertical-relative:text;margin-top:21.8pt;mso-position-vertical:absolute;width:1.5pt;height:0.0pt;mso-wrap-distance-left:9.0pt;mso-wrap-distance-top:0.0pt;mso-wrap-distance-right:9.0pt;mso-wrap-distance-bottom:0.0pt;" stroked="f">
                      <v:path textboxrect="0,0,0,0"/>
                      <v:imagedata r:id="rId10"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276225</wp:posOffset>
                      </wp:positionV>
                      <wp:extent cx="19050" cy="0"/>
                      <wp:effectExtent l="0" t="0" r="0" b="0"/>
                      <wp:wrapNone/>
                      <wp:docPr id="22" name="图片_2"/>
                      <wp:cNvGraphicFramePr/>
                      <a:graphic xmlns:a="http://schemas.openxmlformats.org/drawingml/2006/main">
                        <a:graphicData uri="http://schemas.openxmlformats.org/drawingml/2006/picture">
                          <pic:pic xmlns:pic="http://schemas.openxmlformats.org/drawingml/2006/picture">
                            <pic:nvPicPr>
                              <pic:cNvPr id="15" name="图片_2"/>
                              <pic:cNvPicPr/>
                              <pic:nvPr/>
                            </pic:nvPicPr>
                            <pic:blipFill>
                              <a:blip r:embed="rId10"/>
                              <a:stretch/>
                            </pic:blipFill>
                            <pic:spPr bwMode="auto">
                              <a:xfrm>
                                <a:off x="0" y="0"/>
                                <a:ext cx="19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2.2pt;mso-position-horizontal:absolute;mso-position-vertical-relative:text;margin-top:21.8pt;mso-position-vertical:absolute;width:1.5pt;height:0.0pt;mso-wrap-distance-left:9.0pt;mso-wrap-distance-top:0.0pt;mso-wrap-distance-right:9.0pt;mso-wrap-distance-bottom:0.0pt;" stroked="f">
                      <v:path textboxrect="0,0,0,0"/>
                      <v:imagedata r:id="rId10"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276225</wp:posOffset>
                      </wp:positionV>
                      <wp:extent cx="19050" cy="0"/>
                      <wp:effectExtent l="0" t="0" r="0" b="0"/>
                      <wp:wrapNone/>
                      <wp:docPr id="23" name="图片_4"/>
                      <wp:cNvGraphicFramePr/>
                      <a:graphic xmlns:a="http://schemas.openxmlformats.org/drawingml/2006/main">
                        <a:graphicData uri="http://schemas.openxmlformats.org/drawingml/2006/picture">
                          <pic:pic xmlns:pic="http://schemas.openxmlformats.org/drawingml/2006/picture">
                            <pic:nvPicPr>
                              <pic:cNvPr id="16" name="图片_4"/>
                              <pic:cNvPicPr/>
                              <pic:nvPr/>
                            </pic:nvPicPr>
                            <pic:blipFill>
                              <a:blip r:embed="rId10"/>
                              <a:stretch/>
                            </pic:blipFill>
                            <pic:spPr bwMode="auto">
                              <a:xfrm>
                                <a:off x="0" y="0"/>
                                <a:ext cx="19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2.2pt;mso-position-horizontal:absolute;mso-position-vertical-relative:text;margin-top:21.8pt;mso-position-vertical:absolute;width:1.5pt;height:0.0pt;mso-wrap-distance-left:9.0pt;mso-wrap-distance-top:0.0pt;mso-wrap-distance-right:9.0pt;mso-wrap-distance-bottom:0.0pt;" stroked="f">
                      <v:path textboxrect="0,0,0,0"/>
                      <v:imagedata r:id="rId10"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1.具有LED液晶屏显示RF/AF信号强度，自动选讯，可设定频道/频率，状态一目了然；</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2.全新独特ID编码功能，对周围环境或≥10台叠机多套使用，具备优良的抗干扰能力</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3.支持自动搜索无干扰信道功能，PLL相位锁定频率合成振荡模式；</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4.双频道频道组数，可切换频率数≥ 400组；</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5.载波频率： UHF频段（640.125~690.000 MHz）；</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6.频带宽度： 50MHz，频率间隔：125KHz；</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7.话筒输出功率： 30MW；</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8.综合S/N比： ±105dB(1KHz-A)</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9.综合失真度： &lt;0.5% @ 1KHz</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10.综合频率响应： 50Hz-18KHz±3dB具低频衰减滤频电路</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11.静音控制模式： 独立“音码及杂讯锁定”双重静音控制</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12.麦克风使用易购的5号电池，续用时间达≥8小时</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13.天线座带DC9V供电，可直接接放大天线使用；</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★14.要求所投产品具有“无线电发射设备型号核准证”证书，提供公安部检测报告原件扫描件加盖供应商公章，证书编号网上可查询；</w:t>
            </w:r>
            <w:r/>
          </w:p>
          <w:p>
            <w:pPr>
              <w:jc w:val="left"/>
              <w:keepLines w:val="0"/>
              <w:keepNext w:val="0"/>
              <w:widowControl/>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★15.所投设备生产厂家的无线话筒必须拥有自主的知识产权，要求提供“无线话筒控制软件”的相关技术证明或自主产权证明文件（原件扫描件并加盖供应商公章）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U段红外对频一拖二会议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产品描述：</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一拖二桌面鹅颈话筒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采用标准1U机柜式安装设计，支持机柜或桌面安装。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采用最新的UHF波段无线音频发射芯片模块IC。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设有彩色LED显示屏，可实时显示话筒编号、RF和AF信号强度、频率、频率组/频道等工作状态信息，直观方便。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设有2通道独立输出，音频输出音量单独可控，另有1通道合并输出。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内置4编组叠机频率，可一键调取.，同一频段可同时轻松叠机四套使用。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支持IR红外线自动对频功能，可实现一键自动对频锁定。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设有独立式的防误触系统锁键，可有效防止他人误操作。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支持会议/手持/领夹等发射机选择，并支持不同发射机混用。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可用于各种会议、演讲等使用场景。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技术参数：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频率范围: 610~670 MHz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调制方式: FM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可调范围 : 50MHz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信道数目: 200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信道间隔 : 300KHz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频率稳定度 :±0.005%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输出功率 ：高功率High power15mW; 低功率 8mW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杂散抑制：-60dB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供电 ：两节AA电池 </w:t>
            </w:r>
            <w:r/>
          </w:p>
          <w:p>
            <w:pPr>
              <w:jc w:val="left"/>
              <w:keepLines w:val="0"/>
              <w:keepNext w:val="0"/>
              <w:widowControl/>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使用时间 ：连续使用13个小时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8+2通道电源时序器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1、1U机柜式、电源开关防触碰设计；双层双色双拼前面板，采用隐藏式条形出气口及弧形进风口设计，设备散热均匀，有效延长使用寿命。</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大电流三芯电源输入缆线，支持宽电压220V输入。</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2、前面板具有≥1路直通220V电源座，≥2路USB DC-5V,1A直流供电接口，≥5个功能键。</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后面板≥8路可控多功能标准插座输出，通用于国际多种类型插头。</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设备前面板有液晶显示屏，可实时显示电压、电流、时间、操作菜单等信息。（投标时要求提供公安部安全与警用电子产品质量检测中心出具的此内容的检测报告原件扫描件，加盖供应商公章，并提供公安部安全与警用电子产品质量检测中心官网查询截图）</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带≥8个LED指示灯显示，实时查看每个通道的工作状态。</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支持定时开启/关闭任意AC220V选通输出接口，当同时开启/关闭全部AC220V选通输出接口时，输出接口逐一开启或关闭，间隔时间0-9s可调。</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设备支持TCP/IP网络和串口控制，可通过软件开启/关闭任意AC220V选通输出接口。</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4、支持一键恢复出厂设置，支持中控和编程两种工作模式。</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带远程干结点信号控制功能及短路信号输出功能，便于联机下一台设备达到统一管理。</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接口：前面板≥1个万能插座、≥1个空气开关、≥2个USB口、后面板≥8个万能插座、≥1个网口、≥1个485口、≥1个短路输入，≥1个输出口</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5、★所投设备生产厂家的控制软件必须拥有自主的知识产权，要求提供“电源时序器电子密码软件”的相关技术证明或自主产权证明文件（原件扫描件并加盖供应商公章）</w:t>
            </w:r>
            <w:r/>
          </w:p>
          <w:p>
            <w:pPr>
              <w:jc w:val="left"/>
              <w:keepLines w:val="0"/>
              <w:keepNext w:val="0"/>
              <w:widowControl/>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6、电源指示：LED指示灯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机柜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600*600*1200mm机柜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35"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六、弱电机房</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静电地板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top"/>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全钢防静电地板：由地板、可调支撑、横梁、螺丝组成；</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2.地板结构：由全钢外壳、425号水泥、陶瓷贴面组成；</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3.地板规格：HDG.QD.602*602*45mm； </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4.地板厚度极限公差：±0.3mm；</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5.地板边长极限公差：0-0.4mm；</w:t>
            </w:r>
            <w:r/>
          </w:p>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6.表面平整度≦0.6mm 相邻边垂直度≦0.3mm；</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平方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接入电缆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4295" cy="480695"/>
                      <wp:effectExtent l="0" t="0" r="0" b="0"/>
                      <wp:wrapNone/>
                      <wp:docPr id="24" name="Text_Box_14"/>
                      <wp:cNvGraphicFramePr/>
                      <a:graphic xmlns:a="http://schemas.openxmlformats.org/drawingml/2006/main">
                        <a:graphicData uri="http://schemas.openxmlformats.org/drawingml/2006/picture">
                          <pic:pic xmlns:pic="http://schemas.openxmlformats.org/drawingml/2006/picture">
                            <pic:nvPicPr>
                              <pic:cNvPr id="32" name="Text_Box_14"/>
                              <pic:cNvPicPr/>
                              <pic:nvPr/>
                            </pic:nvPicPr>
                            <pic:blipFill>
                              <a:blip r:embed="rId11"/>
                              <a:stretch/>
                            </pic:blipFill>
                            <pic:spPr bwMode="auto">
                              <a:xfrm>
                                <a:off x="0" y="0"/>
                                <a:ext cx="7429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0288;o:allowoverlap:true;o:allowincell:true;mso-position-horizontal-relative:text;margin-left:0.0pt;mso-position-horizontal:absolute;mso-position-vertical-relative:text;margin-top:0.0pt;mso-position-vertical:absolute;width:5.8pt;height:37.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4295" cy="480695"/>
                      <wp:effectExtent l="0" t="0" r="0" b="0"/>
                      <wp:wrapNone/>
                      <wp:docPr id="25" name="Text_Box_14_SpCnt_1"/>
                      <wp:cNvGraphicFramePr/>
                      <a:graphic xmlns:a="http://schemas.openxmlformats.org/drawingml/2006/main">
                        <a:graphicData uri="http://schemas.openxmlformats.org/drawingml/2006/picture">
                          <pic:pic xmlns:pic="http://schemas.openxmlformats.org/drawingml/2006/picture">
                            <pic:nvPicPr>
                              <pic:cNvPr id="33" name="Text_Box_14_SpCnt_1"/>
                              <pic:cNvPicPr/>
                              <pic:nvPr/>
                            </pic:nvPicPr>
                            <pic:blipFill>
                              <a:blip r:embed="rId11"/>
                              <a:stretch/>
                            </pic:blipFill>
                            <pic:spPr bwMode="auto">
                              <a:xfrm>
                                <a:off x="0" y="0"/>
                                <a:ext cx="7429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0288;o:allowoverlap:true;o:allowincell:true;mso-position-horizontal-relative:text;margin-left:0.0pt;mso-position-horizontal:absolute;mso-position-vertical-relative:text;margin-top:0.0pt;mso-position-vertical:absolute;width:5.8pt;height:37.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4295" cy="480695"/>
                      <wp:effectExtent l="0" t="0" r="0" b="0"/>
                      <wp:wrapNone/>
                      <wp:docPr id="26" name="Text_Box_14_SpCnt_2"/>
                      <wp:cNvGraphicFramePr/>
                      <a:graphic xmlns:a="http://schemas.openxmlformats.org/drawingml/2006/main">
                        <a:graphicData uri="http://schemas.openxmlformats.org/drawingml/2006/picture">
                          <pic:pic xmlns:pic="http://schemas.openxmlformats.org/drawingml/2006/picture">
                            <pic:nvPicPr>
                              <pic:cNvPr id="34" name="Text_Box_14_SpCnt_2"/>
                              <pic:cNvPicPr/>
                              <pic:nvPr/>
                            </pic:nvPicPr>
                            <pic:blipFill>
                              <a:blip r:embed="rId11"/>
                              <a:stretch/>
                            </pic:blipFill>
                            <pic:spPr bwMode="auto">
                              <a:xfrm>
                                <a:off x="0" y="0"/>
                                <a:ext cx="7429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0288;o:allowoverlap:true;o:allowincell:true;mso-position-horizontal-relative:text;margin-left:0.0pt;mso-position-horizontal:absolute;mso-position-vertical-relative:text;margin-top:0.0pt;mso-position-vertical:absolute;width:5.8pt;height:37.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4295" cy="480695"/>
                      <wp:effectExtent l="0" t="0" r="0" b="0"/>
                      <wp:wrapNone/>
                      <wp:docPr id="27" name="Text_Box_14_SpCnt_3"/>
                      <wp:cNvGraphicFramePr/>
                      <a:graphic xmlns:a="http://schemas.openxmlformats.org/drawingml/2006/main">
                        <a:graphicData uri="http://schemas.openxmlformats.org/drawingml/2006/picture">
                          <pic:pic xmlns:pic="http://schemas.openxmlformats.org/drawingml/2006/picture">
                            <pic:nvPicPr>
                              <pic:cNvPr id="35" name="Text_Box_14_SpCnt_3"/>
                              <pic:cNvPicPr/>
                              <pic:nvPr/>
                            </pic:nvPicPr>
                            <pic:blipFill>
                              <a:blip r:embed="rId11"/>
                              <a:stretch/>
                            </pic:blipFill>
                            <pic:spPr bwMode="auto">
                              <a:xfrm>
                                <a:off x="0" y="0"/>
                                <a:ext cx="7429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0288;o:allowoverlap:true;o:allowincell:true;mso-position-horizontal-relative:text;margin-left:0.0pt;mso-position-horizontal:absolute;mso-position-vertical-relative:text;margin-top:0.0pt;mso-position-vertical:absolute;width:5.8pt;height:37.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4295" cy="480695"/>
                      <wp:effectExtent l="0" t="0" r="0" b="0"/>
                      <wp:wrapNone/>
                      <wp:docPr id="28" name="Text_Box_15"/>
                      <wp:cNvGraphicFramePr/>
                      <a:graphic xmlns:a="http://schemas.openxmlformats.org/drawingml/2006/main">
                        <a:graphicData uri="http://schemas.openxmlformats.org/drawingml/2006/picture">
                          <pic:pic xmlns:pic="http://schemas.openxmlformats.org/drawingml/2006/picture">
                            <pic:nvPicPr>
                              <pic:cNvPr id="36" name="Text_Box_15"/>
                              <pic:cNvPicPr/>
                              <pic:nvPr/>
                            </pic:nvPicPr>
                            <pic:blipFill>
                              <a:blip r:embed="rId11"/>
                              <a:stretch/>
                            </pic:blipFill>
                            <pic:spPr bwMode="auto">
                              <a:xfrm>
                                <a:off x="0" y="0"/>
                                <a:ext cx="7429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0288;o:allowoverlap:true;o:allowincell:true;mso-position-horizontal-relative:text;margin-left:0.0pt;mso-position-horizontal:absolute;mso-position-vertical-relative:text;margin-top:0.0pt;mso-position-vertical:absolute;width:5.8pt;height:37.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4295" cy="480695"/>
                      <wp:effectExtent l="0" t="0" r="0" b="0"/>
                      <wp:wrapNone/>
                      <wp:docPr id="29" name="Text_Box_15_SpCnt_1"/>
                      <wp:cNvGraphicFramePr/>
                      <a:graphic xmlns:a="http://schemas.openxmlformats.org/drawingml/2006/main">
                        <a:graphicData uri="http://schemas.openxmlformats.org/drawingml/2006/picture">
                          <pic:pic xmlns:pic="http://schemas.openxmlformats.org/drawingml/2006/picture">
                            <pic:nvPicPr>
                              <pic:cNvPr id="37" name="Text_Box_15_SpCnt_1"/>
                              <pic:cNvPicPr/>
                              <pic:nvPr/>
                            </pic:nvPicPr>
                            <pic:blipFill>
                              <a:blip r:embed="rId11"/>
                              <a:stretch/>
                            </pic:blipFill>
                            <pic:spPr bwMode="auto">
                              <a:xfrm>
                                <a:off x="0" y="0"/>
                                <a:ext cx="7429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0288;o:allowoverlap:true;o:allowincell:true;mso-position-horizontal-relative:text;margin-left:0.0pt;mso-position-horizontal:absolute;mso-position-vertical-relative:text;margin-top:0.0pt;mso-position-vertical:absolute;width:5.8pt;height:37.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4295" cy="480695"/>
                      <wp:effectExtent l="0" t="0" r="0" b="0"/>
                      <wp:wrapNone/>
                      <wp:docPr id="30" name="Text_Box_14_SpCnt_4"/>
                      <wp:cNvGraphicFramePr/>
                      <a:graphic xmlns:a="http://schemas.openxmlformats.org/drawingml/2006/main">
                        <a:graphicData uri="http://schemas.openxmlformats.org/drawingml/2006/picture">
                          <pic:pic xmlns:pic="http://schemas.openxmlformats.org/drawingml/2006/picture">
                            <pic:nvPicPr>
                              <pic:cNvPr id="38" name="Text_Box_14_SpCnt_4"/>
                              <pic:cNvPicPr/>
                              <pic:nvPr/>
                            </pic:nvPicPr>
                            <pic:blipFill>
                              <a:blip r:embed="rId11"/>
                              <a:stretch/>
                            </pic:blipFill>
                            <pic:spPr bwMode="auto">
                              <a:xfrm>
                                <a:off x="0" y="0"/>
                                <a:ext cx="7429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0288;o:allowoverlap:true;o:allowincell:true;mso-position-horizontal-relative:text;margin-left:0.0pt;mso-position-horizontal:absolute;mso-position-vertical-relative:text;margin-top:0.0pt;mso-position-vertical:absolute;width:5.8pt;height:37.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4295" cy="480695"/>
                      <wp:effectExtent l="0" t="0" r="0" b="0"/>
                      <wp:wrapNone/>
                      <wp:docPr id="31" name="Text_Box_15_SpCnt_2"/>
                      <wp:cNvGraphicFramePr/>
                      <a:graphic xmlns:a="http://schemas.openxmlformats.org/drawingml/2006/main">
                        <a:graphicData uri="http://schemas.openxmlformats.org/drawingml/2006/picture">
                          <pic:pic xmlns:pic="http://schemas.openxmlformats.org/drawingml/2006/picture">
                            <pic:nvPicPr>
                              <pic:cNvPr id="39" name="Text_Box_15_SpCnt_2"/>
                              <pic:cNvPicPr/>
                              <pic:nvPr/>
                            </pic:nvPicPr>
                            <pic:blipFill>
                              <a:blip r:embed="rId11"/>
                              <a:stretch/>
                            </pic:blipFill>
                            <pic:spPr bwMode="auto">
                              <a:xfrm>
                                <a:off x="0" y="0"/>
                                <a:ext cx="7429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0288;o:allowoverlap:true;o:allowincell:true;mso-position-horizontal-relative:text;margin-left:0.0pt;mso-position-horizontal:absolute;mso-position-vertical-relative:text;margin-top:0.0pt;mso-position-vertical:absolute;width:5.8pt;height:37.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4295" cy="480695"/>
                      <wp:effectExtent l="0" t="0" r="0" b="0"/>
                      <wp:wrapNone/>
                      <wp:docPr id="32" name="Text_Box_14_SpCnt_5"/>
                      <wp:cNvGraphicFramePr/>
                      <a:graphic xmlns:a="http://schemas.openxmlformats.org/drawingml/2006/main">
                        <a:graphicData uri="http://schemas.openxmlformats.org/drawingml/2006/picture">
                          <pic:pic xmlns:pic="http://schemas.openxmlformats.org/drawingml/2006/picture">
                            <pic:nvPicPr>
                              <pic:cNvPr id="40" name="Text_Box_14_SpCnt_5"/>
                              <pic:cNvPicPr/>
                              <pic:nvPr/>
                            </pic:nvPicPr>
                            <pic:blipFill>
                              <a:blip r:embed="rId11"/>
                              <a:stretch/>
                            </pic:blipFill>
                            <pic:spPr bwMode="auto">
                              <a:xfrm>
                                <a:off x="0" y="0"/>
                                <a:ext cx="7429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0288;o:allowoverlap:true;o:allowincell:true;mso-position-horizontal-relative:text;margin-left:0.0pt;mso-position-horizontal:absolute;mso-position-vertical-relative:text;margin-top:0.0pt;mso-position-vertical:absolute;width:5.8pt;height:37.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4295" cy="480695"/>
                      <wp:effectExtent l="0" t="0" r="0" b="0"/>
                      <wp:wrapNone/>
                      <wp:docPr id="33" name="Text_Box_14_SpCnt_6"/>
                      <wp:cNvGraphicFramePr/>
                      <a:graphic xmlns:a="http://schemas.openxmlformats.org/drawingml/2006/main">
                        <a:graphicData uri="http://schemas.openxmlformats.org/drawingml/2006/picture">
                          <pic:pic xmlns:pic="http://schemas.openxmlformats.org/drawingml/2006/picture">
                            <pic:nvPicPr>
                              <pic:cNvPr id="41" name="Text_Box_14_SpCnt_6"/>
                              <pic:cNvPicPr/>
                              <pic:nvPr/>
                            </pic:nvPicPr>
                            <pic:blipFill>
                              <a:blip r:embed="rId11"/>
                              <a:stretch/>
                            </pic:blipFill>
                            <pic:spPr bwMode="auto">
                              <a:xfrm>
                                <a:off x="0" y="0"/>
                                <a:ext cx="7429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0288;o:allowoverlap:true;o:allowincell:true;mso-position-horizontal-relative:text;margin-left:0.0pt;mso-position-horizontal:absolute;mso-position-vertical-relative:text;margin-top:0.0pt;mso-position-vertical:absolute;width:5.8pt;height:37.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4295" cy="480695"/>
                      <wp:effectExtent l="0" t="0" r="0" b="0"/>
                      <wp:wrapNone/>
                      <wp:docPr id="34" name="Text_Box_15_SpCnt_3"/>
                      <wp:cNvGraphicFramePr/>
                      <a:graphic xmlns:a="http://schemas.openxmlformats.org/drawingml/2006/main">
                        <a:graphicData uri="http://schemas.openxmlformats.org/drawingml/2006/picture">
                          <pic:pic xmlns:pic="http://schemas.openxmlformats.org/drawingml/2006/picture">
                            <pic:nvPicPr>
                              <pic:cNvPr id="42" name="Text_Box_15_SpCnt_3"/>
                              <pic:cNvPicPr/>
                              <pic:nvPr/>
                            </pic:nvPicPr>
                            <pic:blipFill>
                              <a:blip r:embed="rId11"/>
                              <a:stretch/>
                            </pic:blipFill>
                            <pic:spPr bwMode="auto">
                              <a:xfrm>
                                <a:off x="0" y="0"/>
                                <a:ext cx="7429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0288;o:allowoverlap:true;o:allowincell:true;mso-position-horizontal-relative:text;margin-left:0.0pt;mso-position-horizontal:absolute;mso-position-vertical-relative:text;margin-top:0.0pt;mso-position-vertical:absolute;width:5.8pt;height:37.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4295" cy="480695"/>
                      <wp:effectExtent l="0" t="0" r="0" b="0"/>
                      <wp:wrapNone/>
                      <wp:docPr id="35" name="Text_Box_15_SpCnt_4"/>
                      <wp:cNvGraphicFramePr/>
                      <a:graphic xmlns:a="http://schemas.openxmlformats.org/drawingml/2006/main">
                        <a:graphicData uri="http://schemas.openxmlformats.org/drawingml/2006/picture">
                          <pic:pic xmlns:pic="http://schemas.openxmlformats.org/drawingml/2006/picture">
                            <pic:nvPicPr>
                              <pic:cNvPr id="43" name="Text_Box_15_SpCnt_4"/>
                              <pic:cNvPicPr/>
                              <pic:nvPr/>
                            </pic:nvPicPr>
                            <pic:blipFill>
                              <a:blip r:embed="rId11"/>
                              <a:stretch/>
                            </pic:blipFill>
                            <pic:spPr bwMode="auto">
                              <a:xfrm>
                                <a:off x="0" y="0"/>
                                <a:ext cx="7429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0288;o:allowoverlap:true;o:allowincell:true;mso-position-horizontal-relative:text;margin-left:0.0pt;mso-position-horizontal:absolute;mso-position-vertical-relative:text;margin-top:0.0pt;mso-position-vertical:absolute;width:5.8pt;height:37.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4295" cy="480695"/>
                      <wp:effectExtent l="0" t="0" r="0" b="0"/>
                      <wp:wrapNone/>
                      <wp:docPr id="36" name="Text_Box_14_SpCnt_7"/>
                      <wp:cNvGraphicFramePr/>
                      <a:graphic xmlns:a="http://schemas.openxmlformats.org/drawingml/2006/main">
                        <a:graphicData uri="http://schemas.openxmlformats.org/drawingml/2006/picture">
                          <pic:pic xmlns:pic="http://schemas.openxmlformats.org/drawingml/2006/picture">
                            <pic:nvPicPr>
                              <pic:cNvPr id="44" name="Text_Box_14_SpCnt_7"/>
                              <pic:cNvPicPr/>
                              <pic:nvPr/>
                            </pic:nvPicPr>
                            <pic:blipFill>
                              <a:blip r:embed="rId11"/>
                              <a:stretch/>
                            </pic:blipFill>
                            <pic:spPr bwMode="auto">
                              <a:xfrm>
                                <a:off x="0" y="0"/>
                                <a:ext cx="7429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0288;o:allowoverlap:true;o:allowincell:true;mso-position-horizontal-relative:text;margin-left:0.0pt;mso-position-horizontal:absolute;mso-position-vertical-relative:text;margin-top:0.0pt;mso-position-vertical:absolute;width:5.8pt;height:37.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4295" cy="480695"/>
                      <wp:effectExtent l="0" t="0" r="0" b="0"/>
                      <wp:wrapNone/>
                      <wp:docPr id="37" name="Text_Box_15_SpCnt_5"/>
                      <wp:cNvGraphicFramePr/>
                      <a:graphic xmlns:a="http://schemas.openxmlformats.org/drawingml/2006/main">
                        <a:graphicData uri="http://schemas.openxmlformats.org/drawingml/2006/picture">
                          <pic:pic xmlns:pic="http://schemas.openxmlformats.org/drawingml/2006/picture">
                            <pic:nvPicPr>
                              <pic:cNvPr id="45" name="Text_Box_15_SpCnt_5"/>
                              <pic:cNvPicPr/>
                              <pic:nvPr/>
                            </pic:nvPicPr>
                            <pic:blipFill>
                              <a:blip r:embed="rId11"/>
                              <a:stretch/>
                            </pic:blipFill>
                            <pic:spPr bwMode="auto">
                              <a:xfrm>
                                <a:off x="0" y="0"/>
                                <a:ext cx="7429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0288;o:allowoverlap:true;o:allowincell:true;mso-position-horizontal-relative:text;margin-left:0.0pt;mso-position-horizontal:absolute;mso-position-vertical-relative:text;margin-top:0.0pt;mso-position-vertical:absolute;width:5.8pt;height:37.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4295" cy="480695"/>
                      <wp:effectExtent l="0" t="0" r="0" b="0"/>
                      <wp:wrapNone/>
                      <wp:docPr id="38" name="Text_Box_15_SpCnt_6"/>
                      <wp:cNvGraphicFramePr/>
                      <a:graphic xmlns:a="http://schemas.openxmlformats.org/drawingml/2006/main">
                        <a:graphicData uri="http://schemas.openxmlformats.org/drawingml/2006/picture">
                          <pic:pic xmlns:pic="http://schemas.openxmlformats.org/drawingml/2006/picture">
                            <pic:nvPicPr>
                              <pic:cNvPr id="46" name="Text_Box_15_SpCnt_6"/>
                              <pic:cNvPicPr/>
                              <pic:nvPr/>
                            </pic:nvPicPr>
                            <pic:blipFill>
                              <a:blip r:embed="rId11"/>
                              <a:stretch/>
                            </pic:blipFill>
                            <pic:spPr bwMode="auto">
                              <a:xfrm>
                                <a:off x="0" y="0"/>
                                <a:ext cx="7429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0288;o:allowoverlap:true;o:allowincell:true;mso-position-horizontal-relative:text;margin-left:0.0pt;mso-position-horizontal:absolute;mso-position-vertical-relative:text;margin-top:0.0pt;mso-position-vertical:absolute;width:5.8pt;height:37.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ZR-YJV-5*10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70</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配电箱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横向配电箱采用优质的冷轧板经过酸洗、喷粉及高温烘烤而成，6位空开位。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ups</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top"/>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1、容量：20KVA，输出功率因数0.9(18kw)提供更强的带载能力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2、数字化控制，控制系统更加稳定可靠</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3、ECO运行模式高效节能，降低用户使用成本</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4、用户可设定充电电流，恒流、恒压和浮充充电模式可自动平滑切换</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5、电池数量16/18/20节可选</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6、输入电压范围:208Vac~478Vac</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7、输出电压：220V</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8、输出频率：当市电频率超出最大±10%（可设置±1%、±2%、±4%、±5%）时，输出频率50/60(±0.1);  电池模式：50/60(±0.1)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9、波形：正弦波 THDV≤2%（100％线性负载）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10、尺寸：（W*D*H）250*502*616mm</w:t>
            </w:r>
            <w:r/>
          </w:p>
          <w:p>
            <w:pPr>
              <w:jc w:val="left"/>
              <w:keepLines w:val="0"/>
              <w:keepNext w:val="0"/>
              <w:widowControl/>
              <w:rPr>
                <w:rFonts w:hint="default" w:ascii="宋体" w:hAnsi="宋体" w:eastAsia="宋体" w:cs="宋体"/>
                <w:i w:val="0"/>
                <w:iCs w:val="0"/>
                <w:color w:val="000000" w:themeColor="text1"/>
                <w:sz w:val="20"/>
                <w:szCs w:val="20"/>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11、★所投产品制造商具有ISO9001、ISO14001、TSO45001认证，认证范围包含不间断电源的设计与制造，提供相关证明文件并加盖原厂公章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蓄电池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★1.1、供应商须提供有效期内带有国际认可和中国合格评定国家认可委员会两种标识的ISO 9001质量管理体系认证证书、ISO 14001环境管理体系认证证书、ISO 45001职业健康安全管理体系认证证书，并且每个证书要明确标注适用于蓄电池和蓄电池零</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★1.2、供应商所供蓄电池同系列必须满足 YD/T 799-2010标准，（要求提供第三方检测检测机构认可的检测报告原件扫描件）。</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 主要技术要求</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 外观要求</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蓄电池外壳采用耐热、耐腐、耐压、耐震动、 耐变形的高性能 ABS 材料，蓄电池外观不得有变形、漏液、裂纹及污迹，标志应清晰。</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2.2结构要求</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正、负极端子有明显标志，便于连接。连接端子采用嵌入式下旋螺纹纯铜无镀层端子，以保证电池导电性能，同时确保无金属铅或铅合金外露。</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2.3 外观尺寸要求( 蓄电池最大外形尺寸小于等于以下参数；单位mm）:</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型号：GP 12V100Ah  ，电池最大外形尺寸（长*宽*高*总高）：407*174*215*233</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2.4容量要求</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蓄电池10小时率放电，终止电压10.8V，放电容量应≥1.00C10；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蓄电池3小时率放电，终止电压10.8V，放电容量应≥0.92C10；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蓄电池1小时率放电，终止电压10.5V，放电容量应≥0.85C10；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2.5 充电参数</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    浮充充电电压：13.5～13.8V；均衡充电电压：14.4～15.0V</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2.6 一致性要求</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2.6.1 容量一致性</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同组蓄电池10小时率容量实验时，最大实际容量与最小实际容量差值应＜1.5%；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2.6.2 端电压均衡性</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标称12V蓄电池，在开路时，端电压最高与最低差值应＜15mV；进入浮充状态24h后,端电压差应＜20mV；放电时，端电压差应＜85mV；</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2.6.3内阻一致性</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   同组电池内阻偏差应≤3.5% 。</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2.7 安全性要求</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2.7.1 蓄电池能承受50kPa的正压或或负压而不破裂、不开胶，压力释放后壳体无残余变形；</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2.7.2 蓄电池防爆性能，充电过程中遇明火，内部应不引燃、不引爆；</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2.8 大电流放电</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以30I10放电3min，极柱应不熔断、内部汇流排不熔断，外观不应出现异常；</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2.9 容量保存率要求</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蓄电池静置28天容量保存率应≥98%；</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2.10 密封反应效率</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蓄电池密封反应效率应＞97.5%；</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2.11 防酸雾性能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完全充电后的电池以0.2I10A电流连续再充电4h，PH值应呈中性；</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2.12 耐过充能力</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完全充电后的电池以0.3I10A连续充电160h，外观应无变形、无漏液；</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2.13 电池连接压降要求</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5.5I10A放电条件下，电池间连接压降△U≤5.5mV；</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2.14蓄电池封口剂性能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环境温度-30℃～+65℃之间，封口剂应无裂纹与溢流现象；</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2.15蓄电池热失控敏感性</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以2.45V/单体的恒定电压（不限流）连续充电168h，充电过程中每隔24h记录一次充电电流值和蓄电池端子部位温度值，充电结束时蓄电池温度应≤35℃；每24h的电流增长率应≤37%；</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2.16过度放电</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蓄电池过度放电，容量恢复值≥98%；</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2.17 蓄电池低温敏感性</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10h率容量≥0.94C10；外观应无破裂、过度膨胀及槽、盖分离现象；</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2.18 蓄电池再充电性能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恒压充电24h的再充电能力因素Rbf24h应≥94%；</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2.19安全阀要求：</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蓄电池安全阀应具有自动开启和自动关闭的功能，其开阀压力应是20-24kpa，闭阀压应是13-16kpa，开闭阀压差不应超过7kpa。                                                  2.20设计寿命要求：</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蓄电池在环境温度25℃条件下，其设计寿命应不低于12年，提供证明文件。                                                                                                3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电池柜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放置20节12V/120AH蓄电池，含内部连接线和空开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35"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七、室内大厅大屏</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设备名称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参数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数量</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1、像素点间距：</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≤1.8mm</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2、像素密度：</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≥288906 Dots/m2</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3、单元板分辨率：</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≥14792 Dots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4、显示效果：4K超清显示、色温均匀性好、亮度均匀性好，对比度高、色域广</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5、驱动方式：恒流驱动</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6、供电方式：支持电源均流DC4.2V～DC5V，供电支持电源双输出电压DC2.8V/DC3.8V</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7、整屏平整度：≤0.04mm</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8、模组平整度：≤0.03mm</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9、拼接缝：≤0.03mm</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10、白平衡亮度：≥600Cd/m²</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11、亮度均匀性：≥99%</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12、色度均匀性：±0.001Cx、Cy内</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13、色温：800-18000K</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14、水平视角：≥170°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15、垂直视角：≥170°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16、对比度：≥8000：1</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17、刷新率：≥3840Hz</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18、像素失控率：&lt;1/100000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19、发光点中心偏距：＜0.8%</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20、峰值功耗：≤300W/m²</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21、平均功耗：≤120W/m²</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22、最大电流：≤5A</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23、电流增益：电流增益调节范围：1%～199%，电流增益调节级别≥8位</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24、具有列下消隐功能、倍频刷新率提升2/4/8倍、低灰偏色改善</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25、色温为6500K时，100%、75%、50%、25%四档电平白场调节色温误差≤200K</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26、PCB板材采用玻璃化温度≥150℃的覆铜板；PCB板采用FR-4材质，电路采用多层设计，符合CQC13-471301-2018国家标准"</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27、每个灯芯的波长误差值在±1nm以内，每个灯芯的亮度误差在5%以内</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28、具有H2S宽动态处理技术，解决主控机二次重复播放时的衰减等现象</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29、屏幕表面光反射率：照度=10Lux/5600K条件下， 显示屏屏幕表面光反射率 （单位面积反射亮度）＜3.0cd/m²</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30、绝缘电阻：在器具输入插座端或者电源引入端子与外壳裸露金属部件之间的绝缘电阻在正常大气条件下应≥100MΩ，湿热条件下应≥2MΩ</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31、抗拉强度：≥230Mpa</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32、屈服强度：≥170Mpa</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33、灰度等级：采用14bit技术</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34、采用EPWM 灰阶控制技术提升低灰视觉效果，100%亮度时，14bit灰度；70%亮度，14bit灰度；50%亮度，14bit灰度；20%亮度，12bit灰度，显示画面无单列或单行像素失控现象；支持0-100%亮度时，8-14bits灰度自定义设置</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35、支持鬼影消除、首行暗亮消除、低灰偏色补偿、低灰均匀性、低灰横条纹消除、慢速开启、十字架消除、去坏点、毛毛虫消除、余辉消除、亮度缓慢变亮功能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36、抗电强度：在器具输入插座端与屏正面之间施加试验电压3kv/50Hz，保持1min，不应出现飞弧和击穿现象</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37、LED显示屏图像质量主观评价优、支持4K超清技术、HDR高动态光照渲染技术；符合LED显示屏绿色健康分级认证技术</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38、具有多点测温系统、通讯检测、电源检测、可实现远程监督控制，对可能发生的潜在故障记录日志，并向操作员发出警报信息</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39、具有单点亮度校正，校正后亮度损失≤8%；具有颜色校正功能，具有灰度校正，支持模组校正，具有校正数据存储及自动回读功能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40、可实现LED单点检测，通讯检测、温度检测、电源检测、温度监控等功能。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41、数据备份：数据记忆储存于LED显示模块箱体中，更换箱体设备时，无需重新设定参数</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42、产品采用高端芯片，可智能调节正常工作与睡眠状态下的节能效果（动态节能，智能息屏），开启智能节电功能比没有开启节能45%以上</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43、防护性能：具有防静电、防电磁干扰、防腐蚀、防霉菌、防虫、防潮、抗震动、抗雷击等功能；具有电源过压、过流、断电保护、分布上电措施、防护等级达到IP60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44、LED显示屏通过在正常环境下168h不间断运行无故障的老化测试</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45、使用寿命：≥100000h</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46、平均无故障时间：MTBF平均无故障时间≥20000h；MTTR平均修复时间≤4分钟</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47、屏幕温升：最高亮度（白平衡）持续工作4小时，模组表面温升小于20K</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48、为确保屏体在不同的环境下仍可正常启动工作，要求投标人所投LED显示屏须通过零下40℃和高温80℃的环境运行12h产品能正常工作。</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49、支持自动GAMMA校正技术，14bit自动调节，通过构造非线性校正曲线和色坐标变换系数矩阵实现了显示效果的不断改善，各项重要指标如色彩还原性、色温调节范围、亮度均匀性、色度均匀性、刷新率、换帧频率等，均符合广电级标准</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50、光生物安全检测：无危害类：8h（30000s）曝辐中不造成光化学紫外危害（ES），并在16min（1000s）内不造成近紫外危害（EUVA），并在2.8h（10000s）内不造成对视网膜蓝光危害（LB）并在10s内不造成对视网膜热危害（LR），且在1000s内不造成对眼睛的红外辐射危害（EIR）</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51、盐雾：盐雾10级</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52、阻燃：PCB板、防火保护外壳及内部其他元器件均达到V-0等级</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53、产品通过 GB/T9254-2008《信息技术设备的无线电骚扰限值和测量方法》试验，辐射干扰检测结果符合标准规范要求，符合ClassB限值要求。在30-230MHz频率范围内，峰值限值 dB≤41μV/m；在230-1000MHz频率范围内，峰值限值 dB≤46μV/m</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54、支持一键点屏技术，开机后自动识别系统连接，无需重置系统配置</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55、箱体防护等级：IK10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56、抗震实验：显示屏通过YD 5083-2005标准抗震测试，测试结果满足抗震10级</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57、防呆设计：模组电源接口采用 4P 接插头，免工具维护,同时有防呆设计</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58、摩尔纹抑制功能：显示屏支持抑制摩尔纹功能，减轻摩尔纹视觉主观效果80%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59、高海拔工作试验：5000米海拔环境下，产品可正常工作</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60、表面硬度：具备划痕性能技术,表面硬度≥15H</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61、浪涌 （冲击）抗扰度：LED 显示屏通过符合 GB/T17626.5-2008 标准的浪涌 （冲击）抗扰度试验</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62、具备防蓝光护眼功能，蓝光辐射能量≤20%。蓝光辐射能量值对人眼视网膜无伤害，LED显示屏蓝光辐亮度≤80W.m-2.sr-1,符合肉眼观看标准。</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63、滑石粉密度：2KG/m3网孔径75um使用次数：小于20次，实验时间8H。试验后检查样品无进尘现象。屏幕防尘等级符合IP6X（防尘）</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64、产品符合TIRT-GK-JS-55-2020《显示设备显示性能视觉健康认证技术规范第5部分：室内图像显示系统显示屏》技术标准</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65、要求投标人所投LED显示屏支持DVI、VGA输入、支持HDMI视频输入、支持视频PAL/NTSC制式自适应、支持复合视频信号、支持USB输入、支持IP输入、支持CVBS/DP/HDBASE输入、支持光纤/网络等接口输入。</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66、所投LED显示屏产品在1×105～1×109Ω技术要求下满足点对点电阻（A面）≤3.02×108；点对点电阻（B面）≤2.21×108；并且在（±1000-±100V）≤2S的技术要求下满足静电电压衰减期值：（+V0.35S,-V0.26S）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67、所投LED显示屏的灯管耐焊耐热：灯珠引脚无氧化,焊接正常,灯珠胶体正常,点亮正常；灯管抗静电(ESD)测试：HBM模式:ESD&gt;2000V,灯珠点亮无异常；灯管红墨水试验：纯红墨水常温浸泡24h,无渗透,灯管气密性良好。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68、为不影响屏体周边人员的健康，要求投标人所投LED显示屏在正常工作中，显示屏1m范围内，前后左右4个位置噪音不大于1.4dB；所投LED显示屏观看舒适度需符合：“人眼视觉舒适度(VICO)1级，基本无疲劳感。</w:t>
            </w:r>
            <w:r/>
          </w:p>
          <w:p>
            <w:pPr>
              <w:jc w:val="left"/>
              <w:keepLines w:val="0"/>
              <w:keepNext w:val="0"/>
              <w:widowControl/>
              <w:rPr>
                <w:rFonts w:hint="default"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69、★所投产品具有CCC、CE、ROHS、FCC认证证书（提供相关证书原件扫描件并加盖供应商公章）。</w:t>
            </w:r>
            <w:r/>
          </w:p>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70、★符合光生物安全检测标准，无视网膜蓝光危害，并提供具有 TUV 标识的低蓝光认证证书（提供相关证书原件扫描件并加盖供应商公章）。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平方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14.74</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视频处理器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最大带载390万像素，最宽或最高8192像素，HDMI×1、DVI×2 、SDI×1,4输入3画面，位置、大小自由调节，最大输入分辨率</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1920*1200@60Hz，支持分辨率任意设置，支持串口控制，支持</w:t>
            </w:r>
            <w:r/>
          </w:p>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双USB2.0控制和级联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直流电压 4.5V</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额定电流 40A</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电流范围 0～40A</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额定功率 180W</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纹波与噪声 150mVp-p</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电压调节范围 ±5%</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电压精度 ±1.0%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线性调整率 ±0.5%</w:t>
            </w:r>
            <w:r/>
          </w:p>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负载调整率 ±2%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48</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接收卡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带载512*512；输出12*HUB75；18bit+、配置参数双备份、支持固件程序版本回读、支持固件程序版</w:t>
            </w:r>
            <w:r/>
          </w:p>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本回读，配置参数回读，90°旋转</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32</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工作站</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操作控制台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配电柜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显示屏控制方式均采用智能PLC控制方式，PLC控制功能强大，使用范围广，维护更加方便，同时稳定性更好，PLC智能配电柜除了具备多功能卡配电柜的功能外，还具备远程监控、分布上电、分布断电、控制功能可以增加和修改、可以多台并联通讯、保护功能可根据客户需要额外增加。软件控制界面简单明了，便于客户监控和操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框架结构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LED屏定制框架结构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平方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14.74</w:t>
            </w:r>
            <w:r/>
          </w:p>
        </w:tc>
      </w:tr>
      <w:tr>
        <w:trPr>
          <w:trHeight w:val="623"/>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35"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八、</w:t>
            </w: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4F会议室大屏</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设备名称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参数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t xml:space="preserve">数量</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微软雅黑" w:hAnsi="微软雅黑" w:eastAsia="微软雅黑" w:cs="微软雅黑"/>
                <w:i w:val="0"/>
                <w:iCs w:val="0"/>
                <w:color w:val="000000" w:themeColor="text1"/>
                <w:sz w:val="18"/>
                <w:szCs w:val="18"/>
                <w:u w:val="none"/>
                <w:lang w:val="en-US" w:eastAsia="zh-CN" w:bidi="ar"/>
                <w14:textFill>
                  <w14:solidFill>
                    <w14:schemeClr w14:val="tx1"/>
                  </w14:solidFill>
                </w14:textFill>
              </w:rPr>
              <w:t xml:space="preserve">LED屏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1、像素点间距：</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≤1.8mm</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2、像素密度：</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≥288906 Dots/m2</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3、单元板分辨率：</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≥14792 Dots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4、显示效果：4K超清显示、色温均匀性好、亮度均匀性好，对比度高、色域广</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5、驱动方式：恒流驱动</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6、供电方式：支持电源均流DC4.2V～DC5V，供电支持电源双输出电压DC2.8V/DC3.8V</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7、整屏平整度：≤0.04mm</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8、模组平整度：≤0.03mm</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9、拼接缝：≤0.03mm</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10、白平衡亮度：≥600Cd/m²</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11、亮度均匀性：≥99%</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12、色度均匀性：±0.001Cx、Cy内</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13、色温：800-18000K</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14、水平视角：≥170°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15、垂直视角：≥170°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16、对比度：≥8000：1</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17、刷新率：≥3840Hz</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18、像素失控率：&lt;1/100000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19、发光点中心偏距：＜0.8%</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20、峰值功耗：≤300W/m²</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21、平均功耗：≤120W/m²</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22、最大电流：≤5A</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23、电流增益：电流增益调节范围：1%～199%，电流增益调节级别≥8位</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24、具有列下消隐功能、倍频刷新率提升2/4/8倍、低灰偏色改善</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25、色温为6500K时，100%、75%、50%、25%四档电平白场调节色温误差≤200K</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26、PCB板材采用玻璃化温度≥150℃的覆铜板；PCB板采用FR-4材质，电路采用多层设计，符合CQC13-471301-2018国家标准"</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27、每个灯芯的波长误差值在±1nm以内，每个灯芯的亮度误差在5%以内</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28、具有H2S宽动态处理技术，解决主控机二次重复播放时的衰减等现象</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29、屏幕表面光反射率：照度=10Lux/5600K条件下， 显示屏屏幕表面光反射率 （单位面积反射亮度）＜3.0cd/m²</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30、绝缘电阻：在器具输入插座端或者电源引入端子与外壳裸露金属部件之间的绝缘电阻在正常大气条件下应≥100MΩ，湿热条件下应≥2MΩ</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31、抗拉强度：≥230Mpa</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32、屈服强度：≥170Mpa</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33、灰度等级：采用14bit技术</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34、采用EPWM 灰阶控制技术提升低灰视觉效果，100%亮度时，14bit灰度；70%亮度，14bit灰度；50%亮度，14bit灰度；20%亮度，12bit灰度，显示画面无单列或单行像素失控现象；支持0-100%亮度时，8-14bits灰度自定义设置</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35、支持鬼影消除、首行暗亮消除、低灰偏色补偿、低灰均匀性、低灰横条纹消除、慢速开启、十字架消除、去坏点、毛毛虫消除、余辉消除、亮度缓慢变亮功能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36、抗电强度：在器具输入插座端与屏正面之间施加试验电压3kv/50Hz，保持1min，不应出现飞弧和击穿现象</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37、LED显示屏图像质量主观评价优、支持4K超清技术、HDR高动态光照渲染技术；符合LED显示屏绿色健康分级认证技术</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38、具有多点测温系统、通讯检测、电源检测、可实现远程监督控制，对可能发生的潜在故障记录日志，并向操作员发出警报信息</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39、具有单点亮度校正，校正后亮度损失≤8%；具有颜色校正功能，具有灰度校正，支持模组校正，具有校正数据存储及自动回读功能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40、可实现LED单点检测，通讯检测、温度检测、电源检测、温度监控等功能。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41、数据备份：数据记忆储存于LED显示模块箱体中，更换箱体设备时，无需重新设定参数</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42、产品采用高端芯片，可智能调节正常工作与睡眠状态下的节能效果（动态节能，智能息屏），开启智能节电功能比没有开启节能45%以上</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43、防护性能：具有防静电、防电磁干扰、防腐蚀、防霉菌、防虫、防潮、抗震动、抗雷击等功能；具有电源过压、过流、断电保护、分布上电措施、防护等级达到IP60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44、LED显示屏通过在正常环境下168h不间断运行无故障的老化测试</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45、使用寿命：≥100000h</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46、平均无故障时间：MTBF平均无故障时间≥20000h；MTTR平均修复时间≤4分钟</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47、屏幕温升：最高亮度（白平衡）持续工作4小时，模组表面温升小于20K</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48、为确保屏体在不同的环境下仍可正常启动工作，要求投标人所投LED显示屏须通过零下40℃和高温80℃的环境运行12h产品能正常工作。</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49、支持自动GAMMA校正技术，14bit自动调节，通过构造非线性校正曲线和色坐标变换系数矩阵实现了显示效果的不断改善，各项重要指标如色彩还原性、色温调节范围、亮度均匀性、色度均匀性、刷新率、换帧频率等，均符合广电级标准</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50、光生物安全检测：无危害类：8h（30000s）曝辐中不造成光化学紫外危害（ES），并在16min（1000s）内不造成近紫外危害（EUVA），并在2.8h（10000s）内不造成对视网膜蓝光危害（LB）并在10s内不造成对视网膜热危害（LR），且在1000s内不造成对眼睛的红外辐射危害（EIR）</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51、盐雾：盐雾10级</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52、阻燃：PCB板、防火保护外壳及内部其他元器件均达到V-0等级</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53、产品通过 GB/T9254-2008《信息技术设备的无线电骚扰限值和测量方法》试验，辐射干扰检测结果符合标准规范要求，符合ClassB限值要求。在30-230MHz频率范围内，峰值限值 dB≤41μV/m；在230-1000MHz频率范围内，峰值限值 dB≤46μV/m</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54、支持一键点屏技术，开机后自动识别系统连接，无需重置系统配置</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55、箱体防护等级：IK10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56、抗震实验：显示屏通过YD 5083-2005标准抗震测试，测试结果满足抗震10级</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57、防呆设计：模组电源接口采用 4P 接插头，免工具维护,同时有防呆设计</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58、摩尔纹抑制功能：显示屏支持抑制摩尔纹功能，减轻摩尔纹视觉主观效果80%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59、高海拔工作试验：5000米海拔环境下，产品可正常工作</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60、表面硬度：具备划痕性能技术,表面硬度≥15H</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61、浪涌 （冲击）抗扰度：LED 显示屏通过符合 GB/T17626.5-2008 标准的浪涌 （冲击）抗扰度试验</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62、具备防蓝光护眼功能，蓝光辐射能量≤20%。蓝光辐射能量值对人眼视网膜无伤害，LED显示屏蓝光辐亮度≤80W.m-2.sr-1,符合肉眼观看标准。</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63、滑石粉密度：2KG/m3网孔径75um使用次数：小于20次，实验时间8H。试验后检查样品无进尘现象。屏幕防尘等级符合IP6X（防尘）</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64、产品符合TIRT-GK-JS-55-2020《显示设备显示性能视觉健康认证技术规范第5部分：室内图像显示系统显示屏》技术标准</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65、要求投标人所投LED显示屏支持DVI、VGA输入、支持HDMI视频输入、支持视频PAL/NTSC制式自适应、支持复合视频信号、支持USB输入、支持IP输入、支持CVBS/DP/HDBASE输入、支持光纤/网络等接口输入。</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66、所投LED显示屏产品在1×105～1×109Ω技术要求下满足点对点电阻（A面）≤3.02×108；点对点电阻（B面）≤2.21×108；并且在（±1000-±100V）≤2S的技术要求下满足静电电压衰减期值：（+V0.35S,-V0.26S）</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67、所投LED显示屏的灯管耐焊耐热：灯珠引脚无氧化,焊接正常,灯珠胶体正常,点亮正常；灯管抗静电(ESD)测试：HBM模式:ESD&gt;2000V,灯珠点亮无异常；灯管红墨水试验：纯红墨水常温浸泡24h,无渗透,灯管气密性良好。</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68、为不影响屏体周边人员的健康，要求投标人所投LED显示屏在正常工作中，显示屏1m范围内，前后左右4个位置噪音不大于1.4dB；所投LED显示屏观看舒适度需符合：“人眼视觉舒适度(VICO)1级，基本无疲劳感。</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69、★所投产品具有CCC、CE、ROHS、FCC认证证书（提供相关证书原件扫描件并加盖供应商公章）</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70、★符合光生物安全检测标准，无视网膜蓝光危害，并提供具有 TUV 标识的低蓝光认证证书（提供相关证书原件扫描件并加盖供应商公章）。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平方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微软雅黑" w:hAnsi="微软雅黑" w:eastAsia="微软雅黑" w:cs="微软雅黑"/>
                <w:i w:val="0"/>
                <w:iCs w:val="0"/>
                <w:color w:val="000000" w:themeColor="text1"/>
                <w:sz w:val="16"/>
                <w:szCs w:val="16"/>
                <w:u w:val="none"/>
                <w:lang w:val="en-US" w:eastAsia="zh-CN" w:bidi="ar"/>
                <w14:textFill>
                  <w14:solidFill>
                    <w14:schemeClr w14:val="tx1"/>
                  </w14:solidFill>
                </w14:textFill>
              </w:rPr>
              <w:t xml:space="preserve">8.65</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微软雅黑" w:hAnsi="微软雅黑" w:eastAsia="微软雅黑" w:cs="微软雅黑"/>
                <w:i w:val="0"/>
                <w:iCs w:val="0"/>
                <w:color w:val="000000" w:themeColor="text1"/>
                <w:sz w:val="18"/>
                <w:szCs w:val="18"/>
                <w:u w:val="none"/>
                <w:lang w:val="en-US" w:eastAsia="zh-CN" w:bidi="ar"/>
                <w14:textFill>
                  <w14:solidFill>
                    <w14:schemeClr w14:val="tx1"/>
                  </w14:solidFill>
                </w14:textFill>
              </w:rPr>
              <w:t xml:space="preserve">视频处理器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最大带载390万像素，最宽或最高8192像素，HDMI×1、DVI×2 、SDI×1,4输入3画面，位置、大小自由调节，最大输入分辨率</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1920*1200@60Hz，支持分辨率任意设置，支持串口控制，支持</w:t>
            </w:r>
            <w:r/>
          </w:p>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双USB2.0控制和级联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微软雅黑" w:hAnsi="微软雅黑" w:eastAsia="微软雅黑" w:cs="微软雅黑"/>
                <w:i w:val="0"/>
                <w:iCs w:val="0"/>
                <w:color w:val="000000" w:themeColor="text1"/>
                <w:sz w:val="16"/>
                <w:szCs w:val="16"/>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微软雅黑" w:hAnsi="微软雅黑" w:eastAsia="微软雅黑" w:cs="微软雅黑"/>
                <w:i w:val="0"/>
                <w:iCs w:val="0"/>
                <w:color w:val="000000" w:themeColor="text1"/>
                <w:sz w:val="18"/>
                <w:szCs w:val="18"/>
                <w:u w:val="none"/>
                <w:lang w:val="en-US" w:eastAsia="zh-CN" w:bidi="ar"/>
                <w14:textFill>
                  <w14:solidFill>
                    <w14:schemeClr w14:val="tx1"/>
                  </w14:solidFill>
                </w14:textFill>
              </w:rPr>
              <w:t xml:space="preserve">电源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直流电压 4.5V</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额定电流 40A</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电流范围 0～40A</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额定功率 180W</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纹波与噪声 150mVp-p</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电压调节范围 ±5%</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电压精度 ±1.0%</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线性调整率 ±0.5%</w:t>
            </w:r>
            <w:r/>
          </w:p>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负载调整率 ±2%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微软雅黑" w:hAnsi="微软雅黑" w:eastAsia="微软雅黑" w:cs="微软雅黑"/>
                <w:i w:val="0"/>
                <w:iCs w:val="0"/>
                <w:color w:val="000000" w:themeColor="text1"/>
                <w:sz w:val="16"/>
                <w:szCs w:val="16"/>
                <w:u w:val="none"/>
                <w:lang w:val="en-US" w:eastAsia="zh-CN" w:bidi="ar"/>
                <w14:textFill>
                  <w14:solidFill>
                    <w14:schemeClr w14:val="tx1"/>
                  </w14:solidFill>
                </w14:textFill>
              </w:rPr>
              <w:t xml:space="preserve">29</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微软雅黑" w:hAnsi="微软雅黑" w:eastAsia="微软雅黑" w:cs="微软雅黑"/>
                <w:i w:val="0"/>
                <w:iCs w:val="0"/>
                <w:color w:val="000000" w:themeColor="text1"/>
                <w:sz w:val="18"/>
                <w:szCs w:val="18"/>
                <w:u w:val="none"/>
                <w:lang w:val="en-US" w:eastAsia="zh-CN" w:bidi="ar"/>
                <w14:textFill>
                  <w14:solidFill>
                    <w14:schemeClr w14:val="tx1"/>
                  </w14:solidFill>
                </w14:textFill>
              </w:rPr>
              <w:t xml:space="preserve">接收卡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带载512*512；输出12*HUB75；18bit+、配置参数双备份、支持固件程序版本回读、支持固件程序版</w:t>
            </w:r>
            <w:r/>
          </w:p>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本回读，配置参数回读，90°旋转</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微软雅黑" w:hAnsi="微软雅黑" w:eastAsia="微软雅黑" w:cs="微软雅黑"/>
                <w:i w:val="0"/>
                <w:iCs w:val="0"/>
                <w:color w:val="000000" w:themeColor="text1"/>
                <w:sz w:val="16"/>
                <w:szCs w:val="16"/>
                <w:u w:val="none"/>
                <w:lang w:val="en-US" w:eastAsia="zh-CN" w:bidi="ar"/>
                <w14:textFill>
                  <w14:solidFill>
                    <w14:schemeClr w14:val="tx1"/>
                  </w14:solidFill>
                </w14:textFill>
              </w:rPr>
              <w:t xml:space="preserve">26</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微软雅黑" w:hAnsi="微软雅黑" w:eastAsia="微软雅黑" w:cs="微软雅黑"/>
                <w:i w:val="0"/>
                <w:iCs w:val="0"/>
                <w:color w:val="000000" w:themeColor="text1"/>
                <w:sz w:val="18"/>
                <w:szCs w:val="18"/>
                <w:u w:val="none"/>
                <w:lang w:val="en-US" w:eastAsia="zh-CN" w:bidi="ar"/>
                <w14:textFill>
                  <w14:solidFill>
                    <w14:schemeClr w14:val="tx1"/>
                  </w14:solidFill>
                </w14:textFill>
              </w:rPr>
              <w:t xml:space="preserve">工作站</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操作控制台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微软雅黑" w:hAnsi="微软雅黑" w:eastAsia="微软雅黑" w:cs="微软雅黑"/>
                <w:i w:val="0"/>
                <w:iCs w:val="0"/>
                <w:color w:val="000000" w:themeColor="text1"/>
                <w:sz w:val="16"/>
                <w:szCs w:val="16"/>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微软雅黑" w:hAnsi="微软雅黑" w:eastAsia="微软雅黑" w:cs="微软雅黑"/>
                <w:i w:val="0"/>
                <w:iCs w:val="0"/>
                <w:color w:val="000000" w:themeColor="text1"/>
                <w:sz w:val="18"/>
                <w:szCs w:val="18"/>
                <w:u w:val="none"/>
                <w:lang w:val="en-US" w:eastAsia="zh-CN" w:bidi="ar"/>
                <w14:textFill>
                  <w14:solidFill>
                    <w14:schemeClr w14:val="tx1"/>
                  </w14:solidFill>
                </w14:textFill>
              </w:rPr>
              <w:t xml:space="preserve">配电柜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显示屏控制方式均采用智能PLC控制方式，PLC控制功能强大，使用范围广，维护更加方便，同时稳定性更好，PLC智能配电柜除了具备多功能卡配电柜的功能外，还具备远程监控、分布上电、分布断电、控制功能可以增加和修改、可以多台并联通讯、保护功能可根据客户需要额外增加。软件控制界面简单明了，便于客户监控和操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微软雅黑" w:hAnsi="微软雅黑" w:eastAsia="微软雅黑" w:cs="微软雅黑"/>
                <w:i w:val="0"/>
                <w:iCs w:val="0"/>
                <w:color w:val="000000" w:themeColor="text1"/>
                <w:sz w:val="16"/>
                <w:szCs w:val="16"/>
                <w:u w:val="none"/>
                <w:lang w:val="en-US" w:eastAsia="zh-CN" w:bidi="ar"/>
                <w14:textFill>
                  <w14:solidFill>
                    <w14:schemeClr w14:val="tx1"/>
                  </w14:solidFill>
                </w14:textFill>
              </w:rPr>
              <w:t xml:space="preserve">1</w:t>
            </w:r>
            <w:r/>
          </w:p>
        </w:tc>
      </w:tr>
      <w:tr>
        <w:trPr>
          <w:trHeight w:val="6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微软雅黑" w:hAnsi="微软雅黑" w:eastAsia="微软雅黑" w:cs="微软雅黑"/>
                <w:i w:val="0"/>
                <w:iCs w:val="0"/>
                <w:color w:val="000000" w:themeColor="text1"/>
                <w:sz w:val="18"/>
                <w:szCs w:val="18"/>
                <w:u w:val="none"/>
                <w:lang w:val="en-US" w:eastAsia="zh-CN" w:bidi="ar"/>
                <w14:textFill>
                  <w14:solidFill>
                    <w14:schemeClr w14:val="tx1"/>
                  </w14:solidFill>
                </w14:textFill>
              </w:rPr>
              <w:t xml:space="preserve">框架结构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5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LED屏定制框架结构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平方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lang w:val="en-US" w:eastAsia="zh-CN" w:bidi="ar"/>
                <w14:textFill>
                  <w14:solidFill>
                    <w14:schemeClr w14:val="tx1"/>
                  </w14:solidFill>
                </w14:textFill>
              </w:rPr>
              <w:suppressLineNumbers w:val="0"/>
            </w:pPr>
            <w:r>
              <w:rPr>
                <w:rFonts w:hint="eastAsia" w:ascii="微软雅黑" w:hAnsi="微软雅黑" w:eastAsia="微软雅黑" w:cs="微软雅黑"/>
                <w:i w:val="0"/>
                <w:iCs w:val="0"/>
                <w:color w:val="000000" w:themeColor="text1"/>
                <w:sz w:val="16"/>
                <w:szCs w:val="16"/>
                <w:u w:val="none"/>
                <w:lang w:val="en-US" w:eastAsia="zh-CN" w:bidi="ar"/>
                <w14:textFill>
                  <w14:solidFill>
                    <w14:schemeClr w14:val="tx1"/>
                  </w14:solidFill>
                </w14:textFill>
              </w:rPr>
              <w:t xml:space="preserve">8.65</w:t>
            </w:r>
            <w:r/>
          </w:p>
        </w:tc>
      </w:tr>
    </w:tbl>
    <w:p>
      <w:pPr>
        <w:ind w:firstLine="480"/>
        <w:jc w:val="left"/>
        <w:keepLines w:val="0"/>
        <w:keepNext w:val="0"/>
        <w:pageBreakBefore w:val="0"/>
        <w:spacing w:before="73" w:after="73" w:line="420" w:lineRule="exact"/>
        <w:widowControl/>
        <w:rPr>
          <w:rFonts w:hint="eastAsia" w:ascii="宋体" w:hAnsi="宋体" w:eastAsia="宋体" w:cs="宋体"/>
          <w:b w:val="0"/>
          <w:bCs w:val="0"/>
          <w:color w:val="000000" w:themeColor="text1"/>
          <w:sz w:val="24"/>
          <w:szCs w:val="24"/>
          <w:highlight w:val="none"/>
          <w:shd w:val="clear" w:color="auto" w:fill="ffffff"/>
          <w:lang w:bidi="ar"/>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shd w:val="clear" w:color="auto" w:fill="ffffff"/>
          <w:lang w:bidi="ar"/>
          <w14:textFill>
            <w14:solidFill>
              <w14:schemeClr w14:val="tx1"/>
            </w14:solidFill>
          </w14:textFill>
        </w:rPr>
      </w:r>
      <w:r/>
    </w:p>
    <w:p>
      <w:pPr>
        <w:ind w:firstLine="480"/>
        <w:jc w:val="left"/>
        <w:keepLines w:val="0"/>
        <w:keepNext w:val="0"/>
        <w:pageBreakBefore w:val="0"/>
        <w:spacing w:before="73" w:after="73" w:line="420" w:lineRule="exact"/>
        <w:widowControl/>
        <w:rPr>
          <w:rFonts w:hint="eastAsia" w:ascii="宋体" w:hAnsi="宋体" w:eastAsia="宋体" w:cs="宋体"/>
          <w:b w:val="0"/>
          <w:bCs w:val="0"/>
          <w:color w:val="000000" w:themeColor="text1"/>
          <w:sz w:val="24"/>
          <w:szCs w:val="24"/>
          <w:highlight w:val="none"/>
          <w:shd w:val="clear" w:color="auto" w:fill="ffffff"/>
          <w:lang w:bidi="ar"/>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shd w:val="clear" w:color="auto" w:fill="ffffff"/>
          <w:lang w:bidi="ar"/>
          <w14:textFill>
            <w14:solidFill>
              <w14:schemeClr w14:val="tx1"/>
            </w14:solidFill>
          </w14:textFill>
        </w:rPr>
        <w:t xml:space="preserve">注：（1）投标参数等于</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或相当</w:t>
      </w:r>
      <w:r>
        <w:rPr>
          <w:rFonts w:hint="eastAsia" w:ascii="宋体" w:hAnsi="宋体" w:eastAsia="宋体" w:cs="宋体"/>
          <w:b w:val="0"/>
          <w:bCs w:val="0"/>
          <w:color w:val="000000" w:themeColor="text1"/>
          <w:sz w:val="24"/>
          <w:szCs w:val="24"/>
          <w:highlight w:val="none"/>
          <w:shd w:val="clear" w:color="auto" w:fill="ffffff"/>
          <w:lang w:bidi="ar"/>
          <w14:textFill>
            <w14:solidFill>
              <w14:schemeClr w14:val="tx1"/>
            </w14:solidFill>
          </w14:textFill>
        </w:rPr>
        <w:t xml:space="preserve">于采购要求为无偏离，投标参数优于采购要求为正偏离，投标参数低于采购要求为负偏离。技术条款要求中如出现具体产品的品牌、规格/型号、参数等，仅供供应商更好地理解采购人对物品的需求，不能理解为唯一指定。只要投标设备符合招标文件的要求，均为实质性响应。以上要求同时作为验收标准。</w:t>
      </w:r>
      <w:r/>
    </w:p>
    <w:p>
      <w:pPr>
        <w:ind w:firstLine="482"/>
        <w:keepLines w:val="0"/>
        <w:keepNext w:val="0"/>
        <w:pageBreakBefore w:val="0"/>
        <w:spacing w:before="73" w:after="73" w:line="420" w:lineRule="exact"/>
        <w:rPr>
          <w:rFonts w:hint="eastAsia" w:ascii="宋体" w:hAnsi="宋体" w:eastAsia="宋体" w:cs="宋体"/>
          <w:b/>
          <w:bCs/>
          <w:color w:val="000000" w:themeColor="text1"/>
          <w:sz w:val="24"/>
          <w:szCs w:val="24"/>
          <w:highlight w:val="none"/>
          <w:lang w:bidi="ar"/>
          <w14:textFill>
            <w14:solidFill>
              <w14:schemeClr w14:val="tx1"/>
            </w14:solidFill>
          </w14:textFill>
        </w:rPr>
        <w:outlineLvl w:val="9"/>
      </w:pPr>
      <w:r/>
      <w:bookmarkStart w:id="0" w:name="_Toc3753"/>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以上设备产品采购均为</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全费用综合单价为完成整个招标范围内的全部</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项目</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总费用（包括承包</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项目</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的施工、材料（制作安装）、人工、措施费、管理费、劳务配合、水、电、税费、利润、规费、便道、赶工措施费等一切相关费用）。此全费用综合合价为完成整个投标</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项目</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的最终报价，国家政策性调价、市场价格变动，全费用综合单价均不作调整。采购人一律不另行支付其他费用。中标后竣工结算时全费用综合单价不予调整。</w:t>
      </w:r>
      <w:bookmarkEnd w:id="0"/>
      <w:r/>
      <w:r/>
    </w:p>
    <w:p>
      <w:pPr>
        <w:keepLines w:val="0"/>
        <w:keepNext w:val="0"/>
        <w:pageBreakBefore w:val="0"/>
        <w:spacing w:before="73" w:after="73" w:line="42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二</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其他要求</w:t>
      </w:r>
      <w:r/>
    </w:p>
    <w:p>
      <w:pPr>
        <w:ind w:firstLine="480"/>
        <w:keepLines w:val="0"/>
        <w:keepNext w:val="0"/>
        <w:pageBreakBefore w:val="0"/>
        <w:spacing w:before="73" w:after="73" w:line="420" w:lineRule="exact"/>
        <w:rPr>
          <w:rFonts w:hint="eastAsia" w:ascii="宋体" w:hAnsi="宋体" w:eastAsia="宋体" w:cs="宋体"/>
          <w:b w:val="0"/>
          <w:bCs w:val="0"/>
          <w:color w:val="000000" w:themeColor="text1"/>
          <w:sz w:val="24"/>
          <w:szCs w:val="24"/>
          <w:highlight w:val="none"/>
          <w:lang w:bidi="ar"/>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（1）免费质保期：</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年</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，从验收合格之日起计算。</w:t>
      </w:r>
      <w:r/>
    </w:p>
    <w:p>
      <w:pPr>
        <w:ind w:firstLine="480"/>
        <w:keepLines w:val="0"/>
        <w:keepNext w:val="0"/>
        <w:pageBreakBefore w:val="0"/>
        <w:spacing w:before="73" w:after="73" w:line="420" w:lineRule="exact"/>
        <w:rPr>
          <w:rFonts w:hint="eastAsia" w:ascii="宋体" w:hAnsi="宋体" w:eastAsia="宋体" w:cs="宋体"/>
          <w:b w:val="0"/>
          <w:bCs w:val="0"/>
          <w:color w:val="000000" w:themeColor="text1"/>
          <w:sz w:val="24"/>
          <w:szCs w:val="24"/>
          <w:highlight w:val="none"/>
          <w:lang w:bidi="ar"/>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（2）售后服务要求：报修后必须在1小时内响应，24小时内指派专业维修技术人员到现场检修，72小时内解决故障。</w:t>
      </w:r>
      <w:r/>
    </w:p>
    <w:p>
      <w:pPr>
        <w:ind w:firstLine="480"/>
        <w:keepLines w:val="0"/>
        <w:keepNext w:val="0"/>
        <w:pageBreakBefore w:val="0"/>
        <w:spacing w:before="73" w:after="73" w:line="420" w:lineRule="exact"/>
        <w:rPr>
          <w:rFonts w:hint="eastAsia" w:ascii="宋体" w:hAnsi="宋体" w:eastAsia="宋体" w:cs="宋体"/>
          <w:b w:val="0"/>
          <w:bCs w:val="0"/>
          <w:color w:val="000000" w:themeColor="text1"/>
          <w:sz w:val="24"/>
          <w:szCs w:val="24"/>
          <w:highlight w:val="none"/>
          <w:lang w:bidi="ar"/>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（3）所有报价产品必须为合格产品，各项技术标准应当符合国家（强制性）标准及各项规范要求。国家没有相应标准、规范的，可使用行业标准。中标人供货时须提供有关货物的合格证明材料等。</w:t>
      </w:r>
      <w:r/>
    </w:p>
    <w:p>
      <w:pPr>
        <w:ind w:firstLine="480"/>
        <w:jc w:val="left"/>
        <w:keepLines w:val="0"/>
        <w:keepNext w:val="0"/>
        <w:pageBreakBefore w:val="0"/>
        <w:spacing w:before="73" w:after="73" w:line="420" w:lineRule="exact"/>
        <w:widowControl w:val="off"/>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（4）中标人应保证货物是全新、未使用过</w:t>
      </w:r>
      <w:r>
        <w:rPr>
          <w:rFonts w:hint="eastAsia" w:ascii="宋体" w:hAnsi="宋体" w:eastAsia="宋体" w:cs="宋体"/>
          <w:b w:val="0"/>
          <w:bCs w:val="0"/>
          <w:color w:val="auto"/>
          <w:sz w:val="24"/>
          <w:szCs w:val="24"/>
          <w:highlight w:val="none"/>
          <w:lang w:bidi="ar"/>
        </w:rPr>
        <w:t xml:space="preserve">的合格产品。并完全符合合同规定的质量、规格和性能的要求。</w:t>
      </w:r>
      <w:r/>
    </w:p>
    <w:p>
      <w:pPr>
        <w:ind w:left="0" w:right="0" w:firstLine="480"/>
        <w:jc w:val="left"/>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val="en-US" w:eastAsia="zh-CN" w:bidi="ar-SA"/>
        </w:rPr>
        <w:t xml:space="preserve">（5）采购标的的所属行业为</w:t>
      </w:r>
      <w:r>
        <w:rPr>
          <w:rFonts w:hint="eastAsia" w:ascii="宋体" w:hAnsi="宋体" w:eastAsia="宋体" w:cs="宋体"/>
          <w:b w:val="0"/>
          <w:bCs w:val="0"/>
          <w:color w:val="auto"/>
          <w:sz w:val="24"/>
          <w:szCs w:val="24"/>
          <w:u w:val="single"/>
          <w:lang w:val="en-US" w:eastAsia="zh-CN" w:bidi="ar-SA"/>
        </w:rPr>
        <w:t xml:space="preserve"> 工业 </w:t>
      </w:r>
      <w:r>
        <w:rPr>
          <w:rFonts w:hint="eastAsia" w:ascii="宋体" w:hAnsi="宋体" w:eastAsia="宋体" w:cs="宋体"/>
          <w:b w:val="0"/>
          <w:bCs w:val="0"/>
          <w:color w:val="auto"/>
          <w:sz w:val="24"/>
          <w:szCs w:val="24"/>
          <w:lang w:val="en-US" w:eastAsia="zh-CN" w:bidi="ar-SA"/>
        </w:rPr>
        <w:t xml:space="preserve">，根据《工业和信息化部、国家统计局、国家发展和改革委员会、财政部关于印发中小企业划型标准规定的通知》（工信部联企业[2011]300号）规定的划分标准填写。</w:t>
      </w: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第五章评标方法与评标标准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left="0" w:right="0" w:firstLine="48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（1）本项目对小型和微型企业提供的服务给予20%的扣除价格，用扣除后的价格参与评审。</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（2）供应商需按照采购文件的要求提供相应的《小微企业声明函》。</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（1）本项目对残疾人福利性单位视同小型、微型企业，给予20%</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（1）本项目对监狱和戒毒企业（简称监狱企业）视同小型、微型企业，给予20%</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5、严格执行政府采购关于支持</w:t>
      </w:r>
      <w:r>
        <w:rPr>
          <w:rFonts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6、供应商对于投标产品的商品包装、快递包装应按照《关于印发《商品包装政府采购需求标准（试行）》、《快递包装政府采购需求标准（试行）》的通知》（财办库〔2020〕123号）执行。</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7、本文件中若涉及到数据中心采购，应按照《&lt;绿色数据中心政府采购需求标准（试行）&gt;的通知》（财库〔2023〕7号）执行。</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w:t>
      </w:r>
      <w:r>
        <w:rPr>
          <w:rFonts w:ascii="宋体" w:hAnsi="宋体" w:eastAsia="宋体" w:cs="宋体"/>
          <w:color w:val="000000"/>
          <w:sz w:val="24"/>
        </w:rPr>
        <w:t xml:space="preserve">、根据《江苏省政府采购信用管理暂行办法》的规定，供应商信用评价结果为三星的扣2分，评价结果为二星的扣3分，评价结果为一星的扣4分。</w:t>
      </w:r>
      <w:r/>
    </w:p>
    <w:p>
      <w:pPr>
        <w:ind w:left="0" w:right="0" w:firstLine="482"/>
        <w:spacing w:before="120" w:after="12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p>
    <w:tbl>
      <w:tblPr>
        <w:tblStyle w:val="685"/>
        <w:tblW w:w="96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5"/>
        <w:gridCol w:w="1344"/>
        <w:gridCol w:w="876"/>
        <w:gridCol w:w="6142"/>
      </w:tblGrid>
      <w:tr>
        <w:trPr>
          <w:jc w:val="center"/>
          <w:trHeight w:val="312"/>
        </w:trPr>
        <w:tc>
          <w:tcPr>
            <w:tcW w:w="1285" w:type="dxa"/>
            <w:vAlign w:val="center"/>
            <w:vMerge w:val="restart"/>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项目</w:t>
            </w:r>
            <w:r/>
          </w:p>
        </w:tc>
        <w:tc>
          <w:tcPr>
            <w:tcW w:w="1344" w:type="dxa"/>
            <w:vAlign w:val="center"/>
            <w:vMerge w:val="restart"/>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组成</w:t>
            </w:r>
            <w:r/>
          </w:p>
        </w:tc>
        <w:tc>
          <w:tcPr>
            <w:tcW w:w="876" w:type="dxa"/>
            <w:vAlign w:val="center"/>
            <w:vMerge w:val="restart"/>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分值</w:t>
            </w:r>
            <w:r/>
          </w:p>
        </w:tc>
        <w:tc>
          <w:tcPr>
            <w:tcW w:w="6142" w:type="dxa"/>
            <w:vAlign w:val="center"/>
            <w:vMerge w:val="restart"/>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评分标准</w:t>
            </w:r>
            <w:r/>
          </w:p>
        </w:tc>
      </w:tr>
      <w:tr>
        <w:trPr>
          <w:jc w:val="center"/>
        </w:trPr>
        <w:tc>
          <w:tcPr>
            <w:tcW w:w="1285"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商务部分</w:t>
            </w:r>
            <w:r/>
          </w:p>
          <w:p>
            <w:pPr>
              <w:jc w:val="center"/>
              <w:rPr>
                <w:rFonts w:hint="eastAsia" w:ascii="宋体" w:hAnsi="宋体" w:eastAsia="宋体" w:cs="宋体"/>
                <w:sz w:val="22"/>
                <w:szCs w:val="22"/>
              </w:rPr>
            </w:pPr>
            <w:r>
              <w:rPr>
                <w:rFonts w:hint="eastAsia" w:ascii="宋体" w:hAnsi="宋体" w:eastAsia="宋体" w:cs="宋体"/>
                <w:sz w:val="22"/>
                <w:szCs w:val="22"/>
              </w:rPr>
              <w:t xml:space="preserve">（30分）</w:t>
            </w:r>
            <w:r/>
          </w:p>
        </w:tc>
        <w:tc>
          <w:tcPr>
            <w:tcW w:w="1344"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p>
            <w:pPr>
              <w:jc w:val="center"/>
              <w:rPr>
                <w:rFonts w:hint="eastAsia" w:ascii="宋体" w:hAnsi="宋体" w:eastAsia="宋体" w:cs="宋体"/>
                <w:sz w:val="22"/>
                <w:szCs w:val="22"/>
              </w:rPr>
            </w:pPr>
            <w:r>
              <w:rPr>
                <w:rFonts w:hint="eastAsia" w:ascii="宋体" w:hAnsi="宋体" w:eastAsia="宋体" w:cs="宋体"/>
                <w:sz w:val="22"/>
                <w:szCs w:val="22"/>
              </w:rPr>
              <w:t xml:space="preserve">投标报价</w:t>
            </w:r>
            <w:r/>
          </w:p>
        </w:tc>
        <w:tc>
          <w:tcPr>
            <w:tcW w:w="876"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30</w:t>
            </w:r>
            <w:r/>
          </w:p>
        </w:tc>
        <w:tc>
          <w:tcPr>
            <w:tcW w:w="614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用低价优先法计算，即满足招标文件要求且投标价格最低的投标报价为评标基准价，其价格分为满分。其他投标人的价格分按照下列公式计算（小数点后保留二位）：投标报价得分=(评标基准价／投标报价)×30</w:t>
            </w:r>
            <w:r/>
          </w:p>
        </w:tc>
      </w:tr>
      <w:tr>
        <w:trPr>
          <w:jc w:val="center"/>
        </w:trPr>
        <w:tc>
          <w:tcPr>
            <w:tcW w:w="1285" w:type="dxa"/>
            <w:vAlign w:val="center"/>
            <w:vMerge w:val="restart"/>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技术部分</w:t>
            </w:r>
            <w:r/>
          </w:p>
          <w:p>
            <w:pPr>
              <w:jc w:val="center"/>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56</w:t>
            </w:r>
            <w:r>
              <w:rPr>
                <w:rFonts w:hint="eastAsia" w:ascii="宋体" w:hAnsi="宋体" w:eastAsia="宋体" w:cs="宋体"/>
                <w:sz w:val="22"/>
                <w:szCs w:val="22"/>
              </w:rPr>
              <w:t xml:space="preserve">分）</w:t>
            </w:r>
            <w:r/>
          </w:p>
        </w:tc>
        <w:tc>
          <w:tcPr>
            <w:tcW w:w="1344"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参数响应</w:t>
            </w:r>
            <w:r/>
          </w:p>
        </w:tc>
        <w:tc>
          <w:tcPr>
            <w:tcW w:w="876"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30</w:t>
            </w:r>
            <w:r/>
          </w:p>
        </w:tc>
        <w:tc>
          <w:tcPr>
            <w:tcW w:w="614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投标人所投产品完全满足招标文件的相关要求，得30分；（招标文件技术参数项中带有★标识为重要响应指标，需根据要求提供截图、报告、证书等证明材料。如有一项不满足，减</w:t>
            </w:r>
            <w:r>
              <w:rPr>
                <w:rFonts w:hint="eastAsia" w:ascii="宋体" w:hAnsi="宋体" w:eastAsia="宋体" w:cs="宋体"/>
                <w:sz w:val="21"/>
                <w:szCs w:val="21"/>
                <w:lang w:val="en-US" w:eastAsia="zh-CN"/>
              </w:rPr>
              <w:t xml:space="preserve">1</w:t>
            </w:r>
            <w:bookmarkStart w:id="1" w:name="_GoBack"/>
            <w:r/>
            <w:bookmarkEnd w:id="1"/>
            <w:r>
              <w:rPr>
                <w:rFonts w:hint="eastAsia" w:ascii="宋体" w:hAnsi="宋体" w:eastAsia="宋体" w:cs="宋体"/>
                <w:sz w:val="21"/>
                <w:szCs w:val="21"/>
              </w:rPr>
              <w:t xml:space="preserve">分。）</w:t>
            </w:r>
            <w:r/>
          </w:p>
        </w:tc>
      </w:tr>
      <w:tr>
        <w:trPr>
          <w:jc w:val="center"/>
          <w:trHeight w:val="847"/>
        </w:trPr>
        <w:tc>
          <w:tcPr>
            <w:tcW w:w="1285" w:type="dxa"/>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W w:w="1344"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厂商实力</w:t>
            </w:r>
            <w:r/>
          </w:p>
        </w:tc>
        <w:tc>
          <w:tcPr>
            <w:tcW w:w="876" w:type="dxa"/>
            <w:vAlign w:val="center"/>
            <w:textDirection w:val="lrTb"/>
            <w:noWrap w:val="false"/>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26</w:t>
            </w:r>
            <w:r/>
          </w:p>
        </w:tc>
        <w:tc>
          <w:tcPr>
            <w:tcW w:w="6142" w:type="dxa"/>
            <w:vAlign w:val="top"/>
            <w:textDirection w:val="lrTb"/>
            <w:noWrap w:val="false"/>
          </w:tcPr>
          <w:p>
            <w:pP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1、所投监控系统制造商可提供信息系统集成交付能力等级一级证书得2分，二级证书得1分，最高得2分，</w:t>
            </w:r>
            <w:r>
              <w:rPr>
                <w:rFonts w:hint="eastAsia" w:ascii="宋体" w:hAnsi="宋体" w:eastAsia="宋体" w:cs="宋体"/>
                <w:sz w:val="21"/>
                <w:szCs w:val="21"/>
                <w:highlight w:val="none"/>
              </w:rPr>
              <w:t xml:space="preserve">需</w:t>
            </w:r>
            <w:r>
              <w:rPr>
                <w:rFonts w:hint="eastAsia" w:ascii="宋体" w:hAnsi="宋体" w:eastAsia="宋体" w:cs="宋体"/>
                <w:sz w:val="21"/>
                <w:szCs w:val="21"/>
                <w:highlight w:val="none"/>
                <w:lang w:eastAsia="zh-CN"/>
              </w:rPr>
              <w:t xml:space="preserve">提供原件扫描件加盖供应商公章</w:t>
            </w:r>
            <w:r>
              <w:rPr>
                <w:rFonts w:hint="eastAsia" w:ascii="宋体" w:hAnsi="宋体" w:eastAsia="宋体" w:cs="宋体"/>
                <w:sz w:val="21"/>
                <w:szCs w:val="21"/>
                <w:highlight w:val="none"/>
              </w:rPr>
              <w:t xml:space="preserve">加盖投标人公章，不提供不得分。</w:t>
            </w:r>
            <w:r/>
          </w:p>
          <w:p>
            <w:pPr>
              <w:keepLines w:val="0"/>
              <w:keepNext w:val="0"/>
              <w:pageBreakBefore w:val="0"/>
              <w:spacing w:after="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2、所投监控系统制造商可提供中国网络安全审查技术与认证中心颁发的信息系统安全运维服务资质证书二级及以上的得3分，最高得3分，</w:t>
            </w:r>
            <w:r>
              <w:rPr>
                <w:rFonts w:hint="eastAsia" w:ascii="宋体" w:hAnsi="宋体" w:eastAsia="宋体" w:cs="宋体"/>
                <w:sz w:val="21"/>
                <w:szCs w:val="21"/>
                <w:highlight w:val="none"/>
              </w:rPr>
              <w:t xml:space="preserve">需</w:t>
            </w:r>
            <w:r>
              <w:rPr>
                <w:rFonts w:hint="eastAsia" w:ascii="宋体" w:hAnsi="宋体" w:eastAsia="宋体" w:cs="宋体"/>
                <w:sz w:val="21"/>
                <w:szCs w:val="21"/>
                <w:highlight w:val="none"/>
                <w:lang w:eastAsia="zh-CN"/>
              </w:rPr>
              <w:t xml:space="preserve">提供原件扫描件加盖供应商公章</w:t>
            </w:r>
            <w:r>
              <w:rPr>
                <w:rFonts w:hint="eastAsia" w:ascii="宋体" w:hAnsi="宋体" w:eastAsia="宋体" w:cs="宋体"/>
                <w:sz w:val="21"/>
                <w:szCs w:val="21"/>
                <w:highlight w:val="none"/>
              </w:rPr>
              <w:t xml:space="preserve">加盖投标人公章，不提供不得分</w:t>
            </w:r>
            <w:r>
              <w:rPr>
                <w:rFonts w:hint="eastAsia" w:ascii="宋体" w:hAnsi="宋体" w:eastAsia="宋体" w:cs="宋体"/>
                <w:sz w:val="21"/>
                <w:szCs w:val="21"/>
                <w:highlight w:val="none"/>
                <w:lang w:eastAsia="zh-CN"/>
              </w:rPr>
              <w:t xml:space="preserve">。</w:t>
            </w:r>
            <w:r/>
          </w:p>
          <w:p>
            <w:pPr>
              <w:pStyle w:val="684"/>
              <w:numPr>
                <w:ilvl w:val="0"/>
                <w:numId w:val="0"/>
              </w:numP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3、所投音视频会议智能系统设备制造商具有商品售后5星级服务评价证书得3分，最高得3分，</w:t>
            </w:r>
            <w:r>
              <w:rPr>
                <w:rFonts w:hint="eastAsia" w:ascii="宋体" w:hAnsi="宋体" w:eastAsia="宋体" w:cs="宋体"/>
                <w:sz w:val="21"/>
                <w:szCs w:val="21"/>
                <w:highlight w:val="none"/>
              </w:rPr>
              <w:t xml:space="preserve">需</w:t>
            </w:r>
            <w:r>
              <w:rPr>
                <w:rFonts w:hint="eastAsia" w:ascii="宋体" w:hAnsi="宋体" w:eastAsia="宋体" w:cs="宋体"/>
                <w:sz w:val="21"/>
                <w:szCs w:val="21"/>
                <w:highlight w:val="none"/>
                <w:lang w:eastAsia="zh-CN"/>
              </w:rPr>
              <w:t xml:space="preserve">提供原件扫描件加盖供应商公章</w:t>
            </w:r>
            <w:r>
              <w:rPr>
                <w:rFonts w:hint="eastAsia" w:ascii="宋体" w:hAnsi="宋体" w:eastAsia="宋体" w:cs="宋体"/>
                <w:sz w:val="21"/>
                <w:szCs w:val="21"/>
                <w:highlight w:val="none"/>
              </w:rPr>
              <w:t xml:space="preserve">加盖投标人公章，不提供不得分。</w:t>
            </w:r>
            <w:r/>
          </w:p>
          <w:p>
            <w:pPr>
              <w:pStyle w:val="684"/>
              <w:numPr>
                <w:ilvl w:val="0"/>
                <w:numId w:val="0"/>
              </w:numP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4、所投音视频智能系统集成工程资质壹级认证证书得1分，专业音响工程设计施工承包壹级认证证书得1分，每项得1分；最高得2分，</w:t>
            </w:r>
            <w:r>
              <w:rPr>
                <w:rFonts w:hint="eastAsia" w:ascii="宋体" w:hAnsi="宋体" w:eastAsia="宋体" w:cs="宋体"/>
                <w:sz w:val="21"/>
                <w:szCs w:val="21"/>
                <w:highlight w:val="none"/>
              </w:rPr>
              <w:t xml:space="preserve">需</w:t>
            </w:r>
            <w:r>
              <w:rPr>
                <w:rFonts w:hint="eastAsia" w:ascii="宋体" w:hAnsi="宋体" w:eastAsia="宋体" w:cs="宋体"/>
                <w:sz w:val="21"/>
                <w:szCs w:val="21"/>
                <w:highlight w:val="none"/>
                <w:lang w:eastAsia="zh-CN"/>
              </w:rPr>
              <w:t xml:space="preserve">提供原件扫描件加盖供应商公章</w:t>
            </w:r>
            <w:r>
              <w:rPr>
                <w:rFonts w:hint="eastAsia" w:ascii="宋体" w:hAnsi="宋体" w:eastAsia="宋体" w:cs="宋体"/>
                <w:sz w:val="21"/>
                <w:szCs w:val="21"/>
                <w:highlight w:val="none"/>
              </w:rPr>
              <w:t xml:space="preserve">加盖投标人公章，不提供不得分。</w:t>
            </w:r>
            <w:r/>
          </w:p>
          <w:p>
            <w:pP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5、所投LED屏制造商具有信息安全管理体系认证证书得2分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信息技术服务管理体系认证证书得2分，最高得4分，</w:t>
            </w:r>
            <w:r>
              <w:rPr>
                <w:rFonts w:hint="eastAsia" w:ascii="宋体" w:hAnsi="宋体" w:eastAsia="宋体" w:cs="宋体"/>
                <w:sz w:val="21"/>
                <w:szCs w:val="21"/>
                <w:highlight w:val="none"/>
              </w:rPr>
              <w:t xml:space="preserve">需</w:t>
            </w:r>
            <w:r>
              <w:rPr>
                <w:rFonts w:hint="eastAsia" w:ascii="宋体" w:hAnsi="宋体" w:eastAsia="宋体" w:cs="宋体"/>
                <w:sz w:val="21"/>
                <w:szCs w:val="21"/>
                <w:highlight w:val="none"/>
                <w:lang w:eastAsia="zh-CN"/>
              </w:rPr>
              <w:t xml:space="preserve">提供原件扫描件加盖供应商公章</w:t>
            </w:r>
            <w:r>
              <w:rPr>
                <w:rFonts w:hint="eastAsia" w:ascii="宋体" w:hAnsi="宋体" w:eastAsia="宋体" w:cs="宋体"/>
                <w:sz w:val="21"/>
                <w:szCs w:val="21"/>
                <w:highlight w:val="none"/>
              </w:rPr>
              <w:t xml:space="preserve">加盖投标人公章，不提供不得分。</w:t>
            </w:r>
            <w:r/>
          </w:p>
          <w:p>
            <w:pPr>
              <w:keepLines w:val="0"/>
              <w:keepNext w:val="0"/>
              <w:pageBreakBefore w:val="0"/>
              <w:spacing w:after="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6、所投LED屏制造商具有质量管理体系认证证书得2分、环境管理体系认证证书得2分、职业健康安全管理系统体系认证证书得2分，最高得6分，</w:t>
            </w:r>
            <w:r>
              <w:rPr>
                <w:rFonts w:hint="eastAsia" w:ascii="宋体" w:hAnsi="宋体" w:eastAsia="宋体" w:cs="宋体"/>
                <w:sz w:val="21"/>
                <w:szCs w:val="21"/>
                <w:highlight w:val="none"/>
              </w:rPr>
              <w:t xml:space="preserve">需</w:t>
            </w:r>
            <w:r>
              <w:rPr>
                <w:rFonts w:hint="eastAsia" w:ascii="宋体" w:hAnsi="宋体" w:eastAsia="宋体" w:cs="宋体"/>
                <w:sz w:val="21"/>
                <w:szCs w:val="21"/>
                <w:highlight w:val="none"/>
                <w:lang w:eastAsia="zh-CN"/>
              </w:rPr>
              <w:t xml:space="preserve">提供原件扫描件加盖供应商公章</w:t>
            </w:r>
            <w:r>
              <w:rPr>
                <w:rFonts w:hint="eastAsia" w:ascii="宋体" w:hAnsi="宋体" w:eastAsia="宋体" w:cs="宋体"/>
                <w:sz w:val="21"/>
                <w:szCs w:val="21"/>
                <w:highlight w:val="none"/>
              </w:rPr>
              <w:t xml:space="preserve">加盖投标人公章，不提供不得分。</w:t>
            </w:r>
            <w:r/>
          </w:p>
          <w:p>
            <w:pPr>
              <w:pStyle w:val="678"/>
              <w:ind w:left="0" w:firstLine="0"/>
              <w:keepLines w:val="0"/>
              <w:keepNext w:val="0"/>
              <w:pageBreakBefore w:val="0"/>
              <w:spacing w:after="0"/>
              <w:widowControl/>
              <w:rPr>
                <w:rFonts w:hint="eastAsia" w:ascii="宋体" w:hAnsi="宋体" w:eastAsia="宋体" w:cs="宋体"/>
                <w:sz w:val="21"/>
                <w:szCs w:val="21"/>
              </w:rPr>
            </w:pPr>
            <w:r>
              <w:rPr>
                <w:rFonts w:hint="eastAsia" w:ascii="宋体" w:hAnsi="宋体" w:eastAsia="宋体" w:cs="宋体"/>
                <w:sz w:val="21"/>
                <w:szCs w:val="21"/>
                <w:highlight w:val="none"/>
                <w:lang w:val="en-US" w:eastAsia="zh-CN"/>
              </w:rPr>
              <w:t xml:space="preserve">7、所投防火墙具有中国信息安全认证中心颁发的《中国国家信息安全产品认证证书》得2分。具有中国信息安全测评中心EAL4+级证书得2分，具有中国信息安全测评中心出具的AI防火墙测试报告得2分，最高得6分，</w:t>
            </w:r>
            <w:r>
              <w:rPr>
                <w:rFonts w:hint="eastAsia" w:ascii="宋体" w:hAnsi="宋体" w:eastAsia="宋体" w:cs="宋体"/>
                <w:sz w:val="21"/>
                <w:szCs w:val="21"/>
                <w:highlight w:val="none"/>
              </w:rPr>
              <w:t xml:space="preserve">需提供证书</w:t>
            </w:r>
            <w:r>
              <w:rPr>
                <w:rFonts w:hint="eastAsia" w:ascii="宋体" w:hAnsi="宋体" w:eastAsia="宋体" w:cs="宋体"/>
                <w:sz w:val="21"/>
                <w:szCs w:val="21"/>
                <w:highlight w:val="none"/>
                <w:lang w:val="en-US" w:eastAsia="zh-CN"/>
              </w:rPr>
              <w:t xml:space="preserve">及测试报告</w:t>
            </w:r>
            <w:r>
              <w:rPr>
                <w:rFonts w:hint="eastAsia" w:ascii="宋体" w:hAnsi="宋体" w:eastAsia="宋体" w:cs="宋体"/>
                <w:sz w:val="21"/>
                <w:szCs w:val="21"/>
                <w:highlight w:val="none"/>
                <w:lang w:eastAsia="zh-CN"/>
              </w:rPr>
              <w:t xml:space="preserve">原件扫描件</w:t>
            </w:r>
            <w:r>
              <w:rPr>
                <w:rFonts w:hint="eastAsia" w:ascii="宋体" w:hAnsi="宋体" w:eastAsia="宋体" w:cs="宋体"/>
                <w:sz w:val="21"/>
                <w:szCs w:val="21"/>
                <w:highlight w:val="none"/>
              </w:rPr>
              <w:t xml:space="preserve">加盖投标人公章，不提供不得分</w:t>
            </w:r>
            <w:r>
              <w:rPr>
                <w:rFonts w:hint="eastAsia" w:ascii="宋体" w:hAnsi="宋体" w:eastAsia="宋体" w:cs="宋体"/>
                <w:sz w:val="21"/>
                <w:szCs w:val="21"/>
                <w:highlight w:val="none"/>
                <w:lang w:eastAsia="zh-CN"/>
              </w:rPr>
              <w:t xml:space="preserve">。</w:t>
            </w:r>
            <w:r/>
          </w:p>
        </w:tc>
      </w:tr>
      <w:tr>
        <w:trPr>
          <w:jc w:val="center"/>
          <w:trHeight w:val="673"/>
        </w:trPr>
        <w:tc>
          <w:tcPr>
            <w:tcW w:w="1285" w:type="dxa"/>
            <w:vAlign w:val="center"/>
            <w:vMerge w:val="restart"/>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综合能力</w:t>
            </w:r>
            <w:r/>
          </w:p>
          <w:p>
            <w:pPr>
              <w:jc w:val="center"/>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分）</w:t>
            </w:r>
            <w:r/>
          </w:p>
        </w:tc>
        <w:tc>
          <w:tcPr>
            <w:tcW w:w="1344"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服务方案</w:t>
            </w:r>
            <w:r/>
          </w:p>
        </w:tc>
        <w:tc>
          <w:tcPr>
            <w:tcW w:w="876" w:type="dxa"/>
            <w:vAlign w:val="center"/>
            <w:textDirection w:val="lrTb"/>
            <w:noWrap w:val="false"/>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6</w:t>
            </w:r>
            <w:r/>
          </w:p>
        </w:tc>
        <w:tc>
          <w:tcPr>
            <w:tcW w:w="6142" w:type="dxa"/>
            <w:vAlign w:val="center"/>
            <w:textDirection w:val="lrTb"/>
            <w:noWrap w:val="false"/>
          </w:tcPr>
          <w:p>
            <w:pPr>
              <w:jc w:val="both"/>
              <w:rPr>
                <w:rFonts w:hint="eastAsia" w:ascii="宋体" w:hAnsi="宋体" w:eastAsia="宋体" w:cs="宋体"/>
                <w:sz w:val="22"/>
                <w:szCs w:val="22"/>
                <w:lang w:val="en-US" w:eastAsia="zh-CN"/>
              </w:rPr>
            </w:pPr>
            <w:r>
              <w:rPr>
                <w:rFonts w:hint="eastAsia" w:ascii="宋体" w:hAnsi="宋体" w:eastAsia="宋体" w:cs="宋体"/>
                <w:sz w:val="22"/>
                <w:szCs w:val="22"/>
              </w:rPr>
              <w:t xml:space="preserve">评委根据投标人提供的服务方案的合理性、先进性、扩展性并结合等方面，评委根据其合理程度综合打分。</w:t>
            </w:r>
            <w:r/>
          </w:p>
        </w:tc>
      </w:tr>
      <w:tr>
        <w:trPr>
          <w:jc w:val="center"/>
          <w:trHeight w:val="1008"/>
        </w:trPr>
        <w:tc>
          <w:tcPr>
            <w:tcW w:w="1285" w:type="dxa"/>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W w:w="1344"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业绩</w:t>
            </w:r>
            <w:r/>
          </w:p>
        </w:tc>
        <w:tc>
          <w:tcPr>
            <w:tcW w:w="876" w:type="dxa"/>
            <w:vAlign w:val="center"/>
            <w:textDirection w:val="lrTb"/>
            <w:noWrap w:val="false"/>
          </w:tcPr>
          <w:p>
            <w:pPr>
              <w:jc w:val="center"/>
              <w:rPr>
                <w:rFonts w:hint="default" w:ascii="宋体" w:hAnsi="宋体" w:eastAsia="宋体" w:cs="宋体"/>
                <w:sz w:val="22"/>
                <w:szCs w:val="22"/>
                <w:lang w:val="en-US" w:eastAsia="zh-CN"/>
              </w:rPr>
            </w:pPr>
            <w:r>
              <w:rPr>
                <w:rFonts w:hint="eastAsia" w:ascii="宋体" w:hAnsi="宋体" w:eastAsia="宋体" w:cs="宋体"/>
                <w:sz w:val="22"/>
                <w:szCs w:val="22"/>
              </w:rPr>
              <w:t xml:space="preserve">6</w:t>
            </w:r>
            <w:r/>
          </w:p>
        </w:tc>
        <w:tc>
          <w:tcPr>
            <w:tcW w:w="6142" w:type="dxa"/>
            <w:vAlign w:val="center"/>
            <w:textDirection w:val="lrTb"/>
            <w:noWrap w:val="false"/>
          </w:tcPr>
          <w:p>
            <w:pPr>
              <w:keepLines w:val="0"/>
              <w:keepNext w:val="0"/>
              <w:pageBreakBefore w:val="0"/>
              <w:spacing w:after="0"/>
              <w:widowControl/>
              <w:rPr>
                <w:rFonts w:hint="eastAsia" w:ascii="宋体" w:hAnsi="宋体" w:eastAsia="宋体" w:cs="宋体"/>
                <w:sz w:val="21"/>
                <w:szCs w:val="21"/>
              </w:rPr>
            </w:pPr>
            <w:r>
              <w:rPr>
                <w:rFonts w:hint="eastAsia" w:ascii="宋体" w:hAnsi="宋体" w:eastAsia="宋体" w:cs="宋体"/>
                <w:sz w:val="21"/>
                <w:szCs w:val="21"/>
              </w:rPr>
              <w:t xml:space="preserve">投标人自202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年1月1日以来有实施类似项目成功案例业绩，每提供一个得2分，最多得6分。</w:t>
            </w:r>
            <w:r/>
          </w:p>
          <w:p>
            <w:pPr>
              <w:keepLines w:val="0"/>
              <w:keepNext w:val="0"/>
              <w:pageBreakBefore w:val="0"/>
              <w:spacing w:after="0"/>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须在响应文件中提供相对应的合同扫描件、验收报告扫描件加盖投标人公章。</w:t>
            </w:r>
            <w:r>
              <w:rPr>
                <w:rFonts w:hint="eastAsia" w:ascii="宋体" w:hAnsi="宋体" w:eastAsia="宋体" w:cs="宋体"/>
                <w:sz w:val="21"/>
                <w:szCs w:val="21"/>
                <w:lang w:eastAsia="zh-CN"/>
              </w:rPr>
              <w:t xml:space="preserve">）</w:t>
            </w:r>
            <w:r/>
          </w:p>
        </w:tc>
      </w:tr>
      <w:tr>
        <w:trPr>
          <w:jc w:val="center"/>
          <w:trHeight w:val="1008"/>
        </w:trPr>
        <w:tc>
          <w:tcPr>
            <w:tcW w:w="1285" w:type="dxa"/>
            <w:textDirection w:val="lrTb"/>
            <w:noWrap w:val="false"/>
          </w:tcPr>
          <w:p>
            <w:pPr>
              <w:pStyle w:val="682"/>
              <w:ind w:firstLine="1003"/>
              <w:jc w:val="both"/>
              <w:spacing w:before="120" w:beforeAutospacing="0" w:after="120" w:afterAutospacing="0" w:line="0" w:lineRule="atLeast"/>
              <w:rPr>
                <w:rFonts w:hint="eastAsia" w:ascii="宋体" w:hAnsi="宋体" w:eastAsia="宋体" w:cs="宋体"/>
                <w:color w:val="ff0000"/>
                <w:lang w:val="en-US" w:eastAsia="zh-CN"/>
              </w:rPr>
            </w:pPr>
            <w:r>
              <w:rPr>
                <w:rFonts w:hint="eastAsia" w:ascii="宋体" w:hAnsi="宋体" w:eastAsia="宋体" w:cs="宋体"/>
                <w:color w:val="ff0000"/>
                <w:lang w:val="en-US" w:eastAsia="zh-CN"/>
              </w:rPr>
              <w:t xml:space="preserve"> </w:t>
            </w:r>
            <w:r/>
          </w:p>
          <w:p>
            <w:pPr>
              <w:pStyle w:val="682"/>
              <w:ind w:firstLine="1003"/>
              <w:jc w:val="both"/>
              <w:spacing w:before="120" w:beforeAutospacing="0" w:after="120" w:afterAutospacing="0" w:line="0" w:lineRule="atLeast"/>
              <w:rPr>
                <w:rFonts w:hint="eastAsia" w:ascii="宋体" w:hAnsi="宋体" w:eastAsia="宋体" w:cs="宋体"/>
                <w:color w:val="ff0000"/>
                <w:lang w:val="en-US" w:eastAsia="zh-CN"/>
              </w:rPr>
            </w:pPr>
            <w:r>
              <w:rPr>
                <w:rFonts w:hint="eastAsia" w:ascii="宋体" w:hAnsi="宋体" w:eastAsia="宋体" w:cs="宋体"/>
                <w:color w:val="ff0000"/>
                <w:lang w:val="en-US" w:eastAsia="zh-CN"/>
              </w:rPr>
            </w:r>
            <w:r/>
          </w:p>
          <w:p>
            <w:pPr>
              <w:pStyle w:val="682"/>
              <w:ind w:firstLine="1003"/>
              <w:jc w:val="both"/>
              <w:spacing w:before="120" w:beforeAutospacing="0" w:after="120" w:afterAutospacing="0" w:line="0" w:lineRule="atLeast"/>
              <w:rPr>
                <w:color w:val="ff0000"/>
              </w:rPr>
            </w:pPr>
            <w:r>
              <w:rPr>
                <w:rFonts w:hint="eastAsia" w:ascii="宋体" w:hAnsi="宋体" w:eastAsia="宋体" w:cs="宋体"/>
                <w:color w:val="ff0000"/>
                <w:lang w:val="en-US" w:eastAsia="zh-CN"/>
              </w:rPr>
              <w:t xml:space="preserve"> </w:t>
            </w:r>
            <w:r>
              <w:rPr>
                <w:rFonts w:hint="eastAsia" w:ascii="宋体" w:hAnsi="宋体" w:eastAsia="宋体" w:cs="宋体"/>
                <w:sz w:val="22"/>
                <w:szCs w:val="22"/>
                <w:lang w:val="en-US" w:eastAsia="en-US" w:bidi="ar-SA"/>
              </w:rPr>
              <w:t xml:space="preserve">节能环保（2分）</w:t>
            </w:r>
            <w:r/>
          </w:p>
          <w:p>
            <w:pPr>
              <w:jc w:val="center"/>
              <w:rPr>
                <w:rFonts w:hint="eastAsia" w:ascii="宋体" w:hAnsi="宋体" w:eastAsia="宋体" w:cs="宋体"/>
                <w:sz w:val="22"/>
                <w:szCs w:val="22"/>
              </w:rPr>
            </w:pPr>
            <w:r>
              <w:rPr>
                <w:rFonts w:hint="eastAsia" w:ascii="宋体" w:hAnsi="宋体" w:eastAsia="宋体" w:cs="宋体"/>
                <w:sz w:val="22"/>
                <w:szCs w:val="22"/>
              </w:rPr>
            </w:r>
            <w:r/>
          </w:p>
        </w:tc>
        <w:tc>
          <w:tcPr>
            <w:tcW w:w="1344" w:type="dxa"/>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W w:w="876" w:type="dxa"/>
            <w:textDirection w:val="lrTb"/>
            <w:noWrap w:val="false"/>
          </w:tcPr>
          <w:p>
            <w:pPr>
              <w:jc w:val="center"/>
              <w:keepLines w:val="0"/>
              <w:keepNext w:val="0"/>
              <w:pageBreakBefore w:val="0"/>
              <w:spacing w:after="0"/>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p>
            <w:pPr>
              <w:jc w:val="center"/>
              <w:keepLines w:val="0"/>
              <w:keepNext w:val="0"/>
              <w:pageBreakBefore w:val="0"/>
              <w:spacing w:after="0"/>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p>
            <w:pPr>
              <w:jc w:val="center"/>
              <w:keepLines w:val="0"/>
              <w:keepNext w:val="0"/>
              <w:pageBreakBefore w:val="0"/>
              <w:spacing w:after="0"/>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p>
            <w:pPr>
              <w:jc w:val="center"/>
              <w:keepLines w:val="0"/>
              <w:keepNext w:val="0"/>
              <w:pageBreakBefore w:val="0"/>
              <w:spacing w:after="0"/>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p>
            <w:pPr>
              <w:jc w:val="center"/>
              <w:keepLines w:val="0"/>
              <w:keepNext w:val="0"/>
              <w:pageBreakBefore w:val="0"/>
              <w:spacing w:after="0"/>
              <w:widowControl/>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p>
        </w:tc>
        <w:tc>
          <w:tcPr>
            <w:tcW w:w="6142" w:type="dxa"/>
            <w:vAlign w:val="center"/>
            <w:textDirection w:val="lrTb"/>
            <w:noWrap w:val="false"/>
          </w:tcPr>
          <w:p>
            <w:pPr>
              <w:numPr>
                <w:ilvl w:val="0"/>
                <w:numId w:val="1"/>
              </w:numPr>
              <w:keepLines w:val="0"/>
              <w:keepNext w:val="0"/>
              <w:pageBreakBefore w:val="0"/>
              <w:spacing w:after="0"/>
              <w:widowControl/>
              <w:rPr>
                <w:rFonts w:hint="eastAsia" w:ascii="宋体" w:hAnsi="宋体" w:eastAsia="宋体" w:cs="宋体"/>
                <w:sz w:val="21"/>
                <w:szCs w:val="21"/>
              </w:rPr>
            </w:pPr>
            <w:r>
              <w:rPr>
                <w:rFonts w:hint="eastAsia" w:ascii="宋体" w:hAnsi="宋体" w:eastAsia="宋体" w:cs="宋体"/>
                <w:sz w:val="21"/>
                <w:szCs w:val="21"/>
              </w:rPr>
              <w:t xml:space="preserve">投标产品属于财政部、国家发改委公布的“节能产品品目清单”范围内的，投标人提供国家确定的认证机构出具的、处于有效期之内的该节能产品认证证书</w:t>
            </w:r>
            <w:r>
              <w:rPr>
                <w:rFonts w:hint="eastAsia" w:ascii="宋体" w:hAnsi="宋体" w:eastAsia="宋体" w:cs="宋体"/>
                <w:sz w:val="21"/>
                <w:szCs w:val="21"/>
                <w:lang w:eastAsia="zh-CN"/>
              </w:rPr>
              <w:t xml:space="preserve">原件扫描件</w:t>
            </w:r>
            <w:r>
              <w:rPr>
                <w:rFonts w:hint="eastAsia" w:ascii="宋体" w:hAnsi="宋体" w:eastAsia="宋体" w:cs="宋体"/>
                <w:sz w:val="21"/>
                <w:szCs w:val="21"/>
              </w:rPr>
              <w:t xml:space="preserve">的，有1个得0.5分，最多得1分。如投标产品均属于政府强制采购节能产品品目清单范围内，本项不得分。</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扫描件加盖投标人公章</w:t>
            </w:r>
            <w:r>
              <w:rPr>
                <w:rFonts w:hint="eastAsia" w:ascii="宋体" w:hAnsi="宋体" w:eastAsia="宋体" w:cs="宋体"/>
                <w:sz w:val="21"/>
                <w:szCs w:val="21"/>
                <w:lang w:eastAsia="zh-CN"/>
              </w:rPr>
              <w:t xml:space="preserve">）</w:t>
            </w:r>
            <w:r/>
          </w:p>
          <w:p>
            <w:pPr>
              <w:keepLines w:val="0"/>
              <w:keepNext w:val="0"/>
              <w:pageBreakBefore w:val="0"/>
              <w:spacing w:after="0"/>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2.投标产品属于财政部、生态环境部公布的“环境标志产品品目清单”范围内的，投标人提供国家确定的认证机构出具的、处于有效期内的该环保产品认证证书</w:t>
            </w:r>
            <w:r>
              <w:rPr>
                <w:rFonts w:hint="eastAsia" w:ascii="宋体" w:hAnsi="宋体" w:eastAsia="宋体" w:cs="宋体"/>
                <w:sz w:val="21"/>
                <w:szCs w:val="21"/>
                <w:lang w:eastAsia="zh-CN"/>
              </w:rPr>
              <w:t xml:space="preserve">原件扫描件</w:t>
            </w:r>
            <w:r>
              <w:rPr>
                <w:rFonts w:hint="eastAsia" w:ascii="宋体" w:hAnsi="宋体" w:eastAsia="宋体" w:cs="宋体"/>
                <w:sz w:val="21"/>
                <w:szCs w:val="21"/>
              </w:rPr>
              <w:t xml:space="preserve">的，有1个得0.5分，最多得1分。</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扫描件加盖投标人公章</w:t>
            </w:r>
            <w:r>
              <w:rPr>
                <w:rFonts w:hint="eastAsia" w:ascii="宋体" w:hAnsi="宋体" w:eastAsia="宋体" w:cs="宋体"/>
                <w:sz w:val="21"/>
                <w:szCs w:val="21"/>
                <w:lang w:eastAsia="zh-CN"/>
              </w:rPr>
              <w:t xml:space="preserve">）</w:t>
            </w:r>
            <w:r/>
          </w:p>
        </w:tc>
      </w:tr>
    </w:tbl>
    <w:p>
      <w:pPr>
        <w:ind w:right="-92" w:firstLine="480"/>
        <w:spacing w:line="480" w:lineRule="exact"/>
      </w:pPr>
      <w:r>
        <w:rPr>
          <w:rFonts w:hint="eastAsia" w:ascii="宋体" w:hAnsi="宋体" w:eastAsia="宋体" w:cs="宋体"/>
          <w:color w:val="auto"/>
          <w:sz w:val="24"/>
          <w:szCs w:val="24"/>
          <w:highlight w:val="none"/>
          <w:lang w:val="en-US" w:eastAsia="zh-CN"/>
        </w:rPr>
        <w:t xml:space="preserve">备注：</w:t>
      </w:r>
      <w:r>
        <w:rPr>
          <w:rFonts w:hint="eastAsia" w:ascii="宋体" w:hAnsi="宋体" w:eastAsia="宋体" w:cs="宋体"/>
          <w:color w:val="auto"/>
          <w:sz w:val="24"/>
          <w:szCs w:val="24"/>
          <w:highlight w:val="none"/>
        </w:rPr>
        <w:t xml:space="preserve">本项目核心产品为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内外网核心交换机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核心产品提供相同品牌且通过资格审查、符合性审查的不同投标人参加本合同项下投标的，按一家投标人计算，评审后得分最高的同品牌投标人获得中标人推荐资格；评审得分相同的，由采购人委托评标委员会采取随机抽取方式确定一个投标人获得中标人推荐资格，其他同品牌投标人不作为中标候选人。</w:t>
      </w:r>
      <w:r/>
    </w:p>
    <w:p>
      <w:pPr>
        <w:ind w:left="38" w:right="0" w:firstLine="508"/>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定标办法</w:t>
      </w:r>
      <w:r/>
    </w:p>
    <w:p>
      <w:pPr>
        <w:ind w:left="0" w:right="0"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1、最终取累计评审总得分高的第一名为中标候选人。</w:t>
      </w:r>
      <w:r/>
    </w:p>
    <w:p>
      <w:pPr>
        <w:ind w:left="0" w:right="0"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2、评委打分取所有成员的算术平均值作为投标人该项得分。</w:t>
      </w:r>
      <w:r/>
    </w:p>
    <w:p>
      <w:pPr>
        <w:ind w:left="0" w:right="0" w:firstLine="47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用综合评分法的，评标结果按评审后得分由高到低顺序排列，得分相同的，按投标报价得分由低到高顺序排列。得分且投标报价相同的由采购人委托评标委员会采取随机抽取方式确定。投标文件满足招标文件全部实质性要求，且按照评审因素的量化指标评审得分最高的投标人为排名第一的中标候选人。</w:t>
      </w:r>
      <w:r/>
    </w:p>
    <w:p>
      <w:pPr>
        <w:ind w:left="0" w:right="0"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4、在评标计分出现相同积分时，取报价低者为排名在前的中标候选人；如积分相同，报价也相同，由评标委员会抽签确定。</w:t>
      </w:r>
      <w:r/>
    </w:p>
    <w:p>
      <w:pPr>
        <w:ind w:left="0" w:right="0"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5、评标委员会决定投标文件的响应性只根据投标文件本身的内容，而不寻求外部的证据。</w:t>
      </w:r>
      <w:r/>
    </w:p>
    <w:p>
      <w:pPr>
        <w:ind w:left="0" w:right="0"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6、对不中标的候选人，招标人有权不作任何解释。</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第六章投标文件格式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投标人名称 ：</w:t>
      </w:r>
      <w:r>
        <w:rPr>
          <w:rFonts w:ascii="宋体" w:hAnsi="宋体" w:eastAsia="宋体" w:cs="宋体"/>
          <w:b/>
          <w:color w:val="000000"/>
          <w:sz w:val="36"/>
          <w:u w:val="single"/>
        </w:rPr>
        <w:t xml:space="preserve">（加盖CA电子公章）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日期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投标文件目录</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一、法人或者其他组织的营业执照等证明文件，自然人的身份证明（如供应商为事业单位的，</w:t>
      </w:r>
      <w:r>
        <w:rPr>
          <w:rFonts w:ascii="宋体" w:hAnsi="宋体" w:eastAsia="宋体" w:cs="宋体"/>
          <w:color w:val="000000"/>
          <w:sz w:val="24"/>
          <w:highlight w:val="white"/>
          <w:u w:val="single"/>
        </w:rPr>
        <w:t xml:space="preserve">提供事业单位法人证书）</w:t>
      </w:r>
      <w:r>
        <w:rPr>
          <w:rFonts w:ascii="宋体" w:hAnsi="宋体" w:eastAsia="宋体" w:cs="宋体"/>
          <w:color w:val="000000"/>
          <w:sz w:val="24"/>
          <w:u w:val="single"/>
        </w:rPr>
        <w:t xml:space="preserve">；</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二、上一年度的财务状况报表；距投标截止之日止，成立不足一年的供应商，可不提供财务报表；如供应商为事业单位的，财务报表至少应包括资产负债表、</w:t>
      </w:r>
      <w:r>
        <w:rPr>
          <w:rFonts w:ascii="Arial" w:hAnsi="Arial" w:eastAsia="Arial" w:cs="Arial"/>
          <w:color w:val="000000"/>
          <w:sz w:val="24"/>
          <w:highlight w:val="white"/>
          <w:u w:val="single"/>
        </w:rPr>
        <w:t xml:space="preserve">收入支出表或者收入费用表</w:t>
      </w:r>
      <w:r>
        <w:rPr>
          <w:rFonts w:ascii="宋体" w:hAnsi="宋体" w:eastAsia="宋体" w:cs="宋体"/>
          <w:color w:val="000000"/>
          <w:sz w:val="24"/>
          <w:u w:val="single"/>
        </w:rPr>
        <w:t xml:space="preserve">）；</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三、依法缴纳税收和社会保障资金的相关材料（提供2023年1月以来任意一个月的依法缴纳税收及社会保障资金的证明材料。投标人依法享受缓缴、免缴税收、社会保障资金的提供证明材料。）；</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四、具备履行合同所必需的设备和专业技术能力的书面声明</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五、参加政府采购活动前 3 年内在经营活动中没有重大违法记录的书面声明；</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六、特定资格要求的证明文件（如果本项目设置特定资格要求，则需要提供）</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七、法人授权书</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八、投标函</w:t>
      </w:r>
      <w:r/>
    </w:p>
    <w:p>
      <w:pPr>
        <w:ind w:left="0" w:right="0" w:firstLine="480"/>
        <w:jc w:val="both"/>
        <w:spacing w:before="0" w:after="0" w:line="43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九、小微企业声明函（如有）</w:t>
      </w:r>
      <w:r/>
    </w:p>
    <w:p>
      <w:pPr>
        <w:pStyle w:val="682"/>
        <w:ind w:firstLine="480"/>
        <w:jc w:val="both"/>
        <w:spacing w:beforeAutospacing="0" w:afterAutospacing="0" w:line="240" w:lineRule="auto"/>
        <w:rPr>
          <w:rFonts w:hint="default" w:ascii="宋体" w:hAnsi="宋体" w:eastAsia="宋体" w:cs="宋体"/>
          <w:color w:val="000000"/>
          <w:sz w:val="24"/>
          <w:szCs w:val="22"/>
          <w:lang w:val="en-US" w:eastAsia="en-US" w:bidi="ar-SA"/>
        </w:rPr>
      </w:pPr>
      <w:r>
        <w:rPr>
          <w:rFonts w:hint="eastAsia" w:ascii="宋体" w:hAnsi="宋体" w:eastAsia="宋体" w:cs="宋体"/>
          <w:color w:val="000000"/>
          <w:sz w:val="24"/>
          <w:szCs w:val="22"/>
          <w:lang w:val="en-US" w:eastAsia="en-US" w:bidi="ar-SA"/>
        </w:rPr>
        <w:t xml:space="preserve">十、残疾人福利性单位声明函</w:t>
      </w:r>
      <w:r>
        <w:rPr>
          <w:rFonts w:hint="default" w:ascii="宋体" w:hAnsi="宋体" w:eastAsia="宋体" w:cs="宋体"/>
          <w:color w:val="000000"/>
          <w:sz w:val="24"/>
          <w:szCs w:val="22"/>
          <w:lang w:val="en-US" w:eastAsia="en-US" w:bidi="ar-SA"/>
        </w:rPr>
        <w:t xml:space="preserve">（如有）</w:t>
      </w:r>
      <w:r/>
    </w:p>
    <w:p>
      <w:pPr>
        <w:pStyle w:val="682"/>
        <w:ind w:firstLine="480"/>
        <w:jc w:val="both"/>
        <w:spacing w:beforeAutospacing="0" w:afterAutospacing="0" w:line="240" w:lineRule="auto"/>
      </w:pPr>
      <w:r>
        <w:rPr>
          <w:rFonts w:ascii="宋体" w:hAnsi="宋体" w:eastAsia="宋体" w:cs="宋体"/>
          <w:color w:val="000000"/>
          <w:sz w:val="24"/>
        </w:rPr>
        <w:t xml:space="preserve">十一、投标分项报价表</w:t>
      </w:r>
      <w:r/>
    </w:p>
    <w:p>
      <w:pPr>
        <w:ind w:left="0" w:right="0" w:firstLine="48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十二、技术要求响应及偏离表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十三、商务要求响应及偏离表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十四、技术方案</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十五、开标一览表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十六、供应商认为需要提供的其他材料</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七</w:t>
      </w:r>
      <w:r>
        <w:rPr>
          <w:rFonts w:ascii="宋体" w:hAnsi="宋体" w:eastAsia="宋体" w:cs="宋体"/>
          <w:color w:val="000000"/>
          <w:sz w:val="24"/>
        </w:rPr>
        <w:t xml:space="preserve">、盐城市政府采购事前信用承诺书</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20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30"/>
          <w:u w:val="single"/>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w:t>
      </w:r>
      <w:r>
        <w:rPr>
          <w:rFonts w:ascii="宋体" w:hAnsi="宋体" w:eastAsia="宋体" w:cs="宋体"/>
          <w:b/>
          <w:color w:val="000000"/>
          <w:sz w:val="30"/>
        </w:rPr>
        <w:t xml:space="preserve">法人或者其他组织的营业执照等证明文件，自然人的身份证明</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（提供营业执照、自然人的身份证明或</w:t>
      </w:r>
      <w:r>
        <w:rPr>
          <w:rFonts w:ascii="宋体" w:hAnsi="宋体" w:eastAsia="宋体" w:cs="宋体"/>
          <w:color w:val="000000"/>
          <w:sz w:val="24"/>
          <w:highlight w:val="white"/>
        </w:rPr>
        <w:t xml:space="preserve">事业单位法人证书）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二、上一年度的财务状况报</w:t>
      </w:r>
      <w:r>
        <w:rPr>
          <w:rFonts w:hint="eastAsia" w:ascii="宋体" w:hAnsi="宋体" w:eastAsia="宋体" w:cs="宋体"/>
          <w:b/>
          <w:color w:val="000000"/>
          <w:sz w:val="32"/>
          <w:lang w:val="en-US" w:eastAsia="zh-CN"/>
        </w:rPr>
        <w:t xml:space="preserve">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提供2023年度的财务报表（财务报表至少应包括资产负债表、利润表）；距投标截止之日止，成立不足一年的供应商，可不提供财务报表；如供应商为事业单位的，财务报表至少应包括资产负债表、</w:t>
      </w:r>
      <w:r>
        <w:rPr>
          <w:rFonts w:ascii="Arial" w:hAnsi="Arial" w:eastAsia="Arial" w:cs="Arial"/>
          <w:color w:val="000000"/>
          <w:sz w:val="24"/>
          <w:highlight w:val="white"/>
        </w:rPr>
        <w:t xml:space="preserve">收入支出表或者收入费用表</w:t>
      </w: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三、依法缴纳税收和社会保障资金的相关材料</w:t>
      </w:r>
      <w:r/>
    </w:p>
    <w:p>
      <w:pPr>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提供2023年1月以来任意一个月的依法缴纳税收及社会保障资金的证明材料。投标人依法享受缓缴、免缴税收、社会保障资金的提供证明材料。投标人依法享受缓缴、免缴税收、社会保障资金的提供证明材料。）；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四、具备履行合同所必需的设备和专业技术能力的书面声明</w:t>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声明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主要设备有：。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主要专业技术能力有：。</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投标人全称：</w:t>
      </w:r>
      <w:r>
        <w:rPr>
          <w:rFonts w:ascii="宋体" w:hAnsi="宋体" w:eastAsia="宋体" w:cs="宋体"/>
          <w:color w:val="000000"/>
          <w:sz w:val="28"/>
          <w:u w:val="single"/>
        </w:rPr>
        <w:t xml:space="preserve">  （加盖CA电子签章或盖公章）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日期：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五、参加政府采购活动前 3 年内在经营活动中没有重大违法记录的书面声明</w:t>
      </w:r>
      <w:r/>
    </w:p>
    <w:p>
      <w:pPr>
        <w:ind w:right="0" w:firstLine="4016"/>
        <w:jc w:val="both"/>
        <w:spacing w:before="0" w:after="0" w:line="85" w:lineRule="atLeast"/>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right="0" w:firstLine="4016"/>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声明</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如我公司在前3年内有重大违法记录，则视为我公司出具的声明为虚假材料，我单位愿意接收监管部门的相应处罚。</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0" w:after="0" w:line="14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投标人全称：</w:t>
      </w:r>
      <w:r>
        <w:rPr>
          <w:rFonts w:ascii="宋体" w:hAnsi="宋体" w:eastAsia="宋体" w:cs="宋体"/>
          <w:color w:val="000000"/>
          <w:sz w:val="28"/>
          <w:u w:val="single"/>
        </w:rPr>
        <w:t xml:space="preserve">  （加盖CA电子签章或盖公章   ）</w:t>
      </w:r>
      <w:r/>
    </w:p>
    <w:p>
      <w:pPr>
        <w:ind w:left="0" w:right="0" w:firstLine="0"/>
        <w:jc w:val="both"/>
        <w:spacing w:before="0" w:after="0" w:line="14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日期：</w:t>
      </w:r>
      <w:r/>
    </w:p>
    <w:p>
      <w:pPr>
        <w:ind w:left="0" w:right="0" w:firstLine="0"/>
        <w:jc w:val="both"/>
        <w:spacing w:before="0" w:after="0" w:line="14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六、特定资格要求的证明文件</w:t>
      </w:r>
      <w:r>
        <w:rPr>
          <w:rFonts w:hint="eastAsia" w:ascii="宋体" w:hAnsi="宋体" w:eastAsia="宋体" w:cs="宋体"/>
          <w:b/>
          <w:color w:val="000000"/>
          <w:sz w:val="32"/>
          <w:lang w:eastAsia="zh-CN"/>
        </w:rPr>
        <w:t xml:space="preserve">（</w:t>
      </w:r>
      <w:r>
        <w:rPr>
          <w:rFonts w:hint="eastAsia" w:ascii="宋体" w:hAnsi="宋体" w:eastAsia="宋体" w:cs="宋体"/>
          <w:b/>
          <w:color w:val="000000"/>
          <w:sz w:val="32"/>
          <w:lang w:val="en-US" w:eastAsia="zh-CN"/>
        </w:rPr>
        <w:t xml:space="preserve">如有</w:t>
      </w:r>
      <w:r>
        <w:rPr>
          <w:rFonts w:hint="eastAsia" w:ascii="宋体" w:hAnsi="宋体" w:eastAsia="宋体" w:cs="宋体"/>
          <w:b/>
          <w:color w:val="000000"/>
          <w:sz w:val="32"/>
          <w:lang w:eastAsia="zh-CN"/>
        </w:rPr>
        <w:t xml:space="preserve">）</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七、法人授权书</w:t>
      </w:r>
      <w:r/>
    </w:p>
    <w:p>
      <w:pPr>
        <w:ind w:left="0" w:right="0" w:firstLine="48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本授权书声明：____________（投标人名称）授权________________（被授权人的姓名）为我方就</w:t>
      </w:r>
      <w:r>
        <w:rPr>
          <w:rFonts w:ascii="宋体" w:hAnsi="宋体" w:eastAsia="宋体" w:cs="宋体"/>
          <w:color w:val="000000"/>
          <w:sz w:val="24"/>
          <w:u w:val="single"/>
        </w:rPr>
        <w:t xml:space="preserve">               </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本授权书于______年____月____日起生效，特此声明。</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p>
    <w:p>
      <w:pPr>
        <w:ind w:left="0" w:right="0" w:firstLine="120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（加盖CA电子签章或盖公章）</w:t>
      </w:r>
      <w:r/>
    </w:p>
    <w:p>
      <w:pPr>
        <w:ind w:left="0" w:right="0" w:firstLine="48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p>
    <w:p>
      <w:pPr>
        <w:ind w:left="0" w:right="0" w:firstLine="48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420"/>
        <w:jc w:val="both"/>
        <w:spacing w:before="0" w:after="0" w:line="113"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i/>
          <w:color w:val="000000"/>
          <w:sz w:val="24"/>
          <w:u w:val="single"/>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20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八、投标函</w:t>
      </w:r>
      <w:r/>
    </w:p>
    <w:p>
      <w:pPr>
        <w:ind w:left="0" w:right="0" w:firstLine="0"/>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hint="eastAsia" w:ascii="宋体" w:hAnsi="宋体" w:eastAsia="宋体" w:cs="宋体"/>
          <w:color w:val="000000"/>
          <w:sz w:val="24"/>
          <w:lang w:eastAsia="zh-CN"/>
        </w:rPr>
        <w:t xml:space="preserve">响水县七套卫生院</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        </w:t>
      </w:r>
      <w:r>
        <w:rPr>
          <w:rFonts w:ascii="宋体" w:hAnsi="宋体" w:eastAsia="宋体" w:cs="宋体"/>
          <w:color w:val="000000"/>
          <w:sz w:val="24"/>
        </w:rPr>
        <w:t xml:space="preserve">号招标文件，正式授权下述签字人_________________(姓名)代表我方______________（投标人的名称），全权处理本次项目投标的有关事宜。</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据此函，签字人兹宣布同意如下：</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日期：________年____月____日</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九、小微企业声明函（如有）</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本公司郑重声明，根据《政府采购促进中小企业发展管理办法》(财库[2020]46号)的规定，本公司参加</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eastAsia="zh-CN"/>
        </w:rPr>
        <w:t xml:space="preserve">响水县七套卫生院</w:t>
      </w:r>
      <w:r>
        <w:rPr>
          <w:rFonts w:ascii="宋体" w:hAnsi="宋体" w:eastAsia="宋体" w:cs="宋体"/>
          <w:color w:val="000000"/>
          <w:sz w:val="24"/>
          <w:u w:val="single"/>
        </w:rPr>
        <w:t xml:space="preserve"> </w:t>
      </w:r>
      <w:r>
        <w:rPr>
          <w:rFonts w:ascii="宋体" w:hAnsi="宋体" w:eastAsia="宋体" w:cs="宋体"/>
          <w:color w:val="000000"/>
          <w:sz w:val="24"/>
        </w:rPr>
        <w:t xml:space="preserve">组织的采购编号为</w:t>
      </w:r>
      <w:r>
        <w:rPr>
          <w:rFonts w:ascii="宋体" w:hAnsi="宋体" w:eastAsia="宋体" w:cs="宋体"/>
          <w:color w:val="000000"/>
          <w:sz w:val="24"/>
          <w:u w:val="single"/>
        </w:rPr>
        <w:t xml:space="preserve">JSZC-320921-QHGS-G2024-0004</w:t>
      </w:r>
      <w:r>
        <w:rPr>
          <w:rFonts w:hint="eastAsia" w:ascii="宋体" w:hAnsi="宋体" w:eastAsia="宋体" w:cs="宋体"/>
          <w:color w:val="000000"/>
          <w:sz w:val="24"/>
          <w:u w:val="single"/>
          <w:lang w:eastAsia="zh-CN"/>
        </w:rPr>
        <w:t xml:space="preserve">           </w:t>
      </w:r>
      <w:r>
        <w:rPr>
          <w:rFonts w:ascii="宋体" w:hAnsi="宋体" w:eastAsia="宋体" w:cs="宋体"/>
          <w:color w:val="000000"/>
          <w:sz w:val="24"/>
        </w:rPr>
        <w:t xml:space="preserve"> ，</w:t>
      </w:r>
      <w:r>
        <w:rPr>
          <w:rFonts w:hint="eastAsia" w:ascii="宋体" w:hAnsi="宋体" w:eastAsia="宋体" w:cs="宋体"/>
          <w:color w:val="000000"/>
          <w:sz w:val="24"/>
          <w:u w:val="single"/>
          <w:lang w:eastAsia="zh-CN"/>
        </w:rPr>
        <w:t xml:space="preserve">七套卫生院信息化系统</w:t>
      </w:r>
      <w:r>
        <w:rPr>
          <w:rFonts w:ascii="宋体" w:hAnsi="宋体" w:eastAsia="宋体" w:cs="宋体"/>
          <w:color w:val="000000"/>
          <w:sz w:val="24"/>
        </w:rPr>
        <w:t xml:space="preserve">的采购活动，提供的服务全部由符合政策要求的小微企业制造。根据《工业和信息化部、国家统计局、国家发展和改革委员会、财政部关于印发中小企业划型标准规定的通知》(工信部联企业[2011]300号)的规定，相关企业的具体情况如下：</w:t>
      </w:r>
      <w:r/>
    </w:p>
    <w:p>
      <w:pPr>
        <w:numPr>
          <w:ilvl w:val="0"/>
          <w:numId w:val="2"/>
        </w:numPr>
        <w:jc w:val="both"/>
        <w:spacing w:before="0" w:after="0" w:line="46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七套卫生院信息化系统</w:t>
      </w:r>
      <w:r>
        <w:rPr>
          <w:rFonts w:ascii="宋体" w:hAnsi="宋体" w:eastAsia="宋体" w:cs="宋体"/>
          <w:color w:val="000000"/>
          <w:sz w:val="24"/>
        </w:rPr>
        <w:t xml:space="preserve">，属于</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none"/>
        </w:rPr>
        <w:t xml:space="preserve">行业</w:t>
      </w:r>
      <w:r>
        <w:rPr>
          <w:rFonts w:ascii="宋体" w:hAnsi="宋体" w:eastAsia="宋体" w:cs="宋体"/>
          <w:color w:val="000000"/>
          <w:sz w:val="24"/>
        </w:rPr>
        <w:t xml:space="preserve">；制造商为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，从业人员人，营业收入为万元，资产总额为万元，属于</w:t>
      </w:r>
      <w:r>
        <w:rPr>
          <w:rFonts w:ascii="宋体" w:hAnsi="宋体" w:eastAsia="宋体" w:cs="宋体"/>
          <w:color w:val="000000"/>
          <w:sz w:val="24"/>
          <w:u w:val="single"/>
        </w:rPr>
        <w:t xml:space="preserve">（小型企业、微型企业）；</w:t>
      </w:r>
      <w:r/>
    </w:p>
    <w:p>
      <w:pPr>
        <w:numPr>
          <w:ilvl w:val="0"/>
          <w:numId w:val="2"/>
        </w:numPr>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（标的名称）</w:t>
      </w:r>
      <w:r>
        <w:rPr>
          <w:rFonts w:ascii="宋体" w:hAnsi="宋体" w:eastAsia="宋体" w:cs="宋体"/>
          <w:color w:val="000000"/>
          <w:sz w:val="24"/>
        </w:rPr>
        <w:t xml:space="preserve">，属于</w:t>
      </w:r>
      <w:r>
        <w:rPr>
          <w:rFonts w:ascii="宋体" w:hAnsi="宋体" w:eastAsia="宋体" w:cs="宋体"/>
          <w:color w:val="000000"/>
          <w:sz w:val="24"/>
          <w:u w:val="single"/>
        </w:rPr>
        <w:t xml:space="preserve">  （采购文件中明确的所属行业）</w:t>
      </w:r>
      <w:r>
        <w:rPr>
          <w:rFonts w:ascii="宋体" w:hAnsi="宋体" w:eastAsia="宋体" w:cs="宋体"/>
          <w:color w:val="000000"/>
          <w:sz w:val="24"/>
        </w:rPr>
        <w:t xml:space="preserve">行业；制造商为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，从业人员人，营业收入为万元，资产总额为万元，属于</w:t>
      </w:r>
      <w:r>
        <w:rPr>
          <w:rFonts w:ascii="宋体" w:hAnsi="宋体" w:eastAsia="宋体" w:cs="宋体"/>
          <w:color w:val="000000"/>
          <w:sz w:val="24"/>
          <w:u w:val="single"/>
        </w:rPr>
        <w:t xml:space="preserve">（小型企业、微型企业）；</w:t>
      </w:r>
      <w:r/>
    </w:p>
    <w:p>
      <w:pPr>
        <w:ind w:left="0" w:right="0" w:firstLine="36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p>
      <w:pPr>
        <w:ind w:left="0" w:right="0" w:firstLine="36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80" w:firstLine="360"/>
        <w:jc w:val="righ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企业名称（加盖CA电子公章或盖公章）：</w:t>
      </w:r>
      <w:r/>
    </w:p>
    <w:p>
      <w:pPr>
        <w:ind w:left="0" w:right="480" w:firstLine="540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备注1：从业人员、营业收入、资产总额填报上一年度数据，无上一年度数据的新成立企业可不填报。</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备注2：供应商如不提供此声明函，价格将不做相应扣除。</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pStyle w:val="682"/>
        <w:jc w:val="center"/>
        <w:spacing w:beforeAutospacing="0" w:afterAutospacing="0" w:line="0" w:lineRule="atLeast"/>
      </w:pPr>
      <w:r>
        <w:rPr>
          <w:rFonts w:hint="eastAsia" w:ascii="黑体" w:hAnsi="宋体" w:eastAsia="黑体" w:cs="黑体"/>
          <w:b/>
          <w:color w:val="000000"/>
          <w:sz w:val="32"/>
          <w:szCs w:val="32"/>
        </w:rPr>
        <w:t xml:space="preserve"> 十、残疾人福利性单位声明函</w:t>
      </w:r>
      <w:r>
        <w:rPr>
          <w:rFonts w:ascii="宋体" w:hAnsi="宋体" w:eastAsia="宋体" w:cs="宋体"/>
          <w:b/>
          <w:color w:val="000000"/>
          <w:sz w:val="36"/>
        </w:rPr>
        <w:t xml:space="preserve">（如有）</w:t>
      </w:r>
      <w:r/>
    </w:p>
    <w:p>
      <w:pPr>
        <w:pStyle w:val="682"/>
        <w:ind w:firstLine="480"/>
        <w:jc w:val="both"/>
        <w:spacing w:beforeAutospacing="0" w:afterAutospacing="0" w:line="0" w:lineRule="atLeast"/>
      </w:pPr>
      <w:r>
        <w:rPr>
          <w:rFonts w:hint="eastAsia" w:ascii="宋体" w:hAnsi="宋体" w:eastAsia="宋体" w:cs="宋体"/>
          <w:color w:val="000000"/>
          <w:sz w:val="24"/>
          <w:szCs w:val="22"/>
          <w:lang w:val="en-US" w:eastAsia="en-US" w:bidi="ar-SA"/>
        </w:rPr>
        <w:t xml:space="preserve">本单位郑重声明，根据《财政部 民政部 中国残疾人联合会关于促进残疾人就业政府采购政策的通知》（财库〔2017〕 141号）的规定，本单位为符合条件的残疾人福利</w:t>
      </w:r>
      <w:r>
        <w:rPr>
          <w:rFonts w:hint="eastAsia" w:ascii="宋体" w:hAnsi="宋体" w:eastAsia="宋体" w:cs="宋体"/>
          <w:color w:val="000000"/>
        </w:rPr>
        <w:t xml:space="preserve">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p>
    <w:p>
      <w:pPr>
        <w:pStyle w:val="682"/>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682"/>
        <w:ind w:firstLine="480"/>
        <w:jc w:val="both"/>
        <w:spacing w:beforeAutospacing="0" w:afterAutospacing="0" w:line="0" w:lineRule="atLeast"/>
      </w:pPr>
      <w:r>
        <w:t xml:space="preserve"> </w:t>
      </w:r>
      <w:r/>
    </w:p>
    <w:p>
      <w:pPr>
        <w:pStyle w:val="682"/>
        <w:ind w:firstLine="48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（备注：1、供应商如不提供此声明函，价格将不做相应扣除。2、中标供应商为残疾人福利单位的，此声明函将随中标结果同时公告，接受社会监督）</w:t>
      </w:r>
      <w:r/>
    </w:p>
    <w:p>
      <w:pPr>
        <w:pStyle w:val="682"/>
        <w:ind w:firstLine="624"/>
        <w:jc w:val="both"/>
        <w:spacing w:beforeAutospacing="0" w:afterAutospacing="0" w:line="0" w:lineRule="atLeast"/>
      </w:pPr>
      <w:r>
        <w:t xml:space="preserve"> </w:t>
      </w:r>
      <w:r/>
    </w:p>
    <w:p>
      <w:pPr>
        <w:pStyle w:val="682"/>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82"/>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十</w:t>
      </w:r>
      <w:r>
        <w:rPr>
          <w:rFonts w:hint="eastAsia" w:ascii="宋体" w:hAnsi="宋体" w:eastAsia="宋体" w:cs="宋体"/>
          <w:b/>
          <w:color w:val="000000"/>
          <w:sz w:val="36"/>
          <w:lang w:val="en-US" w:eastAsia="zh-CN"/>
        </w:rPr>
        <w:t xml:space="preserve">一</w:t>
      </w:r>
      <w:r>
        <w:rPr>
          <w:rFonts w:ascii="宋体" w:hAnsi="宋体" w:eastAsia="宋体" w:cs="宋体"/>
          <w:b/>
          <w:color w:val="000000"/>
          <w:sz w:val="36"/>
        </w:rPr>
        <w:t xml:space="preserve">、投标分项报价表</w:t>
      </w:r>
      <w:r/>
    </w:p>
    <w:p>
      <w:pPr>
        <w:ind w:left="0" w:right="0" w:firstLine="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eastAsia="宋体" w:cs="宋体"/>
          <w:color w:val="000000"/>
          <w:sz w:val="24"/>
          <w:lang w:eastAsia="zh-CN"/>
        </w:rPr>
        <w:t xml:space="preserve">七套卫生院信息化系统</w:t>
      </w:r>
      <w:r/>
    </w:p>
    <w:p>
      <w:pPr>
        <w:ind w:left="0" w:right="0" w:firstLine="560"/>
        <w:jc w:val="right"/>
        <w:spacing w:before="24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货币单位：人民币元</w:t>
      </w:r>
      <w:r/>
    </w:p>
    <w:tbl>
      <w:tblPr>
        <w:tblStyle w:val="6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493"/>
        <w:gridCol w:w="3410"/>
        <w:gridCol w:w="619"/>
        <w:gridCol w:w="796"/>
        <w:gridCol w:w="796"/>
        <w:gridCol w:w="1403"/>
      </w:tblGrid>
      <w:tr>
        <w:trPr>
          <w:trHeight w:val="2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12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12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品牌、型号等相关说明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设备生产厂家</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12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12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12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12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36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合计报价人民币大写：</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 </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小写：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元</w:t>
            </w:r>
            <w:r/>
          </w:p>
        </w:tc>
      </w:tr>
      <w:tr>
        <w:trPr>
          <w:trHeight w:val="36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8"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供货时间：合同签订后</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日内供货、安装调试到位。</w:t>
            </w:r>
            <w:r/>
          </w:p>
        </w:tc>
      </w:tr>
    </w:tbl>
    <w:p>
      <w:pPr>
        <w:ind w:left="0" w:right="0" w:firstLine="560"/>
        <w:jc w:val="right"/>
        <w:spacing w:before="24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填写说明：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、明细报价表必须认真填写，包括产品的品牌、型号、价格、数量等详细说明。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、单价和总价均应包括全部设备价、包装费、运输、安装、调试、保险、培训、技术服务、必不可少的部件、标准备件、专用工具等费用，以及已支付或将支付的税费，总之包括交付使用前的一切费用。</w:t>
      </w:r>
      <w:r/>
    </w:p>
    <w:p>
      <w:pPr>
        <w:ind w:left="0" w:right="0" w:firstLine="560"/>
        <w:jc w:val="right"/>
        <w:spacing w:before="24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投标人全称：</w:t>
      </w:r>
      <w:r>
        <w:rPr>
          <w:rFonts w:ascii="宋体" w:hAnsi="宋体" w:eastAsia="宋体" w:cs="宋体"/>
          <w:color w:val="000000"/>
          <w:sz w:val="24"/>
          <w:u w:val="single"/>
        </w:rPr>
        <w:t xml:space="preserve">  （加盖CA电子签章或盖公章）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1560" w:firstLine="643"/>
        <w:jc w:val="center"/>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十</w:t>
      </w:r>
      <w:r>
        <w:rPr>
          <w:rFonts w:hint="eastAsia" w:ascii="宋体" w:hAnsi="宋体" w:eastAsia="宋体" w:cs="宋体"/>
          <w:b/>
          <w:color w:val="000000"/>
          <w:sz w:val="36"/>
          <w:lang w:val="en-US" w:eastAsia="zh-CN"/>
        </w:rPr>
        <w:t xml:space="preserve">二</w:t>
      </w:r>
      <w:r>
        <w:rPr>
          <w:rFonts w:ascii="宋体" w:hAnsi="宋体" w:eastAsia="宋体" w:cs="宋体"/>
          <w:b/>
          <w:color w:val="000000"/>
          <w:sz w:val="36"/>
        </w:rPr>
        <w:t xml:space="preserve">、技术要求响应及偏离表</w:t>
      </w:r>
      <w:r/>
    </w:p>
    <w:tbl>
      <w:tblPr>
        <w:tblStyle w:val="6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2652"/>
        <w:gridCol w:w="2246"/>
        <w:gridCol w:w="1377"/>
        <w:gridCol w:w="10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 行数不够，可自行添加。</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420"/>
        <w:jc w:val="both"/>
        <w:spacing w:before="200" w:after="0" w:line="3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十</w:t>
      </w:r>
      <w:r>
        <w:rPr>
          <w:rFonts w:hint="eastAsia" w:ascii="宋体" w:hAnsi="宋体" w:eastAsia="宋体" w:cs="宋体"/>
          <w:b/>
          <w:color w:val="000000"/>
          <w:sz w:val="36"/>
          <w:lang w:val="en-US" w:eastAsia="zh-CN"/>
        </w:rPr>
        <w:t xml:space="preserve">三</w:t>
      </w:r>
      <w:r>
        <w:rPr>
          <w:rFonts w:ascii="宋体" w:hAnsi="宋体" w:eastAsia="宋体" w:cs="宋体"/>
          <w:b/>
          <w:color w:val="000000"/>
          <w:sz w:val="36"/>
        </w:rPr>
        <w:t xml:space="preserve">、商务要求响应及偏离表</w:t>
      </w:r>
      <w:r/>
    </w:p>
    <w:tbl>
      <w:tblPr>
        <w:tblStyle w:val="6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2652"/>
        <w:gridCol w:w="2246"/>
        <w:gridCol w:w="1377"/>
        <w:gridCol w:w="10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 行数不够，可自行添加。</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十</w:t>
      </w:r>
      <w:r>
        <w:rPr>
          <w:rFonts w:hint="eastAsia" w:ascii="宋体" w:hAnsi="宋体" w:eastAsia="宋体" w:cs="宋体"/>
          <w:b/>
          <w:color w:val="000000"/>
          <w:sz w:val="36"/>
          <w:lang w:val="en-US" w:eastAsia="zh-CN"/>
        </w:rPr>
        <w:t xml:space="preserve">四</w:t>
      </w:r>
      <w:r>
        <w:rPr>
          <w:rFonts w:ascii="宋体" w:hAnsi="宋体" w:eastAsia="宋体" w:cs="宋体"/>
          <w:b/>
          <w:color w:val="000000"/>
          <w:sz w:val="36"/>
        </w:rPr>
        <w:t xml:space="preserve">、技术方案</w:t>
      </w:r>
      <w:r>
        <w:rPr>
          <w:rFonts w:hint="eastAsia" w:ascii="宋体" w:hAnsi="宋体" w:eastAsia="宋体" w:cs="宋体"/>
          <w:b/>
          <w:color w:val="000000"/>
          <w:sz w:val="36"/>
          <w:lang w:eastAsia="zh-CN"/>
        </w:rPr>
        <w:t xml:space="preserve">（</w:t>
      </w:r>
      <w:r>
        <w:rPr>
          <w:rFonts w:hint="eastAsia" w:ascii="宋体" w:hAnsi="宋体" w:eastAsia="宋体" w:cs="宋体"/>
          <w:b/>
          <w:color w:val="000000"/>
          <w:sz w:val="36"/>
          <w:lang w:val="en-US" w:eastAsia="zh-CN"/>
        </w:rPr>
        <w:t xml:space="preserve">如有</w:t>
      </w:r>
      <w:r>
        <w:rPr>
          <w:rFonts w:hint="eastAsia" w:ascii="宋体" w:hAnsi="宋体" w:eastAsia="宋体" w:cs="宋体"/>
          <w:b/>
          <w:color w:val="000000"/>
          <w:sz w:val="36"/>
          <w:lang w:eastAsia="zh-CN"/>
        </w:rPr>
        <w:t xml:space="preserve">）</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（根据项目需求和评标办法自行编制，格式自拟）；</w:t>
      </w:r>
      <w:r/>
    </w:p>
    <w:p>
      <w:pPr>
        <w:ind w:left="0" w:right="0" w:firstLine="420"/>
        <w:jc w:val="both"/>
        <w:spacing w:before="200" w:after="0" w:line="3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420"/>
        <w:jc w:val="both"/>
        <w:spacing w:before="200" w:after="0" w:line="3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420"/>
        <w:jc w:val="both"/>
        <w:spacing w:before="20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0"/>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十</w:t>
      </w:r>
      <w:r>
        <w:rPr>
          <w:rFonts w:hint="eastAsia" w:ascii="宋体" w:hAnsi="宋体" w:eastAsia="宋体" w:cs="宋体"/>
          <w:b/>
          <w:color w:val="000000"/>
          <w:sz w:val="36"/>
          <w:lang w:val="en-US" w:eastAsia="zh-CN"/>
        </w:rPr>
        <w:t xml:space="preserve">五</w:t>
      </w:r>
      <w:r>
        <w:rPr>
          <w:rFonts w:ascii="宋体" w:hAnsi="宋体" w:eastAsia="宋体" w:cs="宋体"/>
          <w:b/>
          <w:color w:val="000000"/>
          <w:sz w:val="36"/>
        </w:rPr>
        <w:t xml:space="preserve">、开标一览表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480" w:firstLine="0"/>
        <w:jc w:val="left"/>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投标人全称（CA公章）：  </w:t>
      </w:r>
      <w:r/>
    </w:p>
    <w:p>
      <w:pPr>
        <w:ind w:left="0" w:right="480" w:firstLine="0"/>
        <w:jc w:val="left"/>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left"/>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 </w:t>
      </w:r>
      <w:r/>
    </w:p>
    <w:p>
      <w:pPr>
        <w:ind w:left="0" w:right="480" w:firstLine="0"/>
        <w:jc w:val="left"/>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left"/>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 </w:t>
      </w:r>
      <w:r/>
    </w:p>
    <w:p>
      <w:pPr>
        <w:ind w:left="0" w:right="480" w:firstLine="0"/>
        <w:jc w:val="left"/>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left"/>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分包号：  </w:t>
      </w:r>
      <w:r/>
    </w:p>
    <w:tbl>
      <w:tblPr>
        <w:tblStyle w:val="6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28"/>
        <w:gridCol w:w="2863"/>
        <w:gridCol w:w="3028"/>
      </w:tblGrid>
      <w:tr>
        <w:trPr>
          <w:trHeight w:val="6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6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总价（小写）</w:t>
            </w:r>
            <w:r/>
          </w:p>
        </w:tc>
      </w:tr>
      <w:tr>
        <w:trPr>
          <w:trHeight w:val="10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七套卫生院信息化系统</w:t>
            </w: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949"/>
        </w:trPr>
        <w:tc>
          <w:tcPr>
            <w:gridSpan w:val="3"/>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519" w:type="dxa"/>
            <w:vAlign w:val="center"/>
            <w:textDirection w:val="lrTb"/>
            <w:noWrap w:val="false"/>
          </w:tcPr>
          <w:p>
            <w:pPr>
              <w:ind w:left="0" w:right="0" w:firstLine="0"/>
              <w:jc w:val="left"/>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核心产品品牌：</w:t>
            </w:r>
            <w:r>
              <w:rPr>
                <w:rFonts w:ascii="宋体" w:hAnsi="宋体" w:eastAsia="宋体" w:cs="宋体"/>
                <w:color w:val="000000"/>
                <w:sz w:val="24"/>
              </w:rPr>
              <w:t xml:space="preserve"> </w:t>
            </w:r>
            <w:r/>
          </w:p>
        </w:tc>
      </w:tr>
      <w:tr>
        <w:trPr>
          <w:trHeight w:val="94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28" w:type="dxa"/>
            <w:vAlign w:val="center"/>
            <w:textDirection w:val="lrTb"/>
            <w:noWrap w:val="false"/>
          </w:tcPr>
          <w:p>
            <w:pPr>
              <w:ind w:left="0" w:right="0" w:firstLine="0"/>
              <w:jc w:val="center"/>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总价（大写）：</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91" w:type="dxa"/>
            <w:vAlign w:val="center"/>
            <w:textDirection w:val="lrTb"/>
            <w:noWrap w:val="false"/>
          </w:tcPr>
          <w:p>
            <w:pPr>
              <w:ind w:left="0" w:right="0" w:firstLine="0"/>
              <w:jc w:val="center"/>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2"/>
        </w:rPr>
        <w:t xml:space="preserve"> </w:t>
      </w:r>
      <w:r/>
    </w:p>
    <w:p>
      <w:pPr>
        <w:ind w:left="0" w:right="0" w:firstLine="420"/>
        <w:jc w:val="both"/>
        <w:spacing w:before="20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0"/>
        </w:rPr>
        <w:t xml:space="preserve"> </w:t>
      </w:r>
      <w:r/>
    </w:p>
    <w:p>
      <w:pPr>
        <w:ind w:left="0" w:right="0" w:firstLine="420"/>
        <w:jc w:val="both"/>
        <w:spacing w:before="20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十</w:t>
      </w:r>
      <w:r>
        <w:rPr>
          <w:rFonts w:hint="eastAsia" w:ascii="宋体" w:hAnsi="宋体" w:eastAsia="宋体" w:cs="宋体"/>
          <w:b/>
          <w:color w:val="000000"/>
          <w:sz w:val="36"/>
          <w:lang w:val="en-US" w:eastAsia="zh-CN"/>
        </w:rPr>
        <w:t xml:space="preserve">六</w:t>
      </w:r>
      <w:r>
        <w:rPr>
          <w:rFonts w:ascii="宋体" w:hAnsi="宋体" w:eastAsia="宋体" w:cs="宋体"/>
          <w:b/>
          <w:color w:val="000000"/>
          <w:sz w:val="36"/>
        </w:rPr>
        <w:t xml:space="preserve">、供应商认为需要提供的其他材料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pStyle w:val="678"/>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678"/>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678"/>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p>
    <w:p>
      <w:pPr>
        <w:pStyle w:val="678"/>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十</w:t>
      </w:r>
      <w:r>
        <w:rPr>
          <w:rFonts w:hint="eastAsia" w:ascii="宋体" w:hAnsi="宋体" w:eastAsia="宋体" w:cs="宋体"/>
          <w:b/>
          <w:color w:val="000000"/>
          <w:sz w:val="36"/>
          <w:lang w:val="en-US" w:eastAsia="zh-CN"/>
        </w:rPr>
        <w:t xml:space="preserve">七</w:t>
      </w:r>
      <w:r>
        <w:rPr>
          <w:rFonts w:ascii="宋体" w:hAnsi="宋体" w:eastAsia="宋体" w:cs="宋体"/>
          <w:b/>
          <w:color w:val="000000"/>
          <w:sz w:val="36"/>
        </w:rPr>
        <w:t xml:space="preserve">、盐城市政府采购事前信用承诺书</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（四）严格遵守即时信息公示规定，及时维护和更新盐城市政府采购网中与本单位相关的信息；</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（六）自觉接受政府、行业组织、社会公众、新闻舆论的监督；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（八）本人已认真阅读了上述承诺，并向本单位员工作了宣传教育。</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投标人全称：（电子签章）</w:t>
      </w:r>
      <w:r/>
    </w:p>
    <w:p>
      <w:pPr>
        <w:ind w:left="0" w:right="0" w:firstLine="420"/>
        <w:jc w:val="both"/>
        <w:spacing w:before="20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年月日</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29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地址：邮编：</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联系人：联系电话：</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地址：邮编：</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质疑项目的编号：包号：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p>
    <w:p>
      <w:pPr>
        <w:ind w:left="0" w:right="0" w:firstLine="0"/>
        <w:jc w:val="both"/>
        <w:spacing w:before="0" w:after="0"/>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rPr>
          <w:rFonts w:hint="eastAsia" w:ascii="宋体" w:hAnsi="宋体" w:eastAsia="宋体" w:cs="宋体"/>
          <w:color w:val="000000"/>
          <w:sz w:val="24"/>
          <w:lang w:val="en-US" w:eastAsia="zh-CN"/>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sectPr>
      <w:footerReference w:type="default" r:id="rId9"/>
      <w:footnotePr/>
      <w:endnotePr/>
      <w:type w:val="nextPage"/>
      <w:pgSz w:w="11906" w:h="16838" w:orient="portrait"/>
      <w:pgMar w:top="1134" w:right="850" w:bottom="1134" w:left="1701" w:header="709" w:footer="709" w:gutter="0"/>
      <w:pgNumType w:start="1"/>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微软雅黑">
    <w:panose1 w:val="020B0503020204020204"/>
  </w:font>
  <w:font w:name="SimHei">
    <w:panose1 w:val="02010609060101010101"/>
  </w:font>
  <w:font w:name="FangSong">
    <w:panose1 w:val="02010609060101010101"/>
  </w:font>
  <w:font w:name="楷体">
    <w:panose1 w:val="02010609060101010101"/>
  </w:font>
  <w:font w:name="Symbol">
    <w:panose1 w:val="05050102010706020507"/>
  </w:font>
  <w:font w:name="KaiTi">
    <w:panose1 w:val="02010609060101010101"/>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Microsoft YaHei">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653">
    <w:name w:val="Heading 1"/>
    <w:basedOn w:val="652"/>
    <w:next w:val="652"/>
    <w:link w:val="689"/>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link w:val="690"/>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link w:val="691"/>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link w:val="692"/>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693"/>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link w:val="694"/>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695"/>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696"/>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697"/>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toc 7"/>
    <w:basedOn w:val="652"/>
    <w:next w:val="652"/>
    <w:uiPriority w:val="39"/>
    <w:unhideWhenUsed/>
    <w:qFormat/>
    <w:pPr>
      <w:ind w:left="1701" w:right="0" w:firstLine="0"/>
      <w:spacing w:after="57"/>
    </w:pPr>
  </w:style>
  <w:style w:type="paragraph" w:styleId="665">
    <w:name w:val="Caption"/>
    <w:basedOn w:val="652"/>
    <w:next w:val="65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6">
    <w:name w:val="Body Text"/>
    <w:basedOn w:val="652"/>
    <w:uiPriority w:val="0"/>
    <w:qFormat/>
    <w:rPr>
      <w:rFonts w:ascii="楷体_GB2312" w:hAnsi="Arial" w:eastAsia="楷体_GB2312"/>
      <w:sz w:val="28"/>
      <w:szCs w:val="28"/>
    </w:rPr>
  </w:style>
  <w:style w:type="paragraph" w:styleId="667">
    <w:name w:val="toc 5"/>
    <w:basedOn w:val="652"/>
    <w:next w:val="652"/>
    <w:uiPriority w:val="39"/>
    <w:unhideWhenUsed/>
    <w:qFormat/>
    <w:pPr>
      <w:ind w:left="1134" w:right="0" w:firstLine="0"/>
      <w:spacing w:after="57"/>
    </w:pPr>
  </w:style>
  <w:style w:type="paragraph" w:styleId="668">
    <w:name w:val="toc 3"/>
    <w:basedOn w:val="652"/>
    <w:next w:val="652"/>
    <w:uiPriority w:val="39"/>
    <w:unhideWhenUsed/>
    <w:qFormat/>
    <w:pPr>
      <w:ind w:left="567" w:right="0" w:firstLine="0"/>
      <w:spacing w:after="57"/>
    </w:pPr>
  </w:style>
  <w:style w:type="paragraph" w:styleId="669">
    <w:name w:val="toc 8"/>
    <w:basedOn w:val="652"/>
    <w:next w:val="652"/>
    <w:uiPriority w:val="39"/>
    <w:unhideWhenUsed/>
    <w:qFormat/>
    <w:pPr>
      <w:ind w:left="1984" w:right="0" w:firstLine="0"/>
      <w:spacing w:after="57"/>
    </w:pPr>
  </w:style>
  <w:style w:type="paragraph" w:styleId="670">
    <w:name w:val="endnote text"/>
    <w:basedOn w:val="652"/>
    <w:link w:val="833"/>
    <w:uiPriority w:val="99"/>
    <w:semiHidden/>
    <w:unhideWhenUsed/>
    <w:qFormat/>
    <w:pPr>
      <w:spacing w:after="0" w:line="240" w:lineRule="auto"/>
    </w:pPr>
    <w:rPr>
      <w:sz w:val="20"/>
    </w:rPr>
  </w:style>
  <w:style w:type="paragraph" w:styleId="671">
    <w:name w:val="Footer"/>
    <w:basedOn w:val="652"/>
    <w:link w:val="706"/>
    <w:uiPriority w:val="99"/>
    <w:unhideWhenUsed/>
    <w:qFormat/>
    <w:pPr>
      <w:spacing w:after="0" w:line="240" w:lineRule="auto"/>
      <w:tabs>
        <w:tab w:val="center" w:pos="7143" w:leader="none"/>
        <w:tab w:val="right" w:pos="14287" w:leader="none"/>
      </w:tabs>
    </w:pPr>
  </w:style>
  <w:style w:type="paragraph" w:styleId="672">
    <w:name w:val="Header"/>
    <w:basedOn w:val="652"/>
    <w:link w:val="704"/>
    <w:uiPriority w:val="99"/>
    <w:unhideWhenUsed/>
    <w:qFormat/>
    <w:pPr>
      <w:spacing w:after="0" w:line="240" w:lineRule="auto"/>
      <w:tabs>
        <w:tab w:val="center" w:pos="7143" w:leader="none"/>
        <w:tab w:val="right" w:pos="14287" w:leader="none"/>
      </w:tabs>
    </w:pPr>
  </w:style>
  <w:style w:type="paragraph" w:styleId="673">
    <w:name w:val="toc 1"/>
    <w:basedOn w:val="652"/>
    <w:next w:val="652"/>
    <w:uiPriority w:val="39"/>
    <w:unhideWhenUsed/>
    <w:qFormat/>
    <w:pPr>
      <w:ind w:left="0" w:right="0" w:firstLine="0"/>
      <w:spacing w:after="57"/>
    </w:pPr>
  </w:style>
  <w:style w:type="paragraph" w:styleId="674">
    <w:name w:val="toc 4"/>
    <w:basedOn w:val="652"/>
    <w:next w:val="652"/>
    <w:uiPriority w:val="39"/>
    <w:unhideWhenUsed/>
    <w:qFormat/>
    <w:pPr>
      <w:ind w:left="850" w:right="0" w:firstLine="0"/>
      <w:spacing w:after="57"/>
    </w:pPr>
  </w:style>
  <w:style w:type="paragraph" w:styleId="675">
    <w:name w:val="Subtitle"/>
    <w:basedOn w:val="652"/>
    <w:next w:val="652"/>
    <w:link w:val="699"/>
    <w:uiPriority w:val="11"/>
    <w:qFormat/>
    <w:pPr>
      <w:spacing w:before="200" w:after="200"/>
    </w:pPr>
    <w:rPr>
      <w:sz w:val="24"/>
      <w:szCs w:val="24"/>
    </w:rPr>
  </w:style>
  <w:style w:type="paragraph" w:styleId="676">
    <w:name w:val="footnote text"/>
    <w:basedOn w:val="652"/>
    <w:link w:val="832"/>
    <w:uiPriority w:val="99"/>
    <w:semiHidden/>
    <w:unhideWhenUsed/>
    <w:qFormat/>
    <w:pPr>
      <w:spacing w:after="40" w:line="240" w:lineRule="auto"/>
    </w:pPr>
    <w:rPr>
      <w:sz w:val="18"/>
    </w:rPr>
  </w:style>
  <w:style w:type="paragraph" w:styleId="677">
    <w:name w:val="toc 6"/>
    <w:basedOn w:val="652"/>
    <w:next w:val="652"/>
    <w:uiPriority w:val="39"/>
    <w:unhideWhenUsed/>
    <w:qFormat/>
    <w:pPr>
      <w:ind w:left="1417" w:right="0" w:firstLine="0"/>
      <w:spacing w:after="57"/>
    </w:pPr>
  </w:style>
  <w:style w:type="paragraph" w:styleId="678">
    <w:name w:val="index 9"/>
    <w:basedOn w:val="652"/>
    <w:next w:val="652"/>
    <w:uiPriority w:val="0"/>
    <w:qFormat/>
    <w:pPr>
      <w:ind w:left="1890" w:hanging="210"/>
      <w:jc w:val="left"/>
    </w:pPr>
  </w:style>
  <w:style w:type="paragraph" w:styleId="679">
    <w:name w:val="table of figures"/>
    <w:basedOn w:val="652"/>
    <w:next w:val="652"/>
    <w:uiPriority w:val="99"/>
    <w:unhideWhenUsed/>
    <w:qFormat/>
    <w:pPr>
      <w:spacing w:after="0" w:afterAutospacing="0"/>
    </w:pPr>
  </w:style>
  <w:style w:type="paragraph" w:styleId="680">
    <w:name w:val="toc 2"/>
    <w:basedOn w:val="652"/>
    <w:next w:val="652"/>
    <w:uiPriority w:val="39"/>
    <w:unhideWhenUsed/>
    <w:qFormat/>
    <w:pPr>
      <w:ind w:left="283" w:right="0" w:firstLine="0"/>
      <w:spacing w:after="57"/>
    </w:pPr>
  </w:style>
  <w:style w:type="paragraph" w:styleId="681">
    <w:name w:val="toc 9"/>
    <w:basedOn w:val="652"/>
    <w:next w:val="652"/>
    <w:uiPriority w:val="39"/>
    <w:unhideWhenUsed/>
    <w:qFormat/>
    <w:pPr>
      <w:ind w:left="2268" w:right="0" w:firstLine="0"/>
      <w:spacing w:after="57"/>
    </w:pPr>
  </w:style>
  <w:style w:type="paragraph" w:styleId="682">
    <w:name w:val="Normal (Web)"/>
    <w:basedOn w:val="652"/>
    <w:uiPriority w:val="0"/>
    <w:qFormat/>
    <w:pPr>
      <w:jc w:val="left"/>
      <w:spacing w:beforeAutospacing="1" w:afterAutospacing="1"/>
    </w:pPr>
    <w:rPr>
      <w:rFonts w:cs="Times New Roman"/>
      <w:sz w:val="24"/>
    </w:rPr>
  </w:style>
  <w:style w:type="paragraph" w:styleId="683">
    <w:name w:val="Title"/>
    <w:basedOn w:val="652"/>
    <w:next w:val="652"/>
    <w:link w:val="698"/>
    <w:uiPriority w:val="10"/>
    <w:qFormat/>
    <w:pPr>
      <w:contextualSpacing/>
      <w:spacing w:before="300" w:after="200"/>
    </w:pPr>
    <w:rPr>
      <w:sz w:val="48"/>
      <w:szCs w:val="48"/>
    </w:rPr>
  </w:style>
  <w:style w:type="paragraph" w:styleId="684">
    <w:name w:val="Body Text First Indent"/>
    <w:basedOn w:val="666"/>
    <w:uiPriority w:val="0"/>
    <w:qFormat/>
    <w:pPr>
      <w:ind w:firstLine="200"/>
      <w:spacing w:line="360" w:lineRule="auto"/>
    </w:pPr>
    <w:rPr>
      <w:rFonts w:ascii="仿宋_GB2312" w:eastAsia="仿宋_GB2312"/>
      <w:sz w:val="30"/>
      <w:szCs w:val="30"/>
    </w:rPr>
  </w:style>
  <w:style w:type="table" w:styleId="685">
    <w:name w:val="Table Grid"/>
    <w:basedOn w:val="66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6">
    <w:name w:val="endnote reference"/>
    <w:uiPriority w:val="99"/>
    <w:semiHidden/>
    <w:unhideWhenUsed/>
    <w:qFormat/>
    <w:rPr>
      <w:vertAlign w:val="superscript"/>
    </w:rPr>
  </w:style>
  <w:style w:type="character" w:styleId="687">
    <w:name w:val="Hyperlink"/>
    <w:uiPriority w:val="99"/>
    <w:unhideWhenUsed/>
    <w:qFormat/>
    <w:rPr>
      <w:color w:val="0563c1" w:themeColor="hyperlink"/>
      <w:u w:val="single"/>
      <w14:textFill>
        <w14:solidFill>
          <w14:schemeClr w14:val="hlink"/>
        </w14:solidFill>
      </w14:textFill>
    </w:rPr>
  </w:style>
  <w:style w:type="character" w:styleId="688">
    <w:name w:val="footnote reference"/>
    <w:uiPriority w:val="99"/>
    <w:unhideWhenUsed/>
    <w:qFormat/>
    <w:rPr>
      <w:vertAlign w:val="superscript"/>
    </w:rPr>
  </w:style>
  <w:style w:type="character" w:styleId="689" w:customStyle="1">
    <w:name w:val="Heading 1 Char"/>
    <w:link w:val="653"/>
    <w:uiPriority w:val="9"/>
    <w:qFormat/>
    <w:rPr>
      <w:rFonts w:ascii="Arial" w:hAnsi="Arial" w:eastAsia="Arial" w:cs="Arial"/>
      <w:sz w:val="40"/>
      <w:szCs w:val="40"/>
    </w:rPr>
  </w:style>
  <w:style w:type="character" w:styleId="690" w:customStyle="1">
    <w:name w:val="Heading 2 Char"/>
    <w:link w:val="654"/>
    <w:uiPriority w:val="9"/>
    <w:qFormat/>
    <w:rPr>
      <w:rFonts w:ascii="Arial" w:hAnsi="Arial" w:eastAsia="Arial" w:cs="Arial"/>
      <w:sz w:val="34"/>
    </w:rPr>
  </w:style>
  <w:style w:type="character" w:styleId="691" w:customStyle="1">
    <w:name w:val="Heading 3 Char"/>
    <w:link w:val="655"/>
    <w:uiPriority w:val="9"/>
    <w:qFormat/>
    <w:rPr>
      <w:rFonts w:ascii="Arial" w:hAnsi="Arial" w:eastAsia="Arial" w:cs="Arial"/>
      <w:sz w:val="30"/>
      <w:szCs w:val="30"/>
    </w:rPr>
  </w:style>
  <w:style w:type="character" w:styleId="692" w:customStyle="1">
    <w:name w:val="Heading 4 Char"/>
    <w:link w:val="656"/>
    <w:uiPriority w:val="9"/>
    <w:qFormat/>
    <w:rPr>
      <w:rFonts w:ascii="Arial" w:hAnsi="Arial" w:eastAsia="Arial" w:cs="Arial"/>
      <w:b/>
      <w:bCs/>
      <w:sz w:val="26"/>
      <w:szCs w:val="26"/>
    </w:rPr>
  </w:style>
  <w:style w:type="character" w:styleId="693" w:customStyle="1">
    <w:name w:val="Heading 5 Char"/>
    <w:link w:val="657"/>
    <w:uiPriority w:val="9"/>
    <w:qFormat/>
    <w:rPr>
      <w:rFonts w:ascii="Arial" w:hAnsi="Arial" w:eastAsia="Arial" w:cs="Arial"/>
      <w:b/>
      <w:bCs/>
      <w:sz w:val="24"/>
      <w:szCs w:val="24"/>
    </w:rPr>
  </w:style>
  <w:style w:type="character" w:styleId="694" w:customStyle="1">
    <w:name w:val="Heading 6 Char"/>
    <w:link w:val="658"/>
    <w:uiPriority w:val="9"/>
    <w:qFormat/>
    <w:rPr>
      <w:rFonts w:ascii="Arial" w:hAnsi="Arial" w:eastAsia="Arial" w:cs="Arial"/>
      <w:b/>
      <w:bCs/>
      <w:sz w:val="22"/>
      <w:szCs w:val="22"/>
    </w:rPr>
  </w:style>
  <w:style w:type="character" w:styleId="695" w:customStyle="1">
    <w:name w:val="Heading 7 Char"/>
    <w:link w:val="659"/>
    <w:uiPriority w:val="9"/>
    <w:qFormat/>
    <w:rPr>
      <w:rFonts w:ascii="Arial" w:hAnsi="Arial" w:eastAsia="Arial" w:cs="Arial"/>
      <w:b/>
      <w:bCs/>
      <w:i/>
      <w:iCs/>
      <w:sz w:val="22"/>
      <w:szCs w:val="22"/>
    </w:rPr>
  </w:style>
  <w:style w:type="character" w:styleId="696" w:customStyle="1">
    <w:name w:val="Heading 8 Char"/>
    <w:link w:val="660"/>
    <w:uiPriority w:val="9"/>
    <w:qFormat/>
    <w:rPr>
      <w:rFonts w:ascii="Arial" w:hAnsi="Arial" w:eastAsia="Arial" w:cs="Arial"/>
      <w:i/>
      <w:iCs/>
      <w:sz w:val="22"/>
      <w:szCs w:val="22"/>
    </w:rPr>
  </w:style>
  <w:style w:type="character" w:styleId="697" w:customStyle="1">
    <w:name w:val="Heading 9 Char"/>
    <w:link w:val="661"/>
    <w:uiPriority w:val="9"/>
    <w:qFormat/>
    <w:rPr>
      <w:rFonts w:ascii="Arial" w:hAnsi="Arial" w:eastAsia="Arial" w:cs="Arial"/>
      <w:i/>
      <w:iCs/>
      <w:sz w:val="21"/>
      <w:szCs w:val="21"/>
    </w:rPr>
  </w:style>
  <w:style w:type="character" w:styleId="698" w:customStyle="1">
    <w:name w:val="Title Char"/>
    <w:link w:val="683"/>
    <w:uiPriority w:val="10"/>
    <w:qFormat/>
    <w:rPr>
      <w:sz w:val="48"/>
      <w:szCs w:val="48"/>
    </w:rPr>
  </w:style>
  <w:style w:type="character" w:styleId="699" w:customStyle="1">
    <w:name w:val="Subtitle Char"/>
    <w:link w:val="675"/>
    <w:uiPriority w:val="11"/>
    <w:qFormat/>
    <w:rPr>
      <w:sz w:val="24"/>
      <w:szCs w:val="24"/>
    </w:rPr>
  </w:style>
  <w:style w:type="paragraph" w:styleId="700">
    <w:name w:val="Quote"/>
    <w:basedOn w:val="652"/>
    <w:next w:val="652"/>
    <w:link w:val="701"/>
    <w:uiPriority w:val="29"/>
    <w:qFormat/>
    <w:pPr>
      <w:ind w:left="720" w:right="720"/>
    </w:pPr>
    <w:rPr>
      <w:i/>
    </w:rPr>
  </w:style>
  <w:style w:type="character" w:styleId="701" w:customStyle="1">
    <w:name w:val="Quote Char"/>
    <w:link w:val="700"/>
    <w:uiPriority w:val="29"/>
    <w:qFormat/>
    <w:rPr>
      <w:i/>
    </w:rPr>
  </w:style>
  <w:style w:type="paragraph" w:styleId="702">
    <w:name w:val="Intense Quote"/>
    <w:basedOn w:val="652"/>
    <w:next w:val="652"/>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customStyle="1">
    <w:name w:val="Intense Quote Char"/>
    <w:link w:val="702"/>
    <w:uiPriority w:val="30"/>
    <w:qFormat/>
    <w:rPr>
      <w:i/>
    </w:rPr>
  </w:style>
  <w:style w:type="character" w:styleId="704" w:customStyle="1">
    <w:name w:val="Header Char"/>
    <w:link w:val="672"/>
    <w:uiPriority w:val="99"/>
    <w:qFormat/>
  </w:style>
  <w:style w:type="character" w:styleId="705" w:customStyle="1">
    <w:name w:val="Footer Char"/>
    <w:link w:val="671"/>
    <w:uiPriority w:val="99"/>
    <w:qFormat/>
  </w:style>
  <w:style w:type="character" w:styleId="706" w:customStyle="1">
    <w:name w:val="Caption Char"/>
    <w:link w:val="671"/>
    <w:uiPriority w:val="99"/>
    <w:qFormat/>
  </w:style>
  <w:style w:type="table" w:styleId="707" w:customStyle="1">
    <w:name w:val="Table Grid Light"/>
    <w:basedOn w:val="6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8" w:customStyle="1">
    <w:name w:val="Plain Table 1"/>
    <w:basedOn w:val="6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2"/>
    <w:basedOn w:val="6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3"/>
    <w:basedOn w:val="6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customStyle="1">
    <w:name w:val="Plain Table 4"/>
    <w:basedOn w:val="6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customStyle="1">
    <w:name w:val="Plain Table 5"/>
    <w:basedOn w:val="6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3" w:customStyle="1">
    <w:name w:val="Grid Table 1 Light"/>
    <w:basedOn w:val="6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1"/>
    <w:basedOn w:val="66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2"/>
    <w:basedOn w:val="66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3"/>
    <w:basedOn w:val="66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4"/>
    <w:basedOn w:val="66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5"/>
    <w:basedOn w:val="66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6"/>
    <w:basedOn w:val="66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0" w:customStyle="1">
    <w:name w:val="Grid Table 2"/>
    <w:basedOn w:val="6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1" w:customStyle="1">
    <w:name w:val="Grid Table 2 - Accent 1"/>
    <w:basedOn w:val="66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2" w:customStyle="1">
    <w:name w:val="Grid Table 2 - Accent 2"/>
    <w:basedOn w:val="66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3" w:customStyle="1">
    <w:name w:val="Grid Table 2 - Accent 3"/>
    <w:basedOn w:val="66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4" w:customStyle="1">
    <w:name w:val="Grid Table 2 - Accent 4"/>
    <w:basedOn w:val="66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5" w:customStyle="1">
    <w:name w:val="Grid Table 2 - Accent 5"/>
    <w:basedOn w:val="66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6" w:customStyle="1">
    <w:name w:val="Grid Table 2 - Accent 6"/>
    <w:basedOn w:val="66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7" w:customStyle="1">
    <w:name w:val="Grid Table 3"/>
    <w:basedOn w:val="6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1"/>
    <w:basedOn w:val="66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2"/>
    <w:basedOn w:val="66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3"/>
    <w:basedOn w:val="66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4"/>
    <w:basedOn w:val="66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5"/>
    <w:basedOn w:val="66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6"/>
    <w:basedOn w:val="66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4"/>
    <w:basedOn w:val="6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4 - Accent 1"/>
    <w:basedOn w:val="66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6" w:customStyle="1">
    <w:name w:val="Grid Table 4 - Accent 2"/>
    <w:basedOn w:val="66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7" w:customStyle="1">
    <w:name w:val="Grid Table 4 - Accent 3"/>
    <w:basedOn w:val="66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8" w:customStyle="1">
    <w:name w:val="Grid Table 4 - Accent 4"/>
    <w:basedOn w:val="66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9" w:customStyle="1">
    <w:name w:val="Grid Table 4 - Accent 5"/>
    <w:basedOn w:val="66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0" w:customStyle="1">
    <w:name w:val="Grid Table 4 - Accent 6"/>
    <w:basedOn w:val="66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1" w:customStyle="1">
    <w:name w:val="Grid Table 5 Dark"/>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5 Dark- Accent 1"/>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3" w:customStyle="1">
    <w:name w:val="Grid Table 5 Dark - Accent 2"/>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4" w:customStyle="1">
    <w:name w:val="Grid Table 5 Dark - Accent 3"/>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5" w:customStyle="1">
    <w:name w:val="Grid Table 5 Dark- Accent 4"/>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6" w:customStyle="1">
    <w:name w:val="Grid Table 5 Dark - Accent 5"/>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7" w:customStyle="1">
    <w:name w:val="Grid Table 5 Dark - Accent 6"/>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8" w:customStyle="1">
    <w:name w:val="Grid Table 6 Colorful"/>
    <w:basedOn w:val="6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Grid Table 6 Colorful - Accent 1"/>
    <w:basedOn w:val="66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0" w:customStyle="1">
    <w:name w:val="Grid Table 6 Colorful - Accent 2"/>
    <w:basedOn w:val="66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1" w:customStyle="1">
    <w:name w:val="Grid Table 6 Colorful - Accent 3"/>
    <w:basedOn w:val="66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2" w:customStyle="1">
    <w:name w:val="Grid Table 6 Colorful - Accent 4"/>
    <w:basedOn w:val="66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3" w:customStyle="1">
    <w:name w:val="Grid Table 6 Colorful - Accent 5"/>
    <w:basedOn w:val="66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4" w:customStyle="1">
    <w:name w:val="Grid Table 6 Colorful - Accent 6"/>
    <w:basedOn w:val="66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5" w:customStyle="1">
    <w:name w:val="Grid Table 7 Colorful"/>
    <w:basedOn w:val="6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Grid Table 7 Colorful - Accent 1"/>
    <w:basedOn w:val="66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7" w:customStyle="1">
    <w:name w:val="Grid Table 7 Colorful - Accent 2"/>
    <w:basedOn w:val="66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8" w:customStyle="1">
    <w:name w:val="Grid Table 7 Colorful - Accent 3"/>
    <w:basedOn w:val="66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9" w:customStyle="1">
    <w:name w:val="Grid Table 7 Colorful - Accent 4"/>
    <w:basedOn w:val="66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0" w:customStyle="1">
    <w:name w:val="Grid Table 7 Colorful - Accent 5"/>
    <w:basedOn w:val="66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1" w:customStyle="1">
    <w:name w:val="Grid Table 7 Colorful - Accent 6"/>
    <w:basedOn w:val="66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2" w:customStyle="1">
    <w:name w:val="List Table 1 Light"/>
    <w:basedOn w:val="6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1 Light - Accent 1"/>
    <w:basedOn w:val="66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4" w:customStyle="1">
    <w:name w:val="List Table 1 Light - Accent 2"/>
    <w:basedOn w:val="66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5" w:customStyle="1">
    <w:name w:val="List Table 1 Light - Accent 3"/>
    <w:basedOn w:val="66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6" w:customStyle="1">
    <w:name w:val="List Table 1 Light - Accent 4"/>
    <w:basedOn w:val="66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7" w:customStyle="1">
    <w:name w:val="List Table 1 Light - Accent 5"/>
    <w:basedOn w:val="66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8" w:customStyle="1">
    <w:name w:val="List Table 1 Light - Accent 6"/>
    <w:basedOn w:val="66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9" w:customStyle="1">
    <w:name w:val="List Table 2"/>
    <w:basedOn w:val="6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2 - Accent 1"/>
    <w:basedOn w:val="66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1" w:customStyle="1">
    <w:name w:val="List Table 2 - Accent 2"/>
    <w:basedOn w:val="66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2" w:customStyle="1">
    <w:name w:val="List Table 2 - Accent 3"/>
    <w:basedOn w:val="66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3" w:customStyle="1">
    <w:name w:val="List Table 2 - Accent 4"/>
    <w:basedOn w:val="66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4" w:customStyle="1">
    <w:name w:val="List Table 2 - Accent 5"/>
    <w:basedOn w:val="66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5" w:customStyle="1">
    <w:name w:val="List Table 2 - Accent 6"/>
    <w:basedOn w:val="66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6" w:customStyle="1">
    <w:name w:val="List Table 3"/>
    <w:basedOn w:val="6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3 - Accent 1"/>
    <w:basedOn w:val="66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8" w:customStyle="1">
    <w:name w:val="List Table 3 - Accent 2"/>
    <w:basedOn w:val="66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9" w:customStyle="1">
    <w:name w:val="List Table 3 - Accent 3"/>
    <w:basedOn w:val="66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0" w:customStyle="1">
    <w:name w:val="List Table 3 - Accent 4"/>
    <w:basedOn w:val="66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1" w:customStyle="1">
    <w:name w:val="List Table 3 - Accent 5"/>
    <w:basedOn w:val="66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2" w:customStyle="1">
    <w:name w:val="List Table 3 - Accent 6"/>
    <w:basedOn w:val="66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3" w:customStyle="1">
    <w:name w:val="List Table 4"/>
    <w:basedOn w:val="6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 Accent 1"/>
    <w:basedOn w:val="66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5" w:customStyle="1">
    <w:name w:val="List Table 4 - Accent 2"/>
    <w:basedOn w:val="66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6" w:customStyle="1">
    <w:name w:val="List Table 4 - Accent 3"/>
    <w:basedOn w:val="66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7" w:customStyle="1">
    <w:name w:val="List Table 4 - Accent 4"/>
    <w:basedOn w:val="66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8" w:customStyle="1">
    <w:name w:val="List Table 4 - Accent 5"/>
    <w:basedOn w:val="66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9" w:customStyle="1">
    <w:name w:val="List Table 4 - Accent 6"/>
    <w:basedOn w:val="66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0" w:customStyle="1">
    <w:name w:val="List Table 5 Dark"/>
    <w:basedOn w:val="6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1"/>
    <w:basedOn w:val="66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2"/>
    <w:basedOn w:val="66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3"/>
    <w:basedOn w:val="66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4"/>
    <w:basedOn w:val="66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5"/>
    <w:basedOn w:val="66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6"/>
    <w:basedOn w:val="66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6 Colorful"/>
    <w:basedOn w:val="6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6 Colorful - Accent 1"/>
    <w:basedOn w:val="66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9" w:customStyle="1">
    <w:name w:val="List Table 6 Colorful - Accent 2"/>
    <w:basedOn w:val="66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0" w:customStyle="1">
    <w:name w:val="List Table 6 Colorful - Accent 3"/>
    <w:basedOn w:val="66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1" w:customStyle="1">
    <w:name w:val="List Table 6 Colorful - Accent 4"/>
    <w:basedOn w:val="66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2" w:customStyle="1">
    <w:name w:val="List Table 6 Colorful - Accent 5"/>
    <w:basedOn w:val="66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3" w:customStyle="1">
    <w:name w:val="List Table 6 Colorful - Accent 6"/>
    <w:basedOn w:val="66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4" w:customStyle="1">
    <w:name w:val="List Table 7 Colorful"/>
    <w:basedOn w:val="6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7 Colorful - Accent 1"/>
    <w:basedOn w:val="66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6" w:customStyle="1">
    <w:name w:val="List Table 7 Colorful - Accent 2"/>
    <w:basedOn w:val="66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7" w:customStyle="1">
    <w:name w:val="List Table 7 Colorful - Accent 3"/>
    <w:basedOn w:val="66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8" w:customStyle="1">
    <w:name w:val="List Table 7 Colorful - Accent 4"/>
    <w:basedOn w:val="66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9" w:customStyle="1">
    <w:name w:val="List Table 7 Colorful - Accent 5"/>
    <w:basedOn w:val="66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0" w:customStyle="1">
    <w:name w:val="List Table 7 Colorful - Accent 6"/>
    <w:basedOn w:val="66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1" w:customStyle="1">
    <w:name w:val="Lined - Accent"/>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Lined - Accent 1"/>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3" w:customStyle="1">
    <w:name w:val="Lined - Accent 2"/>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4" w:customStyle="1">
    <w:name w:val="Lined - Accent 3"/>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5" w:customStyle="1">
    <w:name w:val="Lined - Accent 4"/>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6" w:customStyle="1">
    <w:name w:val="Lined - Accent 5"/>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7" w:customStyle="1">
    <w:name w:val="Lined - Accent 6"/>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8" w:customStyle="1">
    <w:name w:val="Bordered &amp; Lined - Accent"/>
    <w:basedOn w:val="66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Bordered &amp; Lined - Accent 1"/>
    <w:basedOn w:val="66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0" w:customStyle="1">
    <w:name w:val="Bordered &amp; Lined - Accent 2"/>
    <w:basedOn w:val="66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1" w:customStyle="1">
    <w:name w:val="Bordered &amp; Lined - Accent 3"/>
    <w:basedOn w:val="66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2" w:customStyle="1">
    <w:name w:val="Bordered &amp; Lined - Accent 4"/>
    <w:basedOn w:val="66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3" w:customStyle="1">
    <w:name w:val="Bordered &amp; Lined - Accent 5"/>
    <w:basedOn w:val="66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4" w:customStyle="1">
    <w:name w:val="Bordered &amp; Lined - Accent 6"/>
    <w:basedOn w:val="66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5" w:customStyle="1">
    <w:name w:val="Bordered"/>
    <w:basedOn w:val="66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6" w:customStyle="1">
    <w:name w:val="Bordered - Accent 1"/>
    <w:basedOn w:val="66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7" w:customStyle="1">
    <w:name w:val="Bordered - Accent 2"/>
    <w:basedOn w:val="66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8" w:customStyle="1">
    <w:name w:val="Bordered - Accent 3"/>
    <w:basedOn w:val="66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9" w:customStyle="1">
    <w:name w:val="Bordered - Accent 4"/>
    <w:basedOn w:val="66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0" w:customStyle="1">
    <w:name w:val="Bordered - Accent 5"/>
    <w:basedOn w:val="66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1" w:customStyle="1">
    <w:name w:val="Bordered - Accent 6"/>
    <w:basedOn w:val="66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2" w:customStyle="1">
    <w:name w:val="Footnote Text Char"/>
    <w:link w:val="676"/>
    <w:uiPriority w:val="99"/>
    <w:qFormat/>
    <w:rPr>
      <w:sz w:val="18"/>
    </w:rPr>
  </w:style>
  <w:style w:type="character" w:styleId="833" w:customStyle="1">
    <w:name w:val="Endnote Text Char"/>
    <w:link w:val="670"/>
    <w:uiPriority w:val="99"/>
    <w:qFormat/>
    <w:rPr>
      <w:sz w:val="20"/>
    </w:rPr>
  </w:style>
  <w:style w:type="paragraph" w:styleId="834" w:customStyle="1">
    <w:name w:val="TOC Heading"/>
    <w:uiPriority w:val="39"/>
    <w:unhideWhenUsed/>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835">
    <w:name w:val="No Spacing"/>
    <w:basedOn w:val="652"/>
    <w:uiPriority w:val="1"/>
    <w:qFormat/>
    <w:pPr>
      <w:spacing w:after="0" w:line="240" w:lineRule="auto"/>
    </w:pPr>
  </w:style>
  <w:style w:type="paragraph" w:styleId="836">
    <w:name w:val="List Paragraph"/>
    <w:basedOn w:val="652"/>
    <w:uiPriority w:val="34"/>
    <w:qFormat/>
    <w:pPr>
      <w:contextualSpacing/>
      <w:ind w:left="720"/>
    </w:pPr>
  </w:style>
  <w:style w:type="character" w:styleId="837" w:customStyle="1">
    <w:name w:val="font01"/>
    <w:basedOn w:val="662"/>
    <w:uiPriority w:val="0"/>
    <w:qFormat/>
    <w:rPr>
      <w:rFonts w:hint="eastAsia" w:ascii="宋体" w:hAnsi="宋体" w:eastAsia="宋体" w:cs="宋体"/>
      <w:color w:val="000000"/>
      <w:sz w:val="22"/>
      <w:szCs w:val="22"/>
      <w:u w:val="none"/>
    </w:rPr>
  </w:style>
  <w:style w:type="character" w:styleId="838" w:customStyle="1">
    <w:name w:val="font11"/>
    <w:basedOn w:val="662"/>
    <w:uiPriority w:val="0"/>
    <w:qFormat/>
    <w:rPr>
      <w:rFonts w:hint="eastAsia" w:ascii="宋体" w:hAnsi="宋体" w:eastAsia="宋体" w:cs="宋体"/>
      <w:color w:val="000000"/>
      <w:sz w:val="20"/>
      <w:szCs w:val="20"/>
      <w:u w:val="none"/>
    </w:rPr>
  </w:style>
  <w:style w:type="numbering" w:styleId="8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2.png"/><Relationship Id="rId1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笃定</dc:creator>
  <cp:lastModifiedBy>孙伟伟</cp:lastModifiedBy>
  <cp:revision>9</cp:revision>
  <dcterms:created xsi:type="dcterms:W3CDTF">2024-06-04T09:58:00Z</dcterms:created>
  <dcterms:modified xsi:type="dcterms:W3CDTF">2024-06-12T03:03:53Z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70DE9730CB1347B1990F710AD43A43C1_13</vt:lpwstr>
  </property>
</Properties>
</file>