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45D5F">
      <w:pPr>
        <w:spacing w:line="336" w:lineRule="auto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如东县县中、解放路及县政府绿化公厕工程</w:t>
      </w:r>
      <w:r>
        <w:rPr>
          <w:rFonts w:hint="eastAsia" w:ascii="宋体" w:hAnsi="宋体"/>
          <w:b/>
          <w:bCs/>
          <w:sz w:val="36"/>
          <w:szCs w:val="36"/>
        </w:rPr>
        <w:t>编制说明</w:t>
      </w:r>
    </w:p>
    <w:p w14:paraId="175EDDFC">
      <w:pPr>
        <w:spacing w:line="336" w:lineRule="auto"/>
        <w:ind w:left="-2" w:leftChars="-1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一、工程概况：</w:t>
      </w:r>
    </w:p>
    <w:p w14:paraId="246640BA">
      <w:pPr>
        <w:spacing w:line="336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本工程位于如东县。</w:t>
      </w:r>
    </w:p>
    <w:p w14:paraId="22DFAE78">
      <w:pPr>
        <w:spacing w:line="336" w:lineRule="auto"/>
        <w:ind w:left="-2" w:leftChars="-1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二、招标范围：</w:t>
      </w:r>
    </w:p>
    <w:p w14:paraId="6B842E1A">
      <w:pPr>
        <w:spacing w:line="336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如东县县中、解放路及县政府绿化公厕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新建及配套</w:t>
      </w:r>
      <w:r>
        <w:rPr>
          <w:rFonts w:hint="eastAsia" w:asciiTheme="minorEastAsia" w:hAnsiTheme="minorEastAsia" w:cstheme="minorEastAsia"/>
          <w:sz w:val="24"/>
          <w:szCs w:val="24"/>
        </w:rPr>
        <w:t>工程。</w:t>
      </w:r>
    </w:p>
    <w:p w14:paraId="227E669F">
      <w:pPr>
        <w:spacing w:line="336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三、工程量清单编制依据：</w:t>
      </w:r>
    </w:p>
    <w:p w14:paraId="7F071386">
      <w:pPr>
        <w:tabs>
          <w:tab w:val="left" w:pos="312"/>
          <w:tab w:val="left" w:pos="417"/>
        </w:tabs>
        <w:spacing w:line="336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1、工程量清单计量依据《建设工程工程量清单计价规范》（GB50500-2013）以及业主提供的图纸。</w:t>
      </w:r>
    </w:p>
    <w:p w14:paraId="42EA2F72">
      <w:pPr>
        <w:tabs>
          <w:tab w:val="left" w:pos="312"/>
          <w:tab w:val="left" w:pos="417"/>
        </w:tabs>
        <w:spacing w:line="336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2、工程量清单计量依据：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《房屋建筑与装饰工程工程量计算规范》GB50500-2013、《通用安装工程工程量计算规范》 GB50856-2013</w:t>
      </w:r>
      <w:r>
        <w:rPr>
          <w:rFonts w:hint="eastAsia" w:ascii="宋体" w:hAnsi="宋体" w:cs="Times New Roman"/>
          <w:szCs w:val="21"/>
        </w:rPr>
        <w:t>、</w:t>
      </w:r>
      <w:r>
        <w:rPr>
          <w:rFonts w:hint="eastAsia" w:ascii="宋体" w:hAnsi="宋体" w:cs="Times New Roman"/>
          <w:sz w:val="24"/>
          <w:szCs w:val="24"/>
        </w:rPr>
        <w:t>《市政工程工程量计算规范》GB50857-2013</w:t>
      </w:r>
      <w:r>
        <w:rPr>
          <w:rFonts w:hint="eastAsia" w:asciiTheme="minorEastAsia" w:hAnsiTheme="minorEastAsia" w:cstheme="minorEastAsia"/>
          <w:sz w:val="24"/>
          <w:szCs w:val="24"/>
        </w:rPr>
        <w:t xml:space="preserve">。 </w:t>
      </w:r>
    </w:p>
    <w:p w14:paraId="0FA24B2C">
      <w:pPr>
        <w:tabs>
          <w:tab w:val="left" w:pos="312"/>
          <w:tab w:val="left" w:pos="417"/>
        </w:tabs>
        <w:spacing w:line="336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3、本工程计价依据：《江苏省建筑与装饰工程计价定额》2014 版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《江苏省安装工程计价定额》（2014 版）、</w:t>
      </w:r>
      <w:r>
        <w:rPr>
          <w:rFonts w:hint="eastAsia" w:ascii="宋体" w:hAnsi="宋体" w:eastAsia="宋体" w:cs="Times New Roman"/>
          <w:sz w:val="24"/>
          <w:szCs w:val="24"/>
        </w:rPr>
        <w:t>《江苏省市政工程计价定额》（2014 版）</w:t>
      </w:r>
      <w:r>
        <w:rPr>
          <w:rFonts w:hint="eastAsia" w:asciiTheme="minorEastAsia" w:hAnsiTheme="minorEastAsia" w:cstheme="minorEastAsia"/>
          <w:sz w:val="24"/>
          <w:szCs w:val="24"/>
        </w:rPr>
        <w:t>及《江苏省建设工程费用定额》（2014 年）</w:t>
      </w:r>
      <w:r>
        <w:rPr>
          <w:rFonts w:hint="eastAsia" w:ascii="宋体" w:hAnsi="宋体" w:eastAsia="宋体" w:cs="Times New Roman"/>
          <w:szCs w:val="21"/>
        </w:rPr>
        <w:t>、</w:t>
      </w:r>
      <w:r>
        <w:rPr>
          <w:rFonts w:hint="eastAsia" w:ascii="宋体" w:hAnsi="宋体" w:eastAsia="宋体" w:cs="Times New Roman"/>
          <w:sz w:val="24"/>
          <w:szCs w:val="24"/>
        </w:rPr>
        <w:t>营改增后调整内容和计价办法执行苏建函(2019)178 号文</w:t>
      </w:r>
      <w:r>
        <w:rPr>
          <w:rFonts w:hint="eastAsia" w:asciiTheme="minorEastAsia" w:hAnsiTheme="minorEastAsia" w:cstheme="minorEastAsia"/>
          <w:sz w:val="24"/>
          <w:szCs w:val="24"/>
        </w:rPr>
        <w:t xml:space="preserve">。 </w:t>
      </w:r>
    </w:p>
    <w:p w14:paraId="7120777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  <w:tab w:val="left" w:pos="4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4、</w:t>
      </w:r>
      <w:r>
        <w:rPr>
          <w:rFonts w:hint="eastAsia" w:asciiTheme="minorEastAsia" w:hAnsiTheme="minorEastAsia" w:cstheme="minorEastAsia"/>
          <w:sz w:val="24"/>
          <w:szCs w:val="24"/>
        </w:rPr>
        <w:t>材料价格参照《南通建设工程造价信息》（20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25</w:t>
      </w:r>
      <w:r>
        <w:rPr>
          <w:rFonts w:hint="eastAsia" w:asciiTheme="minorEastAsia" w:hAnsiTheme="minorEastAsia" w:cstheme="minorEastAsia"/>
          <w:sz w:val="24"/>
          <w:szCs w:val="24"/>
        </w:rPr>
        <w:t>年）第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cstheme="minorEastAsia"/>
          <w:sz w:val="24"/>
          <w:szCs w:val="24"/>
        </w:rPr>
        <w:t>期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指导价计入。</w:t>
      </w:r>
      <w:r>
        <w:rPr>
          <w:rFonts w:hint="eastAsia" w:asciiTheme="minorEastAsia" w:hAnsiTheme="minorEastAsia" w:cstheme="minorEastAsia"/>
          <w:sz w:val="24"/>
          <w:szCs w:val="24"/>
        </w:rPr>
        <w:t>如东县没有的参考同期南通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市</w:t>
      </w:r>
      <w:r>
        <w:rPr>
          <w:rFonts w:hint="eastAsia" w:asciiTheme="minorEastAsia" w:hAnsiTheme="minorEastAsia" w:cstheme="minorEastAsia"/>
          <w:sz w:val="24"/>
          <w:szCs w:val="24"/>
        </w:rPr>
        <w:t>的材料指导价。信息价上没有的材料价格参照市</w:t>
      </w:r>
      <w:bookmarkStart w:id="0" w:name="_GoBack"/>
      <w:bookmarkEnd w:id="0"/>
      <w:r>
        <w:rPr>
          <w:rFonts w:hint="eastAsia" w:asciiTheme="minorEastAsia" w:hAnsiTheme="minorEastAsia" w:cstheme="minorEastAsia"/>
          <w:sz w:val="24"/>
          <w:szCs w:val="24"/>
        </w:rPr>
        <w:t xml:space="preserve">场价。 </w:t>
      </w:r>
    </w:p>
    <w:p w14:paraId="6524D62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  <w:tab w:val="left" w:pos="4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、人工工资单价执行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苏建函价〔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25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〕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66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文件。</w:t>
      </w:r>
    </w:p>
    <w:p w14:paraId="7B34D769">
      <w:pPr>
        <w:pStyle w:val="15"/>
        <w:numPr>
          <w:ilvl w:val="0"/>
          <w:numId w:val="1"/>
        </w:numPr>
        <w:spacing w:line="336" w:lineRule="auto"/>
        <w:ind w:firstLineChars="0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编制说明</w:t>
      </w:r>
    </w:p>
    <w:p w14:paraId="5A49A0EC">
      <w:pPr>
        <w:pStyle w:val="15"/>
        <w:numPr>
          <w:numId w:val="0"/>
        </w:numPr>
        <w:spacing w:line="336" w:lineRule="auto"/>
        <w:ind w:leftChars="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一</w:t>
      </w:r>
      <w:r>
        <w:rPr>
          <w:rFonts w:hint="eastAsia" w:asciiTheme="minorEastAsia" w:hAnsiTheme="minorEastAsia" w:cstheme="minorEastAsia"/>
          <w:b/>
          <w:sz w:val="24"/>
          <w:szCs w:val="24"/>
          <w:lang w:eastAsia="zh-CN"/>
        </w:rPr>
        <w:t>）县中西侧新建公厕</w:t>
      </w:r>
    </w:p>
    <w:p w14:paraId="578A3B55">
      <w:pPr>
        <w:pStyle w:val="15"/>
        <w:numPr>
          <w:ilvl w:val="0"/>
          <w:numId w:val="2"/>
        </w:numPr>
        <w:spacing w:line="240" w:lineRule="auto"/>
        <w:ind w:left="-420" w:leftChars="0" w:firstLineChars="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经与设计沟通并确认，±0.00以下基础砌体用MU20混凝土普通砖，Mb10水泥砂浆砌筑计。</w:t>
      </w:r>
    </w:p>
    <w:p w14:paraId="217727F3">
      <w:pPr>
        <w:pStyle w:val="15"/>
        <w:numPr>
          <w:ilvl w:val="0"/>
          <w:numId w:val="2"/>
        </w:numPr>
        <w:spacing w:line="240" w:lineRule="auto"/>
        <w:ind w:left="-420" w:leftChars="0" w:firstLineChars="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经与设计沟通并确认，铝合金窗均为铝合金平开窗，窗纱一体，采用70系列断桥隔热铝合金型材，壁厚不小于1.8mm计。</w:t>
      </w:r>
    </w:p>
    <w:p w14:paraId="1E92ACDF">
      <w:pPr>
        <w:pStyle w:val="15"/>
        <w:numPr>
          <w:ilvl w:val="0"/>
          <w:numId w:val="2"/>
        </w:numPr>
        <w:spacing w:line="240" w:lineRule="auto"/>
        <w:ind w:left="-420" w:leftChars="0" w:firstLineChars="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经与设计沟通并确认，前室地面面层用30厚大理石芝麻灰石材面板计。</w:t>
      </w:r>
    </w:p>
    <w:p w14:paraId="50A51D28">
      <w:pPr>
        <w:pStyle w:val="15"/>
        <w:numPr>
          <w:ilvl w:val="0"/>
          <w:numId w:val="2"/>
        </w:numPr>
        <w:spacing w:line="240" w:lineRule="auto"/>
        <w:ind w:left="-420" w:leftChars="0" w:firstLineChars="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经与设计沟通并确认，内墙涂料饰面按 901胶白水泥腻子批二遍、刷乳胶漆二遍计。</w:t>
      </w:r>
    </w:p>
    <w:p w14:paraId="7FA3B722">
      <w:pPr>
        <w:pStyle w:val="15"/>
        <w:numPr>
          <w:ilvl w:val="0"/>
          <w:numId w:val="2"/>
        </w:numPr>
        <w:spacing w:line="240" w:lineRule="auto"/>
        <w:ind w:left="-420" w:leftChars="0" w:firstLineChars="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经与设计沟通并确认，洗漱台台面面板用18厚石英石花岗岩石材面板计。</w:t>
      </w:r>
    </w:p>
    <w:p w14:paraId="0085C507">
      <w:pPr>
        <w:pStyle w:val="15"/>
        <w:numPr>
          <w:ilvl w:val="0"/>
          <w:numId w:val="2"/>
        </w:numPr>
        <w:spacing w:line="240" w:lineRule="auto"/>
        <w:ind w:left="-420" w:leftChars="0" w:firstLineChars="0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经与设计沟通并确认，AL配电箱电源就近接入，长度约20米。</w:t>
      </w:r>
    </w:p>
    <w:p w14:paraId="11F90203">
      <w:pPr>
        <w:pStyle w:val="15"/>
        <w:numPr>
          <w:ilvl w:val="0"/>
          <w:numId w:val="2"/>
        </w:numPr>
        <w:spacing w:line="240" w:lineRule="auto"/>
        <w:ind w:left="-420" w:leftChars="0" w:firstLineChars="0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投标人投标前需自行勘察现场，结合清单要求，核查后报价。标底考虑实施方案若有遗漏、错误等问题，投标人需在招标答疑期间书面提出，若未提，视为相关费用已考虑在报价内，结算不另行增加。</w:t>
      </w:r>
    </w:p>
    <w:p w14:paraId="3FF975BC">
      <w:pPr>
        <w:pStyle w:val="15"/>
        <w:numPr>
          <w:ilvl w:val="0"/>
          <w:numId w:val="0"/>
        </w:numPr>
        <w:spacing w:line="336" w:lineRule="auto"/>
        <w:ind w:leftChars="0"/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（二）解放路新建公厕</w:t>
      </w:r>
    </w:p>
    <w:p w14:paraId="468ED398">
      <w:pPr>
        <w:pStyle w:val="15"/>
        <w:numPr>
          <w:ilvl w:val="0"/>
          <w:numId w:val="2"/>
        </w:numPr>
        <w:spacing w:line="240" w:lineRule="auto"/>
        <w:ind w:left="-420" w:leftChars="0" w:firstLineChars="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经与设计沟通并确认，无障碍坡道做法参平面图索引03J926-P22-3。</w:t>
      </w:r>
    </w:p>
    <w:p w14:paraId="1B68F40F">
      <w:pPr>
        <w:pStyle w:val="15"/>
        <w:numPr>
          <w:ilvl w:val="0"/>
          <w:numId w:val="2"/>
        </w:numPr>
        <w:spacing w:line="240" w:lineRule="auto"/>
        <w:ind w:left="-420" w:leftChars="0" w:firstLineChars="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经与设计沟通并确认，花坛基础埋深600高，砌体用烧结砖，砂浆强度等级为M5。</w:t>
      </w:r>
    </w:p>
    <w:p w14:paraId="760E4C4E">
      <w:pPr>
        <w:pStyle w:val="15"/>
        <w:numPr>
          <w:ilvl w:val="0"/>
          <w:numId w:val="2"/>
        </w:numPr>
        <w:spacing w:line="240" w:lineRule="auto"/>
        <w:ind w:left="-420" w:leftChars="0" w:firstLineChars="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经与设计沟通并确认，铝合金窗采用70系列断桥隔热铝合金型材。</w:t>
      </w:r>
    </w:p>
    <w:p w14:paraId="17167754">
      <w:pPr>
        <w:pStyle w:val="15"/>
        <w:numPr>
          <w:ilvl w:val="0"/>
          <w:numId w:val="2"/>
        </w:numPr>
        <w:spacing w:line="240" w:lineRule="auto"/>
        <w:ind w:left="-420" w:leftChars="0" w:firstLineChars="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经与设计沟通并确认，室外台阶及走廊面层用10厚大理石芝麻黑石材面板。</w:t>
      </w:r>
    </w:p>
    <w:p w14:paraId="14B5CC29">
      <w:pPr>
        <w:pStyle w:val="15"/>
        <w:numPr>
          <w:ilvl w:val="0"/>
          <w:numId w:val="2"/>
        </w:numPr>
        <w:spacing w:line="240" w:lineRule="auto"/>
        <w:ind w:left="-420" w:leftChars="0" w:firstLineChars="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经与设计沟通并确认，屋面做法参建筑做法表。</w:t>
      </w:r>
    </w:p>
    <w:p w14:paraId="48BFD95D">
      <w:pPr>
        <w:pStyle w:val="15"/>
        <w:numPr>
          <w:ilvl w:val="0"/>
          <w:numId w:val="2"/>
        </w:numPr>
        <w:spacing w:line="240" w:lineRule="auto"/>
        <w:ind w:left="-420" w:leftChars="0" w:firstLineChars="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经与设计沟通并确认，内墙涂料面层以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901白水泥腻子二遍，乳胶漆两遍计。</w:t>
      </w:r>
    </w:p>
    <w:p w14:paraId="34823BE3">
      <w:pPr>
        <w:pStyle w:val="15"/>
        <w:numPr>
          <w:ilvl w:val="0"/>
          <w:numId w:val="2"/>
        </w:numPr>
        <w:spacing w:line="240" w:lineRule="auto"/>
        <w:ind w:left="-420" w:leftChars="0" w:firstLineChars="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经与设计沟通并确认，洗漱台的面板用18厚石英石石材面板。</w:t>
      </w:r>
    </w:p>
    <w:p w14:paraId="49D278F9">
      <w:pPr>
        <w:pStyle w:val="15"/>
        <w:numPr>
          <w:ilvl w:val="0"/>
          <w:numId w:val="2"/>
        </w:numPr>
        <w:spacing w:line="240" w:lineRule="auto"/>
        <w:ind w:left="-420" w:leftChars="0" w:firstLineChars="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经与设计沟通并确认，外墙面青石片饰面做法为：贴10厚青石片；30厚1:3水泥砂浆内掺建筑胶；基层墙体。</w:t>
      </w:r>
    </w:p>
    <w:p w14:paraId="007CD011">
      <w:pPr>
        <w:pStyle w:val="15"/>
        <w:numPr>
          <w:ilvl w:val="0"/>
          <w:numId w:val="2"/>
        </w:numPr>
        <w:spacing w:line="240" w:lineRule="auto"/>
        <w:ind w:left="-420" w:leftChars="0" w:firstLineChars="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投标人投标前需自行勘察现场，结合清单要求，核查后报价。标底考虑实施方案若有遗漏、错误等问题，投标人需在招标答疑期间书面提出，若未提，视为相关费用已考虑在报价内，结算不另行增加。</w:t>
      </w:r>
    </w:p>
    <w:p w14:paraId="6DD82F3E">
      <w:pPr>
        <w:pStyle w:val="15"/>
        <w:numPr>
          <w:ilvl w:val="0"/>
          <w:numId w:val="2"/>
        </w:numPr>
        <w:spacing w:line="240" w:lineRule="auto"/>
        <w:ind w:left="-420" w:leftChars="0" w:firstLineChars="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暂列金：5 万元。</w:t>
      </w:r>
    </w:p>
    <w:p w14:paraId="6EB0E2C0">
      <w:pPr>
        <w:pStyle w:val="15"/>
        <w:numPr>
          <w:numId w:val="0"/>
        </w:numPr>
        <w:spacing w:line="336" w:lineRule="auto"/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（三）县政府绿化广场公厕</w:t>
      </w:r>
    </w:p>
    <w:p w14:paraId="5B053B1D">
      <w:pPr>
        <w:pStyle w:val="15"/>
        <w:numPr>
          <w:ilvl w:val="0"/>
          <w:numId w:val="2"/>
        </w:numPr>
        <w:spacing w:line="240" w:lineRule="auto"/>
        <w:ind w:left="-420" w:leftChars="0" w:firstLineChars="0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绿化养护期按三级养护二年计。</w:t>
      </w:r>
    </w:p>
    <w:p w14:paraId="7E0CC949">
      <w:pPr>
        <w:pStyle w:val="15"/>
        <w:numPr>
          <w:ilvl w:val="0"/>
          <w:numId w:val="2"/>
        </w:numPr>
        <w:spacing w:line="240" w:lineRule="auto"/>
        <w:ind w:left="-420" w:leftChars="0" w:firstLineChars="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投标人投标前需自行勘察现场，结合清单要求，核查后报价。标底考虑实施方案若有遗漏、错误等问题，投标人需在招标答疑期间书面提出，若未提，视为相关费用已考虑在报价内，结算不另行增加。</w:t>
      </w:r>
    </w:p>
    <w:p w14:paraId="077015D5">
      <w:pPr>
        <w:spacing w:line="336" w:lineRule="auto"/>
        <w:rPr>
          <w:rFonts w:asciiTheme="minorEastAsia" w:hAnsiTheme="minorEastAsia" w:cstheme="minorEastAsia"/>
          <w:b/>
          <w:szCs w:val="21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五</w:t>
      </w:r>
      <w:r>
        <w:rPr>
          <w:rFonts w:hint="eastAsia" w:asciiTheme="minorEastAsia" w:hAnsiTheme="minorEastAsia" w:cstheme="minorEastAsia"/>
          <w:b/>
          <w:sz w:val="24"/>
          <w:szCs w:val="24"/>
          <w:lang w:val="zh-CN"/>
        </w:rPr>
        <w:t>、本工程不可竞争费用项目及其费率见下表：</w:t>
      </w:r>
    </w:p>
    <w:tbl>
      <w:tblPr>
        <w:tblStyle w:val="9"/>
        <w:tblW w:w="4806" w:type="pct"/>
        <w:tblInd w:w="11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0"/>
        <w:gridCol w:w="1871"/>
        <w:gridCol w:w="2147"/>
        <w:gridCol w:w="2296"/>
      </w:tblGrid>
      <w:tr w14:paraId="26668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9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55900">
            <w:pPr>
              <w:widowControl/>
              <w:spacing w:line="336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320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612CA4D">
            <w:pPr>
              <w:widowControl/>
              <w:spacing w:line="336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费率（%）</w:t>
            </w:r>
          </w:p>
        </w:tc>
      </w:tr>
      <w:tr w14:paraId="06332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7D972D">
            <w:pPr>
              <w:widowControl/>
              <w:spacing w:line="336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8E7FA69">
            <w:pPr>
              <w:widowControl/>
              <w:spacing w:line="336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建筑</w:t>
            </w:r>
          </w:p>
        </w:tc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EEB838">
            <w:pPr>
              <w:widowControl/>
              <w:spacing w:line="336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市政</w:t>
            </w:r>
          </w:p>
        </w:tc>
        <w:tc>
          <w:tcPr>
            <w:tcW w:w="11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A9794BA">
            <w:pPr>
              <w:widowControl/>
              <w:spacing w:line="336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安装</w:t>
            </w:r>
          </w:p>
        </w:tc>
      </w:tr>
      <w:tr w14:paraId="149B7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1C94D7">
            <w:pPr>
              <w:widowControl/>
              <w:spacing w:line="336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现场安全文明施工费（基本费）</w:t>
            </w:r>
          </w:p>
        </w:tc>
        <w:tc>
          <w:tcPr>
            <w:tcW w:w="9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C410B1B">
            <w:pPr>
              <w:widowControl/>
              <w:spacing w:line="336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3.1</w:t>
            </w:r>
          </w:p>
        </w:tc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1B2858">
            <w:pPr>
              <w:widowControl/>
              <w:spacing w:line="336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1.5</w:t>
            </w:r>
          </w:p>
        </w:tc>
        <w:tc>
          <w:tcPr>
            <w:tcW w:w="11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F63D61E">
            <w:pPr>
              <w:widowControl/>
              <w:spacing w:line="336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1.5</w:t>
            </w:r>
          </w:p>
        </w:tc>
      </w:tr>
      <w:tr w14:paraId="461F01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7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35AECD">
            <w:pPr>
              <w:widowControl/>
              <w:spacing w:line="336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扬尘污染防治增加费</w:t>
            </w:r>
          </w:p>
        </w:tc>
        <w:tc>
          <w:tcPr>
            <w:tcW w:w="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22B48EB">
            <w:pPr>
              <w:widowControl/>
              <w:spacing w:line="336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0.31</w:t>
            </w:r>
          </w:p>
        </w:tc>
        <w:tc>
          <w:tcPr>
            <w:tcW w:w="10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55DD1D">
            <w:pPr>
              <w:widowControl/>
              <w:spacing w:line="336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0.31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83E35A5">
            <w:pPr>
              <w:widowControl/>
              <w:spacing w:line="336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0.21</w:t>
            </w:r>
          </w:p>
        </w:tc>
      </w:tr>
      <w:tr w14:paraId="3302C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7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9B2E5D">
            <w:pPr>
              <w:widowControl/>
              <w:spacing w:line="336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社会保险费</w:t>
            </w:r>
          </w:p>
        </w:tc>
        <w:tc>
          <w:tcPr>
            <w:tcW w:w="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7587ED6">
            <w:pPr>
              <w:widowControl/>
              <w:spacing w:line="336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3.2</w:t>
            </w:r>
          </w:p>
        </w:tc>
        <w:tc>
          <w:tcPr>
            <w:tcW w:w="10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660912">
            <w:pPr>
              <w:widowControl/>
              <w:spacing w:line="336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2.0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14C19A1">
            <w:pPr>
              <w:widowControl/>
              <w:spacing w:line="336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2.4</w:t>
            </w:r>
          </w:p>
        </w:tc>
      </w:tr>
      <w:tr w14:paraId="56DD5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7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4E3E6F">
            <w:pPr>
              <w:widowControl/>
              <w:spacing w:line="336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住房公积金</w:t>
            </w:r>
          </w:p>
        </w:tc>
        <w:tc>
          <w:tcPr>
            <w:tcW w:w="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9F0E2B9">
            <w:pPr>
              <w:widowControl/>
              <w:spacing w:line="336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0.53</w:t>
            </w:r>
          </w:p>
        </w:tc>
        <w:tc>
          <w:tcPr>
            <w:tcW w:w="10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82025B4">
            <w:pPr>
              <w:widowControl/>
              <w:spacing w:line="336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0.34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8281B1E">
            <w:pPr>
              <w:widowControl/>
              <w:spacing w:line="336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0.42</w:t>
            </w:r>
          </w:p>
        </w:tc>
      </w:tr>
      <w:tr w14:paraId="5FECE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CE0FF1">
            <w:pPr>
              <w:widowControl/>
              <w:spacing w:line="336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税金</w:t>
            </w:r>
          </w:p>
        </w:tc>
        <w:tc>
          <w:tcPr>
            <w:tcW w:w="3203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6CD6CC8">
            <w:pPr>
              <w:widowControl/>
              <w:spacing w:line="336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9</w:t>
            </w:r>
          </w:p>
        </w:tc>
      </w:tr>
    </w:tbl>
    <w:p w14:paraId="5AF63628">
      <w:pPr>
        <w:spacing w:line="336" w:lineRule="auto"/>
        <w:rPr>
          <w:rFonts w:hint="eastAsia" w:asciiTheme="minorEastAsia" w:hAnsiTheme="minorEastAsia" w:cstheme="minorEastAsia"/>
          <w:b/>
          <w:sz w:val="24"/>
          <w:szCs w:val="24"/>
        </w:rPr>
      </w:pPr>
    </w:p>
    <w:p w14:paraId="61B2AB83">
      <w:pPr>
        <w:spacing w:line="336" w:lineRule="auto"/>
        <w:rPr>
          <w:rFonts w:asciiTheme="minorEastAsia" w:hAnsiTheme="minorEastAsia" w:cstheme="minorEastAsia"/>
          <w:b/>
          <w:sz w:val="24"/>
          <w:szCs w:val="24"/>
          <w:lang w:val="zh-CN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六、</w:t>
      </w:r>
      <w:r>
        <w:rPr>
          <w:rFonts w:hint="eastAsia" w:asciiTheme="minorEastAsia" w:hAnsiTheme="minorEastAsia" w:cstheme="minorEastAsia"/>
          <w:b/>
          <w:sz w:val="24"/>
          <w:szCs w:val="24"/>
          <w:lang w:val="zh-CN"/>
        </w:rPr>
        <w:t>其他：</w:t>
      </w:r>
    </w:p>
    <w:tbl>
      <w:tblPr>
        <w:tblStyle w:val="9"/>
        <w:tblW w:w="989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9"/>
        <w:gridCol w:w="1858"/>
        <w:gridCol w:w="2187"/>
        <w:gridCol w:w="2288"/>
      </w:tblGrid>
      <w:tr w14:paraId="001C2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E753B">
            <w:pPr>
              <w:widowControl/>
              <w:spacing w:line="336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6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39B1996">
            <w:pPr>
              <w:widowControl/>
              <w:spacing w:line="336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费率（%）</w:t>
            </w:r>
          </w:p>
        </w:tc>
      </w:tr>
      <w:tr w14:paraId="51DC8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896BED8">
            <w:pPr>
              <w:widowControl/>
              <w:spacing w:line="336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F7E7725">
            <w:pPr>
              <w:widowControl/>
              <w:spacing w:line="336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建筑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2F8E15F">
            <w:pPr>
              <w:widowControl/>
              <w:spacing w:line="336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市政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F1707F">
            <w:pPr>
              <w:widowControl/>
              <w:spacing w:line="336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安装</w:t>
            </w:r>
          </w:p>
        </w:tc>
      </w:tr>
      <w:tr w14:paraId="0DCA6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8A2E7">
            <w:pPr>
              <w:widowControl/>
              <w:spacing w:line="336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临时设施费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F4B4C64">
            <w:pPr>
              <w:widowControl/>
              <w:spacing w:line="336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1.0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990BE">
            <w:pPr>
              <w:widowControl/>
              <w:spacing w:line="336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1.1</w:t>
            </w:r>
          </w:p>
        </w:tc>
        <w:tc>
          <w:tcPr>
            <w:tcW w:w="2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14D4E64">
            <w:pPr>
              <w:widowControl/>
              <w:spacing w:line="336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0.6</w:t>
            </w:r>
          </w:p>
        </w:tc>
      </w:tr>
      <w:tr w14:paraId="4638D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62343">
            <w:pPr>
              <w:widowControl/>
              <w:spacing w:line="336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建筑工人实名制费用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AE810CD">
            <w:pPr>
              <w:widowControl/>
              <w:spacing w:line="336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0.05</w:t>
            </w:r>
          </w:p>
        </w:tc>
        <w:tc>
          <w:tcPr>
            <w:tcW w:w="2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F72CF">
            <w:pPr>
              <w:widowControl/>
              <w:spacing w:line="336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0.03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EAC93D0">
            <w:pPr>
              <w:widowControl/>
              <w:spacing w:line="336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0.03</w:t>
            </w:r>
          </w:p>
        </w:tc>
      </w:tr>
    </w:tbl>
    <w:p w14:paraId="2EF18C5E">
      <w:pPr>
        <w:spacing w:line="336" w:lineRule="auto"/>
        <w:ind w:right="1540"/>
        <w:jc w:val="both"/>
        <w:rPr>
          <w:rFonts w:asciiTheme="minorEastAsia" w:hAnsiTheme="minorEastAsia" w:cstheme="minorEastAsia"/>
          <w:b/>
          <w:szCs w:val="21"/>
        </w:rPr>
      </w:pPr>
    </w:p>
    <w:p w14:paraId="748AE8DA">
      <w:pPr>
        <w:spacing w:line="336" w:lineRule="auto"/>
        <w:ind w:right="1120"/>
        <w:jc w:val="center"/>
        <w:rPr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szCs w:val="21"/>
        </w:rPr>
        <w:t xml:space="preserve">                                                             202</w:t>
      </w:r>
      <w:r>
        <w:rPr>
          <w:rFonts w:hint="eastAsia" w:asciiTheme="minorEastAsia" w:hAnsiTheme="minorEastAsia" w:cstheme="minorEastAsia"/>
          <w:b/>
          <w:szCs w:val="21"/>
          <w:lang w:val="en-US" w:eastAsia="zh-CN"/>
        </w:rPr>
        <w:t>5</w:t>
      </w:r>
      <w:r>
        <w:rPr>
          <w:rFonts w:hint="eastAsia" w:asciiTheme="minorEastAsia" w:hAnsiTheme="minorEastAsia" w:cstheme="minorEastAsia"/>
          <w:b/>
          <w:szCs w:val="21"/>
        </w:rPr>
        <w:t>年</w:t>
      </w:r>
      <w:r>
        <w:rPr>
          <w:rFonts w:hint="eastAsia" w:asciiTheme="minorEastAsia" w:hAnsiTheme="minorEastAsia" w:cstheme="minorEastAsia"/>
          <w:b/>
          <w:szCs w:val="21"/>
          <w:lang w:val="en-US" w:eastAsia="zh-CN"/>
        </w:rPr>
        <w:t>9</w:t>
      </w:r>
      <w:r>
        <w:rPr>
          <w:rFonts w:hint="eastAsia" w:asciiTheme="minorEastAsia" w:hAnsiTheme="minorEastAsia" w:cstheme="minorEastAsia"/>
          <w:b/>
          <w:szCs w:val="21"/>
        </w:rPr>
        <w:t>月</w:t>
      </w:r>
      <w:r>
        <w:rPr>
          <w:rFonts w:hint="eastAsia" w:asciiTheme="minorEastAsia" w:hAnsiTheme="minorEastAsia" w:cstheme="minorEastAsia"/>
          <w:b/>
          <w:szCs w:val="21"/>
          <w:lang w:val="en-US" w:eastAsia="zh-CN"/>
        </w:rPr>
        <w:t>3</w:t>
      </w:r>
      <w:r>
        <w:rPr>
          <w:rFonts w:hint="eastAsia" w:asciiTheme="minorEastAsia" w:hAnsiTheme="minorEastAsia" w:cstheme="minorEastAsia"/>
          <w:b/>
          <w:szCs w:val="21"/>
        </w:rPr>
        <w:t>日</w:t>
      </w:r>
      <w:r>
        <w:rPr>
          <w:rFonts w:hint="eastAsia"/>
          <w:bCs/>
          <w:sz w:val="28"/>
          <w:szCs w:val="28"/>
        </w:rPr>
        <w:t xml:space="preserve">                        </w:t>
      </w:r>
    </w:p>
    <w:sectPr>
      <w:pgSz w:w="11906" w:h="16838"/>
      <w:pgMar w:top="1020" w:right="850" w:bottom="478" w:left="1020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DD7809"/>
    <w:multiLevelType w:val="multilevel"/>
    <w:tmpl w:val="02DD7809"/>
    <w:lvl w:ilvl="0" w:tentative="0">
      <w:start w:val="4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8D7A61"/>
    <w:multiLevelType w:val="singleLevel"/>
    <w:tmpl w:val="258D7A61"/>
    <w:lvl w:ilvl="0" w:tentative="0">
      <w:start w:val="1"/>
      <w:numFmt w:val="decimal"/>
      <w:suff w:val="nothing"/>
      <w:lvlText w:val="%1、"/>
      <w:lvlJc w:val="left"/>
      <w:pPr>
        <w:ind w:left="-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wZTMzOTUxZDAxNzQ4MWFhMDdjYzZhZWNhN2I0YzUifQ=="/>
    <w:docVar w:name="KSO_WPS_MARK_KEY" w:val="93349103-4ac3-497e-b13c-2c2b2aa24fee"/>
  </w:docVars>
  <w:rsids>
    <w:rsidRoot w:val="00CA4914"/>
    <w:rsid w:val="00086E4B"/>
    <w:rsid w:val="000968F2"/>
    <w:rsid w:val="001444D1"/>
    <w:rsid w:val="00146CD6"/>
    <w:rsid w:val="00182416"/>
    <w:rsid w:val="001C4837"/>
    <w:rsid w:val="002C29D1"/>
    <w:rsid w:val="002C6F0D"/>
    <w:rsid w:val="002D3251"/>
    <w:rsid w:val="002F1829"/>
    <w:rsid w:val="003037A3"/>
    <w:rsid w:val="003106FF"/>
    <w:rsid w:val="00311601"/>
    <w:rsid w:val="003554A6"/>
    <w:rsid w:val="00356225"/>
    <w:rsid w:val="00417712"/>
    <w:rsid w:val="00455175"/>
    <w:rsid w:val="00480AE0"/>
    <w:rsid w:val="00523586"/>
    <w:rsid w:val="005A346D"/>
    <w:rsid w:val="005D4421"/>
    <w:rsid w:val="005D70BA"/>
    <w:rsid w:val="005E5245"/>
    <w:rsid w:val="00610747"/>
    <w:rsid w:val="006344C9"/>
    <w:rsid w:val="00641037"/>
    <w:rsid w:val="00674887"/>
    <w:rsid w:val="006E6B52"/>
    <w:rsid w:val="00700428"/>
    <w:rsid w:val="007251A5"/>
    <w:rsid w:val="007A46A2"/>
    <w:rsid w:val="007E2EE5"/>
    <w:rsid w:val="00861ED5"/>
    <w:rsid w:val="008A7A6B"/>
    <w:rsid w:val="008B2C32"/>
    <w:rsid w:val="008D5E32"/>
    <w:rsid w:val="00946157"/>
    <w:rsid w:val="009B4286"/>
    <w:rsid w:val="00A13FCA"/>
    <w:rsid w:val="00A57A23"/>
    <w:rsid w:val="00AA58AA"/>
    <w:rsid w:val="00B0203A"/>
    <w:rsid w:val="00B050C7"/>
    <w:rsid w:val="00BA5C2F"/>
    <w:rsid w:val="00C047B3"/>
    <w:rsid w:val="00C53F98"/>
    <w:rsid w:val="00C61918"/>
    <w:rsid w:val="00C74EBF"/>
    <w:rsid w:val="00CA4914"/>
    <w:rsid w:val="00CA4BF2"/>
    <w:rsid w:val="00D335FF"/>
    <w:rsid w:val="00D57382"/>
    <w:rsid w:val="00F50065"/>
    <w:rsid w:val="00F76EFD"/>
    <w:rsid w:val="00FD1CFF"/>
    <w:rsid w:val="00FE411F"/>
    <w:rsid w:val="01247A9A"/>
    <w:rsid w:val="01775999"/>
    <w:rsid w:val="02FF2D2C"/>
    <w:rsid w:val="03443858"/>
    <w:rsid w:val="035C5CD9"/>
    <w:rsid w:val="03801AB1"/>
    <w:rsid w:val="040F519A"/>
    <w:rsid w:val="04BE6689"/>
    <w:rsid w:val="05685A2A"/>
    <w:rsid w:val="058719EC"/>
    <w:rsid w:val="060E7437"/>
    <w:rsid w:val="06172EFD"/>
    <w:rsid w:val="067A5F71"/>
    <w:rsid w:val="072F1862"/>
    <w:rsid w:val="07733A96"/>
    <w:rsid w:val="07781015"/>
    <w:rsid w:val="07C87950"/>
    <w:rsid w:val="07D735D8"/>
    <w:rsid w:val="07E10FA0"/>
    <w:rsid w:val="08B407F7"/>
    <w:rsid w:val="09B44E69"/>
    <w:rsid w:val="09FB5AE0"/>
    <w:rsid w:val="0B040578"/>
    <w:rsid w:val="0B23179C"/>
    <w:rsid w:val="0C236700"/>
    <w:rsid w:val="0C7B02EA"/>
    <w:rsid w:val="0C8C04C4"/>
    <w:rsid w:val="0C9465C5"/>
    <w:rsid w:val="0CF13986"/>
    <w:rsid w:val="0D395F87"/>
    <w:rsid w:val="0FA55900"/>
    <w:rsid w:val="10330A28"/>
    <w:rsid w:val="10535E93"/>
    <w:rsid w:val="1099707B"/>
    <w:rsid w:val="10E136C3"/>
    <w:rsid w:val="11AF0EF4"/>
    <w:rsid w:val="11BD1C6A"/>
    <w:rsid w:val="133833D9"/>
    <w:rsid w:val="14813E3D"/>
    <w:rsid w:val="14C33176"/>
    <w:rsid w:val="15780735"/>
    <w:rsid w:val="15DB071A"/>
    <w:rsid w:val="1659679C"/>
    <w:rsid w:val="16CB1A06"/>
    <w:rsid w:val="18111630"/>
    <w:rsid w:val="187C29FF"/>
    <w:rsid w:val="194B1E5E"/>
    <w:rsid w:val="195D755A"/>
    <w:rsid w:val="199C60F0"/>
    <w:rsid w:val="19C25AD6"/>
    <w:rsid w:val="19D03F18"/>
    <w:rsid w:val="1A75606A"/>
    <w:rsid w:val="1AE94B8D"/>
    <w:rsid w:val="1B006BB8"/>
    <w:rsid w:val="1B3203F5"/>
    <w:rsid w:val="1BFE79E5"/>
    <w:rsid w:val="1D7A6830"/>
    <w:rsid w:val="1E0B5246"/>
    <w:rsid w:val="1E2E28A7"/>
    <w:rsid w:val="1E2E6C41"/>
    <w:rsid w:val="1E434AAD"/>
    <w:rsid w:val="1E6B02DE"/>
    <w:rsid w:val="1E9D7C9C"/>
    <w:rsid w:val="20B41B50"/>
    <w:rsid w:val="20B55884"/>
    <w:rsid w:val="20CA035F"/>
    <w:rsid w:val="21501D3E"/>
    <w:rsid w:val="21CB71C6"/>
    <w:rsid w:val="23560CCA"/>
    <w:rsid w:val="241B126D"/>
    <w:rsid w:val="248574F7"/>
    <w:rsid w:val="24D63195"/>
    <w:rsid w:val="25047004"/>
    <w:rsid w:val="251F62F1"/>
    <w:rsid w:val="266F0CC0"/>
    <w:rsid w:val="26C22966"/>
    <w:rsid w:val="27A315CD"/>
    <w:rsid w:val="280E7B27"/>
    <w:rsid w:val="2850418B"/>
    <w:rsid w:val="285640A9"/>
    <w:rsid w:val="289D39A3"/>
    <w:rsid w:val="28F667A2"/>
    <w:rsid w:val="29385A89"/>
    <w:rsid w:val="29620ABE"/>
    <w:rsid w:val="299638D1"/>
    <w:rsid w:val="29B449E4"/>
    <w:rsid w:val="29DA2511"/>
    <w:rsid w:val="29FC4997"/>
    <w:rsid w:val="2AA96C15"/>
    <w:rsid w:val="2BA73B48"/>
    <w:rsid w:val="2C9E3DF4"/>
    <w:rsid w:val="2CF60ED0"/>
    <w:rsid w:val="2D56309C"/>
    <w:rsid w:val="2F0E5950"/>
    <w:rsid w:val="2FDA28CA"/>
    <w:rsid w:val="3097223A"/>
    <w:rsid w:val="30AE16ED"/>
    <w:rsid w:val="312444C6"/>
    <w:rsid w:val="31F54A3D"/>
    <w:rsid w:val="32BF2D77"/>
    <w:rsid w:val="33300E01"/>
    <w:rsid w:val="33325E43"/>
    <w:rsid w:val="333805AC"/>
    <w:rsid w:val="33FD0D51"/>
    <w:rsid w:val="342542D6"/>
    <w:rsid w:val="343569CA"/>
    <w:rsid w:val="35453DF8"/>
    <w:rsid w:val="36AF4E39"/>
    <w:rsid w:val="37272C9F"/>
    <w:rsid w:val="376B53CA"/>
    <w:rsid w:val="37BA73BD"/>
    <w:rsid w:val="37FA41ED"/>
    <w:rsid w:val="38725441"/>
    <w:rsid w:val="38832B12"/>
    <w:rsid w:val="398677A6"/>
    <w:rsid w:val="39E14D8F"/>
    <w:rsid w:val="3A2E0A33"/>
    <w:rsid w:val="3A7822EF"/>
    <w:rsid w:val="3AA20FB4"/>
    <w:rsid w:val="3AA460E5"/>
    <w:rsid w:val="3AED3EB4"/>
    <w:rsid w:val="3C962D03"/>
    <w:rsid w:val="3DEB0EC4"/>
    <w:rsid w:val="3DF32AF7"/>
    <w:rsid w:val="3DFA278D"/>
    <w:rsid w:val="3E282C7D"/>
    <w:rsid w:val="3EDE1C03"/>
    <w:rsid w:val="3FF87C37"/>
    <w:rsid w:val="40644F5E"/>
    <w:rsid w:val="406F2C43"/>
    <w:rsid w:val="40D5168B"/>
    <w:rsid w:val="414F4C8A"/>
    <w:rsid w:val="42BF79F2"/>
    <w:rsid w:val="42D75573"/>
    <w:rsid w:val="43423284"/>
    <w:rsid w:val="43741014"/>
    <w:rsid w:val="44090986"/>
    <w:rsid w:val="441E7674"/>
    <w:rsid w:val="44743BD9"/>
    <w:rsid w:val="448348A3"/>
    <w:rsid w:val="44AB4153"/>
    <w:rsid w:val="44EA4E9D"/>
    <w:rsid w:val="44F67865"/>
    <w:rsid w:val="450A543B"/>
    <w:rsid w:val="451074C2"/>
    <w:rsid w:val="45657186"/>
    <w:rsid w:val="45841D2B"/>
    <w:rsid w:val="460250CD"/>
    <w:rsid w:val="467957CF"/>
    <w:rsid w:val="468A401D"/>
    <w:rsid w:val="46B03FF0"/>
    <w:rsid w:val="46EC3592"/>
    <w:rsid w:val="47322DCD"/>
    <w:rsid w:val="476E4C51"/>
    <w:rsid w:val="478D666B"/>
    <w:rsid w:val="47D9742E"/>
    <w:rsid w:val="47F73984"/>
    <w:rsid w:val="489C4B48"/>
    <w:rsid w:val="4A186860"/>
    <w:rsid w:val="4A336D8B"/>
    <w:rsid w:val="4A3948B0"/>
    <w:rsid w:val="4A92296E"/>
    <w:rsid w:val="4A926139"/>
    <w:rsid w:val="4AB31B6B"/>
    <w:rsid w:val="4B752F08"/>
    <w:rsid w:val="4B7C5C7E"/>
    <w:rsid w:val="4B9D2F25"/>
    <w:rsid w:val="4C5737CF"/>
    <w:rsid w:val="4D665E71"/>
    <w:rsid w:val="4D797E3B"/>
    <w:rsid w:val="4E566566"/>
    <w:rsid w:val="4E665D51"/>
    <w:rsid w:val="4EA837AF"/>
    <w:rsid w:val="4ECA6411"/>
    <w:rsid w:val="4F370600"/>
    <w:rsid w:val="4F4C066E"/>
    <w:rsid w:val="4F4C3A36"/>
    <w:rsid w:val="511A284F"/>
    <w:rsid w:val="51CF5A1E"/>
    <w:rsid w:val="51EE6F81"/>
    <w:rsid w:val="528B4BC4"/>
    <w:rsid w:val="52D414AC"/>
    <w:rsid w:val="52E273D3"/>
    <w:rsid w:val="530370D8"/>
    <w:rsid w:val="53086830"/>
    <w:rsid w:val="53E10E61"/>
    <w:rsid w:val="55400012"/>
    <w:rsid w:val="55B370A4"/>
    <w:rsid w:val="55EA2726"/>
    <w:rsid w:val="560A28DD"/>
    <w:rsid w:val="56330318"/>
    <w:rsid w:val="57394071"/>
    <w:rsid w:val="57674F85"/>
    <w:rsid w:val="580225B1"/>
    <w:rsid w:val="582F5603"/>
    <w:rsid w:val="58F93683"/>
    <w:rsid w:val="593B4339"/>
    <w:rsid w:val="5941413A"/>
    <w:rsid w:val="594B70CB"/>
    <w:rsid w:val="5AAA6F9A"/>
    <w:rsid w:val="5AB71852"/>
    <w:rsid w:val="5AF65449"/>
    <w:rsid w:val="5B464818"/>
    <w:rsid w:val="5B5E462C"/>
    <w:rsid w:val="5C7D3997"/>
    <w:rsid w:val="5CA0784D"/>
    <w:rsid w:val="5CAF1A14"/>
    <w:rsid w:val="5D074862"/>
    <w:rsid w:val="5D5B1470"/>
    <w:rsid w:val="5E261D04"/>
    <w:rsid w:val="5E690998"/>
    <w:rsid w:val="5EA87AF0"/>
    <w:rsid w:val="5EC2181C"/>
    <w:rsid w:val="5F5E4899"/>
    <w:rsid w:val="5F8167D9"/>
    <w:rsid w:val="5F97194E"/>
    <w:rsid w:val="5FBD48C1"/>
    <w:rsid w:val="60FC45CC"/>
    <w:rsid w:val="610C4B20"/>
    <w:rsid w:val="612040DE"/>
    <w:rsid w:val="61443242"/>
    <w:rsid w:val="61EE1DF7"/>
    <w:rsid w:val="61F324F5"/>
    <w:rsid w:val="62223450"/>
    <w:rsid w:val="623E0378"/>
    <w:rsid w:val="62C30E34"/>
    <w:rsid w:val="65861D37"/>
    <w:rsid w:val="65AB6A03"/>
    <w:rsid w:val="65B4317E"/>
    <w:rsid w:val="65E05075"/>
    <w:rsid w:val="66124AC3"/>
    <w:rsid w:val="662A66B6"/>
    <w:rsid w:val="672779E2"/>
    <w:rsid w:val="67B54042"/>
    <w:rsid w:val="67DA17D2"/>
    <w:rsid w:val="68194C06"/>
    <w:rsid w:val="68407FB5"/>
    <w:rsid w:val="685D2BE1"/>
    <w:rsid w:val="69136D14"/>
    <w:rsid w:val="6972456B"/>
    <w:rsid w:val="697F2718"/>
    <w:rsid w:val="69D1180C"/>
    <w:rsid w:val="6C60334E"/>
    <w:rsid w:val="6C7075F4"/>
    <w:rsid w:val="6C8C0F8E"/>
    <w:rsid w:val="6CCF055D"/>
    <w:rsid w:val="6D2C27DC"/>
    <w:rsid w:val="6D6E6A3E"/>
    <w:rsid w:val="6D8931B5"/>
    <w:rsid w:val="6DB4329C"/>
    <w:rsid w:val="6DFD4441"/>
    <w:rsid w:val="6F7E5C0D"/>
    <w:rsid w:val="6FA25BF4"/>
    <w:rsid w:val="6FD14D0B"/>
    <w:rsid w:val="713E4C7E"/>
    <w:rsid w:val="71656A28"/>
    <w:rsid w:val="717C0CCF"/>
    <w:rsid w:val="72233A2B"/>
    <w:rsid w:val="72D03644"/>
    <w:rsid w:val="73005B71"/>
    <w:rsid w:val="74000E5C"/>
    <w:rsid w:val="743778DF"/>
    <w:rsid w:val="743A1F17"/>
    <w:rsid w:val="74855803"/>
    <w:rsid w:val="752169D5"/>
    <w:rsid w:val="770F0011"/>
    <w:rsid w:val="78EA6D41"/>
    <w:rsid w:val="7934714B"/>
    <w:rsid w:val="7A582803"/>
    <w:rsid w:val="7A8531FD"/>
    <w:rsid w:val="7C6E6D48"/>
    <w:rsid w:val="7DBA3010"/>
    <w:rsid w:val="7E5120FD"/>
    <w:rsid w:val="7EA61D05"/>
    <w:rsid w:val="7F38263C"/>
    <w:rsid w:val="7F70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60" w:line="400" w:lineRule="exact"/>
    </w:pPr>
    <w:rPr>
      <w:rFonts w:eastAsia="黑体"/>
    </w:rPr>
  </w:style>
  <w:style w:type="paragraph" w:styleId="3">
    <w:name w:val="Body Text"/>
    <w:basedOn w:val="1"/>
    <w:next w:val="4"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  <w:spacing w:after="200" w:line="276" w:lineRule="auto"/>
    </w:pPr>
    <w:rPr>
      <w:rFonts w:ascii="Times New Roman" w:hAnsi="Times New Roman" w:eastAsia="宋体" w:cs="Calibri"/>
      <w:color w:val="000000"/>
      <w:sz w:val="24"/>
      <w:szCs w:val="24"/>
      <w:lang w:val="en-US" w:eastAsia="zh-CN" w:bidi="ar-SA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page number"/>
    <w:basedOn w:val="10"/>
    <w:qFormat/>
    <w:uiPriority w:val="0"/>
  </w:style>
  <w:style w:type="character" w:customStyle="1" w:styleId="12">
    <w:name w:val="页眉 字符"/>
    <w:basedOn w:val="10"/>
    <w:link w:val="7"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semiHidden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710</Words>
  <Characters>848</Characters>
  <Lines>5</Lines>
  <Paragraphs>1</Paragraphs>
  <TotalTime>1</TotalTime>
  <ScaleCrop>false</ScaleCrop>
  <LinksUpToDate>false</LinksUpToDate>
  <CharactersWithSpaces>944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2015-11-11T01:55:00Z</dcterms:created>
  <dc:creator>xuxf</dc:creator>
  <cp:lastModifiedBy>朱朱</cp:lastModifiedBy>
  <cp:lastPrinted>2018-12-05T06:58:00Z</cp:lastPrinted>
  <dcterms:modified xsi:type="dcterms:W3CDTF">2025-09-03T07:56:08Z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18E4961A316A4870959226CF881DFF0F</vt:lpwstr>
  </property>
  <property fmtid="{D5CDD505-2E9C-101B-9397-08002B2CF9AE}" pid="4" name="KSOTemplateDocerSaveRecord">
    <vt:lpwstr>eyJoZGlkIjoiZDA0NjVkZGUyNjA2NWUyMDYzYjRhMmQ0NWRjOTg1NzYiLCJ1c2VySWQiOiIzNTc0MTkwMzkifQ==</vt:lpwstr>
  </property>
</Properties>
</file>