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B210B">
      <w:pPr>
        <w:keepLines w:val="0"/>
        <w:pageBreakBefore w:val="0"/>
        <w:widowControl w:val="0"/>
        <w:kinsoku/>
        <w:wordWrap/>
        <w:overflowPunct/>
        <w:topLinePunct w:val="0"/>
        <w:autoSpaceDE/>
        <w:autoSpaceDN/>
        <w:bidi w:val="0"/>
        <w:adjustRightInd/>
        <w:snapToGrid w:val="0"/>
        <w:spacing w:before="120" w:beforeLines="50" w:after="120" w:afterLines="50" w:line="440" w:lineRule="exact"/>
        <w:jc w:val="center"/>
        <w:textAlignment w:val="auto"/>
        <w:outlineLvl w:val="0"/>
        <w:rPr>
          <w:rFonts w:ascii="宋体" w:hAnsi="宋体"/>
          <w:b/>
          <w:bCs/>
          <w:color w:val="auto"/>
          <w:sz w:val="30"/>
          <w:szCs w:val="20"/>
          <w:highlight w:val="none"/>
        </w:rPr>
      </w:pPr>
      <w:r>
        <w:rPr>
          <w:rFonts w:hint="eastAsia" w:ascii="宋体" w:hAnsi="宋体"/>
          <w:b/>
          <w:color w:val="auto"/>
          <w:sz w:val="30"/>
          <w:highlight w:val="none"/>
        </w:rPr>
        <w:t>江苏省政府采购合同（货物）（合同编号）</w:t>
      </w:r>
    </w:p>
    <w:p w14:paraId="47E475DB">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项目名称：</w:t>
      </w:r>
      <w:r>
        <w:rPr>
          <w:rFonts w:hint="eastAsia" w:ascii="宋体" w:hAnsi="宋体" w:cs="Courier New"/>
          <w:color w:val="auto"/>
          <w:sz w:val="24"/>
          <w:szCs w:val="24"/>
          <w:highlight w:val="none"/>
        </w:rPr>
        <w:t>常州市智帆学校安防系统设备项目</w:t>
      </w:r>
      <w:r>
        <w:rPr>
          <w:rFonts w:ascii="宋体" w:hAnsi="宋体" w:cs="Courier New"/>
          <w:color w:val="auto"/>
          <w:sz w:val="24"/>
          <w:szCs w:val="24"/>
          <w:highlight w:val="none"/>
        </w:rPr>
        <w:t xml:space="preserve">             </w:t>
      </w:r>
    </w:p>
    <w:p w14:paraId="6ADCEE74">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ascii="宋体" w:hAnsi="宋体" w:cs="Courier New"/>
          <w:color w:val="auto"/>
          <w:sz w:val="24"/>
          <w:szCs w:val="24"/>
          <w:highlight w:val="none"/>
        </w:rPr>
        <w:t>项目编号：</w:t>
      </w:r>
      <w:r>
        <w:rPr>
          <w:rFonts w:hint="eastAsia" w:ascii="宋体" w:hAnsi="宋体" w:cs="Courier New"/>
          <w:color w:val="auto"/>
          <w:sz w:val="24"/>
          <w:szCs w:val="24"/>
          <w:highlight w:val="none"/>
        </w:rPr>
        <w:t>JSZC-320400-JZCG-G2025-0411</w:t>
      </w:r>
    </w:p>
    <w:p w14:paraId="39626FD6">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甲方：（买方）</w:t>
      </w:r>
      <w:r>
        <w:rPr>
          <w:rFonts w:hint="eastAsia" w:ascii="宋体" w:hAnsi="宋体"/>
          <w:color w:val="auto"/>
          <w:sz w:val="24"/>
          <w:szCs w:val="24"/>
          <w:highlight w:val="none"/>
          <w:u w:val="single"/>
        </w:rPr>
        <w:t>常州市智帆学校</w:t>
      </w:r>
    </w:p>
    <w:p w14:paraId="2E02406A">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default" w:ascii="宋体" w:hAnsi="宋体" w:eastAsia="宋体" w:cs="Courier New"/>
          <w:color w:val="auto"/>
          <w:sz w:val="24"/>
          <w:szCs w:val="24"/>
          <w:highlight w:val="none"/>
          <w:lang w:val="en-US" w:eastAsia="zh-CN"/>
        </w:rPr>
      </w:pPr>
      <w:r>
        <w:rPr>
          <w:rFonts w:ascii="宋体" w:hAnsi="宋体" w:cs="Courier New"/>
          <w:color w:val="auto"/>
          <w:sz w:val="24"/>
          <w:szCs w:val="24"/>
          <w:highlight w:val="none"/>
        </w:rPr>
        <w:t>乙方：（卖方）</w:t>
      </w:r>
      <w:r>
        <w:rPr>
          <w:rFonts w:hint="eastAsia" w:ascii="宋体" w:hAnsi="宋体" w:cs="Courier New"/>
          <w:color w:val="auto"/>
          <w:sz w:val="24"/>
          <w:szCs w:val="24"/>
          <w:highlight w:val="none"/>
          <w:u w:val="single"/>
          <w:lang w:val="en-US" w:eastAsia="zh-CN"/>
        </w:rPr>
        <w:t>中移系统集成有限公司</w:t>
      </w:r>
    </w:p>
    <w:p w14:paraId="5418E956">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 xml:space="preserve">   </w:t>
      </w:r>
      <w:r>
        <w:rPr>
          <w:rFonts w:ascii="宋体" w:hAnsi="宋体" w:cs="Courier New"/>
          <w:color w:val="auto"/>
          <w:sz w:val="24"/>
          <w:szCs w:val="24"/>
          <w:highlight w:val="none"/>
        </w:rPr>
        <w:t>甲、乙双方根据</w:t>
      </w:r>
      <w:r>
        <w:rPr>
          <w:rFonts w:hint="eastAsia" w:ascii="宋体" w:hAnsi="宋体" w:cs="Courier New"/>
          <w:color w:val="auto"/>
          <w:sz w:val="24"/>
          <w:szCs w:val="24"/>
          <w:highlight w:val="none"/>
        </w:rPr>
        <w:t>江苏省政府采购中心</w:t>
      </w:r>
      <w:r>
        <w:rPr>
          <w:rFonts w:hint="eastAsia" w:ascii="宋体" w:hAnsi="宋体" w:cs="Courier New"/>
          <w:color w:val="auto"/>
          <w:sz w:val="24"/>
          <w:szCs w:val="24"/>
          <w:highlight w:val="none"/>
          <w:u w:val="single"/>
        </w:rPr>
        <w:t>常州市智帆学校安防系统设备</w:t>
      </w:r>
      <w:r>
        <w:rPr>
          <w:rFonts w:ascii="宋体" w:hAnsi="宋体" w:cs="Courier New"/>
          <w:color w:val="auto"/>
          <w:sz w:val="24"/>
          <w:szCs w:val="24"/>
          <w:highlight w:val="none"/>
          <w:u w:val="single"/>
        </w:rPr>
        <w:t>项目</w:t>
      </w:r>
      <w:r>
        <w:rPr>
          <w:rFonts w:ascii="宋体" w:hAnsi="宋体" w:cs="Courier New"/>
          <w:color w:val="auto"/>
          <w:sz w:val="24"/>
          <w:szCs w:val="24"/>
          <w:highlight w:val="none"/>
        </w:rPr>
        <w:t>公开招标的结果，签署本合同。</w:t>
      </w:r>
    </w:p>
    <w:p w14:paraId="7AA967D4">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一、</w:t>
      </w:r>
      <w:r>
        <w:rPr>
          <w:rFonts w:hint="eastAsia" w:ascii="宋体" w:hAnsi="宋体" w:cs="Courier New"/>
          <w:b/>
          <w:color w:val="auto"/>
          <w:sz w:val="24"/>
          <w:szCs w:val="24"/>
          <w:highlight w:val="none"/>
        </w:rPr>
        <w:t>合同</w:t>
      </w:r>
      <w:r>
        <w:rPr>
          <w:rFonts w:ascii="宋体" w:hAnsi="宋体" w:cs="Courier New"/>
          <w:b/>
          <w:color w:val="auto"/>
          <w:sz w:val="24"/>
          <w:szCs w:val="24"/>
          <w:highlight w:val="none"/>
        </w:rPr>
        <w:t>内容</w:t>
      </w:r>
    </w:p>
    <w:p w14:paraId="382DFB40">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 xml:space="preserve">1.1 </w:t>
      </w:r>
      <w:r>
        <w:rPr>
          <w:rFonts w:hint="eastAsia" w:ascii="宋体" w:hAnsi="宋体" w:cs="Courier New"/>
          <w:color w:val="auto"/>
          <w:sz w:val="24"/>
          <w:szCs w:val="24"/>
          <w:highlight w:val="none"/>
        </w:rPr>
        <w:t>标的</w:t>
      </w:r>
      <w:r>
        <w:rPr>
          <w:rFonts w:ascii="宋体" w:hAnsi="宋体" w:cs="Courier New"/>
          <w:color w:val="auto"/>
          <w:sz w:val="24"/>
          <w:szCs w:val="24"/>
          <w:highlight w:val="none"/>
        </w:rPr>
        <w:t>名称：</w:t>
      </w:r>
      <w:r>
        <w:rPr>
          <w:rFonts w:hint="eastAsia" w:ascii="宋体" w:hAnsi="宋体" w:eastAsia="宋体" w:cs="宋体"/>
          <w:sz w:val="24"/>
          <w:szCs w:val="24"/>
        </w:rPr>
        <w:t>常州市智帆学校安防系统设备项目</w:t>
      </w:r>
    </w:p>
    <w:p w14:paraId="62E9BFCB">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ascii="宋体" w:hAnsi="宋体" w:cs="Courier New"/>
          <w:color w:val="auto"/>
          <w:sz w:val="24"/>
          <w:szCs w:val="24"/>
          <w:highlight w:val="none"/>
        </w:rPr>
        <w:t>1.2</w:t>
      </w:r>
      <w:r>
        <w:rPr>
          <w:rFonts w:hint="eastAsia" w:ascii="宋体" w:hAnsi="宋体" w:cs="Courier New"/>
          <w:color w:val="auto"/>
          <w:sz w:val="24"/>
          <w:szCs w:val="24"/>
          <w:highlight w:val="none"/>
        </w:rPr>
        <w:t xml:space="preserve"> 标的质量：按招标文件要求执行</w:t>
      </w:r>
    </w:p>
    <w:p w14:paraId="6731E8EA">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default" w:ascii="宋体" w:hAnsi="宋体" w:eastAsia="宋体" w:cs="Courier New"/>
          <w:color w:val="auto"/>
          <w:sz w:val="24"/>
          <w:szCs w:val="24"/>
          <w:highlight w:val="none"/>
          <w:lang w:val="en-US" w:eastAsia="zh-CN"/>
        </w:rPr>
      </w:pPr>
      <w:r>
        <w:rPr>
          <w:rFonts w:hint="eastAsia" w:ascii="宋体" w:hAnsi="宋体" w:cs="Courier New"/>
          <w:color w:val="auto"/>
          <w:sz w:val="24"/>
          <w:szCs w:val="24"/>
          <w:highlight w:val="none"/>
        </w:rPr>
        <w:t>1.3 标的数量（规模）：</w:t>
      </w:r>
      <w:r>
        <w:rPr>
          <w:rFonts w:hint="eastAsia" w:ascii="宋体" w:hAnsi="宋体" w:cs="宋体"/>
          <w:color w:val="auto"/>
          <w:sz w:val="24"/>
          <w:szCs w:val="24"/>
          <w:highlight w:val="none"/>
          <w:lang w:val="en-US" w:eastAsia="zh-CN"/>
        </w:rPr>
        <w:t>详见</w:t>
      </w:r>
      <w:bookmarkStart w:id="0" w:name="_GoBack"/>
      <w:bookmarkEnd w:id="0"/>
      <w:r>
        <w:rPr>
          <w:rFonts w:hint="eastAsia" w:ascii="宋体" w:hAnsi="宋体" w:cs="宋体"/>
          <w:color w:val="auto"/>
          <w:sz w:val="24"/>
          <w:szCs w:val="24"/>
          <w:highlight w:val="none"/>
          <w:lang w:val="en-US" w:eastAsia="zh-CN"/>
        </w:rPr>
        <w:t>合同清单</w:t>
      </w:r>
    </w:p>
    <w:p w14:paraId="0E17EE9C">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1.4 履行时间（期限）：自合同签订生效之日起、项目验收合格之日止。</w:t>
      </w:r>
    </w:p>
    <w:p w14:paraId="49B6E74B">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hint="eastAsia" w:ascii="宋体" w:hAnsi="宋体" w:cs="Courier New"/>
          <w:color w:val="auto"/>
          <w:sz w:val="24"/>
          <w:szCs w:val="24"/>
          <w:highlight w:val="none"/>
        </w:rPr>
        <w:t>1.5 履行地点：常州市新北区西夏墅镇丽江路与浦东路交汇处</w:t>
      </w:r>
    </w:p>
    <w:p w14:paraId="0D1B1540">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6 履行方式：</w:t>
      </w:r>
      <w:r>
        <w:rPr>
          <w:rFonts w:hint="eastAsia" w:ascii="宋体" w:hAnsi="宋体" w:cs="Courier New"/>
          <w:color w:val="auto"/>
          <w:sz w:val="24"/>
          <w:szCs w:val="24"/>
          <w:highlight w:val="none"/>
          <w:lang w:val="en-US" w:eastAsia="zh-CN"/>
        </w:rPr>
        <w:t>按招标文件要求执行</w:t>
      </w:r>
    </w:p>
    <w:p w14:paraId="2BA20E4A">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hint="eastAsia" w:ascii="宋体" w:hAnsi="宋体" w:cs="Courier New"/>
          <w:color w:val="auto"/>
          <w:sz w:val="24"/>
          <w:szCs w:val="24"/>
          <w:highlight w:val="none"/>
        </w:rPr>
        <w:t>1.7 包装方式：</w:t>
      </w:r>
      <w:r>
        <w:rPr>
          <w:rFonts w:hint="eastAsia" w:ascii="宋体" w:hAnsi="宋体" w:cs="Courier New"/>
          <w:color w:val="auto"/>
          <w:sz w:val="24"/>
          <w:szCs w:val="24"/>
          <w:highlight w:val="none"/>
          <w:lang w:val="en-US" w:eastAsia="zh-CN"/>
        </w:rPr>
        <w:t>按招标文件要求执行</w:t>
      </w:r>
    </w:p>
    <w:p w14:paraId="12BA9687">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二、合同金额</w:t>
      </w:r>
    </w:p>
    <w:p w14:paraId="24881534">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2.1 本合同金额为（大写）：</w:t>
      </w:r>
      <w:r>
        <w:rPr>
          <w:rFonts w:hint="eastAsia" w:ascii="宋体" w:hAnsi="宋体" w:cs="宋体"/>
          <w:color w:val="auto"/>
          <w:sz w:val="24"/>
          <w:szCs w:val="24"/>
          <w:highlight w:val="none"/>
          <w:u w:val="single"/>
          <w:lang w:val="en-US" w:eastAsia="zh-CN"/>
        </w:rPr>
        <w:t>肆佰玖拾柒万叁仟陆佰柒拾柒</w:t>
      </w:r>
      <w:r>
        <w:rPr>
          <w:rFonts w:hint="eastAsia" w:ascii="宋体" w:hAnsi="宋体" w:cs="Courier New"/>
          <w:color w:val="auto"/>
          <w:sz w:val="24"/>
          <w:szCs w:val="24"/>
          <w:highlight w:val="none"/>
          <w:u w:val="single"/>
        </w:rPr>
        <w:t>圆</w:t>
      </w:r>
      <w:r>
        <w:rPr>
          <w:rFonts w:ascii="宋体" w:hAnsi="宋体" w:cs="Courier New"/>
          <w:color w:val="auto"/>
          <w:sz w:val="24"/>
          <w:szCs w:val="24"/>
          <w:highlight w:val="none"/>
        </w:rPr>
        <w:t>（</w:t>
      </w:r>
      <w:r>
        <w:rPr>
          <w:rFonts w:hint="eastAsia" w:ascii="宋体" w:hAnsi="宋体" w:cs="宋体"/>
          <w:color w:val="auto"/>
          <w:sz w:val="24"/>
          <w:szCs w:val="24"/>
          <w:highlight w:val="none"/>
          <w:u w:val="single"/>
        </w:rPr>
        <w:t>4973677</w:t>
      </w:r>
      <w:r>
        <w:rPr>
          <w:rFonts w:ascii="宋体" w:hAnsi="宋体" w:cs="Courier New"/>
          <w:color w:val="auto"/>
          <w:sz w:val="24"/>
          <w:szCs w:val="24"/>
          <w:highlight w:val="none"/>
        </w:rPr>
        <w:t>元）人民币。</w:t>
      </w:r>
    </w:p>
    <w:p w14:paraId="29657DAE">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三、技术资料</w:t>
      </w:r>
    </w:p>
    <w:p w14:paraId="1B96801A">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hint="eastAsia" w:ascii="宋体" w:hAnsi="宋体" w:cs="Courier New"/>
          <w:color w:val="auto"/>
          <w:sz w:val="24"/>
          <w:szCs w:val="24"/>
          <w:highlight w:val="none"/>
        </w:rPr>
      </w:pPr>
      <w:r>
        <w:rPr>
          <w:rFonts w:ascii="宋体" w:hAnsi="宋体" w:cs="Courier New"/>
          <w:color w:val="auto"/>
          <w:sz w:val="24"/>
          <w:szCs w:val="24"/>
          <w:highlight w:val="none"/>
        </w:rPr>
        <w:t>3.1乙方应按招标文件规定的时间向甲方提供使用货物</w:t>
      </w:r>
      <w:r>
        <w:rPr>
          <w:rFonts w:hint="eastAsia" w:ascii="宋体" w:hAnsi="宋体" w:cs="Courier New"/>
          <w:color w:val="auto"/>
          <w:sz w:val="24"/>
          <w:szCs w:val="24"/>
          <w:highlight w:val="none"/>
        </w:rPr>
        <w:t>(包含与货物相关的服务)</w:t>
      </w:r>
      <w:r>
        <w:rPr>
          <w:rFonts w:ascii="宋体" w:hAnsi="宋体" w:cs="Courier New"/>
          <w:color w:val="auto"/>
          <w:sz w:val="24"/>
          <w:szCs w:val="24"/>
          <w:highlight w:val="none"/>
        </w:rPr>
        <w:t>的有关技术资料。</w:t>
      </w:r>
    </w:p>
    <w:p w14:paraId="73EDE7E6">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345C64A4">
      <w:pPr>
        <w:keepLines w:val="0"/>
        <w:pageBreakBefore w:val="0"/>
        <w:widowControl w:val="0"/>
        <w:kinsoku/>
        <w:wordWrap/>
        <w:overflowPunct/>
        <w:topLinePunct w:val="0"/>
        <w:autoSpaceDE/>
        <w:autoSpaceDN/>
        <w:bidi w:val="0"/>
        <w:adjustRightInd/>
        <w:snapToGrid w:val="0"/>
        <w:spacing w:before="120" w:after="120" w:line="440" w:lineRule="exact"/>
        <w:ind w:left="412" w:hanging="412" w:hangingChars="171"/>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四、知识产权</w:t>
      </w:r>
    </w:p>
    <w:p w14:paraId="2D4F35CD">
      <w:pPr>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color w:val="auto"/>
          <w:sz w:val="24"/>
          <w:highlight w:val="none"/>
        </w:rPr>
      </w:pPr>
      <w:r>
        <w:rPr>
          <w:rFonts w:hAnsi="宋体"/>
          <w:color w:val="auto"/>
          <w:sz w:val="24"/>
          <w:szCs w:val="24"/>
          <w:highlight w:val="none"/>
        </w:rPr>
        <w:t>4.1乙</w:t>
      </w:r>
      <w:r>
        <w:rPr>
          <w:rFonts w:hint="eastAsia" w:ascii="宋体" w:hAnsi="宋体"/>
          <w:color w:val="auto"/>
          <w:sz w:val="24"/>
          <w:highlight w:val="none"/>
        </w:rPr>
        <w:t>方应保证甲方在使用、接受本合同货物</w:t>
      </w:r>
      <w:r>
        <w:rPr>
          <w:rFonts w:hint="eastAsia" w:hAnsi="宋体"/>
          <w:color w:val="auto"/>
          <w:sz w:val="24"/>
          <w:szCs w:val="24"/>
          <w:highlight w:val="none"/>
        </w:rPr>
        <w:t>（包含与货物相关的服务）</w:t>
      </w:r>
      <w:r>
        <w:rPr>
          <w:rFonts w:hint="eastAsia" w:ascii="宋体" w:hAnsi="宋体"/>
          <w:color w:val="auto"/>
          <w:sz w:val="24"/>
          <w:highlight w:val="none"/>
        </w:rPr>
        <w:t>或其任何一部分时不受第三方提出侵犯其专利权、版权、商标权和工业设计权等知识产权的起诉。一旦出现侵权，由乙方负全部责任。</w:t>
      </w:r>
    </w:p>
    <w:p w14:paraId="27EF4424">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u w:val="single"/>
        </w:rPr>
      </w:pPr>
      <w:r>
        <w:rPr>
          <w:rFonts w:ascii="宋体" w:hAnsi="宋体" w:cs="Courier New"/>
          <w:b/>
          <w:color w:val="auto"/>
          <w:sz w:val="24"/>
          <w:szCs w:val="24"/>
          <w:highlight w:val="none"/>
        </w:rPr>
        <w:t>五、产权担保</w:t>
      </w:r>
    </w:p>
    <w:p w14:paraId="5ED949E9">
      <w:pPr>
        <w:keepLines w:val="0"/>
        <w:pageBreakBefore w:val="0"/>
        <w:widowControl w:val="0"/>
        <w:kinsoku/>
        <w:wordWrap/>
        <w:overflowPunct/>
        <w:topLinePunct w:val="0"/>
        <w:autoSpaceDE/>
        <w:autoSpaceDN/>
        <w:bidi w:val="0"/>
        <w:adjustRightInd/>
        <w:snapToGrid w:val="0"/>
        <w:spacing w:before="120" w:after="120" w:line="440" w:lineRule="exact"/>
        <w:ind w:left="408" w:hanging="408" w:hangingChars="170"/>
        <w:textAlignment w:val="auto"/>
        <w:rPr>
          <w:rFonts w:ascii="宋体" w:hAnsi="宋体" w:cs="Courier New"/>
          <w:color w:val="auto"/>
          <w:sz w:val="24"/>
          <w:szCs w:val="24"/>
          <w:highlight w:val="none"/>
          <w:u w:val="single"/>
        </w:rPr>
      </w:pPr>
      <w:r>
        <w:rPr>
          <w:rFonts w:ascii="宋体" w:hAnsi="宋体" w:cs="Courier New"/>
          <w:color w:val="auto"/>
          <w:sz w:val="24"/>
          <w:szCs w:val="24"/>
          <w:highlight w:val="none"/>
        </w:rPr>
        <w:t>5.1 乙方保证所交付的货物</w:t>
      </w:r>
      <w:r>
        <w:rPr>
          <w:rFonts w:hint="eastAsia" w:ascii="宋体" w:hAnsi="宋体" w:cs="Courier New"/>
          <w:color w:val="auto"/>
          <w:sz w:val="24"/>
          <w:szCs w:val="24"/>
          <w:highlight w:val="none"/>
        </w:rPr>
        <w:t>（包含与货物相关的服务）</w:t>
      </w:r>
      <w:r>
        <w:rPr>
          <w:rFonts w:ascii="宋体" w:hAnsi="宋体" w:cs="Courier New"/>
          <w:color w:val="auto"/>
          <w:sz w:val="24"/>
          <w:szCs w:val="24"/>
          <w:highlight w:val="none"/>
        </w:rPr>
        <w:t>的所有权完全属于乙方且无任何抵押、查封等产权瑕疵。</w:t>
      </w:r>
    </w:p>
    <w:p w14:paraId="5EA311F9">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0"/>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六、履约保证金</w:t>
      </w:r>
    </w:p>
    <w:p w14:paraId="61254B25">
      <w:pPr>
        <w:keepLines w:val="0"/>
        <w:pageBreakBefore w:val="0"/>
        <w:widowControl w:val="0"/>
        <w:kinsoku/>
        <w:wordWrap/>
        <w:overflowPunct/>
        <w:topLinePunct w:val="0"/>
        <w:autoSpaceDE/>
        <w:autoSpaceDN/>
        <w:bidi w:val="0"/>
        <w:adjustRightInd/>
        <w:snapToGrid w:val="0"/>
        <w:spacing w:before="120" w:after="120" w:line="440" w:lineRule="exact"/>
        <w:ind w:left="408" w:firstLine="0" w:firstLineChars="0"/>
        <w:textAlignment w:val="auto"/>
        <w:rPr>
          <w:rFonts w:hint="default" w:ascii="宋体" w:hAnsi="宋体" w:eastAsia="宋体" w:cs="Courier New"/>
          <w:color w:val="auto"/>
          <w:sz w:val="24"/>
          <w:szCs w:val="24"/>
          <w:highlight w:val="none"/>
          <w:lang w:val="en-US" w:eastAsia="zh-CN"/>
        </w:rPr>
      </w:pPr>
      <w:r>
        <w:rPr>
          <w:rFonts w:hint="eastAsia" w:ascii="宋体" w:hAnsi="宋体" w:cs="Courier New"/>
          <w:color w:val="auto"/>
          <w:sz w:val="24"/>
          <w:szCs w:val="24"/>
          <w:highlight w:val="none"/>
          <w:lang w:val="en-US" w:eastAsia="zh-CN"/>
        </w:rPr>
        <w:t>本项目不收履约保证金。</w:t>
      </w:r>
    </w:p>
    <w:p w14:paraId="417007AC">
      <w:pPr>
        <w:keepLines w:val="0"/>
        <w:pageBreakBefore w:val="0"/>
        <w:widowControl w:val="0"/>
        <w:kinsoku/>
        <w:wordWrap/>
        <w:overflowPunct/>
        <w:topLinePunct w:val="0"/>
        <w:autoSpaceDE/>
        <w:autoSpaceDN/>
        <w:bidi w:val="0"/>
        <w:adjustRightInd/>
        <w:snapToGrid w:val="0"/>
        <w:spacing w:before="120" w:beforeLines="50" w:after="120" w:afterLines="50" w:line="440" w:lineRule="exact"/>
        <w:textAlignment w:val="auto"/>
        <w:rPr>
          <w:rFonts w:ascii="宋体" w:hAnsi="宋体" w:eastAsia="仿宋_GB2312"/>
          <w:b/>
          <w:color w:val="auto"/>
          <w:sz w:val="24"/>
          <w:szCs w:val="24"/>
          <w:highlight w:val="none"/>
        </w:rPr>
      </w:pPr>
      <w:r>
        <w:rPr>
          <w:rFonts w:hint="eastAsia" w:ascii="宋体" w:hAnsi="宋体"/>
          <w:b/>
          <w:color w:val="auto"/>
          <w:sz w:val="24"/>
          <w:szCs w:val="24"/>
          <w:highlight w:val="none"/>
        </w:rPr>
        <w:t>七、合同转包或分包</w:t>
      </w:r>
    </w:p>
    <w:p w14:paraId="38B6A8DB">
      <w:pPr>
        <w:keepLines w:val="0"/>
        <w:pageBreakBefore w:val="0"/>
        <w:widowControl w:val="0"/>
        <w:kinsoku/>
        <w:wordWrap/>
        <w:overflowPunct/>
        <w:topLinePunct w:val="0"/>
        <w:autoSpaceDE/>
        <w:autoSpaceDN/>
        <w:bidi w:val="0"/>
        <w:adjustRightInd/>
        <w:snapToGrid w:val="0"/>
        <w:spacing w:before="120" w:beforeLines="50" w:after="120" w:afterLines="50" w:line="440" w:lineRule="exact"/>
        <w:textAlignment w:val="auto"/>
        <w:rPr>
          <w:rFonts w:hint="eastAsia" w:ascii="宋体" w:hAnsi="宋体"/>
          <w:color w:val="auto"/>
          <w:sz w:val="24"/>
          <w:szCs w:val="24"/>
          <w:highlight w:val="none"/>
        </w:rPr>
      </w:pPr>
      <w:r>
        <w:rPr>
          <w:rFonts w:hint="eastAsia" w:ascii="宋体" w:hAnsi="宋体"/>
          <w:color w:val="auto"/>
          <w:sz w:val="24"/>
          <w:szCs w:val="24"/>
          <w:highlight w:val="none"/>
        </w:rPr>
        <w:t>7.1乙方不得将合同标的转包给他人履行。</w:t>
      </w:r>
    </w:p>
    <w:p w14:paraId="3150D605">
      <w:pPr>
        <w:keepLines w:val="0"/>
        <w:pageBreakBefore w:val="0"/>
        <w:widowControl w:val="0"/>
        <w:kinsoku/>
        <w:wordWrap/>
        <w:overflowPunct/>
        <w:topLinePunct w:val="0"/>
        <w:autoSpaceDE/>
        <w:autoSpaceDN/>
        <w:bidi w:val="0"/>
        <w:adjustRightInd/>
        <w:snapToGrid w:val="0"/>
        <w:spacing w:before="120" w:beforeLines="50" w:after="120" w:afterLines="50" w:line="440" w:lineRule="exact"/>
        <w:textAlignment w:val="auto"/>
        <w:rPr>
          <w:rFonts w:hint="eastAsia" w:ascii="宋体" w:hAnsi="宋体"/>
          <w:color w:val="auto"/>
          <w:sz w:val="24"/>
          <w:szCs w:val="24"/>
          <w:highlight w:val="none"/>
        </w:rPr>
      </w:pPr>
      <w:r>
        <w:rPr>
          <w:rFonts w:hint="eastAsia" w:ascii="宋体" w:hAnsi="宋体"/>
          <w:color w:val="auto"/>
          <w:sz w:val="24"/>
          <w:szCs w:val="24"/>
          <w:highlight w:val="none"/>
        </w:rPr>
        <w:t>7.2乙方不得将合同标的分包给他人履行。</w:t>
      </w:r>
    </w:p>
    <w:p w14:paraId="6A15CABC">
      <w:pPr>
        <w:keepLines w:val="0"/>
        <w:pageBreakBefore w:val="0"/>
        <w:widowControl w:val="0"/>
        <w:kinsoku/>
        <w:wordWrap/>
        <w:overflowPunct/>
        <w:topLinePunct w:val="0"/>
        <w:autoSpaceDE/>
        <w:autoSpaceDN/>
        <w:bidi w:val="0"/>
        <w:adjustRightInd/>
        <w:snapToGrid w:val="0"/>
        <w:spacing w:before="120" w:beforeLines="50" w:after="120" w:afterLines="50" w:line="440" w:lineRule="exact"/>
        <w:textAlignment w:val="auto"/>
        <w:rPr>
          <w:rFonts w:ascii="宋体" w:hAnsi="宋体" w:eastAsia="仿宋_GB2312"/>
          <w:color w:val="auto"/>
          <w:sz w:val="24"/>
          <w:szCs w:val="24"/>
          <w:highlight w:val="none"/>
        </w:rPr>
      </w:pPr>
      <w:r>
        <w:rPr>
          <w:rFonts w:ascii="宋体" w:hAnsi="宋体"/>
          <w:color w:val="auto"/>
          <w:sz w:val="24"/>
          <w:szCs w:val="24"/>
          <w:highlight w:val="none"/>
        </w:rPr>
        <w:t>7.3</w:t>
      </w:r>
      <w:r>
        <w:rPr>
          <w:rFonts w:hint="eastAsia" w:ascii="宋体" w:hAnsi="宋体"/>
          <w:color w:val="auto"/>
          <w:sz w:val="24"/>
          <w:szCs w:val="24"/>
          <w:highlight w:val="none"/>
        </w:rPr>
        <w:t>乙方如有转包或未经甲方同意的分包行为，甲方有权给予终止合同。</w:t>
      </w:r>
    </w:p>
    <w:p w14:paraId="11D288A3">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hint="eastAsia" w:ascii="宋体" w:hAnsi="宋体" w:cs="Courier New"/>
          <w:b/>
          <w:color w:val="auto"/>
          <w:sz w:val="24"/>
          <w:szCs w:val="24"/>
          <w:highlight w:val="none"/>
        </w:rPr>
        <w:t>八</w:t>
      </w:r>
      <w:r>
        <w:rPr>
          <w:rFonts w:ascii="宋体" w:hAnsi="宋体" w:cs="Courier New"/>
          <w:b/>
          <w:color w:val="auto"/>
          <w:sz w:val="24"/>
          <w:szCs w:val="24"/>
          <w:highlight w:val="none"/>
        </w:rPr>
        <w:t>、</w:t>
      </w:r>
      <w:r>
        <w:rPr>
          <w:rFonts w:hint="eastAsia" w:ascii="宋体" w:hAnsi="宋体" w:cs="Courier New"/>
          <w:b/>
          <w:color w:val="auto"/>
          <w:sz w:val="24"/>
          <w:szCs w:val="24"/>
          <w:highlight w:val="none"/>
        </w:rPr>
        <w:t>合同款项</w:t>
      </w:r>
      <w:r>
        <w:rPr>
          <w:rFonts w:ascii="宋体" w:hAnsi="宋体" w:cs="Courier New"/>
          <w:b/>
          <w:color w:val="auto"/>
          <w:sz w:val="24"/>
          <w:szCs w:val="24"/>
          <w:highlight w:val="none"/>
        </w:rPr>
        <w:t>支付</w:t>
      </w:r>
    </w:p>
    <w:p w14:paraId="10D53DE8">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bCs/>
          <w:strike w:val="0"/>
          <w:dstrike w:val="0"/>
          <w:color w:val="auto"/>
          <w:sz w:val="24"/>
          <w:szCs w:val="24"/>
          <w:highlight w:val="none"/>
        </w:rPr>
      </w:pPr>
      <w:r>
        <w:rPr>
          <w:rFonts w:hint="eastAsia" w:ascii="宋体" w:hAnsi="宋体" w:cs="Courier New"/>
          <w:bCs/>
          <w:color w:val="auto"/>
          <w:sz w:val="24"/>
          <w:szCs w:val="24"/>
          <w:highlight w:val="none"/>
        </w:rPr>
        <w:t>8</w:t>
      </w:r>
      <w:r>
        <w:rPr>
          <w:rFonts w:ascii="宋体" w:hAnsi="宋体" w:cs="Courier New"/>
          <w:bCs/>
          <w:color w:val="auto"/>
          <w:sz w:val="24"/>
          <w:szCs w:val="24"/>
          <w:highlight w:val="none"/>
        </w:rPr>
        <w:t>.1</w:t>
      </w:r>
      <w:r>
        <w:rPr>
          <w:rFonts w:hint="eastAsia" w:ascii="宋体" w:hAnsi="宋体" w:cs="Courier New"/>
          <w:bCs/>
          <w:color w:val="auto"/>
          <w:sz w:val="24"/>
          <w:szCs w:val="24"/>
          <w:highlight w:val="none"/>
        </w:rPr>
        <w:t>合同款项的支付方式及进度安排</w:t>
      </w:r>
      <w:r>
        <w:rPr>
          <w:rFonts w:hint="eastAsia" w:ascii="宋体" w:hAnsi="宋体" w:cs="Courier New"/>
          <w:bCs/>
          <w:color w:val="auto"/>
          <w:sz w:val="24"/>
          <w:szCs w:val="24"/>
          <w:highlight w:val="none"/>
          <w:lang w:eastAsia="zh-CN"/>
        </w:rPr>
        <w:t>：</w:t>
      </w:r>
      <w:r>
        <w:rPr>
          <w:rFonts w:hint="eastAsia" w:ascii="宋体" w:hAnsi="宋体" w:cs="Courier New"/>
          <w:bCs/>
          <w:strike w:val="0"/>
          <w:dstrike w:val="0"/>
          <w:color w:val="auto"/>
          <w:sz w:val="24"/>
          <w:szCs w:val="24"/>
          <w:highlight w:val="none"/>
        </w:rPr>
        <w:t>本合同货物在规定的时间内供货，验收合格，自验收合格之日起</w:t>
      </w:r>
      <w:r>
        <w:rPr>
          <w:rFonts w:hint="eastAsia" w:ascii="宋体" w:hAnsi="宋体" w:cs="Courier New"/>
          <w:bCs/>
          <w:strike w:val="0"/>
          <w:dstrike w:val="0"/>
          <w:color w:val="auto"/>
          <w:sz w:val="24"/>
          <w:szCs w:val="24"/>
          <w:highlight w:val="none"/>
          <w:lang w:val="en-US" w:eastAsia="zh-CN"/>
        </w:rPr>
        <w:t>十个工作日内</w:t>
      </w:r>
      <w:r>
        <w:rPr>
          <w:rFonts w:hint="eastAsia" w:ascii="宋体" w:hAnsi="宋体" w:cs="Courier New"/>
          <w:bCs/>
          <w:strike w:val="0"/>
          <w:dstrike w:val="0"/>
          <w:color w:val="auto"/>
          <w:sz w:val="24"/>
          <w:szCs w:val="24"/>
          <w:highlight w:val="none"/>
        </w:rPr>
        <w:t>一次性付清。</w:t>
      </w:r>
    </w:p>
    <w:p w14:paraId="6F553298">
      <w:pPr>
        <w:keepLines w:val="0"/>
        <w:pageBreakBefore w:val="0"/>
        <w:widowControl w:val="0"/>
        <w:kinsoku/>
        <w:wordWrap/>
        <w:overflowPunct/>
        <w:topLinePunct w:val="0"/>
        <w:autoSpaceDE/>
        <w:autoSpaceDN/>
        <w:bidi w:val="0"/>
        <w:adjustRightInd/>
        <w:snapToGrid w:val="0"/>
        <w:spacing w:before="120" w:beforeLines="50" w:after="120" w:afterLines="50" w:line="440" w:lineRule="exact"/>
        <w:textAlignment w:val="auto"/>
        <w:rPr>
          <w:rFonts w:ascii="宋体" w:hAnsi="宋体" w:eastAsia="仿宋_GB2312"/>
          <w:b/>
          <w:color w:val="auto"/>
          <w:sz w:val="24"/>
          <w:szCs w:val="24"/>
          <w:highlight w:val="none"/>
        </w:rPr>
      </w:pPr>
      <w:r>
        <w:rPr>
          <w:rFonts w:hint="eastAsia" w:ascii="宋体" w:hAnsi="宋体"/>
          <w:b/>
          <w:color w:val="auto"/>
          <w:sz w:val="24"/>
          <w:szCs w:val="24"/>
          <w:highlight w:val="none"/>
        </w:rPr>
        <w:t>九、税费</w:t>
      </w:r>
    </w:p>
    <w:p w14:paraId="4509E58C">
      <w:pPr>
        <w:keepLines w:val="0"/>
        <w:pageBreakBefore w:val="0"/>
        <w:widowControl w:val="0"/>
        <w:kinsoku/>
        <w:wordWrap/>
        <w:overflowPunct/>
        <w:topLinePunct w:val="0"/>
        <w:autoSpaceDE/>
        <w:autoSpaceDN/>
        <w:bidi w:val="0"/>
        <w:adjustRightInd/>
        <w:snapToGrid w:val="0"/>
        <w:spacing w:before="120" w:beforeLines="50" w:after="120" w:afterLines="50" w:line="440" w:lineRule="exact"/>
        <w:textAlignment w:val="auto"/>
        <w:rPr>
          <w:rFonts w:ascii="宋体" w:hAnsi="宋体" w:eastAsia="仿宋_GB2312"/>
          <w:color w:val="auto"/>
          <w:sz w:val="24"/>
          <w:szCs w:val="24"/>
          <w:highlight w:val="none"/>
        </w:rPr>
      </w:pPr>
      <w:r>
        <w:rPr>
          <w:rFonts w:hint="eastAsia" w:ascii="宋体" w:hAnsi="宋体"/>
          <w:color w:val="auto"/>
          <w:sz w:val="24"/>
          <w:szCs w:val="24"/>
          <w:highlight w:val="none"/>
        </w:rPr>
        <w:t>9</w:t>
      </w:r>
      <w:r>
        <w:rPr>
          <w:rFonts w:ascii="宋体" w:hAnsi="宋体"/>
          <w:color w:val="auto"/>
          <w:sz w:val="24"/>
          <w:szCs w:val="24"/>
          <w:highlight w:val="none"/>
        </w:rPr>
        <w:t>.1</w:t>
      </w:r>
      <w:r>
        <w:rPr>
          <w:rFonts w:hint="eastAsia" w:ascii="宋体" w:hAnsi="宋体"/>
          <w:color w:val="auto"/>
          <w:sz w:val="24"/>
          <w:szCs w:val="24"/>
          <w:highlight w:val="none"/>
        </w:rPr>
        <w:t>本合同执行中相关的一切税费均由乙方负担。</w:t>
      </w:r>
    </w:p>
    <w:p w14:paraId="74ABD8D1">
      <w:pPr>
        <w:keepLines w:val="0"/>
        <w:pageBreakBefore w:val="0"/>
        <w:widowControl w:val="0"/>
        <w:kinsoku/>
        <w:wordWrap/>
        <w:overflowPunct/>
        <w:topLinePunct w:val="0"/>
        <w:autoSpaceDE/>
        <w:autoSpaceDN/>
        <w:bidi w:val="0"/>
        <w:adjustRightInd/>
        <w:snapToGrid w:val="0"/>
        <w:spacing w:before="120" w:after="120" w:line="440" w:lineRule="exact"/>
        <w:ind w:left="412" w:hanging="412" w:hangingChars="171"/>
        <w:textAlignment w:val="auto"/>
        <w:rPr>
          <w:rFonts w:ascii="宋体" w:hAnsi="宋体" w:cs="Courier New"/>
          <w:color w:val="auto"/>
          <w:sz w:val="24"/>
          <w:szCs w:val="24"/>
          <w:highlight w:val="none"/>
        </w:rPr>
      </w:pPr>
      <w:r>
        <w:rPr>
          <w:rFonts w:ascii="宋体" w:hAnsi="宋体" w:cs="Courier New"/>
          <w:b/>
          <w:color w:val="auto"/>
          <w:sz w:val="24"/>
          <w:szCs w:val="24"/>
          <w:highlight w:val="none"/>
        </w:rPr>
        <w:t>十、质量</w:t>
      </w:r>
      <w:r>
        <w:rPr>
          <w:rFonts w:hint="eastAsia" w:ascii="宋体" w:hAnsi="宋体" w:cs="Courier New"/>
          <w:b/>
          <w:color w:val="auto"/>
          <w:sz w:val="24"/>
          <w:szCs w:val="24"/>
          <w:highlight w:val="none"/>
        </w:rPr>
        <w:t>保修范围和保修期</w:t>
      </w:r>
      <w:r>
        <w:rPr>
          <w:rFonts w:ascii="宋体" w:hAnsi="宋体" w:cs="Courier New"/>
          <w:b/>
          <w:color w:val="auto"/>
          <w:sz w:val="24"/>
          <w:szCs w:val="24"/>
          <w:highlight w:val="none"/>
        </w:rPr>
        <w:t>及售后服务</w:t>
      </w:r>
    </w:p>
    <w:p w14:paraId="614305CD">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0</w:t>
      </w:r>
      <w:r>
        <w:rPr>
          <w:rFonts w:ascii="宋体" w:hAnsi="宋体" w:cs="Courier New"/>
          <w:color w:val="auto"/>
          <w:sz w:val="24"/>
          <w:szCs w:val="24"/>
          <w:highlight w:val="none"/>
        </w:rPr>
        <w:t>.1 乙方应按招标文件规定的货物性能、技术要求、质量标准向甲方提供未经使用的全新产品。</w:t>
      </w:r>
    </w:p>
    <w:p w14:paraId="7360F45C">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0</w:t>
      </w:r>
      <w:r>
        <w:rPr>
          <w:rFonts w:ascii="宋体" w:hAnsi="宋体" w:cs="Courier New"/>
          <w:color w:val="auto"/>
          <w:sz w:val="24"/>
          <w:szCs w:val="24"/>
          <w:highlight w:val="none"/>
        </w:rPr>
        <w:t>.2 乙方提供的货物在质量期内因货物本身的质量问题发生故障，乙方应负责免费更换。对达不到技术要求者，根据实际情况，经双方协商，可按以下办法处理：</w:t>
      </w:r>
    </w:p>
    <w:p w14:paraId="25E8401D">
      <w:pPr>
        <w:keepLines w:val="0"/>
        <w:pageBreakBefore w:val="0"/>
        <w:widowControl w:val="0"/>
        <w:kinsoku/>
        <w:wordWrap/>
        <w:overflowPunct/>
        <w:topLinePunct w:val="0"/>
        <w:autoSpaceDE/>
        <w:autoSpaceDN/>
        <w:bidi w:val="0"/>
        <w:adjustRightInd/>
        <w:snapToGrid w:val="0"/>
        <w:spacing w:before="120" w:after="120" w:line="440" w:lineRule="exact"/>
        <w:ind w:firstLine="420"/>
        <w:textAlignment w:val="auto"/>
        <w:rPr>
          <w:rFonts w:ascii="宋体" w:hAnsi="宋体" w:cs="Courier New"/>
          <w:color w:val="auto"/>
          <w:sz w:val="24"/>
          <w:szCs w:val="24"/>
          <w:highlight w:val="none"/>
        </w:rPr>
      </w:pPr>
      <w:r>
        <w:rPr>
          <w:rFonts w:ascii="宋体" w:hAnsi="宋体" w:cs="Courier New"/>
          <w:color w:val="auto"/>
          <w:sz w:val="24"/>
          <w:szCs w:val="24"/>
          <w:highlight w:val="none"/>
        </w:rPr>
        <w:t>⑴更换：由乙方承担所发生的全部费用。</w:t>
      </w:r>
    </w:p>
    <w:p w14:paraId="5BFC94F8">
      <w:pPr>
        <w:keepLines w:val="0"/>
        <w:pageBreakBefore w:val="0"/>
        <w:widowControl w:val="0"/>
        <w:kinsoku/>
        <w:wordWrap/>
        <w:overflowPunct/>
        <w:topLinePunct w:val="0"/>
        <w:autoSpaceDE/>
        <w:autoSpaceDN/>
        <w:bidi w:val="0"/>
        <w:adjustRightInd/>
        <w:snapToGrid w:val="0"/>
        <w:spacing w:before="120" w:after="120" w:line="440" w:lineRule="exact"/>
        <w:ind w:firstLine="420"/>
        <w:textAlignment w:val="auto"/>
        <w:rPr>
          <w:rFonts w:ascii="宋体" w:hAnsi="宋体" w:cs="Courier New"/>
          <w:color w:val="auto"/>
          <w:sz w:val="24"/>
          <w:szCs w:val="24"/>
          <w:highlight w:val="none"/>
        </w:rPr>
      </w:pPr>
      <w:r>
        <w:rPr>
          <w:rFonts w:ascii="宋体" w:hAnsi="宋体" w:cs="Courier New"/>
          <w:color w:val="auto"/>
          <w:sz w:val="24"/>
          <w:szCs w:val="24"/>
          <w:highlight w:val="none"/>
        </w:rPr>
        <w:t>⑵贬值处理：由甲乙双方合议定价。</w:t>
      </w:r>
    </w:p>
    <w:p w14:paraId="122183FD">
      <w:pPr>
        <w:keepLines w:val="0"/>
        <w:pageBreakBefore w:val="0"/>
        <w:widowControl w:val="0"/>
        <w:kinsoku/>
        <w:wordWrap/>
        <w:overflowPunct/>
        <w:topLinePunct w:val="0"/>
        <w:autoSpaceDE/>
        <w:autoSpaceDN/>
        <w:bidi w:val="0"/>
        <w:adjustRightInd/>
        <w:snapToGrid w:val="0"/>
        <w:spacing w:before="120" w:after="120" w:line="440" w:lineRule="exact"/>
        <w:ind w:left="420" w:left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⑶退货处理：乙方应退还甲方支付的合同款，同时应承担该货物的直接费用（运输、保险、检验、货款利息及银行手续费等）。</w:t>
      </w:r>
    </w:p>
    <w:p w14:paraId="7B48213B">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0</w:t>
      </w:r>
      <w:r>
        <w:rPr>
          <w:rFonts w:ascii="宋体" w:hAnsi="宋体" w:cs="Courier New"/>
          <w:color w:val="auto"/>
          <w:sz w:val="24"/>
          <w:szCs w:val="24"/>
          <w:highlight w:val="none"/>
        </w:rPr>
        <w:t>.3 如在使用过程中发生质量问题，乙方在接到甲方通知后在___</w:t>
      </w:r>
      <w:r>
        <w:rPr>
          <w:rFonts w:hint="eastAsia" w:ascii="宋体" w:hAnsi="宋体" w:cs="Courier New"/>
          <w:color w:val="auto"/>
          <w:sz w:val="24"/>
          <w:szCs w:val="24"/>
          <w:highlight w:val="none"/>
          <w:lang w:val="en-US" w:eastAsia="zh-CN"/>
        </w:rPr>
        <w:t>2</w:t>
      </w:r>
      <w:r>
        <w:rPr>
          <w:rFonts w:ascii="宋体" w:hAnsi="宋体" w:cs="Courier New"/>
          <w:color w:val="auto"/>
          <w:sz w:val="24"/>
          <w:szCs w:val="24"/>
          <w:highlight w:val="none"/>
        </w:rPr>
        <w:t>___小时内到达甲方现场。</w:t>
      </w:r>
    </w:p>
    <w:p w14:paraId="615E179D">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0</w:t>
      </w:r>
      <w:r>
        <w:rPr>
          <w:rFonts w:ascii="宋体" w:hAnsi="宋体" w:cs="Courier New"/>
          <w:color w:val="auto"/>
          <w:sz w:val="24"/>
          <w:szCs w:val="24"/>
          <w:highlight w:val="none"/>
        </w:rPr>
        <w:t>.4 在质保期内，乙方应对货物出现的质量及安全问题负责处理解决并承担一切费用。</w:t>
      </w:r>
    </w:p>
    <w:p w14:paraId="3F31B0B9">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0</w:t>
      </w:r>
      <w:r>
        <w:rPr>
          <w:rFonts w:ascii="宋体" w:hAnsi="宋体" w:cs="Courier New"/>
          <w:color w:val="auto"/>
          <w:sz w:val="24"/>
          <w:szCs w:val="24"/>
          <w:highlight w:val="none"/>
        </w:rPr>
        <w:t>.5上述的货物免费保修期为</w:t>
      </w:r>
      <w:r>
        <w:rPr>
          <w:rFonts w:ascii="宋体" w:hAnsi="宋体" w:cs="Courier New"/>
          <w:color w:val="auto"/>
          <w:sz w:val="24"/>
          <w:szCs w:val="24"/>
          <w:highlight w:val="none"/>
          <w:u w:val="single"/>
        </w:rPr>
        <w:t xml:space="preserve">  </w:t>
      </w:r>
      <w:r>
        <w:rPr>
          <w:rFonts w:hint="eastAsia" w:ascii="宋体" w:hAnsi="宋体" w:cs="Courier New"/>
          <w:color w:val="auto"/>
          <w:sz w:val="24"/>
          <w:szCs w:val="24"/>
          <w:highlight w:val="none"/>
          <w:u w:val="single"/>
          <w:lang w:val="en-US" w:eastAsia="zh-CN"/>
        </w:rPr>
        <w:t>6</w:t>
      </w:r>
      <w:r>
        <w:rPr>
          <w:rFonts w:ascii="宋体" w:hAnsi="宋体" w:cs="Courier New"/>
          <w:color w:val="auto"/>
          <w:sz w:val="24"/>
          <w:szCs w:val="24"/>
          <w:highlight w:val="none"/>
          <w:u w:val="single"/>
        </w:rPr>
        <w:t xml:space="preserve">  </w:t>
      </w:r>
      <w:r>
        <w:rPr>
          <w:rFonts w:ascii="宋体" w:hAnsi="宋体" w:cs="Courier New"/>
          <w:color w:val="auto"/>
          <w:sz w:val="24"/>
          <w:szCs w:val="24"/>
          <w:highlight w:val="none"/>
        </w:rPr>
        <w:t>年（自交货验收合格之日起计），因人为因素出现的故障不在免费保修范围内。超过保修期的机器设备，终生维修，维修时只收部件成本费。</w:t>
      </w:r>
    </w:p>
    <w:p w14:paraId="2C947BD6">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十</w:t>
      </w:r>
      <w:r>
        <w:rPr>
          <w:rFonts w:hint="eastAsia" w:ascii="宋体" w:hAnsi="宋体" w:cs="Courier New"/>
          <w:b/>
          <w:color w:val="auto"/>
          <w:sz w:val="24"/>
          <w:szCs w:val="24"/>
          <w:highlight w:val="none"/>
        </w:rPr>
        <w:t>一</w:t>
      </w:r>
      <w:r>
        <w:rPr>
          <w:rFonts w:ascii="宋体" w:hAnsi="宋体" w:cs="Courier New"/>
          <w:b/>
          <w:color w:val="auto"/>
          <w:sz w:val="24"/>
          <w:szCs w:val="24"/>
          <w:highlight w:val="none"/>
        </w:rPr>
        <w:t>、</w:t>
      </w:r>
      <w:r>
        <w:rPr>
          <w:rFonts w:hint="eastAsia" w:ascii="宋体" w:hAnsi="宋体" w:cs="Courier New"/>
          <w:b/>
          <w:color w:val="auto"/>
          <w:sz w:val="24"/>
          <w:szCs w:val="24"/>
          <w:highlight w:val="none"/>
        </w:rPr>
        <w:t>项目</w:t>
      </w:r>
      <w:r>
        <w:rPr>
          <w:rFonts w:ascii="宋体" w:hAnsi="宋体" w:cs="Courier New"/>
          <w:b/>
          <w:color w:val="auto"/>
          <w:sz w:val="24"/>
          <w:szCs w:val="24"/>
          <w:highlight w:val="none"/>
        </w:rPr>
        <w:t>验收</w:t>
      </w:r>
    </w:p>
    <w:p w14:paraId="1B85D1F0">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11.1 甲方依法组织履约验收工作。</w:t>
      </w:r>
    </w:p>
    <w:p w14:paraId="7465E4C5">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11.2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6A351016">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11.3 对于实际使用人和甲方分离的项目，甲方邀请实际使用人参与验收。</w:t>
      </w:r>
    </w:p>
    <w:p w14:paraId="1B0362BE">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11.4 如有必要，甲方邀请参加本项目的其他供应商或第三方专业机构及专家参与验收，相关意见将作为验收书的参考资料。</w:t>
      </w:r>
    </w:p>
    <w:p w14:paraId="2C5DD5B9">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11.5 甲方成立验收小组，按照采购合同的约定对乙方的履约情况进行验收。验收时间、验收标准见招标文件验收内容。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4B1B51D7">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cs="Courier New"/>
          <w:color w:val="auto"/>
          <w:sz w:val="24"/>
          <w:szCs w:val="24"/>
          <w:highlight w:val="none"/>
        </w:rPr>
      </w:pPr>
      <w:r>
        <w:rPr>
          <w:rFonts w:hint="eastAsia" w:ascii="宋体" w:hAnsi="宋体" w:cs="Courier New"/>
          <w:color w:val="auto"/>
          <w:sz w:val="24"/>
          <w:szCs w:val="24"/>
          <w:highlight w:val="none"/>
        </w:rPr>
        <w:t>11.6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066E9E62">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十</w:t>
      </w:r>
      <w:r>
        <w:rPr>
          <w:rFonts w:hint="eastAsia" w:ascii="宋体" w:hAnsi="宋体" w:cs="Courier New"/>
          <w:b/>
          <w:color w:val="auto"/>
          <w:sz w:val="24"/>
          <w:szCs w:val="24"/>
          <w:highlight w:val="none"/>
        </w:rPr>
        <w:t>二</w:t>
      </w:r>
      <w:r>
        <w:rPr>
          <w:rFonts w:ascii="宋体" w:hAnsi="宋体" w:cs="Courier New"/>
          <w:b/>
          <w:color w:val="auto"/>
          <w:sz w:val="24"/>
          <w:szCs w:val="24"/>
          <w:highlight w:val="none"/>
        </w:rPr>
        <w:t>、货物</w:t>
      </w:r>
      <w:r>
        <w:rPr>
          <w:rFonts w:hint="eastAsia" w:ascii="宋体" w:hAnsi="宋体" w:cs="Courier New"/>
          <w:b/>
          <w:color w:val="auto"/>
          <w:sz w:val="24"/>
          <w:szCs w:val="24"/>
          <w:highlight w:val="none"/>
        </w:rPr>
        <w:t>的</w:t>
      </w:r>
      <w:r>
        <w:rPr>
          <w:rFonts w:ascii="宋体" w:hAnsi="宋体" w:cs="Courier New"/>
          <w:b/>
          <w:color w:val="auto"/>
          <w:sz w:val="24"/>
          <w:szCs w:val="24"/>
          <w:highlight w:val="none"/>
        </w:rPr>
        <w:t>包装、发运及运输</w:t>
      </w:r>
    </w:p>
    <w:p w14:paraId="5C88042F">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2</w:t>
      </w:r>
      <w:r>
        <w:rPr>
          <w:rFonts w:ascii="宋体" w:hAnsi="宋体" w:cs="Courier New"/>
          <w:color w:val="auto"/>
          <w:sz w:val="24"/>
          <w:szCs w:val="24"/>
          <w:highlight w:val="none"/>
        </w:rPr>
        <w:t>.1 乙方应在货物发运前对其进行满足运输距离、防潮、防震、防锈和防破损装卸等要求包装，以保证货物安全运达甲方指定地点。</w:t>
      </w:r>
      <w:r>
        <w:rPr>
          <w:rFonts w:hint="eastAsia" w:ascii="宋体" w:hAnsi="宋体"/>
          <w:color w:val="auto"/>
          <w:sz w:val="24"/>
          <w:szCs w:val="24"/>
          <w:highlight w:val="none"/>
        </w:rPr>
        <w:t>乙方对货物的包装应符合《商品包装政府采购需求标准（试行）》、《快递包装政府采购需求标准（试行）》的规定。</w:t>
      </w:r>
    </w:p>
    <w:p w14:paraId="2AB92466">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2</w:t>
      </w:r>
      <w:r>
        <w:rPr>
          <w:rFonts w:ascii="宋体" w:hAnsi="宋体" w:cs="Courier New"/>
          <w:color w:val="auto"/>
          <w:sz w:val="24"/>
          <w:szCs w:val="24"/>
          <w:highlight w:val="none"/>
        </w:rPr>
        <w:t>.2 使用说明书、质量检验证明书、随配附件和工具以及清单一并附于货物内。</w:t>
      </w:r>
    </w:p>
    <w:p w14:paraId="03DDC8CC">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2</w:t>
      </w:r>
      <w:r>
        <w:rPr>
          <w:rFonts w:ascii="宋体" w:hAnsi="宋体" w:cs="Courier New"/>
          <w:color w:val="auto"/>
          <w:sz w:val="24"/>
          <w:szCs w:val="24"/>
          <w:highlight w:val="none"/>
        </w:rPr>
        <w:t>.3 乙方在货物发运手续办理完毕后24小时内或货到甲方48小时前通知甲方，以准备接货。</w:t>
      </w:r>
    </w:p>
    <w:p w14:paraId="43A224CD">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2</w:t>
      </w:r>
      <w:r>
        <w:rPr>
          <w:rFonts w:ascii="宋体" w:hAnsi="宋体" w:cs="Courier New"/>
          <w:color w:val="auto"/>
          <w:sz w:val="24"/>
          <w:szCs w:val="24"/>
          <w:highlight w:val="none"/>
        </w:rPr>
        <w:t>.4 货物在交付甲方前发生的风险均由乙方负责。</w:t>
      </w:r>
    </w:p>
    <w:p w14:paraId="5B09B6B5">
      <w:pPr>
        <w:keepLines w:val="0"/>
        <w:pageBreakBefore w:val="0"/>
        <w:widowControl w:val="0"/>
        <w:kinsoku/>
        <w:wordWrap/>
        <w:overflowPunct/>
        <w:topLinePunct w:val="0"/>
        <w:autoSpaceDE/>
        <w:autoSpaceDN/>
        <w:bidi w:val="0"/>
        <w:adjustRightInd/>
        <w:snapToGrid w:val="0"/>
        <w:spacing w:before="156" w:after="156" w:line="440" w:lineRule="exact"/>
        <w:ind w:left="480" w:right="26"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2</w:t>
      </w:r>
      <w:r>
        <w:rPr>
          <w:rFonts w:ascii="宋体" w:hAnsi="宋体" w:cs="Courier New"/>
          <w:color w:val="auto"/>
          <w:sz w:val="24"/>
          <w:szCs w:val="24"/>
          <w:highlight w:val="none"/>
        </w:rPr>
        <w:t>.5 货物在规定的交付期限内由乙方送达甲方指定的地点视为交付，乙方同时需通知甲方货物已送达。</w:t>
      </w:r>
    </w:p>
    <w:p w14:paraId="6E666A30">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十</w:t>
      </w:r>
      <w:r>
        <w:rPr>
          <w:rFonts w:hint="eastAsia" w:ascii="宋体" w:hAnsi="宋体" w:cs="Courier New"/>
          <w:b/>
          <w:color w:val="auto"/>
          <w:sz w:val="24"/>
          <w:szCs w:val="24"/>
          <w:highlight w:val="none"/>
        </w:rPr>
        <w:t>三</w:t>
      </w:r>
      <w:r>
        <w:rPr>
          <w:rFonts w:ascii="宋体" w:hAnsi="宋体" w:cs="Courier New"/>
          <w:b/>
          <w:color w:val="auto"/>
          <w:sz w:val="24"/>
          <w:szCs w:val="24"/>
          <w:highlight w:val="none"/>
        </w:rPr>
        <w:t>、违约责任</w:t>
      </w:r>
    </w:p>
    <w:p w14:paraId="4A2BEB4B">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3</w:t>
      </w:r>
      <w:r>
        <w:rPr>
          <w:rFonts w:ascii="宋体" w:hAnsi="宋体" w:cs="Courier New"/>
          <w:color w:val="auto"/>
          <w:sz w:val="24"/>
          <w:szCs w:val="24"/>
          <w:highlight w:val="none"/>
        </w:rPr>
        <w:t>.1 甲方无正当理由拒收货物的，甲方向乙方偿付拒收货款总值</w:t>
      </w:r>
      <w:r>
        <w:rPr>
          <w:rFonts w:hint="eastAsia" w:ascii="宋体" w:hAnsi="宋体" w:cs="Courier New"/>
          <w:color w:val="auto"/>
          <w:sz w:val="24"/>
          <w:szCs w:val="24"/>
          <w:highlight w:val="none"/>
          <w:u w:val="single"/>
        </w:rPr>
        <w:t>每日万分之五</w:t>
      </w:r>
      <w:r>
        <w:rPr>
          <w:rFonts w:ascii="宋体" w:hAnsi="宋体" w:cs="Courier New"/>
          <w:color w:val="auto"/>
          <w:sz w:val="24"/>
          <w:szCs w:val="24"/>
          <w:highlight w:val="none"/>
        </w:rPr>
        <w:t>的违约金。</w:t>
      </w:r>
    </w:p>
    <w:p w14:paraId="6C38A410">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3</w:t>
      </w:r>
      <w:r>
        <w:rPr>
          <w:rFonts w:ascii="宋体" w:hAnsi="宋体" w:cs="Courier New"/>
          <w:color w:val="auto"/>
          <w:sz w:val="24"/>
          <w:szCs w:val="24"/>
          <w:highlight w:val="none"/>
        </w:rPr>
        <w:t>.2 甲方无故逾期验收和办理货款支付手续的,甲方应按逾期付款总额</w:t>
      </w:r>
      <w:r>
        <w:rPr>
          <w:rFonts w:hint="eastAsia" w:ascii="宋体" w:hAnsi="宋体" w:cs="Courier New"/>
          <w:color w:val="auto"/>
          <w:sz w:val="24"/>
          <w:szCs w:val="24"/>
          <w:highlight w:val="none"/>
        </w:rPr>
        <w:t>每日万分之五</w:t>
      </w:r>
      <w:r>
        <w:rPr>
          <w:rFonts w:ascii="宋体" w:hAnsi="宋体" w:cs="Courier New"/>
          <w:color w:val="auto"/>
          <w:sz w:val="24"/>
          <w:szCs w:val="24"/>
          <w:highlight w:val="none"/>
        </w:rPr>
        <w:t>向乙方支付违约金。</w:t>
      </w:r>
    </w:p>
    <w:p w14:paraId="03990D87">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3</w:t>
      </w:r>
      <w:r>
        <w:rPr>
          <w:rFonts w:ascii="宋体" w:hAnsi="宋体" w:cs="Courier New"/>
          <w:color w:val="auto"/>
          <w:sz w:val="24"/>
          <w:szCs w:val="24"/>
          <w:highlight w:val="none"/>
        </w:rPr>
        <w:t>.3 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w:t>
      </w:r>
      <w:r>
        <w:rPr>
          <w:rFonts w:hint="eastAsia" w:ascii="宋体" w:hAnsi="宋体" w:cs="Courier New"/>
          <w:color w:val="auto"/>
          <w:sz w:val="24"/>
          <w:szCs w:val="24"/>
          <w:highlight w:val="none"/>
          <w:u w:val="single"/>
        </w:rPr>
        <w:t xml:space="preserve"> </w:t>
      </w:r>
      <w:r>
        <w:rPr>
          <w:rFonts w:hint="eastAsia" w:ascii="宋体" w:hAnsi="宋体" w:cs="Courier New"/>
          <w:color w:val="auto"/>
          <w:sz w:val="24"/>
          <w:szCs w:val="24"/>
          <w:highlight w:val="none"/>
          <w:u w:val="single"/>
          <w:lang w:val="en-US" w:eastAsia="zh-CN"/>
        </w:rPr>
        <w:t>2%</w:t>
      </w:r>
      <w:r>
        <w:rPr>
          <w:rFonts w:hint="eastAsia" w:ascii="宋体" w:hAnsi="宋体" w:cs="Courier New"/>
          <w:color w:val="auto"/>
          <w:sz w:val="24"/>
          <w:szCs w:val="24"/>
          <w:highlight w:val="none"/>
          <w:u w:val="single"/>
        </w:rPr>
        <w:t xml:space="preserve"> </w:t>
      </w:r>
      <w:r>
        <w:rPr>
          <w:rFonts w:ascii="宋体" w:hAnsi="宋体" w:cs="Courier New"/>
          <w:color w:val="auto"/>
          <w:sz w:val="24"/>
          <w:szCs w:val="24"/>
          <w:highlight w:val="none"/>
        </w:rPr>
        <w:t xml:space="preserve">的违约金，如造成甲方损失超过违约金的，超出部分由乙方继续承担赔偿责任。 </w:t>
      </w:r>
    </w:p>
    <w:p w14:paraId="7B96F54D">
      <w:pPr>
        <w:keepLines w:val="0"/>
        <w:pageBreakBefore w:val="0"/>
        <w:widowControl w:val="0"/>
        <w:kinsoku/>
        <w:wordWrap/>
        <w:overflowPunct/>
        <w:topLinePunct w:val="0"/>
        <w:autoSpaceDE/>
        <w:autoSpaceDN/>
        <w:bidi w:val="0"/>
        <w:adjustRightInd/>
        <w:snapToGrid w:val="0"/>
        <w:spacing w:before="120" w:after="120" w:line="440" w:lineRule="exact"/>
        <w:ind w:left="410" w:hanging="410" w:hangingChars="171"/>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3</w:t>
      </w:r>
      <w:r>
        <w:rPr>
          <w:rFonts w:ascii="宋体" w:hAnsi="宋体" w:cs="Courier New"/>
          <w:color w:val="auto"/>
          <w:sz w:val="24"/>
          <w:szCs w:val="24"/>
          <w:highlight w:val="none"/>
        </w:rPr>
        <w:t>.4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3EE34108">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十</w:t>
      </w:r>
      <w:r>
        <w:rPr>
          <w:rFonts w:hint="eastAsia" w:ascii="宋体" w:hAnsi="宋体" w:cs="Courier New"/>
          <w:b/>
          <w:color w:val="auto"/>
          <w:sz w:val="24"/>
          <w:szCs w:val="24"/>
          <w:highlight w:val="none"/>
        </w:rPr>
        <w:t>四</w:t>
      </w:r>
      <w:r>
        <w:rPr>
          <w:rFonts w:ascii="宋体" w:hAnsi="宋体" w:cs="Courier New"/>
          <w:b/>
          <w:color w:val="auto"/>
          <w:sz w:val="24"/>
          <w:szCs w:val="24"/>
          <w:highlight w:val="none"/>
        </w:rPr>
        <w:t>、不可抗力事件处理</w:t>
      </w:r>
    </w:p>
    <w:p w14:paraId="20115CF6">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4</w:t>
      </w:r>
      <w:r>
        <w:rPr>
          <w:rFonts w:ascii="宋体" w:hAnsi="宋体" w:cs="Courier New"/>
          <w:color w:val="auto"/>
          <w:sz w:val="24"/>
          <w:szCs w:val="24"/>
          <w:highlight w:val="none"/>
        </w:rPr>
        <w:t>.1 在合同有效期内，任何一方因不可抗力事件导致不能履行合同，则合同履行期可延长，其延长期与不可抗力影响期相同。</w:t>
      </w:r>
    </w:p>
    <w:p w14:paraId="007E0B25">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4</w:t>
      </w:r>
      <w:r>
        <w:rPr>
          <w:rFonts w:ascii="宋体" w:hAnsi="宋体" w:cs="Courier New"/>
          <w:color w:val="auto"/>
          <w:sz w:val="24"/>
          <w:szCs w:val="24"/>
          <w:highlight w:val="none"/>
        </w:rPr>
        <w:t>.2 不可抗力事件发生后，应立即通知对方，并寄送有关权威机构出具的证明。</w:t>
      </w:r>
    </w:p>
    <w:p w14:paraId="4E4BBA75">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4</w:t>
      </w:r>
      <w:r>
        <w:rPr>
          <w:rFonts w:ascii="宋体" w:hAnsi="宋体" w:cs="Courier New"/>
          <w:color w:val="auto"/>
          <w:sz w:val="24"/>
          <w:szCs w:val="24"/>
          <w:highlight w:val="none"/>
        </w:rPr>
        <w:t>.3 不可抗力事件延续120天以上，双方应通过友好协商，确定是否继续履行合同。</w:t>
      </w:r>
    </w:p>
    <w:p w14:paraId="7D15E988">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十</w:t>
      </w:r>
      <w:r>
        <w:rPr>
          <w:rFonts w:hint="eastAsia" w:ascii="宋体" w:hAnsi="宋体" w:cs="Courier New"/>
          <w:b/>
          <w:color w:val="auto"/>
          <w:sz w:val="24"/>
          <w:szCs w:val="24"/>
          <w:highlight w:val="none"/>
        </w:rPr>
        <w:t>五</w:t>
      </w:r>
      <w:r>
        <w:rPr>
          <w:rFonts w:ascii="宋体" w:hAnsi="宋体" w:cs="Courier New"/>
          <w:b/>
          <w:color w:val="auto"/>
          <w:sz w:val="24"/>
          <w:szCs w:val="24"/>
          <w:highlight w:val="none"/>
        </w:rPr>
        <w:t>、</w:t>
      </w:r>
      <w:r>
        <w:rPr>
          <w:rFonts w:hint="eastAsia" w:ascii="宋体" w:hAnsi="宋体" w:cs="Courier New"/>
          <w:b/>
          <w:color w:val="auto"/>
          <w:sz w:val="24"/>
          <w:szCs w:val="24"/>
          <w:highlight w:val="none"/>
        </w:rPr>
        <w:t>解决争议的方法</w:t>
      </w:r>
    </w:p>
    <w:p w14:paraId="35A56773">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hint="eastAsia"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5</w:t>
      </w:r>
      <w:r>
        <w:rPr>
          <w:rFonts w:ascii="宋体" w:hAnsi="宋体" w:cs="Courier New"/>
          <w:color w:val="auto"/>
          <w:sz w:val="24"/>
          <w:szCs w:val="24"/>
          <w:highlight w:val="none"/>
        </w:rPr>
        <w:t>.1</w:t>
      </w:r>
      <w:r>
        <w:rPr>
          <w:rFonts w:hint="eastAsia" w:ascii="宋体" w:hAnsi="宋体" w:cs="Courier New"/>
          <w:color w:val="auto"/>
          <w:sz w:val="24"/>
          <w:szCs w:val="24"/>
          <w:highlight w:val="none"/>
        </w:rPr>
        <w:t>甲乙</w:t>
      </w:r>
      <w:r>
        <w:rPr>
          <w:rFonts w:ascii="宋体" w:hAnsi="宋体" w:cs="Courier New"/>
          <w:color w:val="auto"/>
          <w:sz w:val="24"/>
          <w:szCs w:val="24"/>
          <w:highlight w:val="none"/>
        </w:rPr>
        <w:t>双方</w:t>
      </w:r>
      <w:r>
        <w:rPr>
          <w:rFonts w:hint="eastAsia" w:ascii="宋体" w:hAnsi="宋体" w:cs="Courier New"/>
          <w:color w:val="auto"/>
          <w:sz w:val="24"/>
          <w:szCs w:val="24"/>
          <w:highlight w:val="none"/>
        </w:rPr>
        <w:t>因</w:t>
      </w:r>
      <w:r>
        <w:rPr>
          <w:rFonts w:ascii="宋体" w:hAnsi="宋体" w:cs="Courier New"/>
          <w:color w:val="auto"/>
          <w:sz w:val="24"/>
          <w:szCs w:val="24"/>
          <w:highlight w:val="none"/>
        </w:rPr>
        <w:t>合同</w:t>
      </w:r>
      <w:r>
        <w:rPr>
          <w:rFonts w:hint="eastAsia" w:ascii="宋体" w:hAnsi="宋体" w:cs="Courier New"/>
          <w:color w:val="auto"/>
          <w:sz w:val="24"/>
          <w:szCs w:val="24"/>
          <w:highlight w:val="none"/>
        </w:rPr>
        <w:t>签订、履行而</w:t>
      </w:r>
      <w:r>
        <w:rPr>
          <w:rFonts w:ascii="宋体" w:hAnsi="宋体" w:cs="Courier New"/>
          <w:color w:val="auto"/>
          <w:sz w:val="24"/>
          <w:szCs w:val="24"/>
          <w:highlight w:val="none"/>
        </w:rPr>
        <w:t>发生的一切争议，应通过</w:t>
      </w:r>
      <w:r>
        <w:rPr>
          <w:rFonts w:hint="eastAsia" w:ascii="宋体" w:hAnsi="宋体" w:cs="Courier New"/>
          <w:color w:val="auto"/>
          <w:sz w:val="24"/>
          <w:szCs w:val="24"/>
          <w:highlight w:val="none"/>
        </w:rPr>
        <w:t>友好</w:t>
      </w:r>
      <w:r>
        <w:rPr>
          <w:rFonts w:ascii="宋体" w:hAnsi="宋体" w:cs="Courier New"/>
          <w:color w:val="auto"/>
          <w:sz w:val="24"/>
          <w:szCs w:val="24"/>
          <w:highlight w:val="none"/>
        </w:rPr>
        <w:t>协商解决。如协商不成</w:t>
      </w:r>
      <w:r>
        <w:rPr>
          <w:rFonts w:hint="eastAsia" w:ascii="宋体" w:hAnsi="宋体" w:cs="Courier New"/>
          <w:color w:val="auto"/>
          <w:sz w:val="24"/>
          <w:szCs w:val="24"/>
          <w:highlight w:val="none"/>
        </w:rPr>
        <w:t>由甲方住所地人民</w:t>
      </w:r>
      <w:r>
        <w:rPr>
          <w:rFonts w:ascii="宋体" w:hAnsi="宋体" w:cs="Courier New"/>
          <w:color w:val="auto"/>
          <w:sz w:val="24"/>
          <w:szCs w:val="24"/>
          <w:highlight w:val="none"/>
        </w:rPr>
        <w:t>法院</w:t>
      </w:r>
      <w:r>
        <w:rPr>
          <w:rFonts w:hint="eastAsia" w:ascii="宋体" w:hAnsi="宋体" w:cs="Courier New"/>
          <w:color w:val="auto"/>
          <w:sz w:val="24"/>
          <w:szCs w:val="24"/>
          <w:highlight w:val="none"/>
        </w:rPr>
        <w:t>管辖。</w:t>
      </w:r>
    </w:p>
    <w:p w14:paraId="271A7021">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b/>
          <w:color w:val="auto"/>
          <w:sz w:val="24"/>
          <w:szCs w:val="24"/>
          <w:highlight w:val="none"/>
        </w:rPr>
      </w:pPr>
      <w:r>
        <w:rPr>
          <w:rFonts w:ascii="宋体" w:hAnsi="宋体" w:cs="Courier New"/>
          <w:b/>
          <w:color w:val="auto"/>
          <w:sz w:val="24"/>
          <w:szCs w:val="24"/>
          <w:highlight w:val="none"/>
        </w:rPr>
        <w:t>十</w:t>
      </w:r>
      <w:r>
        <w:rPr>
          <w:rFonts w:hint="eastAsia" w:ascii="宋体" w:hAnsi="宋体" w:cs="Courier New"/>
          <w:b/>
          <w:color w:val="auto"/>
          <w:sz w:val="24"/>
          <w:szCs w:val="24"/>
          <w:highlight w:val="none"/>
        </w:rPr>
        <w:t>六</w:t>
      </w:r>
      <w:r>
        <w:rPr>
          <w:rFonts w:ascii="宋体" w:hAnsi="宋体" w:cs="Courier New"/>
          <w:b/>
          <w:color w:val="auto"/>
          <w:sz w:val="24"/>
          <w:szCs w:val="24"/>
          <w:highlight w:val="none"/>
        </w:rPr>
        <w:t>、合同生效及其它</w:t>
      </w:r>
    </w:p>
    <w:p w14:paraId="4A292D03">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6</w:t>
      </w:r>
      <w:r>
        <w:rPr>
          <w:rFonts w:ascii="宋体" w:hAnsi="宋体" w:cs="Courier New"/>
          <w:color w:val="auto"/>
          <w:sz w:val="24"/>
          <w:szCs w:val="24"/>
          <w:highlight w:val="none"/>
        </w:rPr>
        <w:t>.1 合同经双方法定代表人或授权委托代</w:t>
      </w:r>
      <w:r>
        <w:rPr>
          <w:rFonts w:hint="eastAsia" w:ascii="宋体" w:hAnsi="宋体" w:cs="Courier New"/>
          <w:color w:val="auto"/>
          <w:sz w:val="24"/>
          <w:szCs w:val="24"/>
          <w:highlight w:val="none"/>
        </w:rPr>
        <w:t>表</w:t>
      </w:r>
      <w:r>
        <w:rPr>
          <w:rFonts w:ascii="宋体" w:hAnsi="宋体" w:cs="Courier New"/>
          <w:color w:val="auto"/>
          <w:sz w:val="24"/>
          <w:szCs w:val="24"/>
          <w:highlight w:val="none"/>
        </w:rPr>
        <w:t>人签字并加盖单位公章后生效。</w:t>
      </w:r>
    </w:p>
    <w:p w14:paraId="1C0B13E3">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6</w:t>
      </w:r>
      <w:r>
        <w:rPr>
          <w:rFonts w:ascii="宋体" w:hAnsi="宋体" w:cs="Courier New"/>
          <w:color w:val="auto"/>
          <w:sz w:val="24"/>
          <w:szCs w:val="24"/>
          <w:highlight w:val="none"/>
        </w:rPr>
        <w:t>.2本合同未尽事宜，遵照</w:t>
      </w:r>
      <w:r>
        <w:rPr>
          <w:rFonts w:hint="eastAsia" w:ascii="宋体" w:hAnsi="宋体" w:cs="Courier New"/>
          <w:color w:val="auto"/>
          <w:sz w:val="24"/>
          <w:szCs w:val="24"/>
          <w:highlight w:val="none"/>
        </w:rPr>
        <w:t>《民法典》、《政府采购法》</w:t>
      </w:r>
      <w:r>
        <w:rPr>
          <w:rFonts w:ascii="宋体" w:hAnsi="宋体" w:cs="Courier New"/>
          <w:color w:val="auto"/>
          <w:sz w:val="24"/>
          <w:szCs w:val="24"/>
          <w:highlight w:val="none"/>
        </w:rPr>
        <w:t>有关条文执行。</w:t>
      </w:r>
    </w:p>
    <w:p w14:paraId="09691EDA">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ascii="宋体" w:hAnsi="宋体" w:cs="Courier New"/>
          <w:color w:val="auto"/>
          <w:sz w:val="24"/>
          <w:szCs w:val="24"/>
          <w:highlight w:val="none"/>
        </w:rPr>
      </w:pPr>
      <w:r>
        <w:rPr>
          <w:rFonts w:ascii="宋体" w:hAnsi="宋体" w:cs="Courier New"/>
          <w:color w:val="auto"/>
          <w:sz w:val="24"/>
          <w:szCs w:val="24"/>
          <w:highlight w:val="none"/>
        </w:rPr>
        <w:t>1</w:t>
      </w:r>
      <w:r>
        <w:rPr>
          <w:rFonts w:hint="eastAsia" w:ascii="宋体" w:hAnsi="宋体" w:cs="Courier New"/>
          <w:color w:val="auto"/>
          <w:sz w:val="24"/>
          <w:szCs w:val="24"/>
          <w:highlight w:val="none"/>
        </w:rPr>
        <w:t>6</w:t>
      </w:r>
      <w:r>
        <w:rPr>
          <w:rFonts w:ascii="宋体" w:hAnsi="宋体" w:cs="Courier New"/>
          <w:color w:val="auto"/>
          <w:sz w:val="24"/>
          <w:szCs w:val="24"/>
          <w:highlight w:val="none"/>
        </w:rPr>
        <w:t>.</w:t>
      </w:r>
      <w:r>
        <w:rPr>
          <w:rFonts w:hint="eastAsia" w:ascii="宋体" w:hAnsi="宋体" w:cs="Courier New"/>
          <w:color w:val="auto"/>
          <w:sz w:val="24"/>
          <w:szCs w:val="24"/>
          <w:highlight w:val="none"/>
        </w:rPr>
        <w:t>3</w:t>
      </w:r>
      <w:r>
        <w:rPr>
          <w:rFonts w:ascii="宋体" w:hAnsi="宋体" w:cs="Courier New"/>
          <w:color w:val="auto"/>
          <w:sz w:val="24"/>
          <w:szCs w:val="24"/>
          <w:highlight w:val="none"/>
        </w:rPr>
        <w:t xml:space="preserve"> 本合同正本一式</w:t>
      </w:r>
      <w:r>
        <w:rPr>
          <w:rFonts w:hint="eastAsia" w:ascii="宋体" w:hAnsi="宋体" w:cs="Courier New"/>
          <w:color w:val="auto"/>
          <w:sz w:val="24"/>
          <w:szCs w:val="24"/>
          <w:highlight w:val="none"/>
        </w:rPr>
        <w:t>两</w:t>
      </w:r>
      <w:r>
        <w:rPr>
          <w:rFonts w:ascii="宋体" w:hAnsi="宋体" w:cs="Courier New"/>
          <w:color w:val="auto"/>
          <w:sz w:val="24"/>
          <w:szCs w:val="24"/>
          <w:highlight w:val="none"/>
        </w:rPr>
        <w:t>份，具有同等法律效力，甲</w:t>
      </w:r>
      <w:r>
        <w:rPr>
          <w:rFonts w:hint="eastAsia" w:ascii="宋体" w:hAnsi="宋体" w:cs="Courier New"/>
          <w:color w:val="auto"/>
          <w:sz w:val="24"/>
          <w:szCs w:val="24"/>
          <w:highlight w:val="none"/>
        </w:rPr>
        <w:t>方、</w:t>
      </w:r>
      <w:r>
        <w:rPr>
          <w:rFonts w:ascii="宋体" w:hAnsi="宋体" w:cs="Courier New"/>
          <w:color w:val="auto"/>
          <w:sz w:val="24"/>
          <w:szCs w:val="24"/>
          <w:highlight w:val="none"/>
        </w:rPr>
        <w:t>乙方各执一份。</w:t>
      </w:r>
    </w:p>
    <w:p w14:paraId="0CDD6F73">
      <w:pPr>
        <w:keepLines w:val="0"/>
        <w:pageBreakBefore w:val="0"/>
        <w:widowControl w:val="0"/>
        <w:kinsoku/>
        <w:wordWrap/>
        <w:overflowPunct/>
        <w:topLinePunct w:val="0"/>
        <w:autoSpaceDE/>
        <w:autoSpaceDN/>
        <w:bidi w:val="0"/>
        <w:adjustRightInd/>
        <w:snapToGrid w:val="0"/>
        <w:spacing w:before="120" w:after="120" w:line="440" w:lineRule="exact"/>
        <w:ind w:left="480" w:hanging="480" w:hangingChars="200"/>
        <w:textAlignment w:val="auto"/>
        <w:rPr>
          <w:rFonts w:hint="default" w:ascii="宋体" w:hAnsi="宋体" w:eastAsia="宋体" w:cs="Courier New"/>
          <w:color w:val="auto"/>
          <w:sz w:val="24"/>
          <w:szCs w:val="24"/>
          <w:highlight w:val="none"/>
          <w:lang w:val="en-US" w:eastAsia="zh-CN"/>
        </w:rPr>
      </w:pPr>
      <w:r>
        <w:rPr>
          <w:rFonts w:ascii="宋体" w:hAnsi="宋体" w:cs="Courier New"/>
          <w:color w:val="auto"/>
          <w:sz w:val="24"/>
          <w:szCs w:val="24"/>
          <w:highlight w:val="none"/>
        </w:rPr>
        <w:t xml:space="preserve">  甲方：                        乙方： </w:t>
      </w:r>
      <w:r>
        <w:rPr>
          <w:rFonts w:hint="eastAsia" w:ascii="宋体" w:hAnsi="宋体" w:eastAsia="宋体" w:cs="Courier New"/>
          <w:color w:val="auto"/>
          <w:sz w:val="24"/>
          <w:szCs w:val="24"/>
          <w:highlight w:val="none"/>
          <w:lang w:val="en-US" w:eastAsia="zh-CN"/>
        </w:rPr>
        <w:t>中移系统集成有限公司</w:t>
      </w:r>
    </w:p>
    <w:p w14:paraId="149FF9E6">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hint="eastAsia" w:ascii="宋体" w:hAnsi="宋体" w:eastAsia="宋体" w:cs="Courier New"/>
          <w:color w:val="auto"/>
          <w:sz w:val="24"/>
          <w:szCs w:val="24"/>
          <w:highlight w:val="none"/>
          <w:lang w:val="en-US" w:eastAsia="zh-CN"/>
        </w:rPr>
      </w:pPr>
      <w:r>
        <w:rPr>
          <w:rFonts w:ascii="宋体" w:hAnsi="宋体" w:cs="Courier New"/>
          <w:color w:val="auto"/>
          <w:sz w:val="24"/>
          <w:szCs w:val="24"/>
          <w:highlight w:val="none"/>
        </w:rPr>
        <w:t xml:space="preserve">  地址：                       </w:t>
      </w:r>
      <w:r>
        <w:rPr>
          <w:rFonts w:hint="eastAsia" w:ascii="宋体" w:hAnsi="宋体" w:cs="Courier New"/>
          <w:color w:val="auto"/>
          <w:sz w:val="24"/>
          <w:szCs w:val="24"/>
          <w:highlight w:val="none"/>
        </w:rPr>
        <w:t xml:space="preserve"> </w:t>
      </w:r>
      <w:r>
        <w:rPr>
          <w:rFonts w:ascii="宋体" w:hAnsi="宋体" w:cs="Courier New"/>
          <w:color w:val="auto"/>
          <w:sz w:val="24"/>
          <w:szCs w:val="24"/>
          <w:highlight w:val="none"/>
        </w:rPr>
        <w:t>地址：</w:t>
      </w:r>
      <w:r>
        <w:rPr>
          <w:rFonts w:hint="eastAsia" w:ascii="宋体" w:hAnsi="宋体" w:eastAsia="宋体" w:cs="Courier New"/>
          <w:color w:val="auto"/>
          <w:sz w:val="24"/>
          <w:szCs w:val="24"/>
          <w:highlight w:val="none"/>
          <w:lang w:val="en-US" w:eastAsia="zh-CN"/>
        </w:rPr>
        <w:t xml:space="preserve"> 石家庄青园街220号</w:t>
      </w:r>
    </w:p>
    <w:p w14:paraId="1F0A3D28">
      <w:pPr>
        <w:keepLines w:val="0"/>
        <w:pageBreakBefore w:val="0"/>
        <w:widowControl w:val="0"/>
        <w:kinsoku/>
        <w:wordWrap/>
        <w:overflowPunct/>
        <w:topLinePunct w:val="0"/>
        <w:autoSpaceDE/>
        <w:autoSpaceDN/>
        <w:bidi w:val="0"/>
        <w:adjustRightInd/>
        <w:snapToGrid w:val="0"/>
        <w:spacing w:before="120" w:after="120" w:line="440" w:lineRule="exact"/>
        <w:textAlignment w:val="auto"/>
        <w:rPr>
          <w:rFonts w:ascii="宋体" w:hAnsi="宋体" w:cs="Courier New"/>
          <w:color w:val="auto"/>
          <w:sz w:val="24"/>
          <w:szCs w:val="24"/>
          <w:highlight w:val="none"/>
        </w:rPr>
      </w:pPr>
      <w:r>
        <w:rPr>
          <w:rFonts w:ascii="宋体" w:hAnsi="宋体" w:cs="Courier New"/>
          <w:color w:val="auto"/>
          <w:sz w:val="24"/>
          <w:szCs w:val="24"/>
          <w:highlight w:val="none"/>
        </w:rPr>
        <w:t xml:space="preserve">  法定代表人</w:t>
      </w:r>
      <w:r>
        <w:rPr>
          <w:rFonts w:hint="eastAsia" w:ascii="宋体" w:hAnsi="宋体" w:cs="Courier New"/>
          <w:color w:val="auto"/>
          <w:sz w:val="24"/>
          <w:szCs w:val="24"/>
          <w:highlight w:val="none"/>
        </w:rPr>
        <w:t>或授权代表</w:t>
      </w:r>
      <w:r>
        <w:rPr>
          <w:rFonts w:ascii="宋体" w:hAnsi="宋体" w:cs="Courier New"/>
          <w:color w:val="auto"/>
          <w:sz w:val="24"/>
          <w:szCs w:val="24"/>
          <w:highlight w:val="none"/>
        </w:rPr>
        <w:t>：        法定代表人</w:t>
      </w:r>
      <w:r>
        <w:rPr>
          <w:rFonts w:hint="eastAsia" w:ascii="宋体" w:hAnsi="宋体" w:cs="Courier New"/>
          <w:color w:val="auto"/>
          <w:sz w:val="24"/>
          <w:szCs w:val="24"/>
          <w:highlight w:val="none"/>
        </w:rPr>
        <w:t>或授权代表</w:t>
      </w:r>
      <w:r>
        <w:rPr>
          <w:rFonts w:ascii="宋体" w:hAnsi="宋体" w:cs="Courier New"/>
          <w:color w:val="auto"/>
          <w:sz w:val="24"/>
          <w:szCs w:val="24"/>
          <w:highlight w:val="none"/>
        </w:rPr>
        <w:t>：</w:t>
      </w:r>
    </w:p>
    <w:p w14:paraId="5F4DCE4C">
      <w:pPr>
        <w:keepLines w:val="0"/>
        <w:pageBreakBefore w:val="0"/>
        <w:widowControl w:val="0"/>
        <w:kinsoku/>
        <w:wordWrap/>
        <w:overflowPunct/>
        <w:topLinePunct w:val="0"/>
        <w:autoSpaceDE/>
        <w:autoSpaceDN/>
        <w:bidi w:val="0"/>
        <w:adjustRightInd/>
        <w:snapToGrid w:val="0"/>
        <w:spacing w:before="120" w:after="120" w:line="440" w:lineRule="exact"/>
        <w:ind w:firstLine="240" w:firstLineChars="100"/>
        <w:textAlignment w:val="auto"/>
        <w:rPr>
          <w:rFonts w:hint="eastAsia" w:ascii="宋体" w:hAnsi="Courier New" w:cs="Courier New"/>
          <w:color w:val="auto"/>
          <w:highlight w:val="none"/>
        </w:rPr>
      </w:pPr>
      <w:r>
        <w:rPr>
          <w:rFonts w:hint="eastAsia" w:ascii="宋体" w:hAnsi="宋体" w:cs="Courier New"/>
          <w:color w:val="auto"/>
          <w:sz w:val="24"/>
          <w:szCs w:val="24"/>
          <w:highlight w:val="none"/>
        </w:rPr>
        <w:t xml:space="preserve">联系电话：                    联系电话：80998630          </w:t>
      </w:r>
    </w:p>
    <w:p w14:paraId="087BDEED">
      <w:pPr>
        <w:keepLines w:val="0"/>
        <w:pageBreakBefore w:val="0"/>
        <w:widowControl w:val="0"/>
        <w:kinsoku/>
        <w:wordWrap/>
        <w:overflowPunct/>
        <w:topLinePunct w:val="0"/>
        <w:autoSpaceDE/>
        <w:autoSpaceDN/>
        <w:bidi w:val="0"/>
        <w:adjustRightInd/>
        <w:snapToGrid w:val="0"/>
        <w:spacing w:before="120" w:after="120" w:line="440" w:lineRule="exact"/>
        <w:jc w:val="center"/>
        <w:textAlignment w:val="auto"/>
        <w:rPr>
          <w:rFonts w:hint="eastAsia" w:ascii="宋体" w:hAnsi="宋体" w:cs="Courier New"/>
          <w:color w:val="auto"/>
          <w:sz w:val="24"/>
          <w:szCs w:val="24"/>
          <w:highlight w:val="none"/>
        </w:rPr>
      </w:pPr>
      <w:r>
        <w:rPr>
          <w:rFonts w:hint="eastAsia" w:ascii="宋体" w:hAnsi="Courier New" w:cs="Courier New"/>
          <w:color w:val="auto"/>
          <w:highlight w:val="none"/>
        </w:rPr>
        <w:t xml:space="preserve">                 </w:t>
      </w:r>
      <w:r>
        <w:rPr>
          <w:rFonts w:hint="eastAsia" w:ascii="宋体" w:hAnsi="宋体" w:cs="Courier New"/>
          <w:color w:val="auto"/>
          <w:sz w:val="24"/>
          <w:szCs w:val="24"/>
          <w:highlight w:val="none"/>
        </w:rPr>
        <w:t xml:space="preserve">   </w:t>
      </w:r>
    </w:p>
    <w:p w14:paraId="410F6193">
      <w:pPr>
        <w:keepLines w:val="0"/>
        <w:pageBreakBefore w:val="0"/>
        <w:widowControl w:val="0"/>
        <w:kinsoku/>
        <w:wordWrap/>
        <w:overflowPunct/>
        <w:topLinePunct w:val="0"/>
        <w:autoSpaceDE/>
        <w:autoSpaceDN/>
        <w:bidi w:val="0"/>
        <w:adjustRightInd/>
        <w:snapToGrid w:val="0"/>
        <w:spacing w:before="120" w:after="120" w:line="440" w:lineRule="exact"/>
        <w:jc w:val="center"/>
        <w:textAlignment w:val="auto"/>
        <w:rPr>
          <w:rFonts w:hint="eastAsia" w:ascii="宋体" w:hAnsi="宋体" w:cs="Courier New"/>
          <w:color w:val="auto"/>
          <w:sz w:val="24"/>
          <w:szCs w:val="24"/>
          <w:highlight w:val="none"/>
        </w:rPr>
      </w:pPr>
    </w:p>
    <w:p w14:paraId="5AF18C47">
      <w:pPr>
        <w:rPr>
          <w:rFonts w:ascii="宋体" w:hAnsi="宋体" w:cs="Courier New"/>
          <w:color w:val="auto"/>
          <w:sz w:val="24"/>
          <w:szCs w:val="24"/>
          <w:highlight w:val="none"/>
        </w:rPr>
      </w:pPr>
      <w:r>
        <w:rPr>
          <w:rFonts w:hint="eastAsia" w:ascii="宋体" w:hAnsi="宋体" w:cs="Courier New"/>
          <w:color w:val="auto"/>
          <w:sz w:val="24"/>
          <w:szCs w:val="24"/>
          <w:highlight w:val="none"/>
        </w:rPr>
        <w:t xml:space="preserve">                    </w:t>
      </w:r>
      <w:r>
        <w:rPr>
          <w:rFonts w:ascii="宋体" w:hAnsi="宋体" w:cs="Courier New"/>
          <w:color w:val="auto"/>
          <w:sz w:val="24"/>
          <w:szCs w:val="24"/>
          <w:highlight w:val="none"/>
        </w:rPr>
        <w:t xml:space="preserve">签订日期：      年  </w:t>
      </w:r>
      <w:r>
        <w:rPr>
          <w:rFonts w:hint="eastAsia" w:ascii="宋体" w:hAnsi="宋体" w:cs="Courier New"/>
          <w:color w:val="auto"/>
          <w:sz w:val="24"/>
          <w:szCs w:val="24"/>
          <w:highlight w:val="none"/>
        </w:rPr>
        <w:t xml:space="preserve">  </w:t>
      </w:r>
      <w:r>
        <w:rPr>
          <w:rFonts w:ascii="宋体" w:hAnsi="宋体" w:cs="Courier New"/>
          <w:color w:val="auto"/>
          <w:sz w:val="24"/>
          <w:szCs w:val="24"/>
          <w:highlight w:val="none"/>
        </w:rPr>
        <w:t xml:space="preserve">月  </w:t>
      </w:r>
      <w:r>
        <w:rPr>
          <w:rFonts w:hint="eastAsia" w:ascii="宋体" w:hAnsi="宋体" w:cs="Courier New"/>
          <w:color w:val="auto"/>
          <w:sz w:val="24"/>
          <w:szCs w:val="24"/>
          <w:highlight w:val="none"/>
        </w:rPr>
        <w:t xml:space="preserve"> </w:t>
      </w:r>
      <w:r>
        <w:rPr>
          <w:rFonts w:ascii="宋体" w:hAnsi="宋体" w:cs="Courier New"/>
          <w:color w:val="auto"/>
          <w:sz w:val="24"/>
          <w:szCs w:val="24"/>
          <w:highlight w:val="none"/>
        </w:rPr>
        <w:t>日</w:t>
      </w:r>
    </w:p>
    <w:p w14:paraId="31539135">
      <w:pPr>
        <w:rPr>
          <w:rFonts w:ascii="宋体" w:hAnsi="宋体" w:cs="Courier New"/>
          <w:color w:val="auto"/>
          <w:sz w:val="24"/>
          <w:szCs w:val="24"/>
          <w:highlight w:val="none"/>
        </w:rPr>
      </w:pPr>
      <w:r>
        <w:rPr>
          <w:rFonts w:ascii="宋体" w:hAnsi="宋体" w:cs="Courier New"/>
          <w:color w:val="auto"/>
          <w:sz w:val="24"/>
          <w:szCs w:val="24"/>
          <w:highlight w:val="none"/>
        </w:rPr>
        <w:br w:type="page"/>
      </w:r>
    </w:p>
    <w:p w14:paraId="01DA5508">
      <w:pPr>
        <w:rPr>
          <w:rFonts w:hint="default" w:ascii="宋体" w:hAnsi="宋体" w:eastAsia="宋体" w:cs="Courier New"/>
          <w:color w:val="auto"/>
          <w:sz w:val="24"/>
          <w:szCs w:val="24"/>
          <w:highlight w:val="none"/>
          <w:lang w:val="en-US" w:eastAsia="zh-CN"/>
        </w:rPr>
      </w:pPr>
      <w:r>
        <w:rPr>
          <w:rFonts w:hint="eastAsia" w:ascii="宋体" w:hAnsi="宋体" w:cs="Courier New"/>
          <w:color w:val="auto"/>
          <w:sz w:val="24"/>
          <w:szCs w:val="24"/>
          <w:highlight w:val="none"/>
          <w:lang w:val="en-US" w:eastAsia="zh-CN"/>
        </w:rPr>
        <w:t>附件一：合同清单</w:t>
      </w:r>
    </w:p>
    <w:tbl>
      <w:tblPr>
        <w:tblStyle w:val="3"/>
        <w:tblW w:w="86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4"/>
        <w:gridCol w:w="767"/>
        <w:gridCol w:w="434"/>
        <w:gridCol w:w="912"/>
        <w:gridCol w:w="4069"/>
        <w:gridCol w:w="319"/>
        <w:gridCol w:w="319"/>
        <w:gridCol w:w="369"/>
        <w:gridCol w:w="517"/>
        <w:gridCol w:w="570"/>
      </w:tblGrid>
      <w:tr w14:paraId="46AD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7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C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产品名称</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7B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品牌</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A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7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C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产地</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D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1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4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单价</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0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总价</w:t>
            </w:r>
          </w:p>
        </w:tc>
      </w:tr>
      <w:tr w14:paraId="3F3ED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04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28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视频监控系统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518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3252">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158E">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2099">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059A">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A4C5">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3018">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7BC3">
            <w:pPr>
              <w:jc w:val="center"/>
              <w:rPr>
                <w:rFonts w:hint="eastAsia" w:ascii="宋体" w:hAnsi="宋体" w:eastAsia="宋体" w:cs="宋体"/>
                <w:i w:val="0"/>
                <w:iCs w:val="0"/>
                <w:color w:val="000000"/>
                <w:sz w:val="18"/>
                <w:szCs w:val="18"/>
                <w:u w:val="none"/>
              </w:rPr>
            </w:pPr>
          </w:p>
        </w:tc>
      </w:tr>
      <w:tr w14:paraId="4231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7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A0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外场监控</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D34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8B67">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1821">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93CE">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B3EF">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37B59">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8F2F">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A33F">
            <w:pPr>
              <w:jc w:val="center"/>
              <w:rPr>
                <w:rFonts w:hint="eastAsia" w:ascii="宋体" w:hAnsi="宋体" w:eastAsia="宋体" w:cs="宋体"/>
                <w:i w:val="0"/>
                <w:iCs w:val="0"/>
                <w:color w:val="000000"/>
                <w:sz w:val="18"/>
                <w:szCs w:val="18"/>
                <w:u w:val="none"/>
              </w:rPr>
            </w:pPr>
          </w:p>
        </w:tc>
      </w:tr>
      <w:tr w14:paraId="3351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2"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8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4A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枪球一体智能摄像机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34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E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DH-SDT-7C1498X-4P4-GBZJ-AD3EV-02800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61B29E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★1、全景和细节均采用不低于1/1.8英寸CMOS传感器类型；像素均≥400万或(最大分辨率：全景≥3840×1080，细节≥2560×1440)。提供第三方机构出具的具有CMA标志的检测报告扫描件（依据标准GA/T 645-2014或GB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3、全景具备补光功能，最大补光距离：全景：≥30m；细节：≥150m。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▲4、镜头：全景≤2.8mm,光学变倍：细节≥25倍。提供相关证明材料扫描件（原厂技术白皮书或检测报告任意一种均可）。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5、视场角：全景：水平：180°±5° 垂直：≥51°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6、支持定时任务：预置点、巡迹、巡航、线扫，支持可视域功能。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周界防范：支持不少于9种规则，人车分类和跟踪2种功能，支持绊线入侵或越界入侵，支持区域入侵，支持穿越围栏，支持徘徊检测，支持物品遗留，支持物品搬移，支持快速移动，支持停车检测，支持人员聚集，支持人车分类报警，支持单球跟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人脸检测：支持优选，支持抓拍，支持上报最优的人脸抓图，支持人脸增强；支持人脸属性提取，包含：性别、眼镜、口罩等；支持人脸抠图区域可设：人脸，单寸照；支持实时抓拍、优选抓拍、质量优先三种抓拍策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9、支持白光警戒；闪烁时间可设置：5-30秒；频率：高、中、低可调节；支持声音警戒：支持自定义语音内容导入。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10、支持透雾功能。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11、网络接口：≥1个（RJ-45母头网口，支持10M/100M网络数据）。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12、音频输入：≥1路；音频输出：≥1路；报警输入：≥2路；报警输出：≥1路。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13、供电方式：DC36V或AC24（-25%~+25%）。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14、防护等级：≥IP66。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F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5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9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B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4336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9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69376 </w:t>
            </w:r>
          </w:p>
        </w:tc>
      </w:tr>
      <w:tr w14:paraId="544F6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6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86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智能球型摄像机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D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E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DH-SD-6C3432QL-HNY-YX</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93E522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★1.采用≥400万像素或≥2560×1440图像分辨率进行视频存储，传感器尺寸≥1/2.7英寸。提供第三方机构出具的具有CMA标志的检测报告扫描件（依据标准GA/T 645-2014或GB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★2.内置镜头、具备≥20倍光学变焦（镜头焦距最大值与最少值的比值≥20），智能红外补光距离≥150米。提供相关证明材料扫描件（原厂技术白皮书或检测报告任意一种均可）。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★3.具备H.265、H.264、MJPEG视频编码格式，音频编码：G.711、AAC。提供相关证明材料扫描件（相关证书、原厂技术白皮书或检测报告任意一种均可）。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★4.具备最低照度可达彩色0.0002Lux，黑白0.0001Lux。提供第三方机构出具的具有CMA标志的检测报告扫描件（依据标准GA/T 645-2014或GB 16796-2022或GB/T 15211-2013等现行国家标准）。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▲5.可对镜头前盖玻璃进行加热，去除玻璃上的冰状和水状附着物。提供第三方机构出具的具有CMA标志的检测报告扫描件（依据标准GA/T 645-2014或GB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6.云台键控速度：水平0.1°-200°/S，垂直0.1°-120°/S。7.预置位≥30个。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8.旋转范围：水平方向：0°～360°连续旋转。垂直方向：-20°～90°自动翻转180°后连续监视。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9.具备巡航、看守位、拉框放大等功能。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10.具备定时启动、断电记忆功能。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★11.具备强光抑制、宽动态、透雾功能，宽动态能力综合得分≥140或宽动态≥120dB。提供相关证明材料扫描件（原厂技术白皮书或检测报告任意一种均可）。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具备绊线或越界入侵、区域入侵、徘徊、快速移动、人员聚集、进入/离开区域检测等智能行为分析功能，具备联动抓拍或录像、报警。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13.具备数据直存功能，即直接将视频存储数据发送到存储设备（当中心服务器故障时，不影响正在进行的存储业务）。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14.接口：百兆及以上以太网电口、音频输入/输出、报警输入/输出。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★16.具备GB/T 28181协议标准，≥IP67，TVS 6-15KV防雷、防浪涌。提供第三方机构出具的具有CMA标志的检测报告扫描件（依据标准GA/T 645-2014或GB 16796-2022或GB/T 28181-2022等现行国家标准）。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★17.具备Onvif、IPv4/IPv6协议标准。提供承诺函。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具备单场景、多场景、全景及手动跟踪模式；具有一键跟踪控制按钮，具备一键智能跟踪功能。单场景跟踪模式：可在预设的单个场景内跟踪移动的人员或车辆。多场景跟踪模式：可在预设的多个场景内跟踪移动的人员或车辆，多个场景间可根据预设时间轮巡。全景跟踪模式：可对移动的人员或车辆进行360度全景跟踪。手动跟踪模式：可选定移动的人员或车辆，对该目标进行跟踪。</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8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8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0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0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2601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5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23409 </w:t>
            </w:r>
          </w:p>
        </w:tc>
      </w:tr>
      <w:tr w14:paraId="04D3F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6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3B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枪式摄像机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6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F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DH-IPC-HFW54QLZM1X-IL4</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899499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★1、传感器：≥1/1.8英寸CMOS传感器，像素≥400万或最大分辨率≥2560×1440。提供第三方机构出具的具有CMA标志的检测报告扫描件（依据标准GA/T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 黑白：≤0.0001lux， ≤0Lux（红外灯开启）。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3、具备滤光片切换功能，摄像机可在彩色/黑白模式下自动切换滤光片。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4、镜头可选：定焦；镜头光圈≥F1.0。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5、具备智能红外功能，能根据所摄目标距离自动调节红外辐射功率，智能红外补光距离≥50米。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7、具备H.265、H.264、MJPEG视频编码格式，音频编码：PCM、G.711、AAC，内置MIC。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★8、具备背光补偿、强光抑制、自动增益、感兴趣区域、断网续传、移动侦测等功能。提供第三方机构出具的具有CMA标志的检测报告扫描件（依据标准GA/T 645-2014或GB 16796-2022或GA/T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★9、具备绊线或越界入侵、区域入侵、徘徊、人员聚集、停车、物品遗留或搬移（移除）等行为分析功能，具备联动抓拍或录像、报警。提供相关证明材料扫描件（原厂技术白皮书或检测报告任意一种均可）。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10、具备场景自适应功能，可根据监控场景自动调节曝光模式。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11、摄像机在视频遮挡、存储器满、非法访问、网络断开、IP冲突时可给出报警提示。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12、具备数据直存功能，即直接将视频存储数据发送到存储设备（当中心服务器故障时、不影响正在进行的存储业务）。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13、接口：RJ45百兆或千兆以太网电口，音频输入：≥1路，音频输出：≥1路，报警输入：≥2路，报警输出：≥2路。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★15、符合GB/T28181现行协议标准。提供第三方机构出具的具有CMA标志的检测报告扫描件（依据GB/T28181-2022）。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16、Onvif、IPv4/6现行协议标准。提供承诺函。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17、工作温度：-40℃~+60℃。工作湿度：≤95%。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18、浪涌（冲击）抗扰度测试，6KV防雷、防浪涌。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19、稳定性：摄像机在正常工作条件下，具备连续168小时正常工作。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★20、防护等级：≥IP67。提供第三方机构出具的具有CMA标志的检测报告扫描件（依据GB/T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21、具备POE供电功能。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A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D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0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0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3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17340 </w:t>
            </w:r>
          </w:p>
        </w:tc>
      </w:tr>
      <w:tr w14:paraId="1635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C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9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热成像双目枪式摄像机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1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C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DH-TPC-BF1286</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719E20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1、使用类型：观测型，探测器类型：非制冷氧化钒焦平面探测器。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★2、探测器像素≥256×192；光谱范围：8μm～14μm；热成像镜头焦距≤3.5mm。提供相关证明材料扫描件（原厂技术白皮书或检测报告任意一种均可）。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3、采用不低于1/2.7英寸CMOS传感器；可见光像素≥400万。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4、热成像视场角：H: ≥50°; V: ≥37°。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5、支持电子透雾。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6、可见光镜头焦距≤4mm。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7、可见光视场角：H： 71.2°； V：≥43°。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8、支持红外补光；最大补光距离：≥30m。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9、周界防范距离（人）：≥35m（目标大小1.8m×0.5m）；周界防范距离（车）：≥105m（目标大小4m×1.4m）；网络接口：≥1个，RJ45 网口，支持10M/100M 网络数据。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10、报警输入：≥2路；报警输出：≥2路；音频输入：≥1路；音频输出：≥1路；RS-485接口：≥1路。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11、供电方式：DC12V±20%或POE。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★12、防护等级：≥IP67。提供第三方机构出具的具有CMA标志的检测报告扫描件（依据GB/T 15211-2013或GA/T 1127-2013等现行国家标准）。</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0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6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3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8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3854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5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73226 </w:t>
            </w:r>
          </w:p>
        </w:tc>
      </w:tr>
      <w:tr w14:paraId="7F339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A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1B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双拼枪式摄像机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B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9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DH-IPC-PFW588XR-A18</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0915DE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★1、采用两颗不低于1/1.8英寸CMOS传感器。提供第三方机构出具的具有CMA标志的检测报告扫描件（依据GB/T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2、≥800万像素；最低照度：彩色≤0.0002lux， 黑白≤0.0001lux， ≤0Lux（红外灯开启）。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3、支持≥2颗（红外灯）、≥2颗（暖光灯）；最大补光距离：≥25m（红外），≥20m（暖光）。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▲4、视场角：水平：≥180°；垂直：≥48°。提供相关证明材料扫描件（原厂技术白皮书或检测报告任意一种均可）。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5、支持绊线或越界入侵；区域入侵。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6、支持在智能事件触发时,子显示画面显示放大跟踪触发目标,支持预览和回放,跟踪时长可设置，可将画面分为 1+1、1+3、1+5等多种分屏方式显示，子显示画面可进行任意大小、位置调节。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9、内置双MIC，内置1个扬声器。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10、报警事件：无SD卡；SD卡空间不足；SD卡出错；网络断开；IP冲突；非法访问；动态检测；视频遮挡；绊线入侵；区域入侵；场景变更；音频异常侦测；电压检测；外部报警；SMD；安全异常。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11、接入标准：GB/T28181-2022、ONVIF。</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▲12、界面可显示雷达画面，支持雷达路和视频路通过目标人物的位置进行标定。提供相关证明材料扫描件（原厂技术白皮书或检测报告任意一种均可）。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13、音频输入：≥1路；音频输出：≥1路；报警输入：≥1路；报警输出：≥1路。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15、供电方式：DC12V±20%或POE。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★16、防护等级：≥IP67。提供第三方机构出具的具有CMA标志的检测报告扫描件（依据GB/T 15211-2013或GA/T 1127-2013等现行国家标准）。</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D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9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3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B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D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6936 </w:t>
            </w:r>
          </w:p>
        </w:tc>
      </w:tr>
      <w:tr w14:paraId="4769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2"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2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8B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全景摄像机（含支架）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E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6A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DH-PSDW81679RM-A180H</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C80CDE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★1、采用四颗不低于1/1.8英寸CMOS传感器，像素：全景（最大分辨率折算）≥1490万。提供第三方机构出具的具有CMA标志的检测报告扫描件（依据GB/T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 ，≤0Lux（红外灯开启）。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3、细节球机最大补光距离≥400米。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▲4、镜头类型：全景：定焦；球机：≥40倍光学变倍。提供相关证明材料扫描件（原厂技术白皮书或检测报告任意一种均可）。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5、视场角：全景：水平：≥180°；垂直：≥103°。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6、全景支持周界防范，人群分布图，车辆密度，球机支持周界防范，视频结构化，人脸识别。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7、球机支持机动车、非机动车、人脸、人体检测；支持优选；支持抓拍；支持上报最优的抓图机动车属性，非机动车属性，人体属性，人脸属性。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▲8、支持人群分布大模型功能：开启后对人群的检测距离可提升≥2倍；支持对全景通道区域内的人数进行统计，支持打伞检测。提供相关证明材料扫描件（原厂技术白皮书或检测报告任意一种均可）。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9、视频压缩标准：H.265，H.264，H.264H，H.264B，MJPEG。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★10、全景和球机的宽动态能力综合得分≥140或宽动态≥120dB。提供相关证明材料扫描件（原厂技术白皮书或检测报告任意一种均可）。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11、网络接口：≥1个（RJ-45网口，支持10M/100M/1000M 网络数据）。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12、接入标准（符合现行标准）：ONVIF，CGI，GB/T28181-2022，GA/T1400，GB/35114A。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13、支持AR功能；内置千兆SFP光模块单模单纤。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14、支持RS-485接口：≥1个；音频输入：≥2路；音频输出：≥2路；报警输入：≥7路；报警输出：≥3路；模拟输出接口：≥1路。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16、供电方式：DC36V。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▲17、防护等级：≥IP66。提供第三方机构出具的具有CMA标志的检测报告扫描件（依据GB/T 15211-2013或GA/T 1127-2013等现行国家标准）。</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4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F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6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8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22160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8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44320 </w:t>
            </w:r>
          </w:p>
        </w:tc>
      </w:tr>
      <w:tr w14:paraId="6963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2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95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双拼结构化枪式摄像机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A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A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DH-IPC-MFW844XSZ-HLE</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96B88F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集成全景和细节抓拍一体化设计，全景和细节采用不低于1/1.8英寸CMOS传感器；像素：全景（最大分辨率折算）≥800万，细节（最大分辨率折算）≥400万。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3、内置柔光双色补光灯，最大补光距离100米。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4、细节通道：最小焦距≤8mm，最大焦距≥32mm，全景通道：定焦。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▲5、全景通道水平视场角≥180°，垂直视场角≥62°。提供第三方机构出具的具有CMA标志的检测报告扫描件（依据GA/T 645-2014、GB/T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7、支持一键调用预置位，可通过浏览器一键控制相机全景通道云台转到指定位置。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两路通道均支持独立电动云台，全景垂直旋转范围不小于-5°～45°，水平旋转范围不小于0°～355；细节垂直不小于-5°～30°，云台转动至最大角度时,预览界面云台控制按钮会闪红并弹窗提示，机身外壳内嵌水平仪,可检测设备水平程度。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★9、支持机动车、非机动车、行人、人脸检测抓拍及机动车、非机动车、人脸、人体属性提取。提供第三方机构出具的具有CMA标志的检测报告扫描件（依据GA/T 645-2014、GB/T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全景通道支持人群分布图，通用行为分析，人数统计之间进行智能资源切换；细节通道支持视频结构化，人脸检测，人脸识别，通用行为分析，道路监控，人数统计之间进行智能资源切换；全景和细节智能支持智能资源同时开启。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11、视频压缩标准：H.265，H.264，H.264H，H.264B，MJPEG。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12、内置双MIC；内置扬声器。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13、网络接口：≥1个（RJ-45网口，支持10M/100M/1000M 网络数据）。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14、接入标准：GB/T28181；GA/T1400；GB/35114。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15、RS-485接口：≥1个；音频输入：≥2路；音频输出：≥1路；报警输入：≥3路；报警输出：≥2路；模拟输出接口：≥1路。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17、供电方式：DC12V，3A。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★18、防护等级：≥IP67。提供第三方机构出具的具有CMA标志的检测报告扫描件（依据GB/T 15211-2013或GA/T 1127-2013等现行国家标准）。</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8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A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0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1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7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23120 </w:t>
            </w:r>
          </w:p>
        </w:tc>
      </w:tr>
      <w:tr w14:paraId="234F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6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A9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内部监控</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43FC">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494E">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CBCF">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5E17">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DD63">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DA8A">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16A1">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2903">
            <w:pPr>
              <w:jc w:val="center"/>
              <w:rPr>
                <w:rFonts w:hint="eastAsia" w:ascii="宋体" w:hAnsi="宋体" w:eastAsia="宋体" w:cs="宋体"/>
                <w:i w:val="0"/>
                <w:iCs w:val="0"/>
                <w:color w:val="000000"/>
                <w:sz w:val="18"/>
                <w:szCs w:val="18"/>
                <w:u w:val="none"/>
              </w:rPr>
            </w:pPr>
          </w:p>
        </w:tc>
      </w:tr>
      <w:tr w14:paraId="42DF5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7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34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高清网络半球摄像机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4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E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DH-IPC-HDBW54CZQR1L-ZFL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D445B6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★1、采用不低于1/3英寸CMOS传感器；像素≥400万或最大分辨率≥2560×1440。提供第三方机构出具的具有CMA标志的检测报告扫描件（依据GB/T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3、内置红外灯；最大补光距离：≥50米。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4、镜头类型：定焦；焦距可选。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7、宽动态：120dB；走廊模式：90°/270°。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★8、内置MIC。提供承诺函或厂家技术白皮书。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9、报警事件：无SD卡；SD卡空间不足；SD卡出错；网络断开；IP冲突；非法访问；动态检测；视频遮挡；绊线入侵；区域入侵；徘徊检测；人员聚集；音频异常侦测；电压检测；外部报警；安全异常。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10、接入标准：ONVIF；CGI；GB/T28181；GA/T 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13、供电方式：DC12V或PoE；防暴等级≥IK10。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9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A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1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F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8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33524 </w:t>
            </w:r>
          </w:p>
        </w:tc>
      </w:tr>
      <w:tr w14:paraId="5D47C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0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A4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结构化半球摄像机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C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D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DH-IPC-HDBW8479E1X-ZRLD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EFB720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★1、采用不低于1/1.8英寸CMOS传感器；像素≥400万或最大分辨率≥2560×1440。提供第三方机构出具的具有CMA标志的检测报告扫描件（依据GB/T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3、内置红外灯补光灯；最大补光距离：≥35m（视频监控距离）；≥6m（人脸检测距离）。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4、镜头类型：电动变焦；最小焦距≤2.7mm，最大焦距≥12mm。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▲5、支持变焦镜头全焦段图像畸变校正功能，相机从短焦到长焦变倍全过程均可同步自动进行画面畸变校正。提供相关证明材料扫描件（原厂技术白皮书或检测报告任意一种均可）。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相同照度场景下，速度不同的运动目标，同时经过监控画面时，相机可自适应控制≥2套快门曝光时间或对不同移动速度目标分类曝光，来适配不同速度目标，以保证抓拍目标图片效果。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机动车、非机动车、行人、人脸检测抓拍及布防，支持机动车车牌号码、车牌颜色、车牌类型属性识别；人脸检测：支持人脸、人体检测抓拍及人脸、人体属性提取，并实现人脸、人体关联，可支持40张人脸并发检测，支持抓拍优选，自动筛选出抓拍质量最优的图片。 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★9、内置MIC；内置扬声器。提供承诺函或厂家技术白皮书。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绊线入侵；区域入侵；快速移动；物品遗留；物品搬移；徘徊检测；人员聚集；停车检测；场景变更；音频异常侦测；电压检测；虚焦侦测；外部报警；人脸检测；人脸识别；视频结构化；区域内人数统计；人数统计；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11、接入标准：ONVIF，CGI，GB/T28181，GA/T1400，GB/35114A。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12、RS-485接口：≥1个；音频输入：≥2路；音频输出：≥1路；报警输入：≥3路；报警输出：≥2路；模拟输出接口：≥1路。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13、电源返送：支持DC12V电源返送。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14、供电方式：DC12V/AC24V/PoE；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15、防护等级：≥IP67；防暴等级≥IK10。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9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6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1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E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C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91584 </w:t>
            </w:r>
          </w:p>
        </w:tc>
      </w:tr>
      <w:tr w14:paraId="3EAD4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A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26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结构化枪式摄像机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7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0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DH-IPC-HFW84XRK2L-ZRLI</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659832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★1、采用不低于1/1.8英寸CMOS传感器；像素≥400万或最大分辨率≥2560×1440。提供第三方机构出具的具有CMA标志的检测报告扫描件（依据GB/T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3、内置红外+暖光灯；最大补光距离：≥60m（红外）；≥40m（暖光）；≥6m（人脸检测距离）。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4、补光灯采用多层透镜结构，补光灯开启后，无明显波纹状、圆环状、麻点状、条纹状及不规则亮斑。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5、镜头类型：电动变焦；最小焦距≤2.7mm，最大焦距≥12mm。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6、通用行为分析：物品遗留；物品搬移。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视频结构化：支持机动车、非机动车、人脸、人体检测；支持跟踪；支持优选；支持抓拍；支持上报最优的人脸抓图，支持机动车和非机动车属性提取；支持人脸和人体属性提取。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8、可通过指示灯显示设备启动、网络连接状态, 设备镜头前盖玻璃呈倾斜状，可改变沿镜头光轴方向入射光束的反射光方向，降低鬼影对视频画面的影响。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★10、具备走廊模式功能（支持90°旋转实现纵向图像显示模式）。提供第三方机构出具的具有CMA标志的检测报告扫描件（依据标准GA/T 1127-2013或GB/T 15211-2013或GB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11、内置MIC；内置扬声器。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报警事件：无SD卡；SD卡空间不足；SD卡出错；网络断开；IP冲突；非法访问；动态检测；视频遮挡；绊线入侵；区域入侵；快速移动；物品遗留；物品搬移；徘徊检测；人员聚集；停车检测；场景变更；音频异常侦测；电压检测；虚焦侦测；外部报警；人脸检测；人脸识别；视频结构化；区域内人数统计；人数统计；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12、接入标准：ONVIF，CGI，GB/T28181，GA/T1400，GB/35114A。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13、RS-485接口：≥1个；音频输入：≥2路；音频输出：≥1路；报警输入：≥3路；报警输出：≥2路；模拟输出接口：≥1路。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14、电源返送：支持DC12V电源返送。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15、供电方式：DC12V或AC24V或PoE。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★16、防护等级：≥IP67。提供第三方机构出具的具有CMA标志的检测报告扫描件（依据GB/T 15211-2013或GA/T 1127-2013或GB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D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1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F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F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6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79475 </w:t>
            </w:r>
          </w:p>
        </w:tc>
      </w:tr>
      <w:tr w14:paraId="54BF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7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86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智能球型摄像机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8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6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DH-SD-6C3432QL-HNY-YX</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47B653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★1.采用≥400万像素或≥2560×1440图像分辨率进行视频存储，传感器尺寸≥1/2.7英寸。提供第三方机构出具的具有CMA标志的检测报告扫描件（依据标准GA/T 645-2014或GB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★2.内置镜头、具备≥20倍光学变焦（镜头焦距最大值与最少值的比值≥20），智能红外补光距离≥150米。提供相关证明材料扫描件（原厂技术白皮书或检测报告任意一种均可）。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★3.具备H.265、H.264、MJPEG视频编码格式，音频编码：G.711、AAC。提供相关证明材料扫描件（相关证书、原厂技术白皮书或检测报告任意一种均可）。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★4.具备最低照度可达彩色0.0002Lux，黑白0.0001Lux。提供第三方机构出具的具有CMA标志的检测报告扫描件（依据标准GA/T 645-2014或GB 16796-2022或GB/T 15211-2013等现行国家标准）。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▲5.可对镜头前盖玻璃进行加热，去除玻璃上的冰状和水状附着物。提供第三方机构出具的具有CMA标志的检测报告扫描件（依据标准GA/T 645-2014或GB 16796-2022等现行国家标准）。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6.云台键控速度：水平0.1°-200°/S，垂直0.1°-120°/S。7.预置位≥30个。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8.旋转范围：水平方向：0°～360°连续旋转。垂直方向：-20°～90°自动翻转180°后连续监视。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9.具备巡航、看守位、拉框放大等功能。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10.具备定时启动、断电记忆功能。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★11.具备强光抑制、宽动态、透雾功能，宽动态能力综合得分≥140或宽动态≥120dB。提供相关证明材料扫描件（原厂技术白皮书或检测报告任意一种均可）。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具备绊线或越界入侵、区域入侵、徘徊、快速移动、人员聚集、进入/离开区域检测等智能行为分析功能，具备联动抓拍或录像、报警。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13.具备数据直存功能，即直接将视频存储数据发送到存储设备（当中心服务器故障时，不影响正在进行的存储业务）。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14.接口：百兆及以上以太网电口、音频输入/输出、报警输入/输出。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★16.具备GB/T 28181协议标准，≥IP67，TVS 6-15KV防雷、防浪涌。提供第三方机构出具的具有CMA标志的检测报告扫描件（依据标准GA/T 645-2014或GB 16796-2022或GB/T 28181-2022等现行国家标准）。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★17.具备Onvif、IPv4/IPv6协议标准。提供承诺函。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具备单场景、多场景、全景及手动跟踪模式；具有一键跟踪控制按钮，具备一键智能跟踪功能。单场景跟踪模式：可在预设的单个场景内跟踪移动的人员或车辆。多场景跟踪模式：可在预设的多个场景内跟踪移动的人员或车辆，多个场景间可根据预设时间轮巡。全景跟踪模式：可对移动的人员或车辆进行360度全景跟踪。手动跟踪模式：可选定移动的人员或车辆，对该目标进行跟踪。</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7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C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3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8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2601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7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13005 </w:t>
            </w:r>
          </w:p>
        </w:tc>
      </w:tr>
      <w:tr w14:paraId="0A28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1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7B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枪式摄像机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6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E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DH-IPC-HFW54QLZM1X-IL4</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3C108C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★1、传感器：≥1/1.8英寸CMOS传感器，像素≥400万或最大分辨率≥2560×1440。提供第三方机构出具的具有CMA标志的检测报告扫描件（依据标准GA/T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 黑白：≤0.0001lux， ≤0Lux（红外灯开启）。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3、具备滤光片切换功能，摄像机可在彩色/黑白模式下自动切换滤光片。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4、镜头可选：定焦；镜头光圈≥F1.0。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5、具备智能红外功能，能根据所摄目标距离自动调节红外辐射功率，智能红外补光距离≥50米。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7、具备H.265、H.264、MJPEG视频编码格式，音频编码：PCM、G.711、AAC，内置MIC。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★8、具备背光补偿、强光抑制、自动增益、感兴趣区域、断网续传、移动侦测等功能。提供第三方机构出具的具有CMA标志的检测报告扫描件（依据标准GA/T 645-2014或GB 16796-2022或GA/T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★9、具备绊线或越界入侵、区域入侵、徘徊、人员聚集、停车、物品遗留或搬移（移除）等行为分析功能，具备联动抓拍或录像、报警。提供相关证明材料扫描件（原厂技术白皮书或检测报告任意一种均可）。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10、具备场景自适应功能，可根据监控场景自动调节曝光模式。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11、摄像机在视频遮挡、存储器满、非法访问、网络断开、IP冲突时可给出报警提示。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12、具备数据直存功能，即直接将视频存储数据发送到存储设备（当中心服务器故障时、不影响正在进行的存储业务）。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13、接口：RJ45百兆或千兆以太网电口，音频输入：≥1路，音频输出：≥1路，报警输入：≥2路，报警输出：≥2路。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★14、提供SD或TF卡槽,承诺可通过加装安全加密卡对接公安视频数据加密平台、实现安全升级以符合GB35114A级标准对前端面摄像机基于数字证书的双向身份认证功能，提供承诺函。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★15、符合GB/T28181现行协议标准。提供第三方机构出具的具有CMA标志的检测报告扫描件（GB/T28181-2022）。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16、Onvif、IPv4/6现行协议标准。提供承诺函。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17、工作温度：-40℃~+60℃。工作湿度：≤95%。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18、浪涌（冲击）抗扰度测试，6KV防雷、防浪涌。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19、稳定性：摄像机在正常工作条件下，具备连续168小时正常工作。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★20、防护等级：≥IP67。提供第三方机构出具的具有CMA标志的检测报告扫描件（GB/T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21、具备POE供电功能。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5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0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E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8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9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23120 </w:t>
            </w:r>
          </w:p>
        </w:tc>
      </w:tr>
      <w:tr w14:paraId="1CF73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0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DD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离岗检测半球摄像机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0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A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DH-IPC-HDBW5443QR1L-ZAS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091414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★1、采用不低于1/3英寸CMOS传感器；像素≥400万或最大分辨率≥2560×1440。提供第三方机构出具的具有CMA标志的检测报告扫描件（GB/T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3、内置红外灯；最大补光距离：≥50米。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4、镜头类型：电动变焦；最小焦距≤2.8mm，最大焦距≥12mm。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7、宽动态≥120dB；走廊模式：90°/270°。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★8、内置MIC。提供承诺函或厂家技术白皮书。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★9、支持打电话或玩手机、睡岗、吸烟、人数异常（离岗）检测。提供第三方机构出具的具有CMA标志的检测报告扫描件（GB/T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10、报警事件：无SD卡；SD卡空间不足；SD卡出错；网络断开；IP冲突；非法访问；动态检测；视频遮挡；绊线入侵；区域入侵；徘徊检测；人员聚集；音频异常侦测；电压检测；外部报警；安全异常。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11、接入标准：ONVIF；CGI；GB/T28181；GA/T 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14、供电方式：DC12V或PoE；防暴等级≥IK10。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2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A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6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E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E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15900 </w:t>
            </w:r>
          </w:p>
        </w:tc>
      </w:tr>
      <w:tr w14:paraId="44091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7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DC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广角半球摄像机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0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C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DH-IPC-HDBW8597XR1-BD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0611BE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★1、采用不低于1/2.8英寸CMOS传感器；像素≥400万或最大分辨率≥2560×1440。提供第三方机构出具的具有CMA标志的检测报告扫描件（GB/T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3、内置红外灯；最大补光距离：≥50米。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4、镜头类型：定焦；视场角：水平：≥172°；垂直：≥100°。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7、宽动态≥120dB；走廊模式：90°/270°。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★8、内置MIC。提供承诺函或厂家技术白皮书。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9、异常行为分析：支持徘徊检测、区域入侵、人员聚集、绊线入侵、攀高检测、单人独处、起身检测、离岗检测、停留检测。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徘徊检测；区域入侵；人员聚集；绊线入侵；攀高检测；单人独处；起身检测；离岗检测；停留检测；剧烈运动检测；快速移动；物品遗留；物品搬移；停车检测；场景变更；音频异常侦测；电压检测；外部报警；人脸检测；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11、接入标准：ONVIF；CGI；GB/T28181；GA/T 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14、供电方式：DC12V或PoE；防暴等级≥IK10。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F60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7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33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9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1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8480 </w:t>
            </w:r>
          </w:p>
        </w:tc>
      </w:tr>
      <w:tr w14:paraId="5FE32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1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0A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拾音器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EF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8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DH-HSP202</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9FA471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1、连接方式：≥4条引线（电源正极、电源负极、信号正极、信号负极）；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2、拾音范围：1～150平方米，约半径7米；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3、灵敏度：-38dB±1dB（re 0dB=1V/Pa@1kHz）；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4、信噪比：70dB（1KHz &amp; Max dB 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5、指向特性：全指向性；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6、动态范围：40dB（1KHz &amp; Max dB 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7、功耗：＜2W。</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4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6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3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F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6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9773 </w:t>
            </w:r>
          </w:p>
        </w:tc>
      </w:tr>
      <w:tr w14:paraId="3740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1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CE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高清网络电梯专用摄像机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2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2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DH-IPC-HDPW5497XDC-PVD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09B6E1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★1、采用不低于1/3英寸CMOS传感器；像素≥400万或最大分辨率≥2560×1440。提供第三方机构出具的具有CMA标志的检测报告扫描件（GB/T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3、内置≥1颗红外灯；≥1颗暖光灯；最大补光距离：≥10m；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4、镜头类型：定焦；焦距≤2.8mm。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5、视场角：水平：≥102°；垂直：≥54°；对角：≥121°。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★6、支持对电瓶车进入电梯行为的检测。当电梯内有电瓶车推入触发设定规则时，联动声光报警，实现事中震慑，并联动梯控系统阻止电梯关门，有效干预。提供承诺函或厂家技术白皮书。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▲7、可识别电梯内电子屏幕上的实时楼层信息,并通过OSD展示,楼层信息可实时上报，当设备进行重启操作后,无需重新配置楼层信息,监控画面可正确显示当前楼层。提供承诺函或厂家技术白皮书。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9、内置≥1个MIC；内置≥1个扬声器。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10、报警事件：无SD卡；SD卡空间不足；SD卡出错；网络断开；IP冲突；非法访问；动态检测；视频遮挡；场景变更；音频异常侦测；电压检测；外部报警；安全异常。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12、报警输入：≥1路；报警输出：≥1路。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13、供电方式：DC12V。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6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D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6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F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9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1252 </w:t>
            </w:r>
          </w:p>
        </w:tc>
      </w:tr>
      <w:tr w14:paraId="43A2C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F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9E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D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1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DH-WBD2-60N-01L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BD9C95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1、网桥网络接口：具备1个10/100Mbps自协商以太网上行口、1个10/100Mbps自协商以太网下行口。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2、无线标准：不低于IEEE 802.11 b/g/n。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3、工作频率：2.4GHz - 2.484GHz。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4、无线传输距离：≥200m。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5、整机最大无线传输速率≥300Mbps。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6、数码显示屏：支持，可显示工作模式和信道等信息。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7、拨码开关：1个，可通过拨码调整网桥工作模式。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8、工作温度：-20℃～+55℃。</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E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1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A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C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F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1446 </w:t>
            </w:r>
          </w:p>
        </w:tc>
      </w:tr>
      <w:tr w14:paraId="0A6B0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38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A3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7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2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DH-PFM320D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1B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12V2A，符合CCC要求。</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1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2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9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4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9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r>
      <w:tr w14:paraId="6AE91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D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2F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1#2#教室监控</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736C">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6C37">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D46A">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5396">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177E">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23BB">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D97C">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12B8">
            <w:pPr>
              <w:jc w:val="center"/>
              <w:rPr>
                <w:rFonts w:hint="eastAsia" w:ascii="宋体" w:hAnsi="宋体" w:eastAsia="宋体" w:cs="宋体"/>
                <w:i w:val="0"/>
                <w:iCs w:val="0"/>
                <w:color w:val="000000"/>
                <w:sz w:val="18"/>
                <w:szCs w:val="18"/>
                <w:u w:val="none"/>
              </w:rPr>
            </w:pPr>
          </w:p>
        </w:tc>
      </w:tr>
      <w:tr w14:paraId="1D4C1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1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19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广角半球摄像机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3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8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DH-IPC-HDBW8597XR1-BD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62DE65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★1、采用不低于1/2.8英寸CMOS传感器；像素≥400万或最大分辨率≥2560×1440。提供第三方机构出具的具有CMA标志的检测报告扫描件（GB/T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3、内置红外灯；最大补光距离：≥50米。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4、镜头类型：定焦；视场角：水平：≥172°；垂直：≥100°。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7、宽动态≥120dB；走廊模式：90°/270°。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★8、内置MIC。提供承诺函或厂家技术白皮书。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9、异常行为分析：支持徘徊检测、区域入侵、人员聚集、绊线入侵、攀高检测、单人独处、起身检测、离岗检测、停留检测。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徘徊检测；区域入侵；人员聚集；绊线入侵；攀高检测；单人独处；起身检测；离岗检测；停留检测；剧烈运动检测；快速移动；物品遗留；物品搬移；停车检测；场景变更；音频异常侦测；电压检测；外部报警；人脸检测；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11、接入标准：ONVIF；CGI；GB/T28181；GA/T 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14、供电方式：DC12V或PoE；防暴等级≥IK10。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C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E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E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AA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B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27560 </w:t>
            </w:r>
          </w:p>
        </w:tc>
      </w:tr>
      <w:tr w14:paraId="641C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A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7E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拾音器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4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E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DH-HSP202</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FE84B9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1、连接方式：4条引线（电源正极、电源负极、信号正极、信号负极）。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2、拾音范围：1～150平方米，约半径7米。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3、灵敏度：-38dB±1dB（re 0dB=1V/Pa@1kHz）。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4、信噪比：70dB（1KHz &amp; Max dB 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5、指向特性：全指向性。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6、动态范围：40dB（1KHz &amp; Max dB 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7、含配套电源。</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B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25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A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7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1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8762 </w:t>
            </w:r>
          </w:p>
        </w:tc>
      </w:tr>
      <w:tr w14:paraId="691D7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7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11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2#宿舍监控</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0EB0">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7827">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45CB">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B889">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85A6">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0CC">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90A2">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8FC2">
            <w:pPr>
              <w:jc w:val="center"/>
              <w:rPr>
                <w:rFonts w:hint="eastAsia" w:ascii="宋体" w:hAnsi="宋体" w:eastAsia="宋体" w:cs="宋体"/>
                <w:i w:val="0"/>
                <w:iCs w:val="0"/>
                <w:color w:val="000000"/>
                <w:sz w:val="18"/>
                <w:szCs w:val="18"/>
                <w:u w:val="none"/>
              </w:rPr>
            </w:pPr>
          </w:p>
        </w:tc>
      </w:tr>
      <w:tr w14:paraId="114B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2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C5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广角半球摄像机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C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C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DH-IPC-HDBW8597XR1-BD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638083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★1、采用不低于1/2.8英寸CMOS传感器；像素≥400万或最大分辨率≥2560×1440。提供第三方机构出具的具有CMA标志的检测报告扫描件（依据GB/T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3、内置红外灯；最大补光距离：≥50米。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4、镜头类型：定焦；视场角：水平：≥172°；垂直：≥100°。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7、宽动态≥120dB；走廊模式：90°/270°。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★8、内置MIC。提供承诺函或厂家技术白皮书。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9、异常行为分析：支持徘徊检测、区域入侵、人员聚集、绊线入侵、攀高检测、单人独处、起身检测、离岗检测、停留检测。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徘徊检测；区域入侵；人员聚集；绊线入侵；攀高检测；单人独处；起身检测；离岗检测；停留检测；剧烈运动检测；快速移动；物品遗留；物品搬移；停车检测；场景变更；音频异常侦测；电压检测；外部报警；人脸检测；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11、接入标准：ONVIF；CGI；GB/T28181；GA/T 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14、供电方式：DC12V或PoE；防暴等级≥IK10。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E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8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6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B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8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63600 </w:t>
            </w:r>
          </w:p>
        </w:tc>
      </w:tr>
      <w:tr w14:paraId="51CE5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22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12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结构化半球摄像机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3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5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DH-IPC-HDBW8479E1X-ZRLD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8904AC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★1、采用不低于1/1.8英寸CMOS传感器；像素≥400万或最大分辨率≥2560×1440。提供第三方机构出具的具有CMA标志的检测报告扫描件（依据GB/T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3、内置红外灯补光灯；最大补光距离：≥35m（视频监控距离）；≥6m（人脸检测距离）。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4、镜头类型：电动变焦；最小焦距≤2.7mm，最大焦距≥12mm。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▲5、支持变焦镜头全焦段图像畸变校正功能，相机从短焦到长焦变倍全过程均可同步自动进行画面畸变校正。提供相关证明材料扫描件（原厂技术白皮书或检测报告任意一种均可）。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相同照度场景下，速度不同的运动目标，同时经过监控画面时，相机可自适应控制≥2套快门曝光时间或对不同移动速度目标分类曝光，来适配不同速度目标，以保证抓拍目标图片效果。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机动车、非机动车、行人、人脸检测抓拍及布防，支持机动车车牌号码、车牌颜色、车牌类型属性识别；人脸检测：支持人脸、人体检测抓拍及人脸、人体属性提取，并实现人脸、人体关联，可支持40张人脸并发检测，支持抓拍优选，自动筛选出抓拍质量最优的图片。 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★8、宽动态能力综合得分≥140或宽动态≥120dB。提供相关证明材料扫描件（原厂技术白皮书或检测报告任意一种均可）。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★9、内置MIC；内置扬声器。提供承诺函或厂家技术白皮书。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网络断开；IP冲突；非法访问；动态检测；视频遮挡；绊线入侵；区域入侵；快速移动；物品遗留；物品搬移；徘徊检测；人员聚集；停车检测；场景变更；音频异常侦测；电压检测；虚焦侦测；外部报警；人脸检测；人脸识别；视频结构化；区域内人数统计；人数统计；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11、接入标准：ONVIF，CGI，GB/T28181，GA/T1400，GB/35114A。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12、RS-485接口：≥1个；音频输入：≥2路；音频输出：≥1路；报警输入：≥3路；报警输出：≥2路；模拟输出接口：≥1路。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13、电源返送：支持DC12V电源返送。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14、供电方式：DC12V/AC24V/PoE；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15、防护等级：≥IP67；防暴等级≥IK10。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D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E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D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D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2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38160 </w:t>
            </w:r>
          </w:p>
        </w:tc>
      </w:tr>
      <w:tr w14:paraId="5B799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2"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1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60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鱼眼网络半球摄像机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0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9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DH-IPC-EW5541Q-QLAS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7E4967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★1、采用不低于1/2.8英寸CMOS传感器；像素≥500万或最大分辨率≥2560×1920。提供第三方机构出具的具有CMA标志的检测报告扫描件（依据GB/T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2、最低照度：≤0.01lux（彩色模式）；≤0.001lux（黑白模式）；≤0lux（补光灯开启）。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3、内置补光灯，最大补光距离：15m（红外）。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★5、视场角：水平：≥180°。提供第三方机构出具的具有CMA标志的检测报告扫描件（依据GB/T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6、周界防范：绊线入侵；区域入侵。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7、支持H.264、H.265智能编码。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8、宽动态：120dB。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9、支持内置1个MIC。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事件：无SD卡；SD卡空间不足；SD卡出错；SD卡寿命不足（安防智能卡支持）；网络断开；IP冲突；非法访问；动态检测；视频遮挡；绊线入侵；区域入侵；场景变更；音频异常侦测；电压检测；外部报警；区域内人数统计；滞留报警；人数异常检测；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11、接入标准：ONVIF；CGI；GB/T28181。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12、音频输入：≥1路；音频输出：≥1路；报警输入：≥1路；报警输出：≥1路。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13、供电方式：DC12V或PoE。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4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2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84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7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4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27450 </w:t>
            </w:r>
          </w:p>
        </w:tc>
      </w:tr>
      <w:tr w14:paraId="0CA7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9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B8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防水拾音器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0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C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HS-34S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0B59F3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1、连接方式：3条引线（电源、音频、公共地）；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2、拾音范围：5米；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3、灵敏度：优于-48dB；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4、信噪比：优于80dB（1米40 dB音源SPL）、优于30dB(10米40dB 音源SPL)1KHz at 1 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5、指向特性：单一指向性，90度；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6、动态范围：100dB(1KHz at Max dB 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7、防水等级：IP66。</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E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CF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D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9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F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37560 </w:t>
            </w:r>
          </w:p>
        </w:tc>
      </w:tr>
      <w:tr w14:paraId="0780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F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CE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晾晒区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5EF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36CC">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1CCC">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E37F">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0405">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8699">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B1B8">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B72C">
            <w:pPr>
              <w:jc w:val="center"/>
              <w:rPr>
                <w:rFonts w:hint="eastAsia" w:ascii="宋体" w:hAnsi="宋体" w:eastAsia="宋体" w:cs="宋体"/>
                <w:i w:val="0"/>
                <w:iCs w:val="0"/>
                <w:color w:val="000000"/>
                <w:sz w:val="18"/>
                <w:szCs w:val="18"/>
                <w:u w:val="none"/>
              </w:rPr>
            </w:pPr>
          </w:p>
        </w:tc>
      </w:tr>
      <w:tr w14:paraId="757D4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0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14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高清网络半球摄像机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C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B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DH-IPC-HDBW54CZQR1L-ZFL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063120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★1、采用不低于1/3英寸CMOS传感器；像素≥400万或最大分辨率≥2560×1440。提供第三方机构出具的具有CMA标志的检测报告扫描件（依据GB/T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3、内置红外灯；最大补光距离：≥50米。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4、镜头类型：定焦；焦距可选。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6、支持智能编码：H.264、H.265。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7、宽动态：120dB；走廊模式：90°/270°。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★8、内置MIC。提供承诺函或厂家技术白皮书。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9、报警事件：无SD卡；SD卡空间不足；SD卡出错；网络断开；IP冲突；非法访问；动态检测；视频遮挡；绊线入侵；区域入侵；徘徊检测；人员聚集；音频异常侦测；电压检测；外部报警；安全异常。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10、接入标准：ONVIF；CGI；GB/T28181；GA/T 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11、音频输入：≥1路；音频输出：≥1路；报警输入：≥2路；报警输出：≥2路。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13、供电方式：DC12V或PoE；防暴等级≥IK10。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42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0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F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B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4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28900 </w:t>
            </w:r>
          </w:p>
        </w:tc>
      </w:tr>
      <w:tr w14:paraId="0D55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8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A8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报警按钮</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783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D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DH-ARD811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B3186A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1、支持常开/常闭的触点模式，一键紧急报警。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2、支持86盒安装方式，螺丝固定。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3、支持电压≤250VDC，电流≤300mA的环境下工作。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4、设备无需供电。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5、自带配套复位钥匙，出警确认警情，通过钥匙复位。</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5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7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2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A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C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r>
      <w:tr w14:paraId="2407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4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9F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声光警号</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F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9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DH-ARA11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0F49D7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1、ABS材质；报警联动配件。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2、闪动次数/分钟：300±30次；声压：108±3dB（30cm处）。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3、额定电压：12VDC；工作电压范围：9~15VDC；额定电流≤140mA。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4、安装环境：室内安装。</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F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2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D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6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 </w:t>
            </w:r>
          </w:p>
        </w:tc>
      </w:tr>
      <w:tr w14:paraId="7EA9D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3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16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单防区输入输出防区模块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4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7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DH-ARM911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603589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单防区扩展；单路继电器输出扩展；常开、常闭类型探测器可选；最大级联数120；通信协议Mbus。</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7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8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D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0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A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 </w:t>
            </w:r>
          </w:p>
        </w:tc>
      </w:tr>
      <w:tr w14:paraId="2AB51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3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0A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阳光食堂</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70DE">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6B51">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3182">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6625">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5116">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D8D4">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A31E">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2BA1">
            <w:pPr>
              <w:jc w:val="center"/>
              <w:rPr>
                <w:rFonts w:hint="eastAsia" w:ascii="宋体" w:hAnsi="宋体" w:eastAsia="宋体" w:cs="宋体"/>
                <w:i w:val="0"/>
                <w:iCs w:val="0"/>
                <w:color w:val="000000"/>
                <w:sz w:val="18"/>
                <w:szCs w:val="18"/>
                <w:u w:val="none"/>
              </w:rPr>
            </w:pPr>
          </w:p>
        </w:tc>
      </w:tr>
      <w:tr w14:paraId="5C88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D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A0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防油污摄像机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5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6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DH-IPC-HFW7497RM-ASFCI</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980A30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★1、采用不低于≥1/2.7英寸CMOS传感器；像素≥400万或最大分辨率≥2560×1440。提供第三方机构出具的具有CMA标志的检测报告扫描件（依据GB/T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2、最低照度：彩色：≤0.0002lux，黑白：≤0.0001lux，≤0Lux（红外灯开启）。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3、内置红外灯和暖光灯，最大补光距离：≥80m（红外视频监控距离）≥30m（暖光视频监控距离）≥10m（暖光人脸检测距离）。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4、镜头类型：定焦。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5、通用行为分析：物品遗留，物品搬移。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▲6、支持对老鼠、垃圾桶未盖、玩手机的目标、目标是否戴口罩、是否戴帽子、衣服颜色或是否穿工作服进行检测并触发报警。提供第三方机构出具的具有CMA标志的检测报告扫描件（依据GB/T 15211-2013或GA/T 1127-2013等现行国家标准）。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7、支持接入电量传感器,当电流、电压超过预设的阈值时可触发报警。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报警事件：无SD卡，SD卡空间不足，SD卡出错，网络断开，IP冲突，非法访问，动态检测，视频遮挡，绊线入侵，区域入侵，快速移动，物品遗留，物品搬移，徘徊检测，人员聚集，停车检测，场景变更，音频异常侦测，外部报警，人脸检测，区域内人数统计，滞留报警，人数统计，安全异常，玩手机，垃圾桶未盖，传感器报警，老鼠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9、接入标准：ONVIF；CGI；GB/T28181；GA/T1400。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10、RS-485接口：≥1个；音频输入：≥1路；音频输出：≥1路；报警输入：≥2路；报警输出：≥2路；模拟输出接口：≥1路。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11、电源返送：支持DC12V电源返送。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12、供电方式：DC12V/PoE；防护等级：≥IP67。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★13、提供SD或TF卡槽,承诺可通过加装安全加密卡对接公安视频数据加密平台、实现安全升级以符合GB35114A级标准对前端面摄像机基于数字证书的双向身份认证功能，提供承诺函。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F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4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0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2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3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13460 </w:t>
            </w:r>
          </w:p>
        </w:tc>
      </w:tr>
      <w:tr w14:paraId="3548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9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16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安装辅材</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348A">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634F">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CBA1">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FD58">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C482">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C310">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AA4D">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7E0E">
            <w:pPr>
              <w:jc w:val="center"/>
              <w:rPr>
                <w:rFonts w:hint="eastAsia" w:ascii="宋体" w:hAnsi="宋体" w:eastAsia="宋体" w:cs="宋体"/>
                <w:i w:val="0"/>
                <w:iCs w:val="0"/>
                <w:color w:val="000000"/>
                <w:sz w:val="18"/>
                <w:szCs w:val="18"/>
                <w:u w:val="none"/>
              </w:rPr>
            </w:pPr>
          </w:p>
        </w:tc>
      </w:tr>
      <w:tr w14:paraId="2A945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3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67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围墙摄像机支架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2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3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FA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根据现场安装环境配套围墙摄像机短杆支架；材质铝合金或白钢支架。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0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7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E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0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E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1463 </w:t>
            </w:r>
          </w:p>
        </w:tc>
      </w:tr>
      <w:tr w14:paraId="40987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0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7D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监控立杆</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A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1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B4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1.长度：4m；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2.含地笼浇筑（混凝土浇筑≥600*600*800mm)、连接线缆等；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3.含抱杆箱；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4.含电源防雷器、光缆熔接所需材料（熔纤盘、尾纤、耦合器、跳纤等）。</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C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常州</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9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5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F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3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3084 </w:t>
            </w:r>
          </w:p>
        </w:tc>
      </w:tr>
      <w:tr w14:paraId="5A29A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5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90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摄像机支架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C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BD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39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材质铝合金或白钢支架，满足吊装/壁装多种场景。</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D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B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2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E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C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14250 </w:t>
            </w:r>
          </w:p>
        </w:tc>
      </w:tr>
      <w:tr w14:paraId="03E20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D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32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球机支架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7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1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3D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铝合金或白钢球机安装支架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4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5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2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2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C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2310 </w:t>
            </w:r>
          </w:p>
        </w:tc>
      </w:tr>
      <w:tr w14:paraId="1C78F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F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CF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网络传输系统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BADE">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8362">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3F1F">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1674">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7A1A">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2E04">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B865">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2854">
            <w:pPr>
              <w:jc w:val="center"/>
              <w:rPr>
                <w:rFonts w:hint="eastAsia" w:ascii="宋体" w:hAnsi="宋体" w:eastAsia="宋体" w:cs="宋体"/>
                <w:i w:val="0"/>
                <w:iCs w:val="0"/>
                <w:color w:val="000000"/>
                <w:sz w:val="18"/>
                <w:szCs w:val="18"/>
                <w:u w:val="none"/>
              </w:rPr>
            </w:pPr>
          </w:p>
        </w:tc>
      </w:tr>
      <w:tr w14:paraId="05C68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2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05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网络控制器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7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7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NMC-8620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F2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1.自带2个千兆电口，可管理≥288个设备节点，内置≥128G SSD硬盘，支持WEB中英文图形化界面管理，支持CLI、Telnet、SSH等管理方式。（提供功能截图证明）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▲2.具备统一web管理页面，可接入无线、交换机、分支组网、用户认证、安全配置等组件，实现统一运维管理。（提供功能截图证明）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3.支持不低于3级网络设备管理分组，支持SNMP v1/v2/v3、SNMP Traps、持MIB库；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4.支持交换机代理上线功能，完成平台配置后即可自动发现同一个二层网络中的所有交换机自动上线，实现快速部署；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5.支持拓扑图放大、缩放各区域网络模块，并支持拓扑对象按名称、IP、MAC等快速查找；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▲6.支持图形化IP地址池管理，实现IP地址画像管理，并可查看相关信息，如发生冲突的IP地址、获取IP地址失败的终端、地址池利用率、IP分配次数分布等。（提供功能截图证明）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▲7.支持交换机可视化管理，实现100%去命令行统一下发配置，包括但不限于IP、VLAN、链路聚合、防环路、路由、组播、ACL、QoS、镜像、M-LAG、VRRP等配置。（提供功能截图证明）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8.支持查看交换机离线统计、交换机供电负载、系统资源、芯片资源、流量负载、帧类型分析、报文分析、网络协议报文接收速率分析。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9.支持管理员分权分级，不同的管理员拥有不同的管理权限，包括精细的页面修改查看权限和接入点管辖权限以及是否允许登陆数据中心等，方便网络的维护管理。（提供功能截图证明）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▲10.所投产品需具备同等功能的软件著作权证书（提供产品软件著作权扫描件）。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为了保证系统安全，要求采用本地化硬件部署方式，并提供项目本次所需的所有软件授权数量（不少于200路）。提供承诺函，中标通知书发出后、合同签订前须提供被授权方为甲方的授权函并加盖软件系统原厂公章。</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E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A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1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1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F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13400 </w:t>
            </w:r>
          </w:p>
        </w:tc>
      </w:tr>
      <w:tr w14:paraId="1B54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E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9B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终端分析组件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9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D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信锐网科智能网络分析软件V3.0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38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▲1.内置终端识别库，支持终端类型识别。例如：办公设备（视频会议设备、VOIP电话设备等）、打印机或扫描仪、摄像头、电视盒子、移动终端、路由器等（提供组件终端识别库截图证明）。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▲2.支持终端类型库，基于指纹自动识别PC、路由器、摄像头设备、无线AP等。提供承诺函或第三方检测机构出具的具有CMA认证印章的全文测试报告。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▲3.支持基于终端类型自动识别结果，禁止非法终端(例如私接路由器)接入。提供承诺函或第三方检测机构出具的具有CMA认证印章的全文测试报告。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4.支持终端类型准入控制，可对非指定类型终端非法接入，通过短信通知、手机APP通知，并同时将终端加入黑名单冻结；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5.支持终端MAC地址与IP地址绑定，实现终端IP地址准入控制；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6.支持终端接入位置管控；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7.支持基于逻辑分区的安全风险状态统计，包含但不限于保护终端数量、拦截终端数量、攻击终端数量，以及上述终端明细情况（提供实际功能截图）。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8.支持基于时间、逻辑区域、服务类型、访问状态、攻击类型等多个维度统计访问终端和被访问终端的详细信息（提供实际功能截图）。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9.支持查看到网络账号安全状况，感知潜在风险，并通过图形报表直观展示系统安全事件。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▲10.支持查看监控设备终端MAC地址、终端IP地址、终端类型、最近接入交换机端口、最近接入时间，并可详细查看该终端活跃状态、安全事件、流量趋势（提供实际功能截图）。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11.支持从不安全终端数、终端类型异常、终端位置异常、终端地址异常等维度查看接入终端安全事件。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12.支持实时查看有线接入终端当前的安全状态，例如：在线终端、风险终端、拦截终端。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13.支持查看内网终端攻击服务类型占比分析、服务访问状态、终端类型分布。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▲14.支持在交换机上创建东西向安全策略，实现全网安全风险拦截。提供承诺函或第三方检测机构出具的具有CMA认证印章的全文测试报告。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▲15.为提高系统兼容性对接，需支持联动第三方安全设备或平台，通过联动实现从系统及接入层交换机对风险终端MAC地址进行封堵。提供承诺函或第三方检测机构出具的具有CMA认证印章的全文测试报告。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▲16.所投产品需具备同等功能的软件著作权证书（提供产品软件著作权证书扫描件）。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为了保证系统安全，要求采用本地化硬件部署方式，并提供项目本次所需的所有软件授权数量（不少于2000路）。提供承诺函，中标通知书发出后、合同签订前须提供被授权方为甲方的授权函并加盖软件系统原厂公章。</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7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E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5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1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2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7708 </w:t>
            </w:r>
          </w:p>
        </w:tc>
      </w:tr>
      <w:tr w14:paraId="6142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2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4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02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设备网核心交换机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7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6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TS7905</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E2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★1.为保障核心业务稳定运转，设备交换容量≥29Tbps，包转发率≥9800 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★2.为保障核心层可靠性，设备应该支持主控槽位≥2，业务槽位≥3，整机支持≥2个电源模块。提供原厂技术白皮书或者产品画册或者（产品官网链接和截图）或者第三方检测机构出具的检测报告扫描件。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3.为保障后期网络扩展，设备需支持GE、10G、40G、100G等端口速率板卡；业务板卡支持最高端口密度为52个端口。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4.支持静态路由、支持RIP v1/v2、OSPF，支持策略路由、支持VRRP；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为保障核心设备稳定性，设备应支持芯片级系统级Flash双启动，避免因FLASH芯片故障导致交换机无法启动。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▲6.为更好地实现交换机自动化上线：设备应支持支持二层广播自动发现、配置静态IP地址三层发现、DHCP Option43方式发现、DNS域名发现网管中心平台。提供原厂技术白皮书或者产品画册或者（产品官网链接和截图）或者第三方检测机构出具的检测报告扫描件。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为简化交换机管理，设备需支持交换机板卡面板及可视化，整体机框状态直观可视，电源风扇、风扇状态可视，异常情况直观可视。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★8.所投交换机需具备工信部颁发的电信设备入网许可证书。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配置要求：总装机箱1套，主控板≥2块，交流电源模块≥2块，满配风扇框；万兆光口≥4个、千兆光口≥24个、千兆电口≥24个。提供原厂技术白皮书或者产品画册或者（产品官网链接和截图）或者第三方检测机构出具的检测报告扫描件或者承诺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C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6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B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8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4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r>
      <w:tr w14:paraId="50E0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F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AB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8电口POE千兆交换机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8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3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RS3320-12M-PWR-LI</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44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▲1.千兆POE电口≥8个，1G/2.5G SFP光口≥4个，1个Console口。提供原厂技术白皮书或者产品画册或者（产品官网链接和截图）或者第三方检测机构出具的检测报告扫描件。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▲2.交换能力≥336Gbps ，包转发速率≥27Mpps。提供原厂技术白皮书或者产品画册或者（产品官网链接和截图）或者第三方检测机构出具的检测报告扫描件。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▲3.支持不低于802.3at POE+功能 ；POE功率≥120W，每个千兆电口最大支持POE输出功率≥30W。提供原厂技术白皮书或者产品画册或者（产品官网链接和截图）或者第三方检测机构出具的检测报告扫描件。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4.支持静态路由、RIP V1/V2、OSPF、RIPng等，支持 IPv4 和 IPv6 的三层路由和组播功能。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5.支持基于端口的VLAN，支持基于协议的VLAN，支持基于MAC的VLAN。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6.支持多台交换机堆叠，支持端口聚合，支持LACP。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7.实现CPU保护功能，能限制非法报文对CPU的攻击，保护交换机在各种环境下稳定工作。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8.防雷能力：为适应雷雨天气下设备能够正常运转不受影响，≥6KV业务端口防雷能力。提供原厂技术白皮书或者产品画册或者（产品官网链接和截图）或者第三方检测机构出具的检测报告扫描件。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9.支持MAC地址≥32K，ARP表项≥4K，IPv4 FIB表项≥1K。提供原厂技术白皮书或者产品画册或者（产品官网链接和截图）或者第三方检测机构出具的检测报告扫描件。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10.支持RIP、RIPng、OSPF、OSPFv3路由协议。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 为禁止非法终端(例如私接路由器)接入；需支持终端类型库，能自动识别PC、路由器、监控终端设备等，提供终端类型识别库截图证明。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★12.为满足网络安全建设需求，交换机需满足《信息安全技术交换机安全技术要求 GA/T 684-2007》,符合安全交换机标准。（需提供所投产品的封面盖有CMA章的国家权威检测机构出具的报告并加盖公章）（检测依据标准：信息安全技术交换机安全技术要求GAT684-2007(第二级)、信息安全技术交换机安全评估准则GA/T685-2007(第二级)、信息安全技术通用渗透测试检测条件JCTJ005-2016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★13.所投产品具备工业和信息化部颁发的进网许可证（CTA认证），提供证书扫描件和工信部网站查询的进网许可截图。</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A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C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A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2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8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19602 </w:t>
            </w:r>
          </w:p>
        </w:tc>
      </w:tr>
      <w:tr w14:paraId="58635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A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49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24电口千兆POE交换机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9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B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RS3300-28M-PWR-SI-24T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6F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≥24个千兆电口，≥1G/2.5G SFP光口；1个Console口。提供原厂技术白皮书或者产品画册或者（产品官网链接和截图）或者第三方检测机构出具的检测报告扫描件。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交换能力≥336Gbps ，包转发速率≥96Mpps。提供原厂技术白皮书或者产品画册或者（产品官网链接和截图）或者第三方检测机构出具的检测报告扫描件。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▲3.支持不低于802.3at POE+功能 ；POE功率≥370W，每个千兆电口最大支持POE输出功率≥30W。提供原厂技术白皮书或者产品画册或者（产品官网链接和截图）或者第三方检测机构出具的检测报告扫描件。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4.支持静态路由、RIP V1/V2、OSPF、RIPng等，支持 IPv4 和 IPv6 的三层路由和组播功能。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5.支持基于端口的VLAN，支持基于协议的VLAN，支持基于MAC的VLAN。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6.支持多台交换机堆叠，支持端口聚合，支持LACP。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7.实现CPU保护功能，能限制非法报文对CPU的攻击，保护交换机在各种环境下稳定工作。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8.防雷能力：为适应雷雨天气下设备能够正常运转不受影响，≥6KV业务端口防雷能力。提供原厂技术白皮书或者产品画册或者（产品官网链接和截图）或者第三方检测机构出具的检测报告扫描件。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9.支持MAC地址≥32K，ARP表项≥4K，IPv4 FIB表项≥1K。提供原厂技术白皮书或者产品画册或者（产品官网链接和截图）或者第三方检测机构出具的检测报告扫描件。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10.支持RIP、RIPng、OSPF、OSPFv3路由协议。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 为禁止非法终端(例如私接路由器)接入；需支持终端类型库，能自动识别PC、路由器、监控终端设备等。提供终端类型识别库截图证明。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★12.为满足网络安全建设需求，交换机需满足《信息安全技术交换机安全技术要求 GA/T 684-2007》,符合安全交换机标准。（需提供封面盖有CMA章的国家权威检测机构出具的报告并加盖公章）（检测依据标准：信息安全技术交换机安全技术要求GAT684-2007(第二级)、信息安全技术交换机安全评估准则GA/T685-2007(第二级)、信息安全技术通用渗透测试检测条件JCTJ005-2016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★13.所投产品具备工业和信息化部颁发的进网许可证（CTA认证），提供证书扫描件和工信部网站查询的进网许可截图。</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8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F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7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F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4143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D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107718 </w:t>
            </w:r>
          </w:p>
        </w:tc>
      </w:tr>
      <w:tr w14:paraId="2D453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4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F1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24口千兆接入交换机（门禁）</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F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F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RS5300-28T-4F</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6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▲1.为保障设备线速转发能力，设备的交换容量≥670Gbps，包转发率≥120Mpps。提供原厂技术白皮书或者产品画册或者（产品官网链接和截图）或者第三方检测机构出具的检测报告扫描件。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▲2.为保障足够的接入能力，千兆电口≥24个，1G/2.5G/10G 光口≥4个。提供原厂技术白皮书或者产品画册或者（产品官网链接和截图）或者第三方检测机构出具的检测报告扫描件。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3.支持IPv4静态路由、RIP V1/V2、OSPF，支持IPv6静态路由、RIPng，支持 IPv4 和 IPv6 的三层路由和组播功能。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4.支持多台交换机堆叠。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5.支持基于端口的VLAN，支持基于协议的VLAN；支持基于MAC的VLAN。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6.支持最多8个端口聚合；支持LACP。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7.支持基于第二层、第三层和第四层的ACL；支持基于端口和VLAN的 ACL；支持出方向ACL，以便于灵活实现数据包过滤。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8.实现CPU保护功能，能限制非法报文对CPU的攻击，保护交换机在各种环境下稳定工作； 支持 ARP 网关欺骗防御功能， 能够防止非法用户针对网关的欺骗； 支持 ICMP 抗攻击、DoS Protection 抗攻击等防御功能。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9.要求所投产品支持防雷等级≥8KV。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10.支持MAC地址≥16K，ARP表项≥1K，IPv4 FIB表项≥1K。提供原厂技术白皮书或者产品画册或者（产品官网链接和截图）或者第三方检测机构出具的检测报告扫描件。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11.支持RIP、RIPng、OSPF、OSPFv3路由协议。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 ERPS 以太环保护协议（G.8032）。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▲13.为禁止非法终端(例如私接路由器)接入；需支持终端类型库，能自动识别PC、路由器、监控终端设备等，提供终端类型识别库截图证明；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★14.为满足网络安全建设需求，交换机需满足《信息安全技术交换机安全技术要求 GA/T 684-2007》,符合安全交换机标准。（需提供所投产品的封面盖有CMA章的第三方检测机构出具的报告并加盖公章）（检测依据标准：信息安全技术交换机安全技术要求GAT684-2007(第二级)、信息安全技术交换机安全评估准则GA/T685-2007(第二级)、信息安全技术通用渗透测试检测条件JCTJ005-2016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★15.所投产品具备工业和信息化部颁发的进网许可证（CTA认证），提供证书扫描件和工信部网站查询的进网许可截图。</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8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E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B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5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5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2746 </w:t>
            </w:r>
          </w:p>
        </w:tc>
      </w:tr>
      <w:tr w14:paraId="73A0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8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81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48口千兆接入交换机(门禁)</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A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B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NS5320-54X-SI-48T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D7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▲1.为保障设备线速转发能力，设备的交换容量≥600Gbps，包转发率≥160Mpps。提供原厂技术白皮书或者产品画册或者（产品官网链接和截图）或者第三方检测机构出具的检测报告扫描件。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▲2.为保障多样化接入能力，千兆电口≥48个，1G/2.5G/10G 光口≥4个。提供原厂技术白皮书或者产品画册或者（产品官网链接和截图）或者第三方检测机构出具的检测报告扫描件。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3.支持IPv4静态路由、RIP V1/V2、OSPF，支持IPv6静态路由、RIPng，支持 IPv4 和 IPv6 的三层路由和组播功能。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4.支持多台交换机堆叠。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5.支持基于端口的VLAN，支持基于协议的VLAN；支持基于MAC的VLAN。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6.支持最多8个端口聚合；支持LACP。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7.支持基于第二层、第三层和第四层的ACL；支持基于端口和VLAN的 ACL；支持出方向ACL，以便于灵活实现数据包过滤。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8.实现CPU保护功能，能限制非法报文对CPU的攻击，保护交换机在各种环境下稳定工作； 支持 ARP 网关欺骗防御功能， 能够防止非法用户针对网关的欺骗； 支持 ICMP 抗攻击、DoS Protection 抗攻击等防御功能。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9.要求所投产品支持防雷等级≥8KV。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10.支持MAC地址≥16K，ARP表项≥1K，IPv4 FIB表项≥1K。提供原厂技术白皮书或者产品画册或者（产品官网链接和截图）或者第三方检测机构出具的检测报告扫描件。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11.支持RIP、RIPng、OSPF、OSPFv3路由协议。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 ERPS 以太环保护协议（G.8032）。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▲13.为禁止非法终端(例如私接路由器)接入；需支持终端类型库，能自动识别PC、路由器、监控终端设备等，提供终端类型识别库截图证明；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★14.为满足网络安全建设需求，交换机需满足《信息安全技术交换机安全技术要求 GA/T 684-2007》,符合安全交换机标准。（需提供所投产品的封面盖有CMA章的第三方检测机构出具的报告并加盖公章）（检测依据标准：信息安全技术交换机安全技术要求GAT684-2007(第二级)、信息安全技术交换机安全评估准则GA/T685-2007(第二级)、信息安全技术通用渗透测试检测条件JCTJ005-2016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★15.所投产品具备工业和信息化部颁发的进网许可证（CTA认证），提供证书扫描件和工信部网站查询的进网许可截图。</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6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A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5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F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4336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1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30352 </w:t>
            </w:r>
          </w:p>
        </w:tc>
      </w:tr>
      <w:tr w14:paraId="0453A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7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FB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光纤收发器-外场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5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恒信和安</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2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MIB12G-4EGP1GF-EI</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EB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单模单纤千兆一光4电口POE交换机，工作温度-45°-85°， 含两端光模块。</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F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江苏</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5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0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3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3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5302 </w:t>
            </w:r>
          </w:p>
        </w:tc>
      </w:tr>
      <w:tr w14:paraId="16DC5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2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70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24光口汇聚交换机-外场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4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8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RS5300-28X-SI-24S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75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▲1.100/1000 Base-X 千兆光口≥24个，复用的千兆电口≥4个（与前面的24个光口中的4个复用），10G SFP+万兆光口≥4个。提供原厂技术白皮书或者产品画册或者（产品官网链接和截图）或者第三方检测机构出具的检测报告扫描件。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▲2.交换容量≥672Gbps/6.72Tbps，包转发率≥171Mpps/309Mpps。提供原厂技术白皮书或者产品画册或者（产品官网链接和截图）或者第三方检测机构出具的检测报告扫描件。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3.支持≥32K MAC地址；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4.交换机支持：二层广播、配置静态IP地址、DHCP Option43、DNS域名等方式自动发现控制器平台；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5.支持通过控制平台一键替换“按钮”即可完成故障设备替换；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6.三层功能：支持静态路由、OSPF、RIP等动态路由；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 支持M-LAG技术，跨设备链路聚合，要求配对的设备有独立的控制平面，提供第三方检测报告及官网截图证明，并加盖公章。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 设备支持终端类型库，交换机能自动识别监控终端设备，提供终端类型识别库截图证明。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★9.所投产品具备工业和信息化部颁发的进网许可证（CTA认证），提供证书扫描件和工信部网站查询的进网许可截图。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★10.为满足网络安全建设需求，交换机需满足《信息安全技术交换机安全技术要求 GA/T 684-2007》,符合安全交换机标准。（需提供封面盖有CMA章的第三方检测机构出具的报告并加盖公章）（检测依据标准：信息安全技术交换机安全技术要求GAT684-2007(第二级)、信息安全技术交换机安全评估准则GA/T685-2007(第二级)、信息安全技术通用渗透测试检测条件JCTJ005-2016）</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E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7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9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D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2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 </w:t>
            </w:r>
          </w:p>
        </w:tc>
      </w:tr>
      <w:tr w14:paraId="5EC7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F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B9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24电口千兆交换机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7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D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RS5300-28T-4F</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96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▲1.为保障设备线速转发能力，设备的交换容量≥670Gbps，包转发率≥120Mpps。提供原厂技术白皮书或者产品画册或者（产品官网链接和截图）或者第三方检测机构出具的检测报告扫描件。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▲2.为保障足够的接入能力，千兆电口≥24个，1G/2.5G/10G 光口≥4个，1个Console口。提供原厂技术白皮书或者产品画册或者（产品官网链接和截图）或者第三方检测机构出具的检测报告扫描件。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3.支持IPv4静态路由、RIP V1/V2、OSPF，支持IPv6静态路由、RIPng，支持 IPv4 和 IPv6 的三层路由和组播功能。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4.支持多台交换机堆叠。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5.支持基于端口的VLAN，支持基于协议的VLAN；支持基于MAC的VLAN。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6.支持最多8个端口聚合；支持LACP。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7.支持基于第二层、第三层和第四层的ACL；支持基于端口和VLAN的 ACL；支持出方向ACL，以便于灵活实现数据包过滤。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8.实现CPU保护功能，能限制非法报文对CPU的攻击，保护交换机在各种环境下稳定工作； 支持 ARP 网关欺骗防御功能， 能够防止非法用户针对网关的欺骗； 支持 ICMP 抗攻击、DoS Protection 抗攻击等防御功能。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9.要求所投产品支持防雷等级≥8KV。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10.支持MAC地址≥16K，ARP表项≥1K，IPv4 FIB表项≥1K。提供原厂技术白皮书或者产品画册或者（产品官网链接和截图）或者第三方检测机构出具的检测报告扫描件。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11.支持RIP、RIPng、OSPF、OSPFv3路由协议。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 ERPS 以太环保护协议（G.8032）。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▲13.为禁止非法终端(例如私接路由器)接入；需支持终端类型库，能自动识别PC、路由器、监控终端设备等，提供终端类型识别库截图证明。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★14.为满足网络安全建设需求，交换机需满足《信息安全技术交换机安全技术要求 GA/T 684-2007》,符合安全交换机标准。（需提供封面盖有CMA章的第三方检测机构出具的报告并加盖公章）（检测依据标准：信息安全技术交换机安全技术要求GAT684-2007(第二级)、信息安全技术交换机安全评估准则GA/T685-2007(第二级)、信息安全技术通用渗透测试检测条件JCTJ005-2016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★15.所投产品具备工业和信息化部颁发的进网许可证（CTA认证），提供证书扫描件和工信部网站查询的进网许可截图。</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6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1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A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0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B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 </w:t>
            </w:r>
          </w:p>
        </w:tc>
      </w:tr>
      <w:tr w14:paraId="6DAC2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9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69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工业级千兆光纤收发器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0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恒信和安</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E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MIB12G-8E-4G-11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46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1、支持≥1个10/100/1000Base-X电口和≥1个1000Base-X FC/LC/SC光口。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2、交换容量≥10G。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3、全线速转发，卡轨式波纹型材机克，双电源输入，5.08m工业端子电源接口。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4、符合EMC工业四级要求，工作温度-45“85C。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5、具有国家强制认证3C证书。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6、支持ipv6。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7、≥IP40保护等级。</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B8C9">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1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5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A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9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964 </w:t>
            </w:r>
          </w:p>
        </w:tc>
      </w:tr>
      <w:tr w14:paraId="6AF0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B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61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万兆光模块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6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5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SFP-10G-SM1310-10KM</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A4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光收发一体模块SFP+ 万兆模块(1310nm、10km、LC)，光模块序列号官网或者400或邮件等方式可查。</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4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32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6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D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6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2696 </w:t>
            </w:r>
          </w:p>
        </w:tc>
      </w:tr>
      <w:tr w14:paraId="0168A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1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E7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千兆光模块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8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1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SFP-GE-SM1310-10KM</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56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光收发一体模块-SFP（1310nm、LC、10km），光模块序列号官网或者400或邮件等方式可查。</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D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7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A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1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D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98260 </w:t>
            </w:r>
          </w:p>
        </w:tc>
      </w:tr>
      <w:tr w14:paraId="49120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E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20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千兆光模块（80km）</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A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B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SFP-GE-SM1550-80KM</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26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光收发一体模块-SFP（1310nm、LC、80km），光模块序列号官网或者400或邮件等方式可查。</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0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5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1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5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6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5780 </w:t>
            </w:r>
          </w:p>
        </w:tc>
      </w:tr>
      <w:tr w14:paraId="4D02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6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7B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3米单模双芯光纤跳线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5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3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Style w:val="5"/>
                <w:lang w:val="en-US" w:eastAsia="zh-CN" w:bidi="ar"/>
              </w:rPr>
              <w:t>LR-JRLCLC-03S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4C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▲1.G.652D单模光纤，双芯，LSZH护套，光缆的光学性能、几何性能、机械性能、环境性能、安全性能等符合YD/T 1272.4-2020、YD/T 2152-2010、GB/T 9771-2020等现行国家或行业标准。提供符合现行国家或行业标准、由第三方检测机构出具的有CMA标志的检测报告扫描件。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2.长度规格≥3米。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技术规范：回拨损耗：单模＞50dB ； 插入损耗：最大值0.5dB，典型值0.2dB；套管外径：1.25mm；线缆直径：护套光纤：0.9mm，抗拉强度：护套光纤5N，单芯线缆100N，双芯线缆100N；工作温度：-40℃～75℃；使用寿命卡接次数≥1000次。</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0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7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4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1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A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15486 </w:t>
            </w:r>
          </w:p>
        </w:tc>
      </w:tr>
      <w:tr w14:paraId="5BC8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7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94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分控终端</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984A">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2F96">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6AE6">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2FF5">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9A0C">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7A25">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2A38">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E271">
            <w:pPr>
              <w:jc w:val="center"/>
              <w:rPr>
                <w:rFonts w:hint="eastAsia" w:ascii="宋体" w:hAnsi="宋体" w:eastAsia="宋体" w:cs="宋体"/>
                <w:i w:val="0"/>
                <w:iCs w:val="0"/>
                <w:color w:val="000000"/>
                <w:sz w:val="18"/>
                <w:szCs w:val="18"/>
                <w:u w:val="none"/>
              </w:rPr>
            </w:pPr>
          </w:p>
        </w:tc>
      </w:tr>
      <w:tr w14:paraId="0A78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4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7D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消控室</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4828">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7056">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FD88">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38B7">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3EB4">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A323">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0CB2">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CBCA">
            <w:pPr>
              <w:jc w:val="center"/>
              <w:rPr>
                <w:rFonts w:hint="eastAsia" w:ascii="宋体" w:hAnsi="宋体" w:eastAsia="宋体" w:cs="宋体"/>
                <w:i w:val="0"/>
                <w:iCs w:val="0"/>
                <w:color w:val="000000"/>
                <w:sz w:val="18"/>
                <w:szCs w:val="18"/>
                <w:u w:val="none"/>
              </w:rPr>
            </w:pPr>
          </w:p>
        </w:tc>
      </w:tr>
      <w:tr w14:paraId="133D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3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95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拼接屏</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A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7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DHL460UCM-EF</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BE657C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1、尺寸≥46寸；双边拼缝≤3.5mm。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2、分辨率：≥1920*1080；亮度：≥500cd/m2。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3、输入接口不低于：VGA(D-Sub)*1、CVBS(BNC)*2、DVI-D*1、HDMI*1、RS232(RJ45)*1、USB（升级和多媒体）*1。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4、输出接口不低于：CVBS(BNC)*2、RS232(RJ45)*1。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★5、提供所投产品有效期内的节能环保产品认证证书扫描件。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C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7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1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0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0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24800 </w:t>
            </w:r>
          </w:p>
        </w:tc>
      </w:tr>
      <w:tr w14:paraId="62959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9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6C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9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8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A0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拼接屏液压前维护支架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B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5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9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0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A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4624 </w:t>
            </w:r>
          </w:p>
        </w:tc>
      </w:tr>
      <w:tr w14:paraId="600E2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D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0C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4路高清解码器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E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0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DH-NVD0405DU-8K</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FD7EBE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★1、支持≥4路HDMI信号输出接口。 提供产品接口截图或厂家技术白皮书。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2、支持MPEG2/MPEG4/H.264/H.265/SVAC/MJPEG标准网络视频流解码。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3、支持QCIF/CIF/2CIF/HD1/D1/720p/1080p/3MP/5MP/6MP/8MP/12MP/32MP视频解码。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▲4、设备控制兼容国产操作系统。提供承诺函。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★5、支持不少于4*800W@30Hz、16*1080P@30Hz、36*720P@30Hz、64*D1同时解码。提供承诺函或厂家技术白皮书。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6、支持单屏1/4/6/8/9/16/25/36分割，支持M×N自由分割。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7、支持3840×2160， 1920×1080， 1280×1024， 1280×720， 1024×768五种显示分辨率。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8、支持Onvif、RTSP协议接入，支持国标GB28181接入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9、支持预案轮巡；支持底色选择；支持自定义分辨率输出。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10、支持多屏融合拼接。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11、支持≥1个10M/100M/1000M自适应以太网接口。</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A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5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9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D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4817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0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4817 </w:t>
            </w:r>
          </w:p>
        </w:tc>
      </w:tr>
      <w:tr w14:paraId="314C6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6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8F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网络键盘</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F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7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DH-NKB5200-F</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D7C9F0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1、采用不低于10.1英寸电容触摸屏，分辨率≥1280*800；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2、支持H.265、H.264、H264H、H264B、MJPEG、MPEG4、SVAC、SmartH.264 、非标码流等；最大16画面分割；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3、支持在触屏观看图像或通过HDMI将图像投到屏幕上；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4、支持支持抓图、录像功能，文件保存至U盘；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5、支持≥4路报警输入，高低电平可调；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6、支持≥4路报警输出，3路继电器，1路12V_1A可控；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7、支持≥16路200W(1080p)@30fps（4096Kb/s）；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8、支持最大2万路设备控制。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F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7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6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5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B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 </w:t>
            </w:r>
          </w:p>
        </w:tc>
      </w:tr>
      <w:tr w14:paraId="4B33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D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89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UPS主机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B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英威腾</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1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HT3110XL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C3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★1、单机容量≥10kVA，三进单出，满足后期负载扩容需求。提供承诺函或厂家技术白皮书。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★2、输入功率因数：≥0.99，输出功率因数为≥0.9， 整机效率在50%额定阻性负载时≥94%，提供第三方检测报告。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3、为保证旁路抗冲击能力及扩容要求，要求采用统一的集中旁路模块，旁路模块应可插拔维护，故障和热插拨时UPS应能正常双变换输出。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4、电池电压：32-44 节 12V 电池，偶数节可调。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5、保护功能：UPS系统需具备交流输入过欠压，输出短路、功率模块输出过载、电池电压低、输出过欠压、功率模块熔断器、系统熔断器、防雷等保护功能。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6、告警功能：UPS系统需具备交流输入过欠压，输出短路、功率模块输出过载、电池电压低、输出过欠压、风扇故障等告警功能。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7、UPS主机需具备RS232、RS485、USB等通讯接口，要求UPS必须提供远程EPO接口及可编程干 接点不少于7路（3路输入 、4路输出）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★8、所投UPS产品应具备泰尔等第三方检测机构出具的测试报告和节能产品认证证书。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3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0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2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5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1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14000 </w:t>
            </w:r>
          </w:p>
        </w:tc>
      </w:tr>
      <w:tr w14:paraId="75CB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9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00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后备电池（后备1小时）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7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宝迪BUDDY</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95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12V/100AH</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29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1、12V/100AH，免维护全密封铅酸蓄电池。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2、电池寿命：80%放电深度循环寿命＞600次，设计寿命≥12年，需具有依据YD/T 799-2024标准、由泰尔等第三方检测机构出具的盖有CMA标志的全文测试报告加盖公章。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3、蓄电电池规格：12V-100AH，阀控式铅酸蓄电池。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4、蓄电池壳、盖应符合GB/T 2408-2021中的第8．3．2HB（水平级）和第9.3.2V-0（垂直级）的要求。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5、密封反应效率：蓄电池密封反应效率≥99%。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6、容量保存率：蓄电池静置28天后其容量保存率≥98%。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7、防爆性能：充电过程中，遇到明火，内部不引爆，不引燃。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8、蓄电池按“YD/T 799-2024”规定的相关方法试验后，其外观应无明显变形及渗液。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9、容量一致性：同组蓄电池10小时率容量试验，最大实际容量与最小实际容量差值≤0.5%，以上参数需具有泰尔等第三方检测机构出具的盖有CMA标志的全文测试报告加盖公章。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★10、所投蓄电池厂商必须通过并提供ISO9001、ISO14000、ISO45001体系认证。提供有效期内的认证证书扫描件。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11、运行环境：蓄电池在运行过程中应标配绝缘底座，绝缘电池与电池架，提高机房安全。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★12、蓄电池产品需具有泰尔等第三方检测机构出具的具有CMA标志的全文测试报告扫描件。    </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5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E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节</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4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7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5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15408 </w:t>
            </w:r>
          </w:p>
        </w:tc>
      </w:tr>
      <w:tr w14:paraId="686AF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0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2E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电池机柜</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7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9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A16</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82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定制12V/100AH电池柜、含电池连接线和电池空开</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0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3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2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D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B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2408 </w:t>
            </w:r>
          </w:p>
        </w:tc>
      </w:tr>
      <w:tr w14:paraId="7789D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8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2E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电池柜承重底座</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C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3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E4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电池柜承重底座，角钢焊接</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57A7">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E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A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4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819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3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819 </w:t>
            </w:r>
          </w:p>
        </w:tc>
      </w:tr>
      <w:tr w14:paraId="72254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9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F7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输出配电柜</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B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8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CD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外场安防设备11个回路及消控室大屏回路，详见智能化图纸</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DF36">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55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F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8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A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r>
      <w:tr w14:paraId="0A30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D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D2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门卫</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348B">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CE5B">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23CA">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C7F8">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8D6A">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5D9D">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21D1">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B387">
            <w:pPr>
              <w:jc w:val="center"/>
              <w:rPr>
                <w:rFonts w:hint="eastAsia" w:ascii="宋体" w:hAnsi="宋体" w:eastAsia="宋体" w:cs="宋体"/>
                <w:i w:val="0"/>
                <w:iCs w:val="0"/>
                <w:color w:val="000000"/>
                <w:sz w:val="18"/>
                <w:szCs w:val="18"/>
                <w:u w:val="none"/>
              </w:rPr>
            </w:pPr>
          </w:p>
        </w:tc>
      </w:tr>
      <w:tr w14:paraId="68C13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AA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C9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55寸监视器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61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D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DH-LM55-S400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1FA523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1、尺寸≥55英寸；亮度≥350cd/m²；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2、分辨率：≥3840×2160；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3、信号输入标配：HDMI×2、USB×1、VGA×1、SPDIF×1、Audio×1、RS232×1；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4、内置扬声器不低于2×5W；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5、产品材质：金属外壳；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6、安装方式：底座/壁挂；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7、供电方式：100–240VAC，50/60Hz；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8、包含HDMI线、电源线、遥控器；</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6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7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D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9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F9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r>
      <w:tr w14:paraId="71CE1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D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A0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单路解码器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8F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AF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DH-NVD0105DH-4K</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260848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1、支持多个通道同时解码。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★2、单台设备支持不少于1路HDMI或1 VGA输出。提供产品截图或厂家技术白皮书。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3、输出分辨率：支持3840*2160、1920*1080等。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4、支持解码轮巡。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5、支持MPEG4、H.264、H.265、MJPEG视频解码，支持PCM、G.711、AAC音频解码，支持音视频复合流解码。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6、提供USB3.0、千兆以太网接口、RS232和RS485串口。</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C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4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D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8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2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r>
      <w:tr w14:paraId="5E20D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2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38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男监控室</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3569">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AF62">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A40D">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D509">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90E0">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94D9">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16D6A">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C75E">
            <w:pPr>
              <w:jc w:val="center"/>
              <w:rPr>
                <w:rFonts w:hint="eastAsia" w:ascii="宋体" w:hAnsi="宋体" w:eastAsia="宋体" w:cs="宋体"/>
                <w:i w:val="0"/>
                <w:iCs w:val="0"/>
                <w:color w:val="000000"/>
                <w:sz w:val="18"/>
                <w:szCs w:val="18"/>
                <w:u w:val="none"/>
              </w:rPr>
            </w:pPr>
          </w:p>
        </w:tc>
      </w:tr>
      <w:tr w14:paraId="52368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3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F9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75寸监视器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5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F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DH-LM75-S400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F4D9CA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1、尺寸≥75英寸；亮度≥450cd/m²；分辨率≥3840×2160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2、安装方式：底座、壁挂；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3、信号输出标配：Audio×1；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4、信号输入标配：HDMI×1，DP×1，USB×2，VGA×1，DVI-D×1，BNC×1，Audio×1，RS232×1，LAN×1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5、附件：HDMI线、电源线、遥控器、壁挂、说明书。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B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5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B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1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4335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0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26010 </w:t>
            </w:r>
          </w:p>
        </w:tc>
      </w:tr>
      <w:tr w14:paraId="71DB6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E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C0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6路解码器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2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7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DH-NVD0805DU-2I-8K</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83D32A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★1、支持≥6路HDMI信号输出；最大支持3840×2160@60及以下常规分辨率和自定义分辨率输出。提供产品截图或厂家技术白皮书。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▲2、支持两路输入（2路HDMI或1路HDMI接入及1路DP接入），可同时支持2路分辨率为3840×2160、60HZ的视频图像采集并输出显示。提供产品截图或厂家技术白皮书。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3、支持设置指定电脑允许的接管范围和窗口，除此之外的电脑内容不予以显示。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4、整机解码不少于4路32MP@25fps / 14路12MP@25fps / 20路8MP@25fps / 28路6MP@25fps / 36路5MP@25fps / 36路4MP@30fps / 56路3MP@25fps / 72路1080p@30fps / 200路D1@30fps。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5、支持MPEG2/MPEG4/H.264/H.265/SVAC/MJPEG标准网络视频流解码。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6、支持QCIF/CIF/2CIF/HD1/D1/960H/720p/1080p/3MP/4MP/5MP/6MP/8MP/12MP/32MP/视频解码。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7、支持音频压缩格式：PCM/G711/AAC。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8、支持每屏1/4/6/8/9/16/25/36分割，支持M×N自由分割。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9、支持电视墙默认底色设置，支持高清底图显示；支持预案轮巡；支持多屏融合拼接，跨屏画面同步。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10、支持预案切换，轮巡，采集信号上墙；支持调节音量大小、设置IP，设置快捷控制电视墙等功能。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1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36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E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6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A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8600 </w:t>
            </w:r>
          </w:p>
        </w:tc>
      </w:tr>
      <w:tr w14:paraId="772A6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9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AC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女监控室</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8BDE">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84BB">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9F92">
            <w:pP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127A">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FC75">
            <w:pP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804F">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4E29">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6695">
            <w:pPr>
              <w:jc w:val="center"/>
              <w:rPr>
                <w:rFonts w:hint="eastAsia" w:ascii="宋体" w:hAnsi="宋体" w:eastAsia="宋体" w:cs="宋体"/>
                <w:i w:val="0"/>
                <w:iCs w:val="0"/>
                <w:color w:val="000000"/>
                <w:sz w:val="18"/>
                <w:szCs w:val="18"/>
                <w:u w:val="none"/>
              </w:rPr>
            </w:pPr>
          </w:p>
        </w:tc>
      </w:tr>
      <w:tr w14:paraId="50D78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6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15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75寸监视器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D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8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DH-LM75-S400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A40578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1、尺寸≥75英寸；亮度≥450cd/m²；分辨率≥3840×2160；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2、安装方式：底座、壁挂；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3、信号输出标配：Audio×1；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4、信号输入标配：HDMI×1，DP×1，USB×2，VGA×1，DVI-D×1，BNC×1，Audio×1，RS232×1，LAN×1；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5、产品材质：金属外壳；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6、附件：HDMI线、电源线、遥控器、壁挂。</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1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5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8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A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4335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5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8670 </w:t>
            </w:r>
          </w:p>
        </w:tc>
      </w:tr>
      <w:tr w14:paraId="77BA2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2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DC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4路解码器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2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5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DH-NVD0405DU-8K</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593BD8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★1、支持≥4路HDMI信号输出接口。 提供产品接口截图或厂家技术白皮书。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2、支持MPEG2/MPEG4/H.264/H.265/SVAC/MJPEG标准网络视频流解码。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3、支持QCIF/CIF/2CIF/HD1/D1/720p/1080p/3MP/5MP/6MP/8MP/12MP/32MP视频解码。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▲4、设备控制兼容国产操作系统。提供承诺函。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★5、支持不少于4*800W@30Hz、16*1080P@30Hz、36*720P@30Hz、64*D1同时解码。提供承诺函或厂家技术白皮书。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6、支持单屏1/4/6/8/9/16/25/36分割，支持M×N自由分割。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7、支持3840×2160， 1920×1080， 1280×1024， 1280×720， 1024×768五种显示分辨率。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8、支持Onvif、RTSP协议接入，支持国标GB28181接入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9、支持预案轮巡；支持底色选择；支持自定义分辨率输出。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10、支持多屏融合拼接。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11、支持≥1个10M/100M/1000M自适应以太网接口。</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F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0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D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9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4817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9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4817 </w:t>
            </w:r>
          </w:p>
        </w:tc>
      </w:tr>
      <w:tr w14:paraId="5A0C5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B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2B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教官值班室</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6277">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A1DE">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CF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2#楼宿舍值班室</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AAF1">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C6B7">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FB7B">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BE42">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107A">
            <w:pPr>
              <w:jc w:val="center"/>
              <w:rPr>
                <w:rFonts w:hint="eastAsia" w:ascii="宋体" w:hAnsi="宋体" w:eastAsia="宋体" w:cs="宋体"/>
                <w:i w:val="0"/>
                <w:iCs w:val="0"/>
                <w:color w:val="000000"/>
                <w:sz w:val="18"/>
                <w:szCs w:val="18"/>
                <w:u w:val="none"/>
              </w:rPr>
            </w:pPr>
          </w:p>
        </w:tc>
      </w:tr>
      <w:tr w14:paraId="4A1C6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4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55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55寸监视器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D3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5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DH-LM55-S400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DAE8B6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1、尺寸≥55英寸；亮度≥350cd/m²；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2、分辨率：≥3840×2160；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3、信号输入标配：HDMI×2、USB×1、VGA×1、SPDIF×1、Audio×1、RS232×1；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4、内置扬声器不低于2×5W；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5、产品材质：金属外壳；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6、安装方式：底座/壁挂；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7、供电方式：100–240VAC，50/60Hz；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8、包含HDMI线、电源线、遥控器。</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2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4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6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9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B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33720 </w:t>
            </w:r>
          </w:p>
        </w:tc>
      </w:tr>
      <w:tr w14:paraId="2297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C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82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明厨亮灶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18A1">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B7DE">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0C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教官餐厅、男、女餐厅</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3B4C">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BD55">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7846F">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249C">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8508">
            <w:pPr>
              <w:jc w:val="center"/>
              <w:rPr>
                <w:rFonts w:hint="eastAsia" w:ascii="宋体" w:hAnsi="宋体" w:eastAsia="宋体" w:cs="宋体"/>
                <w:i w:val="0"/>
                <w:iCs w:val="0"/>
                <w:color w:val="000000"/>
                <w:sz w:val="18"/>
                <w:szCs w:val="18"/>
                <w:u w:val="none"/>
              </w:rPr>
            </w:pPr>
          </w:p>
        </w:tc>
      </w:tr>
      <w:tr w14:paraId="5BFA2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A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93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液晶监视器-食堂</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9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3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DH-LM50-F400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F0CE39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1、尺寸≥49寸；亮度≥450cd/㎡；分辨率≥3840×2160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2、安装方式：底座、壁挂；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3、信号输入标配：DP 1.2a×1、HDMI 2.0×2、VGA×1、USB 多媒体×1、RS232  in×1、Audio in×1；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4、信号输出标配：RS232×1、内置喇叭；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5、含HDMI线、壁挂支架、电源线、遥控器。</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A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1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4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A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6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10116 </w:t>
            </w:r>
          </w:p>
        </w:tc>
      </w:tr>
      <w:tr w14:paraId="3C036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E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CE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解码器-食堂</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5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F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DH-NVD0105DH-4K</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7BD516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1、支持多个通道同时解码。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★2、单台设备支持不少于1路HDMI或1 VGA输出。提供产品截图或厂家技术白皮书。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3、输出分辨率：支持3840*2160、1920*1080等。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4、支持解码轮巡。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5、支持MPEG4、H.264、H.265、MJPEG视频解码，支持PCM、G.711、AAC音频解码，支持音视频复合流解码。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6、提供USB3.0、千兆以太网接口、RS232和RS485串口。</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5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3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D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8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3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10116 </w:t>
            </w:r>
          </w:p>
        </w:tc>
      </w:tr>
      <w:tr w14:paraId="004AD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B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6B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后端管理中心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7AC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333B">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B9C9">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79D10">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E9B3">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3FB7">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5EBF">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F955">
            <w:pPr>
              <w:jc w:val="center"/>
              <w:rPr>
                <w:rFonts w:hint="eastAsia" w:ascii="宋体" w:hAnsi="宋体" w:eastAsia="宋体" w:cs="宋体"/>
                <w:i w:val="0"/>
                <w:iCs w:val="0"/>
                <w:color w:val="000000"/>
                <w:sz w:val="18"/>
                <w:szCs w:val="18"/>
                <w:u w:val="none"/>
              </w:rPr>
            </w:pPr>
          </w:p>
        </w:tc>
      </w:tr>
      <w:tr w14:paraId="0AB8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2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D1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智能分析</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EE52">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8267">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CFD7">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0831">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D141">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10CA">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3E79">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EDDF">
            <w:pPr>
              <w:jc w:val="center"/>
              <w:rPr>
                <w:rFonts w:hint="eastAsia" w:ascii="宋体" w:hAnsi="宋体" w:eastAsia="宋体" w:cs="宋体"/>
                <w:i w:val="0"/>
                <w:iCs w:val="0"/>
                <w:color w:val="000000"/>
                <w:sz w:val="18"/>
                <w:szCs w:val="18"/>
                <w:u w:val="none"/>
              </w:rPr>
            </w:pPr>
          </w:p>
        </w:tc>
      </w:tr>
      <w:tr w14:paraId="1357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3D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00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行为分析一体机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4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6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DH-IVS-IP8000-4EQL-DC2S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CCC4199">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★1、CPU：≥2颗国产化CPU，单颗CPU核数：≥24核，单颗CPU主频：≥2.6GHz。内存：≥128GB DDR内存条，最大槽位数16槽位。GPU卡：≥4块国产化智能分析卡；单台设备最大可支持8张卡。硬盘：≥1块 2.5寸 480GB SSD硬盘，≥2块 3.5寸 4TB机械硬盘，最大硬盘槽位数12槽位。提供承诺函或厂家技术白皮书。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斗殴检测、人数异常检测、攀高检测、起身检测、蒙头睡觉检测、滞留检测、人员聚集检测、睡岗检测、抽烟检测、玩手机或打电话检测、物品检测、人员倒地、奔跑或剧烈运动检测、撞墙检测功能。提供第三方机构出具的具有CMA标志的检测报告（GB/T 15211-2013或GA/T 1127-2013等现行国家标准），检测报告编号在国家认监委网站可查并提供查询结果带链接截图。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▲3、最大支持192路视频同时接入进行实时分析。提供承诺函或厂家技术白皮书。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▲4、支持一个通道最大添加10条规则，可同时添加不同类型的规则。提供承诺函或厂家技术白皮书。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5、支持≥4个千兆自适应网口。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6、采用双电源冗余，供电方式：100–240VAC。</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7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8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B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2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B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337000 </w:t>
            </w:r>
          </w:p>
        </w:tc>
      </w:tr>
      <w:tr w14:paraId="0CD98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C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E8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智能视频监控一体机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5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D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DH-IVSS716-S2</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52164F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★1、采用高性能多核处理器。 CPU：≥1颗国产化CPU，单颗CPU核数：≥4核，单颗CPU主频：≥2.5GHz。内存：≥16GB DDR内存条。提供承诺函或厂家技术白皮书。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2、支持前端智能人脸检测、人脸识别、视频结构化（人、车、非机动车）。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3、支持后智能人脸检测、人脸识别、视频结构化（人、车、非机动车）。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★4、设备内置≥12颗高性能GPU、单颗GPU算力≥22TOPS(INT8)或者设备整体算力≥264TOPS(INT8)。第三方检测机构出具的具有CMA标志的检测报告扫描件或所投产品原厂技术白皮书。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5、支持人脸库以图搜图；人脸/人体历史库以图搜图；1:1图片比对。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6、人脸库容量：样本库最大100个，≥50万张图片，单库最大50万张图片；路人库最大≥5个，≥50万张图片，单库最大50万张图片人脸库样本库容量、条数共享。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7、视频结构化：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（1）支持≥192路200万或≥192路400万分辨率视频流分析；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目标类型：人体：性别；年龄；袖长；上装颜色；下装类型；下装颜色；包；雨伞；雨披；帽子；发型；朝向；抱小孩；口罩；机动车：车牌号；车型；车色；车标；车牌颜色；车内饰品；打电话；安全带；非机动车：车型；车色；车上人数；包；袖长；上装颜色；帽子；发型；雨伞；雨披；口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支持属性合规报警；支持符合和不符合筛选属性条件报警。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利用大模型对分析结果进行二次研判；经过二次研判的结果均自动打标，包括正报、疑似误报、漏报三种状态，支持人工复核，支持利用大模型进行算法生成以及配置预警功能，输入指定文本可自定义生成算法，可选择通道部署自定义算法模型，实现定时抓图/事件图片分析，相似度达到阈值时及时触发报警，支持联动录像抓图、语音提示以及日志记录。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▲9、支持人员聚档功能，可自动将识别到的同一人员的人脸图片汇聚到一个人员档案中；可以查看人员出现的次数及对应的时间和地点，并展示当时的抓拍信息及人员属性信息。提供承诺函或厂家技术白皮书。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▲10、支持新增行为检测， 可联动录像、抓图、音频以及日志记录；支持用户自定义配置通过自学习生成行为识别算法，实现行为识别和执行动作次数的检测，触发对应的报警；支持肢体动作与物品交互，物品可以通过注册学习目标物品，人物交互；支持配置导入和导出并进行配置修改；最大支持配置16条规则，每条规则可对应不同多边形检测区域。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11、接入路数：≥256路；网络带宽不低于：768Mbps接入、768Mbps存储、768Mbps转发。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12、分辨率：32MP;24MP;16MP;12MP;8MP;6MP;5MP;4MP;3MP;1080p;720p；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13、解码能力不低于：2路24MP，3路24MP（24fps），4路16Mp（25fps），7路12MP （20fps），7路8MP （30fps），14路8MP （15fps），9路6MP（30fps），11路5MP（30fps），13路5MP （25fps），14路4MP （30fps），22路4MP （20fps），18路3MP （30fps），22路3MP （25fps），14路1080p （60fps），28路1080p （30fps），63路720p （30fps）。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14、报警输入：≥16路；报警输出：≥8路。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15、硬盘接口：≥12个；SATA 3.0；单盘最大20TB。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16、供电方式：100-127/200-240VAC，50/60Hz。</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E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B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1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C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65516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2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131032 </w:t>
            </w:r>
          </w:p>
        </w:tc>
      </w:tr>
      <w:tr w14:paraId="6FAE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9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D4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6TB硬盘</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12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A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ST6000NM019B</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BF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单盘容量：6TB；缓存：256MB；转速：7200RPM；硬盘接口：SATA</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5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C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1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3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4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20808 </w:t>
            </w:r>
          </w:p>
        </w:tc>
      </w:tr>
      <w:tr w14:paraId="28565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D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15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云存储（90天）</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2028">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AACD">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786D">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8F05">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B3CA">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1776">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3B3C">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25C8">
            <w:pPr>
              <w:jc w:val="center"/>
              <w:rPr>
                <w:rFonts w:hint="eastAsia" w:ascii="宋体" w:hAnsi="宋体" w:eastAsia="宋体" w:cs="宋体"/>
                <w:i w:val="0"/>
                <w:iCs w:val="0"/>
                <w:color w:val="000000"/>
                <w:sz w:val="18"/>
                <w:szCs w:val="18"/>
                <w:u w:val="none"/>
              </w:rPr>
            </w:pPr>
          </w:p>
        </w:tc>
      </w:tr>
      <w:tr w14:paraId="7881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E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93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云存储元数据管理节点</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0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DH-CSS9100HA-HVE3-HW</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4E86C4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★1、主处理器：不低于2颗国产化CPU；单颗CPU:≥16核、主频≥2.5GHz。提供承诺函。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★2、操作系统：提供国产主流操作系统。提供承诺函。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★3、高速缓存：≥128GB DDR。提供承诺函。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4、电源冗余：1+1冗余电源。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5、RAID控制器：带4G缓存RAID卡。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★6、网络接口：≥8个千兆数据电口。提供产品截图或技术白皮书。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7、VGA接口：≥1个；USB接口：≥4个USB接口。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8、硬盘：≥2块 3.5英寸 SATA 4TB 企业级机械硬盘，≥2块 2.5英寸 SATA 960GB 数据中心级固态硬盘。提供产品截图或技术白皮书。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3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D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A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C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91500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3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183000 </w:t>
            </w:r>
          </w:p>
        </w:tc>
      </w:tr>
      <w:tr w14:paraId="3F7E6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1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37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云存储数据存储节点</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9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C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DH-CSS7448S-VRE</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90A5EB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★1、主处理器：不低于1颗8核国产化CPU，主频≥2.8GHz。提供承诺函。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★2、操作系统：提供国产主流操作系统。提供承诺函。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★3、高速缓存：≥32GB DDR、主频≥2666MHz。提供承诺函。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4、视频设备接入模块：支持国标、Onvif等接入各类型的前端设备。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5、卡口设备接入模块：支持人脸、车辆卡口设备接入以及结构化数据接入。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6、视频图片存储模块：支持视频和图片的基础存储业务，包括录像计划，图片计划配置管理，包括视频流按通道和类型进行分类，并进行相应的索引创建等。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7、流媒体转发模块：支持流媒体动态负载均衡，弹性扩容，具备快速故障接管能力支持RTSP,HLS,FLV等流媒体协议。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云存储系统支持全自动数据校验和数据恢复功能，支持包括快速校验、深度校验等数据自动校验策略和自动修复策略。支持将数据校验和元数据校验分开配置，支持指定数据校验和恢复的时间窗口，支持指定数据校验优先级和校验速率。支持数据检出不一致后自动触发数据恢复功能，自动选择数据副本进行恢复。支持全自动数据校验和恢复全程，无需人为干预，提升数据存储可靠性。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云存储集群支持网络亚健康监测管理，支持不少于6种网络异常监测，包括支持监测网卡丢包、网卡低于千兆速率（降速）、流量瞬时波峰数、网络重连数、ping大包丢失、网络超时数。支持主动网络健康检测，同时对业务、存储双网检测和隔离，最多支持隔离N-1台网络异常节点（N为存储节点数量），异常网络恢复之后自动开启存储节点服务，自动上线，业务自动负载均衡。同时自动探测网络丢包，当节点服务器存储网或者业务网丢包率高于10%时，自动将该节点进行网络隔离。当丢包率恢复到容忍阈值之内时，自动将该节点重新加入集群，承担业务写入。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云存储系统支持统一网关集群，同一套网关可同时提供文件、对象、块三种服务，支持对每个网关配置一个动态业务IP，支持通过网关动态业务IP作为文件存储、块存储和对象存储统一访问入口（支持单IP、多IP）。统一网关集群支持使用负载均衡域名作为云存储集群统一访问入口，负载均衡域名自动将文件存储、块存储和对象存储的负载动态均衡至各个网关节点上。统一网关集群支持自动动态伸缩，网关节点故障业务支持自动接管，不影响存储业务连续性。 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10、电源冗余：1+1冗余电源。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★11、网络接口：≥8个千兆数据电口。提供产品截图或厂家技术白皮书。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12、eSATA接口：≥1个；RS-232接口：≥1个；USB接口：≥2个USB 3.0接口，≥2个USB 2.0接口。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★13、硬盘个数：标配≥1块 512G 企业级固态硬盘，支持不低于48个2.5""或3.5""的SATA硬盘。提供承诺函或厂家技术白皮书。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14、供电方式：≥1200W；100V~240V交流，50/60Hz，支持热插拔。</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3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7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6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E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2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576000 </w:t>
            </w:r>
          </w:p>
        </w:tc>
      </w:tr>
      <w:tr w14:paraId="14CF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B6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68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16TB硬盘</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B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9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ST16000NM002H</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03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单盘容量：16TB； 缓存：256MB； 转速：7200RPM； 硬盘接口：SATA。</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8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6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F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7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2310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8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665280 </w:t>
            </w:r>
          </w:p>
        </w:tc>
      </w:tr>
      <w:tr w14:paraId="6C771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4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F0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云存储系统管理授权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8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3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DH-CSS-CSM</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846006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1、尺寸：≥2U机架式服务器机箱。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2、处理器：不低于1颗国产化CPU，核数≥24核，主频≥2.5GHz。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3、内存：配置≥128G内存。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4、硬盘：≥2块4T 3.5吋 SATA 热插拔机械硬盘，最大支持12块3.5吋/2.5吋的SAS/SATA机械硬盘或固态硬盘。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5、电源：≥2个900W交流电源模块，支持1+1冗余。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6、风扇：≥4个热拔插风扇，支持N+1冗余。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7、RAID卡：≥4G缓存，支持RAID 0,1,10,5,6,50,60。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预装国产化服务器操作系统（若采用非开源国产化操作系统，验收时提供给甲方正版操作系统书面授权或获得正版操作系统厂家书面授权的企业所提供的使用许可授权证书及承诺函，承诺所提供的操作系统为正版授权同时附激活码）。</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4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2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69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79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8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r>
      <w:tr w14:paraId="7CA7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A8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F6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后端管理平台</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6D5D">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847C">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A9C06">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0A51">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8940">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98FC">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15FB">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4D7D">
            <w:pPr>
              <w:jc w:val="center"/>
              <w:rPr>
                <w:rFonts w:hint="eastAsia" w:ascii="宋体" w:hAnsi="宋体" w:eastAsia="宋体" w:cs="宋体"/>
                <w:i w:val="0"/>
                <w:iCs w:val="0"/>
                <w:color w:val="000000"/>
                <w:sz w:val="18"/>
                <w:szCs w:val="18"/>
                <w:u w:val="none"/>
              </w:rPr>
            </w:pPr>
          </w:p>
        </w:tc>
      </w:tr>
      <w:tr w14:paraId="4AD79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2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47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综合管理平台服务器（通用服务，框架协议采购）</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B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6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81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1、尺寸：≥2U机架式服务器机箱。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2、处理器：不低于1颗国产化CPU，核数≥24核，主频≥2.5GHz。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3、内存：配置≥128G内存。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4、硬盘：≥2块4T 3.5吋 SATA 热插拔机械硬盘，最大支持12块3.5吋/2.5吋的SAS/SATA机械硬盘或固态硬盘。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5、电源：≥2个900W交流电源模块，支持1+1冗余。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6、风扇：≥4个热拔插风扇，支持N+1冗余。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7、RAID卡：≥4G缓存，支持RAID 0,1,10,5,6,50,60。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预装国产化服务器操作系统（若采用非开源国产化操作系统，验收时提供给甲方正版操作系统书面授权或获得正版操作系统厂家书面授权的企业所提供的使用许可授权证书及承诺函，承诺所提供的操作系统为正版授权同时附激活码）。</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A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8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C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9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B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r>
      <w:tr w14:paraId="3D332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2"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B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9F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综合管理平台</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51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6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DH-ICC-B8900-U-PRO</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23AA8A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软件可集成系统管理、视频管理、报警管理、门禁管理、可视对讲、设备运维、停车管理、基础工作台、安全数据库等业务系统统一管理；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一、系统管理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1、基础资源管理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（1）支持组织基础信息的增删改查、导入、导出等功能；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（2）提供设备的统一接入及管理，包含：视频设备、门禁设备、出入口设备、对讲设备、报警设备、物模型设备等；支持设备的增删改查、导入、导出、自动搜索等功能；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（3）支持用户基础信息的增删改查、冻结、解冻、密码重置等功能；支持用户的安全信息配置，可设置用户及用户登录密码效期以及MAC白名单地址配置；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（4）支持角色基础信息的增删改查；角色关联权限，可配置角色的应用菜单、部门、逻辑组织以及系统资源操作权限；支持角色的复制能力；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（5）支持部门基础信息的增删改查、导入、导出等功能；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（6）支持人员基础信息的增删改查、导入、导出、移动等功能；支持人员信息的采集，包含：人脸、指纹、卡片等，人脸照片支持图片质量检测；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（7）支持卡片基础信息的增删改查、导入、导出等功能；支持人员开卡、挂失、解挂、退卡、补卡、回收等功能；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（8）支持车辆基础信息的增删改查、导入、导出等功能；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（9）提供地图管理配置能力；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（10）支持平台资源绑定，包含：设备、通道等，绑定的资源可供各业务系统调阅使用；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（11）提供门户首页内容自定义能力，支持自定义快捷入口、自定义菜单内容、自定义页面元素设置；支持门户展示元素自定义，包括页面logo图标、修改网站标题、设置并添加网站外部链接等；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（12）提供级联管理能力，包含：实现上下级基础资源数据汇聚，视频预览、回放、对讲、反控制，门禁、卡口的抓拍记录汇聚等；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2、平台运维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（1）支持平台运维，提供服务部署维护功能、支持模块化升级部署、系统资源使用情况监控等运维相关功能；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（2）支持级联、分布式、集群，实现系统扩展及稳定性要求；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（3）可扩展双机热备，提升系统灾备能力，保障系统的可靠性；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（4）支持标准开放平台，提供rest ful 等多维度接口实现第三方系统对接；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（5）提供NTP校时服务能力，支持对服务间、服务器和设备间的统一校时。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B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2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E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9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D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77000 </w:t>
            </w:r>
          </w:p>
        </w:tc>
      </w:tr>
      <w:tr w14:paraId="27673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1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56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国产数据库管理系统（框架协议采购）</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4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0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96B77A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1、支持多库、库之间相对独立性，支持多CPU，支持TB 级以上的少量数据和大用户开发处理、支持集群。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提供给甲方数据库操作系统版权授权书，供应商提供承诺函。（（验收时提供给甲方正版操作系统书面授权或获得正版操作系统厂家书面授权的企业所提供的使用许可授权证书及承诺函，承诺所提供的操作系统为正版授权同时附激活码））</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B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D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3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5E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7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r>
      <w:tr w14:paraId="42CAA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F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FF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数据库管理系统服务器（框架协议采购）</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8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E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7326E39">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1、尺寸：2U机架式服务器机箱。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2、处理器：≥1颗国产化CPU，核数≥24核；主频≥2.5GHz。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3、内存：≥64G内存（2根32G DDR4 ECC内存条）4个DDR4 DIMM插槽。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4、硬盘：≥2块4T 3.5吋 SATA 热插拔机械硬盘，最大支持12块3.5吋/2.5吋的SAS/SATA机械硬盘或固态硬盘。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5、电源：≥2个900W交流电源模块，支持1+1冗余。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6、风扇：≥4个热拔插风扇，支持N+1冗余。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7、RAID卡：支持RAID 0,1,10。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预装国产化操作系统（（若采用非开源国产化操作系统，验收时提供给甲方正版操作系统书面授权或获得正版操作系统厂家书面授权的企业所提供的使用许可授权证书及承诺函，承诺所提供的操作系统为正版授权同时附激活码）。</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7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6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6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1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7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r>
      <w:tr w14:paraId="5BE2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C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4E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一卡通管理系统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F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D2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DH-ICC-Common-AccessControl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BFC2EE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1、支持门通道控制，支持门禁通道操作:开门、关门、常开、常闭和正常，支持门禁状态主动上报平台页面实时显示。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2、门组分配，支持门禁通道按组进行管理。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3、支持按人授权，支持单个按人授权、删除权限、批量按人授权、删除权限、支持权限复制、支持人员权限execl导出。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4、支持按门授权，支持以人的维护或者以部门的维度配置人员权限,可按门组或者门通道进行配置。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5、支持权限清空重发，支持对在线的设备进行清空重发,针对支持快速下发的设备。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6、支持发卡、人像两种复核方式，支持对差异化的复核结果同步到设备。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7、支持任务查询，支持人员、发卡、指纹、人像授权任务查询。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8、支持人员进行记录及门禁的事件记录集中到刷卡记录里进行展示。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9、支持多门互锁、首卡开门、多卡开门、反潜回、远程验证等。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10、支持考勤班次管理；支持在排班日历上，通过多种方式进行排班，支持快速将某员工某段时间内的排班，复制排班模板给其他人；支持通过重新排班，覆盖已有排班（无需先删除错误排班）； 支持批量排班、周期排班、excel导入排班；支持在员工排班变更后，自动触发完成该员工的考勤数据结算。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统计日考勤报表、月考勤报表，支持通过日历查看个人考勤数据、考勤详情；支持用户自定义配置表格列的显隐；支持导出时，选择是否导出每日考勤状态；支持按考勤周期/部门，搜索查看部门每日考勤数据；支持通过柱状图/图表/导出，对比各部门的加班时长；支持查看某部门的加班时长趋势图；支持查看、导出某部门的加班时长统计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12、支持加班、休假、补签、出差、外出打卡类型的单据申请；支持单独审批、考勤参数配置。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13、支持在线梯控，按人和按部门授权人脸梯控设备。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14、支持配置在线梯控梯控计划和高峰平峰配置。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15、配置通道授权不低于300路。</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A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87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0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A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C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9635 </w:t>
            </w:r>
          </w:p>
        </w:tc>
      </w:tr>
      <w:tr w14:paraId="143C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2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6B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人员布控系统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B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6F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DH-ICC-Common-IntelligentTagertMonitoring</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927F08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1、支持人员布控配置向导，可依据布控向导跳转至对应页面，快速进行人员布控业务操作。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▲2、支持统计人脸设备信息，包含总数、在离线数、在线率以及按照设备类型分类统计，针对离线设备可快速跳转至设备管理界面定位离线原因。提供承诺函或厂家技术白皮书。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▲3、支持人脸库信息统计，包含人脸库总数、布控异常的数量以及按库类型分类统计；支持人员识别统计，支持按照人脸库、按时间(天、周、月)统计识别次数。提供承诺函或厂家技术白皮书。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4、支持不少于5种人脸库类型：白名单库、黑名单库、内部库、访客库、VIP库，可自定义人脸库类型。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5、支持给人脸库打标签，给每个人脸库赋予不同的库类型定义，用于业务分类汇聚。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6、支持在人脸库上显示：人脸总数、绑定设备数量、布控通道数量以及绑定失败的设备数量、布控失败的通道数量以及人脸下发失败的数量，用于快捷统计。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7、人员布控，支持人脸布控、撤控，可选择布控的设备通道与人脸库，布控可设置最小相似度阈值；支持显示布控状态，可对布控失败的任务重新进行布控。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★8、支持接收结构化相机抓拍上报的人体特征数据，字段可包含：性别、是否戴口罩、上衣颜色及类型、下衣颜色及类型、是否戴帽子、是否背包。提供承诺函或厂家技术白皮书。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9、支持接收结构化相机抓拍上报的非机动车特征数据，字段可包含：非机动车类型、车上人数、车身颜色、骑车人性别、是否戴头盔、是否打电话、是否戴口罩、是否背包、上下衣颜色、是否戴帽子。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以图搜图，支持对人脸图片进行1:1或1：N检索，检索结果支持列表和卡片两种模式展示，同时可以对检索的结果按照时间的顺序在电子地图上形成轨迹，可展示目标人员在该区域的运动路线。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11、支持人员识别比对记录上报至平台存储，记录敏感字段脱敏显示，保护用户隐私；陌生人检测，支持人脸抓拍以及陌生人检测记录上报至平台存储，可详情查看，便于事后追溯。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12、支持查看人员报警信息，包括姓名、出生日期、性别、注册库、抓拍时间、抓拍通道；支持按条件进行过滤查询，可查看报警人员的注册图片和抓拍图片，支持报警记录导出。</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0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6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4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E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8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7707 </w:t>
            </w:r>
          </w:p>
        </w:tc>
      </w:tr>
      <w:tr w14:paraId="69D3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3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C2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综合安防图墙</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A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9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DH-ICC-Common-SafetyView</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71BBCB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1、支持统计区域内人员总数、设备总数、车辆总数、停车位总数；支持展示校园示意图，支持更换校园光栅图；支持统计报警类型数量TOP5；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2、支持统计设备总数、在离线数；支持按设备类型统计设备数量占比top5；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3、支持统计停车场的在用泊位和空余泊位；支持统计各个场区的总泊位和空余泊位；支持统计按停车场进场车辆和出场车辆数量；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4、支持统计进出总人次；支持分别统计内部、访客通行人次；支持统计在访人员；支持实时更新门禁通行记录、访客通行记录；支持实时更新人员识别、人体识别、车辆识别等记录；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5、支持统计报警总数量、已处理、未处理数量以及处理率；支持实时更新报警消息；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6、支持按本日、本周、本月统计报警数量态势；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7、支持从设备树选择四个监控点位查看实时监控；支持双击放大查看单路视频；支持切换码流播放。</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F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A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2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3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A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7707 </w:t>
            </w:r>
          </w:p>
        </w:tc>
      </w:tr>
      <w:tr w14:paraId="7A93E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7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6E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AR全景系统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C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6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DH-ICC-Common-AR</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2C04A7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1、支持全景设备视频全景定位，对全景画面的某个局部或跟踪目标进行细节放大定位。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2、支持对智能设备进行智能事件订阅、支持出入口设备、门禁设备、人脸设备进行人脸抓拍订阅。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3、支持视频标签订阅的报警上报时，能够自动定位到对应视频标签，对应的标签会红色闪点提示。 </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0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9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C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1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26977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C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26977 </w:t>
            </w:r>
          </w:p>
        </w:tc>
      </w:tr>
      <w:tr w14:paraId="6E63A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6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5B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视频监控系统_视频通道授权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1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4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DH-ICC-Common-VD-COCHN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F5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视频通道管理个数不低于600路授权，满足本次视频监控接入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1、视频通道管理个数不低于600路授权，满足本次视频监控接入。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2、支持实时视频、录像回放、录像下载、电视墙，热成像；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3、支持手机移动客户端进行实时视频监控，音频播放，本地截图，本地录像，云台控制，远程视频回放。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4、录像支持1/2、1/4、1/8、1/16、1/32、1/64、2、4、8、16、32、64倍速快/慢放。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在浏览器中进行多路无插件视频预览；支持设备对讲、抓图、本地录像、声音控制、窗口分割、全屏、自适应、云台控制、预置点、点间巡航等功能；支持在浏览器中进行多路无插件录像回放，可自动查找存储位置；支持设备抓图、本地录像、声音控制、窗口分割、全屏、自适应、倍速、精确定位等功能；支持25路多路数并发，支持软/硬解码。</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0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1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47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3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C9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28904 </w:t>
            </w:r>
          </w:p>
        </w:tc>
      </w:tr>
      <w:tr w14:paraId="3CDE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2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97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视频国标对接网关100路</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7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9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DH-ICC-Common-VD-AGSCHN/100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C0EB0A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支持协议版本：</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1、GB/T 28181-2016 安全防范视频监控联网系统信息传输、交换、控制技术要求。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3、GB/T 28181-2022 公共安全视频监控联网系统信息传输、交换、控制技术要求。</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7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5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F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E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1541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2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9246 </w:t>
            </w:r>
          </w:p>
        </w:tc>
      </w:tr>
      <w:tr w14:paraId="324C9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E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32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融合检索系统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C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1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DH-ICC-Common-TrackFusion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75ACE6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1、支持统一入口对人员、车辆的登记档案信息和通行活动数据进行融合检索，快速实现找人找车。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2、支持按人员属性、时间地点、人员特征检索，支持按人员姓名、证件号码、人员编号查询检索人员档案，支持以图搜人。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3、支持人员抓拍记录按图片列表按时间排序展示，支持查看抓拍详情，包括抓拍场景图、抓拍时间、地点；支持场景图放缩查看、抓拍历史录像回放和抓拍场景图下载到本地。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人员档案：人员档案列表按实名人员和未实名人员分类统计和列表展示；支持查看人员登记基础信息、人员车辆信息、活动频次分析、详细活动情况、地图轨迹和人员布控；支持频次分析展示按时间统计的高频地点出现频次的TOP10排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5、针对内部、访客和其他实名人员和未实名的异常人员，可以快速选择人员库一键布控，该人员下次出现时及时告警提示。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人车地图轨迹支持展示轨迹信息列表；支持按时间和地点条件调整更新轨迹信息列表；在地图上可按人员出现顺序回放还原轨迹路线，回放过程中支持暂停、倍速播放控制；在出现点位，气泡方式展示人员出现信息，如人员出现照片、出现时间和地点，可录像回放和下载抓拍照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A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3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2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A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15415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9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15415 </w:t>
            </w:r>
          </w:p>
        </w:tc>
      </w:tr>
      <w:tr w14:paraId="22BF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A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02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设备运维系统路数授权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2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D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DH-ICC-Common-VD-OPCHN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46F75A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1、支持视频点播检测、录像丢失检测。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2、支持视频质量诊断：支持视频冻结、视频丢失、视频抖动等不少于18项异常检测。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3、支持对编码设备、解码设备、存储设备、门禁等多设备的运行指标的7x24小时实时监测。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4、自定义报警策略，报警信息分级分类展示，接收前端报警信息。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5、满足本次设备运维路数授权。</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6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64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A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B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A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28904 </w:t>
            </w:r>
          </w:p>
        </w:tc>
      </w:tr>
      <w:tr w14:paraId="4320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D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32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视频质量诊断路数授权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B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7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DH-ICC-Common-VD-VQDCHN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D79AE4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对视频通道进行视频冻结、视频丢失、视频抖动、视频遮挡、条纹干扰、画面模糊、对比度异常、画面过暗、画面过亮、画面偏色、噪声干扰、场景变化、黑白图像、视频剧变、雪花屏等图像质量的检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2、满足本项目视频质量诊断授权。</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9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F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AB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C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15415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6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15415 </w:t>
            </w:r>
          </w:p>
        </w:tc>
      </w:tr>
      <w:tr w14:paraId="195EF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9B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校时服务系统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0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F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DH-NTP8010-BD-HT </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80386B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1、配备30米长度天线，避雷器。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2、天线接口：BNC，1路，稳定度≤10 ns（σ）。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3、面板显示：配置高亮度OLED液晶 支持轮循显示卫星状态、时间、卫星个数、网络、系统工作状态。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4、WEB管理：1、 WEB设置：NTP设置，网络设置 2、 NTP状态：NTP服务器和授时客户端的同步和时间偏差情况, 卫星状态：包括卫星数，服务器部署位置的经纬度和高度，卫星时间，服务器时间以及参考源的同步情况。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5、授时模式：支持NTP Peer Client/Server Broadcast Multicast。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6、卫星接收机：单北斗信号。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7、高可靠性：双路220V冗余电源 支持双机热备；支持网卡绑定。</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7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E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F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E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10598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0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10598 </w:t>
            </w:r>
          </w:p>
        </w:tc>
      </w:tr>
      <w:tr w14:paraId="11A72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A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23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视频保护系统(本地水印客户端)</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0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4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DH-VPS-C100G</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ABF98D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★1、采用国产化 CPU，核数≥8核；内存≥32G，内置≥1T SSD硬盘，≥4千兆电口+≥2千兆光口。提供承诺函或原厂技术白皮书。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★2、支持≥60个数量的客户端授权。提供承诺函。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3、支持显式水印、隐式水印和二维码水印三种水印模式，满足不同场景需求。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4、仅允许安装视频保护系统的客户端并且经过身份验证登录成功后的终端访问指定的视频专网内的相关业务系统。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在终端电脑磁盘空间中创建安全隔离存储环境，安全隔离存储环境中的涉密视频和图片文件未经授权禁止脱离此存储环境，并且只能通过系统客户端软件用户才能访问此环境内的数据；终端本地任何被保护的视频和图片文件均以明文的形式存储，不得对文件做加密处理，不得改变文件原来的标识、格式等原有的属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6、支持自定义创建审批环节，满足不同需求的审批要求；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7、支持仅允许安装视频保护系统的客户端访问业务系统，从网络接入层面确保接入设备的合法性。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8、支持实时显示连接网络设备信息，并呈现设备上联、下联关系以及上下设备分别连接的网口信息。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9、可限定外发文件的禁止截屏、打开密码、打开次数、有效时间等使用权限，杜绝因文件外发造成二次泄密事件发生。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★10、支持终端准入，最大可扩展支持5000路。提供承诺函或原厂技术白皮书。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4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1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D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105500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105500 </w:t>
            </w:r>
          </w:p>
        </w:tc>
      </w:tr>
      <w:tr w14:paraId="657B2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D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3A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视频保护系统(投屏水印网关)</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8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E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DH-VPS-M1400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4CAF57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1、支持配置≥16路投屏水印接入转发。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2、屏幕视频水印：支持大屏屏幕水印功能，支持与HDMI、DVI、VGA接口大屏进行对接。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3、水印个性化定义：支持水印字号、颜色位置、旋转角度、透明度个性化定义。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4、水印位置自定义：支持定义屏幕x轴/y轴定义，支持水印1x1\2x2\3x3\4x4的显示模式。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5、水印平移：水印在观看视角进行平滑移动，降低因水印的重叠遮挡图像。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6、水印预览：支持水印预览功能，可在控制台页面看到具体水印展示的位置和效果。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7、视频解码模式：支持视频解码模式选择，可选择项为图像流畅优先-实时优先-实时模式。</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B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2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C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4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1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r>
      <w:tr w14:paraId="5112E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E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8B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业务数据网关</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0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2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DH-ICC-Common-BusinessDataGateway</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24CA46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支持1400视图库协议推送和接收的数据对象包括采集设备-设备对象、采集设备-设备状态对象、采集系统对象、图像对象、人脸对象、机动车对象等。</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2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C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3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8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9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24000 </w:t>
            </w:r>
          </w:p>
        </w:tc>
      </w:tr>
      <w:tr w14:paraId="3873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C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F1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自助采集终端</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4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9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DH-ASHZ230A-W</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D614CB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1、采用不低于4.3英寸触摸液晶屏，分辨率≥480(H)*272(V)。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2、采用≥200万高清双目摄像头，支持自动白光补光和自动红外补光。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3、支持人证核验模式、自助采集在线模式、自助采集离线模式、协同采集模式。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4、支持采集≥4000张人脸照片；人脸比对时间≤0.2S/人，识别成功率≥99.8%。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5、采用电容式指纹识别模块，支持采集≥6000枚指纹。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6、支持人脸、指纹、身份证、IC卡、CPU卡、密码等多种识别认证方式。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7、支持防假体攻击功能，对视频、电子照片、打印照片中的人脸应不能进行人脸识别。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8、支持脱机运行，采集数据存储和上传功能，网络恢复后，支持设备和平台数据同步。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9、支持语音提示功能。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10、支持≥1路USB、≥1个网口（10M/100M自适应）。</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8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0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E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5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3854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8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3854 </w:t>
            </w:r>
          </w:p>
        </w:tc>
      </w:tr>
      <w:tr w14:paraId="4CAA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0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BA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C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B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MW5108(SM_CPU)</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6B4714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1、产品款式：白卡；外壳材料：PVC。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2、类型：CPU。</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3、执行标准：ISO14443-A。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4、通信速率：106Kbps。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5、工作频率：13.56MHZ。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6、存储容量：8Kbyte EEPROM。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7、读写距离：1cm～5cm。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8、数据保质期：10年。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9、擦写次数：100000次。</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9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3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B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B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8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r>
      <w:tr w14:paraId="46BD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E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0C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可视对讲系统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6D30">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E170">
            <w:pPr>
              <w:jc w:val="center"/>
              <w:rPr>
                <w:rFonts w:hint="eastAsia" w:ascii="宋体" w:hAnsi="宋体" w:eastAsia="宋体" w:cs="宋体"/>
                <w:i w:val="0"/>
                <w:iCs w:val="0"/>
                <w:color w:val="000000"/>
                <w:sz w:val="22"/>
                <w:szCs w:val="22"/>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9F67">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2AA4">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8131">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F614">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E150">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0C87">
            <w:pPr>
              <w:jc w:val="center"/>
              <w:rPr>
                <w:rFonts w:hint="eastAsia" w:ascii="宋体" w:hAnsi="宋体" w:eastAsia="宋体" w:cs="宋体"/>
                <w:i w:val="0"/>
                <w:iCs w:val="0"/>
                <w:color w:val="000000"/>
                <w:sz w:val="18"/>
                <w:szCs w:val="18"/>
                <w:u w:val="none"/>
              </w:rPr>
            </w:pPr>
          </w:p>
        </w:tc>
      </w:tr>
      <w:tr w14:paraId="1BF8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D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FD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可视防暴紧急求助终端</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8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8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DH-VTA2501G</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2B483B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1、按键类型：机械按键；内置不低于1/2.7" 4MP CMOS摄像头。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2、接入标准：ONVIF;GB/T28181;CGI。</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3、网络协议：IPv4;RTSP;UDP;P2P;FTP;RTP;TCP;SIP。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4、存储功能：支持Micro SD卡存储，支持最大512GB。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5、音频输入：内置双路硅麦，外接3.5mm音频输入；音频输出：内置双扬声器，外接有源音箱。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6、RS-485接口≥1个；报警输入≥2路；报警输出≥2路；电源输出≥1路12V/1A；≥1路12V/200mA。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7、网络接口：≥2个100Mbps以太网口。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8、供电方式：标准PoE；DC12V 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9、支持外接警号，支持自身消警；支持防拆报警。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10、安装方式：暗装；明装。</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9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CC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0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4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3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75114 </w:t>
            </w:r>
          </w:p>
        </w:tc>
      </w:tr>
      <w:tr w14:paraId="507B5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C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19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室外紧急报警柱</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0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7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DH-VTA8311AB</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429101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1、集成不低于200W高清摄像头、高灵敏度麦克风。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2、视场角：105*88*44；分辨率：704*480、640*480、1280*720、1920*1080；帧率1~25FPS。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3、支持红外补光≥30米；支持昼夜切换。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4、支持≥1路音频输入，≥1路音频输出。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5、支持音量调节，支持语音对讲，支持多种音频格式的音频播放。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6、内置≥2个功能指示灯（警灯 、紧急呼叫按键灯），≥1路1个紧急求助呼叫按键。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7、支持≥2路报警输入，≥2路报警输出。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8、支持≥2个RJ-45 10M/100M以太网口，支持≥1路PSTN电话接口，4G模块可选，≥1个RS-232接口，≥1路RS-485接口，可接点阵屏。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9、支持电话告警，支持视频联动，支持联动视频抓图。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10、支持远程升级，支持FTP服务器。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11、支持≥10000条日志记录，包括报警事件、操作日志等，支持远程报警事件检索。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12、供电方式：AC110~240V；空载功耗：≤20W，满载功耗：≤55W。</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9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0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BA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4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9635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0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19270 </w:t>
            </w:r>
          </w:p>
        </w:tc>
      </w:tr>
      <w:tr w14:paraId="6251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0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82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报警管理中心机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C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7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DH-VTS8A40B-CG</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E24514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1、采用≥10寸全玻璃触摸显示屏，屏幕分辨率≥1024*600。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2、支持免提、听筒和鹅静麦自由切换。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3、支持桌面安装，支架0～45°可调。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4、配置不低于500万像素摄像头，可支持管理机与管理机、求助终端之间双向可视对讲。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5、支持HDMI输出，最大分辨率1024*600。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6、支持和报警柱、紧急求助终端的双向实时对讲。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7、支持同时预览≥4路求助终端、摄像机的画面。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8、支持SD卡扩展，在报警柱、紧急求助终端对讲和预览时进行录像和抓拍图片。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9、支持管理机之间的实时双向可视对讲。</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B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1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C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1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4817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B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14451 </w:t>
            </w:r>
          </w:p>
        </w:tc>
      </w:tr>
      <w:tr w14:paraId="4FE65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4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B5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报警接入网关</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D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E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DH-DFS0101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62E541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1、主处理器：工业级微控制器。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▲2、采用国产操作系统、国产芯片。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3、支持报警与视频复核，支持人脸检测、人脸识别、视频结构化、周界防范、智能动检、工装检测、人数统计、离岗检测等智能分析。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采集的数据包括：传感器数据、现场视频数据，数据采集频率可达到秒级，IOT数据采集与转发业务和视频监控业务采用双板双控系统，IOT板出现硬件损坏或系统故障不会对视频监控板业务产生直接影响，视频监控板硬件损坏或系统故障不会对IOT板业务产生直接影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5、通讯方式：以太网、RS485、RS422、RS232、开关量、模拟量。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6、支持不少于32路视频接入。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7、解码能力：最大支持2路32MP@30fps; 2路24MP@30fps; 4路16MP@30fps; 5路12MP@30fps; 8路8MP@30fps; 10路6MP@30fps; 12路5MP@30fps; 16路4MP@30fps；24路1080p@30fps；32路1080p@30fps解码。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在任一预览窗口叠加传感器数据或接收前端IPC传输的带数据叠加的视频，叠加后的画面会在预览和回放中显示。支持根据报警类型设置不同的报警阈值，包括低低限、低限、高限、高高限，当超过对应阈值时触发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9、报警输入：≥8路；报警输出：≥4路。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10、硬盘接口≥1个SATA , 存储容量 ≥20T。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▲11、硬盘装配采用橡胶垫减震托盘，提高硬盘使用安全性，采用半导体热电制冷模块进行温度调节，无风扇设计。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12、RS-485接口：≥6个；网络接口：≥6个 (10/100/1000 Mbps以太网口， RJ-45)。</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D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E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9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7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2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7708 </w:t>
            </w:r>
          </w:p>
        </w:tc>
      </w:tr>
      <w:tr w14:paraId="6A0B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3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4F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声光警号</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6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E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DH-ARA11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A093FC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1、声光报警一体式报警；ABS材质；报警联动配件；额定电压：12VDC；工作电压范围：9~15VDC；额定电流≤140mA。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2、安装环境：室内安装；闪动次数/分钟：300±30次；声压：108±3dB（30cm处）。</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0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5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2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5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A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1440 </w:t>
            </w:r>
          </w:p>
        </w:tc>
      </w:tr>
      <w:tr w14:paraId="7E4D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1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8F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一键报警系统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E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3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DH-ICC-Common-KeyAlm</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DDBC2E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1、支持接警中预览紧急求助设备关联的实时视频画面。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2、支持客户端接听报警柱的报警求助，并且通过关联报警柱附近视频设备的方式，将音频与视频数据进行整合。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3、支持报警语音和报警视频收听及查看，支持为漏接报警电话提供回拨的功能。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4、支持警情记录在本平台留档保存，留档内容包括：警情基本信息、录像信息、音频信息，通过音视频结合，历史记录的存档可提供警情回溯。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5、支持分区接警，提供地图视图，后端监控平台实时展示报警点位置。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6、支持查看历史报警记录，并按照报警时段、报警类型、接警类型、处理状态进行记录筛选。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7、支持列表展示接警历史信息，并查看历史接警详情，详情中包括报警信息、处理结果记录、关联的报警录像视频；支持音视频融合录像下载。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9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2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E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F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A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19200 </w:t>
            </w:r>
          </w:p>
        </w:tc>
      </w:tr>
      <w:tr w14:paraId="245F4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F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38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紧急报警通道路数授权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9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3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DH-ICC-Common-VD-EMGALARMCHN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E7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接入平台的报警柱、紧急求助终端设备所需的通道路数授权</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11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3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8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B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E9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7680 </w:t>
            </w:r>
          </w:p>
        </w:tc>
      </w:tr>
      <w:tr w14:paraId="1268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E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80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对讲管理系统_管理机授权</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1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87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DH-ICC-Common-VD-TALKCHN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7C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接入平台的管理中心机所需的通道路数授权</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3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5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B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0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E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r>
      <w:tr w14:paraId="45CB0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3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D7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5295">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9D6E">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7442">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26E1">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D72E">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03FE">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E483">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FF4D">
            <w:pPr>
              <w:jc w:val="center"/>
              <w:rPr>
                <w:rFonts w:hint="eastAsia" w:ascii="宋体" w:hAnsi="宋体" w:eastAsia="宋体" w:cs="宋体"/>
                <w:i w:val="0"/>
                <w:iCs w:val="0"/>
                <w:color w:val="000000"/>
                <w:sz w:val="18"/>
                <w:szCs w:val="18"/>
                <w:u w:val="none"/>
              </w:rPr>
            </w:pPr>
          </w:p>
        </w:tc>
      </w:tr>
      <w:tr w14:paraId="1C20D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0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46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报警主机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2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D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DH-ARC9016C-V3</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359B98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1、报警输入：支持本地≥16路，最大可扩展到≥256路。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2、报警输出：本地≥4路，最大可扩展到≥256路。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3、无线防区：支持通过网络模块扩展最大64路无线防区。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4、网络制式：4G可选。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5、网络接口：≥2个RJ-45 10M/100M以太网口；电话线：≥1路PSTN。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6、RS-485接口：≥2路，支持键盘、扩展模块、打印机。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7、M-BUS总线接口：支持≥2路MBUS扩展，单路最大通信距离2.4KM。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8、蓄电池：≥1个接口，蓄电池规格DC12V/7Ah；辅电输出：≥1路DC12V/1A。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9、供电方式：AC100~AC240V，50Hz/60Hz；功耗：空载功耗：≤5W；满载功耗：≤60W。</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A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D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3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4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7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r>
      <w:tr w14:paraId="4E7D2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9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5A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声光警号</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3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8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DH-ARA11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0D1CD3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1、ABS材质；报警联动配件。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2、闪动次数/分钟：300±30次；声压：108±3dB（30cm处）。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3、额定电压：12VDC；工作电压范围：9~15VDC；额定电流≤140mA。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4、安装环境：室内安装。</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7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D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D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DC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6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 </w:t>
            </w:r>
          </w:p>
        </w:tc>
      </w:tr>
      <w:tr w14:paraId="0979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7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BD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报警键盘</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9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9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DH-ARK50C</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AF79E2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1、分辨率≥128x64 ，LCD屏尺寸：≥56.27x38.35mm。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2、具防区状态指示灯、故障指示灯、布撤防指示灯、网络指示灯、通讯指示灯。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3、具有0~9数字键和菜单键。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4、具蜂鸣器；壳体防拆。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5、对主机编程、布撤防、消警、旁路/旁路恢复、子系统操作、继电器操作、防区状态查询、步测模式等功能。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6、支持防区状态、系统故障、程序版本、通信参数查询。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7、支持无线433MHz,支持无线遥控器，RS485接口与主机连接。</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7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9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0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8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3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 </w:t>
            </w:r>
          </w:p>
        </w:tc>
      </w:tr>
      <w:tr w14:paraId="5E8A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B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E9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单防区输入输出防区模块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E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3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DH-ARM911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176071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单防区扩展；单路继电器输出扩展；常开、常闭类型探测器可选；最大级联数120；通信协议Mbus。</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8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F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D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7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2688 </w:t>
            </w:r>
          </w:p>
        </w:tc>
      </w:tr>
      <w:tr w14:paraId="3FC2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8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ED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被动红外/微波双技术探测器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C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41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DH-ARD2235</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E41C3D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1、采用微波+红外+智能复核算法。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2、探测范围：12m/90°。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3、抗白光等级：20000Lux，防宠 ≤25KG。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4、标配支架、电源。</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C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3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7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A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D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6495 </w:t>
            </w:r>
          </w:p>
        </w:tc>
      </w:tr>
      <w:tr w14:paraId="2F6A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D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4A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报警按钮</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A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E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DH-ARD811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729F67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1、支持常开/常闭的触点模式，一键紧急报警。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2、支持86盒安装方式，螺丝固定。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3、支持电压≤250VDC，电流≤300mA的环境下工作。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4、设备无需供电。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5、自带配套复位钥匙，出警确认警情，通过钥匙复位。</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C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2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A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6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D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 </w:t>
            </w:r>
          </w:p>
        </w:tc>
      </w:tr>
      <w:tr w14:paraId="6562A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A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2E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出入口车辆管理系统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3C74">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C6F5">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B5DF52C">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top"/>
          </w:tcPr>
          <w:p w14:paraId="7E0A27E2">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2B47">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086B">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F8CC">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6996">
            <w:pPr>
              <w:jc w:val="center"/>
              <w:rPr>
                <w:rFonts w:hint="eastAsia" w:ascii="宋体" w:hAnsi="宋体" w:eastAsia="宋体" w:cs="宋体"/>
                <w:i w:val="0"/>
                <w:iCs w:val="0"/>
                <w:color w:val="000000"/>
                <w:sz w:val="18"/>
                <w:szCs w:val="18"/>
                <w:u w:val="none"/>
              </w:rPr>
            </w:pPr>
          </w:p>
        </w:tc>
      </w:tr>
      <w:tr w14:paraId="1F2EB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A3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79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车底检测</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A6BE">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5C71">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51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主出口、次入口各1套</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9742">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02DA">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FC5C">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C5D1">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A440">
            <w:pPr>
              <w:jc w:val="center"/>
              <w:rPr>
                <w:rFonts w:hint="eastAsia" w:ascii="宋体" w:hAnsi="宋体" w:eastAsia="宋体" w:cs="宋体"/>
                <w:i w:val="0"/>
                <w:iCs w:val="0"/>
                <w:color w:val="000000"/>
                <w:sz w:val="18"/>
                <w:szCs w:val="18"/>
                <w:u w:val="none"/>
              </w:rPr>
            </w:pPr>
          </w:p>
        </w:tc>
      </w:tr>
      <w:tr w14:paraId="5CD65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A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0F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固定式车底检查系统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3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8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DH-XIS-C200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C81A60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1、成像方式：采用线阵CCD扫描技术动态方式成像。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2、扫描方式：线性扫描，地感线圈触发。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3、最大扫描速率：18kHz。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4、车底图像纵向分辨率：≥2048像素 CCD。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▲5、图像分辨率：≥11520 × 2048。提供第三方机构出具的具有CMA标志的检测报告扫描件。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6、支持图像放大，支持局部放大功能。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7、自动生成图片与历史图片比对功能。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8、支持按日期、时间、车牌号等信息快速检索存储的车底及车牌、外观图像。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9、支持对图像进行饱和度、对比度、均衡、锐化处理。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10、扫描仪数据线：标配不少于10 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▲11、采用开放式宽视场车底图像采集技术，视场角度：≥178度。提供第三方检测机构出具的具有CMA标志的检测报告扫描件。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12、辅助照明：≥320W。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13、防护等级：≥IP68。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14、支持承压重量：≥50吨。</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9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4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9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8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96000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0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192000 </w:t>
            </w:r>
          </w:p>
        </w:tc>
      </w:tr>
      <w:tr w14:paraId="13CCD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A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27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安检系统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C8C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E36">
            <w:pPr>
              <w:jc w:val="center"/>
              <w:rPr>
                <w:rFonts w:hint="eastAsia" w:ascii="宋体" w:hAnsi="宋体" w:eastAsia="宋体" w:cs="宋体"/>
                <w:i w:val="0"/>
                <w:iCs w:val="0"/>
                <w:color w:val="000000"/>
                <w:sz w:val="22"/>
                <w:szCs w:val="22"/>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9F8B">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A722">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8BFE">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9F43">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6B25">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BB79">
            <w:pPr>
              <w:jc w:val="center"/>
              <w:rPr>
                <w:rFonts w:hint="eastAsia" w:ascii="宋体" w:hAnsi="宋体" w:eastAsia="宋体" w:cs="宋体"/>
                <w:i w:val="0"/>
                <w:iCs w:val="0"/>
                <w:color w:val="000000"/>
                <w:sz w:val="18"/>
                <w:szCs w:val="18"/>
                <w:u w:val="none"/>
              </w:rPr>
            </w:pPr>
          </w:p>
        </w:tc>
      </w:tr>
      <w:tr w14:paraId="44A2C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4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F8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安检门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A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B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DH-ISC-D718QLD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41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1、GB15210-2018规定的混合类（Ⅰ、Ⅱ、Ⅲ类）金属探测门。尺寸：高度（z轴方向）≥ 1980mm，宽度（x轴方向）≥710 mm，深度（y轴方向）≤ 910mm。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▲2、实现对从安检门通过的被检查人员身体上所携带的金属物体进行检测，达到或超过预设值时自动进行显示和声音报警。提供第三方机构出具的具有CMA标志的检测报告。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3、结构稳定，底部设计有脚踏板，脚踏板与金属门主体结构之间逢隙≤10mm，脚踏板负重≥120KG。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门体分区功能：安检门应可在6区、12区、18区、11区、22区、33区、45区等多种模式间切换，在门板左右均可通过立柱灯对应显示报警区域；当多个区域有报警物时，对应的区域都应显示报警；报警区位显示有连续、间隔、单区三种模式，可定位报警位置。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5、探测灵敏度范围：具备由低到高调节检测金属物体的灵敏度，灵敏度拥有10000级可调。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6、探测灵敏度达到Ⅰ、Ⅱ、Ⅲ类灵敏度要求，对一个应报警测试物在同一位置的探测率≥90%；对一个不应报警测试物在同一位置的误报警率≤30%，且全部位置总的误报警率≤15%。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7、报警响应时间：应报警测试物进入探测区后 1s内，金属门应发出报警指示，此测试物离开探测区后报警指示延续应≤1s。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8、稳定工作时间：金属门的稳定工作时间应≥ 24 h,待机期间不应出现误报警。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9、支持设置多种不同的报警声音，多种不同音量等级可调。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10、支持对设备的频率进行调整，支持频率调整。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11、内置嵌入式智能相机（不低于1/1.8英寸CMOS传感器；像素≥400万或最大分辨率≥2688×1520），可实现对通过金属探测门的人员进行智能识别和视频监控。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▲12、安检门主机内应支持人脸库功能；支持人脸图片自动建模，建模速度不少于25张/秒。提供承诺函或检测报告或原厂技术白皮书。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安检门配置不少于2个≥10寸液晶显示屏，两个液晶显示器上均能显示通过人数、报警人数、当前日期、系统状态、报警程度、抓拍人脸图、人脸底库对比图等信息。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▲14、具有对所设定的参数进行存储的能力，断电后再次上电启动时不应改变。提供承诺函或检测报告或原厂技术白皮书。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15、支持对通过人数数据进行统计记录，分别记录通过人数及报警次数，而且支持双向分开计数。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▲16、支持创建不同用户的权限组，可分配不同用户权限。提供承诺函或检测报告或原厂技术白皮书。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 外壳防护等级≥IP53。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18、工作环境：至少能在温度下限- 20  ℃、温度上限 55  ℃、最大相对湿度 93%的环境条件下正常工作。</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F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5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4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8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14452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B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14452 </w:t>
            </w:r>
          </w:p>
        </w:tc>
      </w:tr>
      <w:tr w14:paraId="52516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2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35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安检系统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E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C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DH-ICC-ISCAN-Base</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BC2614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1、支持实时接收客流金属报警，支持金属区位展示。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2、支持金属危险等级判断，支持人员进出方向判断。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3、支持展示违禁品检查点位置。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★4、支持金属报警联动现场视频及录像，支持设备、视频通道、报警输入通道、智能通道报警源选择。提供承诺函或检测报告或原厂技术白皮书。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5、支持金属报警历史数据查询，支持金属处理状态查询及查看。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安检门报警率柱状图展示，支持安检门报警率排名，支持安检门金属报警统计报表展示，可根据进出方向，日/月/年条件过滤展示，支持柱状图、折线图、饼状图等展示金属报警统计。提供承诺函或检测报告或原厂技术白皮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8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4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F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D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5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9634 </w:t>
            </w:r>
          </w:p>
        </w:tc>
      </w:tr>
      <w:tr w14:paraId="4E07E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E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1D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门禁系统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73B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BEFE">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FD8D">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84E0">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7D3C">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A098">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B839">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2043">
            <w:pPr>
              <w:jc w:val="center"/>
              <w:rPr>
                <w:rFonts w:hint="eastAsia" w:ascii="宋体" w:hAnsi="宋体" w:eastAsia="宋体" w:cs="宋体"/>
                <w:i w:val="0"/>
                <w:iCs w:val="0"/>
                <w:color w:val="000000"/>
                <w:sz w:val="18"/>
                <w:szCs w:val="18"/>
                <w:u w:val="none"/>
              </w:rPr>
            </w:pPr>
          </w:p>
        </w:tc>
      </w:tr>
      <w:tr w14:paraId="3993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8"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8A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D3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人脸刷卡器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8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6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DH-ASI7213K-ZQL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CC4756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★1、采用≥7英寸液晶屏，内置双目摄像头，屏幕显示分辨率达到≥1024*600或600*1024。提供第三方机构出具的具有CMA标志的检测报告，检测报告编号在国家认监委网站可查并提供查询结果带链接截图。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2、屏幕采用钢化玻璃面板，防破坏能力应满足IK06；结构后壳防破坏能力应满足IK07。提供承诺函或检测报告或原厂技术白皮书。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3、采用高性能图像传感器，无需白光补光。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★4、支持≥2万张人脸、≥2万张卡片、≥20万条记录。提供承诺函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5、支持人脸、IC卡、CPU卡、CPU卡序列号、身份证序列号、密码、二维码等多种识别方式，并支持多种组合识别鉴权方式。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6、支持面部识别距离范围不小于0.3m-3.0m；适应身高范围不小于0.9m～2.4m。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7、支持多种比对结果呈现模式及多种语音提示信息。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8、支持活体检测功能，支持手机照片、打印照片和视频防假。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9、支持至少 5 段视频的播放设置，支持上分屏播放或下分屏播放可配置，支持 MP4、AVI等格式，可配置开始播放时间和结束播放时间，支持原比例播放和全屏播放两种播放方式，支持多段循环播放。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10、支持自定义语音，验证成功后可叠加播报姓名。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11、支持多人识别，最多可6人同时人脸识别。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12、支持语音识别，开启后可通过语音唤醒并语音控制设备。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▲13、支持切换为门牌模式，门牌模式时应能展示办公室人员信息及状态，门牌模式下应支持门铃呼叫，可通过呼叫按钮一键呼叫室内机，进行对讲通话和远程开门。提供承诺函或检测报告或原厂技术白皮书。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14、支持消防报警联动。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15、支持≥IP65防护等级。</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1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2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5E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7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2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529086 </w:t>
            </w:r>
          </w:p>
        </w:tc>
      </w:tr>
      <w:tr w14:paraId="6930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D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58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开门按钮</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B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7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DH-ASF900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8C35CC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外壳材料：塑料外壳。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适配86底盒。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工作温度：-30℃～+60℃。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工作湿度：≤95%。</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8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7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7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C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B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1430 </w:t>
            </w:r>
          </w:p>
        </w:tc>
      </w:tr>
      <w:tr w14:paraId="18C47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B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A8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门禁（双门磁力锁）</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9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8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DH-ASF500B</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15B576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★1.双门磁力锁拉力500KG*2个以上，带锁状态信号输出，门状态侦察信号输出，断电开门，内置反向突波保护功能，支持按钮门磁火警输入。提供承诺函或厂家技术白皮书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可自行设定12VDC或24VDC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内置反向电流防护装置。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门锁状态讯号输入。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 LED指示灯显示门锁状态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 防残磁设计，选用防磨损材料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 铝外壳采用高强度合金材料，阳极硬化处理。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8.工作温度：-30℃～+60℃。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9.适用门型：木门\玻璃门\金属门\防火门等。</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48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C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A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5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F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37744 </w:t>
            </w:r>
          </w:p>
        </w:tc>
      </w:tr>
      <w:tr w14:paraId="2E8B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3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A5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门禁（单门磁力锁）</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9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5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DH-ASF500A</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407B9A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★1、单门磁力锁拉力500KG以上，带锁状态信号输出，门状态侦察信号输出，断电开门，内置反向突波保护功能，支持按钮门磁火警输入。提供承诺函或厂家技术白皮书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2、可自行设定12VDC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3、内置反向电流防护装置。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4、门锁状态讯号输入。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5、LED指示灯显示门锁状态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6、防残磁设计，选用防磨损材料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7、外壳采用高强度铝合金材料，阳极硬化。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8、工作温度：-30℃～+60℃。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9、适用门型：木门\玻璃门\金属门\防火门等。</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6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2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8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F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9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74520 </w:t>
            </w:r>
          </w:p>
        </w:tc>
      </w:tr>
      <w:tr w14:paraId="1415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E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98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四门门禁主机（AB门）</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B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E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DH-ASC6204C-DQL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E5510A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★1、四门双向门禁控制器，采用嵌入式处理器。提供承诺函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▲2、主机应具有丰富的通讯接口、控制接口及拓展接口：TCP/IP接口1个； wiegand通讯接口8个；可接入最多读卡器数量8个；门磁输入接口4个；开门按钮接口4个；电锁输出接口4个；可扩展报警输入接口4个、报警输出接口4个。提供第三方机构出具的具有CMA标志的检测报告扫描件。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3、开门权限及方式：支持卡片、密码、指纹、二维码、人脸识别等多种识别方式，并支持多种组合识别鉴权方式。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4、反潜回（防跟随）功能，具备常开功能。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★5、具有消防联动功能，当检测到消防信号后，可以自动打开门锁。提供承诺函或厂家技术白皮书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★6、支持脱机记录保持功能和循环存储功能，断电后数据可以永久保存。提供承诺函或厂家技术白皮书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★7、支持多门互锁功能。提供承诺函或厂家技术白皮书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8、具有大容量存储能力，应支持≥10万张卡片管理和≥30万条事件记录存储；支持事件记录本地存储以及实时上传平台。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9、支持≥128组时间表、≥128组假日时段表设置；支持常开时间段、常闭时间段、远程开门时间段、首卡开门时间段设置。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10、报警功能：支持非法卡报警、胁迫报警、 防拆报警、 闯入报警、 门超时报警、非法超次报警、市电断电报警、欠压报警；可设置布防/撤防密码进行管控。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11、具有手动或自动校时功能。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12、支持选配蓄电池充放电。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13、具有自检能力，对主机输入电压、工作温度、设备复位次数等数据要能够上传到管理平台，管理平台可实时查看。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14、系统主要操作响应时间应小于2S，电控锁响应时间应小于等于1S，报警响应时间应小于等于1S。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15、接口标准：Wiegand 66/34/26和RS485。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16、稳定性：具备7*24小时正常工作。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17、支持离墙防拆和开盖防拆；支持明装、机柜式安装。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18、控制器开关和电源头不外漏，用专用钥匙开盖才能操作。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19、设备支持配置联动接口，当检测到联动信号输入，自动打开门锁；可兼容常开和常闭输入信号。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20、支持控制器对满接读卡器与门锁供电；控制器开关电源输出额定电压不低于12V，10A。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21、支持数码管显示屏，可显示设备运行状态，包含≥4个网口，控制器可级联，可当交换机使用，外接其他设备。</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C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9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2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F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A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1252 </w:t>
            </w:r>
          </w:p>
        </w:tc>
      </w:tr>
      <w:tr w14:paraId="1468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E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0F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单门磁力锁支架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0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C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DH-ASF500ZL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87C1D4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磁力锁支架（ZL型）</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2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3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6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7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3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10440 </w:t>
            </w:r>
          </w:p>
        </w:tc>
      </w:tr>
      <w:tr w14:paraId="2B72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4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F1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双门磁力锁支架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2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3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DH-ASF500ZL</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D1E196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磁力锁支架（ZL型）</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7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0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D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2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5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6496 </w:t>
            </w:r>
          </w:p>
        </w:tc>
      </w:tr>
      <w:tr w14:paraId="66AC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D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8E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磁力锁电源</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1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7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DH-PFM320S-50</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B491FB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1、AC100V~240V-50W；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★2、提供CCC认证证书扫描件。</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3B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5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3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4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C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6844 </w:t>
            </w:r>
          </w:p>
        </w:tc>
      </w:tr>
      <w:tr w14:paraId="7F1EC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F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92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梯控系统</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0DE3">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6283">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99AF">
            <w:pPr>
              <w:jc w:val="left"/>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271D">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C4FC">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D2A8">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701E">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C32C">
            <w:pPr>
              <w:jc w:val="center"/>
              <w:rPr>
                <w:rFonts w:hint="eastAsia" w:ascii="宋体" w:hAnsi="宋体" w:eastAsia="宋体" w:cs="宋体"/>
                <w:i w:val="0"/>
                <w:iCs w:val="0"/>
                <w:color w:val="000000"/>
                <w:sz w:val="18"/>
                <w:szCs w:val="18"/>
                <w:u w:val="none"/>
              </w:rPr>
            </w:pPr>
          </w:p>
        </w:tc>
      </w:tr>
      <w:tr w14:paraId="1231A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4"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7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45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人脸梯控一体机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4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D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DH-ASI7213H-XYZ</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FBFD6E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▲1、采用≥7英寸液晶屏，内置不低于200万双目摄像头，屏幕显示分辨率达到≥1024x600。提供承诺函或厂家技术白皮书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2、采用国产芯片和国产操作系统，提供国产系统生态兼容证书。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3、采用高性能图像传感器，无需白光补光。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▲4、支持≥5万张人脸、≥5万张卡片、≥20万条记录。提供承诺函或厂家技术白皮书。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5、支持人脸、IC卡、CPU卡、CPU卡序列号、身份证序列号、密码、二维码等多种识别方式，并支持多种组合识别鉴权方式。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6、支持面部识别距离范围不小于0.3m-3.0m；适应身高范围不小于0.9m～2.4m。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通过文本转语音自定义播报内容，支持播报内容分时段自定义，根据时间段自动切换播报不同内容，时间段应不少于4个，支持播报可叠加姓名，姓名可配置为前置或者后置，支持可自定义调整播报语速，支持播报音频可配置为男声播报或女声播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▲8、支持快捷呼叫功能，可自定义的快捷键数量不少于10个；快捷键的名称可自定义，可配置是否展示对应名称；快捷键的位置布局可通过拖拽的方式进行快捷调整。提供承诺函或厂家技术白皮书。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9、支持胁迫报警、 防拆报警、 闯入报警、 门超时报警、非法卡超次报警、非法密码超次报警。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10、设备应具有多色指示灯，指示灯应支持固定频率的亮起和熄灭（呼吸状态）及识别状态提示，支持12V/1A电源输出功能，可以给读卡器等外设供电。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11、支持≥IP65防护等级。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支持通过网络或RS-485与电梯做联动控制；支持联动电梯实现呼梯和楼层权限控制，支持轿厢内和轿厢外两种使用场景可配置，支持高平峰计划，支持公共楼层及楼层偏置配置。提供承诺函或厂家技术白皮书。</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1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7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F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7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D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3236 </w:t>
            </w:r>
          </w:p>
        </w:tc>
      </w:tr>
      <w:tr w14:paraId="4973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6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F0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梯控主机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7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C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DH-ECC-N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CE8D8A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1、支持LED指示灯。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2、支持通过TCP/IP通信。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3、支持≥2路继电器输出。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4、支持≥3路RS-485输出。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5、支持最大可接入4个联动模块，最大可控制120层楼层按钮。</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C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A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2F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A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6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3854 </w:t>
            </w:r>
          </w:p>
        </w:tc>
      </w:tr>
      <w:tr w14:paraId="4F752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5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40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梯控联动模块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3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F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DH-ECE-18F-N</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865E65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1、通信方式：上行RS485接口≥2个，继电器输出≥18个，光耦输出≥1个。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2、485通讯距离≥5m。。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3、通过干节点的开关达到楼层控制器目的，可实现手动和自动点亮楼层。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4、支持看门狗检测功能。</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5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F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C8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C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7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2428 </w:t>
            </w:r>
          </w:p>
        </w:tc>
      </w:tr>
      <w:tr w14:paraId="5496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3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D3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开关电源</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0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3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24V/50W</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EC5770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1、外壳材料：金属。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2、输出功率≥52.8W；额定输出电压及电流：24V/2.2A。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3、输入电压范围：DC 120-370.AC 85-264V。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4、待机功耗：≤0.3W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5、短路保护：度短路状态消失后，恢复时间小于5s；过压保护：24V。</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A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5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4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5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5B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346 </w:t>
            </w:r>
          </w:p>
        </w:tc>
      </w:tr>
      <w:tr w14:paraId="6233D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5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B7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梯控控制器箱体</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8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E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梯控控制器箱体</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12AA02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产品形态：铁箱。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外箱建议尺寸: 354mm*254mm*80mm。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内箱建议尺寸：352mm*252mm*78mm。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箱体壁厚：≥2mm。</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3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D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A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C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B5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578 </w:t>
            </w:r>
          </w:p>
        </w:tc>
      </w:tr>
      <w:tr w14:paraId="79A7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0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B8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按钮转接线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E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E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12头3芯6米</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20E615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每根排线对应12个楼层按键。</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8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B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E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1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9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346 </w:t>
            </w:r>
          </w:p>
        </w:tc>
      </w:tr>
      <w:tr w14:paraId="09AE3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A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B9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周界电子围栏</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A7A8">
            <w:pPr>
              <w:jc w:val="center"/>
              <w:rPr>
                <w:rFonts w:hint="eastAsia" w:ascii="宋体" w:hAnsi="宋体" w:eastAsia="宋体" w:cs="宋体"/>
                <w:i w:val="0"/>
                <w:iCs w:val="0"/>
                <w:color w:val="000000"/>
                <w:sz w:val="18"/>
                <w:szCs w:val="18"/>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AA07">
            <w:pPr>
              <w:jc w:val="center"/>
              <w:rPr>
                <w:rFonts w:hint="eastAsia" w:ascii="宋体" w:hAnsi="宋体" w:eastAsia="宋体" w:cs="宋体"/>
                <w:i w:val="0"/>
                <w:iCs w:val="0"/>
                <w:color w:val="000000"/>
                <w:sz w:val="18"/>
                <w:szCs w:val="18"/>
                <w:u w:val="none"/>
              </w:rPr>
            </w:pP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90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500米，十一防区</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5E6E">
            <w:pPr>
              <w:jc w:val="center"/>
              <w:rPr>
                <w:rFonts w:hint="eastAsia" w:ascii="宋体" w:hAnsi="宋体" w:eastAsia="宋体" w:cs="宋体"/>
                <w:i w:val="0"/>
                <w:iCs w:val="0"/>
                <w:color w:val="000000"/>
                <w:sz w:val="18"/>
                <w:szCs w:val="18"/>
                <w:u w:val="none"/>
              </w:rPr>
            </w:pP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F9B6">
            <w:pPr>
              <w:jc w:val="center"/>
              <w:rPr>
                <w:rFonts w:hint="eastAsia" w:ascii="宋体" w:hAnsi="宋体" w:eastAsia="宋体" w:cs="宋体"/>
                <w:i w:val="0"/>
                <w:iCs w:val="0"/>
                <w:color w:val="000000"/>
                <w:sz w:val="18"/>
                <w:szCs w:val="18"/>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9E72">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7E3D">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3E25">
            <w:pPr>
              <w:jc w:val="center"/>
              <w:rPr>
                <w:rFonts w:hint="eastAsia" w:ascii="宋体" w:hAnsi="宋体" w:eastAsia="宋体" w:cs="宋体"/>
                <w:i w:val="0"/>
                <w:iCs w:val="0"/>
                <w:color w:val="000000"/>
                <w:sz w:val="18"/>
                <w:szCs w:val="18"/>
                <w:u w:val="none"/>
              </w:rPr>
            </w:pPr>
          </w:p>
        </w:tc>
      </w:tr>
      <w:tr w14:paraId="158BF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F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4F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双防区电子围栏主机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A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2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DH-AREF-C02</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5977AA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1、双防区脉冲主机符合 GB/T 7946-2015 《脉冲电子围栏及其安装和安全运行》，主机高压脉冲输出端子采用无节点接触式设计，彻底消除主机输出故障隐患。高压绝缘线端口，采用全封闭式接口，避免了干扰，提升整机安全可靠性；电子围栏主机脉冲峰值:高压模式5KV~10KV，脉冲周期:≥1s ，脉冲持续时间:≤0.1s；主机4/6线制兼容；标准485通讯,主机可选带遥控器控制布撤防，两路报警输出常开、常闭可选,每个防区一路警号接口，一路电池接口。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2、中文LCD屏幕显示短路、断线各种异常状态报警，界面能显示:当前电压值、工作状态，以及高低压切换功能。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3、支持掉电记忆，上电自动复位；具有短路报警，断路报警等功能。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4、AC24V或DC24V供电，平均功耗12W， 电源适配器标配。</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D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C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9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2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7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11562 </w:t>
            </w:r>
          </w:p>
        </w:tc>
      </w:tr>
      <w:tr w14:paraId="19CE7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4E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97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主机防水箱</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5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C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EH-FSX-2</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373A83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配套双防区脉冲电子围栏主机使用，内含防水箱*1；接地线*2；紧线器*12；线连接器*24；避雷器*2。</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D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9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9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0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2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3756 </w:t>
            </w:r>
          </w:p>
        </w:tc>
      </w:tr>
      <w:tr w14:paraId="44CE1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6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4B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接地桩</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5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E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EH-JDZ</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34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角铁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38*1000mm</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3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F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9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1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F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2112 </w:t>
            </w:r>
          </w:p>
        </w:tc>
      </w:tr>
      <w:tr w14:paraId="0885F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0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6A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终端杆</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9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3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EH-DGD</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05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铝合金管Φ32*85；4、6线可用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85cm*32mm</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0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4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2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8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C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1152 </w:t>
            </w:r>
          </w:p>
        </w:tc>
      </w:tr>
      <w:tr w14:paraId="4E0A4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C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6A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终端杆绝缘子配套包（四线制）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B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7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EH-DGD-P-4</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D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优质尼龙材料，添加抗紫外剂、抗老化剂，内径Φ32</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B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5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9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2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6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336 </w:t>
            </w:r>
          </w:p>
        </w:tc>
      </w:tr>
      <w:tr w14:paraId="5021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3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A8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承力杆</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F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8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EH-CG</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60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铝合金管Φ21*85；4、6线可用</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E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2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4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5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7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r>
      <w:tr w14:paraId="38F7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47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DC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承力杆绝缘子配套包（四线制）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2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2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EH-CG-P-4</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3E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优质ABS，添加抗紫外剂、抗老化剂，内径Φ21</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D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5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8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0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9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r>
      <w:tr w14:paraId="51448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5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5A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中间杆</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0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3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EH-PV</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26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85CM玻璃钢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85cm*9.8mm</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0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3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D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1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D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1155 </w:t>
            </w:r>
          </w:p>
        </w:tc>
      </w:tr>
      <w:tr w14:paraId="51068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E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D4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中间杆绝缘子配套包（四线制）</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9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B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EH-PV-P-4</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86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优质ABS，添加抗紫外剂、抗老化剂</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D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4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4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1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8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1470 </w:t>
            </w:r>
          </w:p>
        </w:tc>
      </w:tr>
      <w:tr w14:paraId="5FAD8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C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6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合金线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7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F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EH-HJS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33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多股铝镁18号合金线，高强度，不易折断；400米一卷</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C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3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卷</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A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5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771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6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4626 </w:t>
            </w:r>
          </w:p>
        </w:tc>
      </w:tr>
      <w:tr w14:paraId="2C0A5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2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D3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高压绝缘线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8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E1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EH-GYS</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93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耐高压15KV，单芯硅胶绝缘材质；100米一卷</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1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3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卷</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4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0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289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E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1734 </w:t>
            </w:r>
          </w:p>
        </w:tc>
      </w:tr>
      <w:tr w14:paraId="51DC1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0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6C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警示牌</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6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B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EH-YSB</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D6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夜光型警示牌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200mm*150mm</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E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5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A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6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7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r>
      <w:tr w14:paraId="09EA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3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6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CD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总线报警主机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B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1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DH-ARC9016C-V3</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8E1CC5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1、报警输入：支持本地≥16路，最大可扩展到≥256路。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2、报警输出：本地≥4路，最大可扩展到≥256路。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3、无线防区：支持通过网络模块扩展最大64路无线防区；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4、网络制式：4G可选。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5、网络接口：≥2个RJ-45 10M/100M以太网口；电话线：≥1路PSTN。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6、RS-485接口：≥2路，支持键盘、扩展模块、打印机。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7、M-BUS总线接口：支持≥2路MBUS扩展，单路最大通信距离2.4KM。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8、蓄电池：≥1个接口，蓄电池规格DC12V/7Ah；辅电输出：≥1路DC12V/1A。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9、供电方式：AC100~AC240V，50Hz/60Hz；功耗：空载功耗：≤5W；满载功耗：≤60W。</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7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5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2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2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2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1927 </w:t>
            </w:r>
          </w:p>
        </w:tc>
      </w:tr>
      <w:tr w14:paraId="7AF4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9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D2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报警键盘</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9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B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DH-ARK50C</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3E5F2B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1、分辨率≥128x64 ，LCD屏尺寸：≥56.27x38.35mm。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2、具防区状态指示灯、故障指示灯、布撤防指示灯、网络指示灯、通讯指示灯。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3、具有0~9数字键和菜单键。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4、具蜂鸣器；壳体防拆。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5、对主机编程、布撤防、消警、旁路/旁路恢复、子系统操作、继电器操作、防区状态查询、步测模式等功能。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6、支持防区状态、系统故障、程序版本、通信参数查询。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7、支持无线433MHz,支持无线遥控器，RS485接口与主机连接。</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3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2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E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2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F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482 </w:t>
            </w:r>
          </w:p>
        </w:tc>
      </w:tr>
      <w:tr w14:paraId="280B0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2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7A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双防区模块</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2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D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DH-ARM802</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D609D5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双防区扩展；常开、常闭类型探测器可选；最大级联数120；通信协议Mbus。</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C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8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B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3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D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864 </w:t>
            </w:r>
          </w:p>
        </w:tc>
      </w:tr>
      <w:tr w14:paraId="700C9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0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8E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蓄电池</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3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2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DH-BR12V7A</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F1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12V7AH蓄电池。</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1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C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D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C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44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r>
      <w:tr w14:paraId="145AB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B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14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声光警号</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1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E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DH-ARA11</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6E108D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1、ABS材质；报警联动配件。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2、闪动次数/分钟：300±30次；声压：108±3dB（30cm处）。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3、额定电压：12VDC；工作电压范围：9~15VDC；额定电流≤140mA。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4、安装环境：室内安装。</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3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C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5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5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7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r>
      <w:tr w14:paraId="32DA9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E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B2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防水声光警号</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2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大华</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A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DH-ARA13</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3E2C65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室外旋转警灯，声压：110(dB/m)；闪光次数/每分钟：70；ABS环保塑料；12VDC供电，正常工作电流≤300mA，含电源适配器。</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4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F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6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7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D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1056 </w:t>
            </w:r>
          </w:p>
        </w:tc>
      </w:tr>
      <w:tr w14:paraId="0C868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E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5A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A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1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D5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RVV2*1.5</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1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常州</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9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F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8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r>
      <w:tr w14:paraId="2FC3D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1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4E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信号线</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3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D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51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RVVP2*1.5</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4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常州</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0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2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F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8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2750 </w:t>
            </w:r>
          </w:p>
        </w:tc>
      </w:tr>
      <w:tr w14:paraId="601E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4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1C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辅材</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1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国产优质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9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0A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安装辅材</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D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常州</w:t>
            </w:r>
          </w:p>
        </w:tc>
        <w:tc>
          <w:tcPr>
            <w:tcW w:w="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D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2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C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5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3372 </w:t>
            </w:r>
          </w:p>
        </w:tc>
      </w:tr>
      <w:tr w14:paraId="1F3E2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812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873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总价（人民币：元）</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23B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4973677</w:t>
            </w:r>
          </w:p>
        </w:tc>
      </w:tr>
    </w:tbl>
    <w:p w14:paraId="2A66C85E">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F5F61EA"/>
    <w:rsid w:val="101A606C"/>
    <w:rsid w:val="1B7900EB"/>
    <w:rsid w:val="26C40F0B"/>
    <w:rsid w:val="2A057E10"/>
    <w:rsid w:val="3C566D83"/>
    <w:rsid w:val="41FF692E"/>
    <w:rsid w:val="4A9A20B1"/>
    <w:rsid w:val="4DB10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570"/>
    </w:pPr>
    <w:rPr>
      <w:kern w:val="2"/>
      <w:sz w:val="24"/>
      <w:szCs w:val="24"/>
    </w:rPr>
  </w:style>
  <w:style w:type="character" w:customStyle="1" w:styleId="5">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81</Pages>
  <Words>2640</Words>
  <Characters>2808</Characters>
  <Lines>1</Lines>
  <Paragraphs>1</Paragraphs>
  <TotalTime>0</TotalTime>
  <ScaleCrop>false</ScaleCrop>
  <LinksUpToDate>false</LinksUpToDate>
  <CharactersWithSpaces>3012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2025-11-12T07:23:00Z</dcterms:created>
  <dc:creator>twist</dc:creator>
  <cp:lastModifiedBy>zhangyiming@cmict.cmcc</cp:lastModifiedBy>
  <dcterms:modified xsi:type="dcterms:W3CDTF">2025-11-12T07:50:53Z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eyJoZGlkIjoiNjk1ZWUzMjJjZjQ3YjM5OWY1YmJiNDA4NGMzNzA1YWMiLCJ1c2VySWQiOiI1MzM4NDIzMDkifQ==</vt:lpwstr>
  </property>
  <property fmtid="{D5CDD505-2E9C-101B-9397-08002B2CF9AE}" pid="4" name="ICV">
    <vt:lpwstr>E0D2F18149564D9D9C0B766AC37FFAFF_12</vt:lpwstr>
  </property>
</Properties>
</file>