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JSZC-320500-JZCG-G2025-0306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苏州市立医院直线加速器</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t xml:space="preserve"> </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outlineLvl w:val="9"/>
      </w:pPr>
      <w:r>
        <w:rPr>
          <w:rFonts w:ascii="宋体" w:hAnsi="宋体" w:cs="Calibri"/>
          <w:bCs/>
          <w:caps/>
          <w:color w:val="auto"/>
          <w:sz w:val="32"/>
          <w:szCs w:val="32"/>
        </w:rPr>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rPr>
          <w:rStyle w:val="1064"/>
          <w:rFonts w:ascii="宋体" w:hAnsi="宋体" w:cs="Calibri"/>
          <w:bCs/>
          <w:caps/>
          <w:color w:val="auto"/>
          <w:sz w:val="32"/>
        </w:rPr>
        <w:fldChar w:fldCharType="begin"/>
      </w:r>
      <w:r>
        <w:rPr>
          <w:rStyle w:val="1064"/>
          <w:rFonts w:ascii="宋体" w:hAnsi="宋体" w:cs="Calibri"/>
          <w:bCs/>
          <w:caps/>
          <w:color w:val="auto"/>
          <w:sz w:val="32"/>
        </w:rPr>
        <w:instrText xml:space="preserve"> TOC \o "1-1" \h \z \u </w:instrText>
      </w:r>
      <w:r>
        <w:rPr>
          <w:rStyle w:val="1064"/>
          <w:rFonts w:ascii="宋体" w:hAnsi="宋体" w:cs="Calibri"/>
          <w:bCs/>
          <w:caps/>
          <w:color w:val="auto"/>
          <w:sz w:val="32"/>
        </w:rPr>
        <w:fldChar w:fldCharType="separate"/>
      </w:r>
      <w:hyperlink w:tooltip="#_Toc105397776" w:anchor="_Toc105397776" w:history="1">
        <w:r>
          <w:rPr>
            <w:rStyle w:val="1064"/>
            <w:rFonts w:ascii="宋体" w:hAnsi="宋体" w:cs="Calibri"/>
            <w:bCs/>
            <w:caps/>
            <w:color w:val="auto"/>
            <w:sz w:val="32"/>
            <w:szCs w:val="32"/>
          </w:rPr>
          <w:t xml:space="preserve">第一章 投标邀请函</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_Toc105397776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7" w:anchor="_Toc105397777" w:history="1">
        <w:r>
          <w:rPr>
            <w:rStyle w:val="1064"/>
            <w:rFonts w:ascii="宋体" w:hAnsi="宋体" w:cs="Calibri"/>
            <w:bCs/>
            <w:caps/>
            <w:color w:val="auto"/>
            <w:sz w:val="32"/>
            <w:szCs w:val="32"/>
          </w:rPr>
          <w:t xml:space="preserve">第二章 投标人须知</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_Toc105397777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8</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78" w:anchor="_Toc105397778" w:history="1">
        <w:r>
          <w:rPr>
            <w:rStyle w:val="1064"/>
            <w:rFonts w:ascii="宋体" w:hAnsi="宋体" w:cs="Calibri"/>
            <w:bCs/>
            <w:caps/>
            <w:color w:val="auto"/>
            <w:sz w:val="32"/>
            <w:szCs w:val="32"/>
          </w:rPr>
          <w:t xml:space="preserve">第三章 投标文件格式</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_Toc105397778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20</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3" w:anchor="_Toc105397793" w:history="1">
        <w:r>
          <w:rPr>
            <w:rStyle w:val="1064"/>
            <w:rFonts w:ascii="宋体" w:hAnsi="宋体" w:cs="Calibri"/>
            <w:bCs/>
            <w:caps/>
            <w:color w:val="auto"/>
            <w:sz w:val="32"/>
            <w:szCs w:val="32"/>
          </w:rPr>
          <w:t xml:space="preserve">第四章 招标书</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_Toc105397793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33</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4" w:anchor="_Toc105397794" w:history="1">
        <w:r>
          <w:rPr>
            <w:rStyle w:val="1064"/>
            <w:rFonts w:ascii="宋体" w:hAnsi="宋体" w:cs="Calibri"/>
            <w:bCs/>
            <w:caps/>
            <w:color w:val="auto"/>
            <w:sz w:val="32"/>
            <w:szCs w:val="32"/>
          </w:rPr>
          <w:t xml:space="preserve">第五章 合同及主要条款</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_Toc105397794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44</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105397795" w:anchor="_Toc105397795" w:history="1">
        <w:r>
          <w:rPr>
            <w:rStyle w:val="1064"/>
            <w:rFonts w:ascii="宋体" w:hAnsi="宋体" w:cs="Calibri"/>
            <w:bCs/>
            <w:caps/>
            <w:color w:val="auto"/>
            <w:sz w:val="32"/>
            <w:szCs w:val="32"/>
          </w:rPr>
          <w:t xml:space="preserve">第六章 评标办法和评分标准</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_Toc105397795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51</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6" w:leader="dot"/>
        </w:tabs>
        <w:rPr>
          <w:rFonts w:ascii="宋体" w:hAnsi="宋体"/>
          <w:sz w:val="32"/>
          <w:szCs w:val="32"/>
        </w:rPr>
        <w:outlineLvl w:val="9"/>
      </w:pPr>
      <w:r>
        <w:rPr>
          <w:rStyle w:val="106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苏州市立医院直线加速器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512-69820873</w:t>
            </w:r>
            <w:r>
              <w:rPr>
                <w:rFonts w:ascii="宋体" w:hAnsi="宋体"/>
                <w:sz w:val="21"/>
                <w:szCs w:val="21"/>
              </w:rPr>
              <w:t xml:space="preserve"> </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fffff"/>
              </w:rPr>
              <w:t xml:space="preserve">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b/>
              </w:rPr>
              <w:t xml:space="preserve">（</w:t>
            </w:r>
            <w:r>
              <w:rPr>
                <w:rFonts w:hint="eastAsia" w:ascii="宋体" w:hAnsi="宋体"/>
                <w:b/>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9"/>
        <w:ind w:left="431" w:firstLine="17"/>
        <w:jc w:val="center"/>
        <w:spacing w:before="0" w:after="0" w:line="360" w:lineRule="auto"/>
        <w:rPr>
          <w:rStyle w:val="112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苏州市立医院直线加速器</w:t>
      </w:r>
      <w:r>
        <w:rPr>
          <w:rFonts w:hint="eastAsia" w:ascii="宋体" w:hAnsi="宋体"/>
          <w:b/>
          <w:sz w:val="21"/>
          <w:szCs w:val="21"/>
        </w:rPr>
        <w:t xml:space="preserve">招标项目的潜在投标人应在</w:t>
      </w:r>
      <w:r>
        <w:rPr>
          <w:rFonts w:hint="eastAsia" w:ascii="宋体" w:hAnsi="宋体"/>
          <w:b/>
          <w:sz w:val="21"/>
          <w:szCs w:val="21"/>
          <w:u w:val="single"/>
        </w:rPr>
        <w:t xml:space="preserve">“苏采云”系统（网址：http://jszfcg.jsczt.cn/）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年11</w:t>
      </w:r>
      <w:r>
        <w:rPr>
          <w:rFonts w:hint="eastAsia" w:ascii="宋体" w:hAnsi="宋体"/>
          <w:b/>
          <w:sz w:val="21"/>
          <w:szCs w:val="21"/>
          <w:u w:val="single"/>
        </w:rPr>
        <w:t xml:space="preserve">月</w:t>
      </w:r>
      <w:r>
        <w:rPr>
          <w:rFonts w:ascii="宋体" w:hAnsi="宋体"/>
          <w:b/>
          <w:sz w:val="21"/>
          <w:szCs w:val="21"/>
          <w:u w:val="single"/>
        </w:rPr>
        <w:t xml:space="preserve">26</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JSZC-320500-JZCG-G2025-0306</w:t>
      </w:r>
      <w:r/>
    </w:p>
    <w:p>
      <w:pPr>
        <w:pStyle w:val="101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rPr>
        <w:t xml:space="preserve">苏州市立医院直线加速器</w:t>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人民币叁仟贰佰万元整（￥：3</w:t>
      </w:r>
      <w:r>
        <w:rPr>
          <w:rFonts w:ascii="宋体" w:hAnsi="宋体"/>
          <w:sz w:val="21"/>
        </w:rPr>
        <w:t xml:space="preserve">2000000.00</w:t>
      </w:r>
      <w:r>
        <w:rPr>
          <w:rFonts w:hint="eastAsia" w:ascii="宋体" w:hAnsi="宋体"/>
          <w:sz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人民币叁仟贰佰万元整（￥：3</w:t>
      </w:r>
      <w:r>
        <w:rPr>
          <w:rFonts w:ascii="宋体" w:hAnsi="宋体"/>
          <w:sz w:val="21"/>
        </w:rPr>
        <w:t xml:space="preserve">2000000.00</w:t>
      </w:r>
      <w:r>
        <w:rPr>
          <w:rFonts w:hint="eastAsia" w:ascii="宋体" w:hAnsi="宋体"/>
          <w:sz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合同签订之日起</w:t>
      </w:r>
      <w:r>
        <w:rPr>
          <w:rFonts w:ascii="宋体" w:hAnsi="宋体"/>
          <w:sz w:val="21"/>
        </w:rPr>
        <w:t xml:space="preserve">90</w:t>
      </w:r>
      <w:r>
        <w:rPr>
          <w:rFonts w:hint="eastAsia" w:ascii="宋体" w:hAnsi="宋体"/>
          <w:sz w:val="21"/>
        </w:rPr>
        <w:t xml:space="preserve">天内完成安装调试。质保期1年。</w:t>
      </w:r>
      <w:r/>
    </w:p>
    <w:p>
      <w:pPr>
        <w:pStyle w:val="101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rPr>
        <w:t xml:space="preserve">苏州市立医院直线加速器（详见采购文件 第四章，核心产品：直线加速器）</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年11月26日 09点30分</w:t>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11月26日 09点30分</w:t>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fffff"/>
        </w:rPr>
        <w:t xml:space="preserve">苏州市立医院本部</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1017"/>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17798690525</w:t>
      </w:r>
      <w:r/>
    </w:p>
    <w:p>
      <w:pPr>
        <w:pStyle w:val="10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0512-69820873</w:t>
      </w:r>
      <w:r>
        <w:rPr>
          <w:rFonts w:ascii="宋体" w:hAnsi="宋体"/>
          <w:sz w:val="21"/>
          <w:szCs w:val="21"/>
        </w:rPr>
        <w:t xml:space="preserve"> </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69820710</w:t>
      </w:r>
      <w:r/>
    </w:p>
    <w:p>
      <w:pPr>
        <w:pStyle w:val="10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7"/>
        <w:ind w:left="0" w:firstLine="420"/>
        <w:spacing w:line="360" w:lineRule="auto"/>
        <w:rPr>
          <w:rFonts w:ascii="宋体" w:hAnsi="宋体"/>
          <w:sz w:val="21"/>
          <w:szCs w:val="21"/>
        </w:rPr>
      </w:pPr>
      <w:r>
        <w:rPr>
          <w:rFonts w:hint="eastAsia" w:ascii="宋体" w:hAnsi="宋体"/>
          <w:sz w:val="21"/>
          <w:szCs w:val="21"/>
        </w:rPr>
        <w:t xml:space="preserve">项目联系人：罗工</w:t>
      </w:r>
      <w:r/>
    </w:p>
    <w:p>
      <w:pPr>
        <w:pStyle w:val="1017"/>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512-69820873</w:t>
      </w:r>
      <w:r>
        <w:rPr>
          <w:rFonts w:ascii="宋体" w:hAnsi="宋体"/>
          <w:sz w:val="21"/>
          <w:szCs w:val="21"/>
        </w:rPr>
        <w:t xml:space="preserve"> </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1"/>
      </w:pPr>
      <w:r/>
      <w:r/>
    </w:p>
    <w:p>
      <w:r/>
      <w:r/>
    </w:p>
    <w:p>
      <w:pPr>
        <w:pStyle w:val="1011"/>
      </w:pPr>
      <w:r/>
      <w:r/>
    </w:p>
    <w:p>
      <w:r/>
      <w:r/>
    </w:p>
    <w:p>
      <w:pPr>
        <w:pStyle w:val="1011"/>
      </w:pPr>
      <w:r/>
      <w:r/>
    </w:p>
    <w:p>
      <w:r/>
      <w:r/>
    </w:p>
    <w:p>
      <w:pPr>
        <w:pStyle w:val="1011"/>
      </w:pPr>
      <w:r/>
      <w:r/>
    </w:p>
    <w:p>
      <w:pPr>
        <w:pStyle w:val="1011"/>
        <w:ind w:left="0" w:firstLine="0"/>
      </w:pPr>
      <w:r/>
      <w:r/>
    </w:p>
    <w:p>
      <w:pPr>
        <w:pStyle w:val="999"/>
        <w:ind w:left="0" w:firstLine="0"/>
        <w:jc w:val="center"/>
        <w:rPr>
          <w:rFonts w:ascii="宋体" w:hAnsi="宋体"/>
          <w:b/>
          <w:sz w:val="44"/>
          <w:szCs w:val="22"/>
        </w:rPr>
      </w:pPr>
      <w:r/>
      <w:bookmarkStart w:id="6" w:name="_Toc2412"/>
      <w:r/>
      <w:bookmarkStart w:id="7" w:name="_Toc105397777"/>
      <w:r/>
      <w:bookmarkStart w:id="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17"/>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17"/>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7"/>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 0512-69826795</w:t>
      </w:r>
      <w:r/>
    </w:p>
    <w:p>
      <w:pPr>
        <w:pStyle w:val="101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本项目特定资格要求：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ascii="宋体" w:hAnsi="宋体"/>
          <w:sz w:val="21"/>
          <w:szCs w:val="21"/>
        </w:rPr>
        <w:t xml:space="preserve">14.1.4.7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rPr>
        <w:t xml:space="preserve">产品须提供《医疗器械注册证》（不属于医疗器械的可不提供）证书复印件并加盖公章，未提供视为未实质性响应招标文件要求；</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rPr>
        <w:t xml:space="preserve">加速管类型：驻波</w:t>
      </w:r>
      <w:r>
        <w:rPr>
          <w:rFonts w:hint="eastAsia" w:ascii="宋体" w:hAnsi="宋体"/>
          <w:b/>
          <w:sz w:val="21"/>
        </w:rPr>
        <w:t xml:space="preserve">（须投标单位提供承诺函并加盖投标单位公章，否则视为非实质性响应）；</w:t>
      </w:r>
      <w:r/>
    </w:p>
    <w:p>
      <w:pPr>
        <w:ind w:left="0" w:firstLine="408"/>
        <w:spacing w:line="360" w:lineRule="auto"/>
        <w:rPr>
          <w:rFonts w:ascii="宋体" w:hAnsi="宋体"/>
          <w:sz w:val="21"/>
          <w:szCs w:val="21"/>
        </w:rPr>
      </w:pPr>
      <w:r>
        <w:rPr>
          <w:rFonts w:ascii="宋体" w:hAnsi="宋体"/>
          <w:sz w:val="21"/>
          <w:szCs w:val="21"/>
        </w:rPr>
        <w:t xml:space="preserve">14.1.5.8</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8</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31150"/>
      <w:r/>
      <w:bookmarkStart w:id="2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101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2" w:name="_Toc22837"/>
      <w:r/>
      <w:bookmarkStart w:id="2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sz w:val="21"/>
          <w:szCs w:val="21"/>
        </w:rPr>
      </w:pPr>
      <w:r/>
      <w:bookmarkStart w:id="24" w:name="OLE_LINK20"/>
      <w:r/>
      <w:bookmarkStart w:id="25"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26" w:name="OLE_LINK5"/>
      <w:r/>
      <w:bookmarkStart w:id="27" w:name="OLE_LINK6"/>
      <w:r>
        <w:rPr>
          <w:rFonts w:hint="eastAsia" w:ascii="宋体" w:hAnsi="宋体" w:cs="宋体"/>
          <w:b/>
          <w:sz w:val="21"/>
          <w:szCs w:val="21"/>
          <w:lang w:val="en-US"/>
        </w:rPr>
        <w:t xml:space="preserve">评标</w:t>
      </w:r>
      <w:bookmarkEnd w:id="26"/>
      <w:r/>
      <w:bookmarkEnd w:id="27"/>
      <w:r>
        <w:rPr>
          <w:rFonts w:hint="eastAsia" w:ascii="宋体" w:hAnsi="宋体" w:cs="宋体"/>
          <w:b/>
          <w:sz w:val="21"/>
          <w:szCs w:val="21"/>
          <w:lang w:val="en-US"/>
        </w:rPr>
        <w:t xml:space="preserve">委员会应当启动异常低价投标审查程序：</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233"/>
        <w:ind w:left="0" w:firstLine="422"/>
        <w:spacing w:line="360" w:lineRule="auto"/>
        <w:rPr>
          <w:rFonts w:ascii="宋体" w:hAnsi="宋体" w:cs="宋体"/>
          <w:b/>
          <w:sz w:val="21"/>
          <w:szCs w:val="21"/>
          <w:lang w:val="en-US"/>
        </w:rPr>
      </w:pPr>
      <w:r/>
      <w:bookmarkStart w:id="28" w:name="OLE_LINK3"/>
      <w:r/>
      <w:bookmarkStart w:id="29"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0" w:name="OLE_LINK1"/>
      <w:r/>
      <w:bookmarkStart w:id="31" w:name="OLE_LINK2"/>
      <w:r>
        <w:rPr>
          <w:rFonts w:hint="eastAsia" w:ascii="宋体" w:hAnsi="宋体" w:cs="宋体"/>
          <w:b/>
          <w:sz w:val="21"/>
          <w:szCs w:val="21"/>
          <w:lang w:val="en-US"/>
        </w:rPr>
        <w:t xml:space="preserve">评标委员会</w:t>
      </w:r>
      <w:bookmarkEnd w:id="30"/>
      <w:r/>
      <w:bookmarkEnd w:id="31"/>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sz w:val="21"/>
          <w:szCs w:val="21"/>
        </w:rPr>
        <w:t xml:space="preserve">，</w:t>
      </w:r>
      <w:bookmarkEnd w:id="32"/>
      <w:r/>
      <w:bookmarkEnd w:id="33"/>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4" w:name="OLE_LINK7"/>
      <w:r/>
      <w:bookmarkStart w:id="35" w:name="OLE_LINK8"/>
      <w:r>
        <w:rPr>
          <w:rFonts w:hint="eastAsia" w:ascii="宋体" w:hAnsi="宋体"/>
          <w:b/>
          <w:sz w:val="21"/>
          <w:szCs w:val="21"/>
        </w:rPr>
        <w:t xml:space="preserve">薪资</w:t>
      </w:r>
      <w:bookmarkEnd w:id="34"/>
      <w:r/>
      <w:bookmarkEnd w:id="35"/>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sz w:val="21"/>
          <w:szCs w:val="21"/>
        </w:rPr>
        <w:t xml:space="preserve">（六）</w:t>
      </w:r>
      <w:r>
        <w:rPr>
          <w:rFonts w:hint="eastAsia" w:ascii="宋体" w:hAnsi="宋体" w:cs="宋体"/>
          <w:sz w:val="21"/>
          <w:szCs w:val="21"/>
        </w:rPr>
        <w:t xml:space="preserve">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999"/>
        <w:ind w:left="0" w:firstLine="0"/>
        <w:jc w:val="center"/>
        <w:rPr>
          <w:rFonts w:ascii="宋体" w:hAnsi="宋体"/>
          <w:sz w:val="21"/>
          <w:szCs w:val="21"/>
          <w:lang w:val="zh-CN"/>
        </w:rPr>
      </w:pPr>
      <w:r/>
      <w:bookmarkStart w:id="40" w:name="_Toc105397778"/>
      <w:r/>
      <w:bookmarkStart w:id="41" w:name="_Toc24711"/>
      <w:r/>
      <w:bookmarkStart w:id="42" w:name="_Toc7264"/>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3821"/>
      <w:r/>
      <w:bookmarkStart w:id="46" w:name="_Toc71810480"/>
      <w:r/>
      <w:bookmarkStart w:id="47" w:name="_Toc17036"/>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105397780"/>
      <w:r/>
      <w:bookmarkStart w:id="4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5"/>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2.各投标人应根据此表格式按项目分别填写报价详细清单，栏数不够可自加。</w:t>
      </w:r>
      <w:r/>
    </w:p>
    <w:p>
      <w:pPr>
        <w:pStyle w:val="105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05397783"/>
      <w:r/>
      <w:bookmarkStart w:id="66" w:name="_Toc21574"/>
      <w:r/>
      <w:bookmarkStart w:id="67" w:name="_Toc19621"/>
      <w:r/>
      <w:bookmarkStart w:id="6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苏州市立医院本部</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苏州市立医院直线加速器</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32206"/>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rPr>
        <w:t xml:space="preserve"> </w:t>
      </w:r>
      <w:bookmarkEnd w:id="7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6" w:name="_Toc31973"/>
      <w:r/>
      <w:bookmarkStart w:id="77"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5"/>
        <w:rPr>
          <w:rFonts w:ascii="宋体" w:hAnsi="宋体"/>
        </w:rPr>
      </w:pPr>
      <w:r>
        <w:rPr>
          <w:rFonts w:ascii="宋体" w:hAnsi="宋体"/>
        </w:rPr>
      </w:r>
      <w:r/>
    </w:p>
    <w:p>
      <w:r/>
      <w:r/>
    </w:p>
    <w:p>
      <w:pPr>
        <w:pStyle w:val="1011"/>
      </w:pPr>
      <w:r/>
      <w:r/>
    </w:p>
    <w:p>
      <w:r/>
      <w:r/>
    </w:p>
    <w:p>
      <w:pPr>
        <w:pStyle w:val="1025"/>
        <w:ind w:firstLine="0"/>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1" w:name="_Toc71810490"/>
      <w:r/>
      <w:bookmarkEnd w:id="76"/>
      <w:r/>
      <w:bookmarkEnd w:id="77"/>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83" w:name="OLE_LINK21"/>
      <w:r/>
      <w:bookmarkStart w:id="84" w:name="OLE_LINK23"/>
      <w:r/>
      <w:bookmarkStart w:id="85" w:name="OLE_LINK24"/>
      <w:r>
        <w:rPr>
          <w:rFonts w:hint="eastAsia" w:ascii="宋体" w:hAnsi="宋体"/>
          <w:b/>
          <w:sz w:val="21"/>
          <w:szCs w:val="21"/>
          <w:lang w:val="zh-CN"/>
        </w:rPr>
        <w:t xml:space="preserve">备注:根据招标文件第二章“投标人须知”第26.4</w:t>
      </w:r>
      <w:bookmarkStart w:id="86"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6"/>
      <w:r>
        <w:rPr>
          <w:rFonts w:hint="eastAsia" w:ascii="宋体" w:hAnsi="宋体"/>
          <w:b/>
          <w:sz w:val="21"/>
          <w:szCs w:val="21"/>
          <w:lang w:val="zh-CN"/>
        </w:rPr>
        <w:t xml:space="preserve">或者评标委员会认定的供应商报价过低、有可能影响产品质量或者不能诚信履约的其他情形时,</w:t>
      </w:r>
      <w:bookmarkStart w:id="87" w:name="OLE_LINK18"/>
      <w:r/>
      <w:bookmarkStart w:id="88" w:name="OLE_LINK19"/>
      <w:r>
        <w:rPr>
          <w:rFonts w:hint="eastAsia" w:ascii="宋体" w:hAnsi="宋体"/>
          <w:b/>
          <w:sz w:val="21"/>
          <w:szCs w:val="21"/>
          <w:lang w:val="zh-CN"/>
        </w:rPr>
        <w:t xml:space="preserve">评标委员会</w:t>
      </w:r>
      <w:bookmarkEnd w:id="87"/>
      <w:r/>
      <w:bookmarkEnd w:id="88"/>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3"/>
      <w:r/>
      <w:bookmarkEnd w:id="84"/>
      <w:r/>
      <w:bookmarkEnd w:id="8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1"/>
        <w:rPr>
          <w:lang w:val="zh-CN"/>
        </w:rPr>
      </w:pPr>
      <w:r>
        <w:rPr>
          <w:lang w:val="zh-CN"/>
        </w:rPr>
      </w:r>
      <w:r/>
    </w:p>
    <w:p>
      <w:pPr>
        <w:rPr>
          <w:lang w:val="zh-CN"/>
        </w:rPr>
      </w:pPr>
      <w:r>
        <w:rPr>
          <w:lang w:val="zh-CN"/>
        </w:rPr>
      </w:r>
      <w:r/>
    </w:p>
    <w:p>
      <w:pPr>
        <w:pStyle w:val="999"/>
        <w:ind w:left="0" w:firstLine="0"/>
        <w:jc w:val="center"/>
        <w:rPr>
          <w:rFonts w:ascii="宋体" w:hAnsi="宋体"/>
          <w:b/>
          <w:sz w:val="44"/>
          <w:szCs w:val="22"/>
        </w:rPr>
      </w:pPr>
      <w:r/>
      <w:bookmarkStart w:id="89" w:name="_Toc105397793"/>
      <w:r/>
      <w:bookmarkStart w:id="90" w:name="_Toc4098"/>
      <w:r/>
      <w:bookmarkStart w:id="91" w:name="_Toc23660"/>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苏州市立医院本部 </w:t>
      </w:r>
      <w:r>
        <w:rPr>
          <w:rFonts w:ascii="宋体" w:hAnsi="宋体"/>
          <w:sz w:val="21"/>
        </w:rPr>
        <w:t xml:space="preserve">的委托，就</w:t>
      </w:r>
      <w:r>
        <w:rPr>
          <w:rFonts w:hint="eastAsia" w:ascii="宋体" w:hAnsi="宋体"/>
          <w:sz w:val="21"/>
          <w:u w:val="single"/>
        </w:rPr>
        <w:t xml:space="preserve"> 苏州市立医院直线加速器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一、项目编号：JSZC-320500-JZCG-G2025-0306</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二、项目名称：苏州市立医院直线加速器</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三、预算金额：人民币叁仟贰佰万元整（￥：3</w:t>
      </w:r>
      <w:r>
        <w:rPr>
          <w:rFonts w:ascii="宋体" w:hAnsi="宋体"/>
          <w:sz w:val="21"/>
        </w:rPr>
        <w:t xml:space="preserve">2000000.00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四、最高限价：人民币叁仟贰佰万元整（￥：3</w:t>
      </w:r>
      <w:r>
        <w:rPr>
          <w:rFonts w:ascii="宋体" w:hAnsi="宋体"/>
          <w:sz w:val="21"/>
        </w:rPr>
        <w:t xml:space="preserve">2000000.00</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五、合同履行期限：合同签订之日起</w:t>
      </w:r>
      <w:r>
        <w:rPr>
          <w:rFonts w:ascii="宋体" w:hAnsi="宋体"/>
          <w:sz w:val="21"/>
        </w:rPr>
        <w:t xml:space="preserve">90</w:t>
      </w:r>
      <w:r>
        <w:rPr>
          <w:rFonts w:hint="eastAsia" w:ascii="宋体" w:hAnsi="宋体"/>
          <w:sz w:val="21"/>
        </w:rPr>
        <w:t xml:space="preserve">天内完成安装调试。质保期1年。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苏州市立医院太湖新城院区建设需要，院区坐落于吴中区天鹅荡路，需购置一套直线加速器以备临床需要。</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（二）采购清单及技术要求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p>
    <w:tbl>
      <w:tblPr>
        <w:tblStyle w:val="1059"/>
        <w:tblW w:w="5000" w:type="pct"/>
        <w:tblInd w:w="0" w:type="dxa"/>
        <w:tblLook w:val="04A0" w:firstRow="1" w:lastRow="0" w:firstColumn="1" w:lastColumn="0" w:noHBand="0" w:noVBand="1"/>
      </w:tblPr>
      <w:tblGrid>
        <w:gridCol w:w="4927"/>
        <w:gridCol w:w="4927"/>
      </w:tblGrid>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rPr>
                <w:rFonts w:ascii="SimSun" w:hAnsi="SimSun" w:eastAsia="SimSun" w:cs="SimSun"/>
                <w:color w:val="000000"/>
                <w:sz w:val="21"/>
              </w:rPr>
              <w:t xml:space="preserve">货物名称</w:t>
            </w:r>
            <w:r>
              <w:rPr>
                <w:rFonts w:ascii="宋体" w:hAnsi="宋体"/>
                <w:sz w:val="21"/>
              </w:rPr>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数量/单位</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直线加速器</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1台</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本项目核心产品：</w:t>
      </w:r>
      <w:r>
        <w:rPr>
          <w:rFonts w:hint="eastAsia" w:ascii="宋体" w:hAnsi="宋体"/>
          <w:b/>
          <w:sz w:val="21"/>
        </w:rPr>
        <w:t xml:space="preserve">直线加速器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）配套设备</w:t>
      </w:r>
      <w:r/>
    </w:p>
    <w:tbl>
      <w:tblPr>
        <w:tblStyle w:val="1059"/>
        <w:tblW w:w="5000" w:type="pct"/>
        <w:tblInd w:w="0" w:type="dxa"/>
        <w:tblLook w:val="04A0" w:firstRow="1" w:lastRow="0" w:firstColumn="1" w:lastColumn="0" w:noHBand="0" w:noVBand="1"/>
      </w:tblPr>
      <w:tblGrid>
        <w:gridCol w:w="4927"/>
        <w:gridCol w:w="4927"/>
      </w:tblGrid>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rPr>
                <w:rFonts w:ascii="SimSun" w:hAnsi="SimSun" w:eastAsia="SimSun" w:cs="SimSun"/>
                <w:color w:val="000000"/>
                <w:sz w:val="21"/>
              </w:rPr>
              <w:t xml:space="preserve">货物名称</w:t>
            </w:r>
            <w:r>
              <w:rPr>
                <w:rFonts w:ascii="宋体" w:hAnsi="宋体"/>
                <w:sz w:val="21"/>
              </w:rPr>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数量/单位</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晨检仪</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剂量仪（含电离室1套、带卷轴延长线2套）</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一维小水箱</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r>
        <w:trPr/>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三维水箱</w:t>
            </w:r>
            <w:r/>
          </w:p>
        </w:tc>
        <w:tc>
          <w:tcPr>
            <w:tcW w:w="2500" w:type="pct"/>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1套</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（1）直线加速器</w:t>
      </w:r>
      <w:r/>
    </w:p>
    <w:tbl>
      <w:tblPr>
        <w:tblStyle w:val="1059"/>
        <w:tblW w:w="9918" w:type="dxa"/>
        <w:jc w:val="center"/>
        <w:tblInd w:w="0" w:type="dxa"/>
        <w:tblLayout w:type="fixed"/>
        <w:tblCellMar>
          <w:left w:w="108" w:type="dxa"/>
          <w:right w:w="108" w:type="dxa"/>
        </w:tblCellMar>
        <w:tblLook w:val="04A0" w:firstRow="1" w:lastRow="0" w:firstColumn="1" w:lastColumn="0" w:noHBand="0" w:noVBand="1"/>
      </w:tblPr>
      <w:tblGrid>
        <w:gridCol w:w="992"/>
        <w:gridCol w:w="8926"/>
      </w:tblGrid>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一</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所投医用加速器须是厂家智能化立体定向放射外科平台。</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设备具有容积旋转调强功能(VMAT)和KV级三维影像引导系统。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设备可用于全身各部位肿瘤的放射治疗，头部立体定向放射外科治疗和体部立体定向放射治疗。</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二</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主系统要求</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加速管类型：驻波</w:t>
            </w:r>
            <w:r>
              <w:rPr>
                <w:rFonts w:hint="eastAsia" w:ascii="宋体" w:hAnsi="宋体"/>
                <w:b/>
                <w:sz w:val="21"/>
              </w:rPr>
              <w:t xml:space="preserve">（须投标单位提供承诺函并加盖投标单位公章，否则视为非实质性响应）</w:t>
            </w:r>
            <w:r>
              <w:rPr>
                <w:rFonts w:hint="eastAsia" w:ascii="宋体" w:hAnsi="宋体"/>
                <w:sz w:val="21"/>
              </w:rPr>
              <w:t xml:space="preserve">；</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微波功率源：速调管或磁控管，微波功率源峰值功率≥3</w:t>
            </w:r>
            <w:r>
              <w:rPr>
                <w:rFonts w:hint="eastAsia" w:ascii="MS Gothic" w:hAnsi="MS Gothic" w:eastAsia="MS Gothic" w:cs="MS Gothic"/>
                <w:sz w:val="21"/>
              </w:rPr>
              <w:t xml:space="preserve"> </w:t>
            </w:r>
            <w:r>
              <w:rPr>
                <w:rFonts w:hint="eastAsia" w:ascii="宋体" w:hAnsi="宋体"/>
                <w:sz w:val="21"/>
              </w:rPr>
              <w:t xml:space="preserve">MW</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电子枪类型：数字化栅控三级电子枪</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电离室结构：密封式电离室</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束流磁偏转系统：具备</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安全防碰撞类型：具备光学防碰撞</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系统内部的计算机控制体系应具有临床应用模式，质控模式，影像模式，自检模式和维修模式。</w:t>
            </w:r>
            <w:r/>
          </w:p>
        </w:tc>
      </w:tr>
      <w:tr>
        <w:trPr>
          <w:jc w:val="center"/>
          <w:trHeight w:val="734"/>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2.8</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具备高速主控系统，可同步控制设备运动，拍片成像和射线剂量，控制响应时间不超过50ms</w:t>
            </w:r>
            <w:r/>
          </w:p>
        </w:tc>
      </w:tr>
      <w:tr>
        <w:trPr>
          <w:jc w:val="center"/>
          <w:trHeight w:val="734"/>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2.9</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提供楔形过滤系统：自动楔形板0度-60度每度连续可调楔形角或4个固定角度楔形板一套</w:t>
            </w:r>
            <w:r/>
          </w:p>
        </w:tc>
      </w:tr>
      <w:tr>
        <w:trPr>
          <w:jc w:val="center"/>
          <w:trHeight w:val="734"/>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2.10</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治疗模式：具有等中心治疗、三维适形治疗、旋转治疗、动态调强治疗、容积旋转调强治疗、KV级图像引导放射治疗</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三</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射束特性要求</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常规均整X射线能量</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3.1.1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具备均整X射线6MV和10MV</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3.1.2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常规X线6MV和10MV最大剂量率≥300MU/min</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3.1.3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常规X线能量剂量率变化档：≥2档</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3.1.4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X线平坦度≤106% （≤30cm×30cm）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3.1.5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X线对称性≤2%</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3.1.6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光野与射野的一致性：对于所有射野时≤2mm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高剂量率X射线能量</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3.2.1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具备高剂量率能量6MV FFF</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3.2.2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高剂量率X射线模式最大剂量率≥1200MU/min</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电子线</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至少提供临床常用的三档电子线能量</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电子线最大剂量率：≥300MU/min</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3.3.3</w:t>
            </w:r>
            <w:r/>
          </w:p>
        </w:tc>
        <w:tc>
          <w:tcPr>
            <w:tcBorders>
              <w:top w:val="none" w:color="000000" w:sz="4" w:space="0"/>
              <w:left w:val="none" w:color="000000" w:sz="4" w:space="0"/>
              <w:bottom w:val="single" w:color="000000" w:sz="8" w:space="0"/>
              <w:right w:val="single" w:color="000000" w:sz="8" w:space="0"/>
            </w:tcBorders>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电子线平坦度≤10mm或≤±5%</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3.3.4</w:t>
            </w:r>
            <w:r/>
          </w:p>
        </w:tc>
        <w:tc>
          <w:tcPr>
            <w:tcBorders>
              <w:top w:val="none" w:color="000000" w:sz="4" w:space="0"/>
              <w:left w:val="none" w:color="000000" w:sz="4" w:space="0"/>
              <w:bottom w:val="single" w:color="000000" w:sz="8" w:space="0"/>
              <w:right w:val="single" w:color="000000" w:sz="8" w:space="0"/>
            </w:tcBorders>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电子线对称性≤5%</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3.3.5</w:t>
            </w:r>
            <w:r/>
          </w:p>
        </w:tc>
        <w:tc>
          <w:tcPr>
            <w:tcBorders>
              <w:top w:val="none" w:color="000000" w:sz="4" w:space="0"/>
              <w:left w:val="none" w:color="000000" w:sz="4" w:space="0"/>
              <w:bottom w:val="single" w:color="000000" w:sz="8" w:space="0"/>
              <w:right w:val="single" w:color="000000" w:sz="8" w:space="0"/>
            </w:tcBorders>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提供至少四个电子线限光筒，请说明具体尺寸</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3.3.6</w:t>
            </w:r>
            <w:r/>
          </w:p>
        </w:tc>
        <w:tc>
          <w:tcPr>
            <w:tcBorders>
              <w:top w:val="none" w:color="000000" w:sz="4" w:space="0"/>
              <w:left w:val="none" w:color="000000" w:sz="4" w:space="0"/>
              <w:bottom w:val="single" w:color="000000" w:sz="8" w:space="0"/>
              <w:right w:val="single" w:color="000000" w:sz="8" w:space="0"/>
            </w:tcBorders>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电子线有安全机械连锁装置</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四</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机架系统要求</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机架旋转角度≥370°，顺时针和逆时针方向</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机架旋转精度≤0.3度</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机架和准直器等中心精度，半径≤±0.5mm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等中心到机头的净空间≥45cm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4.5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等中心高度≤130cm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五</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多叶光栅及准直系统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内置电动多叶光栅和双层钨门准直系统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射野尺寸：0.5×0.5cm至40×40cm连续可调（SSD=100cm）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叶片数量≥100片</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叶片在等中心处的最小投影宽度≤5mm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叶片联合漏射率：≤0.2%</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叶片运动速度：≥3cm/s</w:t>
            </w:r>
            <w:r/>
          </w:p>
        </w:tc>
      </w:tr>
      <w:tr>
        <w:trPr>
          <w:jc w:val="center"/>
          <w:trHeight w:val="714"/>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5.7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多叶准直器可进行动态调强的应用</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六</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高精度患者摆位系统（治疗床）</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运动控制：至少包含五个及以上的运动维度</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最大负载能力：≥200Kg</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垂直移动范围：≥80cm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前后移动范围：≥120cm，误差≤±0.2cm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左右移动范围：≥45cm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6.6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床面转动范围：≥ ±3</w:t>
            </w:r>
            <w:r>
              <w:rPr>
                <w:rFonts w:hint="eastAsia" w:ascii="微软雅黑" w:hAnsi="微软雅黑" w:eastAsia="微软雅黑" w:cs="微软雅黑"/>
                <w:sz w:val="21"/>
              </w:rPr>
              <w:t xml:space="preserve">˚</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治疗床的等中心旋转≥±90度</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七</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MV影像系统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提供电子射野影像系统（MV EPID），用于位置验证和剂量验证功能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图像成像器的有效感应面积 ≥ 41cm x 41cm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像素矩阵大小： ≥ 1024 x 1024</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图像采集帧频：≥10帧/秒</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平板探测器可水平移动或垂直移动</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具备基于机载EPID验证计划和质控功能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7.7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定位匹配功能:可对参考图像和实时成像进行照射野边界和解剖结构的定位匹配的检测,并可进行位移的测量，从而确定照射野的摆位误差</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八</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KV级X线影像系统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具备KV CBCT图像引导系统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系统基本结构：整套系统集成于加速器上，与加速器共用同一旋转机架</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球管和平板探测器可自动收缩，在治疗过程中不妨碍床体的转动进行非共面治疗</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MV与KV等中心一致性：≤1mm</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探测器最大像素矩阵：≥ 1024 x 1024</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CBCT重建图像分辨率：≥512×512</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成像方式：支持X光拍片，透视，容积影像模式和四维容积影像模式</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8.8</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提供疗中成像功能，在治疗过程中可采集kV图像用以验证位置误差</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九</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机载质控功能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加速器质控功能模块</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9.1.1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质控系统软件和加速器整合，程序嵌入主控制台方便操作，通过专用模体和机载KV，MV影像系统，可自动快速完成设备自检</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9.1.2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加速器质控系统至少可同时完成的项目包含：治疗等中心与影像等中心的一致性检查，治疗床摆位精度检查，叶片位置精度检查，束流离轴比一致性检查</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机载EPID计划验证模块</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9.2.1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可通过EPID实现剂量验证功能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9.2.2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支持基于集成的EPID对IMRT和VMAT计划进行验证，不须增加模体即可进行验证</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十</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高级放射外科及运动管理功能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具备高精动态放射外科专用功能，可实现钨门动态追随多叶光栅，精确调制叶片宽度，满足颅脑立体定向精细化治疗的需求</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提供四维成像功能，可在操作台上进行在线实时的匹配、校准。并支持4D图像配准结果修正</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提供自由式呼吸门控系统，CT端和直线加速器端各一套，可根据患者呼吸时相触发治疗射束的启动和终止（或提供其他类似呼吸功门控能的产品）</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10.4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配备可视化呼吸训练装置，以帮助患者实现稳定和可预测的呼吸模式（或提供其他类似辅助呼吸训练的产品）</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10.5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提供运动管理接口，以便连接第三方运动监测设备，用于患者摆位验证或呼吸运动管理</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十一</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放射治疗计划系统软件功能要求</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提供≥2套物理计划工作站，≥4套医生工作站。计算机硬件设备需是当前最高配置，治疗计划系统软件需是当前最高版本</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物理计划系统支持影像配准，结构勾画，计划设计，剂量计算，射野剂量验证及计划评估功能</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 CT、MRI 以及 PET 图像配准，支持点配准、手动配准以及自动配准</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支持补偿器计划设计、电子线放疗计划、正向放疗计划设计、逆向调强放疗计划设计、容积旋转调强放疗计划设计</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物理师工作站以及放疗医生工作站均可支持在 4DCT 上进行靶区勾画，可将 4DCT 图像序列合并生成特殊影像（最大密度投影 ，最小密度投影，平均密度投影 ）</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支持对调强放疗计划的优化过程GPU加速</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光子线计划提供蒙特卡罗级剂量算法</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11.8</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支持可视化编程和自动化设计</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11.9</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提供智能勾画软件，支持手动选择模板进行自动勾画，包括头颈部OAR自动勾画，胸部常规OAR自动勾画和盆腔部OAR自动勾画</w:t>
            </w:r>
            <w:r/>
          </w:p>
        </w:tc>
      </w:tr>
      <w:tr>
        <w:trPr>
          <w:jc w:val="center"/>
          <w:trHeight w:val="567"/>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十二</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肿瘤信息管理系统要求</w:t>
            </w:r>
            <w:r/>
          </w:p>
        </w:tc>
      </w:tr>
      <w:tr>
        <w:trPr>
          <w:jc w:val="center"/>
          <w:trHeight w:val="599"/>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12.1</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提供肿瘤信息管理系统服务器≥1 套，网络工作站≥3 台，用户终端授权≥3个</w:t>
            </w:r>
            <w:r/>
          </w:p>
        </w:tc>
      </w:tr>
      <w:tr>
        <w:trPr>
          <w:jc w:val="center"/>
          <w:trHeight w:val="599"/>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▲12.2</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系统平台采用信息管理系统主流的B/S多层架构技术，工作人员可在医院内网任意工作站打开浏览器即可登录信息管理系统，系统后期功能模块的新增、修改原则上不能频繁维护各工作站用机</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12.3</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支持对医院现有直线加速器的治疗预约（Appointment）自动同步，技师可以在加速器的治疗界面上直接看到放疗信息系统中的治疗预约结果，不需要手动二次预约</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12.4</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支持对医院现有直线加速器的位置验证信息自动同步，在每次治疗开始前实时获取和显示位置验证后的移床值并自动记录，避免手工录入</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12.5</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支持对医院现有直线加速器的计划状态自动同步，在首次治疗前自动获取并显示放疗计划的Plan Approval状态，包括:Unapproved、Rejected、Reviewed、Plan Approved、Treatment Approved、Retired。以便治疗技师在治疗前查验与核对</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12.6</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提供肿瘤影像管理功能模块，可以让用户浏览患者的影像，通过定位影像与治疗影像的对比来确认患者摆位是否正确，还提供对患者的MV、kV平片以及影像的增强和分析工具</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12.7</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提供疾病管理功能模块，包含电子病例功能，使临床工作人员在患者的整个治疗流程中都可以对患者健康信息进行评估、监测、记录和存档。用户可以在文档工作区对电子病例中患者相关文档进行创建、显示和储存，包括文档批准</w:t>
            </w:r>
            <w:r/>
          </w:p>
        </w:tc>
      </w:tr>
      <w:tr>
        <w:trPr>
          <w:jc w:val="center"/>
        </w:trPr>
        <w:tc>
          <w:tcPr>
            <w:tcW w:w="992"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▲12.8</w:t>
            </w:r>
            <w:r/>
          </w:p>
        </w:tc>
        <w:tc>
          <w:tcPr>
            <w:tcW w:w="892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兼容医院现有设备和信息系统，预留其他放射治疗设备的信息端口，投标人需根据采购单位实际情况提供可行方案，所有相关费用由中标方负责。</w:t>
            </w:r>
            <w:r/>
          </w:p>
        </w:tc>
      </w:tr>
    </w:tbl>
    <w:p>
      <w:pPr>
        <w:ind w:left="0" w:firstLine="422"/>
        <w:spacing w:line="360" w:lineRule="auto"/>
        <w:tabs>
          <w:tab w:val="left" w:pos="420" w:leader="none"/>
        </w:tabs>
        <w:rPr>
          <w:rFonts w:ascii="宋体" w:hAnsi="宋体"/>
          <w:sz w:val="21"/>
        </w:rPr>
      </w:pPr>
      <w:r>
        <w:rPr>
          <w:rFonts w:hint="eastAsia" w:ascii="宋体" w:hAnsi="宋体"/>
          <w:b/>
          <w:sz w:val="21"/>
        </w:rPr>
        <w:t xml:space="preserve">注： 产品须提供《医疗器械注册证》（不属于医疗器械的可不提供）证书复印件并加盖公章，未提供视为未实质性响应招标文件要求。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（2）配套设备</w:t>
      </w:r>
      <w:r/>
    </w:p>
    <w:tbl>
      <w:tblPr>
        <w:tblStyle w:val="1059"/>
        <w:tblW w:w="9169" w:type="dxa"/>
        <w:tblInd w:w="-113" w:type="dxa"/>
        <w:tblLook w:val="04A0" w:firstRow="1" w:lastRow="0" w:firstColumn="1" w:lastColumn="0" w:noHBand="0" w:noVBand="1"/>
      </w:tblPr>
      <w:tblGrid>
        <w:gridCol w:w="4261"/>
        <w:gridCol w:w="4908"/>
      </w:tblGrid>
      <w:tr>
        <w:trPr/>
        <w:tc>
          <w:tcPr>
            <w:tcW w:w="4261"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产品名称</w:t>
            </w:r>
            <w:r/>
          </w:p>
        </w:tc>
        <w:tc>
          <w:tcPr>
            <w:tcW w:w="4908"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参数要求</w:t>
            </w:r>
            <w:r/>
          </w:p>
        </w:tc>
      </w:tr>
      <w:tr>
        <w:trPr/>
        <w:tc>
          <w:tcPr>
            <w:tcW w:w="4261"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晨检仪</w:t>
            </w:r>
            <w:r/>
          </w:p>
        </w:tc>
        <w:tc>
          <w:tcPr>
            <w:tcW w:w="4908" w:type="dxa"/>
            <w:vAlign w:val="center"/>
            <w:textDirection w:val="lrTb"/>
            <w:noWrap w:val="false"/>
          </w:tcPr>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测量量：对中心轴剂量、均整性、楔形角、对称性和射线质的稳定性检测（10x10cm，20x20cm光野大小）</w:t>
            </w:r>
            <w:r/>
          </w:p>
          <w:p>
            <w:pPr>
              <w:ind w:left="0"/>
              <w:jc w:val="left"/>
              <w:spacing w:line="400" w:lineRule="exact"/>
              <w:widowControl/>
              <w:tabs>
                <w:tab w:val="left" w:pos="312"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数据显示：液晶显示屏</w:t>
            </w:r>
            <w:r/>
          </w:p>
          <w:p>
            <w:pPr>
              <w:ind w:left="0"/>
              <w:jc w:val="left"/>
              <w:spacing w:line="400" w:lineRule="exact"/>
              <w:widowControl/>
              <w:tabs>
                <w:tab w:val="left" w:pos="31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测量方式：离线测量方式，自动；有线测量，手动。</w:t>
            </w:r>
            <w:r/>
          </w:p>
          <w:p>
            <w:pPr>
              <w:ind w:left="0"/>
              <w:jc w:val="left"/>
              <w:spacing w:line="400" w:lineRule="exact"/>
              <w:widowControl/>
              <w:tabs>
                <w:tab w:val="left" w:pos="312" w:leader="none"/>
              </w:tabs>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探测器数量：≥13</w:t>
            </w:r>
            <w:r/>
          </w:p>
          <w:p>
            <w:pPr>
              <w:ind w:left="0"/>
              <w:jc w:val="left"/>
              <w:spacing w:line="400" w:lineRule="exact"/>
              <w:widowControl/>
              <w:tabs>
                <w:tab w:val="left" w:pos="312"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辐射质：光子：(4 … 25) MV；(4 … 10) MV 搭配 FFF 模块</w:t>
            </w:r>
            <w:r/>
          </w:p>
          <w:p>
            <w:pPr>
              <w:ind w:left="0"/>
              <w:jc w:val="left"/>
              <w:spacing w:line="400" w:lineRule="exact"/>
              <w:widowControl/>
              <w:rPr>
                <w:rFonts w:ascii="宋体" w:hAnsi="宋体" w:cs="Times New Roman"/>
                <w:sz w:val="21"/>
                <w:szCs w:val="21"/>
              </w:rPr>
            </w:pPr>
            <w:r>
              <w:rPr>
                <w:rFonts w:hint="eastAsia" w:ascii="宋体" w:hAnsi="宋体" w:cs="Times New Roman"/>
                <w:sz w:val="21"/>
                <w:szCs w:val="21"/>
              </w:rPr>
              <w:t xml:space="preserve">电子：(4 … 25) MeV</w:t>
            </w:r>
            <w:r/>
          </w:p>
          <w:p>
            <w:pPr>
              <w:ind w:left="0"/>
              <w:jc w:val="left"/>
              <w:spacing w:line="400" w:lineRule="exact"/>
              <w:widowControl/>
              <w:tabs>
                <w:tab w:val="left" w:pos="312" w:leader="none"/>
              </w:tabs>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测量数据存储：≥10,000</w:t>
            </w:r>
            <w:r/>
          </w:p>
        </w:tc>
      </w:tr>
      <w:tr>
        <w:trPr/>
        <w:tc>
          <w:tcPr>
            <w:tcW w:w="4261"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剂量仪（含电离室1套、带卷轴延长线2套）</w:t>
            </w:r>
            <w:r/>
          </w:p>
        </w:tc>
        <w:tc>
          <w:tcPr>
            <w:tcW w:w="4908" w:type="dxa"/>
            <w:vAlign w:val="center"/>
            <w:textDirection w:val="lrTb"/>
            <w:noWrap w:val="false"/>
          </w:tcPr>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用途：放射治疗和后装治疗和放射诊断中的剂量与剂量率的测量以及电荷与电流测量</w:t>
            </w:r>
            <w:r/>
          </w:p>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电压：可加±400V高压</w:t>
            </w:r>
            <w:r/>
          </w:p>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分辨率：≤1fA</w:t>
            </w:r>
            <w:r/>
          </w:p>
        </w:tc>
      </w:tr>
      <w:tr>
        <w:trPr/>
        <w:tc>
          <w:tcPr>
            <w:tcW w:w="4261"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一维小水箱</w:t>
            </w:r>
            <w:r/>
          </w:p>
        </w:tc>
        <w:tc>
          <w:tcPr>
            <w:tcW w:w="4908" w:type="dxa"/>
            <w:vAlign w:val="center"/>
            <w:textDirection w:val="lrTb"/>
            <w:noWrap w:val="false"/>
          </w:tcPr>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1.水平调节范围：≥240 mm</w:t>
            </w:r>
            <w:r/>
          </w:p>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垂直移动距离：≥ 250mm</w:t>
            </w:r>
            <w:r/>
          </w:p>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容积：≥32L</w:t>
            </w:r>
            <w:r/>
          </w:p>
          <w:p>
            <w:pPr>
              <w:ind w:left="0"/>
              <w:jc w:val="left"/>
              <w:spacing w:line="400" w:lineRule="exact"/>
              <w:tabs>
                <w:tab w:val="left" w:pos="312" w:leader="none"/>
              </w:tabs>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水平调节数量及范围：三角调平，±5mm</w:t>
            </w:r>
            <w:r/>
          </w:p>
        </w:tc>
      </w:tr>
      <w:tr>
        <w:trPr/>
        <w:tc>
          <w:tcPr>
            <w:tcW w:w="4261" w:type="dxa"/>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三维水箱</w:t>
            </w:r>
            <w:r/>
          </w:p>
        </w:tc>
        <w:tc>
          <w:tcPr>
            <w:tcW w:w="4908" w:type="dxa"/>
            <w:vAlign w:val="center"/>
            <w:textDirection w:val="lrTb"/>
            <w:noWrap w:val="false"/>
          </w:tcPr>
          <w:p>
            <w:pPr>
              <w:ind w:left="0"/>
              <w:jc w:val="left"/>
              <w:spacing w:line="40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箱体形状：立方体结构</w:t>
            </w:r>
            <w:r/>
          </w:p>
          <w:p>
            <w:pPr>
              <w:ind w:left="0"/>
              <w:jc w:val="left"/>
              <w:spacing w:line="400" w:lineRule="exact"/>
              <w:tabs>
                <w:tab w:val="left" w:pos="3987" w:leader="none"/>
              </w:tabs>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垂直距离：≥300mm</w:t>
            </w:r>
            <w:r>
              <w:rPr>
                <w:rFonts w:hint="eastAsia" w:ascii="宋体" w:hAnsi="宋体" w:cs="Times New Roman"/>
                <w:sz w:val="21"/>
                <w:szCs w:val="21"/>
              </w:rPr>
              <w:tab/>
            </w:r>
            <w:r/>
          </w:p>
          <w:p>
            <w:pPr>
              <w:ind w:left="0"/>
              <w:jc w:val="left"/>
              <w:spacing w:line="400" w:lineRule="exact"/>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扫描模式：步进式</w:t>
            </w:r>
            <w:r/>
          </w:p>
          <w:p>
            <w:pPr>
              <w:pStyle w:val="1011"/>
              <w:ind w:left="0" w:firstLine="0"/>
            </w:pPr>
            <w:r>
              <w:rPr>
                <w:rFonts w:hint="eastAsia"/>
              </w:rPr>
              <w:t xml:space="preserve">4.</w:t>
            </w:r>
            <w:r>
              <w:rPr>
                <w:rFonts w:hint="eastAsia"/>
              </w:rPr>
              <w:t xml:space="preserve">驱动电机：三个步进电机</w:t>
            </w:r>
            <w:r/>
          </w:p>
          <w:p>
            <w:pPr>
              <w:ind w:left="0"/>
              <w:jc w:val="left"/>
              <w:spacing w:line="40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单轴定位精度：≤0.1mm</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免费质保期至少为1年，自验收合格之日起，开始进入质保期。质保期内，根据实际使用方需要每年提供一次免费保养。质保期满后供应商负责终身维护，且维修只收取配件费用，不收取人工费及其他费用。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投标文件中提供质保期满后的年保费用。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w:t>
      </w:r>
      <w:r>
        <w:rPr>
          <w:rFonts w:hint="eastAsia" w:ascii="宋体" w:hAnsi="宋体"/>
          <w:sz w:val="21"/>
        </w:rPr>
        <w:t xml:space="preserve">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按合同定期到货和安装，安装前供方需把设备资料报采购方审核。</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（1）供应商负责设备接入信息系统；</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根据医院需求，保证设备、机房正常运转。</w:t>
      </w:r>
      <w:r>
        <w:rPr>
          <w:rFonts w:hint="eastAsia" w:ascii="宋体" w:hAnsi="宋体"/>
          <w:sz w:val="21"/>
        </w:rPr>
        <w:t xml:space="preserve">应当根据医院实地现场勘察情况（联系人：王俊文，联系电话：0</w:t>
      </w:r>
      <w:r>
        <w:rPr>
          <w:rFonts w:ascii="宋体" w:hAnsi="宋体"/>
          <w:sz w:val="21"/>
        </w:rPr>
        <w:t xml:space="preserve">512-62362603</w:t>
      </w:r>
      <w:r>
        <w:rPr>
          <w:rFonts w:hint="eastAsia" w:ascii="宋体" w:hAnsi="宋体"/>
          <w:sz w:val="21"/>
        </w:rPr>
        <w:t xml:space="preserve">）</w:t>
      </w:r>
      <w:r>
        <w:rPr>
          <w:rFonts w:hint="eastAsia" w:ascii="宋体" w:hAnsi="宋体"/>
          <w:sz w:val="21"/>
        </w:rPr>
        <w:t xml:space="preserve">，提供相关基础机房配套建设（防护工程、安装基础等）及相关配套设施，</w:t>
      </w:r>
      <w:r>
        <w:rPr>
          <w:rFonts w:hint="eastAsia" w:ascii="宋体" w:hAnsi="宋体"/>
          <w:sz w:val="21"/>
        </w:rPr>
        <w:t xml:space="preserve">项目</w:t>
      </w:r>
      <w:r>
        <w:rPr>
          <w:rFonts w:hint="eastAsia" w:ascii="宋体" w:hAnsi="宋体"/>
          <w:sz w:val="21"/>
        </w:rPr>
        <w:t xml:space="preserve">完成后负责辐射防护环境影响评价及放射诊疗卫生评价的申报验收，所需的费用由供应商承担</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w:t>
      </w:r>
      <w:r>
        <w:rPr>
          <w:rFonts w:hint="eastAsia" w:ascii="宋体" w:hAnsi="宋体"/>
          <w:sz w:val="21"/>
        </w:rPr>
        <w:t xml:space="preserve">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9"/>
        <w:ind w:left="0" w:firstLine="0"/>
        <w:jc w:val="center"/>
        <w:rPr>
          <w:rFonts w:ascii="宋体" w:hAnsi="宋体"/>
          <w:b/>
          <w:sz w:val="44"/>
          <w:szCs w:val="22"/>
        </w:rPr>
      </w:pPr>
      <w:r/>
      <w:bookmarkStart w:id="93" w:name="_Toc11789"/>
      <w:r/>
      <w:bookmarkStart w:id="94" w:name="_Toc5111"/>
      <w:r/>
      <w:bookmarkStart w:id="95" w:name="_Hlk55741158"/>
      <w:r>
        <w:rPr>
          <w:rFonts w:hint="eastAsia" w:ascii="宋体" w:hAnsi="宋体"/>
          <w:b/>
          <w:sz w:val="44"/>
          <w:szCs w:val="22"/>
        </w:rPr>
        <w:br w:type="page" w:clear="all"/>
      </w:r>
      <w:bookmarkStart w:id="96" w:name="_Toc105397794"/>
      <w:r>
        <w:rPr>
          <w:rFonts w:hint="eastAsia" w:ascii="宋体" w:hAnsi="宋体"/>
          <w:b/>
          <w:sz w:val="44"/>
          <w:szCs w:val="22"/>
        </w:rPr>
        <w:t xml:space="preserve">第五章 </w:t>
      </w:r>
      <w:bookmarkStart w:id="97" w:name="合同的特殊条款"/>
      <w:r/>
      <w:bookmarkEnd w:id="97"/>
      <w:r>
        <w:rPr>
          <w:rFonts w:hint="eastAsia" w:ascii="宋体" w:hAnsi="宋体"/>
          <w:b/>
          <w:sz w:val="44"/>
          <w:szCs w:val="22"/>
        </w:rPr>
        <w:t xml:space="preserve">合同及主要条款</w:t>
      </w:r>
      <w:bookmarkEnd w:id="93"/>
      <w:r/>
      <w:bookmarkEnd w:id="94"/>
      <w:r/>
      <w:bookmarkEnd w:id="96"/>
      <w:r/>
      <w:r/>
    </w:p>
    <w:p>
      <w:pPr>
        <w:ind w:left="0"/>
        <w:jc w:val="center"/>
        <w:rPr>
          <w:rFonts w:ascii="宋体" w:hAnsi="宋体"/>
          <w:b/>
          <w:sz w:val="32"/>
          <w:szCs w:val="32"/>
        </w:rPr>
      </w:pPr>
      <w:r/>
      <w:bookmarkStart w:id="98" w:name="_Toc57376410"/>
      <w:r/>
      <w:bookmarkStart w:id="99" w:name="_Toc27667"/>
      <w:r/>
      <w:bookmarkStart w:id="100" w:name="_Toc8564"/>
      <w:r/>
      <w:bookmarkEnd w:id="95"/>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（1）在采购合同签订生效后，预付合同30%预付款，待全部货物到达甲方指定地点，经验收合格后无质量问题，开票后10个工作日内由甲方向乙方一次性付清。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rPr>
        <w:t xml:space="preserve">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rPr>
          <w:rFonts w:hint="eastAsia" w:ascii="宋体" w:hAnsi="宋体"/>
          <w:sz w:val="21"/>
          <w:szCs w:val="21"/>
        </w:rPr>
        <w:t xml:space="preserve">：</w:t>
      </w:r>
      <w:r/>
    </w:p>
    <w:p>
      <w:pPr>
        <w:pStyle w:val="1025"/>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5"/>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8"/>
        <w:ind w:left="400" w:firstLine="883"/>
        <w:rPr>
          <w:rFonts w:ascii="宋体" w:hAnsi="宋体"/>
          <w:b/>
          <w:sz w:val="44"/>
          <w:szCs w:val="22"/>
        </w:rPr>
      </w:pPr>
      <w:r>
        <w:rPr>
          <w:rFonts w:hint="eastAsia" w:ascii="宋体" w:hAnsi="宋体"/>
          <w:b/>
          <w:sz w:val="44"/>
          <w:szCs w:val="22"/>
        </w:rPr>
        <w:t xml:space="preserve"> </w:t>
      </w:r>
      <w:r/>
    </w:p>
    <w:p>
      <w:pPr>
        <w:pStyle w:val="1058"/>
        <w:ind w:left="400" w:firstLine="883"/>
        <w:rPr>
          <w:rFonts w:ascii="宋体" w:hAnsi="宋体"/>
          <w:b/>
          <w:sz w:val="44"/>
          <w:szCs w:val="22"/>
        </w:rPr>
      </w:pPr>
      <w:r>
        <w:rPr>
          <w:rFonts w:hint="eastAsia" w:ascii="宋体" w:hAnsi="宋体"/>
          <w:b/>
          <w:sz w:val="44"/>
          <w:szCs w:val="22"/>
        </w:rPr>
        <w:br w:type="page" w:clear="all"/>
      </w:r>
      <w:r/>
    </w:p>
    <w:p>
      <w:pPr>
        <w:pStyle w:val="999"/>
        <w:ind w:left="0" w:firstLine="0"/>
        <w:jc w:val="center"/>
        <w:rPr>
          <w:rFonts w:ascii="宋体" w:hAnsi="宋体"/>
          <w:b/>
          <w:sz w:val="44"/>
          <w:szCs w:val="22"/>
        </w:rPr>
      </w:pPr>
      <w:r/>
      <w:bookmarkStart w:id="101" w:name="_Toc105397795"/>
      <w:r>
        <w:rPr>
          <w:rFonts w:hint="eastAsia" w:ascii="宋体" w:hAnsi="宋体"/>
          <w:b/>
          <w:sz w:val="44"/>
          <w:szCs w:val="22"/>
        </w:rPr>
        <w:t xml:space="preserve">第六章 </w:t>
      </w:r>
      <w:bookmarkStart w:id="102" w:name="评分要点"/>
      <w:r/>
      <w:bookmarkEnd w:id="102"/>
      <w:r>
        <w:rPr>
          <w:rFonts w:hint="eastAsia" w:ascii="宋体" w:hAnsi="宋体"/>
          <w:b/>
          <w:sz w:val="44"/>
          <w:szCs w:val="22"/>
        </w:rPr>
        <w:t xml:space="preserve">评标办法和评分标准</w:t>
      </w:r>
      <w:bookmarkEnd w:id="98"/>
      <w:r/>
      <w:bookmarkEnd w:id="99"/>
      <w:r/>
      <w:bookmarkEnd w:id="100"/>
      <w:r/>
      <w:bookmarkEnd w:id="101"/>
      <w:r/>
      <w:r/>
    </w:p>
    <w:p>
      <w:pPr>
        <w:ind w:left="0" w:firstLine="422"/>
        <w:spacing w:line="360" w:lineRule="auto"/>
        <w:rPr>
          <w:rFonts w:ascii="宋体" w:hAnsi="宋体"/>
          <w:b/>
          <w:sz w:val="21"/>
          <w:szCs w:val="21"/>
        </w:rPr>
      </w:pPr>
      <w:r/>
      <w:bookmarkStart w:id="103" w:name="_Toc17476"/>
      <w:r/>
      <w:bookmarkStart w:id="104" w:name="_Toc16264"/>
      <w:r/>
      <w:bookmarkStart w:id="105" w:name="_Toc698"/>
      <w:r>
        <w:rPr>
          <w:rFonts w:hint="eastAsia" w:ascii="宋体" w:hAnsi="宋体"/>
          <w:b/>
          <w:sz w:val="21"/>
          <w:szCs w:val="21"/>
        </w:rPr>
        <w:t xml:space="preserve">一、评标办法：</w:t>
      </w:r>
      <w:bookmarkEnd w:id="103"/>
      <w:r/>
      <w:bookmarkEnd w:id="104"/>
      <w:r/>
      <w:bookmarkEnd w:id="10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bookmarkStart w:id="106" w:name="_GoBack"/>
      <w:r/>
      <w:bookmarkEnd w:id="106"/>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7"/>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rPr>
              <w:t xml:space="preserve">项目实施方案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项目实施方案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1.交货期工序安排；</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2.产品质量控制；</w:t>
            </w:r>
            <w:r/>
          </w:p>
          <w:p>
            <w:pPr>
              <w:ind w:left="0"/>
              <w:jc w:val="left"/>
              <w:rPr>
                <w:rFonts w:ascii="宋体" w:hAnsi="宋体" w:cs="Times New Roman"/>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安装调试方案</w:t>
            </w:r>
            <w:r>
              <w:rPr>
                <w:rFonts w:hint="eastAsia" w:ascii="宋体" w:hAnsi="宋体" w:cs="Times New Roman"/>
                <w:bCs/>
                <w:sz w:val="21"/>
                <w:szCs w:val="22"/>
              </w:rPr>
              <w:t xml:space="preserve">。</w:t>
            </w:r>
            <w:r/>
          </w:p>
          <w:p>
            <w:pPr>
              <w:ind w:left="0"/>
              <w:jc w:val="left"/>
              <w:rPr>
                <w:rFonts w:ascii="宋体" w:hAnsi="宋体"/>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rPr>
              <w:t xml:space="preserve">维保收费及维保方案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1.维保收费（包括零配件、备品、备件价格）清单及价格；</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2.整个维保工作具体维保内容；</w:t>
            </w:r>
            <w:r/>
          </w:p>
          <w:p>
            <w:pPr>
              <w:ind w:left="0"/>
              <w:jc w:val="left"/>
              <w:rPr>
                <w:rFonts w:ascii="宋体" w:hAnsi="宋体" w:cs="Times New Roman"/>
                <w:bCs/>
                <w:sz w:val="21"/>
                <w:szCs w:val="22"/>
              </w:rPr>
            </w:pPr>
            <w:r>
              <w:rPr>
                <w:rFonts w:hint="eastAsia" w:ascii="宋体" w:hAnsi="宋体" w:cs="Times New Roman"/>
                <w:bCs/>
                <w:sz w:val="21"/>
                <w:szCs w:val="22"/>
              </w:rPr>
              <w:t xml:space="preserve">3.维保流程及规范标准。</w:t>
            </w:r>
            <w:r/>
          </w:p>
          <w:p>
            <w:pPr>
              <w:ind w:left="0"/>
              <w:rPr>
                <w:rFonts w:ascii="宋体" w:hAnsi="宋体"/>
                <w:sz w:val="21"/>
                <w:szCs w:val="21"/>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rPr>
              <w:t xml:space="preserve">培训方案</w:t>
            </w:r>
            <w:r/>
          </w:p>
        </w:tc>
        <w:tc>
          <w:tcPr>
            <w:tcW w:w="7500"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培训方案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1.培训内容及方法计划；</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2.负责培训人员情况；</w:t>
            </w:r>
            <w:r/>
          </w:p>
          <w:p>
            <w:pPr>
              <w:ind w:left="0"/>
              <w:jc w:val="left"/>
              <w:rPr>
                <w:rFonts w:ascii="宋体" w:hAnsi="宋体" w:cs="Times New Roman"/>
                <w:bCs/>
                <w:sz w:val="21"/>
                <w:szCs w:val="22"/>
              </w:rPr>
            </w:pPr>
            <w:r>
              <w:rPr>
                <w:rFonts w:hint="eastAsia" w:ascii="宋体" w:hAnsi="宋体" w:cs="Times New Roman"/>
                <w:bCs/>
                <w:sz w:val="21"/>
                <w:szCs w:val="22"/>
              </w:rPr>
              <w:t xml:space="preserve">3.培训设备场地等情况介绍。</w:t>
            </w:r>
            <w:r/>
          </w:p>
          <w:p>
            <w:pPr>
              <w:ind w:left="0"/>
              <w:rPr>
                <w:rFonts w:ascii="宋体" w:hAnsi="宋体"/>
                <w:sz w:val="21"/>
                <w:szCs w:val="21"/>
                <w:lang w:bidi="ar"/>
              </w:rPr>
            </w:pPr>
            <w:r>
              <w:rPr>
                <w:rFonts w:hint="eastAsia" w:ascii="宋体" w:hAnsi="宋体"/>
                <w:sz w:val="21"/>
                <w:szCs w:val="21"/>
                <w:lang w:bidi="ar"/>
              </w:rPr>
              <w:t xml:space="preserve">上述每项应逐条叙述，内容完整，条理清晰的得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bCs/>
                <w:sz w:val="21"/>
                <w:szCs w:val="22"/>
              </w:rPr>
            </w:pPr>
            <w:r>
              <w:rPr>
                <w:rFonts w:ascii="宋体" w:hAnsi="宋体" w:cs="Times New Roman"/>
                <w:bCs/>
                <w:sz w:val="21"/>
                <w:szCs w:val="22"/>
              </w:rPr>
              <w:t xml:space="preserve">▲</w:t>
            </w:r>
            <w:r>
              <w:rPr>
                <w:rFonts w:hint="eastAsia" w:ascii="宋体" w:hAnsi="宋体" w:cs="Times New Roman"/>
                <w:b/>
                <w:bCs/>
                <w:sz w:val="21"/>
                <w:szCs w:val="22"/>
              </w:rPr>
              <w:t xml:space="preserve">技术参数要求</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“技术要求”中标注▲项为主要参数，满足或优于需求的每条得</w:t>
            </w:r>
            <w:r>
              <w:rPr>
                <w:rFonts w:ascii="宋体" w:hAnsi="宋体" w:cs="Times New Roman"/>
                <w:bCs/>
                <w:sz w:val="21"/>
                <w:szCs w:val="22"/>
              </w:rPr>
              <w:t xml:space="preserve">3</w:t>
            </w:r>
            <w:r>
              <w:rPr>
                <w:rFonts w:hint="eastAsia" w:ascii="宋体" w:hAnsi="宋体" w:cs="Times New Roman"/>
                <w:bCs/>
                <w:sz w:val="21"/>
                <w:szCs w:val="22"/>
              </w:rPr>
              <w:t xml:space="preserve">分，最多得</w:t>
            </w:r>
            <w:r>
              <w:rPr>
                <w:rFonts w:ascii="宋体" w:hAnsi="宋体" w:cs="Times New Roman"/>
                <w:bCs/>
                <w:sz w:val="21"/>
                <w:szCs w:val="22"/>
              </w:rPr>
              <w:t xml:space="preserve">30</w:t>
            </w:r>
            <w:r>
              <w:rPr>
                <w:rFonts w:hint="eastAsia" w:ascii="宋体" w:hAnsi="宋体" w:cs="Times New Roman"/>
                <w:bCs/>
                <w:sz w:val="21"/>
                <w:szCs w:val="22"/>
              </w:rPr>
              <w:t xml:space="preserve">分。</w:t>
            </w:r>
            <w:r/>
          </w:p>
          <w:p>
            <w:pPr>
              <w:ind w:left="0"/>
              <w:rPr>
                <w:rFonts w:ascii="宋体" w:hAnsi="宋体"/>
                <w:b/>
                <w:sz w:val="21"/>
                <w:szCs w:val="22"/>
              </w:rPr>
            </w:pPr>
            <w:r>
              <w:rPr>
                <w:rFonts w:hint="eastAsia" w:ascii="宋体" w:hAnsi="宋体"/>
                <w:b/>
                <w:sz w:val="21"/>
                <w:szCs w:val="22"/>
              </w:rPr>
              <w:t xml:space="preserve">2.</w:t>
            </w:r>
            <w:r>
              <w:rPr>
                <w:rFonts w:hint="eastAsia" w:ascii="宋体" w:hAnsi="宋体" w:cs="Times New Roman"/>
                <w:bCs/>
                <w:sz w:val="21"/>
                <w:szCs w:val="22"/>
              </w:rPr>
              <w:t xml:space="preserve">“技术要求”中标注</w:t>
            </w:r>
            <w:r>
              <w:rPr>
                <w:rFonts w:hint="eastAsia" w:ascii="宋体" w:hAnsi="宋体" w:cs="宋体"/>
                <w:bCs/>
                <w:sz w:val="21"/>
                <w:szCs w:val="22"/>
              </w:rPr>
              <w:t xml:space="preserve">■</w:t>
            </w:r>
            <w:r>
              <w:rPr>
                <w:rFonts w:hint="eastAsia" w:ascii="宋体" w:hAnsi="宋体" w:cs="Times New Roman"/>
                <w:bCs/>
                <w:sz w:val="21"/>
                <w:szCs w:val="22"/>
              </w:rPr>
              <w:t xml:space="preserve">项为次要参数，满足或优于需求的每条得1分，最多得10分。</w:t>
            </w:r>
            <w:r/>
          </w:p>
          <w:p>
            <w:pPr>
              <w:ind w:left="0"/>
              <w:rPr>
                <w:rStyle w:val="1065"/>
              </w:rPr>
            </w:pPr>
            <w:r>
              <w:rPr>
                <w:rFonts w:hint="eastAsia" w:ascii="宋体" w:hAnsi="宋体"/>
                <w:b/>
                <w:sz w:val="21"/>
                <w:szCs w:val="22"/>
              </w:rPr>
              <w:t xml:space="preserve">注：</w:t>
            </w:r>
            <w:r>
              <w:rPr>
                <w:rFonts w:hint="eastAsia" w:ascii="宋体" w:hAnsi="宋体"/>
                <w:b/>
                <w:sz w:val="21"/>
                <w:szCs w:val="22"/>
              </w:rPr>
              <w:t xml:space="preserve">标注▲项的技术参数</w:t>
            </w:r>
            <w:r>
              <w:rPr>
                <w:rFonts w:hint="eastAsia" w:ascii="宋体" w:hAnsi="宋体"/>
                <w:b/>
                <w:sz w:val="21"/>
              </w:rPr>
              <w:t xml:space="preserve">需在投标文件中提供以下任意一项证明材料并加盖投标单位公章：1.具有国家认可的第三方机构出具的检测报告复印件 2.官网截图证明 3.技术参数白皮书或彩页，未按要求提供的视为负偏离不得分。</w:t>
            </w:r>
            <w:r/>
          </w:p>
          <w:p>
            <w:pPr>
              <w:pStyle w:val="1011"/>
              <w:ind w:left="0" w:firstLine="0"/>
            </w:pPr>
            <w:r>
              <w:rPr>
                <w:rFonts w:hint="eastAsia" w:ascii="宋体" w:hAnsi="宋体" w:cs="Calibri"/>
                <w:b/>
                <w:sz w:val="21"/>
                <w:szCs w:val="22"/>
              </w:rPr>
              <w:t xml:space="preserve">标注</w:t>
            </w:r>
            <w:r>
              <w:rPr>
                <w:rFonts w:hint="eastAsia" w:ascii="宋体" w:hAnsi="宋体" w:cs="宋体"/>
                <w:b/>
                <w:sz w:val="21"/>
                <w:szCs w:val="22"/>
              </w:rPr>
              <w:t xml:space="preserve">■</w:t>
            </w:r>
            <w:r>
              <w:rPr>
                <w:rFonts w:hint="eastAsia" w:ascii="宋体" w:hAnsi="宋体" w:cs="Calibri"/>
                <w:b/>
                <w:sz w:val="21"/>
                <w:szCs w:val="22"/>
              </w:rPr>
              <w:t xml:space="preserve">项的技术参数</w:t>
            </w:r>
            <w:r>
              <w:rPr>
                <w:rFonts w:hint="eastAsia" w:ascii="宋体" w:hAnsi="宋体" w:cs="Calibri"/>
                <w:b/>
                <w:sz w:val="21"/>
              </w:rPr>
              <w:t xml:space="preserve">需在投标文件中提供以下证明材料并加盖投标单位公章：1</w:t>
            </w:r>
            <w:r>
              <w:rPr>
                <w:rFonts w:ascii="宋体" w:hAnsi="宋体" w:cs="Calibri"/>
                <w:b/>
                <w:sz w:val="21"/>
              </w:rPr>
              <w:t xml:space="preserve">.</w:t>
            </w:r>
            <w:r>
              <w:rPr>
                <w:rFonts w:hint="eastAsia" w:ascii="宋体" w:hAnsi="宋体" w:cs="Calibri"/>
                <w:b/>
                <w:sz w:val="21"/>
              </w:rPr>
              <w:t xml:space="preserve">技术参数白皮书或彩页，未按要求提供的视为负偏离不得分</w:t>
            </w:r>
            <w:r>
              <w:rPr>
                <w:rFonts w:hint="eastAsia" w:ascii="宋体" w:hAnsi="宋体" w:cs="Calibri"/>
                <w:b/>
                <w:sz w:val="21"/>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w:t>
            </w:r>
            <w:r>
              <w:rPr>
                <w:rFonts w:ascii="宋体" w:hAnsi="宋体" w:cs="Times New Roman"/>
                <w:bCs/>
                <w:sz w:val="21"/>
                <w:szCs w:val="22"/>
              </w:rPr>
              <w:t xml:space="preserve">0</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▲免费质保承诺</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sz w:val="21"/>
              </w:rPr>
              <w:t xml:space="preserve">投标单位或生产厂家满足招标文件免费质保要求的基础上，承诺提供原厂免费质保的得3分；承诺由代理商提供的免费质保或其他质保形式的得1分。最高得3分。</w:t>
            </w:r>
            <w:r/>
          </w:p>
          <w:p>
            <w:pPr>
              <w:ind w:left="0"/>
              <w:rPr>
                <w:rFonts w:ascii="宋体" w:hAnsi="宋体" w:cs="Times New Roman"/>
                <w:bCs/>
                <w:sz w:val="21"/>
                <w:szCs w:val="22"/>
              </w:rPr>
            </w:pPr>
            <w:r>
              <w:rPr>
                <w:rFonts w:hint="eastAsia" w:ascii="宋体" w:hAnsi="宋体" w:cs="Times New Roman"/>
                <w:bCs/>
                <w:sz w:val="21"/>
                <w:szCs w:val="22"/>
              </w:rPr>
              <w:t xml:space="preserve">2</w:t>
            </w:r>
            <w:r>
              <w:rPr>
                <w:rFonts w:ascii="宋体" w:hAnsi="宋体" w:cs="Times New Roman"/>
                <w:bCs/>
                <w:sz w:val="21"/>
                <w:szCs w:val="22"/>
              </w:rPr>
              <w:t xml:space="preserve">.</w:t>
            </w:r>
            <w:r>
              <w:rPr>
                <w:rFonts w:hint="eastAsia" w:ascii="宋体" w:hAnsi="宋体"/>
                <w:sz w:val="21"/>
              </w:rPr>
              <w:t xml:space="preserve">投标单位或生产厂家满足招标文件免费质保要求的基础上，承诺每增加一年质保期的得1</w:t>
            </w:r>
            <w:r>
              <w:rPr>
                <w:rFonts w:ascii="宋体" w:hAnsi="宋体"/>
                <w:sz w:val="21"/>
              </w:rPr>
              <w:t xml:space="preserve">.5</w:t>
            </w:r>
            <w:r>
              <w:rPr>
                <w:rFonts w:hint="eastAsia" w:ascii="宋体" w:hAnsi="宋体"/>
                <w:sz w:val="21"/>
              </w:rPr>
              <w:t xml:space="preserve">分，最高得3分</w:t>
            </w:r>
            <w:r>
              <w:rPr>
                <w:rFonts w:hint="eastAsia" w:ascii="宋体" w:hAnsi="宋体" w:cs="Times New Roman"/>
                <w:bCs/>
                <w:sz w:val="21"/>
                <w:szCs w:val="22"/>
              </w:rPr>
              <w:t xml:space="preserve">。</w:t>
            </w:r>
            <w:r/>
          </w:p>
          <w:p>
            <w:pPr>
              <w:ind w:left="0"/>
              <w:rPr>
                <w:rFonts w:ascii="宋体" w:hAnsi="宋体"/>
                <w:b/>
                <w:sz w:val="21"/>
                <w:szCs w:val="22"/>
              </w:rPr>
            </w:pPr>
            <w:r/>
            <w:bookmarkStart w:id="107" w:name="_Hlk152854893"/>
            <w:r>
              <w:rPr>
                <w:rFonts w:hint="eastAsia" w:ascii="宋体" w:hAnsi="宋体" w:cs="Times New Roman"/>
                <w:b/>
                <w:bCs/>
                <w:sz w:val="21"/>
                <w:szCs w:val="22"/>
              </w:rPr>
              <w:t xml:space="preserve">注：</w:t>
            </w:r>
            <w:bookmarkEnd w:id="107"/>
            <w:r>
              <w:rPr>
                <w:rFonts w:hint="eastAsia" w:ascii="宋体" w:hAnsi="宋体" w:cs="Times New Roman"/>
                <w:b/>
                <w:bCs/>
                <w:sz w:val="21"/>
                <w:szCs w:val="22"/>
              </w:rPr>
              <w:t xml:space="preserve">投标文件中须提供承诺函并加盖投标单位公章，</w:t>
            </w:r>
            <w:r>
              <w:rPr>
                <w:rFonts w:hint="eastAsia" w:ascii="宋体" w:hAnsi="宋体"/>
                <w:b/>
                <w:sz w:val="21"/>
              </w:rPr>
              <w:t xml:space="preserve">未按要求提供的不得分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Times New Roman"/>
                <w:b/>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sz w:val="21"/>
              </w:rPr>
              <w:t xml:space="preserve">投标单位或所投产品生产厂家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年1月1日起至今（以合同签订之日起为准）具有类似项目业绩的，每提供一个得</w:t>
            </w:r>
            <w:r>
              <w:rPr>
                <w:rFonts w:ascii="宋体" w:hAnsi="宋体" w:cs="Times New Roman"/>
                <w:bCs/>
                <w:sz w:val="21"/>
                <w:szCs w:val="22"/>
              </w:rPr>
              <w:t xml:space="preserve">2</w:t>
            </w:r>
            <w:r>
              <w:rPr>
                <w:rFonts w:hint="eastAsia" w:ascii="宋体" w:hAnsi="宋体" w:cs="Times New Roman"/>
                <w:bCs/>
                <w:sz w:val="21"/>
                <w:szCs w:val="22"/>
              </w:rPr>
              <w:t xml:space="preserve">分，最高</w:t>
            </w:r>
            <w:r>
              <w:rPr>
                <w:rFonts w:ascii="宋体" w:hAnsi="宋体" w:cs="Times New Roman"/>
                <w:bCs/>
                <w:sz w:val="21"/>
                <w:szCs w:val="22"/>
              </w:rPr>
              <w:t xml:space="preserve">6</w:t>
            </w:r>
            <w:r>
              <w:rPr>
                <w:rFonts w:hint="eastAsia" w:ascii="宋体" w:hAnsi="宋体" w:cs="Times New Roman"/>
                <w:bCs/>
                <w:sz w:val="21"/>
                <w:szCs w:val="22"/>
              </w:rPr>
              <w:t xml:space="preserve">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w:t>
            </w:r>
            <w:r>
              <w:rPr>
                <w:rFonts w:hint="eastAsia" w:ascii="宋体" w:hAnsi="宋体" w:cs="Times New Roman"/>
                <w:b/>
                <w:sz w:val="21"/>
                <w:szCs w:val="21"/>
              </w:rPr>
              <w:t xml:space="preserve">和发票复印件</w:t>
            </w:r>
            <w:r>
              <w:rPr>
                <w:rFonts w:hint="eastAsia" w:ascii="宋体" w:hAnsi="宋体" w:cs="Times New Roman"/>
                <w:b/>
                <w:bCs/>
                <w:sz w:val="21"/>
                <w:szCs w:val="22"/>
              </w:rPr>
              <w:t xml:space="preserve">并加盖投标单位公章，</w:t>
            </w:r>
            <w:r>
              <w:rPr>
                <w:rFonts w:hint="eastAsia" w:ascii="宋体" w:hAnsi="宋体"/>
                <w:b/>
                <w:sz w:val="21"/>
              </w:rPr>
              <w:t xml:space="preserve">未按要求提供的不得分</w:t>
            </w:r>
            <w:r>
              <w:rPr>
                <w:rFonts w:hint="eastAsia" w:ascii="宋体" w:hAnsi="宋体" w:cs="Times New Roman"/>
                <w:b/>
                <w:bCs/>
                <w:sz w:val="21"/>
                <w:szCs w:val="22"/>
              </w:rPr>
              <w:t xml:space="preserve">。类似业绩日期认定：以签订合同日期为准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5"/>
    <w:uiPriority w:val="11"/>
    <w:rPr>
      <w:sz w:val="24"/>
      <w:szCs w:val="24"/>
    </w:rPr>
  </w:style>
  <w:style w:type="character" w:styleId="863">
    <w:name w:val="Quote Char"/>
    <w:link w:val="1250"/>
    <w:uiPriority w:val="29"/>
    <w:rPr>
      <w:i/>
    </w:rPr>
  </w:style>
  <w:style w:type="character" w:styleId="864">
    <w:name w:val="Intense Quote Char"/>
    <w:link w:val="1376"/>
    <w:uiPriority w:val="30"/>
    <w:rPr>
      <w:i/>
    </w:rPr>
  </w:style>
  <w:style w:type="character" w:styleId="865">
    <w:name w:val="Header Char"/>
    <w:basedOn w:val="1008"/>
    <w:link w:val="1043"/>
    <w:uiPriority w:val="99"/>
  </w:style>
  <w:style w:type="character" w:styleId="866">
    <w:name w:val="Footer Char"/>
    <w:basedOn w:val="1008"/>
    <w:link w:val="1041"/>
    <w:uiPriority w:val="99"/>
  </w:style>
  <w:style w:type="character" w:styleId="867">
    <w:name w:val="Caption Char"/>
    <w:basedOn w:val="1018"/>
    <w:link w:val="1041"/>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8"/>
    <w:uiPriority w:val="99"/>
    <w:rPr>
      <w:sz w:val="18"/>
    </w:rPr>
  </w:style>
  <w:style w:type="character" w:styleId="994">
    <w:name w:val="Endnote Text Char"/>
    <w:link w:val="1038"/>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1"/>
    <w:qFormat/>
    <w:pPr>
      <w:ind w:left="1024"/>
      <w:jc w:val="both"/>
    </w:pPr>
    <w:rPr>
      <w:rFonts w:ascii="Calibri" w:hAnsi="Calibri"/>
    </w:rPr>
  </w:style>
  <w:style w:type="paragraph" w:styleId="999">
    <w:name w:val="Heading 1"/>
    <w:basedOn w:val="998"/>
    <w:next w:val="998"/>
    <w:qFormat/>
    <w:pPr>
      <w:ind w:left="432" w:firstLine="18"/>
      <w:spacing w:before="340" w:after="330" w:line="578" w:lineRule="auto"/>
      <w:outlineLvl w:val="0"/>
    </w:pPr>
  </w:style>
  <w:style w:type="paragraph" w:styleId="1000">
    <w:name w:val="Heading 2"/>
    <w:basedOn w:val="998"/>
    <w:next w:val="998"/>
    <w:qFormat/>
    <w:pPr>
      <w:ind w:left="576" w:firstLine="24"/>
      <w:spacing w:before="260" w:after="260" w:line="416" w:lineRule="auto"/>
      <w:outlineLvl w:val="1"/>
    </w:pPr>
    <w:rPr>
      <w:rFonts w:ascii="Times New Roman" w:hAnsi="Times New Roman" w:cs="Times New Roman"/>
    </w:rPr>
  </w:style>
  <w:style w:type="paragraph" w:styleId="1001">
    <w:name w:val="Heading 3"/>
    <w:basedOn w:val="998"/>
    <w:next w:val="1012"/>
    <w:qFormat/>
    <w:pPr>
      <w:ind w:left="720"/>
      <w:spacing w:before="260" w:after="260" w:line="416" w:lineRule="auto"/>
      <w:outlineLvl w:val="2"/>
    </w:pPr>
    <w:rPr>
      <w:rFonts w:ascii="Times New Roman" w:hAnsi="Times New Roman" w:cs="Times New Roman"/>
    </w:rPr>
  </w:style>
  <w:style w:type="paragraph" w:styleId="1002">
    <w:name w:val="Heading 4"/>
    <w:basedOn w:val="999"/>
    <w:next w:val="998"/>
    <w:qFormat/>
    <w:pPr>
      <w:ind w:left="864" w:firstLine="24"/>
      <w:spacing w:before="280" w:after="290" w:line="376" w:lineRule="auto"/>
      <w:outlineLvl w:val="3"/>
    </w:pPr>
    <w:rPr>
      <w:rFonts w:ascii="Times New Roman" w:hAnsi="Times New Roman" w:cs="Times New Roman"/>
    </w:rPr>
  </w:style>
  <w:style w:type="paragraph" w:styleId="1003">
    <w:name w:val="Heading 5"/>
    <w:basedOn w:val="999"/>
    <w:next w:val="998"/>
    <w:qFormat/>
    <w:pPr>
      <w:ind w:left="1008"/>
      <w:spacing w:before="280" w:after="290" w:line="376" w:lineRule="auto"/>
      <w:outlineLvl w:val="4"/>
    </w:pPr>
    <w:rPr>
      <w:rFonts w:ascii="Times New Roman" w:hAnsi="Times New Roman" w:cs="Times New Roman"/>
    </w:rPr>
  </w:style>
  <w:style w:type="paragraph" w:styleId="1004">
    <w:name w:val="Heading 6"/>
    <w:basedOn w:val="999"/>
    <w:next w:val="998"/>
    <w:qFormat/>
    <w:pPr>
      <w:ind w:left="1152" w:firstLine="20"/>
      <w:spacing w:before="240" w:after="64" w:line="320" w:lineRule="auto"/>
      <w:outlineLvl w:val="5"/>
    </w:pPr>
    <w:rPr>
      <w:rFonts w:ascii="Times New Roman" w:hAnsi="Times New Roman" w:cs="Times New Roman"/>
    </w:rPr>
  </w:style>
  <w:style w:type="paragraph" w:styleId="1005">
    <w:name w:val="Heading 7"/>
    <w:basedOn w:val="999"/>
    <w:next w:val="998"/>
    <w:qFormat/>
    <w:pPr>
      <w:ind w:left="1296" w:firstLine="14"/>
      <w:spacing w:before="240" w:after="64" w:line="320" w:lineRule="auto"/>
      <w:outlineLvl w:val="6"/>
    </w:pPr>
    <w:rPr>
      <w:rFonts w:ascii="Times New Roman" w:hAnsi="Times New Roman" w:cs="Times New Roman"/>
    </w:rPr>
  </w:style>
  <w:style w:type="paragraph" w:styleId="1006">
    <w:name w:val="Heading 8"/>
    <w:basedOn w:val="999"/>
    <w:next w:val="998"/>
    <w:qFormat/>
    <w:pPr>
      <w:ind w:left="1440"/>
      <w:spacing w:before="240" w:after="64" w:line="320" w:lineRule="auto"/>
      <w:outlineLvl w:val="7"/>
    </w:pPr>
    <w:rPr>
      <w:rFonts w:ascii="Times New Roman" w:hAnsi="Times New Roman" w:cs="Times New Roman"/>
    </w:rPr>
  </w:style>
  <w:style w:type="paragraph" w:styleId="1007">
    <w:name w:val="Heading 9"/>
    <w:basedOn w:val="999"/>
    <w:next w:val="998"/>
    <w:qFormat/>
    <w:pPr>
      <w:ind w:left="1584" w:firstLine="22"/>
      <w:spacing w:before="240" w:after="64" w:line="320" w:lineRule="auto"/>
      <w:outlineLvl w:val="8"/>
    </w:pPr>
    <w:rPr>
      <w:rFonts w:ascii="Times New Roman" w:hAnsi="Times New Roman" w:cs="Times New Roman"/>
    </w:rPr>
  </w:style>
  <w:style w:type="character" w:styleId="1008" w:default="1">
    <w:name w:val="Default Paragraph Font"/>
    <w:uiPriority w:val="1"/>
    <w:semiHidden/>
    <w:unhideWhenUsed/>
  </w:style>
  <w:style w:type="table" w:styleId="1009" w:default="1">
    <w:name w:val="Normal Table"/>
    <w:uiPriority w:val="99"/>
    <w:semiHidden/>
    <w:unhideWhenUsed/>
    <w:tblPr>
      <w:tblInd w:w="0" w:type="dxa"/>
      <w:tblCellMar>
        <w:left w:w="108" w:type="dxa"/>
        <w:top w:w="0" w:type="dxa"/>
        <w:right w:w="108" w:type="dxa"/>
        <w:bottom w:w="0" w:type="dxa"/>
      </w:tblCellMar>
    </w:tblPr>
  </w:style>
  <w:style w:type="numbering" w:styleId="1010" w:default="1">
    <w:name w:val="No List"/>
    <w:uiPriority w:val="99"/>
    <w:semiHidden/>
    <w:unhideWhenUsed/>
  </w:style>
  <w:style w:type="paragraph" w:styleId="1011">
    <w:name w:val="Body Text Indent"/>
    <w:basedOn w:val="998"/>
    <w:next w:val="998"/>
    <w:qFormat/>
    <w:pPr>
      <w:ind w:left="420" w:firstLine="1188"/>
      <w:spacing w:line="360" w:lineRule="exact"/>
    </w:pPr>
    <w:rPr>
      <w:rFonts w:ascii="Times New Roman" w:hAnsi="Times New Roman" w:cs="Times New Roman"/>
    </w:rPr>
  </w:style>
  <w:style w:type="paragraph" w:styleId="1012" w:customStyle="1">
    <w:name w:val="正文2"/>
    <w:basedOn w:val="998"/>
    <w:next w:val="998"/>
    <w:qFormat/>
    <w:pPr>
      <w:ind w:left="0" w:hanging="2155"/>
      <w:spacing w:line="360" w:lineRule="auto"/>
      <w:shd w:val="clear" w:color="auto" w:fill="ffffff"/>
    </w:pPr>
    <w:rPr>
      <w:rFonts w:ascii="宋体" w:hAnsi="宋体"/>
    </w:rPr>
  </w:style>
  <w:style w:type="paragraph" w:styleId="1013">
    <w:name w:val="toc 7"/>
    <w:basedOn w:val="999"/>
    <w:next w:val="998"/>
    <w:qFormat/>
    <w:pPr>
      <w:ind w:left="1640" w:firstLine="3784"/>
      <w:spacing w:before="0" w:after="0" w:line="360" w:lineRule="auto"/>
    </w:pPr>
    <w:rPr>
      <w:rFonts w:ascii="Times New Roman" w:hAnsi="Times New Roman" w:cs="Times New Roman"/>
    </w:rPr>
  </w:style>
  <w:style w:type="paragraph" w:styleId="1014">
    <w:name w:val="List Bullet 4"/>
    <w:basedOn w:val="999"/>
    <w:next w:val="1015"/>
    <w:qFormat/>
    <w:pPr>
      <w:ind w:left="1620" w:firstLine="2652"/>
      <w:spacing w:before="0" w:after="0" w:line="360" w:lineRule="auto"/>
    </w:pPr>
    <w:rPr>
      <w:rFonts w:ascii="Times New Roman" w:hAnsi="Times New Roman" w:cs="Times New Roman"/>
    </w:rPr>
  </w:style>
  <w:style w:type="paragraph" w:styleId="1015">
    <w:name w:val="List Bullet 2"/>
    <w:basedOn w:val="999"/>
    <w:next w:val="998"/>
    <w:qFormat/>
    <w:pPr>
      <w:ind w:left="900" w:firstLine="2652"/>
      <w:spacing w:before="0" w:after="0" w:line="360" w:lineRule="auto"/>
    </w:pPr>
    <w:rPr>
      <w:rFonts w:ascii="Times New Roman" w:hAnsi="Times New Roman" w:cs="Times New Roman"/>
    </w:rPr>
  </w:style>
  <w:style w:type="paragraph" w:styleId="1016">
    <w:name w:val="List Number"/>
    <w:basedOn w:val="999"/>
    <w:next w:val="998"/>
    <w:qFormat/>
    <w:pPr>
      <w:ind w:left="454" w:firstLine="2788"/>
      <w:spacing w:before="0" w:after="0" w:line="240" w:lineRule="auto"/>
    </w:pPr>
    <w:rPr>
      <w:rFonts w:ascii="Times New Roman" w:hAnsi="Times New Roman" w:cs="Times New Roman"/>
    </w:rPr>
  </w:style>
  <w:style w:type="paragraph" w:styleId="1017">
    <w:name w:val="Normal Indent"/>
    <w:basedOn w:val="998"/>
    <w:next w:val="998"/>
    <w:link w:val="1067"/>
    <w:qFormat/>
    <w:pPr>
      <w:ind w:left="420" w:firstLine="4772"/>
    </w:pPr>
  </w:style>
  <w:style w:type="paragraph" w:styleId="1018">
    <w:name w:val="Caption"/>
    <w:basedOn w:val="999"/>
    <w:next w:val="998"/>
    <w:qFormat/>
    <w:pPr>
      <w:ind w:left="200" w:firstLine="2248"/>
      <w:jc w:val="center"/>
      <w:spacing w:before="0" w:after="0" w:line="240" w:lineRule="auto"/>
    </w:pPr>
    <w:rPr>
      <w:rFonts w:ascii="Times New Roman" w:hAnsi="Times New Roman" w:cs="Times New Roman"/>
    </w:rPr>
  </w:style>
  <w:style w:type="paragraph" w:styleId="1019">
    <w:name w:val="List Bullet"/>
    <w:basedOn w:val="999"/>
    <w:next w:val="998"/>
    <w:qFormat/>
    <w:pPr>
      <w:ind w:left="900" w:firstLine="2652"/>
      <w:spacing w:before="0" w:after="0" w:line="360" w:lineRule="auto"/>
    </w:pPr>
    <w:rPr>
      <w:rFonts w:ascii="Times New Roman" w:hAnsi="Times New Roman" w:cs="Times New Roman"/>
    </w:rPr>
  </w:style>
  <w:style w:type="paragraph" w:styleId="1020">
    <w:name w:val="Document Map"/>
    <w:basedOn w:val="999"/>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998"/>
    <w:qFormat/>
    <w:pPr>
      <w:ind w:firstLine="4608"/>
      <w:spacing w:line="360" w:lineRule="auto"/>
    </w:pPr>
    <w:rPr>
      <w:rFonts w:ascii="Calibri" w:hAnsi="Calibri"/>
    </w:rPr>
  </w:style>
  <w:style w:type="paragraph" w:styleId="1022">
    <w:name w:val="annotation text"/>
    <w:basedOn w:val="999"/>
    <w:next w:val="998"/>
    <w:qFormat/>
    <w:pPr>
      <w:ind w:left="0" w:firstLine="3584"/>
      <w:spacing w:before="0" w:after="0" w:line="360" w:lineRule="auto"/>
    </w:pPr>
    <w:rPr>
      <w:rFonts w:ascii="Times New Roman" w:hAnsi="Times New Roman" w:cs="Times New Roman"/>
    </w:rPr>
  </w:style>
  <w:style w:type="paragraph" w:styleId="1023">
    <w:name w:val="Body Text 3"/>
    <w:basedOn w:val="999"/>
    <w:next w:val="998"/>
    <w:qFormat/>
    <w:pPr>
      <w:ind w:left="0" w:firstLine="2048"/>
      <w:spacing w:before="0" w:after="0" w:line="500" w:lineRule="exact"/>
    </w:pPr>
    <w:rPr>
      <w:rFonts w:ascii="Times New Roman" w:hAnsi="Times New Roman" w:cs="Times New Roman"/>
    </w:rPr>
  </w:style>
  <w:style w:type="paragraph" w:styleId="1024">
    <w:name w:val="List Bullet 3"/>
    <w:basedOn w:val="999"/>
    <w:next w:val="998"/>
    <w:qFormat/>
    <w:pPr>
      <w:ind w:left="900" w:firstLine="2652"/>
      <w:spacing w:before="0" w:after="0" w:line="360" w:lineRule="auto"/>
    </w:pPr>
    <w:rPr>
      <w:rFonts w:ascii="Times New Roman" w:hAnsi="Times New Roman" w:cs="Times New Roman"/>
    </w:rPr>
  </w:style>
  <w:style w:type="paragraph" w:styleId="1025">
    <w:name w:val="Body Text"/>
    <w:basedOn w:val="998"/>
    <w:next w:val="998"/>
    <w:qFormat/>
    <w:pPr>
      <w:ind w:left="0" w:firstLine="2560"/>
    </w:pPr>
    <w:rPr>
      <w:rFonts w:ascii="Times New Roman" w:hAnsi="Times New Roman" w:cs="Times New Roman"/>
    </w:rPr>
  </w:style>
  <w:style w:type="paragraph" w:styleId="1026">
    <w:name w:val="List Number 3"/>
    <w:basedOn w:val="999"/>
    <w:next w:val="998"/>
    <w:qFormat/>
    <w:pPr>
      <w:ind w:left="420" w:firstLine="3584"/>
      <w:spacing w:before="0" w:after="0" w:line="240" w:lineRule="auto"/>
    </w:pPr>
    <w:rPr>
      <w:rFonts w:ascii="Times New Roman" w:hAnsi="Times New Roman" w:cs="Times New Roman"/>
    </w:rPr>
  </w:style>
  <w:style w:type="paragraph" w:styleId="1027">
    <w:name w:val="List 2"/>
    <w:basedOn w:val="999"/>
    <w:next w:val="1013"/>
    <w:qFormat/>
    <w:pPr>
      <w:ind w:left="100" w:firstLine="3640"/>
      <w:spacing w:before="0" w:after="0" w:line="240" w:lineRule="auto"/>
    </w:pPr>
    <w:rPr>
      <w:rFonts w:ascii="Times New Roman" w:hAnsi="Times New Roman" w:cs="Times New Roman"/>
    </w:rPr>
  </w:style>
  <w:style w:type="paragraph" w:styleId="1028">
    <w:name w:val="Block Text"/>
    <w:basedOn w:val="999"/>
    <w:next w:val="998"/>
    <w:qFormat/>
    <w:pPr>
      <w:ind w:left="420" w:right="33" w:firstLine="2560"/>
      <w:spacing w:before="0" w:after="0" w:line="240" w:lineRule="auto"/>
    </w:pPr>
    <w:rPr>
      <w:rFonts w:ascii="Times New Roman" w:hAnsi="Times New Roman" w:cs="Times New Roman"/>
    </w:rPr>
  </w:style>
  <w:style w:type="paragraph" w:styleId="1029">
    <w:name w:val="toc 5"/>
    <w:basedOn w:val="999"/>
    <w:next w:val="998"/>
    <w:qFormat/>
    <w:pPr>
      <w:ind w:left="1160" w:firstLine="3784"/>
      <w:spacing w:before="0" w:after="0" w:line="360" w:lineRule="auto"/>
    </w:pPr>
    <w:rPr>
      <w:rFonts w:ascii="Times New Roman" w:hAnsi="Times New Roman" w:cs="Times New Roman"/>
    </w:rPr>
  </w:style>
  <w:style w:type="paragraph" w:styleId="1030">
    <w:name w:val="toc 3"/>
    <w:basedOn w:val="999"/>
    <w:next w:val="998"/>
    <w:qFormat/>
    <w:pPr>
      <w:ind w:left="0" w:firstLine="1024"/>
      <w:spacing w:before="0" w:after="0" w:line="360" w:lineRule="auto"/>
    </w:pPr>
    <w:rPr>
      <w:rFonts w:ascii="Times New Roman" w:hAnsi="Times New Roman" w:cs="Times New Roman"/>
    </w:rPr>
  </w:style>
  <w:style w:type="paragraph" w:styleId="1031">
    <w:name w:val="Plain Text"/>
    <w:basedOn w:val="999"/>
    <w:next w:val="1032"/>
    <w:qFormat/>
    <w:pPr>
      <w:ind w:left="0" w:firstLine="2048"/>
      <w:spacing w:before="0" w:after="0" w:line="240" w:lineRule="auto"/>
    </w:pPr>
    <w:rPr>
      <w:rFonts w:ascii="Times New Roman" w:hAnsi="Times New Roman" w:cs="Times New Roman"/>
    </w:rPr>
  </w:style>
  <w:style w:type="paragraph" w:styleId="1032">
    <w:name w:val="toc 1"/>
    <w:basedOn w:val="999"/>
    <w:next w:val="998"/>
    <w:uiPriority w:val="39"/>
    <w:qFormat/>
    <w:pPr>
      <w:ind w:left="0" w:firstLine="4608"/>
      <w:spacing w:before="0" w:after="0" w:line="240" w:lineRule="auto"/>
    </w:pPr>
    <w:rPr>
      <w:rFonts w:ascii="Times New Roman" w:hAnsi="Times New Roman" w:cs="Times New Roman"/>
    </w:rPr>
  </w:style>
  <w:style w:type="paragraph" w:styleId="1033">
    <w:name w:val="List Bullet 5"/>
    <w:basedOn w:val="999"/>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rPr>
  </w:style>
  <w:style w:type="paragraph" w:styleId="1035">
    <w:name w:val="toc 8"/>
    <w:basedOn w:val="999"/>
    <w:next w:val="998"/>
    <w:qFormat/>
    <w:pPr>
      <w:ind w:left="1880" w:firstLine="3784"/>
      <w:spacing w:before="0" w:after="0" w:line="360" w:lineRule="auto"/>
    </w:pPr>
    <w:rPr>
      <w:rFonts w:ascii="Times New Roman" w:hAnsi="Times New Roman" w:cs="Times New Roman"/>
    </w:rPr>
  </w:style>
  <w:style w:type="paragraph" w:styleId="1036">
    <w:name w:val="Date"/>
    <w:basedOn w:val="999"/>
    <w:next w:val="998"/>
    <w:qFormat/>
    <w:pPr>
      <w:ind w:left="0" w:firstLine="2560"/>
      <w:spacing w:before="0" w:after="0" w:line="240" w:lineRule="auto"/>
    </w:pPr>
    <w:rPr>
      <w:rFonts w:ascii="Times New Roman" w:hAnsi="Times New Roman" w:cs="Times New Roman"/>
    </w:rPr>
  </w:style>
  <w:style w:type="paragraph" w:styleId="1037">
    <w:name w:val="Body Text Indent 2"/>
    <w:basedOn w:val="999"/>
    <w:next w:val="1011"/>
    <w:qFormat/>
    <w:pPr>
      <w:ind w:left="481" w:firstLine="2784"/>
      <w:spacing w:before="0" w:after="0" w:line="400" w:lineRule="exact"/>
    </w:pPr>
    <w:rPr>
      <w:rFonts w:ascii="Times New Roman" w:hAnsi="Times New Roman" w:cs="Times New Roman"/>
    </w:rPr>
  </w:style>
  <w:style w:type="paragraph" w:styleId="1038">
    <w:name w:val="endnote text"/>
    <w:basedOn w:val="999"/>
    <w:next w:val="1039"/>
    <w:qFormat/>
    <w:pPr>
      <w:ind w:left="0" w:firstLine="2560"/>
      <w:spacing w:before="0" w:after="0" w:line="360" w:lineRule="auto"/>
    </w:pPr>
    <w:rPr>
      <w:rFonts w:ascii="Times New Roman" w:hAnsi="Times New Roman" w:cs="Times New Roman"/>
    </w:rPr>
  </w:style>
  <w:style w:type="paragraph" w:styleId="1039" w:customStyle="1">
    <w:name w:val="Char11"/>
    <w:basedOn w:val="999"/>
    <w:next w:val="998"/>
    <w:qFormat/>
    <w:pPr>
      <w:ind w:left="0" w:firstLine="3584"/>
      <w:spacing w:before="0" w:after="0" w:line="240" w:lineRule="auto"/>
    </w:pPr>
    <w:rPr>
      <w:rFonts w:ascii="Times New Roman" w:hAnsi="Times New Roman" w:cs="Times New Roman"/>
    </w:rPr>
  </w:style>
  <w:style w:type="paragraph" w:styleId="1040">
    <w:name w:val="Balloon Text"/>
    <w:basedOn w:val="999"/>
    <w:next w:val="1016"/>
    <w:qFormat/>
    <w:pPr>
      <w:ind w:left="0" w:firstLine="2048"/>
      <w:spacing w:before="0" w:after="0" w:line="240" w:lineRule="auto"/>
    </w:pPr>
    <w:rPr>
      <w:rFonts w:ascii="Times New Roman" w:hAnsi="Times New Roman" w:cs="Times New Roman"/>
    </w:rPr>
  </w:style>
  <w:style w:type="paragraph" w:styleId="1041">
    <w:name w:val="Footer"/>
    <w:basedOn w:val="998"/>
    <w:next w:val="1042"/>
    <w:link w:val="1068"/>
    <w:qFormat/>
    <w:pPr>
      <w:ind w:left="0" w:firstLine="3584"/>
    </w:pPr>
  </w:style>
  <w:style w:type="paragraph" w:styleId="1042" w:customStyle="1">
    <w:name w:val="Char Char Char Char Char Char Char Char Char Char Char Char Char"/>
    <w:basedOn w:val="999"/>
    <w:next w:val="998"/>
    <w:qFormat/>
    <w:pPr>
      <w:ind w:left="0" w:firstLine="3584"/>
      <w:spacing w:before="0" w:after="160" w:line="240" w:lineRule="exact"/>
    </w:pPr>
    <w:rPr>
      <w:rFonts w:ascii="Times New Roman" w:hAnsi="Times New Roman" w:cs="Times New Roman"/>
    </w:rPr>
  </w:style>
  <w:style w:type="paragraph" w:styleId="1043">
    <w:name w:val="Header"/>
    <w:basedOn w:val="999"/>
    <w:next w:val="1036"/>
    <w:link w:val="1069"/>
    <w:qFormat/>
    <w:pPr>
      <w:ind w:left="0" w:firstLine="3584"/>
      <w:jc w:val="center"/>
      <w:spacing w:before="0" w:after="0" w:line="240" w:lineRule="auto"/>
    </w:pPr>
  </w:style>
  <w:style w:type="paragraph" w:styleId="1044">
    <w:name w:val="toc 4"/>
    <w:basedOn w:val="999"/>
    <w:next w:val="998"/>
    <w:qFormat/>
    <w:pPr>
      <w:ind w:left="1260" w:firstLine="1024"/>
      <w:spacing w:before="0" w:after="0" w:line="240" w:lineRule="auto"/>
    </w:pPr>
    <w:rPr>
      <w:rFonts w:ascii="Times New Roman" w:hAnsi="Times New Roman" w:cs="Times New Roman"/>
    </w:rPr>
  </w:style>
  <w:style w:type="paragraph" w:styleId="1045">
    <w:name w:val="Subtitle"/>
    <w:next w:val="998"/>
    <w:qFormat/>
    <w:pPr>
      <w:ind w:left="1024"/>
      <w:jc w:val="center"/>
      <w:spacing w:after="60"/>
    </w:pPr>
    <w:rPr>
      <w:rFonts w:ascii="Calibri" w:hAnsi="Calibri"/>
    </w:rPr>
  </w:style>
  <w:style w:type="paragraph" w:styleId="1046">
    <w:name w:val="List"/>
    <w:basedOn w:val="999"/>
    <w:next w:val="1047"/>
    <w:qFormat/>
    <w:pPr>
      <w:ind w:left="200" w:firstLine="3640"/>
      <w:spacing w:before="0" w:after="0" w:line="240" w:lineRule="auto"/>
    </w:pPr>
    <w:rPr>
      <w:rFonts w:ascii="Times New Roman" w:hAnsi="Times New Roman" w:cs="Times New Roman"/>
    </w:rPr>
  </w:style>
  <w:style w:type="paragraph" w:styleId="1047">
    <w:name w:val="Body Text First Indent"/>
    <w:next w:val="998"/>
    <w:qFormat/>
    <w:pPr>
      <w:ind w:left="420" w:firstLine="3748"/>
      <w:spacing w:after="120"/>
    </w:pPr>
    <w:rPr>
      <w:rFonts w:ascii="Calibri" w:hAnsi="Calibri"/>
    </w:rPr>
  </w:style>
  <w:style w:type="paragraph" w:styleId="1048">
    <w:name w:val="footnote text"/>
    <w:basedOn w:val="999"/>
    <w:next w:val="1028"/>
    <w:qFormat/>
    <w:pPr>
      <w:ind w:left="0" w:firstLine="3584"/>
      <w:spacing w:before="0" w:after="0" w:line="360" w:lineRule="auto"/>
    </w:pPr>
    <w:rPr>
      <w:rFonts w:ascii="Times New Roman" w:hAnsi="Times New Roman" w:cs="Times New Roman"/>
    </w:rPr>
  </w:style>
  <w:style w:type="paragraph" w:styleId="1049">
    <w:name w:val="toc 6"/>
    <w:basedOn w:val="999"/>
    <w:next w:val="998"/>
    <w:qFormat/>
    <w:pPr>
      <w:ind w:left="1400" w:firstLine="3784"/>
      <w:spacing w:before="0" w:after="0" w:line="360" w:lineRule="auto"/>
    </w:pPr>
    <w:rPr>
      <w:rFonts w:ascii="Times New Roman" w:hAnsi="Times New Roman" w:cs="Times New Roman"/>
    </w:rPr>
  </w:style>
  <w:style w:type="paragraph" w:styleId="1050">
    <w:name w:val="List 5"/>
    <w:basedOn w:val="999"/>
    <w:next w:val="1025"/>
    <w:qFormat/>
    <w:pPr>
      <w:ind w:left="2100" w:firstLine="3676"/>
      <w:spacing w:before="0" w:after="0" w:line="240" w:lineRule="auto"/>
    </w:pPr>
    <w:rPr>
      <w:rFonts w:ascii="Times New Roman" w:hAnsi="Times New Roman" w:cs="Times New Roman"/>
    </w:rPr>
  </w:style>
  <w:style w:type="paragraph" w:styleId="1051">
    <w:name w:val="Body Text Indent 3"/>
    <w:basedOn w:val="999"/>
    <w:next w:val="1049"/>
    <w:qFormat/>
    <w:pPr>
      <w:ind w:left="480" w:firstLine="2784"/>
      <w:spacing w:before="0" w:after="0" w:line="400" w:lineRule="exact"/>
    </w:pPr>
    <w:rPr>
      <w:rFonts w:ascii="Times New Roman" w:hAnsi="Times New Roman" w:cs="Times New Roman"/>
    </w:rPr>
  </w:style>
  <w:style w:type="paragraph" w:styleId="1052">
    <w:name w:val="toc 2"/>
    <w:basedOn w:val="999"/>
    <w:next w:val="998"/>
    <w:qFormat/>
    <w:pPr>
      <w:ind w:left="0" w:firstLine="1024"/>
      <w:spacing w:before="0" w:after="0" w:line="360" w:lineRule="auto"/>
    </w:pPr>
    <w:rPr>
      <w:rFonts w:ascii="Times New Roman" w:hAnsi="Times New Roman" w:cs="Times New Roman"/>
    </w:rPr>
  </w:style>
  <w:style w:type="paragraph" w:styleId="1053">
    <w:name w:val="toc 9"/>
    <w:basedOn w:val="999"/>
    <w:next w:val="998"/>
    <w:qFormat/>
    <w:pPr>
      <w:ind w:left="2120" w:firstLine="3784"/>
      <w:spacing w:before="0" w:after="0" w:line="360" w:lineRule="auto"/>
    </w:pPr>
    <w:rPr>
      <w:rFonts w:ascii="Times New Roman" w:hAnsi="Times New Roman" w:cs="Times New Roman"/>
    </w:rPr>
  </w:style>
  <w:style w:type="paragraph" w:styleId="1054">
    <w:name w:val="Body Text 2"/>
    <w:basedOn w:val="999"/>
    <w:next w:val="1019"/>
    <w:qFormat/>
    <w:pPr>
      <w:ind w:left="0" w:firstLine="1024"/>
      <w:spacing w:before="0" w:after="120" w:line="480" w:lineRule="auto"/>
    </w:pPr>
    <w:rPr>
      <w:rFonts w:ascii="Times New Roman" w:hAnsi="Times New Roman" w:cs="Times New Roman"/>
    </w:rPr>
  </w:style>
  <w:style w:type="paragraph" w:styleId="1055">
    <w:name w:val="HTML Preformatted"/>
    <w:basedOn w:val="999"/>
    <w:next w:val="1018"/>
    <w:qFormat/>
    <w:pPr>
      <w:ind w:left="0" w:firstLine="2048"/>
      <w:spacing w:before="0" w:after="0" w:line="253" w:lineRule="atLeast"/>
    </w:pPr>
    <w:rPr>
      <w:rFonts w:ascii="Times New Roman" w:hAnsi="Times New Roman" w:cs="Times New Roman"/>
    </w:rPr>
  </w:style>
  <w:style w:type="paragraph" w:styleId="1056">
    <w:name w:val="Normal (Web)"/>
    <w:basedOn w:val="998"/>
    <w:next w:val="1027"/>
    <w:qFormat/>
    <w:pPr>
      <w:ind w:left="15" w:right="15" w:firstLine="4608"/>
      <w:spacing w:before="60" w:after="60" w:line="312" w:lineRule="auto"/>
    </w:pPr>
    <w:rPr>
      <w:rFonts w:ascii="Times New Roman" w:hAnsi="Times New Roman" w:cs="Times New Roman"/>
    </w:rPr>
  </w:style>
  <w:style w:type="paragraph" w:styleId="1057">
    <w:name w:val="index 1"/>
    <w:basedOn w:val="999"/>
    <w:next w:val="998"/>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999"/>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1005"/>
    <w:next w:val="998"/>
    <w:qFormat/>
    <w:pPr>
      <w:ind w:left="1134" w:firstLine="20"/>
      <w:spacing w:before="280" w:after="280" w:line="360" w:lineRule="auto"/>
      <w:outlineLvl w:val="5"/>
    </w:pPr>
  </w:style>
  <w:style w:type="paragraph" w:styleId="1181" w:customStyle="1">
    <w:name w:val="正文段"/>
    <w:basedOn w:val="999"/>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998"/>
    <w:qFormat/>
    <w:pPr>
      <w:ind w:left="200" w:firstLine="4808"/>
      <w:spacing w:line="360" w:lineRule="auto"/>
    </w:pPr>
    <w:rPr>
      <w:rFonts w:ascii="Calibri" w:hAnsi="Calibri"/>
    </w:rPr>
  </w:style>
  <w:style w:type="paragraph" w:styleId="1183" w:customStyle="1">
    <w:name w:val="_Style 224"/>
    <w:next w:val="1184"/>
    <w:qFormat/>
    <w:pPr>
      <w:ind w:firstLine="3584"/>
    </w:pPr>
    <w:rPr>
      <w:rFonts w:ascii="Calibri" w:hAnsi="Calibri"/>
    </w:rPr>
  </w:style>
  <w:style w:type="paragraph" w:styleId="1184" w:customStyle="1">
    <w:name w:val="编号1"/>
    <w:basedOn w:val="999"/>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999"/>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rPr>
  </w:style>
  <w:style w:type="paragraph" w:styleId="1187" w:customStyle="1">
    <w:name w:val="图注"/>
    <w:next w:val="1188"/>
    <w:qFormat/>
    <w:pPr>
      <w:ind w:left="360" w:firstLine="2152"/>
      <w:jc w:val="center"/>
    </w:pPr>
    <w:rPr>
      <w:rFonts w:ascii="Calibri" w:hAnsi="Calibri"/>
    </w:rPr>
  </w:style>
  <w:style w:type="paragraph" w:styleId="1188" w:customStyle="1">
    <w:name w:val="列表编号 41"/>
    <w:basedOn w:val="999"/>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999"/>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rPr>
  </w:style>
  <w:style w:type="paragraph" w:styleId="1191" w:customStyle="1">
    <w:name w:val="Item Step in Table"/>
    <w:next w:val="1192"/>
    <w:qFormat/>
    <w:pPr>
      <w:ind w:left="397" w:firstLine="3699"/>
      <w:jc w:val="both"/>
      <w:spacing w:before="40" w:after="40"/>
    </w:pPr>
    <w:rPr>
      <w:rFonts w:ascii="Calibri" w:hAnsi="Calibri"/>
    </w:rPr>
  </w:style>
  <w:style w:type="paragraph" w:styleId="1192" w:customStyle="1">
    <w:name w:val="Char Char Char Char Char Char1 Char Char Char Char Char Char"/>
    <w:basedOn w:val="999"/>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999"/>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1002"/>
    <w:next w:val="1057"/>
    <w:qFormat/>
    <w:pPr>
      <w:ind w:left="200" w:firstLine="18"/>
      <w:spacing w:before="0" w:after="0" w:line="360" w:lineRule="auto"/>
      <w:outlineLvl w:val="2"/>
    </w:pPr>
  </w:style>
  <w:style w:type="paragraph" w:styleId="1195" w:customStyle="1">
    <w:name w:val="xl76"/>
    <w:basedOn w:val="999"/>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999"/>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999"/>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999"/>
    <w:next w:val="1199"/>
    <w:qFormat/>
    <w:pPr>
      <w:ind w:left="0" w:firstLine="3584"/>
      <w:spacing w:before="0" w:after="0" w:line="240" w:lineRule="auto"/>
    </w:pPr>
    <w:rPr>
      <w:rFonts w:ascii="Times New Roman" w:hAnsi="Times New Roman" w:cs="Times New Roman"/>
    </w:rPr>
  </w:style>
  <w:style w:type="paragraph" w:styleId="1199" w:customStyle="1">
    <w:name w:val="xl69"/>
    <w:basedOn w:val="999"/>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999"/>
    <w:next w:val="1201"/>
    <w:qFormat/>
    <w:pPr>
      <w:ind w:left="0" w:firstLine="2560"/>
      <w:spacing w:before="0" w:after="0" w:line="240" w:lineRule="auto"/>
    </w:pPr>
    <w:rPr>
      <w:rFonts w:ascii="Times New Roman" w:hAnsi="Times New Roman" w:cs="Times New Roman"/>
    </w:rPr>
  </w:style>
  <w:style w:type="paragraph" w:styleId="1201" w:customStyle="1">
    <w:name w:val="表格"/>
    <w:basedOn w:val="999"/>
    <w:next w:val="1196"/>
    <w:qFormat/>
    <w:pPr>
      <w:ind w:left="0" w:firstLine="2560"/>
      <w:spacing w:before="0" w:after="0" w:line="360" w:lineRule="auto"/>
    </w:pPr>
    <w:rPr>
      <w:rFonts w:ascii="Times New Roman" w:hAnsi="Times New Roman" w:cs="Times New Roman"/>
    </w:rPr>
  </w:style>
  <w:style w:type="paragraph" w:styleId="1202" w:customStyle="1">
    <w:name w:val="xl68"/>
    <w:basedOn w:val="999"/>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999"/>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999"/>
    <w:next w:val="1205"/>
    <w:qFormat/>
    <w:pPr>
      <w:ind w:left="437" w:firstLine="2741"/>
      <w:spacing w:before="0" w:after="0" w:line="360" w:lineRule="auto"/>
    </w:pPr>
    <w:rPr>
      <w:rFonts w:ascii="Times New Roman" w:hAnsi="Times New Roman" w:cs="Times New Roman"/>
    </w:rPr>
  </w:style>
  <w:style w:type="paragraph" w:styleId="1205" w:customStyle="1">
    <w:name w:val="xl74"/>
    <w:basedOn w:val="999"/>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999"/>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999"/>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1004"/>
    <w:next w:val="998"/>
    <w:qFormat/>
    <w:pPr>
      <w:ind w:left="992" w:firstLine="18"/>
      <w:spacing w:before="280" w:after="280" w:line="360" w:lineRule="auto"/>
      <w:outlineLvl w:val="4"/>
    </w:pPr>
  </w:style>
  <w:style w:type="paragraph" w:styleId="1209" w:customStyle="1">
    <w:name w:val="样式 加粗 居中"/>
    <w:basedOn w:val="999"/>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rPr>
  </w:style>
  <w:style w:type="paragraph" w:styleId="1211" w:customStyle="1">
    <w:name w:val="正文文本缩进1"/>
    <w:basedOn w:val="999"/>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999"/>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999"/>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999"/>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999"/>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999"/>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999"/>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rPr>
  </w:style>
  <w:style w:type="paragraph" w:styleId="1219" w:customStyle="1">
    <w:name w:val="xl65"/>
    <w:basedOn w:val="999"/>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style>
  <w:style w:type="paragraph" w:styleId="1221" w:customStyle="1">
    <w:name w:val="xl77"/>
    <w:basedOn w:val="999"/>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999"/>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999"/>
    <w:next w:val="998"/>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rPr>
  </w:style>
  <w:style w:type="paragraph" w:styleId="1225" w:customStyle="1">
    <w:name w:val="xl28"/>
    <w:basedOn w:val="999"/>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999"/>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999"/>
    <w:next w:val="998"/>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rPr>
  </w:style>
  <w:style w:type="paragraph" w:styleId="1229" w:customStyle="1">
    <w:name w:val="xl84"/>
    <w:basedOn w:val="999"/>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1001"/>
    <w:next w:val="1231"/>
    <w:qFormat/>
    <w:pPr>
      <w:ind w:left="0" w:firstLine="24"/>
      <w:jc w:val="center"/>
      <w:spacing w:before="0" w:after="0" w:line="360" w:lineRule="auto"/>
      <w:outlineLvl w:val="1"/>
    </w:pPr>
  </w:style>
  <w:style w:type="paragraph" w:styleId="1231" w:customStyle="1">
    <w:name w:val="应答文本"/>
    <w:basedOn w:val="999"/>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999"/>
    <w:next w:val="998"/>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998"/>
    <w:qFormat/>
    <w:pPr>
      <w:ind w:firstLine="480"/>
    </w:pPr>
    <w:rPr>
      <w:rFonts w:ascii="Times New Roman" w:hAnsi="Times New Roman" w:cs="Times New Roman"/>
      <w:lang w:val="zh-CN"/>
    </w:rPr>
  </w:style>
  <w:style w:type="paragraph" w:styleId="1234" w:customStyle="1">
    <w:name w:val="font9"/>
    <w:basedOn w:val="999"/>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1002"/>
    <w:next w:val="1236"/>
    <w:qFormat/>
    <w:pPr>
      <w:ind w:left="0"/>
      <w:spacing w:before="0" w:after="0" w:line="400" w:lineRule="exact"/>
      <w:outlineLvl w:val="2"/>
    </w:pPr>
  </w:style>
  <w:style w:type="paragraph" w:styleId="1236" w:customStyle="1">
    <w:name w:val="标书正文"/>
    <w:basedOn w:val="999"/>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999"/>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999"/>
    <w:next w:val="998"/>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999"/>
    <w:next w:val="998"/>
    <w:qFormat/>
    <w:pPr>
      <w:ind w:left="419" w:firstLine="5283"/>
      <w:spacing w:before="0" w:after="0" w:line="317" w:lineRule="atLeast"/>
    </w:pPr>
    <w:rPr>
      <w:rFonts w:ascii="Times New Roman" w:hAnsi="Times New Roman" w:cs="Times New Roman"/>
    </w:rPr>
  </w:style>
  <w:style w:type="paragraph" w:styleId="1240" w:customStyle="1">
    <w:name w:val="xl90"/>
    <w:basedOn w:val="999"/>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rPr>
  </w:style>
  <w:style w:type="paragraph" w:styleId="1242" w:customStyle="1">
    <w:name w:val="1ji"/>
    <w:basedOn w:val="1000"/>
    <w:next w:val="1221"/>
    <w:qFormat/>
    <w:pPr>
      <w:ind w:left="0" w:firstLine="18"/>
      <w:jc w:val="center"/>
      <w:spacing w:before="0" w:after="0" w:line="240" w:lineRule="auto"/>
      <w:outlineLvl w:val="0"/>
    </w:pPr>
  </w:style>
  <w:style w:type="paragraph" w:styleId="1243" w:customStyle="1">
    <w:name w:val="索引 81"/>
    <w:basedOn w:val="999"/>
    <w:next w:val="998"/>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998"/>
    <w:next w:val="998"/>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999"/>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999"/>
    <w:next w:val="1247"/>
    <w:pPr>
      <w:ind w:left="0" w:firstLine="2560"/>
      <w:jc w:val="center"/>
      <w:spacing w:before="0" w:after="0" w:line="360" w:lineRule="auto"/>
    </w:pPr>
    <w:rPr>
      <w:rFonts w:ascii="Times New Roman" w:hAnsi="Times New Roman" w:cs="Times New Roman"/>
    </w:rPr>
  </w:style>
  <w:style w:type="paragraph" w:styleId="1247" w:customStyle="1">
    <w:name w:val="xl89"/>
    <w:basedOn w:val="99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999"/>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999"/>
    <w:next w:val="999"/>
    <w:qFormat/>
    <w:pPr>
      <w:ind w:left="0" w:firstLine="5120"/>
      <w:jc w:val="center"/>
      <w:spacing w:before="187" w:after="175" w:line="374" w:lineRule="atLeast"/>
    </w:pPr>
    <w:rPr>
      <w:rFonts w:ascii="Times New Roman" w:hAnsi="Times New Roman" w:cs="Times New Roman"/>
    </w:rPr>
  </w:style>
  <w:style w:type="paragraph" w:styleId="1250">
    <w:name w:val="Quote"/>
    <w:next w:val="998"/>
    <w:qFormat/>
    <w:pPr>
      <w:ind w:left="3680" w:right="864"/>
      <w:jc w:val="center"/>
      <w:spacing w:before="200" w:after="160"/>
    </w:pPr>
    <w:rPr>
      <w:rFonts w:ascii="Calibri" w:hAnsi="Calibri"/>
      <w:i/>
    </w:rPr>
  </w:style>
  <w:style w:type="paragraph" w:styleId="1251" w:customStyle="1">
    <w:name w:val="Default Paragraph Font Para Char Char Char Char Char Char"/>
    <w:basedOn w:val="999"/>
    <w:next w:val="1252"/>
    <w:qFormat/>
    <w:pPr>
      <w:ind w:left="0" w:firstLine="3584"/>
      <w:spacing w:before="0" w:after="160" w:line="240" w:lineRule="exact"/>
    </w:pPr>
    <w:rPr>
      <w:rFonts w:ascii="Times New Roman" w:hAnsi="Times New Roman" w:cs="Times New Roman"/>
    </w:rPr>
  </w:style>
  <w:style w:type="paragraph" w:styleId="1252" w:customStyle="1">
    <w:name w:val="xl23"/>
    <w:basedOn w:val="999"/>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999"/>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1001"/>
    <w:next w:val="1255"/>
    <w:qFormat/>
    <w:pPr>
      <w:ind w:left="0" w:firstLine="24"/>
      <w:jc w:val="center"/>
      <w:spacing w:line="412" w:lineRule="auto"/>
      <w:outlineLvl w:val="1"/>
    </w:pPr>
  </w:style>
  <w:style w:type="paragraph" w:styleId="1255" w:customStyle="1">
    <w:name w:val="页脚 Char Char"/>
    <w:basedOn w:val="999"/>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1000"/>
    <w:next w:val="1257"/>
    <w:qFormat/>
    <w:pPr>
      <w:ind w:left="0" w:firstLine="18"/>
      <w:jc w:val="center"/>
      <w:spacing w:before="120" w:after="0" w:line="360" w:lineRule="auto"/>
      <w:outlineLvl w:val="0"/>
    </w:pPr>
  </w:style>
  <w:style w:type="paragraph" w:styleId="1257" w:customStyle="1">
    <w:name w:val="Char1 Char Char Char Char Char Char"/>
    <w:basedOn w:val="999"/>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1003"/>
    <w:next w:val="998"/>
    <w:qFormat/>
    <w:pPr>
      <w:ind w:left="851" w:firstLine="30"/>
      <w:spacing w:after="280" w:line="360" w:lineRule="auto"/>
      <w:outlineLvl w:val="3"/>
    </w:pPr>
  </w:style>
  <w:style w:type="paragraph" w:styleId="1259" w:customStyle="1">
    <w:name w:val="font0"/>
    <w:basedOn w:val="999"/>
    <w:next w:val="1234"/>
    <w:qFormat/>
    <w:pPr>
      <w:ind w:left="0" w:firstLine="1024"/>
      <w:spacing w:before="280" w:after="280" w:line="240" w:lineRule="auto"/>
    </w:pPr>
    <w:rPr>
      <w:rFonts w:ascii="Times New Roman" w:hAnsi="Times New Roman" w:cs="Times New Roman"/>
    </w:rPr>
  </w:style>
  <w:style w:type="paragraph" w:styleId="1260" w:customStyle="1">
    <w:name w:val="CM5"/>
    <w:basedOn w:val="999"/>
    <w:next w:val="998"/>
    <w:qFormat/>
    <w:pPr>
      <w:ind w:left="200" w:firstLine="2760"/>
      <w:spacing w:before="0" w:after="0" w:line="400" w:lineRule="atLeast"/>
    </w:pPr>
    <w:rPr>
      <w:rFonts w:ascii="Times New Roman" w:hAnsi="Times New Roman" w:cs="Times New Roman"/>
    </w:rPr>
  </w:style>
  <w:style w:type="paragraph" w:styleId="1261" w:customStyle="1">
    <w:name w:val="Pa0"/>
    <w:basedOn w:val="999"/>
    <w:next w:val="998"/>
    <w:qFormat/>
    <w:pPr>
      <w:ind w:left="0" w:firstLine="4608"/>
      <w:spacing w:before="0" w:after="0" w:line="241" w:lineRule="atLeast"/>
    </w:pPr>
    <w:rPr>
      <w:rFonts w:ascii="Times New Roman" w:hAnsi="Times New Roman" w:cs="Times New Roman"/>
    </w:rPr>
  </w:style>
  <w:style w:type="paragraph" w:styleId="1262" w:customStyle="1">
    <w:name w:val="招标文件》"/>
    <w:basedOn w:val="999"/>
    <w:next w:val="1198"/>
    <w:qFormat/>
    <w:pPr>
      <w:ind w:left="420" w:firstLine="2140"/>
      <w:spacing w:before="120" w:after="120" w:line="300" w:lineRule="auto"/>
    </w:pPr>
    <w:rPr>
      <w:rFonts w:ascii="Times New Roman" w:hAnsi="Times New Roman" w:cs="Times New Roman"/>
    </w:rPr>
  </w:style>
  <w:style w:type="paragraph" w:styleId="1263" w:customStyle="1">
    <w:name w:val="段"/>
    <w:next w:val="998"/>
    <w:qFormat/>
    <w:pPr>
      <w:ind w:firstLine="200"/>
      <w:jc w:val="both"/>
      <w:spacing w:line="360" w:lineRule="auto"/>
    </w:pPr>
    <w:rPr>
      <w:sz w:val="24"/>
      <w:szCs w:val="22"/>
    </w:rPr>
  </w:style>
  <w:style w:type="paragraph" w:styleId="1264" w:customStyle="1">
    <w:name w:val="标书_正文"/>
    <w:basedOn w:val="999"/>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1001"/>
    <w:next w:val="1213"/>
    <w:qFormat/>
    <w:pPr>
      <w:ind w:left="0" w:firstLine="24"/>
      <w:spacing w:before="100" w:after="0" w:line="400" w:lineRule="exact"/>
      <w:outlineLvl w:val="1"/>
    </w:pPr>
  </w:style>
  <w:style w:type="paragraph" w:styleId="1266" w:customStyle="1">
    <w:name w:val="图片0"/>
    <w:basedOn w:val="999"/>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999"/>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rPr>
  </w:style>
  <w:style w:type="paragraph" w:styleId="1269" w:customStyle="1">
    <w:name w:val="杨昂超式样黑体主"/>
    <w:basedOn w:val="999"/>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999"/>
    <w:next w:val="1271"/>
    <w:qFormat/>
    <w:pPr>
      <w:ind w:left="0" w:firstLine="2560"/>
      <w:spacing w:before="0" w:after="0" w:line="240" w:lineRule="auto"/>
    </w:pPr>
    <w:rPr>
      <w:rFonts w:ascii="Times New Roman" w:hAnsi="Times New Roman" w:cs="Times New Roman"/>
    </w:rPr>
  </w:style>
  <w:style w:type="paragraph" w:styleId="1271" w:customStyle="1">
    <w:name w:val="目录1"/>
    <w:basedOn w:val="999"/>
    <w:next w:val="998"/>
    <w:qFormat/>
    <w:pPr>
      <w:ind w:left="0" w:firstLine="7168"/>
      <w:spacing w:before="0" w:after="136" w:line="289" w:lineRule="atLeast"/>
    </w:pPr>
    <w:rPr>
      <w:rFonts w:ascii="Times New Roman" w:hAnsi="Times New Roman" w:cs="Times New Roman"/>
    </w:rPr>
  </w:style>
  <w:style w:type="paragraph" w:styleId="1272" w:customStyle="1">
    <w:name w:val="文档结构图1"/>
    <w:basedOn w:val="999"/>
    <w:next w:val="1273"/>
    <w:qFormat/>
    <w:pPr>
      <w:ind w:left="200" w:firstLine="2248"/>
      <w:spacing w:before="0" w:after="0" w:line="360" w:lineRule="auto"/>
    </w:pPr>
    <w:rPr>
      <w:rFonts w:ascii="Times New Roman" w:hAnsi="Times New Roman" w:cs="Times New Roman"/>
    </w:rPr>
  </w:style>
  <w:style w:type="paragraph" w:styleId="1273" w:customStyle="1">
    <w:name w:val="2ji"/>
    <w:basedOn w:val="1001"/>
    <w:next w:val="1041"/>
    <w:qFormat/>
    <w:pPr>
      <w:ind w:left="0" w:firstLine="24"/>
      <w:spacing w:before="0" w:after="0" w:line="360" w:lineRule="auto"/>
      <w:outlineLvl w:val="1"/>
    </w:pPr>
  </w:style>
  <w:style w:type="paragraph" w:styleId="1274" w:customStyle="1">
    <w:name w:val="xl91"/>
    <w:basedOn w:val="999"/>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999"/>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999"/>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999"/>
    <w:next w:val="998"/>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1002"/>
    <w:next w:val="1279"/>
    <w:qFormat/>
    <w:pPr>
      <w:ind w:left="1429" w:firstLine="18"/>
      <w:spacing w:before="100" w:after="100" w:line="360" w:lineRule="auto"/>
      <w:outlineLvl w:val="2"/>
    </w:pPr>
  </w:style>
  <w:style w:type="paragraph" w:styleId="1279" w:customStyle="1">
    <w:name w:val="xl22"/>
    <w:basedOn w:val="999"/>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999"/>
    <w:next w:val="998"/>
    <w:qFormat/>
    <w:pPr>
      <w:ind w:left="0"/>
      <w:spacing w:before="0" w:after="0" w:line="360" w:lineRule="auto"/>
    </w:pPr>
    <w:rPr>
      <w:rFonts w:ascii="Times New Roman" w:hAnsi="Times New Roman" w:cs="Times New Roman"/>
    </w:rPr>
  </w:style>
  <w:style w:type="paragraph" w:styleId="1281" w:customStyle="1">
    <w:name w:val="xl78"/>
    <w:basedOn w:val="999"/>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rPr>
  </w:style>
  <w:style w:type="paragraph" w:styleId="1283" w:customStyle="1">
    <w:name w:val="_Style 169"/>
    <w:next w:val="998"/>
    <w:qFormat/>
    <w:pPr>
      <w:ind w:left="2560"/>
    </w:pPr>
    <w:rPr>
      <w:rFonts w:ascii="Calibri" w:hAnsi="Calibri"/>
    </w:rPr>
  </w:style>
  <w:style w:type="paragraph" w:styleId="1284" w:customStyle="1">
    <w:name w:val="样式 小四 行距: 1.5 倍行距 首行缩进:  2 字符"/>
    <w:basedOn w:val="999"/>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999"/>
    <w:next w:val="998"/>
    <w:qFormat/>
    <w:pPr>
      <w:ind w:left="0" w:firstLine="7168"/>
      <w:spacing w:before="175" w:after="102" w:line="351" w:lineRule="atLeast"/>
    </w:pPr>
    <w:rPr>
      <w:rFonts w:ascii="Times New Roman" w:hAnsi="Times New Roman" w:cs="Times New Roman"/>
    </w:rPr>
  </w:style>
  <w:style w:type="paragraph" w:styleId="1286" w:customStyle="1">
    <w:name w:val="TOC 标题2"/>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999"/>
    <w:next w:val="1288"/>
    <w:pPr>
      <w:ind w:left="0" w:firstLine="3584"/>
      <w:spacing w:before="0" w:after="0" w:line="240" w:lineRule="auto"/>
    </w:pPr>
    <w:rPr>
      <w:rFonts w:ascii="Times New Roman" w:hAnsi="Times New Roman" w:cs="Times New Roman"/>
    </w:rPr>
  </w:style>
  <w:style w:type="paragraph" w:styleId="1288" w:customStyle="1">
    <w:name w:val="Char"/>
    <w:basedOn w:val="999"/>
    <w:next w:val="1267"/>
    <w:qFormat/>
    <w:pPr>
      <w:ind w:left="900" w:firstLine="2608"/>
      <w:spacing w:before="0" w:after="0" w:line="240" w:lineRule="auto"/>
    </w:pPr>
    <w:rPr>
      <w:rFonts w:ascii="Times New Roman" w:hAnsi="Times New Roman" w:cs="Times New Roman"/>
    </w:rPr>
  </w:style>
  <w:style w:type="paragraph" w:styleId="1289" w:customStyle="1">
    <w:name w:val="xl86"/>
    <w:basedOn w:val="999"/>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999"/>
    <w:next w:val="998"/>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pPr>
      <w:ind w:left="480" w:firstLine="4320"/>
      <w:spacing w:line="440" w:lineRule="exact"/>
    </w:pPr>
    <w:rPr>
      <w:rFonts w:ascii="Calibri" w:hAnsi="Calibri"/>
    </w:rPr>
  </w:style>
  <w:style w:type="paragraph" w:styleId="1292" w:customStyle="1">
    <w:name w:val="4"/>
    <w:basedOn w:val="999"/>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999"/>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999"/>
    <w:next w:val="1295"/>
    <w:pPr>
      <w:ind w:left="0" w:firstLine="2560"/>
      <w:spacing w:before="0" w:after="0" w:line="240" w:lineRule="auto"/>
    </w:pPr>
    <w:rPr>
      <w:rFonts w:ascii="Times New Roman" w:hAnsi="Times New Roman" w:cs="Times New Roman"/>
    </w:rPr>
  </w:style>
  <w:style w:type="paragraph" w:styleId="1295" w:customStyle="1">
    <w:name w:val="正文符号1"/>
    <w:basedOn w:val="999"/>
    <w:next w:val="1296"/>
    <w:pPr>
      <w:ind w:left="987" w:firstLine="5724"/>
      <w:spacing w:before="0" w:after="0" w:line="240" w:lineRule="auto"/>
    </w:pPr>
    <w:rPr>
      <w:rFonts w:ascii="Times New Roman" w:hAnsi="Times New Roman" w:cs="Times New Roman"/>
    </w:rPr>
  </w:style>
  <w:style w:type="paragraph" w:styleId="1296" w:customStyle="1">
    <w:name w:val="索引 31"/>
    <w:basedOn w:val="999"/>
    <w:next w:val="998"/>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999"/>
    <w:next w:val="998"/>
    <w:qFormat/>
    <w:pPr>
      <w:ind w:left="629" w:firstLine="5237"/>
      <w:spacing w:before="0" w:after="0" w:line="317" w:lineRule="atLeast"/>
    </w:pPr>
    <w:rPr>
      <w:rFonts w:ascii="Times New Roman" w:hAnsi="Times New Roman" w:cs="Times New Roman"/>
    </w:rPr>
  </w:style>
  <w:style w:type="paragraph" w:styleId="1298" w:customStyle="1">
    <w:name w:val="p15"/>
    <w:basedOn w:val="998"/>
    <w:qFormat/>
    <w:pPr>
      <w:ind w:left="0"/>
    </w:pPr>
    <w:rPr>
      <w:rFonts w:ascii="宋体" w:hAnsi="宋体"/>
      <w:sz w:val="28"/>
      <w:szCs w:val="28"/>
    </w:rPr>
  </w:style>
  <w:style w:type="paragraph" w:styleId="1299" w:customStyle="1">
    <w:name w:val="四号 居中"/>
    <w:basedOn w:val="999"/>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998"/>
    <w:qFormat/>
    <w:pPr>
      <w:ind w:firstLine="2048"/>
      <w:spacing w:line="360" w:lineRule="auto"/>
    </w:pPr>
    <w:rPr>
      <w:rFonts w:ascii="Calibri" w:hAnsi="Calibri"/>
    </w:rPr>
  </w:style>
  <w:style w:type="paragraph" w:styleId="1301" w:customStyle="1">
    <w:name w:val="列表编号 21"/>
    <w:basedOn w:val="999"/>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999"/>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999"/>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999"/>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999"/>
    <w:next w:val="1306"/>
    <w:qFormat/>
    <w:pPr>
      <w:ind w:left="0" w:firstLine="2560"/>
      <w:spacing w:before="0" w:after="0" w:line="240" w:lineRule="auto"/>
    </w:pPr>
    <w:rPr>
      <w:rFonts w:ascii="Times New Roman" w:hAnsi="Times New Roman" w:cs="Times New Roman"/>
    </w:rPr>
  </w:style>
  <w:style w:type="paragraph" w:styleId="1306" w:customStyle="1">
    <w:name w:val="xl87"/>
    <w:basedOn w:val="999"/>
    <w:next w:val="1262"/>
    <w:qFormat/>
    <w:pPr>
      <w:ind w:left="0" w:firstLine="5120"/>
      <w:spacing w:before="280" w:after="280" w:line="240" w:lineRule="auto"/>
    </w:pPr>
    <w:rPr>
      <w:rFonts w:ascii="Times New Roman" w:hAnsi="Times New Roman" w:cs="Times New Roman"/>
    </w:rPr>
  </w:style>
  <w:style w:type="paragraph" w:styleId="1307" w:customStyle="1">
    <w:name w:val="444"/>
    <w:basedOn w:val="999"/>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999"/>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rPr>
  </w:style>
  <w:style w:type="paragraph" w:styleId="1310" w:customStyle="1">
    <w:name w:val="文档正文"/>
    <w:basedOn w:val="999"/>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rPr>
  </w:style>
  <w:style w:type="paragraph" w:styleId="1312" w:customStyle="1">
    <w:name w:val="font10"/>
    <w:basedOn w:val="999"/>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999"/>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999"/>
    <w:next w:val="998"/>
    <w:qFormat/>
    <w:pPr>
      <w:ind w:left="1600" w:firstLine="2560"/>
      <w:jc w:val="center"/>
      <w:spacing w:before="0" w:after="0" w:line="360" w:lineRule="auto"/>
    </w:pPr>
    <w:rPr>
      <w:rFonts w:ascii="Times New Roman" w:hAnsi="Times New Roman" w:cs="Times New Roman"/>
    </w:rPr>
  </w:style>
  <w:style w:type="paragraph" w:styleId="1315" w:customStyle="1">
    <w:name w:val="xl79"/>
    <w:basedOn w:val="999"/>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rPr>
  </w:style>
  <w:style w:type="paragraph" w:styleId="1317" w:customStyle="1">
    <w:name w:val="!方块加粗"/>
    <w:basedOn w:val="999"/>
    <w:next w:val="1284"/>
    <w:qFormat/>
    <w:pPr>
      <w:ind w:left="600" w:firstLine="5212"/>
      <w:spacing w:before="0" w:after="0" w:line="360" w:lineRule="auto"/>
    </w:pPr>
    <w:rPr>
      <w:rFonts w:ascii="Times New Roman" w:hAnsi="Times New Roman" w:cs="Times New Roman"/>
    </w:rPr>
  </w:style>
  <w:style w:type="paragraph" w:styleId="1318" w:customStyle="1">
    <w:name w:val="xl75"/>
    <w:basedOn w:val="999"/>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999"/>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999"/>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999"/>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999"/>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1003"/>
    <w:next w:val="1324"/>
    <w:qFormat/>
    <w:pPr>
      <w:ind w:left="426" w:firstLine="24"/>
      <w:spacing w:before="0" w:after="0" w:line="360" w:lineRule="auto"/>
      <w:outlineLvl w:val="3"/>
    </w:pPr>
  </w:style>
  <w:style w:type="paragraph" w:styleId="1324" w:customStyle="1">
    <w:name w:val="xl82"/>
    <w:basedOn w:val="999"/>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rPr>
  </w:style>
  <w:style w:type="paragraph" w:styleId="1326" w:customStyle="1">
    <w:name w:val="Char Char Char Char Char Char1 Char Char Char1 Char Char Char Char Char Char Char Char Char Char Char Char Char Char Char"/>
    <w:basedOn w:val="999"/>
    <w:next w:val="1327"/>
    <w:qFormat/>
    <w:pPr>
      <w:ind w:left="0" w:firstLine="2560"/>
      <w:spacing w:before="0" w:after="0" w:line="240" w:lineRule="auto"/>
    </w:pPr>
    <w:rPr>
      <w:rFonts w:ascii="Times New Roman" w:hAnsi="Times New Roman" w:cs="Times New Roman"/>
    </w:rPr>
  </w:style>
  <w:style w:type="paragraph" w:styleId="1327" w:customStyle="1">
    <w:name w:val="样式1"/>
    <w:basedOn w:val="999"/>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999"/>
    <w:next w:val="998"/>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999"/>
    <w:next w:val="998"/>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rPr>
  </w:style>
  <w:style w:type="paragraph" w:styleId="1331" w:customStyle="1">
    <w:name w:val="Char Char Char Char Char Char1"/>
    <w:basedOn w:val="999"/>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999"/>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999"/>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999"/>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rPr>
  </w:style>
  <w:style w:type="paragraph" w:styleId="1336" w:customStyle="1">
    <w:name w:val="Char2"/>
    <w:basedOn w:val="999"/>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style>
  <w:style w:type="paragraph" w:styleId="1338" w:customStyle="1">
    <w:name w:val="纯文本4"/>
    <w:basedOn w:val="998"/>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999"/>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999"/>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1000"/>
    <w:next w:val="1342"/>
    <w:qFormat/>
    <w:pPr>
      <w:ind w:left="432" w:firstLine="18"/>
      <w:spacing w:before="40" w:after="40" w:line="360" w:lineRule="auto"/>
      <w:outlineLvl w:val="0"/>
    </w:pPr>
  </w:style>
  <w:style w:type="paragraph" w:styleId="1342" w:customStyle="1">
    <w:name w:val="表格用"/>
    <w:basedOn w:val="999"/>
    <w:next w:val="1299"/>
    <w:qFormat/>
    <w:pPr>
      <w:ind w:left="0" w:firstLine="1024"/>
      <w:spacing w:before="0" w:after="0" w:line="360" w:lineRule="auto"/>
    </w:pPr>
    <w:rPr>
      <w:rFonts w:ascii="Times New Roman" w:hAnsi="Times New Roman" w:cs="Times New Roman"/>
    </w:rPr>
  </w:style>
  <w:style w:type="paragraph" w:styleId="1343" w:customStyle="1">
    <w:name w:val="xl71"/>
    <w:basedOn w:val="999"/>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999"/>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999"/>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rPr>
  </w:style>
  <w:style w:type="paragraph" w:styleId="1347" w:customStyle="1">
    <w:name w:val="正文文本缩进 21"/>
    <w:basedOn w:val="999"/>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999"/>
    <w:next w:val="1297"/>
    <w:qFormat/>
    <w:pPr>
      <w:ind w:left="0" w:firstLine="2560"/>
      <w:spacing w:before="0" w:after="0" w:line="240" w:lineRule="auto"/>
    </w:pPr>
    <w:rPr>
      <w:rFonts w:ascii="Times New Roman" w:hAnsi="Times New Roman" w:cs="Times New Roman"/>
    </w:rPr>
  </w:style>
  <w:style w:type="paragraph" w:styleId="1349" w:customStyle="1">
    <w:name w:val="样式"/>
    <w:next w:val="998"/>
    <w:qFormat/>
    <w:pPr>
      <w:ind w:firstLine="3584"/>
      <w:widowControl w:val="off"/>
    </w:pPr>
    <w:rPr>
      <w:rFonts w:ascii="Calibri" w:hAnsi="Calibri"/>
    </w:rPr>
  </w:style>
  <w:style w:type="paragraph" w:styleId="1350" w:customStyle="1">
    <w:name w:val="TOC 标题1"/>
    <w:basedOn w:val="1000"/>
    <w:next w:val="998"/>
    <w:qFormat/>
    <w:pPr>
      <w:ind w:left="0" w:firstLine="6144"/>
      <w:spacing w:before="480" w:after="0" w:line="276" w:lineRule="auto"/>
    </w:pPr>
    <w:rPr>
      <w:b/>
      <w:sz w:val="30"/>
    </w:rPr>
  </w:style>
  <w:style w:type="paragraph" w:styleId="1351" w:customStyle="1">
    <w:name w:val="纯文本3"/>
    <w:basedOn w:val="998"/>
    <w:qFormat/>
    <w:rPr>
      <w:rFonts w:ascii="宋体" w:hAnsi="Courier New" w:cs="Times New Roman"/>
    </w:rPr>
  </w:style>
  <w:style w:type="paragraph" w:styleId="1352" w:customStyle="1">
    <w:name w:val="afont"/>
    <w:basedOn w:val="999"/>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999"/>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999"/>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999"/>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999"/>
    <w:next w:val="998"/>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998"/>
    <w:qFormat/>
    <w:pPr>
      <w:ind w:left="0"/>
      <w:jc w:val="left"/>
    </w:pPr>
    <w:rPr>
      <w:rFonts w:ascii="宋体" w:hAnsi="宋体" w:eastAsia="楷体_GB2312" w:cs="Courier New"/>
      <w:sz w:val="26"/>
      <w:lang w:val="zh-CN"/>
    </w:rPr>
  </w:style>
  <w:style w:type="paragraph" w:styleId="1358" w:customStyle="1">
    <w:name w:val="样式 加粗 居中2"/>
    <w:basedOn w:val="999"/>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999"/>
    <w:next w:val="1313"/>
    <w:qFormat/>
    <w:pPr>
      <w:ind w:left="480" w:firstLine="2784"/>
      <w:spacing w:before="0" w:after="0" w:line="360" w:lineRule="auto"/>
    </w:pPr>
    <w:rPr>
      <w:rFonts w:ascii="Times New Roman" w:hAnsi="Times New Roman" w:cs="Times New Roman"/>
    </w:rPr>
  </w:style>
  <w:style w:type="paragraph" w:styleId="1360" w:customStyle="1">
    <w:name w:val="font5"/>
    <w:basedOn w:val="999"/>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999"/>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999"/>
    <w:next w:val="1363"/>
    <w:qFormat/>
    <w:pPr>
      <w:ind w:left="0" w:firstLine="2560"/>
      <w:spacing w:before="0" w:after="0" w:line="240" w:lineRule="auto"/>
    </w:pPr>
    <w:rPr>
      <w:rFonts w:ascii="Times New Roman" w:hAnsi="Times New Roman" w:cs="Times New Roman"/>
    </w:rPr>
  </w:style>
  <w:style w:type="paragraph" w:styleId="1363" w:customStyle="1">
    <w:name w:val="1正文"/>
    <w:basedOn w:val="999"/>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999"/>
    <w:next w:val="998"/>
    <w:qFormat/>
    <w:pPr>
      <w:ind w:left="209" w:firstLine="5329"/>
      <w:spacing w:before="0" w:after="0" w:line="317" w:lineRule="atLeast"/>
    </w:pPr>
    <w:rPr>
      <w:rFonts w:ascii="Times New Roman" w:hAnsi="Times New Roman" w:cs="Times New Roman"/>
    </w:rPr>
  </w:style>
  <w:style w:type="paragraph" w:styleId="1365" w:customStyle="1">
    <w:name w:val="图表目录1"/>
    <w:basedOn w:val="999"/>
    <w:next w:val="998"/>
    <w:qFormat/>
    <w:pPr>
      <w:ind w:left="200" w:firstLine="2616"/>
      <w:jc w:val="center"/>
      <w:spacing w:before="0" w:after="0" w:line="360" w:lineRule="auto"/>
    </w:pPr>
    <w:rPr>
      <w:rFonts w:ascii="Times New Roman" w:hAnsi="Times New Roman" w:cs="Times New Roman"/>
    </w:rPr>
  </w:style>
  <w:style w:type="paragraph" w:styleId="1366" w:customStyle="1">
    <w:name w:val="xl63"/>
    <w:basedOn w:val="999"/>
    <w:next w:val="1316"/>
    <w:qFormat/>
    <w:pPr>
      <w:ind w:left="0" w:firstLine="5120"/>
      <w:spacing w:before="280" w:after="280" w:line="240" w:lineRule="auto"/>
    </w:pPr>
    <w:rPr>
      <w:rFonts w:ascii="Times New Roman" w:hAnsi="Times New Roman" w:cs="Times New Roman"/>
    </w:rPr>
  </w:style>
  <w:style w:type="paragraph" w:styleId="1367">
    <w:name w:val="List Paragraph"/>
    <w:basedOn w:val="998"/>
    <w:next w:val="1274"/>
    <w:qFormat/>
    <w:pPr>
      <w:ind w:left="420" w:firstLine="3748"/>
    </w:pPr>
    <w:rPr>
      <w:rFonts w:ascii="Times New Roman" w:hAnsi="Times New Roman" w:cs="Times New Roman"/>
    </w:rPr>
  </w:style>
  <w:style w:type="paragraph" w:styleId="1368" w:customStyle="1">
    <w:name w:val="xl73"/>
    <w:basedOn w:val="999"/>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999"/>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1004"/>
    <w:next w:val="1371"/>
    <w:qFormat/>
    <w:pPr>
      <w:ind w:left="1134" w:firstLine="18"/>
      <w:spacing w:before="0" w:after="0" w:line="360" w:lineRule="auto"/>
      <w:outlineLvl w:val="4"/>
    </w:pPr>
  </w:style>
  <w:style w:type="paragraph" w:styleId="1371" w:customStyle="1">
    <w:name w:val="日期1"/>
    <w:basedOn w:val="999"/>
    <w:next w:val="998"/>
    <w:qFormat/>
    <w:pPr>
      <w:ind w:left="100" w:firstLine="6144"/>
      <w:spacing w:before="0" w:after="0" w:line="240" w:lineRule="auto"/>
    </w:pPr>
    <w:rPr>
      <w:rFonts w:ascii="Times New Roman" w:hAnsi="Times New Roman" w:cs="Times New Roman"/>
    </w:rPr>
  </w:style>
  <w:style w:type="paragraph" w:styleId="1372" w:customStyle="1">
    <w:name w:val="图1"/>
    <w:basedOn w:val="999"/>
    <w:next w:val="998"/>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999"/>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999"/>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999"/>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998"/>
    <w:qFormat/>
    <w:pPr>
      <w:ind w:left="3766" w:right="950"/>
      <w:jc w:val="center"/>
      <w:spacing w:before="360" w:after="360"/>
    </w:pPr>
    <w:rPr>
      <w:rFonts w:ascii="Calibri" w:hAnsi="Calibri"/>
      <w:i/>
    </w:rPr>
  </w:style>
  <w:style w:type="paragraph" w:styleId="1377" w:customStyle="1">
    <w:name w:val="索引 51"/>
    <w:basedOn w:val="999"/>
    <w:next w:val="998"/>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999"/>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999"/>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rPr>
  </w:style>
  <w:style w:type="paragraph" w:styleId="1381" w:customStyle="1">
    <w:name w:val="修订2"/>
    <w:qFormat/>
    <w:rPr>
      <w:rFonts w:ascii="Calibri" w:hAnsi="Calibri"/>
    </w:rPr>
  </w:style>
  <w:style w:type="paragraph" w:styleId="1382" w:customStyle="1">
    <w:name w:val="Body"/>
    <w:next w:val="1314"/>
    <w:qFormat/>
    <w:pPr>
      <w:ind w:left="567" w:right="2835" w:firstLine="3584"/>
      <w:spacing w:after="60"/>
    </w:pPr>
    <w:rPr>
      <w:rFonts w:ascii="Calibri" w:hAnsi="Calibri"/>
    </w:rPr>
  </w:style>
  <w:style w:type="paragraph" w:styleId="1383" w:customStyle="1">
    <w:name w:val="font6"/>
    <w:basedOn w:val="999"/>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rPr>
  </w:style>
  <w:style w:type="paragraph" w:styleId="1386" w:customStyle="1">
    <w:name w:val="正文_0_0"/>
    <w:next w:val="1218"/>
    <w:qFormat/>
    <w:pPr>
      <w:ind w:firstLine="3584"/>
      <w:jc w:val="both"/>
      <w:widowControl w:val="off"/>
    </w:pPr>
    <w:rPr>
      <w:rFonts w:ascii="Calibri" w:hAnsi="Calibri"/>
    </w:rPr>
  </w:style>
  <w:style w:type="paragraph" w:styleId="1387" w:customStyle="1">
    <w:name w:val="font7"/>
    <w:basedOn w:val="999"/>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999"/>
    <w:next w:val="1389"/>
    <w:qFormat/>
    <w:pPr>
      <w:ind w:left="0" w:firstLine="2560"/>
      <w:spacing w:before="0" w:after="0" w:line="240" w:lineRule="auto"/>
    </w:pPr>
    <w:rPr>
      <w:rFonts w:ascii="Times New Roman" w:hAnsi="Times New Roman" w:cs="Times New Roman"/>
    </w:rPr>
  </w:style>
  <w:style w:type="paragraph" w:styleId="1389" w:customStyle="1">
    <w:name w:val="xl64"/>
    <w:basedOn w:val="999"/>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999"/>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999"/>
    <w:next w:val="998"/>
    <w:qFormat/>
    <w:pPr>
      <w:ind w:left="0" w:firstLine="3584"/>
      <w:spacing w:before="0" w:after="0" w:line="240" w:lineRule="auto"/>
    </w:pPr>
    <w:rPr>
      <w:rFonts w:ascii="Times New Roman" w:hAnsi="Times New Roman" w:cs="Times New Roman"/>
    </w:rPr>
  </w:style>
  <w:style w:type="paragraph" w:styleId="1392" w:customStyle="1">
    <w:name w:val="H 3"/>
    <w:basedOn w:val="1002"/>
    <w:next w:val="1393"/>
    <w:qFormat/>
    <w:pPr>
      <w:ind w:left="1429" w:firstLine="18"/>
      <w:spacing w:before="0" w:after="0" w:line="360" w:lineRule="auto"/>
      <w:outlineLvl w:val="2"/>
    </w:pPr>
  </w:style>
  <w:style w:type="paragraph" w:styleId="1393" w:customStyle="1">
    <w:name w:val="xl83"/>
    <w:basedOn w:val="999"/>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999"/>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999"/>
    <w:next w:val="1377"/>
    <w:qFormat/>
    <w:pPr>
      <w:ind w:left="200" w:firstLine="3784"/>
      <w:spacing w:before="0" w:after="0" w:line="360" w:lineRule="auto"/>
    </w:pPr>
    <w:rPr>
      <w:rFonts w:ascii="Times New Roman" w:hAnsi="Times New Roman" w:cs="Times New Roman"/>
    </w:rPr>
  </w:style>
  <w:style w:type="paragraph" w:styleId="1396" w:customStyle="1">
    <w:name w:val="1"/>
    <w:basedOn w:val="999"/>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999"/>
    <w:next w:val="9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998"/>
    <w:uiPriority w:val="1"/>
    <w:qFormat/>
    <w:rPr>
      <w:rFonts w:ascii="宋体" w:hAnsi="宋体"/>
      <w:lang w:val="zh-CN" w:bidi="zh-CN"/>
    </w:rPr>
  </w:style>
  <w:style w:type="paragraph" w:styleId="1399" w:customStyle="1">
    <w:name w:val="_Style 400"/>
    <w:qFormat/>
    <w:rPr>
      <w:rFonts w:ascii="Calibri" w:hAnsi="Calibri"/>
    </w:rPr>
  </w:style>
  <w:style w:type="paragraph" w:styleId="1400" w:customStyle="1">
    <w:name w:val="Style1"/>
    <w:basedOn w:val="998"/>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999"/>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999"/>
    <w:next w:val="1403"/>
    <w:qFormat/>
    <w:pPr>
      <w:ind w:left="0" w:firstLine="2560"/>
      <w:spacing w:before="0" w:after="0" w:line="240" w:lineRule="auto"/>
    </w:pPr>
    <w:rPr>
      <w:rFonts w:ascii="Times New Roman" w:hAnsi="Times New Roman" w:cs="Times New Roman"/>
    </w:rPr>
  </w:style>
  <w:style w:type="paragraph" w:styleId="1403" w:customStyle="1">
    <w:name w:val="xl24"/>
    <w:basedOn w:val="999"/>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rPr>
  </w:style>
  <w:style w:type="paragraph" w:styleId="1405" w:customStyle="1">
    <w:name w:val="xl72"/>
    <w:basedOn w:val="999"/>
    <w:next w:val="1261"/>
    <w:qFormat/>
    <w:pPr>
      <w:ind w:left="0" w:firstLine="3584"/>
      <w:spacing w:before="280" w:after="280" w:line="240" w:lineRule="auto"/>
    </w:pPr>
    <w:rPr>
      <w:rFonts w:ascii="Times New Roman" w:hAnsi="Times New Roman" w:cs="Times New Roman"/>
    </w:rPr>
  </w:style>
  <w:style w:type="paragraph" w:styleId="1406" w:customStyle="1">
    <w:name w:val="插图"/>
    <w:next w:val="998"/>
    <w:qFormat/>
    <w:pPr>
      <w:ind w:firstLine="4608"/>
      <w:jc w:val="center"/>
    </w:pPr>
    <w:rPr>
      <w:rFonts w:ascii="Calibri" w:hAnsi="Calibri"/>
    </w:rPr>
  </w:style>
  <w:style w:type="paragraph" w:styleId="1407" w:customStyle="1">
    <w:name w:val="列出段落3"/>
    <w:basedOn w:val="999"/>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999"/>
    <w:next w:val="998"/>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999"/>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style>
  <w:style w:type="paragraph" w:styleId="1411" w:customStyle="1">
    <w:name w:val="表内文字"/>
    <w:basedOn w:val="999"/>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999"/>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998"/>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999"/>
    <w:next w:val="1307"/>
    <w:qFormat/>
    <w:pPr>
      <w:ind w:left="0" w:firstLine="2815"/>
      <w:spacing w:before="0" w:after="0" w:line="360" w:lineRule="auto"/>
    </w:pPr>
    <w:rPr>
      <w:rFonts w:ascii="Times New Roman" w:hAnsi="Times New Roman" w:cs="Times New Roman"/>
    </w:rPr>
  </w:style>
  <w:style w:type="table" w:styleId="1415" w:customStyle="1">
    <w:name w:val="网格型1"/>
    <w:basedOn w:val="100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762439-68E0-4A95-8581-9FDB265706A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7</cp:revision>
  <dcterms:created xsi:type="dcterms:W3CDTF">2025-11-03T02:18:00Z</dcterms:created>
  <dcterms:modified xsi:type="dcterms:W3CDTF">2025-11-24T07:07:24Z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