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苏 州 政 府 采 购</w:t>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left="0"/>
        <w:jc w:val="left"/>
        <w:spacing w:line="480" w:lineRule="auto"/>
        <w:rPr>
          <w:rFonts w:hint="eastAsia" w:ascii="宋体" w:hAnsi="宋体" w:cs="宋体"/>
          <w:b/>
          <w:color w:val="auto"/>
          <w:sz w:val="32"/>
          <w:highlight w:val="none"/>
        </w:rPr>
      </w:pPr>
      <w:r>
        <w:rPr>
          <w:rFonts w:hint="eastAsia" w:ascii="宋体" w:hAnsi="宋体" w:cs="宋体"/>
          <w:b/>
          <w:color w:val="auto"/>
          <w:sz w:val="32"/>
          <w:highlight w:val="none"/>
        </w:rPr>
      </w:r>
      <w:r/>
    </w:p>
    <w:tbl>
      <w:tblPr>
        <w:tblStyle w:val="86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809"/>
        <w:gridCol w:w="5421"/>
      </w:tblGrid>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71"/>
                <w:rFonts w:hint="eastAsia" w:ascii="宋体" w:hAnsi="宋体" w:cs="宋体"/>
                <w:b/>
                <w:color w:val="auto"/>
                <w:spacing w:val="-6"/>
                <w:sz w:val="32"/>
                <w:highlight w:val="none"/>
              </w:rPr>
            </w:pPr>
            <w:r>
              <w:rPr>
                <w:rStyle w:val="1071"/>
                <w:rFonts w:hint="eastAsia" w:ascii="宋体" w:hAnsi="宋体" w:cs="宋体"/>
                <w:b/>
                <w:color w:val="auto"/>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5421" w:type="dxa"/>
            <w:vAlign w:val="center"/>
            <w:textDirection w:val="lrTb"/>
            <w:noWrap w:val="false"/>
          </w:tcPr>
          <w:p>
            <w:pPr>
              <w:ind w:left="0"/>
              <w:spacing w:line="240" w:lineRule="auto"/>
              <w:widowControl w:val="off"/>
              <w:rPr>
                <w:rStyle w:val="1071"/>
                <w:rFonts w:hint="eastAsia" w:ascii="宋体" w:hAnsi="宋体" w:cs="宋体"/>
                <w:b/>
                <w:color w:val="auto"/>
                <w:spacing w:val="-6"/>
                <w:sz w:val="32"/>
                <w:highlight w:val="none"/>
                <w:lang w:eastAsia="zh-CN"/>
              </w:rPr>
            </w:pPr>
            <w:r>
              <w:rPr>
                <w:rStyle w:val="1071"/>
                <w:rFonts w:hint="eastAsia" w:ascii="宋体" w:hAnsi="宋体" w:cs="宋体"/>
                <w:b/>
                <w:color w:val="auto"/>
                <w:spacing w:val="-6"/>
                <w:sz w:val="32"/>
                <w:highlight w:val="none"/>
                <w:lang w:eastAsia="zh-CN"/>
              </w:rPr>
              <w:t xml:space="preserve">JSZC-320507-SHYS-C2024-0068</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71"/>
                <w:rFonts w:hint="eastAsia" w:ascii="宋体" w:hAnsi="宋体" w:cs="宋体"/>
                <w:b/>
                <w:color w:val="auto"/>
                <w:spacing w:val="-6"/>
                <w:sz w:val="32"/>
                <w:highlight w:val="none"/>
              </w:rPr>
            </w:pPr>
            <w:r>
              <w:rPr>
                <w:rStyle w:val="1071"/>
                <w:rFonts w:hint="eastAsia" w:ascii="宋体" w:hAnsi="宋体" w:cs="宋体"/>
                <w:b/>
                <w:color w:val="auto"/>
                <w:spacing w:val="-6"/>
                <w:sz w:val="32"/>
                <w:highlight w:val="none"/>
              </w:rPr>
              <w:t xml:space="preserve">采 购 人：</w:t>
            </w:r>
            <w:r/>
          </w:p>
        </w:tc>
        <w:tc>
          <w:tcPr>
            <w:tcBorders>
              <w:top w:val="none" w:color="000000" w:sz="4" w:space="0"/>
              <w:left w:val="none" w:color="000000" w:sz="4" w:space="0"/>
              <w:bottom w:val="none" w:color="000000" w:sz="4" w:space="0"/>
              <w:right w:val="none" w:color="000000" w:sz="4" w:space="0"/>
            </w:tcBorders>
            <w:tcW w:w="5421" w:type="dxa"/>
            <w:vAlign w:val="center"/>
            <w:textDirection w:val="lrTb"/>
            <w:noWrap w:val="false"/>
          </w:tcPr>
          <w:p>
            <w:pPr>
              <w:ind w:left="0"/>
              <w:spacing w:line="240" w:lineRule="auto"/>
              <w:widowControl w:val="off"/>
              <w:rPr>
                <w:rStyle w:val="1071"/>
                <w:rFonts w:hint="eastAsia" w:ascii="宋体" w:hAnsi="宋体" w:eastAsia="宋体" w:cs="宋体"/>
                <w:b/>
                <w:color w:val="auto"/>
                <w:spacing w:val="-6"/>
                <w:sz w:val="32"/>
                <w:highlight w:val="none"/>
                <w:lang w:eastAsia="zh-CN"/>
              </w:rPr>
            </w:pPr>
            <w:r>
              <w:rPr>
                <w:rStyle w:val="1071"/>
                <w:rFonts w:hint="eastAsia" w:ascii="宋体" w:hAnsi="宋体" w:cs="宋体"/>
                <w:b/>
                <w:color w:val="auto"/>
                <w:spacing w:val="-6"/>
                <w:sz w:val="32"/>
                <w:highlight w:val="none"/>
                <w:lang w:eastAsia="zh-CN"/>
              </w:rPr>
              <w:t xml:space="preserve">江苏省相城中等专业学校</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71"/>
                <w:rFonts w:hint="eastAsia" w:ascii="宋体" w:hAnsi="宋体" w:cs="宋体"/>
                <w:b/>
                <w:color w:val="auto"/>
                <w:spacing w:val="-6"/>
                <w:sz w:val="32"/>
                <w:highlight w:val="none"/>
              </w:rPr>
            </w:pPr>
            <w:r>
              <w:rPr>
                <w:rStyle w:val="1071"/>
                <w:rFonts w:hint="eastAsia" w:ascii="宋体" w:hAnsi="宋体" w:cs="宋体"/>
                <w:b/>
                <w:color w:val="auto"/>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5421" w:type="dxa"/>
            <w:vAlign w:val="center"/>
            <w:textDirection w:val="lrTb"/>
            <w:noWrap w:val="false"/>
          </w:tcPr>
          <w:p>
            <w:pPr>
              <w:ind w:left="0"/>
              <w:spacing w:line="240" w:lineRule="auto"/>
              <w:widowControl w:val="off"/>
              <w:rPr>
                <w:rStyle w:val="1071"/>
                <w:rFonts w:hint="eastAsia" w:ascii="宋体" w:hAnsi="宋体" w:eastAsia="宋体" w:cs="宋体"/>
                <w:b/>
                <w:color w:val="auto"/>
                <w:spacing w:val="-6"/>
                <w:sz w:val="32"/>
                <w:highlight w:val="none"/>
                <w:lang w:eastAsia="zh-CN"/>
              </w:rPr>
            </w:pPr>
            <w:r>
              <w:rPr>
                <w:rStyle w:val="1071"/>
                <w:rFonts w:hint="eastAsia" w:ascii="宋体" w:hAnsi="宋体" w:cs="宋体"/>
                <w:b/>
                <w:color w:val="auto"/>
                <w:spacing w:val="-6"/>
                <w:sz w:val="32"/>
                <w:highlight w:val="none"/>
                <w:lang w:eastAsia="zh-CN"/>
              </w:rPr>
              <w:t xml:space="preserve">中日师资培训基地项目</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spacing w:line="240" w:lineRule="auto"/>
              <w:widowControl w:val="off"/>
              <w:rPr>
                <w:rStyle w:val="1071"/>
                <w:rFonts w:hint="eastAsia" w:ascii="宋体" w:hAnsi="宋体" w:cs="宋体"/>
                <w:b/>
                <w:color w:val="auto"/>
                <w:spacing w:val="-6"/>
                <w:sz w:val="32"/>
                <w:highlight w:val="none"/>
              </w:rPr>
            </w:pPr>
            <w:r>
              <w:rPr>
                <w:rStyle w:val="1071"/>
                <w:rFonts w:hint="eastAsia" w:ascii="宋体" w:hAnsi="宋体" w:cs="宋体"/>
                <w:b/>
                <w:color w:val="auto"/>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5421" w:type="dxa"/>
            <w:vAlign w:val="center"/>
            <w:textDirection w:val="lrTb"/>
            <w:noWrap w:val="false"/>
          </w:tcPr>
          <w:p>
            <w:pPr>
              <w:ind w:left="0"/>
              <w:spacing w:line="240" w:lineRule="auto"/>
              <w:widowControl w:val="off"/>
              <w:rPr>
                <w:rStyle w:val="1071"/>
                <w:rFonts w:hint="eastAsia" w:ascii="宋体" w:hAnsi="宋体" w:cs="宋体"/>
                <w:b/>
                <w:color w:val="auto"/>
                <w:spacing w:val="-6"/>
                <w:sz w:val="32"/>
                <w:highlight w:val="none"/>
              </w:rPr>
            </w:pPr>
            <w:r>
              <w:rPr>
                <w:rStyle w:val="1071"/>
                <w:rFonts w:hint="eastAsia" w:ascii="宋体" w:hAnsi="宋体" w:cs="宋体"/>
                <w:b/>
                <w:color w:val="auto"/>
                <w:spacing w:val="-6"/>
                <w:sz w:val="32"/>
                <w:highlight w:val="none"/>
              </w:rPr>
              <w:t xml:space="preserve">服务类</w:t>
            </w:r>
            <w:r/>
          </w:p>
        </w:tc>
      </w:tr>
    </w:tbl>
    <w:p>
      <w:pPr>
        <w:ind w:firstLine="1445"/>
        <w:jc w:val="left"/>
        <w:spacing w:line="480" w:lineRule="auto"/>
        <w:rPr>
          <w:rFonts w:hint="eastAsia" w:ascii="宋体" w:hAnsi="宋体" w:cs="宋体"/>
          <w:b/>
          <w:color w:val="auto"/>
          <w:spacing w:val="20"/>
          <w:sz w:val="32"/>
          <w:highlight w:val="none"/>
        </w:rPr>
      </w:pPr>
      <w:r>
        <w:rPr>
          <w:rFonts w:hint="eastAsia" w:ascii="宋体" w:hAnsi="宋体" w:cs="宋体"/>
          <w:b/>
          <w:color w:val="auto"/>
          <w:spacing w:val="20"/>
          <w:sz w:val="32"/>
          <w:highlight w:val="none"/>
        </w:rPr>
      </w:r>
      <w:r/>
    </w:p>
    <w:p>
      <w:pPr>
        <w:ind w:left="0"/>
        <w:jc w:val="left"/>
        <w:rPr>
          <w:rFonts w:hint="eastAsia" w:ascii="宋体" w:hAnsi="宋体" w:cs="宋体"/>
          <w:b/>
          <w:color w:val="auto"/>
          <w:sz w:val="32"/>
          <w:highlight w:val="none"/>
        </w:rPr>
      </w:pPr>
      <w:r>
        <w:rPr>
          <w:rFonts w:hint="eastAsia" w:ascii="宋体" w:hAnsi="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2035810</wp:posOffset>
                </wp:positionH>
                <wp:positionV relativeFrom="paragraph">
                  <wp:posOffset>205105</wp:posOffset>
                </wp:positionV>
                <wp:extent cx="2209165" cy="2209165"/>
                <wp:effectExtent l="0" t="0" r="0" b="0"/>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1"/>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1" o:title=""/>
              </v:shape>
            </w:pict>
          </mc:Fallback>
        </mc:AlternateContent>
      </w:r>
      <w:r/>
    </w:p>
    <w:p>
      <w:pPr>
        <w:ind w:left="0"/>
        <w:jc w:val="left"/>
        <w:rPr>
          <w:rFonts w:hint="eastAsia" w:ascii="宋体" w:hAnsi="宋体" w:cs="宋体"/>
          <w:b/>
          <w:color w:val="auto"/>
          <w:sz w:val="32"/>
          <w:highlight w:val="none"/>
        </w:rPr>
      </w:pPr>
      <w:r>
        <w:rPr>
          <w:rFonts w:hint="eastAsia" w:ascii="宋体" w:hAnsi="宋体" w:cs="宋体"/>
          <w:b/>
          <w:color w:val="auto"/>
          <w:sz w:val="32"/>
          <w:highlight w:val="none"/>
        </w:rPr>
      </w:r>
      <w:r/>
    </w:p>
    <w:p>
      <w:pPr>
        <w:ind w:left="0"/>
        <w:jc w:val="left"/>
        <w:rPr>
          <w:rFonts w:hint="eastAsia" w:ascii="宋体" w:hAnsi="宋体" w:cs="宋体"/>
          <w:b/>
          <w:color w:val="auto"/>
          <w:sz w:val="32"/>
          <w:highlight w:val="none"/>
        </w:rPr>
      </w:pPr>
      <w:r>
        <w:rPr>
          <w:rFonts w:hint="eastAsia" w:ascii="宋体" w:hAnsi="宋体" w:cs="宋体"/>
          <w:b/>
          <w:color w:val="auto"/>
          <w:sz w:val="32"/>
          <w:highlight w:val="none"/>
        </w:rPr>
      </w:r>
      <w:r/>
    </w:p>
    <w:p>
      <w:pPr>
        <w:ind w:left="0"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p>
    <w:p>
      <w:pPr>
        <w:ind w:left="0"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p>
    <w:p>
      <w:pPr>
        <w:ind w:left="0"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p>
    <w:p>
      <w:pPr>
        <w:ind w:left="0" w:firstLine="1606"/>
        <w:jc w:val="left"/>
        <w:rPr>
          <w:rFonts w:hint="eastAsia" w:ascii="宋体" w:hAnsi="宋体" w:cs="宋体"/>
          <w:b/>
          <w:color w:val="auto"/>
          <w:sz w:val="32"/>
          <w:highlight w:val="none"/>
        </w:rPr>
      </w:pPr>
      <w:r>
        <w:rPr>
          <w:rFonts w:hint="eastAsia" w:ascii="宋体" w:hAnsi="宋体" w:cs="宋体"/>
          <w:b/>
          <w:color w:val="auto"/>
          <w:sz w:val="32"/>
          <w:highlight w:val="none"/>
        </w:rPr>
      </w:r>
      <w:r/>
    </w:p>
    <w:p>
      <w:pPr>
        <w:pStyle w:val="1043"/>
        <w:rPr>
          <w:rFonts w:hint="eastAsia" w:ascii="宋体" w:hAnsi="宋体" w:cs="宋体"/>
          <w:color w:val="auto"/>
          <w:highlight w:val="none"/>
        </w:rPr>
      </w:pPr>
      <w:r>
        <w:rPr>
          <w:rFonts w:hint="eastAsia" w:ascii="宋体" w:hAnsi="宋体" w:cs="宋体"/>
          <w:color w:val="auto"/>
          <w:highlight w:val="none"/>
        </w:rPr>
      </w:r>
      <w:r/>
    </w:p>
    <w:p>
      <w:pPr>
        <w:pStyle w:val="1041"/>
        <w:rPr>
          <w:rFonts w:hint="eastAsia" w:ascii="宋体" w:hAnsi="宋体" w:cs="宋体"/>
          <w:color w:val="auto"/>
          <w:highlight w:val="none"/>
        </w:rPr>
      </w:pPr>
      <w:r>
        <w:rPr>
          <w:rFonts w:hint="eastAsia" w:ascii="宋体" w:hAnsi="宋体" w:cs="宋体"/>
          <w:color w:val="auto"/>
          <w:highlight w:val="none"/>
        </w:rPr>
      </w:r>
      <w:r/>
    </w:p>
    <w:p>
      <w:pPr>
        <w:ind w:left="0"/>
        <w:jc w:val="center"/>
        <w:rPr>
          <w:rFonts w:hint="eastAsia" w:ascii="宋体" w:hAnsi="宋体" w:cs="宋体"/>
          <w:b/>
          <w:color w:val="auto"/>
          <w:sz w:val="32"/>
          <w:highlight w:val="none"/>
        </w:rPr>
      </w:pPr>
      <w:r>
        <w:rPr>
          <w:rFonts w:hint="eastAsia" w:ascii="宋体" w:hAnsi="宋体" w:cs="宋体"/>
          <w:b/>
          <w:color w:val="auto"/>
          <w:sz w:val="32"/>
          <w:highlight w:val="none"/>
        </w:rPr>
      </w:r>
      <w:r/>
    </w:p>
    <w:p>
      <w:pPr>
        <w:ind w:left="0"/>
        <w:jc w:val="center"/>
        <w:rPr>
          <w:rFonts w:hint="eastAsia" w:ascii="宋体" w:hAnsi="宋体" w:cs="宋体"/>
          <w:b/>
          <w:color w:val="auto"/>
          <w:sz w:val="32"/>
          <w:highlight w:val="none"/>
        </w:rPr>
      </w:pPr>
      <w:r>
        <w:rPr>
          <w:rFonts w:hint="eastAsia" w:ascii="宋体" w:hAnsi="宋体" w:cs="宋体"/>
          <w:b/>
          <w:color w:val="auto"/>
          <w:sz w:val="32"/>
          <w:highlight w:val="none"/>
        </w:rPr>
      </w:r>
      <w:r/>
    </w:p>
    <w:p>
      <w:pPr>
        <w:ind w:left="0"/>
        <w:rPr>
          <w:rFonts w:hint="eastAsia" w:ascii="宋体" w:hAnsi="宋体" w:cs="宋体"/>
          <w:b/>
          <w:color w:val="auto"/>
          <w:sz w:val="32"/>
          <w:highlight w:val="none"/>
        </w:rPr>
      </w:pPr>
      <w:r>
        <w:rPr>
          <w:rFonts w:hint="eastAsia" w:ascii="宋体" w:hAnsi="宋体" w:cs="宋体"/>
          <w:b/>
          <w:color w:val="auto"/>
          <w:sz w:val="32"/>
          <w:highlight w:val="none"/>
        </w:rPr>
      </w:r>
      <w:r/>
    </w:p>
    <w:p>
      <w:pPr>
        <w:ind w:left="0"/>
        <w:jc w:val="center"/>
        <w:rPr>
          <w:rFonts w:hint="eastAsia" w:ascii="宋体" w:hAnsi="宋体" w:cs="宋体"/>
          <w:b/>
          <w:color w:val="auto"/>
          <w:sz w:val="32"/>
          <w:highlight w:val="none"/>
        </w:rPr>
      </w:pPr>
      <w:r>
        <w:rPr>
          <w:rFonts w:hint="eastAsia" w:ascii="宋体" w:hAnsi="宋体" w:cs="宋体"/>
          <w:b/>
          <w:color w:val="auto"/>
          <w:sz w:val="32"/>
          <w:highlight w:val="none"/>
        </w:rPr>
        <w:t xml:space="preserve">苏州合亿盛工程咨询有限公司</w:t>
      </w:r>
      <w:r/>
    </w:p>
    <w:p>
      <w:pPr>
        <w:ind w:left="0"/>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二〇二四年</w:t>
      </w:r>
      <w:r>
        <w:rPr>
          <w:rFonts w:hint="eastAsia" w:ascii="宋体" w:hAnsi="宋体" w:cs="宋体"/>
          <w:b/>
          <w:color w:val="auto"/>
          <w:sz w:val="32"/>
          <w:highlight w:val="none"/>
          <w:lang w:val="en-US" w:eastAsia="zh-CN"/>
        </w:rPr>
        <w:t xml:space="preserve">九</w:t>
      </w:r>
      <w:r>
        <w:rPr>
          <w:rFonts w:hint="eastAsia" w:ascii="宋体" w:hAnsi="宋体" w:cs="宋体"/>
          <w:b/>
          <w:color w:val="auto"/>
          <w:sz w:val="32"/>
          <w:highlight w:val="none"/>
        </w:rPr>
        <w:t xml:space="preserve">月</w:t>
      </w:r>
      <w:r/>
    </w:p>
    <w:p>
      <w:pPr>
        <w:pStyle w:val="1041"/>
        <w:ind w:left="0" w:firstLine="0"/>
        <w:rPr>
          <w:rFonts w:hint="eastAsia" w:ascii="宋体" w:hAnsi="宋体" w:cs="宋体"/>
          <w:color w:val="auto"/>
          <w:highlight w:val="none"/>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851" w:right="1021" w:bottom="851" w:left="1021" w:header="567" w:footer="567" w:gutter="0"/>
          <w:cols w:num="1" w:sep="0" w:space="1701" w:equalWidth="1"/>
          <w:docGrid w:linePitch="360"/>
          <w:titlePg/>
        </w:sectPr>
      </w:pPr>
      <w:r>
        <w:rPr>
          <w:rFonts w:hint="eastAsia" w:ascii="宋体" w:hAnsi="宋体" w:cs="宋体"/>
          <w:color w:val="auto"/>
          <w:highlight w:val="none"/>
        </w:rPr>
      </w:r>
      <w:r/>
    </w:p>
    <w:p>
      <w:pPr>
        <w:ind w:left="0"/>
        <w:jc w:val="center"/>
        <w:rPr>
          <w:rFonts w:hint="eastAsia" w:ascii="宋体" w:hAnsi="宋体" w:cs="宋体"/>
          <w:b/>
          <w:color w:val="auto"/>
          <w:spacing w:val="20"/>
          <w:sz w:val="30"/>
          <w:highlight w:val="none"/>
        </w:rPr>
      </w:pPr>
      <w:r/>
      <w:bookmarkStart w:id="0" w:name="_Toc17003"/>
      <w:r/>
      <w:bookmarkStart w:id="1" w:name="_Toc16121"/>
      <w:r/>
      <w:bookmarkStart w:id="2" w:name="_Toc15681"/>
      <w:r/>
      <w:bookmarkStart w:id="3" w:name="_Toc12642"/>
      <w:r>
        <w:rPr>
          <w:rFonts w:hint="eastAsia" w:ascii="宋体" w:hAnsi="宋体" w:cs="宋体"/>
          <w:b/>
          <w:color w:val="auto"/>
          <w:spacing w:val="20"/>
          <w:sz w:val="30"/>
          <w:highlight w:val="none"/>
        </w:rPr>
        <w:t xml:space="preserve">前 附 表</w:t>
      </w:r>
      <w:bookmarkEnd w:id="0"/>
      <w:r/>
      <w:bookmarkEnd w:id="1"/>
      <w:r/>
      <w:bookmarkEnd w:id="2"/>
      <w:r/>
      <w:bookmarkEnd w:id="3"/>
      <w:r/>
      <w:r/>
    </w:p>
    <w:p>
      <w:pPr>
        <w:pStyle w:val="1043"/>
        <w:rPr>
          <w:rFonts w:hint="eastAsia" w:ascii="宋体" w:hAnsi="宋体" w:cs="宋体"/>
          <w:color w:val="auto"/>
          <w:highlight w:val="none"/>
        </w:rPr>
      </w:pPr>
      <w:r>
        <w:rPr>
          <w:rFonts w:hint="eastAsia" w:ascii="宋体" w:hAnsi="宋体" w:cs="宋体"/>
          <w:color w:val="auto"/>
          <w:highlight w:val="none"/>
        </w:rPr>
      </w:r>
      <w:r/>
    </w:p>
    <w:tbl>
      <w:tblPr>
        <w:tblStyle w:val="860"/>
        <w:tblW w:w="10031"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JSZC-320507-SHYS-C2024-0068</w:t>
            </w:r>
            <w:r/>
          </w:p>
        </w:tc>
      </w:tr>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中日师资培训基地项目</w:t>
            </w:r>
            <w:r/>
          </w:p>
        </w:tc>
      </w:tr>
      <w:tr>
        <w:trPr>
          <w:jc w:val="center"/>
          <w:trHeight w:val="3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本项目不收取磋商保证金（采购文件中涉及磋商保证金的条款均不适用）</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响应文件提交截止之日起九十天（日历日）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报名成功的供应商在下载采购文件后，对采购文件有质疑的，</w:t>
            </w:r>
            <w:r/>
          </w:p>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质疑递交地址：苏州市相城区聚茂路185号活力大厦</w:t>
            </w:r>
            <w:r>
              <w:rPr>
                <w:rFonts w:hint="eastAsia" w:ascii="宋体" w:hAnsi="宋体" w:cs="宋体"/>
                <w:color w:val="auto"/>
                <w:sz w:val="21"/>
                <w:szCs w:val="21"/>
                <w:highlight w:val="none"/>
                <w:lang w:val="en-US" w:eastAsia="zh-CN"/>
              </w:rPr>
              <w:t xml:space="preserve">B</w:t>
            </w:r>
            <w:r>
              <w:rPr>
                <w:rFonts w:hint="eastAsia" w:ascii="宋体" w:hAnsi="宋体" w:cs="宋体"/>
                <w:color w:val="auto"/>
                <w:sz w:val="21"/>
                <w:szCs w:val="21"/>
                <w:highlight w:val="none"/>
              </w:rPr>
              <w:t xml:space="preserve">座50</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；电话：0512-67210880；联系人：</w:t>
            </w:r>
            <w:r>
              <w:rPr>
                <w:rFonts w:hint="eastAsia" w:ascii="宋体" w:hAnsi="宋体" w:cs="宋体"/>
                <w:color w:val="auto"/>
                <w:sz w:val="21"/>
                <w:szCs w:val="21"/>
                <w:highlight w:val="none"/>
                <w:lang w:eastAsia="zh-CN"/>
              </w:rPr>
              <w:t xml:space="preserve">徐晓逸/胡欢/吴雯瑜</w:t>
            </w:r>
            <w:r>
              <w:rPr>
                <w:rFonts w:hint="eastAsia" w:ascii="宋体" w:hAnsi="宋体" w:cs="宋体"/>
                <w:color w:val="auto"/>
                <w:sz w:val="21"/>
                <w:szCs w:val="21"/>
                <w:highlight w:val="none"/>
              </w:rPr>
              <w:t xml:space="preserve">）。</w:t>
            </w:r>
            <w:r/>
          </w:p>
        </w:tc>
      </w:tr>
      <w:tr>
        <w:trPr>
          <w:jc w:val="center"/>
          <w:trHeight w:val="61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投标（响应）文件网上</w:t>
            </w:r>
            <w:r/>
          </w:p>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2024年</w:t>
            </w:r>
            <w:r>
              <w:rPr>
                <w:rFonts w:hint="eastAsia" w:ascii="宋体" w:hAnsi="宋体" w:cs="宋体"/>
                <w:color w:val="auto"/>
                <w:sz w:val="21"/>
                <w:szCs w:val="21"/>
                <w:highlight w:val="none"/>
                <w:lang w:val="en-US" w:eastAsia="zh-CN"/>
              </w:rPr>
              <w:t xml:space="preserve">10月10日13</w:t>
            </w:r>
            <w:r>
              <w:rPr>
                <w:rFonts w:hint="eastAsia" w:ascii="宋体" w:hAnsi="宋体" w:cs="宋体"/>
                <w:color w:val="auto"/>
                <w:sz w:val="21"/>
                <w:szCs w:val="21"/>
                <w:highlight w:val="none"/>
              </w:rPr>
              <w:t xml:space="preserve">点30分（北京时间）</w:t>
            </w:r>
            <w:r/>
          </w:p>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必须在截止时间前完成提交（上传），逾期提交（上传）的</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开标时间</w:t>
            </w:r>
            <w:r/>
          </w:p>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2024年</w:t>
            </w:r>
            <w:r>
              <w:rPr>
                <w:rFonts w:hint="eastAsia" w:ascii="宋体" w:hAnsi="宋体" w:cs="宋体"/>
                <w:color w:val="auto"/>
                <w:sz w:val="21"/>
                <w:szCs w:val="21"/>
                <w:highlight w:val="none"/>
                <w:lang w:val="en-US" w:eastAsia="zh-CN"/>
              </w:rPr>
              <w:t xml:space="preserve">10月10日13</w:t>
            </w:r>
            <w:r>
              <w:rPr>
                <w:rFonts w:hint="eastAsia" w:ascii="宋体" w:hAnsi="宋体" w:cs="宋体"/>
                <w:color w:val="auto"/>
                <w:sz w:val="21"/>
                <w:szCs w:val="21"/>
                <w:highlight w:val="none"/>
              </w:rPr>
              <w:t xml:space="preserve">点30分（北京时间）</w:t>
            </w:r>
            <w:r/>
          </w:p>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“苏采云”系统（网址：http://jszfcg.jsczt.cn/）</w:t>
            </w:r>
            <w:r/>
          </w:p>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本项目为不见面开标项目，开标阶段供应商在【供应商解密】环节必须使用 CA证书解密电子</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，如在系统规定的解密时间（</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提交截止时间后30分钟）内未能完成解密的视为放弃投标。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评标时间</w:t>
            </w:r>
            <w:r/>
          </w:p>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2024年</w:t>
            </w:r>
            <w:r>
              <w:rPr>
                <w:rFonts w:hint="eastAsia" w:ascii="宋体" w:hAnsi="宋体" w:cs="宋体"/>
                <w:color w:val="auto"/>
                <w:sz w:val="21"/>
                <w:szCs w:val="21"/>
                <w:highlight w:val="none"/>
                <w:lang w:val="en-US" w:eastAsia="zh-CN"/>
              </w:rPr>
              <w:t xml:space="preserve">10月10日13</w:t>
            </w:r>
            <w:r>
              <w:rPr>
                <w:rFonts w:hint="eastAsia" w:ascii="宋体" w:hAnsi="宋体" w:cs="宋体"/>
                <w:color w:val="auto"/>
                <w:sz w:val="21"/>
                <w:szCs w:val="21"/>
                <w:highlight w:val="none"/>
              </w:rPr>
              <w:t xml:space="preserve">点30分（北京时间）</w:t>
            </w:r>
            <w:r/>
          </w:p>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苏州市相城区采莲路1788号市民服务中心3号楼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本项目采用电子</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，投标人按照招标文件要求制作上传电子</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，投标人无需提供纸质</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w:t>
            </w:r>
            <w:r/>
          </w:p>
        </w:tc>
      </w:tr>
      <w:tr>
        <w:trPr>
          <w:jc w:val="center"/>
          <w:trHeight w:val="5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本项目不组织统一勘察</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本项目不收取履约保证金（采购文件中涉及履约保证金的条款均不适用）</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确定出中标(成交)人后，采购代理机构在法定时间内向中标(成交)人发出中标(成交)通知书。中标(成交)通知书将成为合同的组成部分。</w:t>
            </w:r>
            <w:r/>
          </w:p>
          <w:p>
            <w:pPr>
              <w:ind w:left="0"/>
              <w:jc w:val="left"/>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rPr>
              <w:t xml:space="preserve">请中标人在中标结果公告届满之日起30日内,使用CA证书登录“苏采云”系统及时下载中标通知书。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代理服务费收费标准：</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预算金额100万元以下部分，费率为该部分预算金额的1.5%；</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预算金额100万元（含）－500万元部分，费率为该部分预算金额的1.1%；</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预算金额500万元（含）-1000万元部分，费率为该部分预算金额的0.8%；</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预算金额1000万元（含）-5000万元部分，费率为该部分预算金额的0.5%；</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成交单位须按上述规定计算并支付服务费，该费用应在领取成交通知书时付清。</w:t>
            </w:r>
            <w:r/>
          </w:p>
          <w:p>
            <w:pPr>
              <w:pStyle w:val="1065"/>
              <w:ind w:left="0" w:firstLine="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汇款银行资料：</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收款人名称：苏州合亿盛工程咨询有限公司</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开户行名称：中国农业银行股份有限公司苏州元和支行</w:t>
            </w:r>
            <w:r/>
          </w:p>
          <w:p>
            <w:pPr>
              <w:pStyle w:val="1065"/>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银行</w:t>
            </w:r>
            <w:r>
              <w:rPr>
                <w:rFonts w:hint="eastAsia" w:ascii="宋体" w:hAnsi="宋体" w:cs="宋体"/>
                <w:color w:val="auto"/>
                <w:sz w:val="21"/>
                <w:szCs w:val="21"/>
                <w:highlight w:val="none"/>
                <w:lang w:val="en-US"/>
              </w:rPr>
              <w:t xml:space="preserve">账</w:t>
            </w:r>
            <w:r>
              <w:rPr>
                <w:rFonts w:hint="eastAsia" w:ascii="宋体" w:hAnsi="宋体" w:cs="宋体"/>
                <w:color w:val="auto"/>
                <w:sz w:val="21"/>
                <w:szCs w:val="21"/>
                <w:highlight w:val="none"/>
              </w:rPr>
              <w:t xml:space="preserve">号：10541101040028625</w:t>
            </w:r>
            <w:r/>
          </w:p>
        </w:tc>
      </w:tr>
    </w:tbl>
    <w:p>
      <w:pPr>
        <w:ind w:left="0"/>
        <w:jc w:val="center"/>
        <w:rPr>
          <w:rFonts w:hint="eastAsia" w:ascii="宋体" w:hAnsi="宋体" w:cs="宋体"/>
          <w:color w:val="auto"/>
          <w:sz w:val="44"/>
          <w:szCs w:val="44"/>
          <w:highlight w:val="none"/>
        </w:rPr>
        <w:sectPr>
          <w:headerReference w:type="default" r:id="rId12"/>
          <w:headerReference w:type="first" r:id="rId13"/>
          <w:footerReference w:type="default" r:id="rId16"/>
          <w:footerReference w:type="first" r:id="rId17"/>
          <w:footnotePr/>
          <w:endnotePr/>
          <w:type w:val="nextPage"/>
          <w:pgSz w:w="11906" w:h="16838" w:orient="portrait"/>
          <w:pgMar w:top="1418" w:right="1021" w:bottom="1418" w:left="1021" w:header="794" w:footer="567" w:gutter="0"/>
          <w:cols w:num="1" w:sep="0" w:space="1701" w:equalWidth="1"/>
          <w:docGrid w:linePitch="360"/>
          <w:titlePg/>
        </w:sectPr>
      </w:pPr>
      <w:r/>
      <w:bookmarkStart w:id="4" w:name="_Toc58248879"/>
      <w:r/>
      <w:bookmarkStart w:id="5" w:name="_Toc28592"/>
      <w:r/>
      <w:bookmarkStart w:id="6" w:name="_Toc7166"/>
      <w:r/>
      <w:bookmarkStart w:id="7" w:name="_Toc57376405"/>
      <w:r/>
      <w:r/>
    </w:p>
    <w:p>
      <w:pPr>
        <w:ind w:left="0"/>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ind w:left="0"/>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1043"/>
        <w:rPr>
          <w:rFonts w:hint="eastAsia" w:ascii="宋体" w:hAnsi="宋体" w:cs="宋体"/>
          <w:color w:val="auto"/>
          <w:highlight w:val="none"/>
        </w:rPr>
      </w:pPr>
      <w:r>
        <w:rPr>
          <w:rFonts w:hint="eastAsia" w:ascii="宋体" w:hAnsi="宋体" w:cs="宋体"/>
          <w:color w:val="auto"/>
          <w:highlight w:val="none"/>
        </w:rPr>
      </w:r>
      <w:r/>
    </w:p>
    <w:p>
      <w:pPr>
        <w:pStyle w:val="1054"/>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_Toc31973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第一章 磋商邀请函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_Toc31973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54"/>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_Toc17757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_Toc17757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54"/>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_Toc332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第三章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_Toc332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54"/>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_Toc23981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_Toc23981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54"/>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_Toc26481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第五章 合同及主要条款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_Toc26481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54"/>
        <w:ind w:firstLine="0"/>
        <w:keepLines w:val="0"/>
        <w:keepNext w:val="0"/>
        <w:pageBreakBefore w:val="0"/>
        <w:spacing w:line="360" w:lineRule="auto"/>
        <w:widowControl w:val="off"/>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_Toc16154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第六章 评审办法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_Toc16154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54"/>
        <w:ind w:firstLine="0"/>
        <w:tabs>
          <w:tab w:val="right" w:pos="9864"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_Toc9262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end"/>
      </w:r>
      <w:r/>
    </w:p>
    <w:p>
      <w:pPr>
        <w:ind w:left="0"/>
        <w:spacing w:line="360" w:lineRule="auto"/>
        <w:rPr>
          <w:rFonts w:hint="eastAsia" w:ascii="宋体" w:hAnsi="宋体" w:cs="宋体"/>
          <w:b/>
          <w:color w:val="auto"/>
          <w:sz w:val="44"/>
          <w:szCs w:val="44"/>
          <w:highlight w:val="none"/>
        </w:rPr>
      </w:pPr>
      <w:r>
        <w:rPr>
          <w:rFonts w:hint="eastAsia" w:ascii="宋体" w:hAnsi="宋体" w:cs="宋体"/>
          <w:color w:val="auto"/>
          <w:sz w:val="28"/>
          <w:szCs w:val="28"/>
          <w:highlight w:val="none"/>
        </w:rPr>
        <w:fldChar w:fldCharType="end"/>
      </w:r>
      <w:bookmarkStart w:id="8" w:name="_Toc6212"/>
      <w:r>
        <w:rPr>
          <w:rFonts w:hint="eastAsia" w:ascii="宋体" w:hAnsi="宋体" w:cs="宋体"/>
          <w:b/>
          <w:color w:val="auto"/>
          <w:sz w:val="44"/>
          <w:szCs w:val="44"/>
          <w:highlight w:val="none"/>
        </w:rPr>
        <w:br w:type="page" w:clear="all"/>
      </w:r>
      <w:bookmarkEnd w:id="8"/>
      <w:r/>
      <w:bookmarkStart w:id="9" w:name="_Toc19808"/>
      <w:r/>
      <w:r/>
    </w:p>
    <w:p>
      <w:pPr>
        <w:pStyle w:val="1037"/>
        <w:ind w:left="0" w:firstLine="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037"/>
        <w:ind w:left="0" w:firstLine="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037"/>
        <w:ind w:left="0" w:firstLine="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037"/>
        <w:ind w:left="0" w:firstLine="0"/>
        <w:jc w:val="center"/>
        <w:rPr>
          <w:rFonts w:hint="eastAsia" w:ascii="宋体" w:hAnsi="宋体" w:cs="宋体"/>
          <w:b/>
          <w:color w:val="auto"/>
          <w:sz w:val="44"/>
          <w:szCs w:val="44"/>
          <w:highlight w:val="none"/>
        </w:rPr>
      </w:pPr>
      <w:r/>
      <w:bookmarkStart w:id="10" w:name="_Toc22054"/>
      <w:r/>
      <w:bookmarkStart w:id="11" w:name="_Toc31973"/>
      <w:r>
        <w:rPr>
          <w:rFonts w:hint="eastAsia" w:ascii="宋体" w:hAnsi="宋体" w:cs="宋体"/>
          <w:b/>
          <w:color w:val="auto"/>
          <w:sz w:val="44"/>
          <w:szCs w:val="44"/>
          <w:highlight w:val="none"/>
        </w:rPr>
        <w:t xml:space="preserve">第一章 磋商邀请函</w:t>
      </w:r>
      <w:bookmarkEnd w:id="4"/>
      <w:r/>
      <w:bookmarkEnd w:id="5"/>
      <w:r/>
      <w:bookmarkEnd w:id="6"/>
      <w:r/>
      <w:bookmarkEnd w:id="7"/>
      <w:r/>
      <w:bookmarkEnd w:id="9"/>
      <w:r/>
      <w:bookmarkEnd w:id="10"/>
      <w:r/>
      <w:bookmarkEnd w:id="11"/>
      <w:r/>
      <w:r/>
    </w:p>
    <w:p>
      <w:pPr>
        <w:pStyle w:val="1037"/>
        <w:ind w:left="0" w:firstLine="0"/>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left="0" w:firstLine="480"/>
        <w:jc w:val="left"/>
        <w:spacing w:line="360" w:lineRule="auto"/>
        <w:rPr>
          <w:rFonts w:hint="eastAsia" w:ascii="宋体" w:hAnsi="宋体" w:cs="宋体"/>
          <w:color w:val="auto"/>
          <w:sz w:val="24"/>
          <w:szCs w:val="24"/>
          <w:highlight w:val="none"/>
        </w:rPr>
      </w:pPr>
      <w:r/>
      <w:bookmarkStart w:id="12" w:name="_Toc3644"/>
      <w:r/>
      <w:bookmarkStart w:id="13" w:name="_Toc16571"/>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lang w:eastAsia="zh-CN"/>
        </w:rPr>
        <w:t xml:space="preserve">江苏省相城中等专业学校</w:t>
      </w:r>
      <w:r>
        <w:rPr>
          <w:rFonts w:hint="eastAsia" w:ascii="宋体" w:hAnsi="宋体" w:cs="宋体"/>
          <w:color w:val="auto"/>
          <w:sz w:val="24"/>
          <w:szCs w:val="24"/>
          <w:highlight w:val="none"/>
        </w:rPr>
        <w:t xml:space="preserve">的委托，就</w:t>
      </w:r>
      <w:r>
        <w:rPr>
          <w:rFonts w:hint="eastAsia" w:ascii="宋体" w:hAnsi="宋体" w:cs="宋体"/>
          <w:color w:val="auto"/>
          <w:sz w:val="24"/>
          <w:szCs w:val="24"/>
          <w:highlight w:val="none"/>
          <w:u w:val="single"/>
          <w:lang w:eastAsia="zh-CN"/>
        </w:rPr>
        <w:t xml:space="preserve">中日师资培训基地项目</w:t>
      </w:r>
      <w:r>
        <w:rPr>
          <w:rFonts w:hint="eastAsia" w:ascii="宋体" w:hAnsi="宋体" w:cs="宋体"/>
          <w:color w:val="auto"/>
          <w:sz w:val="24"/>
          <w:szCs w:val="24"/>
          <w:highlight w:val="none"/>
        </w:rPr>
        <w:t xml:space="preserve">采用竞争性磋商方式进行采购。欢迎符合资格条件的供应商前来报名参加磋商。</w:t>
      </w:r>
      <w:bookmarkEnd w:id="12"/>
      <w:r/>
      <w:bookmarkEnd w:id="13"/>
      <w:r/>
      <w:r/>
    </w:p>
    <w:p>
      <w:pPr>
        <w:ind w:left="0" w:firstLine="480"/>
        <w:spacing w:line="360" w:lineRule="auto"/>
        <w:widowControl w:val="off"/>
        <w:rPr>
          <w:rFonts w:hint="eastAsia" w:ascii="宋体" w:hAnsi="宋体" w:cs="宋体"/>
          <w:color w:val="auto"/>
          <w:sz w:val="24"/>
          <w:szCs w:val="24"/>
          <w:highlight w:val="none"/>
        </w:rPr>
      </w:pPr>
      <w:r/>
      <w:bookmarkStart w:id="14" w:name="_Toc19838"/>
      <w:r/>
      <w:bookmarkStart w:id="15" w:name="_Toc14794"/>
      <w:r>
        <w:rPr>
          <w:rFonts w:hint="eastAsia" w:ascii="宋体" w:hAnsi="宋体" w:cs="宋体"/>
          <w:color w:val="auto"/>
          <w:sz w:val="24"/>
          <w:szCs w:val="24"/>
          <w:highlight w:val="none"/>
        </w:rPr>
        <w:t xml:space="preserve">一、项目基本情况：</w:t>
      </w:r>
      <w:r/>
    </w:p>
    <w:p>
      <w:pPr>
        <w:ind w:left="0" w:firstLine="48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JSZC-320507-SHYS-C2024-0068</w:t>
      </w:r>
      <w:r>
        <w:rPr>
          <w:rFonts w:hint="eastAsia" w:ascii="宋体" w:hAnsi="宋体" w:cs="宋体"/>
          <w:color w:val="auto"/>
          <w:sz w:val="24"/>
          <w:szCs w:val="24"/>
          <w:highlight w:val="none"/>
        </w:rPr>
        <w:t xml:space="preserve">号</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中日师资培训基地项目</w:t>
      </w:r>
      <w:r/>
    </w:p>
    <w:p>
      <w:pPr>
        <w:pStyle w:val="888"/>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4、采购预算：</w:t>
      </w:r>
      <w:r/>
    </w:p>
    <w:p>
      <w:pPr>
        <w:ind w:left="0" w:firstLine="480"/>
        <w:spacing w:line="360" w:lineRule="auto"/>
        <w:rPr>
          <w:rStyle w:val="1071"/>
          <w:rFonts w:ascii="宋体" w:hAnsi="宋体" w:cs="宋体"/>
          <w:color w:val="auto"/>
          <w:sz w:val="24"/>
          <w:szCs w:val="24"/>
          <w:highlight w:val="none"/>
        </w:rPr>
      </w:pPr>
      <w:r>
        <w:rPr>
          <w:rStyle w:val="1071"/>
          <w:rFonts w:hint="eastAsia" w:ascii="宋体" w:hAnsi="宋体" w:cs="宋体"/>
          <w:color w:val="auto"/>
          <w:sz w:val="24"/>
          <w:szCs w:val="24"/>
          <w:highlight w:val="none"/>
        </w:rPr>
        <w:t xml:space="preserve">人民币（大写）：</w:t>
      </w:r>
      <w:r>
        <w:rPr>
          <w:rStyle w:val="1071"/>
          <w:rFonts w:hint="eastAsia" w:ascii="宋体" w:hAnsi="宋体" w:cs="宋体"/>
          <w:color w:val="auto"/>
          <w:sz w:val="24"/>
          <w:szCs w:val="24"/>
          <w:highlight w:val="none"/>
          <w:lang w:val="en-US" w:eastAsia="zh-CN"/>
        </w:rPr>
        <w:t xml:space="preserve">玖拾柒万捌仟</w:t>
      </w:r>
      <w:r>
        <w:rPr>
          <w:rStyle w:val="1071"/>
          <w:rFonts w:hint="eastAsia" w:ascii="宋体" w:hAnsi="宋体" w:cs="宋体"/>
          <w:color w:val="auto"/>
          <w:sz w:val="24"/>
          <w:szCs w:val="24"/>
          <w:highlight w:val="none"/>
        </w:rPr>
        <w:t xml:space="preserve">元整</w:t>
      </w:r>
      <w:r/>
    </w:p>
    <w:p>
      <w:pPr>
        <w:ind w:left="0" w:firstLine="480"/>
        <w:spacing w:line="360" w:lineRule="auto"/>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人民币（小写）：¥978</w:t>
      </w:r>
      <w:r>
        <w:rPr>
          <w:rStyle w:val="1071"/>
          <w:rFonts w:hint="eastAsia" w:ascii="宋体" w:hAnsi="宋体" w:cs="宋体"/>
          <w:color w:val="auto"/>
          <w:sz w:val="24"/>
          <w:szCs w:val="24"/>
          <w:highlight w:val="none"/>
          <w:lang w:val="en-US" w:eastAsia="zh-CN"/>
        </w:rPr>
        <w:t xml:space="preserve">000.00</w:t>
      </w:r>
      <w:r>
        <w:rPr>
          <w:rStyle w:val="1071"/>
          <w:rFonts w:hint="eastAsia" w:ascii="宋体" w:hAnsi="宋体" w:cs="宋体"/>
          <w:color w:val="auto"/>
          <w:sz w:val="24"/>
          <w:szCs w:val="24"/>
          <w:highlight w:val="none"/>
        </w:rPr>
        <w:t xml:space="preserve">元</w:t>
      </w:r>
      <w:r/>
    </w:p>
    <w:p>
      <w:pPr>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5、本项目不接受联合体。</w:t>
      </w:r>
      <w:bookmarkEnd w:id="14"/>
      <w:r/>
      <w:bookmarkEnd w:id="15"/>
      <w:r/>
      <w:r/>
    </w:p>
    <w:p>
      <w:pPr>
        <w:ind w:left="0" w:firstLine="480"/>
        <w:spacing w:line="360" w:lineRule="auto"/>
        <w:rPr>
          <w:rFonts w:hint="eastAsia" w:ascii="宋体" w:hAnsi="宋体" w:cs="宋体"/>
          <w:color w:val="auto"/>
          <w:sz w:val="24"/>
          <w:szCs w:val="24"/>
          <w:highlight w:val="none"/>
        </w:rPr>
      </w:pPr>
      <w:r/>
      <w:bookmarkStart w:id="16" w:name="_Toc2412"/>
      <w:r/>
      <w:bookmarkStart w:id="17" w:name="_Toc58248880"/>
      <w:r/>
      <w:bookmarkStart w:id="18" w:name="_Toc57376406"/>
      <w:r/>
      <w:bookmarkStart w:id="19" w:name="_Toc6217"/>
      <w:r>
        <w:rPr>
          <w:rFonts w:hint="eastAsia" w:ascii="宋体" w:hAnsi="宋体" w:cs="宋体"/>
          <w:color w:val="auto"/>
          <w:sz w:val="24"/>
          <w:szCs w:val="24"/>
          <w:highlight w:val="none"/>
        </w:rPr>
        <w:t xml:space="preserve">二、申请人的资格要求：</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（5）参加政府采购活动近三年内，在经营活动中没有重大违法记录；</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t xml:space="preserve">落实政府采购政策需满足的资格要求：根据《政府采购促进中小企业发展管理办法》及《关于印发&lt;苏州市政府采购促进中小企业发展实施意见&gt;的通知》（苏财购〔2022〕16号）的相关规定，本项目专门面向中小企业，供应商应为中小微企业、监狱企业、残疾人福利性单位。</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三、获取采购文件：</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（一）时间：自本项目采购公告发布之日起至</w:t>
      </w:r>
      <w:r>
        <w:rPr>
          <w:rFonts w:hint="eastAsia" w:ascii="宋体" w:hAnsi="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9月27日</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（二）地点：“苏采云”系统下载（网址：http://jszfcg.jsczt.cn/）</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（三）方式：网上获取</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2、参与采购活动</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3、电子投标准备 </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4、在系统操作过程中如有疑问，请按以下方式联系：</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注册咨询：18261002950；</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CA技术咨询电话：400-608-6099；</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签章使用问题：025-83633811、025-83633812、15380932027、15371015030；</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系统使用指导与咨询：联系电话：18261002950；QQ：3048755361、1315179389、895706745。</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5、售价：免费获取</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截止时间、开标时间和地点</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10月10日13</w:t>
      </w:r>
      <w:r>
        <w:rPr>
          <w:rFonts w:hint="eastAsia" w:ascii="宋体" w:hAnsi="宋体" w:cs="宋体"/>
          <w:color w:val="auto"/>
          <w:sz w:val="24"/>
          <w:szCs w:val="24"/>
          <w:highlight w:val="none"/>
        </w:rPr>
        <w:t xml:space="preserve">点30分（北京时间）；</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10月10日13</w:t>
      </w:r>
      <w:r>
        <w:rPr>
          <w:rFonts w:hint="eastAsia" w:ascii="宋体" w:hAnsi="宋体" w:cs="宋体"/>
          <w:color w:val="auto"/>
          <w:sz w:val="24"/>
          <w:szCs w:val="24"/>
          <w:highlight w:val="none"/>
        </w:rPr>
        <w:t xml:space="preserve">点30分（北京时间）；</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4、本项目采用电子招投标形式，请供应商按照《苏采云系统供应商操作手册》进行制作、上传电子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制作完成后请于</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递交截止时间前成功上传至“苏采云”系统，否则视为放弃参加该采购项目。供应商应充分考虑到网络环境、网络带宽等风险因素，如因供应商自身原因造成的电子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上传不成功由供应商自行承担全部责任。</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w:t>
      </w:r>
      <w:bookmarkStart w:id="82" w:name="_GoBack"/>
      <w:r/>
      <w:bookmarkEnd w:id="82"/>
      <w:r>
        <w:rPr>
          <w:rFonts w:hint="eastAsia" w:ascii="宋体" w:hAnsi="宋体" w:cs="宋体"/>
          <w:color w:val="auto"/>
          <w:sz w:val="24"/>
          <w:szCs w:val="24"/>
          <w:highlight w:val="none"/>
        </w:rPr>
        <w:t xml:space="preserve">项目，开标阶段供应商在【供应商解密】环节必须使用 CA证书解密电子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，如在系统规定的解密时间（</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提交截止时间后30分钟）内未能完成解密的视为放弃投标。</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请供应商确保电脑、系统及其他设备（视频输入输出设备等）无误，且开标直至项目结束始终保持系统在线状态。</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五、其他补充事宜</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1、为本项目提供整体设计、规范编制或者项目管理、监理、检测等服务的供应商：无。</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不同供应商响应文件的制作机器码一致，均视为无效响应。</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、政府采购管理监督电话：0512-67591005、0512-67591006</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、本采购信息公告媒体：</w:t>
      </w:r>
      <w:r>
        <w:rPr>
          <w:rFonts w:hint="eastAsia" w:ascii="宋体" w:hAnsi="宋体" w:cs="宋体"/>
          <w:color w:val="auto"/>
          <w:sz w:val="24"/>
          <w:szCs w:val="24"/>
          <w:highlight w:val="none"/>
          <w:lang w:eastAsia="zh-CN"/>
        </w:rPr>
        <w:t xml:space="preserve">苏州市政府采购网、江苏政府采购网、中国政府采购网</w:t>
      </w:r>
      <w:r>
        <w:rPr>
          <w:rFonts w:hint="eastAsia" w:ascii="宋体" w:hAnsi="宋体" w:cs="宋体"/>
          <w:color w:val="auto"/>
          <w:sz w:val="24"/>
          <w:szCs w:val="24"/>
          <w:highlight w:val="none"/>
        </w:rPr>
        <w:t xml:space="preserve">。</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、响应保证金：本项目无需提交响应保证金。项目不收投标（响应）保证金的，投标（响应）人应在投标（响应）文件中提交《投标（响应）保证承诺书》（格式见采购文件第三章）。</w:t>
      </w:r>
      <w:r/>
    </w:p>
    <w:p>
      <w:pPr>
        <w:ind w:left="0" w:firstLine="480"/>
        <w:spacing w:line="360" w:lineRule="auto"/>
        <w:widowControl w:val="off"/>
        <w:rPr>
          <w:color w:val="auto"/>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、本项目获取招标文件截止日期之后仍可以下载招标文件，但截止日期之后下载的招标文件，视为非有效方式且不作为供应商权益受到损害的证明材料和依据。</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、根据《政府采购促进中小企业发展管理办法》（财库〔2020〕46号）及《中小企业划型标准规定》（工信部联企业〔2011〕300号），本项目采购标的对应的中小企业划分标准所属行业为</w:t>
      </w:r>
      <w:r>
        <w:rPr>
          <w:rFonts w:hint="eastAsia" w:ascii="宋体" w:hAnsi="宋体" w:cs="宋体"/>
          <w:color w:val="auto"/>
          <w:sz w:val="24"/>
          <w:szCs w:val="24"/>
          <w:highlight w:val="none"/>
        </w:rPr>
        <w:t xml:space="preserve">其他未列明行业。</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六、凡对本次采购提出询问，请按以下方式联系：</w:t>
      </w:r>
      <w:r/>
    </w:p>
    <w:p>
      <w:pPr>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1、采购人信息</w:t>
      </w:r>
      <w:r/>
    </w:p>
    <w:p>
      <w:pPr>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名    称：</w:t>
      </w:r>
      <w:r>
        <w:rPr>
          <w:rFonts w:hint="eastAsia" w:ascii="宋体" w:hAnsi="宋体" w:cs="宋体"/>
          <w:bCs/>
          <w:color w:val="auto"/>
          <w:sz w:val="24"/>
          <w:szCs w:val="24"/>
          <w:highlight w:val="none"/>
          <w:lang w:eastAsia="zh-CN"/>
        </w:rPr>
        <w:t xml:space="preserve">江苏省相城中等专业学校</w:t>
      </w:r>
      <w:r/>
    </w:p>
    <w:p>
      <w:pPr>
        <w:ind w:left="0"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址：江苏省苏州市相城区济学路2号</w:t>
      </w:r>
      <w:r/>
    </w:p>
    <w:p>
      <w:pPr>
        <w:ind w:left="0"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    话：0512-66152319（潘</w:t>
      </w:r>
      <w:r>
        <w:rPr>
          <w:rFonts w:hint="eastAsia" w:ascii="宋体" w:hAnsi="宋体" w:eastAsia="宋体" w:cs="宋体"/>
          <w:color w:val="auto"/>
          <w:sz w:val="24"/>
          <w:szCs w:val="24"/>
          <w:highlight w:val="none"/>
          <w:lang w:val="en-US" w:eastAsia="zh-CN"/>
        </w:rPr>
        <w:t xml:space="preserve">老师</w:t>
      </w:r>
      <w:r>
        <w:rPr>
          <w:rFonts w:hint="eastAsia" w:ascii="宋体" w:hAnsi="宋体" w:eastAsia="宋体" w:cs="宋体"/>
          <w:color w:val="auto"/>
          <w:sz w:val="24"/>
          <w:szCs w:val="24"/>
          <w:highlight w:val="none"/>
          <w:lang w:eastAsia="zh-CN"/>
        </w:rPr>
        <w:t xml:space="preserve">）</w:t>
      </w:r>
      <w:r/>
    </w:p>
    <w:p>
      <w:pPr>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2、采购代理机构信息</w:t>
      </w:r>
      <w:r/>
    </w:p>
    <w:p>
      <w:pPr>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    称：</w:t>
      </w:r>
      <w:r>
        <w:rPr>
          <w:rFonts w:hint="eastAsia" w:ascii="宋体" w:hAnsi="宋体" w:cs="宋体"/>
          <w:color w:val="auto"/>
          <w:sz w:val="24"/>
          <w:szCs w:val="24"/>
          <w:highlight w:val="none"/>
        </w:rPr>
        <w:t xml:space="preserve">苏州合亿盛工程咨询有限公司</w:t>
      </w:r>
      <w:r/>
    </w:p>
    <w:p>
      <w:pPr>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地    址：</w:t>
      </w:r>
      <w:r>
        <w:rPr>
          <w:rFonts w:hint="eastAsia" w:ascii="宋体" w:hAnsi="宋体" w:cs="宋体"/>
          <w:color w:val="auto"/>
          <w:sz w:val="24"/>
          <w:szCs w:val="24"/>
          <w:highlight w:val="none"/>
          <w:lang w:eastAsia="zh-CN"/>
        </w:rPr>
        <w:t xml:space="preserve">苏州市相城区聚茂路185号活力大厦B座502室</w:t>
      </w:r>
      <w:r/>
    </w:p>
    <w:p>
      <w:pPr>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联系方式：</w:t>
      </w:r>
      <w:r>
        <w:rPr>
          <w:rFonts w:hint="eastAsia" w:ascii="宋体" w:hAnsi="宋体" w:cs="宋体"/>
          <w:color w:val="auto"/>
          <w:sz w:val="24"/>
          <w:szCs w:val="24"/>
          <w:highlight w:val="none"/>
        </w:rPr>
        <w:t xml:space="preserve">0512-67210880</w:t>
      </w:r>
      <w:r/>
    </w:p>
    <w:p>
      <w:pPr>
        <w:ind w:left="0"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3、项目联系方式</w:t>
      </w:r>
      <w:r/>
    </w:p>
    <w:p>
      <w:pPr>
        <w:ind w:left="0" w:firstLine="480"/>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项目联系人：</w:t>
      </w:r>
      <w:r>
        <w:rPr>
          <w:rFonts w:hint="eastAsia" w:ascii="宋体" w:hAnsi="宋体" w:cs="宋体"/>
          <w:color w:val="auto"/>
          <w:sz w:val="24"/>
          <w:szCs w:val="24"/>
          <w:highlight w:val="none"/>
          <w:lang w:eastAsia="zh-CN"/>
        </w:rPr>
        <w:t xml:space="preserve">徐晓逸/胡欢/吴雯瑜</w:t>
      </w:r>
      <w:r/>
    </w:p>
    <w:p>
      <w:pPr>
        <w:ind w:left="0" w:firstLine="480"/>
        <w:spacing w:line="360" w:lineRule="auto"/>
        <w:rPr>
          <w:rFonts w:hint="eastAsia" w:ascii="宋体" w:hAnsi="宋体" w:cs="宋体"/>
          <w:color w:val="auto"/>
          <w:highlight w:val="none"/>
        </w:rPr>
      </w:pPr>
      <w:r>
        <w:rPr>
          <w:rFonts w:hint="eastAsia" w:ascii="宋体" w:hAnsi="宋体" w:cs="宋体"/>
          <w:bCs/>
          <w:color w:val="auto"/>
          <w:sz w:val="24"/>
          <w:szCs w:val="24"/>
          <w:highlight w:val="none"/>
        </w:rPr>
        <w:t xml:space="preserve">电      话：</w:t>
      </w:r>
      <w:r>
        <w:rPr>
          <w:rFonts w:hint="eastAsia" w:ascii="宋体" w:hAnsi="宋体" w:cs="宋体"/>
          <w:color w:val="auto"/>
          <w:sz w:val="24"/>
          <w:szCs w:val="24"/>
          <w:highlight w:val="none"/>
        </w:rPr>
        <w:t xml:space="preserve">0512-67210880</w:t>
      </w:r>
      <w:r/>
    </w:p>
    <w:p>
      <w:pPr>
        <w:pStyle w:val="1037"/>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20" w:name="_Toc11400"/>
      <w:r/>
      <w:r/>
    </w:p>
    <w:p>
      <w:pPr>
        <w:pStyle w:val="1037"/>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037"/>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037"/>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037"/>
        <w:jc w:val="center"/>
        <w:rPr>
          <w:rFonts w:hint="eastAsia" w:ascii="宋体" w:hAnsi="宋体" w:cs="宋体"/>
          <w:b/>
          <w:color w:val="auto"/>
          <w:sz w:val="44"/>
          <w:szCs w:val="44"/>
          <w:highlight w:val="none"/>
        </w:rPr>
      </w:pPr>
      <w:r/>
      <w:bookmarkStart w:id="21" w:name="_Toc17757"/>
      <w:r/>
      <w:bookmarkStart w:id="22" w:name="_Toc29635"/>
      <w:r>
        <w:rPr>
          <w:rFonts w:hint="eastAsia" w:ascii="宋体" w:hAnsi="宋体" w:cs="宋体"/>
          <w:b/>
          <w:color w:val="auto"/>
          <w:sz w:val="44"/>
          <w:szCs w:val="44"/>
          <w:highlight w:val="none"/>
        </w:rPr>
        <w:t xml:space="preserve">第二章 </w:t>
      </w:r>
      <w:bookmarkStart w:id="23" w:name="投标人须知"/>
      <w:r/>
      <w:bookmarkEnd w:id="23"/>
      <w:r>
        <w:rPr>
          <w:rFonts w:hint="eastAsia" w:ascii="宋体" w:hAnsi="宋体" w:cs="宋体"/>
          <w:b/>
          <w:color w:val="auto"/>
          <w:sz w:val="44"/>
          <w:szCs w:val="44"/>
          <w:highlight w:val="none"/>
        </w:rPr>
        <w:t xml:space="preserve">磋商须知</w:t>
      </w:r>
      <w:bookmarkEnd w:id="16"/>
      <w:r/>
      <w:bookmarkEnd w:id="17"/>
      <w:r/>
      <w:bookmarkEnd w:id="18"/>
      <w:r/>
      <w:bookmarkEnd w:id="19"/>
      <w:r/>
      <w:bookmarkEnd w:id="20"/>
      <w:r/>
      <w:bookmarkEnd w:id="21"/>
      <w:r/>
      <w:bookmarkEnd w:id="22"/>
      <w:r/>
      <w:r/>
    </w:p>
    <w:p>
      <w:pPr>
        <w:pStyle w:val="1038"/>
        <w:ind w:left="0" w:firstLine="482"/>
        <w:keepNext w:val="0"/>
        <w:spacing w:before="0" w:after="0" w:line="360" w:lineRule="auto"/>
        <w:rPr>
          <w:rFonts w:hint="eastAsia" w:ascii="宋体" w:hAnsi="宋体" w:cs="宋体"/>
          <w:i w:val="0"/>
          <w:iCs w:val="0"/>
          <w:color w:val="auto"/>
          <w:sz w:val="24"/>
          <w:szCs w:val="24"/>
          <w:highlight w:val="none"/>
        </w:rPr>
      </w:pPr>
      <w:r/>
      <w:bookmarkStart w:id="24" w:name="_Toc57376407"/>
      <w:r/>
      <w:bookmarkStart w:id="25" w:name="_Toc58248881"/>
      <w:r/>
      <w:bookmarkStart w:id="26" w:name="_Toc24711"/>
      <w:r/>
      <w:bookmarkStart w:id="27" w:name="_Toc7264"/>
      <w:r>
        <w:rPr>
          <w:rFonts w:hint="eastAsia" w:ascii="宋体" w:hAnsi="宋体" w:cs="宋体"/>
          <w:i w:val="0"/>
          <w:iCs w:val="0"/>
          <w:color w:val="auto"/>
          <w:sz w:val="24"/>
          <w:szCs w:val="24"/>
          <w:highlight w:val="none"/>
        </w:rPr>
        <w:br w:type="page" w:clear="all"/>
      </w:r>
      <w:bookmarkStart w:id="28" w:name="_Toc16525"/>
      <w:r>
        <w:rPr>
          <w:rFonts w:hint="eastAsia" w:ascii="宋体" w:hAnsi="宋体" w:cs="宋体"/>
          <w:i w:val="0"/>
          <w:iCs w:val="0"/>
          <w:color w:val="auto"/>
          <w:sz w:val="24"/>
          <w:szCs w:val="24"/>
          <w:highlight w:val="none"/>
        </w:rPr>
        <w:t xml:space="preserve">一、响应文件的组成及要求</w:t>
      </w:r>
      <w:bookmarkEnd w:id="28"/>
      <w:r/>
      <w:r/>
    </w:p>
    <w:p>
      <w:pPr>
        <w:pStyle w:val="1041"/>
        <w:ind w:left="0"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（一）文件组成：</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1、响应文件一（报价部分）(格式见第三章)：</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1.1磋商响应函；</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1.2磋商报价表；</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1.3磋商报价明细表；</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1.4法定代表人授权委托书（如有授权）；</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2、响应文件二（资格及技术部分）（部分格式见第三章）：</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2.1关于资格文件的声明函；</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2.2磋商响应单位基本情况表；</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2.3磋商响应单位《营业执照》副本复印件或相应主体资格证明文件；</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2.4磋商响应单位法定代表人身份证复印件；</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2.5磋商响应单位代理人身份证复印件</w:t>
      </w:r>
      <w:r>
        <w:rPr>
          <w:rStyle w:val="1071"/>
          <w:rFonts w:hint="eastAsia" w:ascii="宋体" w:hAnsi="宋体" w:cs="宋体"/>
          <w:color w:val="auto"/>
          <w:sz w:val="24"/>
          <w:szCs w:val="24"/>
          <w:highlight w:val="none"/>
        </w:rPr>
        <w:t xml:space="preserve">、法定代表人授权委托书</w:t>
      </w:r>
      <w:r>
        <w:rPr>
          <w:rFonts w:hint="eastAsia" w:ascii="宋体" w:hAnsi="宋体" w:cs="宋体"/>
          <w:color w:val="auto"/>
          <w:sz w:val="24"/>
          <w:szCs w:val="24"/>
          <w:highlight w:val="none"/>
        </w:rPr>
        <w:t xml:space="preserve">（如有授权）；</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w:t>
      </w:r>
      <w:r>
        <w:rPr>
          <w:rStyle w:val="1071"/>
          <w:rFonts w:hint="eastAsia" w:ascii="宋体" w:hAnsi="宋体" w:cs="宋体"/>
          <w:color w:val="auto"/>
          <w:sz w:val="24"/>
          <w:szCs w:val="24"/>
          <w:highlight w:val="none"/>
        </w:rPr>
        <w:t xml:space="preserve">合格供应商的基本条件、特定条件所需提供的相应证明材料，具体包括：</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2.6.1具有独立承担民事责任的能力证明。包括法人或者其他组织的营业执照等证明文件，自然人的身份证明；</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2.6.2具有良好的商业信誉和健全的财务会计制度证明。</w:t>
      </w:r>
      <w:r>
        <w:rPr>
          <w:rFonts w:hint="eastAsia" w:ascii="宋体" w:hAnsi="宋体" w:cs="宋体"/>
          <w:color w:val="auto"/>
          <w:sz w:val="24"/>
          <w:szCs w:val="24"/>
          <w:highlight w:val="none"/>
        </w:rPr>
        <w:t xml:space="preserve">包括但不限于最近一期经审计的财务报告或提供银行出具的资信证明；</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w:t>
      </w:r>
      <w:r>
        <w:rPr>
          <w:rStyle w:val="1071"/>
          <w:rFonts w:hint="eastAsia" w:ascii="宋体" w:hAnsi="宋体" w:cs="宋体"/>
          <w:color w:val="auto"/>
          <w:sz w:val="24"/>
          <w:szCs w:val="24"/>
          <w:highlight w:val="none"/>
        </w:rPr>
        <w:t xml:space="preserve">履行合同所必备的设备和专业技术能力的证明材料。包括履行合同所必需的设备和专业技术能力的书面声明等材料；</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2.6.4有依法缴纳税收和社会保障资金的良好记录。</w:t>
      </w:r>
      <w:r>
        <w:rPr>
          <w:rStyle w:val="1071"/>
          <w:rFonts w:hint="eastAsia" w:ascii="宋体" w:hAnsi="宋体" w:cs="宋体"/>
          <w:color w:val="auto"/>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2.6.5参加政府采购活动前三年内在经营活动中没有重大违法记录的书面声明函；</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p>
    <w:p>
      <w:pPr>
        <w:ind w:left="0" w:firstLine="480"/>
        <w:spacing w:line="360" w:lineRule="auto"/>
        <w:tabs>
          <w:tab w:val="left" w:pos="567" w:leader="none"/>
          <w:tab w:val="left" w:pos="9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2.6.7特定资格要求：无；</w:t>
      </w:r>
      <w:r/>
    </w:p>
    <w:p>
      <w:pPr>
        <w:ind w:left="0" w:firstLine="480"/>
        <w:spacing w:line="360" w:lineRule="auto"/>
        <w:widowControl w:val="off"/>
        <w:rPr>
          <w:rStyle w:val="1071"/>
          <w:rFonts w:hint="eastAsia" w:ascii="宋体" w:hAnsi="宋体" w:eastAsia="宋体" w:cs="宋体"/>
          <w:color w:val="auto"/>
          <w:sz w:val="24"/>
          <w:szCs w:val="24"/>
          <w:highlight w:val="none"/>
          <w:lang w:val="en-US" w:eastAsia="zh-CN"/>
        </w:rPr>
      </w:pPr>
      <w:r>
        <w:rPr>
          <w:rStyle w:val="1071"/>
          <w:rFonts w:hint="eastAsia" w:ascii="宋体" w:hAnsi="宋体" w:cs="宋体"/>
          <w:color w:val="auto"/>
          <w:sz w:val="24"/>
          <w:szCs w:val="24"/>
          <w:highlight w:val="none"/>
        </w:rPr>
        <w:t xml:space="preserve">2.6.8《中小企业声明函》或《残疾人福利性单位声明函》或省级以上监狱管理局、戒毒管理局（含新疆生产建设兵团）出具的属于监狱企业的证明文件</w:t>
      </w:r>
      <w:r>
        <w:rPr>
          <w:rStyle w:val="1071"/>
          <w:rFonts w:hint="eastAsia" w:ascii="宋体" w:hAnsi="宋体" w:cs="宋体"/>
          <w:color w:val="auto"/>
          <w:sz w:val="24"/>
          <w:szCs w:val="24"/>
          <w:highlight w:val="none"/>
          <w:lang w:eastAsia="zh-CN"/>
        </w:rPr>
        <w:t xml:space="preserve">。</w:t>
      </w:r>
      <w:r/>
    </w:p>
    <w:p>
      <w:pPr>
        <w:ind w:left="0" w:firstLine="482"/>
        <w:spacing w:line="360" w:lineRule="auto"/>
        <w:widowControl w:val="off"/>
        <w:rPr>
          <w:rStyle w:val="1071"/>
          <w:rFonts w:hint="eastAsia" w:ascii="宋体" w:hAnsi="宋体" w:cs="宋体"/>
          <w:b/>
          <w:color w:val="auto"/>
          <w:sz w:val="24"/>
          <w:szCs w:val="24"/>
          <w:highlight w:val="none"/>
        </w:rPr>
      </w:pPr>
      <w:r>
        <w:rPr>
          <w:rStyle w:val="1071"/>
          <w:rFonts w:hint="eastAsia" w:ascii="宋体" w:hAnsi="宋体" w:cs="宋体"/>
          <w:b/>
          <w:color w:val="auto"/>
          <w:sz w:val="24"/>
          <w:szCs w:val="24"/>
          <w:highlight w:val="none"/>
        </w:rPr>
        <w:t xml:space="preserve">注：根据《政府采购促进中小企业发展管理办法》的相关规定，本项目专门面向中小企业，《中小企业声明函》为必须提供的资格证明材料，否则磋商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left="0" w:firstLine="480"/>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2.</w:t>
      </w:r>
      <w:r>
        <w:rPr>
          <w:rStyle w:val="1071"/>
          <w:rFonts w:hint="eastAsia" w:ascii="宋体" w:hAnsi="宋体" w:cs="宋体"/>
          <w:color w:val="auto"/>
          <w:sz w:val="24"/>
          <w:szCs w:val="24"/>
          <w:highlight w:val="none"/>
          <w:lang w:val="en-US" w:eastAsia="zh-CN"/>
        </w:rPr>
        <w:t xml:space="preserve">7</w:t>
      </w:r>
      <w:r>
        <w:rPr>
          <w:rStyle w:val="1071"/>
          <w:rFonts w:hint="eastAsia" w:ascii="宋体" w:hAnsi="宋体"/>
          <w:color w:val="auto"/>
          <w:sz w:val="24"/>
          <w:szCs w:val="24"/>
          <w:highlight w:val="none"/>
        </w:rPr>
        <w:t xml:space="preserve">《实施方案》；</w:t>
      </w:r>
      <w:r/>
    </w:p>
    <w:p>
      <w:pPr>
        <w:ind w:left="0" w:firstLine="480"/>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2.</w:t>
      </w:r>
      <w:r>
        <w:rPr>
          <w:rStyle w:val="1071"/>
          <w:rFonts w:hint="eastAsia" w:ascii="宋体" w:hAnsi="宋体" w:cs="宋体"/>
          <w:color w:val="auto"/>
          <w:sz w:val="24"/>
          <w:szCs w:val="24"/>
          <w:highlight w:val="none"/>
          <w:lang w:val="en-US" w:eastAsia="zh-CN"/>
        </w:rPr>
        <w:t xml:space="preserve">8</w:t>
      </w:r>
      <w:r>
        <w:rPr>
          <w:rStyle w:val="1071"/>
          <w:rFonts w:hint="eastAsia" w:ascii="宋体" w:hAnsi="宋体" w:cs="宋体"/>
          <w:color w:val="auto"/>
          <w:sz w:val="24"/>
          <w:szCs w:val="24"/>
          <w:highlight w:val="none"/>
        </w:rPr>
        <w:t xml:space="preserve">《拟投入本项目人员配备一览表》；</w:t>
      </w:r>
      <w:r/>
    </w:p>
    <w:p>
      <w:pPr>
        <w:pStyle w:val="1072"/>
        <w:ind w:left="0" w:firstLine="480"/>
        <w:jc w:val="both"/>
        <w:spacing w:line="360" w:lineRule="auto"/>
        <w:widowControl w:val="off"/>
        <w:tabs>
          <w:tab w:val="left" w:pos="0" w:leader="none"/>
        </w:tabs>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2.</w:t>
      </w:r>
      <w:r>
        <w:rPr>
          <w:rStyle w:val="1071"/>
          <w:rFonts w:hint="eastAsia" w:ascii="宋体" w:hAnsi="宋体" w:cs="宋体"/>
          <w:color w:val="auto"/>
          <w:szCs w:val="24"/>
          <w:highlight w:val="none"/>
          <w:lang w:val="en-US" w:eastAsia="zh-CN"/>
        </w:rPr>
        <w:t xml:space="preserve">9</w:t>
      </w:r>
      <w:r>
        <w:rPr>
          <w:rStyle w:val="1071"/>
          <w:rFonts w:hint="eastAsia" w:ascii="宋体" w:hAnsi="宋体" w:cs="宋体"/>
          <w:color w:val="auto"/>
          <w:szCs w:val="24"/>
          <w:highlight w:val="none"/>
        </w:rPr>
        <w:t xml:space="preserve">《商务条款偏离表》</w:t>
      </w:r>
      <w:r>
        <w:rPr>
          <w:rStyle w:val="1071"/>
          <w:rFonts w:ascii="宋体" w:hAnsi="宋体"/>
          <w:color w:val="auto"/>
          <w:szCs w:val="24"/>
          <w:highlight w:val="none"/>
        </w:rPr>
        <w:t xml:space="preserve">《服务要求偏离表》</w:t>
      </w:r>
      <w:r>
        <w:rPr>
          <w:rStyle w:val="1071"/>
          <w:rFonts w:hint="eastAsia" w:ascii="宋体" w:hAnsi="宋体" w:cs="宋体"/>
          <w:color w:val="auto"/>
          <w:szCs w:val="24"/>
          <w:highlight w:val="none"/>
        </w:rPr>
        <w:t xml:space="preserve">；</w:t>
      </w:r>
      <w:r/>
    </w:p>
    <w:p>
      <w:pPr>
        <w:pStyle w:val="1072"/>
        <w:ind w:left="0" w:firstLine="480"/>
        <w:jc w:val="both"/>
        <w:spacing w:line="360" w:lineRule="auto"/>
        <w:widowControl w:val="off"/>
        <w:tabs>
          <w:tab w:val="left" w:pos="0" w:leader="none"/>
        </w:tabs>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2.</w:t>
      </w:r>
      <w:r>
        <w:rPr>
          <w:rStyle w:val="1071"/>
          <w:rFonts w:hint="eastAsia" w:ascii="宋体" w:hAnsi="宋体" w:cs="宋体"/>
          <w:color w:val="auto"/>
          <w:szCs w:val="24"/>
          <w:highlight w:val="none"/>
          <w:lang w:val="en-US" w:eastAsia="zh-CN"/>
        </w:rPr>
        <w:t xml:space="preserve">10</w:t>
      </w:r>
      <w:r>
        <w:rPr>
          <w:rStyle w:val="1071"/>
          <w:rFonts w:hint="eastAsia" w:ascii="宋体" w:hAnsi="宋体" w:cs="宋体"/>
          <w:color w:val="auto"/>
          <w:szCs w:val="24"/>
          <w:highlight w:val="none"/>
        </w:rPr>
        <w:t xml:space="preserve">《投标（响应）保证承诺书》《磋商响应单位与其他单位存在控股、管理关系情况表》；</w:t>
      </w:r>
      <w:r/>
    </w:p>
    <w:p>
      <w:pPr>
        <w:pStyle w:val="1072"/>
        <w:ind w:left="0" w:firstLine="480"/>
        <w:jc w:val="both"/>
        <w:spacing w:line="360" w:lineRule="auto"/>
        <w:widowControl w:val="off"/>
        <w:tabs>
          <w:tab w:val="left" w:pos="0" w:leader="none"/>
        </w:tabs>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2.1</w:t>
      </w:r>
      <w:r>
        <w:rPr>
          <w:rStyle w:val="1071"/>
          <w:rFonts w:hint="eastAsia" w:ascii="宋体" w:hAnsi="宋体" w:cs="宋体"/>
          <w:color w:val="auto"/>
          <w:szCs w:val="24"/>
          <w:highlight w:val="none"/>
          <w:lang w:val="en-US" w:eastAsia="zh-CN"/>
        </w:rPr>
        <w:t xml:space="preserve">1</w:t>
      </w:r>
      <w:r>
        <w:rPr>
          <w:rStyle w:val="1071"/>
          <w:rFonts w:hint="eastAsia" w:ascii="宋体" w:hAnsi="宋体" w:cs="宋体"/>
          <w:color w:val="auto"/>
          <w:szCs w:val="24"/>
          <w:highlight w:val="none"/>
        </w:rPr>
        <w:t xml:space="preserve">磋商采购文件中要求必须提供的其他相关证明材料；</w:t>
      </w:r>
      <w:r/>
    </w:p>
    <w:p>
      <w:pPr>
        <w:pStyle w:val="1072"/>
        <w:ind w:left="0" w:firstLine="480"/>
        <w:jc w:val="both"/>
        <w:spacing w:line="360" w:lineRule="auto"/>
        <w:widowControl w:val="off"/>
        <w:tabs>
          <w:tab w:val="left" w:pos="0" w:leader="none"/>
        </w:tabs>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2.1</w:t>
      </w:r>
      <w:r>
        <w:rPr>
          <w:rStyle w:val="1071"/>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《企业类似项目一览表》</w:t>
      </w:r>
      <w:r>
        <w:rPr>
          <w:rStyle w:val="1071"/>
          <w:rFonts w:hint="eastAsia" w:ascii="宋体" w:hAnsi="宋体" w:cs="宋体"/>
          <w:color w:val="auto"/>
          <w:szCs w:val="24"/>
          <w:highlight w:val="none"/>
        </w:rPr>
        <w:t xml:space="preserve">；</w:t>
      </w:r>
      <w:r/>
    </w:p>
    <w:p>
      <w:pPr>
        <w:pStyle w:val="1072"/>
        <w:ind w:left="0" w:firstLine="480"/>
        <w:jc w:val="both"/>
        <w:spacing w:line="360" w:lineRule="auto"/>
        <w:widowControl w:val="off"/>
        <w:tabs>
          <w:tab w:val="left" w:pos="0" w:leader="none"/>
        </w:tabs>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2.1</w:t>
      </w:r>
      <w:r>
        <w:rPr>
          <w:rStyle w:val="1071"/>
          <w:rFonts w:hint="eastAsia" w:ascii="宋体" w:hAnsi="宋体" w:cs="宋体"/>
          <w:color w:val="auto"/>
          <w:szCs w:val="24"/>
          <w:highlight w:val="none"/>
          <w:lang w:val="en-US" w:eastAsia="zh-CN"/>
        </w:rPr>
        <w:t xml:space="preserve">3</w:t>
      </w:r>
      <w:r>
        <w:rPr>
          <w:rStyle w:val="1071"/>
          <w:rFonts w:hint="eastAsia" w:ascii="宋体" w:hAnsi="宋体" w:cs="宋体"/>
          <w:color w:val="auto"/>
          <w:szCs w:val="24"/>
          <w:highlight w:val="none"/>
        </w:rPr>
        <w:t xml:space="preserve">其它有关资格证明文件：</w:t>
      </w:r>
      <w:r/>
    </w:p>
    <w:p>
      <w:pPr>
        <w:pStyle w:val="1072"/>
        <w:ind w:left="0" w:firstLine="480"/>
        <w:jc w:val="both"/>
        <w:spacing w:line="360" w:lineRule="auto"/>
        <w:widowControl w:val="off"/>
        <w:tabs>
          <w:tab w:val="left" w:pos="0" w:leader="none"/>
        </w:tabs>
        <w:rPr>
          <w:rStyle w:val="1071"/>
          <w:rFonts w:hint="eastAsia" w:ascii="宋体" w:hAnsi="宋体" w:eastAsia="宋体" w:cs="宋体"/>
          <w:color w:val="auto"/>
          <w:szCs w:val="24"/>
          <w:highlight w:val="none"/>
          <w:lang w:eastAsia="zh-CN"/>
        </w:rPr>
      </w:pPr>
      <w:r>
        <w:rPr>
          <w:rStyle w:val="1071"/>
          <w:rFonts w:hint="eastAsia" w:ascii="宋体" w:hAnsi="宋体" w:cs="宋体"/>
          <w:color w:val="auto"/>
          <w:szCs w:val="24"/>
          <w:highlight w:val="none"/>
        </w:rPr>
        <w:t xml:space="preserve">2.1</w:t>
      </w:r>
      <w:r>
        <w:rPr>
          <w:rStyle w:val="1071"/>
          <w:rFonts w:hint="eastAsia" w:ascii="宋体" w:hAnsi="宋体" w:cs="宋体"/>
          <w:color w:val="auto"/>
          <w:szCs w:val="24"/>
          <w:highlight w:val="none"/>
          <w:lang w:val="en-US" w:eastAsia="zh-CN"/>
        </w:rPr>
        <w:t xml:space="preserve">3</w:t>
      </w:r>
      <w:r>
        <w:rPr>
          <w:rStyle w:val="1071"/>
          <w:rFonts w:hint="eastAsia" w:ascii="宋体" w:hAnsi="宋体" w:cs="宋体"/>
          <w:color w:val="auto"/>
          <w:szCs w:val="24"/>
          <w:highlight w:val="none"/>
        </w:rPr>
        <w:t xml:space="preserve">.1其他可以证明磋商供应商资信、资质和货物、服务质量的证书、文件、推荐信等资料</w:t>
      </w:r>
      <w:r>
        <w:rPr>
          <w:rStyle w:val="1071"/>
          <w:rFonts w:hint="eastAsia" w:ascii="宋体" w:hAnsi="宋体" w:cs="宋体"/>
          <w:color w:val="auto"/>
          <w:szCs w:val="24"/>
          <w:highlight w:val="none"/>
          <w:lang w:eastAsia="zh-CN"/>
        </w:rPr>
        <w:t xml:space="preserve">。</w:t>
      </w:r>
      <w:r/>
    </w:p>
    <w:p>
      <w:pPr>
        <w:pStyle w:val="1041"/>
        <w:ind w:left="0" w:firstLine="482"/>
        <w:spacing w:line="360" w:lineRule="auto"/>
        <w:widowControl w:val="off"/>
        <w:rPr>
          <w:color w:val="auto"/>
          <w:highlight w:val="none"/>
        </w:rPr>
        <w:outlineLvl w:val="1"/>
      </w:pPr>
      <w:r>
        <w:rPr>
          <w:rFonts w:hint="eastAsia" w:ascii="宋体" w:hAnsi="宋体" w:cs="宋体"/>
          <w:b/>
          <w:color w:val="auto"/>
          <w:sz w:val="24"/>
          <w:szCs w:val="24"/>
          <w:highlight w:val="none"/>
        </w:rPr>
        <w:t xml:space="preserve">注1：以上2.6为资格审查要求提供的材料，是作为对供应商资格审查、质疑身份认定的依据，响应供应商必须提供并加盖电子公章。否则，磋商响应文件将被认定为不符合资格审查要求。</w:t>
      </w:r>
      <w:r/>
    </w:p>
    <w:p>
      <w:pPr>
        <w:pStyle w:val="1041"/>
        <w:ind w:left="0" w:firstLine="482"/>
        <w:spacing w:line="360" w:lineRule="auto"/>
        <w:widowControl w:val="off"/>
        <w:rPr>
          <w:color w:val="auto"/>
          <w:highlight w:val="none"/>
        </w:rPr>
        <w:outlineLvl w:val="1"/>
      </w:pPr>
      <w:r>
        <w:rPr>
          <w:rFonts w:hint="eastAsia" w:ascii="宋体" w:hAnsi="宋体" w:cs="宋体"/>
          <w:b/>
          <w:color w:val="auto"/>
          <w:sz w:val="24"/>
          <w:szCs w:val="24"/>
          <w:highlight w:val="none"/>
        </w:rPr>
        <w:t xml:space="preserve">注2：以上1.1-2.5,2.7-2.1</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为符合性审查须提供的资料，响应供应商必须提供并加盖电子公章。否则，磋商响应文件将被认定为未实质性响应。</w:t>
      </w:r>
      <w:r/>
    </w:p>
    <w:p>
      <w:pPr>
        <w:pStyle w:val="1041"/>
        <w:ind w:left="0" w:firstLine="482"/>
        <w:spacing w:line="360" w:lineRule="auto"/>
        <w:widowControl w:val="off"/>
        <w:rPr>
          <w:color w:val="auto"/>
          <w:highlight w:val="none"/>
        </w:rPr>
        <w:outlineLvl w:val="1"/>
      </w:pPr>
      <w:r>
        <w:rPr>
          <w:rFonts w:hint="eastAsia" w:ascii="宋体" w:hAnsi="宋体" w:cs="宋体"/>
          <w:b/>
          <w:color w:val="auto"/>
          <w:sz w:val="24"/>
          <w:szCs w:val="24"/>
          <w:highlight w:val="none"/>
        </w:rPr>
        <w:t xml:space="preserve">注3：制作电子响应文件时必须与</w:t>
      </w:r>
      <w:r>
        <w:rPr>
          <w:rFonts w:hint="eastAsia" w:ascii="宋体" w:hAnsi="宋体" w:cs="宋体"/>
          <w:b/>
          <w:color w:val="auto"/>
          <w:sz w:val="24"/>
          <w:szCs w:val="24"/>
          <w:highlight w:val="none"/>
          <w:lang w:eastAsia="zh-CN"/>
        </w:rPr>
        <w:t xml:space="preserve">响应文件</w:t>
      </w:r>
      <w:r>
        <w:rPr>
          <w:rFonts w:hint="eastAsia" w:ascii="宋体" w:hAnsi="宋体" w:cs="宋体"/>
          <w:b/>
          <w:color w:val="auto"/>
          <w:sz w:val="24"/>
          <w:szCs w:val="24"/>
          <w:highlight w:val="none"/>
        </w:rPr>
        <w:t xml:space="preserve">制作软件目录一一对应，将相关资料上传至相应模块。</w:t>
      </w:r>
      <w:r/>
    </w:p>
    <w:p>
      <w:pPr>
        <w:pStyle w:val="1041"/>
        <w:ind w:left="0" w:firstLine="482"/>
        <w:spacing w:line="360" w:lineRule="auto"/>
        <w:widowControl w:val="off"/>
        <w:rPr>
          <w:color w:val="auto"/>
          <w:highlight w:val="none"/>
        </w:rPr>
        <w:outlineLvl w:val="1"/>
      </w:pPr>
      <w:r>
        <w:rPr>
          <w:rFonts w:hint="eastAsia" w:ascii="宋体" w:hAnsi="宋体" w:cs="宋体"/>
          <w:b/>
          <w:color w:val="auto"/>
          <w:sz w:val="24"/>
          <w:szCs w:val="24"/>
          <w:highlight w:val="non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041"/>
        <w:ind w:left="0" w:firstLine="482"/>
        <w:spacing w:line="360" w:lineRule="auto"/>
        <w:widowControl w:val="off"/>
        <w:rPr>
          <w:rFonts w:hint="eastAsia" w:ascii="宋体" w:hAnsi="宋体" w:cs="宋体"/>
          <w:b/>
          <w:bCs/>
          <w:color w:val="auto"/>
          <w:sz w:val="24"/>
          <w:szCs w:val="24"/>
          <w:highlight w:val="none"/>
        </w:rPr>
        <w:outlineLvl w:val="1"/>
      </w:pPr>
      <w:r>
        <w:rPr>
          <w:rFonts w:hint="eastAsia" w:ascii="宋体" w:hAnsi="宋体" w:cs="宋体"/>
          <w:b/>
          <w:color w:val="auto"/>
          <w:sz w:val="24"/>
          <w:szCs w:val="24"/>
          <w:highlight w:val="none"/>
        </w:rPr>
        <w:t xml:space="preserve">注5：磋商过程中如有问题采购代理机构工作人员会及时通《投标供应商确认函》留存的手机号与供应商联系。请供应商确保该手机号磋商当日通讯畅通，否则导致的对供应商不利的后果由供应商自行承担。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41"/>
        <w:ind w:left="0" w:firstLine="482"/>
        <w:spacing w:line="360" w:lineRule="auto"/>
        <w:widowControl w:val="off"/>
        <w:rPr>
          <w:rFonts w:hint="eastAsia" w:ascii="宋体" w:hAnsi="宋体" w:cs="宋体"/>
          <w:b/>
          <w:bCs/>
          <w:color w:val="auto"/>
          <w:sz w:val="24"/>
          <w:szCs w:val="24"/>
          <w:highlight w:val="none"/>
        </w:rPr>
        <w:outlineLvl w:val="1"/>
      </w:pPr>
      <w:r>
        <w:rPr>
          <w:rFonts w:hint="eastAsia" w:ascii="宋体" w:hAnsi="宋体" w:cs="宋体"/>
          <w:b/>
          <w:color w:val="auto"/>
          <w:sz w:val="24"/>
          <w:szCs w:val="24"/>
          <w:highlight w:val="none"/>
        </w:rPr>
        <w:t xml:space="preserve">二、磋商程序</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1、采购代理机构按本须知规定的时间、地点主持磋商采购活动。</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2、供应商通过“苏采云”系统在线参与磋商活动。供应商应当按照《苏采云系统供应商操作手册》规定在“苏采云”系统规定的时间内对响应文件进行解密。</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3、在磋商响应文件网上递交截止时间止成功解密的磋商供应商少于三家，则本次采购失败。</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4、由磋商小组审查供应商解密的响应文件。</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6、磋商小组要求供应商澄清、说明或者更正响应文件应当以书面形式做出。供应商的澄清、说明或者更正应当由其单位加盖电子公章。</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41"/>
        <w:ind w:left="0" w:firstLine="480"/>
        <w:spacing w:line="360" w:lineRule="auto"/>
        <w:widowControl w:val="off"/>
        <w:rPr>
          <w:b/>
          <w:bCs/>
          <w:color w:val="auto"/>
          <w:sz w:val="24"/>
          <w:szCs w:val="24"/>
          <w:highlight w:val="none"/>
        </w:rPr>
      </w:pPr>
      <w:r>
        <w:rPr>
          <w:rFonts w:hint="eastAsia" w:ascii="宋体" w:hAnsi="宋体" w:cs="宋体"/>
          <w:b/>
          <w:bCs/>
          <w:color w:val="auto"/>
          <w:sz w:val="24"/>
          <w:szCs w:val="24"/>
          <w:highlight w:val="none"/>
        </w:rPr>
        <w:t xml:space="preserve">9、磋商结束后，磋商小组将在“苏采云”系统向所有实质性响应的供应商发布“最后报价要求函”及最后报价格式表，要求所有实质性响应的供应商在规定时间内提交最后报价。</w:t>
      </w:r>
      <w:r/>
    </w:p>
    <w:p>
      <w:pPr>
        <w:pStyle w:val="1041"/>
        <w:ind w:left="0" w:firstLine="480"/>
        <w:spacing w:line="360" w:lineRule="auto"/>
        <w:widowControl w:val="off"/>
        <w:rPr>
          <w:b/>
          <w:bCs/>
          <w:color w:val="auto"/>
          <w:sz w:val="24"/>
          <w:szCs w:val="24"/>
          <w:highlight w:val="none"/>
        </w:rPr>
      </w:pPr>
      <w:r>
        <w:rPr>
          <w:rFonts w:hint="eastAsia" w:ascii="宋体" w:hAnsi="宋体" w:cs="宋体"/>
          <w:color w:val="auto"/>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auto"/>
          <w:sz w:val="24"/>
          <w:szCs w:val="24"/>
          <w:highlight w:val="none"/>
        </w:rPr>
        <w:t xml:space="preserve">（此处规定时间的计算以系统中的倒计时间为准，系统中的线上最后报价只有一次机会，提交后无法撤回，请供应商慎重提交）</w:t>
      </w:r>
      <w:r/>
    </w:p>
    <w:p>
      <w:pPr>
        <w:pStyle w:val="1041"/>
        <w:ind w:left="0" w:firstLine="480"/>
        <w:spacing w:line="360" w:lineRule="auto"/>
        <w:widowControl w:val="off"/>
        <w:rPr>
          <w:b/>
          <w:bCs/>
          <w:color w:val="auto"/>
          <w:sz w:val="24"/>
          <w:szCs w:val="24"/>
          <w:highlight w:val="none"/>
        </w:rPr>
      </w:pPr>
      <w:r>
        <w:rPr>
          <w:rFonts w:hint="eastAsia" w:ascii="宋体" w:hAnsi="宋体" w:cs="宋体"/>
          <w:b/>
          <w:bCs/>
          <w:color w:val="auto"/>
          <w:sz w:val="24"/>
          <w:szCs w:val="24"/>
          <w:highlight w:val="none"/>
        </w:rPr>
        <w:t xml:space="preserve">已提交响应文件的供应商，在提交最后报价之前，可以根据磋商情况退出磋商，并在“苏采云”系统中提交“退出磋商函”并加盖CA电子公章。</w:t>
      </w:r>
      <w:r/>
    </w:p>
    <w:p>
      <w:pPr>
        <w:pStyle w:val="1041"/>
        <w:ind w:left="0" w:firstLine="480"/>
        <w:spacing w:line="360" w:lineRule="auto"/>
        <w:widowControl w:val="off"/>
        <w:rPr>
          <w:b/>
          <w:bCs/>
          <w:color w:val="auto"/>
          <w:sz w:val="24"/>
          <w:szCs w:val="24"/>
          <w:highlight w:val="none"/>
        </w:rPr>
      </w:pPr>
      <w:r>
        <w:rPr>
          <w:rFonts w:hint="eastAsia" w:ascii="宋体" w:hAnsi="宋体" w:cs="宋体"/>
          <w:b/>
          <w:bCs/>
          <w:color w:val="auto"/>
          <w:sz w:val="24"/>
          <w:szCs w:val="24"/>
          <w:highlight w:val="none"/>
        </w:rPr>
        <w:t xml:space="preserve">*进入项目评审流程后，建议各供应商法定代表人或授权委托人始终保持通讯顺畅，时刻关注不见面开标大厅，不离开不见面开标大厅。</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11、经磋商确定最终采购需求和提交最后报价的供应商后，由磋商小组采用综合评分法对提交最后报价的供应商的响应文件和最后报价进行综合评分。</w:t>
      </w:r>
      <w:r/>
    </w:p>
    <w:p>
      <w:pPr>
        <w:pStyle w:val="1041"/>
        <w:ind w:left="0" w:firstLine="480"/>
        <w:spacing w:line="360" w:lineRule="auto"/>
        <w:widowControl w:val="off"/>
        <w:rPr>
          <w:color w:val="auto"/>
          <w:sz w:val="24"/>
          <w:szCs w:val="24"/>
          <w:highlight w:val="none"/>
        </w:rPr>
      </w:pPr>
      <w:r>
        <w:rPr>
          <w:rFonts w:hint="eastAsia" w:ascii="宋体" w:hAnsi="宋体" w:cs="宋体"/>
          <w:color w:val="auto"/>
          <w:sz w:val="24"/>
          <w:szCs w:val="24"/>
          <w:highlight w:val="none"/>
        </w:rPr>
        <w:t xml:space="preserve">12、磋商小组根据磋商成交原则确定成交供应商，并将结果通知所有参加磋商的供应商。</w:t>
      </w:r>
      <w:r/>
    </w:p>
    <w:p>
      <w:pPr>
        <w:pStyle w:val="1041"/>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13、如磋商过程中出现本采购文件未尽事宜，由磋商小组根据政府采购有关法律、法规讨论决定。</w:t>
      </w:r>
      <w:r/>
    </w:p>
    <w:p>
      <w:pPr>
        <w:pStyle w:val="1041"/>
        <w:ind w:left="0" w:firstLine="482"/>
        <w:spacing w:line="360" w:lineRule="auto"/>
        <w:rPr>
          <w:rFonts w:hint="eastAsia" w:ascii="宋体" w:hAnsi="宋体" w:cs="宋体"/>
          <w:b/>
          <w:bCs/>
          <w:color w:val="auto"/>
          <w:sz w:val="24"/>
          <w:szCs w:val="24"/>
          <w:highlight w:val="none"/>
        </w:rPr>
        <w:outlineLvl w:val="1"/>
      </w:pPr>
      <w:r/>
      <w:bookmarkStart w:id="29" w:name="_Toc7726"/>
      <w:r>
        <w:rPr>
          <w:rFonts w:hint="eastAsia" w:ascii="宋体" w:hAnsi="宋体" w:cs="宋体"/>
          <w:b/>
          <w:bCs/>
          <w:color w:val="auto"/>
          <w:sz w:val="24"/>
          <w:szCs w:val="24"/>
          <w:highlight w:val="none"/>
        </w:rPr>
        <w:t xml:space="preserve">三、质疑</w:t>
      </w:r>
      <w:bookmarkEnd w:id="29"/>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2、本次采购文件要求供应商在法定质疑期内一次性提出针对同一采购程序环节的质疑。</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3、供应商提出质疑应当提交质疑函和必要的证明材料，质疑函应当包括下列内容：</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（1）供应商的姓名或者名称（以提供的营业执照副本复印件为准）、地址、邮编、联系人及联系电话；</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（2）质疑项目的名称、编号；</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（4）事实依据；</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（5）必要的法律依据；</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（6）提出质疑的日期。</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1041"/>
        <w:ind w:left="0" w:firstLine="480"/>
        <w:spacing w:line="360" w:lineRule="auto"/>
        <w:rPr>
          <w:color w:val="auto"/>
          <w:sz w:val="24"/>
          <w:szCs w:val="24"/>
          <w:highlight w:val="none"/>
        </w:rPr>
      </w:pPr>
      <w:r>
        <w:rPr>
          <w:rFonts w:hint="eastAsia" w:ascii="宋体" w:hAnsi="宋体" w:cs="宋体"/>
          <w:color w:val="auto"/>
          <w:sz w:val="24"/>
          <w:szCs w:val="24"/>
          <w:highlight w:val="none"/>
        </w:rPr>
        <w:t xml:space="preserve">5、质疑递交地点：苏州合亿盛工程咨询有限公司</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质疑递交联系人、联系电话及地址详见采购公告。</w:t>
      </w:r>
      <w:r/>
    </w:p>
    <w:p>
      <w:pPr>
        <w:pStyle w:val="1041"/>
        <w:ind w:left="0" w:firstLine="482"/>
        <w:spacing w:line="360" w:lineRule="auto"/>
        <w:rPr>
          <w:rFonts w:hint="eastAsia" w:ascii="宋体" w:hAnsi="宋体" w:cs="宋体"/>
          <w:b/>
          <w:color w:val="auto"/>
          <w:sz w:val="24"/>
          <w:szCs w:val="24"/>
          <w:highlight w:val="none"/>
        </w:rPr>
        <w:outlineLvl w:val="1"/>
      </w:pPr>
      <w:r/>
      <w:bookmarkStart w:id="30" w:name="_Toc2426"/>
      <w:r>
        <w:rPr>
          <w:rFonts w:hint="eastAsia" w:ascii="宋体" w:hAnsi="宋体" w:cs="宋体"/>
          <w:b/>
          <w:color w:val="auto"/>
          <w:sz w:val="24"/>
          <w:szCs w:val="24"/>
          <w:highlight w:val="none"/>
        </w:rPr>
        <w:t xml:space="preserve">四、项目的终止</w:t>
      </w:r>
      <w:bookmarkEnd w:id="30"/>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出现下列情形之一的，将终止竞争性磋商采购活动：</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1、因情况变化，不再符合规定的竞争性磋商采购方式适用情形的；</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3、在采购过程中符合要求的供应商或者报价未超过采购预算及最高限价的供应商不足3家的；</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4、在采购活动中因重大变故，采购任务取消的。</w:t>
      </w:r>
      <w:r/>
    </w:p>
    <w:p>
      <w:pPr>
        <w:pStyle w:val="1041"/>
        <w:ind w:left="0" w:firstLine="482"/>
        <w:spacing w:line="360" w:lineRule="auto"/>
        <w:rPr>
          <w:rFonts w:hint="eastAsia" w:ascii="宋体" w:hAnsi="宋体" w:cs="宋体"/>
          <w:b/>
          <w:color w:val="auto"/>
          <w:sz w:val="24"/>
          <w:szCs w:val="24"/>
          <w:highlight w:val="none"/>
        </w:rPr>
      </w:pPr>
      <w:r/>
      <w:bookmarkStart w:id="31" w:name="_Toc31063"/>
      <w:r>
        <w:rPr>
          <w:rFonts w:hint="eastAsia" w:ascii="宋体" w:hAnsi="宋体" w:cs="宋体"/>
          <w:b/>
          <w:color w:val="auto"/>
          <w:sz w:val="24"/>
          <w:szCs w:val="24"/>
          <w:highlight w:val="none"/>
        </w:rPr>
        <w:t xml:space="preserve">五、服务费及履约保证金</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1、成交单位须按前附表的规定计算并支付服务费，该费用应在领取成交通知书时付清。成交单位如果未按规定缴纳服务费，磋商采购单位将并保留诉讼的权利。</w:t>
      </w:r>
      <w:r/>
    </w:p>
    <w:p>
      <w:pPr>
        <w:pStyle w:val="1041"/>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Style w:val="860"/>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vAlign w:val="top"/>
            <w:textDirection w:val="lrTb"/>
            <w:noWrap w:val="false"/>
          </w:tcPr>
          <w:p>
            <w:pPr>
              <w:ind w:left="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开票信息</w:t>
            </w: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报名单位公司名称</w:t>
            </w:r>
            <w:r/>
          </w:p>
        </w:tc>
        <w:tc>
          <w:tcPr>
            <w:tcW w:w="3990"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990"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tc>
        <w:tc>
          <w:tcPr>
            <w:tcW w:w="3990"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w:t>
            </w:r>
            <w:r/>
          </w:p>
        </w:tc>
        <w:tc>
          <w:tcPr>
            <w:tcW w:w="3990"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w:t>
            </w:r>
            <w:r/>
          </w:p>
        </w:tc>
        <w:tc>
          <w:tcPr>
            <w:tcW w:w="3990"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2288"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tc>
        <w:tc>
          <w:tcPr>
            <w:tcW w:w="3990" w:type="dxa"/>
            <w:vAlign w:val="top"/>
            <w:textDirection w:val="lrTb"/>
            <w:noWrap w:val="false"/>
          </w:tcPr>
          <w:p>
            <w:pPr>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041"/>
        <w:ind w:left="0"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3、请成交单位将公司开票信息以word文档格式发送至邮箱：szhys505@163.com。成交单位凭已缴纳代理服务费的银行回单至代理机构领取成交通知书、合同。</w:t>
      </w:r>
      <w:r/>
    </w:p>
    <w:p>
      <w:pPr>
        <w:pStyle w:val="1041"/>
        <w:ind w:left="0" w:firstLine="480"/>
        <w:spacing w:line="360" w:lineRule="auto"/>
        <w:rPr>
          <w:rFonts w:hint="eastAsia" w:ascii="宋体" w:hAnsi="宋体" w:cs="宋体"/>
          <w:b/>
          <w:color w:val="auto"/>
          <w:sz w:val="24"/>
          <w:szCs w:val="24"/>
          <w:highlight w:val="none"/>
        </w:rPr>
        <w:outlineLvl w:val="1"/>
      </w:pPr>
      <w:r>
        <w:rPr>
          <w:rFonts w:hint="eastAsia" w:ascii="宋体" w:hAnsi="宋体" w:cs="宋体"/>
          <w:bCs/>
          <w:color w:val="auto"/>
          <w:sz w:val="24"/>
          <w:szCs w:val="24"/>
          <w:highlight w:val="none"/>
        </w:rPr>
        <w:t xml:space="preserve">4、</w:t>
      </w:r>
      <w:r>
        <w:rPr>
          <w:rFonts w:hint="eastAsia" w:ascii="宋体" w:hAnsi="宋体" w:cs="宋体"/>
          <w:color w:val="auto"/>
          <w:sz w:val="24"/>
          <w:szCs w:val="24"/>
          <w:highlight w:val="none"/>
        </w:rPr>
        <w:t xml:space="preserve">履约保证金：本项目无需提交履约保证金。</w:t>
      </w:r>
      <w:bookmarkEnd w:id="31"/>
      <w:r/>
      <w:r/>
    </w:p>
    <w:p>
      <w:pPr>
        <w:ind w:left="0" w:firstLine="482"/>
        <w:spacing w:line="360" w:lineRule="auto"/>
        <w:tabs>
          <w:tab w:val="left" w:pos="420" w:leader="none"/>
        </w:tabs>
        <w:rPr>
          <w:rFonts w:hint="eastAsia" w:ascii="宋体" w:hAnsi="宋体" w:cs="宋体"/>
          <w:b/>
          <w:bCs/>
          <w:color w:val="auto"/>
          <w:sz w:val="24"/>
          <w:szCs w:val="24"/>
          <w:highlight w:val="none"/>
        </w:rPr>
        <w:outlineLvl w:val="1"/>
      </w:pPr>
      <w:r/>
      <w:bookmarkStart w:id="32" w:name="_Toc31110"/>
      <w:r>
        <w:rPr>
          <w:rFonts w:hint="eastAsia" w:ascii="宋体" w:hAnsi="宋体" w:cs="宋体"/>
          <w:b/>
          <w:bCs/>
          <w:color w:val="auto"/>
          <w:sz w:val="24"/>
          <w:szCs w:val="24"/>
          <w:highlight w:val="none"/>
        </w:rPr>
        <w:t xml:space="preserve">六、政府采购政策</w:t>
      </w:r>
      <w:bookmarkEnd w:id="32"/>
      <w:r/>
      <w:r/>
    </w:p>
    <w:p>
      <w:pPr>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（一）节能产品、环境标志产品</w:t>
      </w:r>
      <w:r/>
    </w:p>
    <w:p>
      <w:pPr>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p>
    <w:p>
      <w:pPr>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p>
    <w:p>
      <w:pPr>
        <w:ind w:left="0" w:firstLine="482"/>
        <w:spacing w:line="360" w:lineRule="auto"/>
        <w:widowControl w:val="off"/>
        <w:tabs>
          <w:tab w:val="left" w:pos="567" w:leader="none"/>
        </w:tabs>
        <w:rPr>
          <w:rFonts w:hint="eastAsia" w:ascii="宋体" w:hAnsi="宋体" w:cs="宋体"/>
          <w:b/>
          <w:bCs/>
          <w:color w:val="auto"/>
          <w:sz w:val="24"/>
          <w:szCs w:val="24"/>
          <w:highlight w:val="none"/>
        </w:rPr>
        <w:outlineLvl w:val="1"/>
      </w:pPr>
      <w:r/>
      <w:bookmarkStart w:id="33" w:name="_Toc5270"/>
      <w:r>
        <w:rPr>
          <w:rFonts w:hint="eastAsia" w:ascii="宋体" w:hAnsi="宋体" w:cs="宋体"/>
          <w:b/>
          <w:bCs/>
          <w:color w:val="auto"/>
          <w:sz w:val="24"/>
          <w:szCs w:val="24"/>
          <w:highlight w:val="none"/>
        </w:rPr>
        <w:t xml:space="preserve">七、信用记录</w:t>
      </w:r>
      <w:bookmarkEnd w:id="33"/>
      <w:r/>
      <w:r/>
    </w:p>
    <w:p>
      <w:pPr>
        <w:ind w:left="0" w:firstLine="480"/>
        <w:spacing w:line="360" w:lineRule="auto"/>
        <w:tabs>
          <w:tab w:val="left" w:pos="567" w:leader="none"/>
        </w:tabs>
        <w:rPr>
          <w:color w:val="auto"/>
          <w:highlight w:val="none"/>
        </w:rPr>
      </w:pPr>
      <w:r>
        <w:rPr>
          <w:rFonts w:hint="eastAsia" w:ascii="宋体" w:hAnsi="宋体" w:cs="宋体"/>
          <w:color w:val="auto"/>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80"/>
        <w:spacing w:line="360" w:lineRule="auto"/>
        <w:tabs>
          <w:tab w:val="left" w:pos="567" w:leader="none"/>
        </w:tabs>
        <w:rPr>
          <w:color w:val="auto"/>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spacing w:line="360" w:lineRule="auto"/>
        <w:tabs>
          <w:tab w:val="left" w:pos="567" w:leader="none"/>
        </w:tabs>
        <w:rPr>
          <w:color w:val="auto"/>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spacing w:line="360" w:lineRule="auto"/>
        <w:tabs>
          <w:tab w:val="left" w:pos="567" w:leader="none"/>
        </w:tabs>
        <w:rPr>
          <w:color w:val="auto"/>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bookmarkStart w:id="34" w:name="_Toc14106"/>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jc w:val="center"/>
        <w:spacing w:before="0" w:after="0" w:line="360" w:lineRule="auto"/>
        <w:rPr>
          <w:rFonts w:hint="eastAsia" w:ascii="宋体" w:hAnsi="宋体" w:cs="宋体"/>
          <w:b/>
          <w:color w:val="auto"/>
          <w:sz w:val="44"/>
          <w:szCs w:val="44"/>
          <w:highlight w:val="none"/>
        </w:rPr>
      </w:pPr>
      <w:r/>
      <w:bookmarkStart w:id="35" w:name="_Toc332"/>
      <w:r/>
      <w:bookmarkStart w:id="36" w:name="_Toc4028"/>
      <w:r>
        <w:rPr>
          <w:rFonts w:hint="eastAsia" w:ascii="宋体" w:hAnsi="宋体" w:cs="宋体"/>
          <w:b/>
          <w:color w:val="auto"/>
          <w:sz w:val="44"/>
          <w:szCs w:val="44"/>
          <w:highlight w:val="none"/>
        </w:rPr>
        <w:t xml:space="preserve">第三章 </w:t>
      </w:r>
      <w:bookmarkStart w:id="37" w:name="投标文件格式"/>
      <w:r/>
      <w:bookmarkEnd w:id="37"/>
      <w:r>
        <w:rPr>
          <w:rFonts w:hint="eastAsia" w:ascii="宋体" w:hAnsi="宋体" w:cs="宋体"/>
          <w:b/>
          <w:color w:val="auto"/>
          <w:sz w:val="44"/>
          <w:szCs w:val="44"/>
          <w:highlight w:val="none"/>
        </w:rPr>
        <w:t xml:space="preserve">响应文件格式</w:t>
      </w:r>
      <w:bookmarkEnd w:id="24"/>
      <w:r/>
      <w:bookmarkEnd w:id="25"/>
      <w:r/>
      <w:bookmarkEnd w:id="26"/>
      <w:r/>
      <w:bookmarkEnd w:id="27"/>
      <w:r/>
      <w:bookmarkEnd w:id="34"/>
      <w:r/>
      <w:bookmarkEnd w:id="35"/>
      <w:r/>
      <w:bookmarkEnd w:id="36"/>
      <w:r/>
      <w:r/>
    </w:p>
    <w:p>
      <w:pPr>
        <w:ind w:left="0"/>
        <w:jc w:val="left"/>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8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说明：</w:t>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44"/>
          <w:szCs w:val="44"/>
          <w:highlight w:val="none"/>
        </w:rPr>
        <w:br w:type="page" w:clear="all"/>
      </w:r>
      <w:bookmarkStart w:id="38" w:name="_Toc3821"/>
      <w:r/>
      <w:bookmarkStart w:id="39" w:name="_Toc17036"/>
      <w:r/>
      <w:bookmarkStart w:id="40" w:name="_Toc7097"/>
      <w:r>
        <w:rPr>
          <w:rFonts w:hint="eastAsia" w:ascii="宋体" w:hAnsi="宋体" w:cs="宋体"/>
          <w:b/>
          <w:color w:val="auto"/>
          <w:sz w:val="24"/>
          <w:szCs w:val="24"/>
          <w:highlight w:val="none"/>
        </w:rPr>
        <w:t xml:space="preserve">附件1</w:t>
      </w:r>
      <w:bookmarkEnd w:id="38"/>
      <w:r/>
      <w:bookmarkEnd w:id="39"/>
      <w:r>
        <w:rPr>
          <w:rFonts w:hint="eastAsia" w:ascii="宋体" w:hAnsi="宋体" w:cs="宋体"/>
          <w:b/>
          <w:color w:val="auto"/>
          <w:sz w:val="24"/>
          <w:szCs w:val="24"/>
          <w:highlight w:val="none"/>
        </w:rPr>
        <w:t xml:space="preserve">、磋商响应函</w:t>
      </w:r>
      <w:bookmarkEnd w:id="40"/>
      <w:r/>
      <w:r/>
    </w:p>
    <w:p>
      <w:pPr>
        <w:ind w:left="0"/>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磋商响应函</w:t>
      </w:r>
      <w:r/>
    </w:p>
    <w:p>
      <w:pPr>
        <w:ind w:left="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致：</w:t>
      </w:r>
      <w:r>
        <w:rPr>
          <w:rFonts w:hint="eastAsia" w:ascii="宋体" w:hAnsi="宋体" w:cs="宋体"/>
          <w:color w:val="auto"/>
          <w:sz w:val="24"/>
          <w:szCs w:val="24"/>
          <w:highlight w:val="none"/>
          <w:u w:val="single"/>
          <w:lang w:val="zh-CN"/>
        </w:rPr>
        <w:t xml:space="preserve">苏州合亿盛工程咨询有限公司</w:t>
      </w:r>
      <w:r/>
    </w:p>
    <w:p>
      <w:pPr>
        <w:ind w:left="0" w:firstLine="48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我方收到贵公司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号磋商采购文件，经仔细阅读和研究，我方决定参加磋商。并向贵公司承诺：</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1、我们愿意按照采购文件的一切要求，提供完成该项目的全部内容，我们的</w:t>
      </w:r>
      <w:r>
        <w:rPr>
          <w:rStyle w:val="1071"/>
          <w:rFonts w:hint="eastAsia" w:hAnsi="宋体" w:cs="宋体"/>
          <w:color w:val="auto"/>
          <w:sz w:val="24"/>
          <w:szCs w:val="24"/>
          <w:highlight w:val="none"/>
          <w:lang w:eastAsia="zh-CN"/>
        </w:rPr>
        <w:t xml:space="preserve">报价包括完成本项目所需的全部服务内容、师资、交通、食宿、教材及辅材、管理、协调、人工、保险、利润、税金、政策性文件规定及本项目包含的所有风险、责任、代理服务费等各项应有费用</w:t>
      </w:r>
      <w:r>
        <w:rPr>
          <w:rStyle w:val="1071"/>
          <w:rFonts w:hint="eastAsia" w:hAnsi="宋体" w:cs="宋体"/>
          <w:color w:val="auto"/>
          <w:sz w:val="24"/>
          <w:szCs w:val="24"/>
          <w:highlight w:val="none"/>
        </w:rPr>
        <w:t xml:space="preserve">。</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2、如果我们的磋商响应文件被接受，我们将严格履行采购文件中规定的每一项要求，按期、按质、按量履行合同的义务。</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3、我们已详细审查全部采购文件，包括更正公告(如有)。我们完全理解并同意放弃对这方面有不明及误解的权力。</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4、我们同意按采购文件中的规定，本磋商响应文件的有效期限为响应文件提交截止之日起90天。</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5、我们愿意提供磋商采购单位在采购文件中要求的所有资料。</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6、我们愿意遵守采购文件中所列的收费标准。</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7、我们承诺该磋商响应文件在磋商开始后的全过程中保持有效，不作任何更改和变动。</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9、我们声明：我们在参加本次政府采购活动前3年内在经营活动中没有重大违法记录。</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10、如果我们成交，我们愿意按采购文件的规定支付代理服务费。</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11、综合说明：</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（1）伴随服务及配合措施；（2）要求甲方提供的配合；（3）对采购文件有不同意见的偏离说明；（4）其它说明。</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所有有关磋商响应文件的函电，请按下列地址联系：</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单位：                             联系人：</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地址：                             邮政编码：</w:t>
      </w:r>
      <w:r/>
    </w:p>
    <w:p>
      <w:pPr>
        <w:pStyle w:val="1080"/>
        <w:ind w:left="0" w:firstLine="48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联系电话：                         传真：</w:t>
      </w:r>
      <w:r/>
    </w:p>
    <w:p>
      <w:pPr>
        <w:ind w:left="0" w:firstLine="480"/>
        <w:widowControl w:val="off"/>
        <w:rPr>
          <w:rFonts w:hint="eastAsia" w:ascii="宋体" w:hAnsi="宋体" w:cs="宋体"/>
          <w:color w:val="auto"/>
          <w:sz w:val="24"/>
          <w:szCs w:val="24"/>
          <w:highlight w:val="none"/>
          <w:u w:val="single"/>
        </w:rPr>
      </w:pPr>
      <w:r>
        <w:rPr>
          <w:rStyle w:val="1071"/>
          <w:rFonts w:hint="eastAsia" w:ascii="宋体" w:hAnsi="宋体" w:cs="宋体"/>
          <w:color w:val="auto"/>
          <w:sz w:val="24"/>
          <w:szCs w:val="24"/>
          <w:highlight w:val="none"/>
        </w:rPr>
        <w:t xml:space="preserve">电子邮箱：</w:t>
      </w:r>
      <w:r/>
    </w:p>
    <w:p>
      <w:pPr>
        <w:ind w:left="0" w:right="-200"/>
        <w:jc w:val="right"/>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p>
    <w:p>
      <w:pPr>
        <w:ind w:left="0" w:right="-200"/>
        <w:jc w:val="left"/>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p>
    <w:p>
      <w:pPr>
        <w:ind w:left="0" w:right="300"/>
        <w:jc w:val="left"/>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rPr>
          <w:rFonts w:hint="eastAsia"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1" w:name="_Toc6183"/>
      <w:r>
        <w:rPr>
          <w:rFonts w:hint="eastAsia" w:ascii="宋体" w:hAnsi="宋体" w:cs="宋体"/>
          <w:b/>
          <w:color w:val="auto"/>
          <w:sz w:val="24"/>
          <w:szCs w:val="24"/>
          <w:highlight w:val="none"/>
        </w:rPr>
        <w:t xml:space="preserve">附件2、磋商报价表</w:t>
      </w:r>
      <w:bookmarkEnd w:id="41"/>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磋商报价表</w:t>
      </w:r>
      <w:r/>
    </w:p>
    <w:p>
      <w:pPr>
        <w:pStyle w:val="1043"/>
        <w:rPr>
          <w:rFonts w:hint="eastAsia" w:ascii="宋体" w:hAnsi="宋体" w:cs="宋体"/>
          <w:color w:val="auto"/>
          <w:highlight w:val="none"/>
        </w:rPr>
      </w:pPr>
      <w:r>
        <w:rPr>
          <w:rFonts w:hint="eastAsia" w:ascii="宋体" w:hAnsi="宋体" w:cs="宋体"/>
          <w:color w:val="auto"/>
          <w:highlight w:val="none"/>
        </w:rPr>
      </w:r>
      <w:r/>
    </w:p>
    <w:p>
      <w:pPr>
        <w:ind w:left="0"/>
        <w:jc w:val="center"/>
        <w:spacing w:line="360" w:lineRule="auto"/>
        <w:rPr>
          <w:rFonts w:hint="eastAsia" w:ascii="宋体" w:hAnsi="宋体" w:cs="宋体"/>
          <w:b/>
          <w:color w:val="auto"/>
          <w:sz w:val="21"/>
          <w:szCs w:val="21"/>
          <w:highlight w:val="none"/>
        </w:rPr>
      </w:pPr>
      <w:r>
        <w:rPr>
          <w:rStyle w:val="1071"/>
          <w:rFonts w:hAnsi="宋体"/>
          <w:color w:val="auto"/>
          <w:sz w:val="24"/>
          <w:szCs w:val="24"/>
          <w:highlight w:val="none"/>
        </w:rPr>
        <w:t xml:space="preserve">采购编号：                                          价格单位：元</w:t>
      </w:r>
      <w:r/>
    </w:p>
    <w:tbl>
      <w:tblPr>
        <w:tblStyle w:val="860"/>
        <w:tblW w:w="42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90"/>
        <w:gridCol w:w="2331"/>
        <w:gridCol w:w="3085"/>
      </w:tblGrid>
      <w:tr>
        <w:trPr>
          <w:jc w:val="center"/>
          <w:trHeight w:val="850"/>
        </w:trPr>
        <w:tc>
          <w:tcPr>
            <w:tcW w:w="1853" w:type="pct"/>
            <w:vAlign w:val="center"/>
            <w:textDirection w:val="lrTb"/>
            <w:noWrap w:val="false"/>
          </w:tcPr>
          <w:p>
            <w:pPr>
              <w:ind w:left="0"/>
              <w:jc w:val="center"/>
              <w:widowControl w:val="off"/>
              <w:rPr>
                <w:rFonts w:ascii="宋体" w:hAnsi="宋体"/>
                <w:color w:val="auto"/>
                <w:sz w:val="24"/>
                <w:szCs w:val="24"/>
                <w:highlight w:val="none"/>
              </w:rPr>
            </w:pPr>
            <w:r>
              <w:rPr>
                <w:rFonts w:ascii="宋体" w:hAnsi="宋体"/>
                <w:color w:val="auto"/>
                <w:sz w:val="24"/>
                <w:szCs w:val="24"/>
                <w:highlight w:val="none"/>
                <w:lang w:val="zh-CN"/>
              </w:rPr>
              <w:t xml:space="preserve">项目名称</w:t>
            </w:r>
            <w:r/>
          </w:p>
        </w:tc>
        <w:tc>
          <w:tcPr>
            <w:tcW w:w="1354" w:type="pct"/>
            <w:vAlign w:val="center"/>
            <w:textDirection w:val="lrTb"/>
            <w:noWrap w:val="false"/>
          </w:tcPr>
          <w:p>
            <w:pPr>
              <w:ind w:left="0"/>
              <w:jc w:val="center"/>
              <w:widowControl w:val="off"/>
              <w:rPr>
                <w:rFonts w:ascii="宋体" w:hAnsi="宋体"/>
                <w:color w:val="auto"/>
                <w:sz w:val="24"/>
                <w:szCs w:val="24"/>
                <w:highlight w:val="none"/>
                <w:lang w:val="zh-CN"/>
              </w:rPr>
            </w:pPr>
            <w:r>
              <w:rPr>
                <w:rFonts w:ascii="宋体" w:hAnsi="宋体"/>
                <w:color w:val="auto"/>
                <w:sz w:val="24"/>
                <w:szCs w:val="24"/>
                <w:highlight w:val="none"/>
                <w:lang w:val="zh-CN"/>
              </w:rPr>
              <w:t xml:space="preserve">响应总报价</w:t>
            </w:r>
            <w:r/>
          </w:p>
          <w:p>
            <w:pPr>
              <w:ind w:left="0"/>
              <w:jc w:val="center"/>
              <w:widowControl w:val="off"/>
              <w:rPr>
                <w:rFonts w:ascii="宋体" w:hAnsi="宋体"/>
                <w:color w:val="auto"/>
                <w:sz w:val="24"/>
                <w:szCs w:val="24"/>
                <w:highlight w:val="none"/>
              </w:rPr>
            </w:pPr>
            <w:r>
              <w:rPr>
                <w:rFonts w:ascii="宋体" w:hAnsi="宋体"/>
                <w:color w:val="auto"/>
                <w:sz w:val="24"/>
                <w:szCs w:val="24"/>
                <w:highlight w:val="none"/>
                <w:lang w:val="zh-CN"/>
              </w:rPr>
              <w:t xml:space="preserve">（元）</w:t>
            </w:r>
            <w:r/>
          </w:p>
        </w:tc>
        <w:tc>
          <w:tcPr>
            <w:tcW w:w="1792" w:type="pct"/>
            <w:vAlign w:val="center"/>
            <w:textDirection w:val="lrTb"/>
            <w:noWrap w:val="false"/>
          </w:tcPr>
          <w:p>
            <w:pPr>
              <w:ind w:left="0"/>
              <w:jc w:val="center"/>
              <w:widowControl w:val="off"/>
              <w:rPr>
                <w:rFonts w:ascii="宋体" w:hAnsi="宋体"/>
                <w:color w:val="auto"/>
                <w:sz w:val="24"/>
                <w:szCs w:val="24"/>
                <w:highlight w:val="none"/>
              </w:rPr>
            </w:pPr>
            <w:r>
              <w:rPr>
                <w:rFonts w:hint="eastAsia" w:ascii="宋体" w:hAnsi="宋体"/>
                <w:color w:val="auto"/>
                <w:sz w:val="24"/>
                <w:szCs w:val="24"/>
                <w:highlight w:val="none"/>
              </w:rPr>
              <w:t xml:space="preserve">服务期限</w:t>
            </w:r>
            <w:r/>
          </w:p>
        </w:tc>
      </w:tr>
      <w:tr>
        <w:trPr>
          <w:jc w:val="center"/>
          <w:trHeight w:val="850"/>
        </w:trPr>
        <w:tc>
          <w:tcPr>
            <w:tcW w:w="1853" w:type="pct"/>
            <w:vAlign w:val="center"/>
            <w:textDirection w:val="lrTb"/>
            <w:noWrap w:val="false"/>
          </w:tcPr>
          <w:p>
            <w:pPr>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1354" w:type="pct"/>
            <w:vAlign w:val="center"/>
            <w:textDirection w:val="lrTb"/>
            <w:noWrap w:val="false"/>
          </w:tcPr>
          <w:p>
            <w:pPr>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W w:w="1792" w:type="pct"/>
            <w:vAlign w:val="center"/>
            <w:textDirection w:val="lrTb"/>
            <w:noWrap w:val="false"/>
          </w:tcPr>
          <w:p>
            <w:pPr>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r>
    </w:tbl>
    <w:p>
      <w:pPr>
        <w:ind w:left="0"/>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注：上述</w:t>
      </w:r>
      <w:r>
        <w:rPr>
          <w:rFonts w:hint="eastAsia" w:ascii="宋体" w:hAnsi="宋体" w:cs="宋体"/>
          <w:bCs/>
          <w:color w:val="auto"/>
          <w:sz w:val="24"/>
          <w:szCs w:val="24"/>
          <w:highlight w:val="none"/>
          <w:lang w:eastAsia="zh-CN"/>
        </w:rPr>
        <w:t xml:space="preserve">报价包括完成本项目所需的全部服务内容、师资、交通、食宿、教材及辅材、管理、协调、人工、保险、利润、税金、政策性文件规定及本项目包含的所有风险、责任、代理服务费等各项应有费用</w:t>
      </w:r>
      <w:r>
        <w:rPr>
          <w:rStyle w:val="1071"/>
          <w:rFonts w:hint="eastAsia" w:hAnsi="宋体" w:cs="宋体"/>
          <w:color w:val="auto"/>
          <w:sz w:val="24"/>
          <w:szCs w:val="24"/>
          <w:highlight w:val="none"/>
        </w:rPr>
        <w:t xml:space="preserve">。</w:t>
      </w:r>
      <w:r/>
    </w:p>
    <w:p>
      <w:pPr>
        <w:ind w:left="0"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left="0" w:right="-200"/>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left"/>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p>
    <w:p>
      <w:pPr>
        <w:ind w:left="0" w:right="4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spacing w:line="360" w:lineRule="auto"/>
        <w:rPr>
          <w:rFonts w:hint="eastAsia" w:ascii="宋体" w:hAnsi="宋体" w:cs="宋体"/>
          <w:color w:val="auto"/>
          <w:highlight w:val="none"/>
        </w:rPr>
      </w:pPr>
      <w:r>
        <w:rPr>
          <w:rFonts w:hint="eastAsia" w:ascii="宋体" w:hAnsi="宋体" w:cs="宋体"/>
          <w:color w:val="auto"/>
          <w:highlight w:val="none"/>
        </w:rPr>
      </w:r>
      <w:r/>
    </w:p>
    <w:p>
      <w:pPr>
        <w:ind w:left="0" w:right="40"/>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2" w:name="_Toc14239"/>
      <w:r/>
      <w:bookmarkStart w:id="43" w:name="_Toc31009"/>
      <w:r>
        <w:rPr>
          <w:rFonts w:hint="eastAsia" w:ascii="宋体" w:hAnsi="宋体" w:cs="宋体"/>
          <w:b/>
          <w:color w:val="auto"/>
          <w:sz w:val="24"/>
          <w:szCs w:val="24"/>
          <w:highlight w:val="none"/>
        </w:rPr>
        <w:t xml:space="preserve">附件3、</w:t>
      </w:r>
      <w:bookmarkEnd w:id="42"/>
      <w:r>
        <w:rPr>
          <w:rFonts w:hint="eastAsia" w:ascii="宋体" w:hAnsi="宋体" w:cs="宋体"/>
          <w:b/>
          <w:color w:val="auto"/>
          <w:sz w:val="24"/>
          <w:szCs w:val="24"/>
          <w:highlight w:val="none"/>
        </w:rPr>
        <w:t xml:space="preserve">报价明细表</w:t>
      </w:r>
      <w:r/>
    </w:p>
    <w:p>
      <w:pPr>
        <w:pStyle w:val="1072"/>
        <w:ind w:left="0" w:firstLine="0"/>
        <w:jc w:val="center"/>
        <w:spacing w:line="360" w:lineRule="auto"/>
        <w:widowControl w:val="off"/>
        <w:rPr>
          <w:rStyle w:val="1071"/>
          <w:rFonts w:ascii="宋体" w:hAnsi="宋体"/>
          <w:b/>
          <w:bCs/>
          <w:color w:val="auto"/>
          <w:szCs w:val="24"/>
          <w:highlight w:val="none"/>
        </w:rPr>
      </w:pPr>
      <w:r>
        <w:rPr>
          <w:rStyle w:val="1071"/>
          <w:rFonts w:hint="eastAsia" w:ascii="宋体" w:hAnsi="宋体"/>
          <w:b/>
          <w:bCs/>
          <w:color w:val="auto"/>
          <w:szCs w:val="24"/>
          <w:highlight w:val="none"/>
        </w:rPr>
        <w:t xml:space="preserve">报价明细表</w:t>
      </w:r>
      <w:r/>
    </w:p>
    <w:tbl>
      <w:tblPr>
        <w:tblStyle w:val="86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87"/>
        <w:gridCol w:w="2495"/>
        <w:gridCol w:w="1018"/>
        <w:gridCol w:w="2046"/>
        <w:gridCol w:w="1512"/>
        <w:gridCol w:w="1518"/>
      </w:tblGrid>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单价</w:t>
            </w:r>
            <w:r/>
          </w:p>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（元）</w:t>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合</w:t>
            </w:r>
            <w:r>
              <w:rPr>
                <w:rFonts w:hint="eastAsia" w:ascii="宋体" w:hAnsi="宋体"/>
                <w:color w:val="auto"/>
                <w:sz w:val="24"/>
                <w:szCs w:val="24"/>
                <w:highlight w:val="none"/>
              </w:rPr>
              <w:t xml:space="preserve">价</w:t>
            </w:r>
            <w:r/>
          </w:p>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（元）</w:t>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49"/>
              <w:ind w:left="0"/>
              <w:jc w:val="center"/>
              <w:widowControl w:val="off"/>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38"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50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15"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50"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t xml:space="preserve">合计</w:t>
            </w:r>
            <w:r/>
          </w:p>
        </w:tc>
        <w:tc>
          <w:tcPr>
            <w:gridSpan w:val="5"/>
            <w:tcBorders>
              <w:top w:val="single" w:color="000000" w:sz="4" w:space="0"/>
              <w:left w:val="none" w:color="000000" w:sz="4" w:space="0"/>
              <w:bottom w:val="single" w:color="000000" w:sz="4" w:space="0"/>
              <w:right w:val="single" w:color="000000" w:sz="4" w:space="0"/>
            </w:tcBorders>
            <w:tcW w:w="4261" w:type="pct"/>
            <w:vAlign w:val="center"/>
            <w:textDirection w:val="lrTb"/>
            <w:noWrap w:val="false"/>
          </w:tcPr>
          <w:p>
            <w:pPr>
              <w:pStyle w:val="1081"/>
              <w:ind w:left="0"/>
              <w:jc w:val="center"/>
              <w:rPr>
                <w:rFonts w:hAnsi="宋体"/>
                <w:color w:val="auto"/>
                <w:sz w:val="24"/>
                <w:szCs w:val="24"/>
                <w:highlight w:val="none"/>
              </w:rPr>
            </w:pPr>
            <w:r>
              <w:rPr>
                <w:rFonts w:hAnsi="宋体"/>
                <w:color w:val="auto"/>
                <w:sz w:val="24"/>
                <w:szCs w:val="24"/>
                <w:highlight w:val="none"/>
              </w:rPr>
            </w:r>
            <w:r/>
          </w:p>
        </w:tc>
      </w:tr>
    </w:tbl>
    <w:p>
      <w:pPr>
        <w:ind w:left="0" w:firstLine="482"/>
        <w:spacing w:line="360" w:lineRule="auto"/>
        <w:widowControl w:val="off"/>
        <w:rPr>
          <w:rFonts w:hint="eastAsia" w:ascii="宋体" w:hAnsi="宋体"/>
          <w:b/>
          <w:color w:val="auto"/>
          <w:sz w:val="24"/>
          <w:szCs w:val="24"/>
          <w:highlight w:val="none"/>
        </w:rPr>
      </w:pPr>
      <w:r>
        <w:rPr>
          <w:rStyle w:val="1071"/>
          <w:rFonts w:hint="eastAsia" w:ascii="宋体" w:hAnsi="宋体"/>
          <w:b/>
          <w:bCs/>
          <w:color w:val="auto"/>
          <w:sz w:val="24"/>
          <w:szCs w:val="24"/>
          <w:highlight w:val="none"/>
        </w:rPr>
        <w:t xml:space="preserve">注：</w:t>
      </w:r>
      <w:r>
        <w:rPr>
          <w:rFonts w:hint="eastAsia" w:ascii="宋体" w:hAnsi="宋体"/>
          <w:b/>
          <w:color w:val="auto"/>
          <w:sz w:val="24"/>
          <w:szCs w:val="24"/>
          <w:highlight w:val="none"/>
        </w:rPr>
        <w:t xml:space="preserve">本表合计金额应与《</w:t>
      </w:r>
      <w:r>
        <w:rPr>
          <w:rFonts w:ascii="宋体" w:hAnsi="宋体"/>
          <w:b/>
          <w:color w:val="auto"/>
          <w:sz w:val="24"/>
          <w:szCs w:val="24"/>
          <w:highlight w:val="none"/>
        </w:rPr>
        <w:t xml:space="preserve">磋商报价表</w:t>
      </w: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响应总报价一致，否则以《</w:t>
      </w:r>
      <w:r>
        <w:rPr>
          <w:rFonts w:ascii="宋体" w:hAnsi="宋体"/>
          <w:b/>
          <w:color w:val="auto"/>
          <w:sz w:val="24"/>
          <w:szCs w:val="24"/>
          <w:highlight w:val="none"/>
        </w:rPr>
        <w:t xml:space="preserve">磋商报价表</w:t>
      </w:r>
      <w:r>
        <w:rPr>
          <w:rFonts w:hint="eastAsia" w:ascii="宋体" w:hAnsi="宋体"/>
          <w:b/>
          <w:color w:val="auto"/>
          <w:sz w:val="24"/>
          <w:szCs w:val="24"/>
          <w:highlight w:val="none"/>
        </w:rPr>
        <w:t xml:space="preserve">》为准。</w:t>
      </w:r>
      <w:r/>
    </w:p>
    <w:p>
      <w:pPr>
        <w:pStyle w:val="1043"/>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1041"/>
        <w:rPr>
          <w:rFonts w:hint="eastAsia" w:ascii="宋体" w:hAnsi="宋体"/>
          <w:b/>
          <w:color w:val="auto"/>
          <w:sz w:val="24"/>
          <w:szCs w:val="24"/>
          <w:highlight w:val="none"/>
        </w:rPr>
      </w:pPr>
      <w:r>
        <w:rPr>
          <w:rFonts w:hint="eastAsia" w:ascii="宋体" w:hAnsi="宋体"/>
          <w:b/>
          <w:color w:val="auto"/>
          <w:sz w:val="24"/>
          <w:szCs w:val="24"/>
          <w:highlight w:val="none"/>
        </w:rPr>
      </w:r>
      <w:r/>
    </w:p>
    <w:p>
      <w:pPr>
        <w:ind w:left="0" w:firstLine="480"/>
        <w:jc w:val="left"/>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代理人</w:t>
      </w:r>
      <w:r>
        <w:rPr>
          <w:rFonts w:hint="eastAsia" w:ascii="宋体" w:hAnsi="宋体" w:cs="宋体"/>
          <w:color w:val="auto"/>
          <w:sz w:val="24"/>
          <w:szCs w:val="24"/>
          <w:highlight w:val="none"/>
          <w:lang w:val="zh-CN"/>
        </w:rPr>
        <w:t xml:space="preserve">：（签字或盖章）</w:t>
      </w:r>
      <w:r/>
    </w:p>
    <w:p>
      <w:pPr>
        <w:ind w:left="0" w:firstLine="480"/>
        <w:spacing w:line="360" w:lineRule="auto"/>
        <w:rPr>
          <w:rFonts w:hint="eastAsia"/>
          <w:color w:val="auto"/>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jc w:val="left"/>
        <w:spacing w:line="360" w:lineRule="auto"/>
        <w:rPr>
          <w:rFonts w:hint="eastAsia" w:ascii="宋体" w:hAnsi="宋体" w:cs="宋体"/>
          <w:color w:val="auto"/>
          <w:sz w:val="24"/>
          <w:szCs w:val="24"/>
          <w:highlight w:val="none"/>
        </w:rPr>
        <w:outlineLvl w:val="1"/>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附件4、法定代表人授权委托书</w:t>
      </w:r>
      <w:bookmarkEnd w:id="43"/>
      <w:r/>
      <w:r/>
    </w:p>
    <w:p>
      <w:pPr>
        <w:ind w:left="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法定代表人授权委托书</w:t>
      </w:r>
      <w:r/>
    </w:p>
    <w:p>
      <w:pPr>
        <w:pStyle w:val="1043"/>
        <w:rPr>
          <w:rFonts w:hint="eastAsia" w:ascii="宋体" w:hAnsi="宋体" w:cs="宋体"/>
          <w:color w:val="auto"/>
          <w:highlight w:val="none"/>
        </w:rPr>
      </w:pPr>
      <w:r>
        <w:rPr>
          <w:rFonts w:hint="eastAsia" w:ascii="宋体" w:hAnsi="宋体" w:cs="宋体"/>
          <w:color w:val="auto"/>
          <w:highlight w:val="none"/>
        </w:rPr>
      </w:r>
      <w:r/>
    </w:p>
    <w:p>
      <w:pPr>
        <w:ind w:left="0" w:firstLine="480"/>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本授权委托书声明：  我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供应商名称）的法定代表人，现授权委托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（姓名）为我公司授权代表（即代理人），以本公司的名义参</w:t>
      </w:r>
      <w:r>
        <w:rPr>
          <w:rFonts w:hint="eastAsia" w:ascii="宋体" w:hAnsi="宋体" w:cs="宋体"/>
          <w:color w:val="auto"/>
          <w:sz w:val="24"/>
          <w:szCs w:val="24"/>
          <w:highlight w:val="none"/>
          <w:u w:val="single"/>
        </w:rPr>
        <w:t xml:space="preserve">加苏州合亿盛工程咨询有限公司</w:t>
      </w:r>
      <w:r>
        <w:rPr>
          <w:rFonts w:hint="eastAsia" w:ascii="宋体" w:hAnsi="宋体" w:cs="宋体"/>
          <w:color w:val="auto"/>
          <w:sz w:val="24"/>
          <w:szCs w:val="24"/>
          <w:highlight w:val="none"/>
        </w:rPr>
        <w:t xml:space="preserve">组织实施的编号为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代理人无转委托权。特此委托。</w:t>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left"/>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法定代表人：（签字或盖章）</w:t>
      </w:r>
      <w:r/>
    </w:p>
    <w:p>
      <w:pPr>
        <w:ind w:left="0"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jc w:val="left"/>
        <w:rPr>
          <w:rFonts w:hint="eastAsia" w:ascii="宋体" w:hAnsi="宋体" w:cs="宋体"/>
          <w:color w:val="auto"/>
          <w:sz w:val="24"/>
          <w:szCs w:val="24"/>
          <w:highlight w:val="none"/>
        </w:rPr>
        <w:outlineLvl w:val="1"/>
      </w:pPr>
      <w:r>
        <w:rPr>
          <w:rFonts w:hint="eastAsia" w:ascii="宋体" w:hAnsi="宋体" w:cs="宋体"/>
          <w:b/>
          <w:color w:val="auto"/>
          <w:sz w:val="21"/>
          <w:szCs w:val="21"/>
          <w:highlight w:val="none"/>
        </w:rPr>
        <w:br w:type="page" w:clear="all"/>
      </w:r>
      <w:bookmarkStart w:id="44" w:name="_Toc31308"/>
      <w:r>
        <w:rPr>
          <w:rFonts w:hint="eastAsia" w:ascii="宋体" w:hAnsi="宋体" w:cs="宋体"/>
          <w:b/>
          <w:color w:val="auto"/>
          <w:sz w:val="24"/>
          <w:szCs w:val="24"/>
          <w:highlight w:val="none"/>
        </w:rPr>
        <w:t xml:space="preserve">附件5、关于资格文件的声明函</w:t>
      </w:r>
      <w:bookmarkEnd w:id="44"/>
      <w:r/>
      <w:r/>
    </w:p>
    <w:p>
      <w:pPr>
        <w:ind w:left="0" w:firstLine="42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0" w:firstLine="42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关于资格文件的声明函</w:t>
      </w:r>
      <w:r/>
    </w:p>
    <w:p>
      <w:pPr>
        <w:ind w:left="0" w:firstLine="4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苏州合亿盛工程咨询有限公司</w:t>
      </w:r>
      <w:r>
        <w:rPr>
          <w:rFonts w:hint="eastAsia" w:ascii="宋体" w:hAnsi="宋体" w:cs="宋体"/>
          <w:color w:val="auto"/>
          <w:sz w:val="24"/>
          <w:szCs w:val="24"/>
          <w:highlight w:val="none"/>
        </w:rPr>
        <w:t xml:space="preserve">：</w:t>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200"/>
        <w:jc w:val="left"/>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p>
    <w:p>
      <w:pPr>
        <w:ind w:left="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p>
    <w:p>
      <w:pPr>
        <w:ind w:left="0" w:right="300"/>
        <w:jc w:val="left"/>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jc w:val="lef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1"/>
          <w:szCs w:val="21"/>
          <w:highlight w:val="none"/>
        </w:rPr>
        <w:br w:type="page" w:clear="all"/>
      </w:r>
      <w:bookmarkStart w:id="45" w:name="_Toc30056"/>
      <w:r>
        <w:rPr>
          <w:rFonts w:hint="eastAsia" w:ascii="宋体" w:hAnsi="宋体" w:cs="宋体"/>
          <w:b/>
          <w:color w:val="auto"/>
          <w:sz w:val="24"/>
          <w:szCs w:val="24"/>
          <w:highlight w:val="none"/>
        </w:rPr>
        <w:t xml:space="preserve">附件6、磋商响应单位基本情况表</w:t>
      </w:r>
      <w:bookmarkEnd w:id="45"/>
      <w:r/>
      <w:r/>
    </w:p>
    <w:p>
      <w:pPr>
        <w:ind w:left="0"/>
        <w:jc w:val="center"/>
        <w:spacing w:line="360" w:lineRule="auto"/>
        <w:rPr>
          <w:rFonts w:hint="eastAsia" w:ascii="宋体" w:hAnsi="宋体" w:cs="宋体"/>
          <w:color w:val="auto"/>
          <w:sz w:val="21"/>
          <w:szCs w:val="21"/>
          <w:highlight w:val="none"/>
        </w:rPr>
      </w:pPr>
      <w:r>
        <w:rPr>
          <w:rFonts w:hint="eastAsia" w:ascii="宋体" w:hAnsi="宋体" w:cs="宋体"/>
          <w:b/>
          <w:color w:val="auto"/>
          <w:sz w:val="24"/>
          <w:szCs w:val="24"/>
          <w:highlight w:val="none"/>
        </w:rPr>
        <w:t xml:space="preserve">磋商响应单位基本情况表</w:t>
      </w:r>
      <w:r/>
    </w:p>
    <w:tbl>
      <w:tblPr>
        <w:tblStyle w:val="860"/>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法定代表人</w:t>
            </w:r>
            <w:r/>
          </w:p>
        </w:tc>
        <w:tc>
          <w:tcPr>
            <w:tcW w:w="2005"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c>
          <w:tcPr>
            <w:tcW w:w="1461"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成立日期</w:t>
            </w:r>
            <w:r/>
          </w:p>
        </w:tc>
        <w:tc>
          <w:tcPr>
            <w:gridSpan w:val="2"/>
            <w:tcW w:w="3292"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企业地址</w:t>
            </w:r>
            <w:r/>
          </w:p>
        </w:tc>
        <w:tc>
          <w:tcPr>
            <w:tcW w:w="2005"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c>
          <w:tcPr>
            <w:tcW w:w="1461"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注册资本</w:t>
            </w:r>
            <w:r/>
          </w:p>
        </w:tc>
        <w:tc>
          <w:tcPr>
            <w:gridSpan w:val="2"/>
            <w:tcW w:w="3292" w:type="dxa"/>
            <w:vAlign w:val="top"/>
            <w:textDirection w:val="lrTb"/>
            <w:noWrap w:val="false"/>
          </w:tcPr>
          <w:p>
            <w:pPr>
              <w:pStyle w:val="1072"/>
              <w:ind w:left="0" w:firstLine="120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万元</w:t>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经营范围</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职工人数</w:t>
            </w:r>
            <w:r/>
          </w:p>
        </w:tc>
        <w:tc>
          <w:tcPr>
            <w:tcW w:w="2005"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c>
          <w:tcPr>
            <w:gridSpan w:val="2"/>
            <w:tcW w:w="3517"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其中：有中高级以上职称的人数</w:t>
            </w:r>
            <w:r/>
          </w:p>
        </w:tc>
        <w:tc>
          <w:tcPr>
            <w:tcW w:w="1236"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center"/>
            <w:textDirection w:val="lrTb"/>
            <w:noWrap w:val="false"/>
          </w:tcPr>
          <w:p>
            <w:pPr>
              <w:pStyle w:val="1072"/>
              <w:ind w:left="0" w:firstLine="0"/>
              <w:jc w:val="both"/>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资产总计</w:t>
            </w:r>
            <w:r/>
          </w:p>
        </w:tc>
        <w:tc>
          <w:tcPr>
            <w:tcW w:w="2005" w:type="dxa"/>
            <w:vAlign w:val="center"/>
            <w:textDirection w:val="lrTb"/>
            <w:noWrap w:val="false"/>
          </w:tcPr>
          <w:p>
            <w:pPr>
              <w:pStyle w:val="1072"/>
              <w:ind w:left="0" w:firstLine="0"/>
              <w:jc w:val="center"/>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         万元</w:t>
            </w:r>
            <w:r/>
          </w:p>
        </w:tc>
        <w:tc>
          <w:tcPr>
            <w:tcW w:w="1461" w:type="dxa"/>
            <w:vAlign w:val="center"/>
            <w:textDirection w:val="lrTb"/>
            <w:noWrap w:val="false"/>
          </w:tcPr>
          <w:p>
            <w:pPr>
              <w:pStyle w:val="1072"/>
              <w:ind w:left="0" w:firstLine="0"/>
              <w:jc w:val="both"/>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净资产</w:t>
            </w:r>
            <w:r/>
          </w:p>
        </w:tc>
        <w:tc>
          <w:tcPr>
            <w:gridSpan w:val="2"/>
            <w:tcW w:w="3292" w:type="dxa"/>
            <w:vAlign w:val="center"/>
            <w:textDirection w:val="lrTb"/>
            <w:noWrap w:val="false"/>
          </w:tcPr>
          <w:p>
            <w:pPr>
              <w:pStyle w:val="1072"/>
              <w:ind w:left="0" w:firstLine="0"/>
              <w:jc w:val="center"/>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                万元</w:t>
            </w:r>
            <w:r/>
          </w:p>
        </w:tc>
      </w:tr>
      <w:tr>
        <w:trPr>
          <w:cantSplit/>
        </w:trPr>
        <w:tc>
          <w:tcPr>
            <w:tcW w:w="2510" w:type="dxa"/>
            <w:vAlign w:val="center"/>
            <w:textDirection w:val="lrTb"/>
            <w:noWrap w:val="false"/>
          </w:tcPr>
          <w:p>
            <w:pPr>
              <w:pStyle w:val="1072"/>
              <w:ind w:left="0" w:firstLine="0"/>
              <w:jc w:val="both"/>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股东权益</w:t>
            </w:r>
            <w:r/>
          </w:p>
        </w:tc>
        <w:tc>
          <w:tcPr>
            <w:tcW w:w="2005" w:type="dxa"/>
            <w:vAlign w:val="center"/>
            <w:textDirection w:val="lrTb"/>
            <w:noWrap w:val="false"/>
          </w:tcPr>
          <w:p>
            <w:pPr>
              <w:pStyle w:val="1072"/>
              <w:ind w:left="0" w:firstLine="0"/>
              <w:jc w:val="center"/>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         万元</w:t>
            </w:r>
            <w:r/>
          </w:p>
        </w:tc>
        <w:tc>
          <w:tcPr>
            <w:tcW w:w="1461" w:type="dxa"/>
            <w:vAlign w:val="center"/>
            <w:textDirection w:val="lrTb"/>
            <w:noWrap w:val="false"/>
          </w:tcPr>
          <w:p>
            <w:pPr>
              <w:pStyle w:val="1072"/>
              <w:ind w:left="0" w:firstLine="0"/>
              <w:jc w:val="both"/>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销售收入</w:t>
            </w:r>
            <w:r/>
          </w:p>
        </w:tc>
        <w:tc>
          <w:tcPr>
            <w:gridSpan w:val="2"/>
            <w:tcW w:w="3292" w:type="dxa"/>
            <w:vAlign w:val="center"/>
            <w:textDirection w:val="lrTb"/>
            <w:noWrap w:val="false"/>
          </w:tcPr>
          <w:p>
            <w:pPr>
              <w:pStyle w:val="1072"/>
              <w:ind w:left="0" w:firstLine="0"/>
              <w:jc w:val="center"/>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2023年          万元</w:t>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实现利润</w:t>
            </w:r>
            <w:r/>
          </w:p>
        </w:tc>
        <w:tc>
          <w:tcPr>
            <w:tcW w:w="2005"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2023年    万元</w:t>
            </w:r>
            <w:r/>
          </w:p>
        </w:tc>
        <w:tc>
          <w:tcPr>
            <w:tcW w:w="1461"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c>
          <w:tcPr>
            <w:gridSpan w:val="2"/>
            <w:tcW w:w="3292"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营业面积（含厂房面积）</w:t>
            </w:r>
            <w:r/>
          </w:p>
        </w:tc>
        <w:tc>
          <w:tcPr>
            <w:tcW w:w="2005" w:type="dxa"/>
            <w:vAlign w:val="center"/>
            <w:textDirection w:val="lrTb"/>
            <w:noWrap w:val="false"/>
          </w:tcPr>
          <w:p>
            <w:pPr>
              <w:pStyle w:val="1072"/>
              <w:ind w:left="0" w:firstLine="0"/>
              <w:jc w:val="both"/>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        平方米</w:t>
            </w:r>
            <w:r/>
          </w:p>
        </w:tc>
        <w:tc>
          <w:tcPr>
            <w:tcW w:w="1461"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其中：</w:t>
            </w:r>
            <w:r/>
          </w:p>
        </w:tc>
        <w:tc>
          <w:tcPr>
            <w:gridSpan w:val="2"/>
            <w:tcW w:w="3292"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自有面积         平方米</w:t>
            </w:r>
            <w:r/>
          </w:p>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承租面积         平方米</w:t>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单位简历及内设机构情况</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单位优势及特长</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近三年来完成或正在履行的重大合同情况</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最近3年内在经营过程中受到何种奖励或处分（包括情况和结果）</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最近3年内有无因售假、售劣或是其他原因被消费者投诉或起诉的情况及说明（包括解决方式和结果）</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最近3年内主要负责人有无因经济犯罪被司法机关追究的情况及说明</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获得技术认证的工程师及简介</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r>
        <w:trPr>
          <w:cantSplit/>
          <w:trHeight w:val="560"/>
        </w:trPr>
        <w:tc>
          <w:tcPr>
            <w:tcW w:w="2510"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其他需要说明的情况</w:t>
            </w:r>
            <w:r/>
          </w:p>
        </w:tc>
        <w:tc>
          <w:tcPr>
            <w:gridSpan w:val="4"/>
            <w:tcW w:w="6758" w:type="dxa"/>
            <w:vAlign w:val="top"/>
            <w:textDirection w:val="lrTb"/>
            <w:noWrap w:val="false"/>
          </w:tcPr>
          <w:p>
            <w:pPr>
              <w:pStyle w:val="1072"/>
              <w:ind w:left="0" w:firstLine="0"/>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tc>
      </w:tr>
    </w:tbl>
    <w:p>
      <w:pPr>
        <w:ind w:left="0" w:firstLine="315"/>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left"/>
        <w:spacing w:line="360" w:lineRule="auto"/>
        <w:widowControl w:val="off"/>
        <w:rPr>
          <w:rFonts w:hint="eastAsia" w:ascii="宋体" w:hAnsi="宋体" w:cs="宋体"/>
          <w:color w:val="auto"/>
          <w:sz w:val="24"/>
          <w:szCs w:val="24"/>
          <w:highlight w:val="none"/>
        </w:rPr>
      </w:pPr>
      <w:r/>
      <w:bookmarkStart w:id="46" w:name="_Toc241"/>
      <w:r/>
      <w:bookmarkStart w:id="47" w:name="_Toc7945"/>
      <w:r/>
      <w:r/>
    </w:p>
    <w:p>
      <w:pPr>
        <w:ind w:left="0" w:right="-200"/>
        <w:jc w:val="left"/>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zh-CN"/>
        </w:rPr>
        <w:t xml:space="preserve"> </w:t>
      </w:r>
      <w:r/>
    </w:p>
    <w:p>
      <w:pPr>
        <w:ind w:left="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w:t>
      </w:r>
      <w:r>
        <w:rPr>
          <w:rFonts w:hint="eastAsia" w:ascii="宋体" w:hAnsi="宋体" w:cs="宋体"/>
          <w:color w:val="auto"/>
          <w:sz w:val="24"/>
          <w:szCs w:val="24"/>
          <w:highlight w:val="none"/>
        </w:rPr>
        <w:t xml:space="preserve">被授权</w:t>
      </w:r>
      <w:r>
        <w:rPr>
          <w:rFonts w:hint="eastAsia" w:ascii="宋体" w:hAnsi="宋体" w:cs="宋体"/>
          <w:color w:val="auto"/>
          <w:sz w:val="24"/>
          <w:szCs w:val="24"/>
          <w:highlight w:val="none"/>
          <w:lang w:val="zh-CN"/>
        </w:rPr>
        <w:t xml:space="preserve">人：（签字或盖章）</w:t>
      </w:r>
      <w:r/>
    </w:p>
    <w:p>
      <w:pPr>
        <w:ind w:left="0" w:right="300"/>
        <w:jc w:val="left"/>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left="0" w:right="300"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bookmarkEnd w:id="46"/>
      <w:r/>
      <w:bookmarkEnd w:id="47"/>
      <w:r/>
      <w:r/>
    </w:p>
    <w:p>
      <w:pPr>
        <w:pStyle w:val="1072"/>
        <w:ind w:left="0" w:firstLine="0"/>
        <w:jc w:val="both"/>
        <w:widowControl w:val="off"/>
        <w:rPr>
          <w:rStyle w:val="1071"/>
          <w:rFonts w:hint="eastAsia" w:ascii="宋体" w:hAnsi="宋体" w:cs="宋体"/>
          <w:b/>
          <w:color w:val="auto"/>
          <w:szCs w:val="24"/>
          <w:highlight w:val="none"/>
        </w:rPr>
        <w:outlineLvl w:val="1"/>
      </w:pPr>
      <w:r/>
      <w:bookmarkStart w:id="48" w:name="_Toc21574"/>
      <w:r/>
      <w:bookmarkStart w:id="49" w:name="_Toc19621"/>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附件</w:t>
      </w:r>
      <w:r>
        <w:rPr>
          <w:rStyle w:val="1071"/>
          <w:rFonts w:hint="eastAsia" w:ascii="宋体" w:hAnsi="宋体" w:cs="宋体"/>
          <w:b/>
          <w:bCs/>
          <w:color w:val="auto"/>
          <w:szCs w:val="24"/>
          <w:highlight w:val="none"/>
        </w:rPr>
        <w:t xml:space="preserve">7、服务要求偏离表</w:t>
      </w:r>
      <w:r/>
    </w:p>
    <w:p>
      <w:pPr>
        <w:ind w:left="0"/>
        <w:jc w:val="center"/>
        <w:spacing w:line="360" w:lineRule="auto"/>
        <w:widowControl w:val="off"/>
        <w:rPr>
          <w:rStyle w:val="1071"/>
          <w:rFonts w:hint="eastAsia" w:ascii="宋体" w:hAnsi="宋体" w:cs="宋体"/>
          <w:b/>
          <w:color w:val="auto"/>
          <w:sz w:val="24"/>
          <w:szCs w:val="24"/>
          <w:highlight w:val="none"/>
        </w:rPr>
      </w:pPr>
      <w:r>
        <w:rPr>
          <w:rStyle w:val="1071"/>
          <w:rFonts w:hint="eastAsia" w:ascii="宋体" w:hAnsi="宋体" w:cs="宋体"/>
          <w:b/>
          <w:color w:val="auto"/>
          <w:sz w:val="24"/>
          <w:szCs w:val="24"/>
          <w:highlight w:val="none"/>
        </w:rPr>
        <w:t xml:space="preserve">服务要求偏离表</w:t>
      </w:r>
      <w:r/>
    </w:p>
    <w:p>
      <w:pP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60"/>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序号</w:t>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项目名称</w:t>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采购要求</w:t>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响应要求</w:t>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偏离/响应</w:t>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说明</w:t>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8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4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99"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left="0" w:firstLine="482"/>
        <w:widowControl w:val="off"/>
        <w:rPr>
          <w:rStyle w:val="1071"/>
          <w:rFonts w:hint="eastAsia" w:ascii="宋体" w:hAnsi="宋体" w:cs="宋体"/>
          <w:b/>
          <w:color w:val="auto"/>
          <w:sz w:val="24"/>
          <w:szCs w:val="24"/>
          <w:highlight w:val="none"/>
        </w:rPr>
      </w:pPr>
      <w:r>
        <w:rPr>
          <w:rStyle w:val="1071"/>
          <w:rFonts w:hint="eastAsia" w:ascii="宋体" w:hAnsi="宋体" w:cs="宋体"/>
          <w:b/>
          <w:color w:val="auto"/>
          <w:sz w:val="24"/>
          <w:szCs w:val="24"/>
          <w:highlight w:val="none"/>
        </w:rPr>
        <w:t xml:space="preserve">注：1.响应人应对照磋商文件服务要求等要求，所投标的物与磋商文件的规定有偏离的，应在此表中申明与服务要求条文的偏差和例外。</w:t>
      </w:r>
      <w:r/>
    </w:p>
    <w:p>
      <w:pPr>
        <w:ind w:left="0" w:firstLine="482"/>
        <w:widowControl w:val="off"/>
        <w:rPr>
          <w:rStyle w:val="1071"/>
          <w:rFonts w:hint="eastAsia" w:ascii="宋体" w:hAnsi="宋体" w:cs="宋体"/>
          <w:color w:val="auto"/>
          <w:sz w:val="24"/>
          <w:szCs w:val="24"/>
          <w:highlight w:val="none"/>
        </w:rPr>
      </w:pPr>
      <w:r>
        <w:rPr>
          <w:rStyle w:val="1071"/>
          <w:rFonts w:hint="eastAsia" w:ascii="宋体" w:hAnsi="宋体" w:cs="宋体"/>
          <w:b/>
          <w:color w:val="auto"/>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p>
    <w:p>
      <w:pP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64"/>
        <w:ind w:firstLine="480"/>
        <w:rPr>
          <w:rFonts w:hint="eastAsia" w:hAnsi="宋体" w:cs="宋体"/>
          <w:color w:val="auto"/>
          <w:highlight w:val="none"/>
        </w:rPr>
      </w:pPr>
      <w:r>
        <w:rPr>
          <w:rFonts w:hint="eastAsia" w:hAnsi="宋体" w:cs="宋体"/>
          <w:color w:val="auto"/>
          <w:highlight w:val="none"/>
        </w:rPr>
      </w:r>
      <w:r/>
    </w:p>
    <w:p>
      <w:pP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供应商：（盖章）</w:t>
      </w:r>
      <w:r/>
    </w:p>
    <w:p>
      <w:pP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法定代表人或代理人：（签字或盖章）</w:t>
      </w:r>
      <w:r/>
    </w:p>
    <w:p>
      <w:pPr>
        <w:spacing w:line="360" w:lineRule="auto"/>
        <w:widowControl w:val="off"/>
        <w:rPr>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日期：      年    月    日</w:t>
      </w:r>
      <w:r/>
    </w:p>
    <w:p>
      <w:pPr>
        <w:pStyle w:val="1072"/>
        <w:ind w:left="0" w:firstLine="0"/>
        <w:widowControl w:val="off"/>
        <w:rPr>
          <w:rStyle w:val="1071"/>
          <w:rFonts w:hint="eastAsia" w:ascii="宋体" w:hAnsi="宋体" w:cs="宋体"/>
          <w:b/>
          <w:color w:val="auto"/>
          <w:szCs w:val="24"/>
          <w:highlight w:val="none"/>
        </w:rPr>
        <w:outlineLvl w:val="1"/>
      </w:pPr>
      <w:r>
        <w:rPr>
          <w:rStyle w:val="1071"/>
          <w:rFonts w:hint="eastAsia" w:ascii="宋体" w:hAnsi="宋体" w:cs="宋体"/>
          <w:b/>
          <w:color w:val="auto"/>
          <w:szCs w:val="24"/>
          <w:highlight w:val="none"/>
        </w:rPr>
        <w:br w:type="page" w:clear="all"/>
      </w:r>
      <w:bookmarkStart w:id="50" w:name="_Toc6051"/>
      <w:r>
        <w:rPr>
          <w:rStyle w:val="1071"/>
          <w:rFonts w:hint="eastAsia" w:ascii="宋体" w:hAnsi="宋体" w:cs="宋体"/>
          <w:b/>
          <w:color w:val="auto"/>
          <w:szCs w:val="24"/>
          <w:highlight w:val="none"/>
        </w:rPr>
        <w:t xml:space="preserve">附件8、商务条款偏离表</w:t>
      </w:r>
      <w:bookmarkEnd w:id="50"/>
      <w:r/>
      <w:r/>
    </w:p>
    <w:p>
      <w:pPr>
        <w:pStyle w:val="1074"/>
        <w:ind w:left="0" w:firstLine="0"/>
        <w:jc w:val="center"/>
        <w:widowControl w:val="off"/>
        <w:rPr>
          <w:rStyle w:val="1071"/>
          <w:rFonts w:hint="eastAsia" w:ascii="宋体" w:hAnsi="宋体" w:cs="宋体"/>
          <w:b/>
          <w:color w:val="auto"/>
          <w:highlight w:val="none"/>
        </w:rPr>
      </w:pPr>
      <w:r>
        <w:rPr>
          <w:rStyle w:val="1071"/>
          <w:rFonts w:hint="eastAsia" w:ascii="宋体" w:hAnsi="宋体" w:cs="宋体"/>
          <w:b/>
          <w:color w:val="auto"/>
          <w:highlight w:val="none"/>
        </w:rPr>
        <w:t xml:space="preserve">商务条款偏离表</w:t>
      </w:r>
      <w:r/>
    </w:p>
    <w:p>
      <w:pP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60"/>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序号</w:t>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磋商文件条目号</w:t>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磋商文件的商务条款</w:t>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响应文件的商务条款</w:t>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说明</w:t>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00"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97" w:type="dxa"/>
            <w:vAlign w:val="center"/>
            <w:textDirection w:val="lrTb"/>
            <w:noWrap w:val="false"/>
          </w:tcPr>
          <w:p>
            <w:pPr>
              <w:ind w:left="0"/>
              <w:jc w:val="center"/>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074"/>
        <w:spacing w:line="240" w:lineRule="auto"/>
        <w:widowControl w:val="off"/>
        <w:rPr>
          <w:rStyle w:val="1071"/>
          <w:rFonts w:hint="eastAsia" w:ascii="宋体" w:hAnsi="宋体" w:cs="宋体"/>
          <w:b/>
          <w:color w:val="auto"/>
          <w:highlight w:val="none"/>
        </w:rPr>
      </w:pPr>
      <w:r>
        <w:rPr>
          <w:rStyle w:val="1071"/>
          <w:rFonts w:hint="eastAsia" w:ascii="宋体" w:hAnsi="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p>
    <w:p>
      <w:pPr>
        <w:ind w:firstLine="480"/>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74"/>
        <w:widowControl w:val="off"/>
        <w:rPr>
          <w:rStyle w:val="1071"/>
          <w:rFonts w:hint="eastAsia" w:ascii="宋体" w:hAnsi="宋体" w:cs="宋体"/>
          <w:color w:val="auto"/>
          <w:highlight w:val="none"/>
        </w:rPr>
      </w:pPr>
      <w:r>
        <w:rPr>
          <w:rStyle w:val="1071"/>
          <w:rFonts w:hint="eastAsia" w:ascii="宋体" w:hAnsi="宋体" w:cs="宋体"/>
          <w:color w:val="auto"/>
          <w:highlight w:val="none"/>
        </w:rPr>
        <w:t xml:space="preserve">供应商：（盖章）</w:t>
      </w:r>
      <w:r/>
    </w:p>
    <w:p>
      <w:pPr>
        <w:pStyle w:val="1074"/>
        <w:widowControl w:val="off"/>
        <w:rPr>
          <w:rStyle w:val="1071"/>
          <w:rFonts w:hint="eastAsia" w:ascii="宋体" w:hAnsi="宋体" w:cs="宋体"/>
          <w:color w:val="auto"/>
          <w:highlight w:val="none"/>
        </w:rPr>
      </w:pPr>
      <w:r>
        <w:rPr>
          <w:rStyle w:val="1071"/>
          <w:rFonts w:hint="eastAsia" w:ascii="宋体" w:hAnsi="宋体" w:cs="宋体"/>
          <w:color w:val="auto"/>
          <w:highlight w:val="none"/>
        </w:rPr>
        <w:t xml:space="preserve">法定代表人或代理人：（签字或盖章）</w:t>
      </w:r>
      <w:r/>
    </w:p>
    <w:p>
      <w:pPr>
        <w:pStyle w:val="1074"/>
        <w:widowControl w:val="off"/>
        <w:rPr>
          <w:rStyle w:val="1071"/>
          <w:rFonts w:hint="eastAsia" w:ascii="宋体" w:hAnsi="宋体" w:cs="宋体"/>
          <w:color w:val="auto"/>
          <w:sz w:val="21"/>
          <w:szCs w:val="21"/>
          <w:highlight w:val="none"/>
        </w:rPr>
      </w:pPr>
      <w:r>
        <w:rPr>
          <w:rStyle w:val="1071"/>
          <w:rFonts w:hint="eastAsia" w:ascii="宋体" w:hAnsi="宋体" w:cs="宋体"/>
          <w:color w:val="auto"/>
          <w:highlight w:val="none"/>
        </w:rPr>
        <w:t xml:space="preserve">日期：      年    月    日</w:t>
      </w:r>
      <w:r/>
    </w:p>
    <w:p>
      <w:pPr>
        <w:pStyle w:val="1072"/>
        <w:ind w:left="0" w:firstLine="0"/>
        <w:jc w:val="both"/>
        <w:spacing w:line="360" w:lineRule="auto"/>
        <w:widowControl w:val="off"/>
        <w:rPr>
          <w:rStyle w:val="1071"/>
          <w:rFonts w:hint="eastAsia" w:ascii="宋体" w:hAnsi="宋体" w:cs="宋体"/>
          <w:b/>
          <w:color w:val="auto"/>
          <w:szCs w:val="24"/>
          <w:highlight w:val="none"/>
        </w:rPr>
        <w:outlineLvl w:val="1"/>
      </w:pPr>
      <w:r>
        <w:rPr>
          <w:rStyle w:val="1071"/>
          <w:rFonts w:hint="eastAsia" w:ascii="宋体" w:hAnsi="宋体" w:cs="宋体"/>
          <w:b/>
          <w:color w:val="auto"/>
          <w:sz w:val="21"/>
          <w:szCs w:val="21"/>
          <w:highlight w:val="none"/>
        </w:rPr>
        <w:br w:type="page" w:clear="all"/>
      </w:r>
      <w:bookmarkStart w:id="51" w:name="_Toc5258"/>
      <w:r/>
      <w:bookmarkStart w:id="52" w:name="_Toc23227"/>
      <w:r>
        <w:rPr>
          <w:rStyle w:val="1071"/>
          <w:rFonts w:hint="eastAsia" w:ascii="宋体" w:hAnsi="宋体" w:cs="宋体"/>
          <w:b/>
          <w:color w:val="auto"/>
          <w:szCs w:val="24"/>
          <w:highlight w:val="none"/>
        </w:rPr>
        <w:t xml:space="preserve">附件9</w:t>
      </w:r>
      <w:r>
        <w:rPr>
          <w:rStyle w:val="1071"/>
          <w:rFonts w:hint="eastAsia" w:ascii="宋体" w:hAnsi="宋体" w:cs="宋体"/>
          <w:b/>
          <w:bCs/>
          <w:color w:val="auto"/>
          <w:szCs w:val="24"/>
          <w:highlight w:val="none"/>
        </w:rPr>
        <w:t xml:space="preserve">、</w:t>
      </w:r>
      <w:r>
        <w:rPr>
          <w:rStyle w:val="1071"/>
          <w:rFonts w:hint="eastAsia" w:ascii="宋体" w:hAnsi="宋体" w:cs="宋体"/>
          <w:b/>
          <w:color w:val="auto"/>
          <w:szCs w:val="24"/>
          <w:highlight w:val="none"/>
        </w:rPr>
        <w:t xml:space="preserve">实施方案</w:t>
      </w:r>
      <w:r/>
    </w:p>
    <w:p>
      <w:pPr>
        <w:pStyle w:val="1072"/>
        <w:ind w:left="0" w:firstLine="0"/>
        <w:jc w:val="center"/>
        <w:spacing w:line="360" w:lineRule="auto"/>
        <w:widowControl w:val="off"/>
        <w:rPr>
          <w:rStyle w:val="1071"/>
          <w:rFonts w:hint="eastAsia" w:ascii="宋体" w:hAnsi="宋体" w:cs="宋体"/>
          <w:b/>
          <w:color w:val="auto"/>
          <w:szCs w:val="24"/>
          <w:highlight w:val="none"/>
        </w:rPr>
      </w:pPr>
      <w:r>
        <w:rPr>
          <w:rStyle w:val="1071"/>
          <w:rFonts w:hint="eastAsia" w:ascii="宋体" w:hAnsi="宋体" w:cs="宋体"/>
          <w:b/>
          <w:color w:val="auto"/>
          <w:szCs w:val="24"/>
          <w:highlight w:val="none"/>
        </w:rPr>
        <w:t xml:space="preserve">实施方案</w:t>
      </w:r>
      <w:r/>
    </w:p>
    <w:tbl>
      <w:tblPr>
        <w:tblStyle w:val="860"/>
        <w:tblW w:w="848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W w:w="8482" w:type="dxa"/>
            <w:vAlign w:val="top"/>
            <w:textDirection w:val="lrTb"/>
            <w:noWrap w:val="false"/>
          </w:tcPr>
          <w:p>
            <w:pPr>
              <w:pStyle w:val="1080"/>
              <w:ind w:left="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提示：</w:t>
            </w:r>
            <w:r/>
          </w:p>
          <w:p>
            <w:pPr>
              <w:pStyle w:val="1080"/>
              <w:ind w:left="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1.供应商应根据本次采购项目要求，对所投服务进行详细的说明与描述。</w:t>
            </w:r>
            <w:r/>
          </w:p>
          <w:p>
            <w:pPr>
              <w:pStyle w:val="1080"/>
              <w:ind w:left="0"/>
              <w:widowControl w:val="off"/>
              <w:rPr>
                <w:rStyle w:val="1071"/>
                <w:rFonts w:hint="eastAsia" w:hAnsi="宋体" w:cs="宋体"/>
                <w:color w:val="auto"/>
                <w:sz w:val="24"/>
                <w:szCs w:val="24"/>
                <w:highlight w:val="none"/>
              </w:rPr>
            </w:pPr>
            <w:r>
              <w:rPr>
                <w:rStyle w:val="1071"/>
                <w:rFonts w:hint="eastAsia" w:hAnsi="宋体" w:cs="宋体"/>
                <w:color w:val="auto"/>
                <w:sz w:val="24"/>
                <w:szCs w:val="24"/>
                <w:highlight w:val="none"/>
              </w:rPr>
              <w:t xml:space="preserve">2.供应商可根据自身情况编写，本页不够可另加页附后。</w:t>
            </w:r>
            <w:r/>
          </w:p>
        </w:tc>
      </w:tr>
      <w:tr>
        <w:trPr>
          <w:jc w:val="center"/>
          <w:trHeight w:val="8913"/>
        </w:trPr>
        <w:tc>
          <w:tcPr>
            <w:tcW w:w="8482" w:type="dxa"/>
            <w:vAlign w:val="bottom"/>
            <w:textDirection w:val="lrTb"/>
            <w:noWrap w:val="false"/>
          </w:tcPr>
          <w:p>
            <w:pPr>
              <w:ind w:left="0" w:firstLine="240"/>
              <w:widowControl w:val="off"/>
              <w:tabs>
                <w:tab w:val="left" w:pos="1320" w:leader="none"/>
              </w:tabs>
              <w:rPr>
                <w:rStyle w:val="1071"/>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tc>
      </w:tr>
    </w:tbl>
    <w:p>
      <w:pPr>
        <w:pStyle w:val="1072"/>
        <w:ind w:firstLine="0"/>
        <w:widowControl w:val="off"/>
        <w:rPr>
          <w:rStyle w:val="1071"/>
          <w:rFonts w:hint="eastAsia" w:ascii="宋体" w:hAnsi="宋体" w:cs="宋体"/>
          <w:b/>
          <w:color w:val="auto"/>
          <w:szCs w:val="24"/>
          <w:highlight w:val="none"/>
        </w:rPr>
      </w:pPr>
      <w:r>
        <w:rPr>
          <w:rFonts w:hint="eastAsia" w:ascii="宋体" w:hAnsi="宋体" w:cs="宋体"/>
          <w:b/>
          <w:color w:val="auto"/>
          <w:szCs w:val="24"/>
          <w:highlight w:val="none"/>
        </w:rPr>
      </w:r>
      <w:r/>
    </w:p>
    <w:p>
      <w:pPr>
        <w:ind w:firstLine="480"/>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供应商：（盖章）</w:t>
      </w:r>
      <w:r/>
    </w:p>
    <w:p>
      <w:pPr>
        <w:ind w:firstLine="480"/>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法定代表人或代理人：（签字或盖章）</w:t>
      </w:r>
      <w:r/>
    </w:p>
    <w:p>
      <w:pPr>
        <w:ind w:firstLine="480"/>
        <w:spacing w:line="360" w:lineRule="auto"/>
        <w:widowControl w:val="off"/>
        <w:rPr>
          <w:rStyle w:val="1071"/>
          <w:rFonts w:hint="eastAsia" w:ascii="宋体" w:hAnsi="宋体" w:cs="宋体"/>
          <w:b/>
          <w:color w:val="auto"/>
          <w:sz w:val="24"/>
          <w:szCs w:val="24"/>
          <w:highlight w:val="none"/>
        </w:rPr>
      </w:pPr>
      <w:r>
        <w:rPr>
          <w:rStyle w:val="1071"/>
          <w:rFonts w:hint="eastAsia" w:ascii="宋体" w:hAnsi="宋体" w:cs="宋体"/>
          <w:color w:val="auto"/>
          <w:sz w:val="24"/>
          <w:szCs w:val="24"/>
          <w:highlight w:val="none"/>
        </w:rPr>
        <w:t xml:space="preserve">日期：      年    月    日</w:t>
      </w:r>
      <w:r/>
    </w:p>
    <w:p>
      <w:pPr>
        <w:pStyle w:val="1074"/>
        <w:ind w:left="0" w:firstLine="0"/>
        <w:widowControl w:val="off"/>
        <w:rPr>
          <w:rStyle w:val="1071"/>
          <w:rFonts w:hint="eastAsia" w:ascii="宋体" w:hAnsi="宋体" w:cs="宋体"/>
          <w:color w:val="auto"/>
          <w:szCs w:val="24"/>
          <w:highlight w:val="none"/>
        </w:rPr>
        <w:outlineLvl w:val="1"/>
      </w:pPr>
      <w:r>
        <w:rPr>
          <w:rStyle w:val="1071"/>
          <w:rFonts w:hint="eastAsia" w:ascii="宋体" w:hAnsi="宋体" w:cs="宋体"/>
          <w:b/>
          <w:color w:val="auto"/>
          <w:szCs w:val="24"/>
          <w:highlight w:val="none"/>
        </w:rPr>
        <w:br w:type="page" w:clear="all"/>
      </w:r>
      <w:r>
        <w:rPr>
          <w:rStyle w:val="1071"/>
          <w:rFonts w:hint="eastAsia" w:ascii="宋体" w:hAnsi="宋体" w:cs="宋体"/>
          <w:b/>
          <w:color w:val="auto"/>
          <w:szCs w:val="24"/>
          <w:highlight w:val="none"/>
        </w:rPr>
        <w:t xml:space="preserve">附件10、拟投入本项目人员配备一览表</w:t>
      </w:r>
      <w:bookmarkEnd w:id="51"/>
      <w:r/>
      <w:bookmarkEnd w:id="52"/>
      <w:r/>
      <w:r/>
    </w:p>
    <w:p>
      <w:pPr>
        <w:widowControl w:val="off"/>
        <w:rPr>
          <w:rStyle w:val="1071"/>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74"/>
        <w:ind w:left="0" w:firstLine="0"/>
        <w:jc w:val="center"/>
        <w:widowControl w:val="off"/>
        <w:rPr>
          <w:rStyle w:val="1071"/>
          <w:rFonts w:hint="eastAsia" w:ascii="宋体" w:hAnsi="宋体" w:cs="宋体"/>
          <w:b/>
          <w:color w:val="auto"/>
          <w:szCs w:val="24"/>
          <w:highlight w:val="none"/>
        </w:rPr>
      </w:pPr>
      <w:r>
        <w:rPr>
          <w:rStyle w:val="1071"/>
          <w:rFonts w:hint="eastAsia" w:ascii="宋体" w:hAnsi="宋体" w:cs="宋体"/>
          <w:b/>
          <w:color w:val="auto"/>
          <w:szCs w:val="24"/>
          <w:highlight w:val="none"/>
        </w:rPr>
        <w:t xml:space="preserve">拟投入本项目人员配备一览表</w:t>
      </w:r>
      <w:r/>
    </w:p>
    <w:tbl>
      <w:tblPr>
        <w:tblStyle w:val="860"/>
        <w:tblW w:w="889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序号</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项目组所任职务</w:t>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姓名</w:t>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性别</w:t>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年龄</w:t>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职称</w:t>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专业/资格</w:t>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从事本工作时间</w:t>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典型业务与技术专长</w:t>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1</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2</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3</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4</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5</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6</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7</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8</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9</w:t>
            </w:r>
            <w:r/>
          </w:p>
        </w:tc>
        <w:tc>
          <w:tcPr>
            <w:tcW w:w="121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pStyle w:val="1075"/>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9"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Style w:val="1071"/>
                <w:rFonts w:hint="eastAsia" w:ascii="宋体" w:hAnsi="宋体" w:cs="宋体"/>
                <w:color w:val="auto"/>
                <w:sz w:val="24"/>
                <w:szCs w:val="24"/>
                <w:highlight w:val="none"/>
              </w:rPr>
              <w:t xml:space="preserve">10</w:t>
            </w:r>
            <w:r/>
          </w:p>
        </w:tc>
        <w:tc>
          <w:tcPr>
            <w:tcW w:w="1211"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1"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6"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67"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31"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37"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88"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7" w:type="dxa"/>
            <w:vAlign w:val="center"/>
            <w:textDirection w:val="lrTb"/>
            <w:noWrap w:val="false"/>
          </w:tcPr>
          <w:p>
            <w:pPr>
              <w:ind w:left="0"/>
              <w:jc w:val="center"/>
              <w:spacing w:line="360" w:lineRule="auto"/>
              <w:widowControl w:val="off"/>
              <w:rPr>
                <w:rStyle w:val="1071"/>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074"/>
        <w:widowControl w:val="off"/>
        <w:rPr>
          <w:rStyle w:val="1071"/>
          <w:rFonts w:hint="eastAsia" w:ascii="宋体" w:hAnsi="宋体" w:cs="宋体"/>
          <w:color w:val="auto"/>
          <w:szCs w:val="24"/>
          <w:highlight w:val="none"/>
        </w:rPr>
      </w:pPr>
      <w:r>
        <w:rPr>
          <w:rFonts w:hint="eastAsia" w:ascii="宋体" w:hAnsi="宋体" w:cs="宋体"/>
          <w:color w:val="auto"/>
          <w:szCs w:val="24"/>
          <w:highlight w:val="none"/>
        </w:rPr>
      </w:r>
      <w:r/>
    </w:p>
    <w:p>
      <w:pPr>
        <w:ind w:firstLine="482"/>
        <w:spacing w:line="360" w:lineRule="auto"/>
        <w:widowControl w:val="off"/>
        <w:rPr>
          <w:rStyle w:val="1071"/>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74"/>
        <w:ind w:left="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供应商：（单位盖章）</w:t>
      </w:r>
      <w:r/>
    </w:p>
    <w:p>
      <w:pPr>
        <w:pStyle w:val="1074"/>
        <w:ind w:left="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法定代表人或代理人：（签字或盖章）</w:t>
      </w:r>
      <w:r/>
    </w:p>
    <w:p>
      <w:pPr>
        <w:pStyle w:val="1074"/>
        <w:ind w:left="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日期：      年    月    日</w:t>
      </w:r>
      <w:r/>
    </w:p>
    <w:p>
      <w:pPr>
        <w:pStyle w:val="1074"/>
        <w:ind w:left="0" w:firstLine="0"/>
        <w:widowControl w:val="off"/>
        <w:rPr>
          <w:rStyle w:val="1071"/>
          <w:rFonts w:hint="eastAsia" w:ascii="宋体" w:hAnsi="宋体" w:cs="宋体"/>
          <w:b/>
          <w:color w:val="auto"/>
          <w:highlight w:val="none"/>
        </w:rPr>
        <w:outlineLvl w:val="1"/>
      </w:pPr>
      <w:r>
        <w:rPr>
          <w:rStyle w:val="1071"/>
          <w:rFonts w:hint="eastAsia" w:ascii="宋体" w:hAnsi="宋体" w:cs="宋体"/>
          <w:color w:val="auto"/>
          <w:sz w:val="21"/>
          <w:szCs w:val="21"/>
          <w:highlight w:val="none"/>
        </w:rPr>
        <w:br w:type="page" w:clear="all"/>
      </w:r>
      <w:bookmarkStart w:id="53" w:name="_Toc5921"/>
      <w:r>
        <w:rPr>
          <w:rStyle w:val="1071"/>
          <w:rFonts w:hint="eastAsia" w:ascii="宋体" w:hAnsi="宋体" w:cs="宋体"/>
          <w:b/>
          <w:color w:val="auto"/>
          <w:highlight w:val="none"/>
        </w:rPr>
        <w:t xml:space="preserve">附件11、企业类似项目一览表</w:t>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jc w:val="cente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企业类似项目一览表</w:t>
      </w:r>
      <w:r/>
    </w:p>
    <w:p>
      <w:pPr>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tbl>
      <w:tblPr>
        <w:tblStyle w:val="8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649" w:type="dxa"/>
            <w:vAlign w:val="center"/>
            <w:textDirection w:val="lrTb"/>
            <w:noWrap w:val="false"/>
          </w:tcPr>
          <w:p>
            <w:pPr>
              <w:ind w:left="0"/>
              <w:jc w:val="cente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72"/>
        <w:ind w:firstLine="0"/>
        <w:jc w:val="both"/>
        <w:spacing w:line="360" w:lineRule="auto"/>
        <w:widowControl w:val="off"/>
        <w:rPr>
          <w:rStyle w:val="1071"/>
          <w:rFonts w:hint="eastAsia" w:ascii="宋体" w:hAnsi="宋体" w:cs="宋体"/>
          <w:b/>
          <w:color w:val="auto"/>
          <w:szCs w:val="24"/>
          <w:highlight w:val="none"/>
        </w:rPr>
      </w:pPr>
      <w:r>
        <w:rPr>
          <w:rFonts w:hint="eastAsia" w:ascii="宋体" w:hAnsi="宋体" w:cs="宋体"/>
          <w:b/>
          <w:color w:val="auto"/>
          <w:szCs w:val="24"/>
          <w:highlight w:val="none"/>
        </w:rPr>
      </w:r>
      <w:r/>
    </w:p>
    <w:p>
      <w:pPr>
        <w:pStyle w:val="1074"/>
        <w:widowControl w:val="off"/>
        <w:rPr>
          <w:rStyle w:val="1071"/>
          <w:rFonts w:hint="eastAsia" w:ascii="宋体" w:hAnsi="宋体" w:cs="宋体"/>
          <w:color w:val="auto"/>
          <w:highlight w:val="none"/>
        </w:rPr>
      </w:pPr>
      <w:r>
        <w:rPr>
          <w:rStyle w:val="1071"/>
          <w:rFonts w:hint="eastAsia" w:ascii="宋体" w:hAnsi="宋体" w:cs="宋体"/>
          <w:color w:val="auto"/>
          <w:highlight w:val="none"/>
        </w:rPr>
        <w:t xml:space="preserve">供应商：（单位盖章）</w:t>
      </w:r>
      <w:r/>
    </w:p>
    <w:p>
      <w:pPr>
        <w:pStyle w:val="1074"/>
        <w:widowControl w:val="off"/>
        <w:rPr>
          <w:rStyle w:val="1071"/>
          <w:rFonts w:hint="eastAsia" w:ascii="宋体" w:hAnsi="宋体" w:cs="宋体"/>
          <w:color w:val="auto"/>
          <w:highlight w:val="none"/>
        </w:rPr>
      </w:pPr>
      <w:r>
        <w:rPr>
          <w:rStyle w:val="1071"/>
          <w:rFonts w:hint="eastAsia" w:ascii="宋体" w:hAnsi="宋体" w:cs="宋体"/>
          <w:color w:val="auto"/>
          <w:highlight w:val="none"/>
        </w:rPr>
        <w:t xml:space="preserve">法定代表人或代理人：（签字或盖章）</w:t>
      </w:r>
      <w:r/>
    </w:p>
    <w:p>
      <w:pPr>
        <w:pStyle w:val="1074"/>
        <w:widowControl w:val="off"/>
        <w:rPr>
          <w:rStyle w:val="1071"/>
          <w:rFonts w:hint="eastAsia" w:ascii="宋体" w:hAnsi="宋体" w:cs="宋体"/>
          <w:color w:val="auto"/>
          <w:highlight w:val="none"/>
        </w:rPr>
      </w:pPr>
      <w:r>
        <w:rPr>
          <w:rStyle w:val="1071"/>
          <w:rFonts w:hint="eastAsia" w:ascii="宋体" w:hAnsi="宋体" w:cs="宋体"/>
          <w:color w:val="auto"/>
          <w:highlight w:val="none"/>
        </w:rPr>
        <w:t xml:space="preserve">日期：   年   月   日</w:t>
      </w:r>
      <w:r/>
    </w:p>
    <w:p>
      <w:pPr>
        <w:pStyle w:val="1072"/>
        <w:ind w:left="0" w:firstLine="0"/>
        <w:jc w:val="both"/>
        <w:spacing w:line="360" w:lineRule="auto"/>
        <w:widowControl w:val="off"/>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br w:type="page" w:clear="all"/>
      </w:r>
      <w:r>
        <w:rPr>
          <w:rFonts w:hint="eastAsia" w:ascii="宋体" w:hAnsi="宋体" w:cs="宋体"/>
          <w:b/>
          <w:color w:val="auto"/>
          <w:szCs w:val="24"/>
          <w:highlight w:val="none"/>
        </w:rPr>
        <w:t xml:space="preserve">附件12、中小企业声明函</w:t>
      </w:r>
      <w:bookmarkEnd w:id="48"/>
      <w:r/>
      <w:bookmarkEnd w:id="49"/>
      <w:r/>
      <w:bookmarkEnd w:id="53"/>
      <w:r/>
      <w:r/>
    </w:p>
    <w:p>
      <w:pPr>
        <w:ind w:left="0"/>
        <w:jc w:val="center"/>
        <w:spacing w:line="400" w:lineRule="exact"/>
        <w:widowControl w:val="off"/>
        <w:rPr>
          <w:rStyle w:val="1071"/>
          <w:rFonts w:hint="eastAsia" w:ascii="宋体" w:hAnsi="宋体" w:cs="宋体"/>
          <w:color w:val="auto"/>
          <w:sz w:val="24"/>
          <w:szCs w:val="24"/>
          <w:highlight w:val="none"/>
          <w:lang w:val="zh-CN"/>
        </w:rPr>
      </w:pPr>
      <w:r>
        <w:rPr>
          <w:rStyle w:val="1071"/>
          <w:rFonts w:hint="eastAsia" w:ascii="宋体" w:hAnsi="宋体" w:cs="宋体"/>
          <w:color w:val="auto"/>
          <w:sz w:val="24"/>
          <w:szCs w:val="24"/>
          <w:highlight w:val="none"/>
          <w:lang w:val="zh-CN"/>
        </w:rPr>
        <w:t xml:space="preserve">中小企业声明函</w:t>
      </w:r>
      <w:r/>
    </w:p>
    <w:p>
      <w:pPr>
        <w:ind w:left="0" w:firstLine="480"/>
        <w:spacing w:line="360" w:lineRule="auto"/>
        <w:widowControl w:val="off"/>
        <w:rPr>
          <w:rStyle w:val="1071"/>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，从业人员__人，营业收入为__万元，资产总额为__万元，属于（中型企业、小型企业、微型企业)；</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人，营业收入为___万元，资产总额为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064"/>
        <w:ind w:firstLine="480"/>
        <w:rPr>
          <w:rFonts w:hint="eastAsia" w:hAnsi="宋体" w:cs="宋体"/>
          <w:color w:val="auto"/>
          <w:sz w:val="21"/>
          <w:szCs w:val="21"/>
          <w:highlight w:val="none"/>
        </w:rPr>
      </w:pPr>
      <w:r>
        <w:rPr>
          <w:rFonts w:hint="eastAsia" w:hAnsi="宋体" w:cs="宋体"/>
          <w:color w:val="auto"/>
          <w:szCs w:val="24"/>
          <w:highlight w:val="none"/>
        </w:rPr>
        <w:t xml:space="preserve">本企业对上述声明内容的真实性负责。如有虚假，将依法承担相应责任。</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注：从业人员、营业收入、资产总额填报上一年度数据，无上一年度数据的新成立企业可不填报。</w:t>
      </w:r>
      <w:r/>
    </w:p>
    <w:p>
      <w:pPr>
        <w:pStyle w:val="10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41"/>
        <w:ind w:left="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4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pStyle w:val="104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41"/>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pStyle w:val="1041"/>
        <w:ind w:left="0" w:firstLine="0"/>
        <w:jc w:val="left"/>
        <w:spacing w:line="360" w:lineRule="auto"/>
        <w:rPr>
          <w:rFonts w:hint="eastAsia" w:ascii="宋体" w:hAnsi="宋体" w:cs="宋体"/>
          <w:b/>
          <w:bCs/>
          <w:color w:val="auto"/>
          <w:sz w:val="21"/>
          <w:szCs w:val="21"/>
          <w:highlight w:val="none"/>
        </w:rPr>
        <w:outlineLvl w:val="1"/>
      </w:pPr>
      <w:r>
        <w:rPr>
          <w:rFonts w:hint="eastAsia" w:ascii="宋体" w:hAnsi="宋体" w:cs="宋体"/>
          <w:b/>
          <w:bCs/>
          <w:color w:val="auto"/>
          <w:sz w:val="21"/>
          <w:szCs w:val="21"/>
          <w:highlight w:val="none"/>
        </w:rPr>
        <w:br w:type="page" w:clear="all"/>
      </w:r>
      <w:bookmarkStart w:id="54" w:name="_Toc14042"/>
      <w:r>
        <w:rPr>
          <w:rFonts w:hint="eastAsia" w:ascii="宋体" w:hAnsi="宋体" w:cs="宋体"/>
          <w:b/>
          <w:bCs/>
          <w:color w:val="auto"/>
          <w:sz w:val="21"/>
          <w:szCs w:val="21"/>
          <w:highlight w:val="none"/>
        </w:rPr>
        <w:t xml:space="preserve">附：中小企业划型标准规定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41"/>
        <w:ind w:left="0" w:firstLine="0"/>
        <w:jc w:val="left"/>
        <w:spacing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041"/>
        <w:ind w:left="0" w:firstLine="0"/>
        <w:jc w:val="left"/>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rPr>
        <w:t xml:space="preserve">附件13、</w:t>
      </w:r>
      <w:r>
        <w:rPr>
          <w:rFonts w:hint="eastAsia" w:ascii="宋体" w:hAnsi="宋体" w:cs="宋体"/>
          <w:b/>
          <w:bCs/>
          <w:color w:val="auto"/>
          <w:sz w:val="24"/>
          <w:szCs w:val="24"/>
          <w:highlight w:val="none"/>
          <w:lang w:val="zh-CN"/>
        </w:rPr>
        <w:t xml:space="preserve">残疾人福利性单位声明函</w:t>
      </w:r>
      <w:bookmarkEnd w:id="54"/>
      <w:r/>
      <w:r/>
    </w:p>
    <w:p>
      <w:pPr>
        <w:pStyle w:val="1065"/>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left="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残疾人福利性单位声明函</w:t>
      </w:r>
      <w:r/>
    </w:p>
    <w:p>
      <w:pPr>
        <w:ind w:left="0"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lang w:val="zh-CN"/>
        </w:rPr>
        <w:t xml:space="preserve">贵中心组织实施的编号为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号的采购活动</w:t>
      </w:r>
      <w:r>
        <w:rPr>
          <w:rFonts w:hint="eastAsia" w:ascii="宋体" w:hAnsi="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pStyle w:val="1067"/>
        <w:ind w:left="0"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ind w:left="0"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0"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0"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供应商名称：（盖章）</w:t>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jc w:val="left"/>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日期:       年      月     日</w:t>
      </w:r>
      <w:r/>
    </w:p>
    <w:p>
      <w:pPr>
        <w:ind w:left="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right="48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48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jc w:val="center"/>
        <w:spacing w:line="4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spacing w:line="48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spacing w:line="400" w:lineRule="exact"/>
        <w:rPr>
          <w:rFonts w:hint="eastAsia" w:ascii="宋体" w:hAnsi="宋体" w:cs="宋体"/>
          <w:b/>
          <w:color w:val="auto"/>
          <w:sz w:val="24"/>
          <w:szCs w:val="24"/>
          <w:highlight w:val="none"/>
        </w:rPr>
        <w:outlineLvl w:val="1"/>
      </w:pPr>
      <w:r>
        <w:rPr>
          <w:rFonts w:hint="eastAsia" w:ascii="宋体" w:hAnsi="宋体" w:cs="宋体"/>
          <w:color w:val="auto"/>
          <w:sz w:val="21"/>
          <w:szCs w:val="21"/>
          <w:highlight w:val="none"/>
        </w:rPr>
        <w:br w:type="page" w:clear="all"/>
      </w:r>
      <w:bookmarkStart w:id="55" w:name="_Toc7573"/>
      <w:r>
        <w:rPr>
          <w:rFonts w:hint="eastAsia" w:ascii="宋体" w:hAnsi="宋体" w:cs="宋体"/>
          <w:b/>
          <w:color w:val="auto"/>
          <w:sz w:val="24"/>
          <w:szCs w:val="24"/>
          <w:highlight w:val="none"/>
        </w:rPr>
        <w:t xml:space="preserve">附件14、响应保证承诺书</w:t>
      </w:r>
      <w:bookmarkEnd w:id="55"/>
      <w:r/>
      <w:r/>
    </w:p>
    <w:p>
      <w:pPr>
        <w:ind w:left="0"/>
        <w:jc w:val="center"/>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left="0"/>
        <w:jc w:val="center"/>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响应保证承诺书</w:t>
      </w:r>
      <w:r/>
    </w:p>
    <w:p>
      <w:pPr>
        <w:ind w:left="0"/>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：（采购代理机构名称）</w:t>
      </w:r>
      <w:r/>
    </w:p>
    <w:p>
      <w:pPr>
        <w:ind w:left="0" w:firstLine="48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（项目名称和采购编号）的响应,并做出如下承诺：</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1.自响应截止时间至本项目发布成交公告为止，撤销响应；</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2.成交后不依法与采购人签订合同；</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3.成交后不按本采购文件规定向采购人提交履约保证金；</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4.成交后不按本采购文件规定向贵方缴纳采购代理费。</w:t>
      </w:r>
      <w:r/>
    </w:p>
    <w:p>
      <w:pPr>
        <w:ind w:left="0"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二、我单位知晓上述行为的法律后果，承认本承诺书作为贵方（或采购人）要求我单位履行违约赔偿义务的依据作用。</w:t>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投标（响应）人：        （盖公章）</w:t>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                     传真：                      </w:t>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电子邮件：                 邮编：                      </w:t>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                                 </w:t>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ind w:left="0"/>
        <w:widowControl w:val="off"/>
        <w:rPr>
          <w:rFonts w:hint="eastAsia" w:ascii="宋体" w:hAnsi="宋体" w:cs="宋体"/>
          <w:b/>
          <w:color w:val="auto"/>
          <w:sz w:val="24"/>
          <w:szCs w:val="24"/>
          <w:highlight w:val="none"/>
        </w:rPr>
        <w:outlineLvl w:val="1"/>
      </w:pPr>
      <w:r>
        <w:rPr>
          <w:rFonts w:hint="eastAsia" w:ascii="宋体" w:hAnsi="宋体" w:cs="宋体"/>
          <w:color w:val="auto"/>
          <w:sz w:val="21"/>
          <w:szCs w:val="21"/>
          <w:highlight w:val="none"/>
        </w:rPr>
        <w:br w:type="page" w:clear="all"/>
      </w:r>
      <w:bookmarkStart w:id="56" w:name="_Toc9516"/>
      <w:r>
        <w:rPr>
          <w:rFonts w:hint="eastAsia" w:ascii="宋体" w:hAnsi="宋体" w:cs="宋体"/>
          <w:b/>
          <w:color w:val="auto"/>
          <w:sz w:val="24"/>
          <w:szCs w:val="24"/>
          <w:highlight w:val="none"/>
        </w:rPr>
        <w:t xml:space="preserve">附件15、响应单位与其他单位存在控股、管理关系情况表</w:t>
      </w:r>
      <w:bookmarkEnd w:id="56"/>
      <w:r/>
      <w:r/>
    </w:p>
    <w:p>
      <w:pPr>
        <w:pStyle w:val="1043"/>
        <w:ind w:firstLine="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响应单位与其他单位存在控股、管理关系情况表</w:t>
      </w:r>
      <w:r/>
    </w:p>
    <w:p>
      <w:pPr>
        <w:pStyle w:val="1043"/>
        <w:rPr>
          <w:rFonts w:hint="eastAsia" w:ascii="宋体" w:hAnsi="宋体" w:cs="宋体"/>
          <w:color w:val="auto"/>
          <w:highlight w:val="none"/>
        </w:rPr>
      </w:pPr>
      <w:r>
        <w:rPr>
          <w:rFonts w:hint="eastAsia" w:ascii="宋体" w:hAnsi="宋体" w:cs="宋体"/>
          <w:color w:val="auto"/>
          <w:highlight w:val="none"/>
        </w:rPr>
      </w:r>
      <w:r/>
    </w:p>
    <w:tbl>
      <w:tblPr>
        <w:tblStyle w:val="860"/>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ind w:left="0" w:firstLine="482"/>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1074"/>
        <w:ind w:left="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供应商：（单位盖章）</w:t>
      </w:r>
      <w:r/>
    </w:p>
    <w:p>
      <w:pPr>
        <w:pStyle w:val="1074"/>
        <w:ind w:left="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法定代表人或代理人：（签字或盖章）</w:t>
      </w:r>
      <w:r/>
    </w:p>
    <w:p>
      <w:pPr>
        <w:pStyle w:val="1074"/>
        <w:ind w:left="0"/>
        <w:widowControl w:val="off"/>
        <w:rPr>
          <w:rStyle w:val="1071"/>
          <w:rFonts w:hint="eastAsia" w:ascii="宋体" w:hAnsi="宋体" w:cs="宋体"/>
          <w:color w:val="auto"/>
          <w:szCs w:val="24"/>
          <w:highlight w:val="none"/>
        </w:rPr>
      </w:pPr>
      <w:r>
        <w:rPr>
          <w:rStyle w:val="1071"/>
          <w:rFonts w:hint="eastAsia" w:ascii="宋体" w:hAnsi="宋体" w:cs="宋体"/>
          <w:color w:val="auto"/>
          <w:szCs w:val="24"/>
          <w:highlight w:val="none"/>
        </w:rPr>
        <w:t xml:space="preserve">日期：   年   月   日</w:t>
      </w:r>
      <w:r/>
    </w:p>
    <w:p>
      <w:pPr>
        <w:pStyle w:val="1043"/>
        <w:ind w:firstLine="0"/>
        <w:rPr>
          <w:rFonts w:hint="eastAsia" w:ascii="宋体" w:hAnsi="宋体" w:cs="宋体"/>
          <w:color w:val="auto"/>
          <w:highlight w:val="none"/>
        </w:rPr>
      </w:pPr>
      <w:r>
        <w:rPr>
          <w:rFonts w:hint="eastAsia" w:ascii="宋体" w:hAnsi="宋体" w:cs="宋体"/>
          <w:color w:val="auto"/>
          <w:highlight w:val="none"/>
        </w:rPr>
      </w:r>
      <w:r/>
    </w:p>
    <w:p>
      <w:pPr>
        <w:ind w:left="0"/>
        <w:jc w:val="center"/>
        <w:spacing w:line="360" w:lineRule="auto"/>
        <w:rPr>
          <w:rFonts w:hint="eastAsia" w:ascii="宋体" w:hAnsi="宋体" w:cs="宋体"/>
          <w:b/>
          <w:color w:val="auto"/>
          <w:sz w:val="44"/>
          <w:szCs w:val="44"/>
          <w:highlight w:val="none"/>
        </w:rPr>
      </w:pPr>
      <w:r/>
      <w:bookmarkStart w:id="57" w:name="_Toc57376408"/>
      <w:r/>
      <w:bookmarkStart w:id="58" w:name="_Toc58248882"/>
      <w:r/>
      <w:bookmarkStart w:id="59" w:name="_Toc23660"/>
      <w:r/>
      <w:bookmarkStart w:id="60" w:name="_Toc4098"/>
      <w:r/>
      <w:bookmarkStart w:id="61" w:name="_Toc6898"/>
      <w:r>
        <w:rPr>
          <w:rFonts w:hint="eastAsia" w:ascii="宋体" w:hAnsi="宋体" w:cs="宋体"/>
          <w:b/>
          <w:color w:val="auto"/>
          <w:sz w:val="44"/>
          <w:szCs w:val="44"/>
          <w:highlight w:val="none"/>
        </w:rPr>
        <w:br w:type="page" w:clear="all"/>
      </w:r>
      <w:r/>
    </w:p>
    <w:p>
      <w:pPr>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bookmarkEnd w:id="57"/>
      <w:r/>
      <w:bookmarkEnd w:id="58"/>
      <w:r/>
      <w:bookmarkEnd w:id="59"/>
      <w:r/>
      <w:bookmarkEnd w:id="60"/>
      <w:r/>
      <w:r/>
    </w:p>
    <w:p>
      <w:pPr>
        <w:numPr>
          <w:ilvl w:val="0"/>
          <w:numId w:val="3"/>
        </w:numPr>
        <w:ind w:left="0"/>
        <w:jc w:val="center"/>
        <w:spacing w:line="360" w:lineRule="auto"/>
        <w:rPr>
          <w:rFonts w:hint="eastAsia" w:ascii="宋体" w:hAnsi="宋体" w:cs="宋体"/>
          <w:b/>
          <w:color w:val="auto"/>
          <w:sz w:val="44"/>
          <w:szCs w:val="44"/>
          <w:highlight w:val="none"/>
        </w:rPr>
        <w:outlineLvl w:val="0"/>
      </w:pPr>
      <w:r/>
      <w:bookmarkStart w:id="62" w:name="招标书"/>
      <w:r/>
      <w:bookmarkEnd w:id="62"/>
      <w:r/>
      <w:bookmarkStart w:id="63" w:name="_Toc19236"/>
      <w:r>
        <w:rPr>
          <w:rFonts w:hint="eastAsia" w:ascii="宋体" w:hAnsi="宋体" w:cs="宋体"/>
          <w:b/>
          <w:color w:val="auto"/>
          <w:sz w:val="44"/>
          <w:szCs w:val="44"/>
          <w:highlight w:val="none"/>
        </w:rPr>
        <w:t xml:space="preserve"> </w:t>
      </w:r>
      <w:bookmarkStart w:id="64" w:name="_Toc23981"/>
      <w:r>
        <w:rPr>
          <w:rFonts w:hint="eastAsia" w:ascii="宋体" w:hAnsi="宋体" w:cs="宋体"/>
          <w:b/>
          <w:color w:val="auto"/>
          <w:sz w:val="44"/>
          <w:szCs w:val="44"/>
          <w:highlight w:val="none"/>
        </w:rPr>
        <w:t xml:space="preserve">采购内容</w:t>
      </w:r>
      <w:bookmarkEnd w:id="61"/>
      <w:r/>
      <w:bookmarkEnd w:id="63"/>
      <w:r/>
      <w:bookmarkEnd w:id="64"/>
      <w:r/>
      <w:r/>
    </w:p>
    <w:p>
      <w:pPr>
        <w:pStyle w:val="1043"/>
        <w:ind w:firstLine="400"/>
        <w:rPr>
          <w:rFonts w:hint="eastAsia" w:ascii="宋体" w:hAnsi="宋体" w:cs="宋体"/>
          <w:color w:val="auto"/>
          <w:highlight w:val="none"/>
        </w:rPr>
      </w:pPr>
      <w:r>
        <w:rPr>
          <w:rFonts w:hint="eastAsia" w:ascii="宋体" w:hAnsi="宋体" w:cs="宋体"/>
          <w:color w:val="auto"/>
          <w:highlight w:val="none"/>
        </w:rPr>
      </w:r>
      <w:r/>
    </w:p>
    <w:p>
      <w:pPr>
        <w:ind w:left="0"/>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Style w:val="1071"/>
          <w:rFonts w:hint="eastAsia" w:ascii="宋体" w:hAnsi="宋体" w:cs="宋体"/>
          <w:b/>
          <w:color w:val="auto"/>
          <w:sz w:val="28"/>
          <w:szCs w:val="28"/>
          <w:highlight w:val="none"/>
        </w:rPr>
        <w:t xml:space="preserve">采购内容</w:t>
      </w:r>
      <w:r/>
    </w:p>
    <w:p>
      <w:pPr>
        <w:ind w:left="0" w:firstLine="480"/>
        <w:spacing w:line="360" w:lineRule="auto"/>
        <w:rPr>
          <w:rFonts w:hint="eastAsia" w:ascii="宋体" w:hAnsi="宋体" w:cs="宋体"/>
          <w:color w:val="auto"/>
          <w:sz w:val="21"/>
          <w:szCs w:val="21"/>
          <w:highlight w:val="none"/>
        </w:rPr>
      </w:pPr>
      <w:r>
        <w:rPr>
          <w:rFonts w:hint="eastAsia" w:ascii="宋体" w:hAnsi="宋体" w:cs="宋体"/>
          <w:color w:val="auto"/>
          <w:sz w:val="24"/>
          <w:szCs w:val="24"/>
          <w:highlight w:val="none"/>
        </w:rPr>
        <w:t xml:space="preserve">苏州合亿盛工程咨询有限公司受</w:t>
      </w:r>
      <w:r>
        <w:rPr>
          <w:rFonts w:hint="eastAsia" w:ascii="宋体" w:hAnsi="宋体" w:cs="宋体"/>
          <w:color w:val="auto"/>
          <w:sz w:val="24"/>
          <w:szCs w:val="24"/>
          <w:highlight w:val="none"/>
          <w:u w:val="single"/>
          <w:lang w:eastAsia="zh-CN"/>
        </w:rPr>
        <w:t xml:space="preserve">江苏省相城中等专业学校</w:t>
      </w:r>
      <w:r>
        <w:rPr>
          <w:rFonts w:hint="eastAsia" w:ascii="宋体" w:hAnsi="宋体" w:cs="宋体"/>
          <w:color w:val="auto"/>
          <w:sz w:val="24"/>
          <w:szCs w:val="24"/>
          <w:highlight w:val="none"/>
        </w:rPr>
        <w:t xml:space="preserve">的委托，就其拟采购的</w:t>
      </w:r>
      <w:r>
        <w:rPr>
          <w:rFonts w:hint="eastAsia" w:ascii="宋体" w:hAnsi="宋体" w:cs="宋体"/>
          <w:color w:val="auto"/>
          <w:sz w:val="24"/>
          <w:szCs w:val="24"/>
          <w:highlight w:val="none"/>
          <w:u w:val="single"/>
          <w:lang w:eastAsia="zh-CN"/>
        </w:rPr>
        <w:t xml:space="preserve">中日师资培训基地项目</w:t>
      </w:r>
      <w:r>
        <w:rPr>
          <w:rFonts w:hint="eastAsia" w:ascii="宋体" w:hAnsi="宋体" w:cs="宋体"/>
          <w:color w:val="auto"/>
          <w:sz w:val="24"/>
          <w:szCs w:val="24"/>
          <w:highlight w:val="none"/>
        </w:rPr>
        <w:t xml:space="preserve">采用竞争性磋商方式进行采购。欢迎符合资格条件的供应商前来报名参加磋商。</w:t>
      </w:r>
      <w:r/>
    </w:p>
    <w:p>
      <w:pPr>
        <w:ind w:left="0" w:firstLine="482"/>
        <w:spacing w:line="360" w:lineRule="auto"/>
        <w:widowControl w:val="off"/>
        <w:rPr>
          <w:rFonts w:hint="eastAsia" w:ascii="宋体" w:hAnsi="宋体" w:cs="宋体"/>
          <w:b/>
          <w:bCs/>
          <w:color w:val="auto"/>
          <w:sz w:val="24"/>
          <w:szCs w:val="24"/>
          <w:highlight w:val="none"/>
        </w:rPr>
        <w:outlineLvl w:val="1"/>
      </w:pPr>
      <w:r/>
      <w:bookmarkStart w:id="65" w:name="_Toc14261"/>
      <w:r/>
      <w:bookmarkStart w:id="66" w:name="_Toc30080"/>
      <w:r/>
      <w:bookmarkStart w:id="67" w:name="_Toc63066515"/>
      <w:r/>
      <w:bookmarkStart w:id="68" w:name="_Toc57376410"/>
      <w:r/>
      <w:bookmarkStart w:id="69" w:name="_Toc8564"/>
      <w:r/>
      <w:bookmarkStart w:id="70" w:name="_Toc58248884"/>
      <w:r/>
      <w:bookmarkStart w:id="71" w:name="_Toc27667"/>
      <w:r>
        <w:rPr>
          <w:rFonts w:hint="eastAsia" w:ascii="宋体" w:hAnsi="宋体" w:cs="宋体"/>
          <w:b/>
          <w:bCs/>
          <w:color w:val="auto"/>
          <w:sz w:val="24"/>
          <w:szCs w:val="24"/>
          <w:highlight w:val="none"/>
        </w:rPr>
        <w:t xml:space="preserve">一、</w:t>
      </w:r>
      <w:r>
        <w:rPr>
          <w:rFonts w:hint="eastAsia" w:ascii="宋体" w:hAnsi="宋体" w:cs="宋体"/>
          <w:b/>
          <w:bCs/>
          <w:color w:val="auto"/>
          <w:sz w:val="24"/>
          <w:szCs w:val="24"/>
          <w:highlight w:val="none"/>
        </w:rPr>
        <w:t xml:space="preserve">磋商编号：</w:t>
      </w:r>
      <w:r>
        <w:rPr>
          <w:rFonts w:hint="eastAsia" w:ascii="宋体" w:hAnsi="宋体" w:cs="宋体"/>
          <w:b/>
          <w:bCs/>
          <w:color w:val="auto"/>
          <w:sz w:val="24"/>
          <w:szCs w:val="24"/>
          <w:highlight w:val="none"/>
          <w:lang w:eastAsia="zh-CN"/>
        </w:rPr>
        <w:t xml:space="preserve">JSZC-320507-SHYS-C2024-0068</w:t>
      </w:r>
      <w:r>
        <w:rPr>
          <w:rFonts w:hint="eastAsia" w:ascii="宋体" w:hAnsi="宋体" w:cs="宋体"/>
          <w:b/>
          <w:bCs/>
          <w:color w:val="auto"/>
          <w:sz w:val="24"/>
          <w:szCs w:val="24"/>
          <w:highlight w:val="none"/>
        </w:rPr>
        <w:t xml:space="preserve">号</w:t>
      </w:r>
      <w:bookmarkEnd w:id="65"/>
      <w:r/>
      <w:bookmarkEnd w:id="66"/>
      <w:r/>
      <w:r/>
    </w:p>
    <w:p>
      <w:pPr>
        <w:ind w:left="0" w:firstLine="482"/>
        <w:spacing w:line="360" w:lineRule="auto"/>
        <w:widowControl w:val="off"/>
        <w:rPr>
          <w:rFonts w:hint="eastAsia" w:ascii="宋体" w:hAnsi="宋体" w:eastAsia="宋体" w:cs="宋体"/>
          <w:b/>
          <w:bCs/>
          <w:color w:val="auto"/>
          <w:sz w:val="24"/>
          <w:szCs w:val="24"/>
          <w:highlight w:val="none"/>
          <w:lang w:eastAsia="zh-CN"/>
        </w:rPr>
        <w:outlineLvl w:val="1"/>
      </w:pPr>
      <w:r/>
      <w:bookmarkStart w:id="72" w:name="_Toc8029"/>
      <w:r/>
      <w:bookmarkStart w:id="73" w:name="_Toc22665"/>
      <w:r>
        <w:rPr>
          <w:rFonts w:hint="eastAsia" w:ascii="宋体" w:hAnsi="宋体" w:cs="宋体"/>
          <w:b/>
          <w:bCs/>
          <w:color w:val="auto"/>
          <w:sz w:val="24"/>
          <w:szCs w:val="24"/>
          <w:highlight w:val="none"/>
        </w:rPr>
        <w:t xml:space="preserve">二、项目名称：</w:t>
      </w:r>
      <w:bookmarkEnd w:id="72"/>
      <w:r/>
      <w:bookmarkEnd w:id="73"/>
      <w:r>
        <w:rPr>
          <w:rFonts w:hint="eastAsia" w:ascii="宋体" w:hAnsi="宋体" w:cs="宋体"/>
          <w:b/>
          <w:bCs/>
          <w:color w:val="auto"/>
          <w:sz w:val="24"/>
          <w:szCs w:val="24"/>
          <w:highlight w:val="none"/>
          <w:lang w:eastAsia="zh-CN"/>
        </w:rPr>
        <w:t xml:space="preserve">中日师资培训基地项目</w:t>
      </w:r>
      <w:r/>
    </w:p>
    <w:p>
      <w:pPr>
        <w:ind w:left="0" w:firstLine="482"/>
        <w:spacing w:line="360" w:lineRule="auto"/>
        <w:widowControl w:val="off"/>
        <w:rPr>
          <w:rFonts w:hint="eastAsia" w:ascii="宋体" w:hAnsi="宋体" w:cs="宋体"/>
          <w:b/>
          <w:bCs/>
          <w:color w:val="auto"/>
          <w:sz w:val="24"/>
          <w:szCs w:val="24"/>
          <w:highlight w:val="none"/>
        </w:rPr>
        <w:outlineLvl w:val="1"/>
      </w:pPr>
      <w:r/>
      <w:bookmarkStart w:id="74" w:name="_Toc31907"/>
      <w:r>
        <w:rPr>
          <w:rFonts w:hint="eastAsia" w:ascii="宋体" w:hAnsi="宋体" w:cs="宋体"/>
          <w:b/>
          <w:bCs/>
          <w:color w:val="auto"/>
          <w:sz w:val="24"/>
          <w:szCs w:val="24"/>
          <w:highlight w:val="none"/>
        </w:rPr>
        <w:t xml:space="preserve">三、采购需求：</w:t>
      </w:r>
      <w:bookmarkEnd w:id="74"/>
      <w:r/>
      <w:r/>
    </w:p>
    <w:p>
      <w:pPr>
        <w:contextualSpacing/>
        <w:ind w:left="0" w:firstLine="482"/>
        <w:spacing w:line="360" w:lineRule="auto"/>
        <w:widowControl w:val="off"/>
        <w:rPr>
          <w:rFonts w:hint="eastAsia" w:ascii="宋体" w:hAnsi="宋体" w:cs="宋体"/>
          <w:b/>
          <w:bCs w:val="0"/>
          <w:color w:val="auto"/>
          <w:sz w:val="24"/>
          <w:szCs w:val="22"/>
          <w:highlight w:val="none"/>
        </w:rPr>
      </w:pPr>
      <w:r>
        <w:rPr>
          <w:rFonts w:hint="eastAsia" w:ascii="宋体" w:hAnsi="宋体" w:cs="宋体"/>
          <w:b/>
          <w:bCs w:val="0"/>
          <w:color w:val="auto"/>
          <w:sz w:val="24"/>
          <w:szCs w:val="22"/>
          <w:highlight w:val="none"/>
        </w:rPr>
        <w:t xml:space="preserve">（一）</w:t>
      </w:r>
      <w:r>
        <w:rPr>
          <w:rFonts w:hint="eastAsia" w:ascii="宋体" w:hAnsi="宋体" w:cs="宋体"/>
          <w:b/>
          <w:bCs w:val="0"/>
          <w:color w:val="auto"/>
          <w:sz w:val="24"/>
          <w:szCs w:val="22"/>
          <w:highlight w:val="none"/>
          <w:lang w:val="en-US" w:eastAsia="zh-CN"/>
        </w:rPr>
        <w:t xml:space="preserve">项目概述</w:t>
      </w:r>
      <w:r>
        <w:rPr>
          <w:rFonts w:hint="eastAsia" w:ascii="宋体" w:hAnsi="宋体" w:cs="宋体"/>
          <w:b/>
          <w:bCs w:val="0"/>
          <w:color w:val="auto"/>
          <w:sz w:val="24"/>
          <w:szCs w:val="22"/>
          <w:highlight w:val="none"/>
        </w:rPr>
        <w:t xml:space="preserve">：</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为了更好的推进</w:t>
      </w:r>
      <w:r>
        <w:rPr>
          <w:rFonts w:hint="eastAsia" w:ascii="宋体" w:hAnsi="宋体" w:cs="宋体"/>
          <w:bCs/>
          <w:color w:val="auto"/>
          <w:sz w:val="24"/>
          <w:szCs w:val="22"/>
          <w:highlight w:val="none"/>
          <w:lang w:eastAsia="zh-CN"/>
        </w:rPr>
        <w:t xml:space="preserve">中日师资培训基地项目</w:t>
      </w:r>
      <w:r>
        <w:rPr>
          <w:rFonts w:hint="eastAsia" w:ascii="宋体" w:hAnsi="宋体" w:cs="宋体"/>
          <w:bCs/>
          <w:color w:val="auto"/>
          <w:sz w:val="24"/>
          <w:szCs w:val="22"/>
          <w:highlight w:val="none"/>
        </w:rPr>
        <w:t xml:space="preserve">基地项目的进行，促进校企合作，推动学术交流资源共享</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建立一个先进、专业的</w:t>
      </w:r>
      <w:r>
        <w:rPr>
          <w:rFonts w:hint="eastAsia" w:ascii="宋体" w:hAnsi="宋体" w:cs="宋体"/>
          <w:bCs/>
          <w:color w:val="auto"/>
          <w:sz w:val="24"/>
          <w:szCs w:val="22"/>
          <w:highlight w:val="none"/>
          <w:lang w:eastAsia="zh-CN"/>
        </w:rPr>
        <w:t xml:space="preserve">中日师资培训基地项目</w:t>
      </w:r>
      <w:r>
        <w:rPr>
          <w:rFonts w:hint="eastAsia" w:ascii="宋体" w:hAnsi="宋体" w:cs="宋体"/>
          <w:bCs/>
          <w:color w:val="auto"/>
          <w:sz w:val="24"/>
          <w:szCs w:val="22"/>
          <w:highlight w:val="none"/>
        </w:rPr>
        <w:t xml:space="preserve">基地，以满足不断增长的日语学习需求。提供全面的教育资源和专业发展机会，以帮助成员提升日语语言水平和相关技能。</w:t>
      </w:r>
      <w:r/>
    </w:p>
    <w:p>
      <w:pPr>
        <w:numPr>
          <w:ilvl w:val="0"/>
          <w:numId w:val="0"/>
        </w:numPr>
        <w:contextualSpacing/>
        <w:ind w:left="0" w:firstLine="482"/>
        <w:spacing w:line="360" w:lineRule="auto"/>
        <w:widowControl w:val="off"/>
        <w:rPr>
          <w:rFonts w:hint="default" w:ascii="宋体" w:hAnsi="宋体" w:cs="宋体"/>
          <w:b/>
          <w:bCs/>
          <w:color w:val="auto"/>
          <w:sz w:val="24"/>
          <w:szCs w:val="22"/>
          <w:highlight w:val="none"/>
          <w:lang w:val="en-US" w:eastAsia="zh-CN"/>
        </w:rPr>
      </w:pPr>
      <w:r>
        <w:rPr>
          <w:rFonts w:hint="eastAsia" w:ascii="宋体" w:hAnsi="宋体" w:cs="宋体"/>
          <w:b/>
          <w:bCs w:val="0"/>
          <w:color w:val="auto"/>
          <w:sz w:val="24"/>
          <w:szCs w:val="22"/>
          <w:highlight w:val="none"/>
          <w:lang w:val="en-US" w:eastAsia="zh-CN" w:bidi="ar-SA"/>
        </w:rPr>
        <w:t xml:space="preserve">（二）</w:t>
      </w:r>
      <w:r>
        <w:rPr>
          <w:rFonts w:hint="eastAsia" w:ascii="宋体" w:hAnsi="宋体" w:cs="宋体"/>
          <w:b/>
          <w:bCs/>
          <w:color w:val="auto"/>
          <w:sz w:val="24"/>
          <w:szCs w:val="22"/>
          <w:highlight w:val="none"/>
          <w:lang w:val="en-US" w:eastAsia="zh-CN"/>
        </w:rPr>
        <w:t xml:space="preserve">服务目标：</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rPr>
        <w:t xml:space="preserve">1、</w:t>
      </w:r>
      <w:r>
        <w:rPr>
          <w:rFonts w:hint="eastAsia" w:ascii="宋体" w:hAnsi="宋体" w:cs="宋体"/>
          <w:bCs/>
          <w:color w:val="auto"/>
          <w:sz w:val="24"/>
          <w:szCs w:val="22"/>
          <w:highlight w:val="none"/>
        </w:rPr>
        <w:t xml:space="preserve">提升语言能力</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通过沉浸式的语言学习和实践，提高学生日语学习能力和水平，帮助学生通过JLPT、J.test等国际认证的日语能力考试；通过外教课，帮助学生学习地道的日语表达，让 学生能够在实际交流中更加自信和流利地使用日语。</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2</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深化文化理解</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跨文化交流，在日常授课过程中和日方进行时实互动教学，帮助学生更深入地理解中日文化差异和相似之处。</w:t>
      </w:r>
      <w:r/>
    </w:p>
    <w:p>
      <w:pPr>
        <w:contextualSpacing/>
        <w:ind w:left="0" w:firstLine="480"/>
        <w:spacing w:line="360" w:lineRule="auto"/>
        <w:widowControl w:val="off"/>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rPr>
        <w:t xml:space="preserve">3</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拓展专业能力</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开展 ACG 课程，帮助学生在学习好本专业课程的基础之上，更近一步的提升专业素养及个人能力，为未来的发展夯实基础。</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4</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拓展职业机会</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通过日语语言的学习及日本相关 ACG 课程的开展，帮助学生在中日两国的职业市场中获得更多的就业机会。</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5</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学术和研究机会</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通过中日融合课程的学习，帮助学生提升个人学习素养及能力，为学生进一步的学术研究或深造打下坚实基础；参与与日本学术机构的交流活动，拓展学术领域和合作机会。</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6</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促进学术交流</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知识共享，通过赴日学术交流活动，共享资源和经验，促进教学与研究的深度交流。促进双方学术领域的知识共享与合作。</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7</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促进教学创新</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通过交流学习，引入相关教学方法和资源，探索并优化教育模式，提高教育质量和教学效果。</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8</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增强国际视野</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帮助学员拓展国际视野，培养学生的多元文化思维和国际化思考能力。</w:t>
      </w:r>
      <w:r/>
    </w:p>
    <w:p>
      <w:pPr>
        <w:numPr>
          <w:ilvl w:val="0"/>
          <w:numId w:val="0"/>
        </w:numPr>
        <w:contextualSpacing/>
        <w:ind w:left="0" w:firstLine="482"/>
        <w:spacing w:line="360" w:lineRule="auto"/>
        <w:widowControl w:val="off"/>
        <w:rPr>
          <w:rFonts w:hint="eastAsia" w:ascii="宋体" w:hAnsi="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w:t>
      </w:r>
      <w:r>
        <w:rPr>
          <w:rFonts w:hint="eastAsia" w:ascii="宋体" w:hAnsi="宋体" w:cs="宋体"/>
          <w:b/>
          <w:bCs w:val="0"/>
          <w:color w:val="auto"/>
          <w:sz w:val="24"/>
          <w:szCs w:val="22"/>
          <w:highlight w:val="none"/>
          <w:lang w:val="en-US" w:eastAsia="zh-CN" w:bidi="ar-SA"/>
        </w:rPr>
        <w:t xml:space="preserve">三</w:t>
      </w:r>
      <w:r>
        <w:rPr>
          <w:rFonts w:hint="eastAsia" w:ascii="宋体" w:hAnsi="宋体" w:eastAsia="宋体" w:cs="宋体"/>
          <w:b/>
          <w:bCs w:val="0"/>
          <w:color w:val="auto"/>
          <w:sz w:val="24"/>
          <w:szCs w:val="22"/>
          <w:highlight w:val="none"/>
          <w:lang w:val="en-US" w:eastAsia="zh-CN" w:bidi="ar-SA"/>
        </w:rPr>
        <w:t xml:space="preserve">）</w:t>
      </w:r>
      <w:r>
        <w:rPr>
          <w:rFonts w:hint="eastAsia" w:ascii="宋体" w:hAnsi="宋体" w:cs="宋体"/>
          <w:b/>
          <w:bCs w:val="0"/>
          <w:color w:val="auto"/>
          <w:sz w:val="24"/>
          <w:szCs w:val="22"/>
          <w:highlight w:val="none"/>
          <w:lang w:val="en-US" w:eastAsia="zh-CN" w:bidi="ar-SA"/>
        </w:rPr>
        <w:t xml:space="preserve">服务清单：</w:t>
      </w:r>
      <w:r/>
    </w:p>
    <w:tbl>
      <w:tblPr>
        <w:tblStyle w:val="1083"/>
        <w:tblW w:w="543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2"/>
        <w:gridCol w:w="2069"/>
        <w:gridCol w:w="3597"/>
        <w:gridCol w:w="4401"/>
      </w:tblGrid>
      <w:tr>
        <w:trPr>
          <w:jc w:val="center"/>
          <w:trHeight w:val="528"/>
        </w:trPr>
        <w:tc>
          <w:tcPr>
            <w:tcW w:w="304" w:type="pct"/>
            <w:vAlign w:val="center"/>
            <w:textDirection w:val="lrTb"/>
            <w:noWrap w:val="false"/>
          </w:tcPr>
          <w:p>
            <w:pPr>
              <w:pStyle w:val="1082"/>
              <w:ind w:left="0"/>
              <w:jc w:val="center"/>
              <w:spacing w:line="24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序号</w:t>
            </w:r>
            <w:r/>
          </w:p>
        </w:tc>
        <w:tc>
          <w:tcPr>
            <w:tcW w:w="965" w:type="pct"/>
            <w:vAlign w:val="center"/>
            <w:textDirection w:val="lrTb"/>
            <w:noWrap w:val="false"/>
          </w:tcPr>
          <w:p>
            <w:pPr>
              <w:pStyle w:val="1082"/>
              <w:ind w:left="0"/>
              <w:jc w:val="center"/>
              <w:spacing w:line="240" w:lineRule="auto"/>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服务清单</w:t>
            </w:r>
            <w:r/>
          </w:p>
        </w:tc>
        <w:tc>
          <w:tcPr>
            <w:tcW w:w="1678" w:type="pct"/>
            <w:vAlign w:val="center"/>
            <w:textDirection w:val="lrTb"/>
            <w:noWrap w:val="false"/>
          </w:tcPr>
          <w:p>
            <w:pPr>
              <w:pStyle w:val="1082"/>
              <w:ind w:left="0"/>
              <w:jc w:val="center"/>
              <w:spacing w:line="240" w:lineRule="auto"/>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服务内容</w:t>
            </w:r>
            <w:r/>
          </w:p>
        </w:tc>
        <w:tc>
          <w:tcPr>
            <w:tcW w:w="2051" w:type="pct"/>
            <w:vAlign w:val="center"/>
            <w:textDirection w:val="lrTb"/>
            <w:noWrap w:val="false"/>
          </w:tcPr>
          <w:p>
            <w:pPr>
              <w:pStyle w:val="1082"/>
              <w:ind w:left="0"/>
              <w:jc w:val="center"/>
              <w:spacing w:line="240" w:lineRule="auto"/>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服务要求</w:t>
            </w:r>
            <w:r/>
          </w:p>
        </w:tc>
      </w:tr>
      <w:tr>
        <w:trPr>
          <w:jc w:val="center"/>
          <w:trHeight w:val="680" w:hRule="exact"/>
        </w:trPr>
        <w:tc>
          <w:tcPr>
            <w:tcW w:w="304" w:type="pct"/>
            <w:vAlign w:val="center"/>
            <w:textDirection w:val="lrTb"/>
            <w:noWrap w:val="false"/>
          </w:tcPr>
          <w:p>
            <w:pPr>
              <w:pStyle w:val="1082"/>
              <w:ind w:left="0" w:firstLine="0"/>
              <w:jc w:val="center"/>
              <w:spacing w:before="71" w:line="18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1</w:t>
            </w:r>
            <w:r/>
          </w:p>
        </w:tc>
        <w:tc>
          <w:tcPr>
            <w:tcW w:w="965" w:type="pct"/>
            <w:vAlign w:val="center"/>
            <w:textDirection w:val="lrTb"/>
            <w:noWrap w:val="false"/>
          </w:tcPr>
          <w:p>
            <w:pPr>
              <w:pStyle w:val="1082"/>
              <w:ind w:left="0" w:firstLine="0"/>
              <w:jc w:val="center"/>
              <w:spacing w:before="72" w:line="217"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培训材料</w:t>
            </w:r>
            <w:r/>
          </w:p>
        </w:tc>
        <w:tc>
          <w:tcPr>
            <w:tcW w:w="1678" w:type="pct"/>
            <w:vAlign w:val="center"/>
            <w:textDirection w:val="lrTb"/>
            <w:noWrap w:val="false"/>
          </w:tcPr>
          <w:p>
            <w:pPr>
              <w:pStyle w:val="1082"/>
              <w:ind w:left="0" w:firstLine="0"/>
              <w:jc w:val="center"/>
              <w:keepLines w:val="0"/>
              <w:keepNext w:val="0"/>
              <w:pageBreakBefore w:val="0"/>
              <w:spacing w:line="217"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教材及相关练习册；印刷复印等</w:t>
            </w:r>
            <w:r/>
          </w:p>
        </w:tc>
        <w:tc>
          <w:tcPr>
            <w:tcW w:w="2051" w:type="pct"/>
            <w:vAlign w:val="center"/>
            <w:textDirection w:val="lrTb"/>
            <w:noWrap w:val="false"/>
          </w:tcPr>
          <w:p>
            <w:pPr>
              <w:pStyle w:val="1082"/>
              <w:ind w:left="0" w:right="0" w:firstLine="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用于日语班级（约35人）日语初级到高级教材及考级相关用书。</w:t>
            </w:r>
            <w:r/>
          </w:p>
        </w:tc>
      </w:tr>
      <w:tr>
        <w:trPr>
          <w:jc w:val="center"/>
          <w:trHeight w:val="680" w:hRule="exact"/>
        </w:trPr>
        <w:tc>
          <w:tcPr>
            <w:tcW w:w="304" w:type="pct"/>
            <w:vAlign w:val="center"/>
            <w:textDirection w:val="lrTb"/>
            <w:noWrap w:val="false"/>
          </w:tcPr>
          <w:p>
            <w:pPr>
              <w:pStyle w:val="1082"/>
              <w:ind w:left="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2</w:t>
            </w:r>
            <w:r/>
          </w:p>
        </w:tc>
        <w:tc>
          <w:tcPr>
            <w:tcW w:w="965" w:type="pct"/>
            <w:vAlign w:val="center"/>
            <w:textDirection w:val="lrTb"/>
            <w:noWrap w:val="false"/>
          </w:tcPr>
          <w:p>
            <w:pPr>
              <w:pStyle w:val="1082"/>
              <w:ind w:left="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前期宣传及推广</w:t>
            </w:r>
            <w:r/>
          </w:p>
        </w:tc>
        <w:tc>
          <w:tcPr>
            <w:tcW w:w="1678" w:type="pct"/>
            <w:vAlign w:val="center"/>
            <w:textDirection w:val="lrTb"/>
            <w:noWrap w:val="false"/>
          </w:tcPr>
          <w:p>
            <w:pPr>
              <w:pStyle w:val="1082"/>
              <w:ind w:left="0" w:firstLine="0"/>
              <w:jc w:val="center"/>
              <w:keepLines w:val="0"/>
              <w:keepNext w:val="0"/>
              <w:pageBreakBefore w:val="0"/>
              <w:spacing w:line="217"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宣传材料制作</w:t>
            </w:r>
            <w:r/>
          </w:p>
        </w:tc>
        <w:tc>
          <w:tcPr>
            <w:tcW w:w="2051" w:type="pct"/>
            <w:vAlign w:val="center"/>
            <w:textDirection w:val="lrTb"/>
            <w:noWrap w:val="false"/>
          </w:tcPr>
          <w:p>
            <w:pPr>
              <w:pStyle w:val="1082"/>
              <w:ind w:left="0" w:right="0" w:firstLine="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用于教室内外布置装饰及相关制作设计费用。</w:t>
            </w:r>
            <w:r/>
          </w:p>
        </w:tc>
      </w:tr>
      <w:tr>
        <w:trPr>
          <w:jc w:val="center"/>
          <w:trHeight w:val="970" w:hRule="exact"/>
        </w:trPr>
        <w:tc>
          <w:tcPr>
            <w:tcW w:w="304" w:type="pct"/>
            <w:vAlign w:val="center"/>
            <w:textDirection w:val="lrTb"/>
            <w:noWrap w:val="false"/>
          </w:tcPr>
          <w:p>
            <w:pPr>
              <w:pStyle w:val="1082"/>
              <w:ind w:left="0" w:firstLine="0"/>
              <w:jc w:val="center"/>
              <w:spacing w:before="72" w:line="179"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3</w:t>
            </w:r>
            <w:r/>
          </w:p>
        </w:tc>
        <w:tc>
          <w:tcPr>
            <w:tcW w:w="965" w:type="pct"/>
            <w:vAlign w:val="center"/>
            <w:textDirection w:val="lrTb"/>
            <w:noWrap w:val="false"/>
          </w:tcPr>
          <w:p>
            <w:pPr>
              <w:numPr>
                <w:ilvl w:val="0"/>
                <w:numId w:val="0"/>
              </w:numPr>
              <w:contextualSpacing/>
              <w:ind w:left="0" w:firstLine="0"/>
              <w:jc w:val="center"/>
              <w:spacing w:line="240" w:lineRule="auto"/>
              <w:widowControl w:val="off"/>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b w:val="0"/>
                <w:bCs w:val="0"/>
                <w:color w:val="auto"/>
                <w:sz w:val="24"/>
                <w:szCs w:val="24"/>
                <w:highlight w:val="none"/>
                <w:vertAlign w:val="baseline"/>
                <w:lang w:val="en-US" w:eastAsia="en-US" w:bidi="ar-SA"/>
              </w:rPr>
              <w:t xml:space="preserve">中方教师</w:t>
            </w:r>
            <w:r/>
          </w:p>
        </w:tc>
        <w:tc>
          <w:tcPr>
            <w:tcW w:w="1678" w:type="pct"/>
            <w:vAlign w:val="center"/>
            <w:textDirection w:val="lrTb"/>
            <w:noWrap w:val="false"/>
          </w:tcPr>
          <w:p>
            <w:pPr>
              <w:pStyle w:val="1082"/>
              <w:ind w:left="0" w:firstLine="0"/>
              <w:jc w:val="center"/>
              <w:keepLines w:val="0"/>
              <w:keepNext w:val="0"/>
              <w:pageBreakBefore w:val="0"/>
              <w:spacing w:line="217" w:lineRule="auto"/>
              <w:widowControl/>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en-US" w:bidi="ar-SA"/>
              </w:rPr>
              <w:t xml:space="preserve">专业日语教师课程</w:t>
            </w:r>
            <w:r>
              <w:rPr>
                <w:rFonts w:hint="eastAsia" w:ascii="宋体" w:hAnsi="宋体" w:eastAsia="宋体" w:cs="宋体"/>
                <w:color w:val="auto"/>
                <w:spacing w:val="-3"/>
                <w:sz w:val="24"/>
                <w:szCs w:val="24"/>
                <w:highlight w:val="none"/>
                <w:lang w:val="en-US" w:eastAsia="zh-CN" w:bidi="ar-SA"/>
              </w:rPr>
              <w:t xml:space="preserve">服务费</w:t>
            </w:r>
            <w:r/>
          </w:p>
        </w:tc>
        <w:tc>
          <w:tcPr>
            <w:tcW w:w="2051" w:type="pct"/>
            <w:vAlign w:val="center"/>
            <w:textDirection w:val="lrTb"/>
            <w:noWrap w:val="false"/>
          </w:tcPr>
          <w:p>
            <w:pPr>
              <w:pStyle w:val="1082"/>
              <w:ind w:left="0" w:right="0" w:firstLine="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日语教师（1人）及日本先端情报ACG课程教师（1人）上下两学期课程服务费。（日语每周约8课时，美术每周约2课时）</w:t>
            </w:r>
            <w:r/>
          </w:p>
        </w:tc>
      </w:tr>
      <w:tr>
        <w:trPr>
          <w:jc w:val="center"/>
          <w:trHeight w:val="680" w:hRule="exact"/>
        </w:trPr>
        <w:tc>
          <w:tcPr>
            <w:tcW w:w="304" w:type="pct"/>
            <w:vAlign w:val="center"/>
            <w:textDirection w:val="lrTb"/>
            <w:noWrap w:val="false"/>
          </w:tcPr>
          <w:p>
            <w:pPr>
              <w:pStyle w:val="1082"/>
              <w:ind w:left="0" w:firstLine="0"/>
              <w:jc w:val="center"/>
              <w:spacing w:before="71" w:line="179"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4</w:t>
            </w:r>
            <w:r/>
          </w:p>
        </w:tc>
        <w:tc>
          <w:tcPr>
            <w:tcW w:w="965" w:type="pct"/>
            <w:vAlign w:val="center"/>
            <w:textDirection w:val="lrTb"/>
            <w:noWrap w:val="false"/>
          </w:tcPr>
          <w:p>
            <w:pPr>
              <w:numPr>
                <w:ilvl w:val="0"/>
                <w:numId w:val="0"/>
              </w:numPr>
              <w:contextualSpacing/>
              <w:ind w:left="0" w:firstLine="0"/>
              <w:jc w:val="center"/>
              <w:spacing w:line="240" w:lineRule="auto"/>
              <w:widowControl w:val="off"/>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b w:val="0"/>
                <w:bCs w:val="0"/>
                <w:color w:val="auto"/>
                <w:sz w:val="24"/>
                <w:szCs w:val="24"/>
                <w:highlight w:val="none"/>
                <w:vertAlign w:val="baseline"/>
                <w:lang w:val="en-US" w:eastAsia="en-US" w:bidi="ar-SA"/>
              </w:rPr>
              <w:t xml:space="preserve">日方教师</w:t>
            </w:r>
            <w:r/>
          </w:p>
        </w:tc>
        <w:tc>
          <w:tcPr>
            <w:tcW w:w="1678" w:type="pct"/>
            <w:vAlign w:val="center"/>
            <w:textDirection w:val="lrTb"/>
            <w:noWrap w:val="false"/>
          </w:tcPr>
          <w:p>
            <w:pPr>
              <w:pStyle w:val="1082"/>
              <w:ind w:left="0" w:firstLine="0"/>
              <w:jc w:val="center"/>
              <w:keepLines w:val="0"/>
              <w:keepNext w:val="0"/>
              <w:pageBreakBefore w:val="0"/>
              <w:spacing w:line="217"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日本人外教课程服务</w:t>
            </w:r>
            <w:r/>
          </w:p>
        </w:tc>
        <w:tc>
          <w:tcPr>
            <w:tcW w:w="2051" w:type="pct"/>
            <w:vAlign w:val="center"/>
            <w:textDirection w:val="lrTb"/>
            <w:noWrap w:val="false"/>
          </w:tcPr>
          <w:p>
            <w:pPr>
              <w:pStyle w:val="1082"/>
              <w:ind w:left="0" w:right="0" w:firstLine="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日语外教（1-2人）上下两学期相关课程服务费（每周约4课时）</w:t>
            </w:r>
            <w:r/>
          </w:p>
        </w:tc>
      </w:tr>
      <w:tr>
        <w:trPr>
          <w:jc w:val="center"/>
          <w:trHeight w:val="995" w:hRule="exact"/>
        </w:trPr>
        <w:tc>
          <w:tcPr>
            <w:tcW w:w="304" w:type="pct"/>
            <w:vAlign w:val="center"/>
            <w:textDirection w:val="lrTb"/>
            <w:noWrap w:val="false"/>
          </w:tcPr>
          <w:p>
            <w:pPr>
              <w:pStyle w:val="1082"/>
              <w:ind w:left="0" w:firstLine="0"/>
              <w:jc w:val="center"/>
              <w:spacing w:before="72" w:line="177"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5</w:t>
            </w:r>
            <w:r/>
          </w:p>
        </w:tc>
        <w:tc>
          <w:tcPr>
            <w:tcW w:w="965" w:type="pct"/>
            <w:vAlign w:val="center"/>
            <w:textDirection w:val="lrTb"/>
            <w:noWrap w:val="false"/>
          </w:tcPr>
          <w:p>
            <w:pPr>
              <w:numPr>
                <w:ilvl w:val="0"/>
                <w:numId w:val="0"/>
              </w:numPr>
              <w:contextualSpacing/>
              <w:ind w:left="0" w:firstLine="0"/>
              <w:jc w:val="center"/>
              <w:spacing w:line="240" w:lineRule="auto"/>
              <w:widowControl w:val="off"/>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b w:val="0"/>
                <w:bCs w:val="0"/>
                <w:color w:val="auto"/>
                <w:sz w:val="24"/>
                <w:szCs w:val="24"/>
                <w:highlight w:val="none"/>
                <w:vertAlign w:val="baseline"/>
                <w:lang w:val="en-US" w:eastAsia="en-US" w:bidi="ar-SA"/>
              </w:rPr>
              <w:t xml:space="preserve">多媒体设备、语音实践设备等</w:t>
            </w:r>
            <w:r/>
          </w:p>
        </w:tc>
        <w:tc>
          <w:tcPr>
            <w:tcW w:w="1678" w:type="pct"/>
            <w:vAlign w:val="center"/>
            <w:textDirection w:val="lrTb"/>
            <w:noWrap w:val="false"/>
          </w:tcPr>
          <w:p>
            <w:pPr>
              <w:pStyle w:val="1082"/>
              <w:ind w:left="0" w:firstLine="0"/>
              <w:jc w:val="center"/>
              <w:keepLines w:val="0"/>
              <w:keepNext w:val="0"/>
              <w:pageBreakBefore w:val="0"/>
              <w:spacing w:line="240"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用于日语培训的设备和教具（多媒体设备、耳机等语音实践设备）</w:t>
            </w:r>
            <w:r/>
          </w:p>
        </w:tc>
        <w:tc>
          <w:tcPr>
            <w:tcW w:w="2051" w:type="pct"/>
            <w:vAlign w:val="center"/>
            <w:textDirection w:val="lrTb"/>
            <w:noWrap w:val="false"/>
          </w:tcPr>
          <w:p>
            <w:pPr>
              <w:pStyle w:val="1082"/>
              <w:ind w:left="0" w:right="0" w:firstLine="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以租赁形式，后期留校使用。</w:t>
            </w:r>
            <w:r/>
          </w:p>
        </w:tc>
      </w:tr>
      <w:tr>
        <w:trPr>
          <w:jc w:val="center"/>
          <w:trHeight w:val="908" w:hRule="exact"/>
        </w:trPr>
        <w:tc>
          <w:tcPr>
            <w:tcW w:w="304" w:type="pct"/>
            <w:vAlign w:val="center"/>
            <w:textDirection w:val="lrTb"/>
            <w:noWrap w:val="false"/>
          </w:tcPr>
          <w:p>
            <w:pPr>
              <w:pStyle w:val="1082"/>
              <w:ind w:left="0" w:firstLine="0"/>
              <w:jc w:val="center"/>
              <w:spacing w:before="72" w:line="179"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6</w:t>
            </w:r>
            <w:r/>
          </w:p>
        </w:tc>
        <w:tc>
          <w:tcPr>
            <w:tcW w:w="965" w:type="pct"/>
            <w:vAlign w:val="center"/>
            <w:textDirection w:val="lrTb"/>
            <w:noWrap w:val="false"/>
          </w:tcPr>
          <w:p>
            <w:pPr>
              <w:numPr>
                <w:ilvl w:val="0"/>
                <w:numId w:val="0"/>
              </w:numPr>
              <w:contextualSpacing/>
              <w:ind w:left="0" w:firstLine="0"/>
              <w:jc w:val="center"/>
              <w:spacing w:line="240" w:lineRule="auto"/>
              <w:widowControl w:val="off"/>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b w:val="0"/>
                <w:bCs w:val="0"/>
                <w:color w:val="auto"/>
                <w:sz w:val="24"/>
                <w:szCs w:val="24"/>
                <w:highlight w:val="none"/>
                <w:vertAlign w:val="baseline"/>
                <w:lang w:val="en-US" w:eastAsia="en-US" w:bidi="ar-SA"/>
              </w:rPr>
              <w:t xml:space="preserve">系统与技术支持</w:t>
            </w:r>
            <w:r/>
          </w:p>
        </w:tc>
        <w:tc>
          <w:tcPr>
            <w:tcW w:w="1678" w:type="pct"/>
            <w:vAlign w:val="center"/>
            <w:textDirection w:val="lrTb"/>
            <w:noWrap w:val="false"/>
          </w:tcPr>
          <w:p>
            <w:pPr>
              <w:pStyle w:val="1082"/>
              <w:ind w:left="0" w:firstLine="0"/>
              <w:jc w:val="center"/>
              <w:keepLines w:val="0"/>
              <w:keepNext w:val="0"/>
              <w:pageBreakBefore w:val="0"/>
              <w:spacing w:line="217"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中日在线教学平台（用于实现与日方进行实时课程交流，融合，互动）相关服务费用</w:t>
            </w:r>
            <w:r/>
          </w:p>
        </w:tc>
        <w:tc>
          <w:tcPr>
            <w:tcW w:w="2051" w:type="pct"/>
            <w:vAlign w:val="center"/>
            <w:textDirection w:val="lrTb"/>
            <w:noWrap w:val="false"/>
          </w:tcPr>
          <w:p>
            <w:pPr>
              <w:pStyle w:val="1082"/>
              <w:ind w:left="0" w:right="0" w:firstLine="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w:t>
            </w:r>
            <w:r/>
          </w:p>
        </w:tc>
      </w:tr>
      <w:tr>
        <w:trPr>
          <w:jc w:val="center"/>
          <w:trHeight w:val="747" w:hRule="exact"/>
        </w:trPr>
        <w:tc>
          <w:tcPr>
            <w:tcW w:w="304" w:type="pct"/>
            <w:vAlign w:val="center"/>
            <w:textDirection w:val="lrTb"/>
            <w:noWrap w:val="false"/>
          </w:tcPr>
          <w:p>
            <w:pPr>
              <w:pStyle w:val="1082"/>
              <w:ind w:left="0" w:firstLine="0"/>
              <w:jc w:val="center"/>
              <w:spacing w:before="72" w:line="177"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7</w:t>
            </w:r>
            <w:r/>
          </w:p>
        </w:tc>
        <w:tc>
          <w:tcPr>
            <w:tcW w:w="965" w:type="pct"/>
            <w:vAlign w:val="center"/>
            <w:textDirection w:val="lrTb"/>
            <w:noWrap w:val="false"/>
          </w:tcPr>
          <w:p>
            <w:pPr>
              <w:numPr>
                <w:ilvl w:val="0"/>
                <w:numId w:val="0"/>
              </w:numPr>
              <w:contextualSpacing/>
              <w:ind w:left="0" w:firstLine="0"/>
              <w:jc w:val="center"/>
              <w:spacing w:line="240" w:lineRule="auto"/>
              <w:widowControl w:val="off"/>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b w:val="0"/>
                <w:bCs w:val="0"/>
                <w:color w:val="auto"/>
                <w:sz w:val="24"/>
                <w:szCs w:val="24"/>
                <w:highlight w:val="none"/>
                <w:vertAlign w:val="baseline"/>
                <w:lang w:val="en-US" w:eastAsia="en-US" w:bidi="ar-SA"/>
              </w:rPr>
              <w:t xml:space="preserve">境内及境外学术交流活动</w:t>
            </w:r>
            <w:r/>
          </w:p>
        </w:tc>
        <w:tc>
          <w:tcPr>
            <w:tcW w:w="1678" w:type="pct"/>
            <w:vAlign w:val="center"/>
            <w:textDirection w:val="lrTb"/>
            <w:noWrap w:val="false"/>
          </w:tcPr>
          <w:p>
            <w:pPr>
              <w:pStyle w:val="1082"/>
              <w:ind w:left="0" w:firstLine="0"/>
              <w:jc w:val="center"/>
              <w:keepLines w:val="0"/>
              <w:keepNext w:val="0"/>
              <w:pageBreakBefore w:val="0"/>
              <w:spacing w:line="217" w:lineRule="auto"/>
              <w:widowControl/>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支持与日方学院教师间互访，交流学习费用以及住宿交通费用</w:t>
            </w:r>
            <w:r/>
          </w:p>
        </w:tc>
        <w:tc>
          <w:tcPr>
            <w:tcW w:w="2051" w:type="pct"/>
            <w:vAlign w:val="center"/>
            <w:textDirection w:val="lrTb"/>
            <w:noWrap w:val="false"/>
          </w:tcPr>
          <w:p>
            <w:pPr>
              <w:pStyle w:val="1082"/>
              <w:numPr>
                <w:ilvl w:val="0"/>
                <w:numId w:val="0"/>
              </w:numPr>
              <w:ind w:left="0" w:right="0" w:firstLine="0"/>
              <w:jc w:val="left"/>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包含10人以内7日日本学术交流相关服务费用</w:t>
            </w:r>
            <w:r/>
          </w:p>
        </w:tc>
      </w:tr>
      <w:tr>
        <w:trPr>
          <w:jc w:val="center"/>
          <w:trHeight w:val="723" w:hRule="exact"/>
        </w:trPr>
        <w:tc>
          <w:tcPr>
            <w:tcW w:w="304" w:type="pct"/>
            <w:vAlign w:val="center"/>
            <w:textDirection w:val="lrTb"/>
            <w:noWrap w:val="false"/>
          </w:tcPr>
          <w:p>
            <w:pPr>
              <w:pStyle w:val="1082"/>
              <w:ind w:left="0" w:firstLine="0"/>
              <w:jc w:val="center"/>
              <w:spacing w:before="72" w:line="179"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8</w:t>
            </w:r>
            <w:r/>
          </w:p>
        </w:tc>
        <w:tc>
          <w:tcPr>
            <w:tcW w:w="965" w:type="pct"/>
            <w:vAlign w:val="center"/>
            <w:textDirection w:val="lrTb"/>
            <w:noWrap w:val="false"/>
          </w:tcPr>
          <w:p>
            <w:pPr>
              <w:numPr>
                <w:ilvl w:val="0"/>
                <w:numId w:val="0"/>
              </w:numPr>
              <w:contextualSpacing/>
              <w:ind w:left="0" w:firstLine="0"/>
              <w:jc w:val="center"/>
              <w:spacing w:line="240" w:lineRule="auto"/>
              <w:widowControl w:val="off"/>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b w:val="0"/>
                <w:bCs w:val="0"/>
                <w:color w:val="auto"/>
                <w:sz w:val="24"/>
                <w:szCs w:val="24"/>
                <w:highlight w:val="none"/>
                <w:vertAlign w:val="baseline"/>
                <w:lang w:val="en-US" w:eastAsia="en-US" w:bidi="ar-SA"/>
              </w:rPr>
              <w:t xml:space="preserve">培训评估与认证</w:t>
            </w:r>
            <w:r/>
          </w:p>
        </w:tc>
        <w:tc>
          <w:tcPr>
            <w:tcW w:w="1678" w:type="pct"/>
            <w:vAlign w:val="center"/>
            <w:textDirection w:val="lrTb"/>
            <w:noWrap w:val="false"/>
          </w:tcPr>
          <w:p>
            <w:pPr>
              <w:pStyle w:val="1082"/>
              <w:ind w:left="0" w:firstLine="0"/>
              <w:jc w:val="center"/>
              <w:keepLines w:val="0"/>
              <w:keepNext w:val="0"/>
              <w:pageBreakBefore w:val="0"/>
              <w:spacing w:line="217"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用于培训过程中进行学习质量评估的考试（如JLPT等）费用</w:t>
            </w:r>
            <w:r/>
          </w:p>
        </w:tc>
        <w:tc>
          <w:tcPr>
            <w:tcW w:w="2051" w:type="pct"/>
            <w:vAlign w:val="center"/>
            <w:textDirection w:val="lrTb"/>
            <w:noWrap w:val="false"/>
          </w:tcPr>
          <w:p>
            <w:pPr>
              <w:pStyle w:val="1082"/>
              <w:ind w:left="0" w:right="0" w:firstLine="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w:t>
            </w:r>
            <w:r/>
          </w:p>
        </w:tc>
      </w:tr>
      <w:tr>
        <w:trPr>
          <w:jc w:val="center"/>
          <w:trHeight w:val="655" w:hRule="exact"/>
        </w:trPr>
        <w:tc>
          <w:tcPr>
            <w:tcW w:w="304" w:type="pct"/>
            <w:vAlign w:val="center"/>
            <w:textDirection w:val="lrTb"/>
            <w:noWrap w:val="false"/>
          </w:tcPr>
          <w:p>
            <w:pPr>
              <w:pStyle w:val="1082"/>
              <w:ind w:left="0" w:firstLine="0"/>
              <w:jc w:val="center"/>
              <w:spacing w:before="72" w:line="179"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9</w:t>
            </w:r>
            <w:r/>
          </w:p>
        </w:tc>
        <w:tc>
          <w:tcPr>
            <w:tcW w:w="965" w:type="pct"/>
            <w:vAlign w:val="center"/>
            <w:textDirection w:val="lrTb"/>
            <w:noWrap w:val="false"/>
          </w:tcPr>
          <w:p>
            <w:pPr>
              <w:numPr>
                <w:ilvl w:val="0"/>
                <w:numId w:val="0"/>
              </w:numPr>
              <w:contextualSpacing/>
              <w:ind w:left="0" w:firstLine="0"/>
              <w:jc w:val="center"/>
              <w:spacing w:line="240" w:lineRule="auto"/>
              <w:widowControl w:val="off"/>
              <w:rPr>
                <w:rFonts w:hint="eastAsia" w:ascii="宋体" w:hAnsi="宋体" w:eastAsia="宋体" w:cs="宋体"/>
                <w:b w:val="0"/>
                <w:bCs w:val="0"/>
                <w:color w:val="auto"/>
                <w:sz w:val="24"/>
                <w:szCs w:val="24"/>
                <w:highlight w:val="none"/>
                <w:vertAlign w:val="baseline"/>
                <w:lang w:val="en-US" w:eastAsia="en-US" w:bidi="ar-SA"/>
              </w:rPr>
            </w:pPr>
            <w:r>
              <w:rPr>
                <w:rFonts w:hint="eastAsia" w:ascii="宋体" w:hAnsi="宋体" w:eastAsia="宋体" w:cs="宋体"/>
                <w:b w:val="0"/>
                <w:bCs w:val="0"/>
                <w:color w:val="auto"/>
                <w:sz w:val="24"/>
                <w:szCs w:val="24"/>
                <w:highlight w:val="none"/>
                <w:vertAlign w:val="baseline"/>
                <w:lang w:val="en-US" w:eastAsia="en-US" w:bidi="ar-SA"/>
              </w:rPr>
              <w:t xml:space="preserve">行政管理与运营</w:t>
            </w:r>
            <w:r/>
          </w:p>
        </w:tc>
        <w:tc>
          <w:tcPr>
            <w:tcW w:w="1678" w:type="pct"/>
            <w:vAlign w:val="center"/>
            <w:textDirection w:val="lrTb"/>
            <w:noWrap w:val="false"/>
          </w:tcPr>
          <w:p>
            <w:pPr>
              <w:pStyle w:val="1082"/>
              <w:ind w:left="0" w:firstLine="0"/>
              <w:jc w:val="center"/>
              <w:keepLines w:val="0"/>
              <w:keepNext w:val="0"/>
              <w:pageBreakBefore w:val="0"/>
              <w:spacing w:line="217" w:lineRule="auto"/>
              <w:widowControl/>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包括基地的行政人员薪资，办公用品费用等</w:t>
            </w:r>
            <w:r/>
          </w:p>
        </w:tc>
        <w:tc>
          <w:tcPr>
            <w:tcW w:w="2051" w:type="pct"/>
            <w:vAlign w:val="center"/>
            <w:textDirection w:val="lrTb"/>
            <w:noWrap w:val="false"/>
          </w:tcPr>
          <w:p>
            <w:pPr>
              <w:pStyle w:val="1082"/>
              <w:ind w:left="0" w:right="0" w:firstLine="0"/>
              <w:jc w:val="center"/>
              <w:spacing w:line="240" w:lineRule="auto"/>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zh-CN" w:bidi="ar-SA"/>
              </w:rPr>
              <w:t xml:space="preserve">需</w:t>
            </w:r>
            <w:r>
              <w:rPr>
                <w:rFonts w:hint="eastAsia" w:ascii="宋体" w:hAnsi="宋体" w:eastAsia="宋体" w:cs="宋体"/>
                <w:color w:val="auto"/>
                <w:spacing w:val="-3"/>
                <w:sz w:val="24"/>
                <w:szCs w:val="24"/>
                <w:highlight w:val="none"/>
                <w:lang w:val="en-US" w:eastAsia="en-US" w:bidi="ar-SA"/>
              </w:rPr>
              <w:t xml:space="preserve">定期指派相关行政人员（1-2人）莅临现场监督及指导</w:t>
            </w:r>
            <w:r/>
          </w:p>
        </w:tc>
      </w:tr>
      <w:tr>
        <w:trPr>
          <w:jc w:val="center"/>
          <w:trHeight w:val="655" w:hRule="exact"/>
        </w:trPr>
        <w:tc>
          <w:tcPr>
            <w:gridSpan w:val="4"/>
            <w:tcW w:w="5000" w:type="pct"/>
            <w:vAlign w:val="center"/>
            <w:textDirection w:val="lrTb"/>
            <w:noWrap w:val="false"/>
          </w:tcPr>
          <w:p>
            <w:pPr>
              <w:pStyle w:val="1082"/>
              <w:ind w:left="0" w:right="0" w:firstLine="0"/>
              <w:jc w:val="left"/>
              <w:keepLines w:val="0"/>
              <w:keepNext w:val="0"/>
              <w:pageBreakBefore w:val="0"/>
              <w:spacing w:line="24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注：派遣教师需为驻校教师，除参与教学工作以外。还需定期组织专业相关活动，模拟企业及高校面试，组织教研工作，组织中日方线上学术交流等。</w:t>
            </w:r>
            <w:r/>
          </w:p>
        </w:tc>
      </w:tr>
    </w:tbl>
    <w:p>
      <w:pPr>
        <w:numPr>
          <w:ilvl w:val="0"/>
          <w:numId w:val="0"/>
        </w:numPr>
        <w:contextualSpacing/>
        <w:ind w:left="0" w:firstLine="482"/>
        <w:keepLines w:val="0"/>
        <w:keepNext w:val="0"/>
        <w:pageBreakBefore w:val="0"/>
        <w:spacing w:line="360" w:lineRule="auto"/>
        <w:widowControl w:val="off"/>
        <w:rPr>
          <w:rFonts w:hint="eastAsia" w:ascii="宋体" w:hAnsi="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w:t>
      </w:r>
      <w:r>
        <w:rPr>
          <w:rFonts w:hint="eastAsia" w:ascii="宋体" w:hAnsi="宋体" w:cs="宋体"/>
          <w:b/>
          <w:bCs w:val="0"/>
          <w:color w:val="auto"/>
          <w:sz w:val="24"/>
          <w:szCs w:val="22"/>
          <w:highlight w:val="none"/>
          <w:lang w:val="en-US" w:eastAsia="zh-CN" w:bidi="ar-SA"/>
        </w:rPr>
        <w:t xml:space="preserve">四</w:t>
      </w:r>
      <w:r>
        <w:rPr>
          <w:rFonts w:hint="eastAsia" w:ascii="宋体" w:hAnsi="宋体" w:eastAsia="宋体" w:cs="宋体"/>
          <w:b/>
          <w:bCs w:val="0"/>
          <w:color w:val="auto"/>
          <w:sz w:val="24"/>
          <w:szCs w:val="22"/>
          <w:highlight w:val="none"/>
          <w:lang w:val="en-US" w:eastAsia="zh-CN" w:bidi="ar-SA"/>
        </w:rPr>
        <w:t xml:space="preserve">）</w:t>
      </w:r>
      <w:r>
        <w:rPr>
          <w:rFonts w:hint="eastAsia" w:ascii="宋体" w:hAnsi="宋体" w:cs="宋体"/>
          <w:b/>
          <w:bCs w:val="0"/>
          <w:color w:val="auto"/>
          <w:sz w:val="24"/>
          <w:szCs w:val="22"/>
          <w:highlight w:val="none"/>
          <w:lang w:val="en-US" w:eastAsia="zh-CN" w:bidi="ar-SA"/>
        </w:rPr>
        <w:t xml:space="preserve">中日师资培训基地项目</w:t>
      </w:r>
      <w:r>
        <w:rPr>
          <w:rFonts w:hint="eastAsia" w:ascii="宋体" w:hAnsi="宋体" w:eastAsia="宋体" w:cs="宋体"/>
          <w:b/>
          <w:bCs w:val="0"/>
          <w:color w:val="auto"/>
          <w:sz w:val="24"/>
          <w:szCs w:val="22"/>
          <w:highlight w:val="none"/>
          <w:lang w:val="en-US" w:eastAsia="zh-CN" w:bidi="ar-SA"/>
        </w:rPr>
        <w:t xml:space="preserve">课程内容：</w:t>
      </w:r>
      <w:r/>
    </w:p>
    <w:p>
      <w:pPr>
        <w:numPr>
          <w:ilvl w:val="0"/>
          <w:numId w:val="0"/>
        </w:numPr>
        <w:contextualSpacing/>
        <w:ind w:left="0" w:firstLine="480"/>
        <w:keepLines w:val="0"/>
        <w:keepNext w:val="0"/>
        <w:pageBreakBefore w:val="0"/>
        <w:spacing w:line="360" w:lineRule="auto"/>
        <w:widowControl w:val="off"/>
        <w:rPr>
          <w:rFonts w:hint="eastAsia" w:ascii="宋体" w:hAnsi="宋体" w:cs="宋体"/>
          <w:b w:val="0"/>
          <w:bCs/>
          <w:color w:val="auto"/>
          <w:sz w:val="24"/>
          <w:szCs w:val="22"/>
          <w:highlight w:val="none"/>
          <w:lang w:val="en-US" w:eastAsia="zh-CN"/>
        </w:rPr>
      </w:pPr>
      <w:r>
        <w:rPr>
          <w:rFonts w:hint="eastAsia" w:ascii="宋体" w:hAnsi="宋体" w:cs="宋体"/>
          <w:b w:val="0"/>
          <w:bCs/>
          <w:color w:val="auto"/>
          <w:sz w:val="24"/>
          <w:szCs w:val="22"/>
          <w:highlight w:val="none"/>
          <w:lang w:val="en-US" w:eastAsia="zh-CN" w:bidi="ar-SA"/>
        </w:rPr>
        <w:t xml:space="preserve">4.1</w:t>
      </w:r>
      <w:r>
        <w:rPr>
          <w:rFonts w:hint="eastAsia" w:ascii="宋体" w:hAnsi="宋体" w:cs="宋体"/>
          <w:b w:val="0"/>
          <w:bCs/>
          <w:color w:val="auto"/>
          <w:sz w:val="24"/>
          <w:szCs w:val="22"/>
          <w:highlight w:val="none"/>
          <w:lang w:val="en-US" w:eastAsia="zh-CN"/>
        </w:rPr>
        <w:t xml:space="preserve">培训课时要求：</w:t>
      </w:r>
      <w:r/>
    </w:p>
    <w:tbl>
      <w:tblPr>
        <w:tblStyle w:val="88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3957"/>
        <w:gridCol w:w="2612"/>
        <w:gridCol w:w="2421"/>
      </w:tblGrid>
      <w:tr>
        <w:trPr>
          <w:jc w:val="center"/>
          <w:trHeight w:val="454" w:hRule="exact"/>
        </w:trPr>
        <w:tc>
          <w:tcPr>
            <w:tcW w:w="540" w:type="pct"/>
            <w:vAlign w:val="center"/>
            <w:textDirection w:val="lrTb"/>
            <w:noWrap w:val="false"/>
          </w:tcPr>
          <w:p>
            <w:pPr>
              <w:numPr>
                <w:ilvl w:val="0"/>
                <w:numId w:val="0"/>
              </w:numPr>
              <w:contextualSpacing/>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序号</w:t>
            </w:r>
            <w:r/>
          </w:p>
        </w:tc>
        <w:tc>
          <w:tcPr>
            <w:tcW w:w="1963"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课程名称</w:t>
            </w:r>
            <w:r/>
          </w:p>
        </w:tc>
        <w:tc>
          <w:tcPr>
            <w:tcW w:w="1296"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每学期周学时</w:t>
            </w:r>
            <w:r/>
          </w:p>
        </w:tc>
        <w:tc>
          <w:tcPr>
            <w:tcW w:w="1199"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每学期总学时</w:t>
            </w:r>
            <w:r/>
          </w:p>
        </w:tc>
      </w:tr>
      <w:tr>
        <w:trPr>
          <w:jc w:val="center"/>
          <w:trHeight w:val="454" w:hRule="exact"/>
        </w:trPr>
        <w:tc>
          <w:tcPr>
            <w:tcW w:w="540" w:type="pct"/>
            <w:vAlign w:val="center"/>
            <w:textDirection w:val="lrTb"/>
            <w:noWrap w:val="false"/>
          </w:tcPr>
          <w:p>
            <w:pPr>
              <w:numPr>
                <w:ilvl w:val="0"/>
                <w:numId w:val="0"/>
              </w:numPr>
              <w:contextualSpacing/>
              <w:jc w:val="center"/>
              <w:spacing w:after="0" w:line="24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cs="宋体"/>
                <w:b w:val="0"/>
                <w:bCs w:val="0"/>
                <w:color w:val="auto"/>
                <w:sz w:val="24"/>
                <w:szCs w:val="24"/>
                <w:highlight w:val="none"/>
                <w:vertAlign w:val="baseline"/>
                <w:lang w:val="en-US" w:eastAsia="zh-CN" w:bidi="ar-SA"/>
              </w:rPr>
              <w:t xml:space="preserve">1</w:t>
            </w:r>
            <w:r/>
          </w:p>
        </w:tc>
        <w:tc>
          <w:tcPr>
            <w:tcW w:w="1963"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日语（词汇、文法、阅读）</w:t>
            </w:r>
            <w:r/>
          </w:p>
        </w:tc>
        <w:tc>
          <w:tcPr>
            <w:tcW w:w="1296"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8</w:t>
            </w:r>
            <w:r/>
          </w:p>
        </w:tc>
        <w:tc>
          <w:tcPr>
            <w:tcW w:w="1199" w:type="pct"/>
            <w:vAlign w:val="center"/>
            <w:textDirection w:val="lrTb"/>
            <w:noWrap w:val="false"/>
          </w:tcPr>
          <w:p>
            <w:pPr>
              <w:numPr>
                <w:ilvl w:val="0"/>
                <w:numId w:val="0"/>
              </w:numPr>
              <w:contextualSpacing/>
              <w:ind w:left="0" w:firstLine="0"/>
              <w:jc w:val="center"/>
              <w:spacing w:after="0" w:line="24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144</w:t>
            </w:r>
            <w:r/>
          </w:p>
        </w:tc>
      </w:tr>
      <w:tr>
        <w:trPr>
          <w:jc w:val="center"/>
          <w:trHeight w:val="454" w:hRule="exact"/>
        </w:trPr>
        <w:tc>
          <w:tcPr>
            <w:tcW w:w="540" w:type="pct"/>
            <w:vAlign w:val="center"/>
            <w:textDirection w:val="lrTb"/>
            <w:noWrap w:val="false"/>
          </w:tcPr>
          <w:p>
            <w:pPr>
              <w:numPr>
                <w:ilvl w:val="0"/>
                <w:numId w:val="0"/>
              </w:numPr>
              <w:contextualSpacing/>
              <w:jc w:val="center"/>
              <w:spacing w:after="0" w:line="24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cs="宋体"/>
                <w:b w:val="0"/>
                <w:bCs w:val="0"/>
                <w:color w:val="auto"/>
                <w:sz w:val="24"/>
                <w:szCs w:val="24"/>
                <w:highlight w:val="none"/>
                <w:vertAlign w:val="baseline"/>
                <w:lang w:val="en-US" w:eastAsia="zh-CN" w:bidi="ar-SA"/>
              </w:rPr>
              <w:t xml:space="preserve">2</w:t>
            </w:r>
            <w:r/>
          </w:p>
        </w:tc>
        <w:tc>
          <w:tcPr>
            <w:tcW w:w="1963"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外教日语（听力、口语）</w:t>
            </w:r>
            <w:r/>
          </w:p>
        </w:tc>
        <w:tc>
          <w:tcPr>
            <w:tcW w:w="1296"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4</w:t>
            </w:r>
            <w:r/>
          </w:p>
        </w:tc>
        <w:tc>
          <w:tcPr>
            <w:tcW w:w="1199"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72</w:t>
            </w:r>
            <w:r/>
          </w:p>
        </w:tc>
      </w:tr>
      <w:tr>
        <w:trPr>
          <w:jc w:val="center"/>
          <w:trHeight w:val="454" w:hRule="exact"/>
        </w:trPr>
        <w:tc>
          <w:tcPr>
            <w:tcW w:w="540" w:type="pct"/>
            <w:vAlign w:val="center"/>
            <w:textDirection w:val="lrTb"/>
            <w:noWrap w:val="false"/>
          </w:tcPr>
          <w:p>
            <w:pPr>
              <w:numPr>
                <w:ilvl w:val="0"/>
                <w:numId w:val="0"/>
              </w:numPr>
              <w:contextualSpacing/>
              <w:jc w:val="center"/>
              <w:spacing w:after="0" w:line="24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cs="宋体"/>
                <w:b w:val="0"/>
                <w:bCs w:val="0"/>
                <w:color w:val="auto"/>
                <w:sz w:val="24"/>
                <w:szCs w:val="24"/>
                <w:highlight w:val="none"/>
                <w:vertAlign w:val="baseline"/>
                <w:lang w:val="en-US" w:eastAsia="zh-CN" w:bidi="ar-SA"/>
              </w:rPr>
              <w:t xml:space="preserve">3</w:t>
            </w:r>
            <w:r/>
          </w:p>
        </w:tc>
        <w:tc>
          <w:tcPr>
            <w:tcW w:w="1963"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先端情报ACG课程</w:t>
            </w:r>
            <w:r/>
          </w:p>
        </w:tc>
        <w:tc>
          <w:tcPr>
            <w:tcW w:w="1296"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2</w:t>
            </w:r>
            <w:r/>
          </w:p>
        </w:tc>
        <w:tc>
          <w:tcPr>
            <w:tcW w:w="1199" w:type="pct"/>
            <w:vAlign w:val="center"/>
            <w:textDirection w:val="lrTb"/>
            <w:noWrap w:val="false"/>
          </w:tcPr>
          <w:p>
            <w:pPr>
              <w:numPr>
                <w:ilvl w:val="0"/>
                <w:numId w:val="0"/>
              </w:numPr>
              <w:contextualSpacing/>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36</w:t>
            </w:r>
            <w:r/>
          </w:p>
        </w:tc>
      </w:tr>
      <w:tr>
        <w:trPr>
          <w:jc w:val="center"/>
          <w:trHeight w:val="454" w:hRule="exact"/>
        </w:trPr>
        <w:tc>
          <w:tcPr>
            <w:tcW w:w="540" w:type="pct"/>
            <w:vAlign w:val="center"/>
            <w:textDirection w:val="lrTb"/>
            <w:noWrap w:val="false"/>
          </w:tcPr>
          <w:p>
            <w:pPr>
              <w:numPr>
                <w:ilvl w:val="0"/>
                <w:numId w:val="0"/>
              </w:numPr>
              <w:contextualSpacing/>
              <w:jc w:val="center"/>
              <w:spacing w:after="0" w:line="24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cs="宋体"/>
                <w:b w:val="0"/>
                <w:bCs w:val="0"/>
                <w:color w:val="auto"/>
                <w:sz w:val="24"/>
                <w:szCs w:val="24"/>
                <w:highlight w:val="none"/>
                <w:vertAlign w:val="baseline"/>
                <w:lang w:val="en-US" w:eastAsia="zh-CN" w:bidi="ar-SA"/>
              </w:rPr>
              <w:t xml:space="preserve">4</w:t>
            </w:r>
            <w:r/>
          </w:p>
        </w:tc>
        <w:tc>
          <w:tcPr>
            <w:tcW w:w="1963" w:type="pct"/>
            <w:vAlign w:val="center"/>
            <w:textDirection w:val="lrTb"/>
            <w:noWrap w:val="false"/>
          </w:tcPr>
          <w:p>
            <w:pPr>
              <w:numPr>
                <w:ilvl w:val="0"/>
                <w:numId w:val="0"/>
              </w:numPr>
              <w:contextualSpacing/>
              <w:ind w:left="0" w:firstLine="0"/>
              <w:jc w:val="center"/>
              <w:spacing w:after="0" w:line="240" w:lineRule="auto"/>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总计</w:t>
            </w:r>
            <w:r/>
          </w:p>
        </w:tc>
        <w:tc>
          <w:tcPr>
            <w:tcW w:w="1296" w:type="pct"/>
            <w:vAlign w:val="center"/>
            <w:textDirection w:val="lrTb"/>
            <w:noWrap w:val="false"/>
          </w:tcPr>
          <w:p>
            <w:pPr>
              <w:numPr>
                <w:ilvl w:val="0"/>
                <w:numId w:val="0"/>
              </w:numPr>
              <w:contextualSpacing/>
              <w:ind w:left="0" w:firstLine="0"/>
              <w:jc w:val="center"/>
              <w:spacing w:after="0" w:line="24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cs="宋体"/>
                <w:b w:val="0"/>
                <w:bCs w:val="0"/>
                <w:color w:val="auto"/>
                <w:sz w:val="24"/>
                <w:szCs w:val="24"/>
                <w:highlight w:val="none"/>
                <w:vertAlign w:val="baseline"/>
                <w:lang w:val="en-US" w:eastAsia="zh-CN" w:bidi="ar-SA"/>
              </w:rPr>
              <w:t xml:space="preserve">14</w:t>
            </w:r>
            <w:r/>
          </w:p>
        </w:tc>
        <w:tc>
          <w:tcPr>
            <w:tcW w:w="1199" w:type="pct"/>
            <w:vAlign w:val="center"/>
            <w:textDirection w:val="lrTb"/>
            <w:noWrap w:val="false"/>
          </w:tcPr>
          <w:p>
            <w:pPr>
              <w:numPr>
                <w:ilvl w:val="0"/>
                <w:numId w:val="0"/>
              </w:numPr>
              <w:contextualSpacing/>
              <w:jc w:val="center"/>
              <w:spacing w:after="0" w:line="24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252</w:t>
            </w:r>
            <w:r/>
          </w:p>
        </w:tc>
      </w:tr>
      <w:tr>
        <w:trPr>
          <w:jc w:val="center"/>
          <w:trHeight w:val="454" w:hRule="exact"/>
        </w:trPr>
        <w:tc>
          <w:tcPr>
            <w:gridSpan w:val="4"/>
            <w:tcW w:w="5000" w:type="pct"/>
            <w:vAlign w:val="center"/>
            <w:textDirection w:val="lrTb"/>
            <w:noWrap w:val="false"/>
          </w:tcPr>
          <w:p>
            <w:pPr>
              <w:numPr>
                <w:ilvl w:val="0"/>
                <w:numId w:val="0"/>
              </w:numPr>
              <w:contextualSpacing/>
              <w:jc w:val="center"/>
              <w:spacing w:after="0" w:line="240" w:lineRule="auto"/>
              <w:widowControl w:val="off"/>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cs="宋体"/>
                <w:b w:val="0"/>
                <w:bCs w:val="0"/>
                <w:color w:val="auto"/>
                <w:sz w:val="24"/>
                <w:szCs w:val="24"/>
                <w:highlight w:val="none"/>
                <w:vertAlign w:val="baseline"/>
                <w:lang w:val="en-US" w:eastAsia="zh-CN" w:bidi="ar-SA"/>
              </w:rPr>
              <w:t xml:space="preserve">注：上述课时数仅供参考，最终</w:t>
            </w:r>
            <w:r>
              <w:rPr>
                <w:rFonts w:hint="eastAsia" w:ascii="宋体" w:hAnsi="宋体" w:eastAsia="宋体" w:cs="宋体"/>
                <w:b w:val="0"/>
                <w:bCs w:val="0"/>
                <w:color w:val="auto"/>
                <w:sz w:val="24"/>
                <w:szCs w:val="24"/>
                <w:highlight w:val="none"/>
                <w:vertAlign w:val="baseline"/>
                <w:lang w:val="en-US" w:eastAsia="zh-CN" w:bidi="ar-SA"/>
              </w:rPr>
              <w:t xml:space="preserve">根据学生</w:t>
            </w:r>
            <w:r>
              <w:rPr>
                <w:rFonts w:hint="eastAsia" w:ascii="宋体" w:hAnsi="宋体" w:cs="宋体"/>
                <w:b w:val="0"/>
                <w:bCs w:val="0"/>
                <w:color w:val="auto"/>
                <w:sz w:val="24"/>
                <w:szCs w:val="24"/>
                <w:highlight w:val="none"/>
                <w:vertAlign w:val="baseline"/>
                <w:lang w:val="en-US" w:eastAsia="zh-CN" w:bidi="ar-SA"/>
              </w:rPr>
              <w:t xml:space="preserve">实际</w:t>
            </w:r>
            <w:r>
              <w:rPr>
                <w:rFonts w:hint="eastAsia" w:ascii="宋体" w:hAnsi="宋体" w:eastAsia="宋体" w:cs="宋体"/>
                <w:b w:val="0"/>
                <w:bCs w:val="0"/>
                <w:color w:val="auto"/>
                <w:sz w:val="24"/>
                <w:szCs w:val="24"/>
                <w:highlight w:val="none"/>
                <w:vertAlign w:val="baseline"/>
                <w:lang w:val="en-US" w:eastAsia="zh-CN" w:bidi="ar-SA"/>
              </w:rPr>
              <w:t xml:space="preserve">学习程度</w:t>
            </w:r>
            <w:r>
              <w:rPr>
                <w:rFonts w:hint="eastAsia" w:ascii="宋体" w:hAnsi="宋体" w:cs="宋体"/>
                <w:b w:val="0"/>
                <w:bCs w:val="0"/>
                <w:color w:val="auto"/>
                <w:sz w:val="24"/>
                <w:szCs w:val="24"/>
                <w:highlight w:val="none"/>
                <w:vertAlign w:val="baseline"/>
                <w:lang w:val="en-US" w:eastAsia="zh-CN" w:bidi="ar-SA"/>
              </w:rPr>
              <w:t xml:space="preserve">进行调整。</w:t>
            </w:r>
            <w:r/>
          </w:p>
        </w:tc>
      </w:tr>
    </w:tbl>
    <w:p>
      <w:pPr>
        <w:numPr>
          <w:ilvl w:val="0"/>
          <w:numId w:val="0"/>
        </w:numPr>
        <w:contextualSpacing/>
        <w:ind w:left="0" w:firstLine="480"/>
        <w:spacing w:line="360" w:lineRule="auto"/>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cs="宋体"/>
          <w:b w:val="0"/>
          <w:bCs/>
          <w:color w:val="auto"/>
          <w:sz w:val="24"/>
          <w:szCs w:val="22"/>
          <w:highlight w:val="none"/>
          <w:lang w:val="en-US" w:eastAsia="zh-CN" w:bidi="ar-SA"/>
        </w:rPr>
        <w:t xml:space="preserve">4</w:t>
      </w:r>
      <w:r>
        <w:rPr>
          <w:rFonts w:hint="eastAsia" w:ascii="宋体" w:hAnsi="宋体" w:eastAsia="宋体" w:cs="宋体"/>
          <w:b w:val="0"/>
          <w:bCs/>
          <w:color w:val="auto"/>
          <w:sz w:val="24"/>
          <w:szCs w:val="22"/>
          <w:highlight w:val="none"/>
          <w:lang w:val="en-US" w:eastAsia="zh-CN" w:bidi="ar-SA"/>
        </w:rPr>
        <w:t xml:space="preserve">.</w:t>
      </w:r>
      <w:r>
        <w:rPr>
          <w:rFonts w:hint="eastAsia" w:ascii="宋体" w:hAnsi="宋体" w:cs="宋体"/>
          <w:b w:val="0"/>
          <w:bCs/>
          <w:color w:val="auto"/>
          <w:sz w:val="24"/>
          <w:szCs w:val="22"/>
          <w:highlight w:val="none"/>
          <w:lang w:val="en-US" w:eastAsia="zh-CN" w:bidi="ar-SA"/>
        </w:rPr>
        <w:t xml:space="preserve">2</w:t>
      </w:r>
      <w:r>
        <w:rPr>
          <w:rFonts w:hint="eastAsia" w:ascii="宋体" w:hAnsi="宋体" w:eastAsia="宋体" w:cs="宋体"/>
          <w:b w:val="0"/>
          <w:bCs/>
          <w:color w:val="auto"/>
          <w:sz w:val="24"/>
          <w:szCs w:val="22"/>
          <w:highlight w:val="none"/>
          <w:lang w:val="en-US" w:eastAsia="zh-CN" w:bidi="ar-SA"/>
        </w:rPr>
        <w:t xml:space="preserve">学生一年课程完成后达到的教学目标：</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 w:val="0"/>
          <w:bCs/>
          <w:color w:val="auto"/>
          <w:sz w:val="24"/>
          <w:szCs w:val="22"/>
          <w:highlight w:val="none"/>
          <w:lang w:val="en-US" w:eastAsia="zh-CN"/>
        </w:rPr>
        <w:t xml:space="preserve">（1）</w:t>
      </w:r>
      <w:r>
        <w:rPr>
          <w:rFonts w:hint="eastAsia" w:ascii="宋体" w:hAnsi="宋体" w:cs="宋体"/>
          <w:b w:val="0"/>
          <w:bCs/>
          <w:color w:val="auto"/>
          <w:sz w:val="24"/>
          <w:szCs w:val="22"/>
          <w:highlight w:val="none"/>
        </w:rPr>
        <w:t xml:space="preserve">通过JLPT</w:t>
      </w:r>
      <w:r>
        <w:rPr>
          <w:rFonts w:hint="eastAsia" w:ascii="宋体" w:hAnsi="宋体" w:cs="宋体"/>
          <w:bCs/>
          <w:color w:val="auto"/>
          <w:sz w:val="24"/>
          <w:szCs w:val="22"/>
          <w:highlight w:val="none"/>
        </w:rPr>
        <w:t xml:space="preserve">或J.test的中级别考试；</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rPr>
        <w:t xml:space="preserve">（2）</w:t>
      </w:r>
      <w:r>
        <w:rPr>
          <w:rFonts w:hint="eastAsia" w:ascii="宋体" w:hAnsi="宋体" w:cs="宋体"/>
          <w:bCs/>
          <w:color w:val="auto"/>
          <w:sz w:val="24"/>
          <w:szCs w:val="22"/>
          <w:highlight w:val="none"/>
        </w:rPr>
        <w:t xml:space="preserve">完整掌握CLIP STUDIO等绘画软件的使用方法；</w:t>
      </w:r>
      <w:r/>
    </w:p>
    <w:p>
      <w:pPr>
        <w:contextualSpacing/>
        <w:ind w:left="0" w:firstLine="480"/>
        <w:spacing w:line="360" w:lineRule="auto"/>
        <w:widowControl w:val="off"/>
        <w:rPr>
          <w:rFonts w:hint="eastAsia" w:ascii="宋体" w:hAnsi="宋体" w:cs="宋体"/>
          <w:bCs/>
          <w:color w:val="auto"/>
          <w:sz w:val="24"/>
          <w:szCs w:val="22"/>
          <w:highlight w:val="none"/>
        </w:rPr>
      </w:pP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lang w:val="en-US" w:eastAsia="zh-CN"/>
        </w:rPr>
        <w:t xml:space="preserve">3</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基本掌握Adobe系列软件操作方式。</w:t>
      </w:r>
      <w:r/>
    </w:p>
    <w:p>
      <w:pPr>
        <w:numPr>
          <w:ilvl w:val="0"/>
          <w:numId w:val="0"/>
        </w:numPr>
        <w:contextualSpacing/>
        <w:ind w:left="0" w:firstLine="482"/>
        <w:spacing w:line="360" w:lineRule="auto"/>
        <w:widowControl w:val="off"/>
        <w:rPr>
          <w:rFonts w:hint="eastAsia" w:ascii="宋体" w:hAnsi="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w:t>
      </w:r>
      <w:r>
        <w:rPr>
          <w:rFonts w:hint="eastAsia" w:ascii="宋体" w:hAnsi="宋体" w:cs="宋体"/>
          <w:b/>
          <w:bCs w:val="0"/>
          <w:color w:val="auto"/>
          <w:sz w:val="24"/>
          <w:szCs w:val="22"/>
          <w:highlight w:val="none"/>
          <w:lang w:val="en-US" w:eastAsia="zh-CN" w:bidi="ar-SA"/>
        </w:rPr>
        <w:t xml:space="preserve">五</w:t>
      </w:r>
      <w:r>
        <w:rPr>
          <w:rFonts w:hint="eastAsia" w:ascii="宋体" w:hAnsi="宋体" w:eastAsia="宋体" w:cs="宋体"/>
          <w:b/>
          <w:bCs w:val="0"/>
          <w:color w:val="auto"/>
          <w:sz w:val="24"/>
          <w:szCs w:val="22"/>
          <w:highlight w:val="none"/>
          <w:lang w:val="en-US" w:eastAsia="zh-CN" w:bidi="ar-SA"/>
        </w:rPr>
        <w:t xml:space="preserve">）外籍教师人员要求</w:t>
      </w:r>
      <w:r>
        <w:rPr>
          <w:rFonts w:hint="eastAsia" w:ascii="宋体" w:hAnsi="宋体" w:cs="宋体"/>
          <w:b/>
          <w:bCs w:val="0"/>
          <w:color w:val="auto"/>
          <w:sz w:val="24"/>
          <w:szCs w:val="22"/>
          <w:highlight w:val="none"/>
          <w:lang w:val="en-US" w:eastAsia="zh-CN" w:bidi="ar-SA"/>
        </w:rPr>
        <w:t xml:space="preserve">：</w:t>
      </w:r>
      <w:r/>
    </w:p>
    <w:p>
      <w:pPr>
        <w:pStyle w:val="862"/>
        <w:ind w:left="0"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拟投入外籍教师人员品行端正、无违法违规前科和不良记录，身体健康；</w:t>
      </w:r>
      <w:r/>
    </w:p>
    <w:p>
      <w:pPr>
        <w:pStyle w:val="862"/>
        <w:ind w:left="0" w:firstLine="480"/>
        <w:spacing w:line="34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具有日语基础阶段等级考试合格资格证书，且有2年以上</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教学经历；</w:t>
      </w:r>
      <w:r/>
    </w:p>
    <w:p>
      <w:pPr>
        <w:pStyle w:val="862"/>
        <w:ind w:left="0" w:firstLine="480"/>
        <w:spacing w:line="34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外教年龄</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21-50周岁之间；</w:t>
      </w:r>
      <w:r/>
    </w:p>
    <w:p>
      <w:pPr>
        <w:pStyle w:val="862"/>
        <w:ind w:left="0" w:firstLine="480"/>
        <w:spacing w:line="34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外教</w:t>
      </w:r>
      <w:r>
        <w:rPr>
          <w:rFonts w:hint="eastAsia" w:ascii="宋体" w:hAnsi="宋体" w:cs="宋体"/>
          <w:color w:val="auto"/>
          <w:sz w:val="24"/>
          <w:szCs w:val="24"/>
          <w:highlight w:val="none"/>
          <w:lang w:val="en-US" w:eastAsia="zh-CN"/>
        </w:rPr>
        <w:t xml:space="preserve">日语</w:t>
      </w:r>
      <w:r>
        <w:rPr>
          <w:rFonts w:hint="eastAsia" w:ascii="宋体" w:hAnsi="宋体" w:cs="宋体"/>
          <w:color w:val="auto"/>
          <w:sz w:val="24"/>
          <w:szCs w:val="24"/>
          <w:highlight w:val="none"/>
        </w:rPr>
        <w:t xml:space="preserve">口语标准，说话清晰，有工作热情。</w:t>
      </w:r>
      <w:r/>
    </w:p>
    <w:p>
      <w:pPr>
        <w:ind w:left="40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、综合说明：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1、磋商供应商需在响应文件中明确服务内容和服务方案。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2、磋商供应商必须承诺文件中提出的全部要求，如果其中某些条款不响应时，应在文件中逐条列出，未列出的视同响应。</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3、磋商供应商应对所投项目的全部内容进行报价，只投其中部分内容者或出现选择性报价的，其响应文件将被拒绝。</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4、其他要求：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4.1供应商在项目进行过程中产生的任何安全、损坏等责</w:t>
      </w:r>
      <w:r>
        <w:rPr>
          <w:rFonts w:hint="eastAsia" w:ascii="宋体" w:hAnsi="宋体" w:eastAsia="宋体" w:cs="宋体"/>
          <w:color w:val="auto"/>
          <w:sz w:val="24"/>
          <w:szCs w:val="24"/>
          <w:highlight w:val="none"/>
        </w:rPr>
        <w:t xml:space="preserve">任事故一律由供应商自行承担。如遇突发情况，供应商需协助采购人完成需要配合的服务。</w:t>
      </w:r>
      <w:r/>
    </w:p>
    <w:p>
      <w:pPr>
        <w:pStyle w:val="104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4.2供应商需严格按采购文件中规定的时间完成项目全部工作内容，如在实施的过程中出现错误、误差的，供应商需及时更正至采购人确认并经主管部门验收合格。</w:t>
      </w:r>
      <w:r/>
    </w:p>
    <w:p>
      <w:pPr>
        <w:pStyle w:val="104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4.3本项目不允许转包、分包，发现查实者一律取消合同。</w:t>
      </w:r>
      <w:r/>
    </w:p>
    <w:p>
      <w:pPr>
        <w:pStyle w:val="104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4.4供应商应对服务危险性、潜在危险认真考虑周全，对所有项目安全负责，并承担由此可能产生的一切费用，采购人不承担任何责任；如需采购人配合的工作，供应商需及时通知采购方。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eastAsia="zh-CN"/>
        </w:rPr>
        <w:t xml:space="preserve">报价包括完成本项目所需的全部服务内容、师资、交通、食宿、教材及辅材、管理、协调、人工、保险、利润、税金、政策性文件规定及本项目包含的所有风险、责任、代理服务费等各项应有费用</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知识产权：成交单位须保障采购人在使用该服务或其任何一部分时不受到第三方关于侵犯专利权、商标权的指控。如果任何第三方提出侵权指控，成交单位须与第三方交涉，并承担由此而产生的索赔、损失、损害、支出等一切费用（含律师费）。如采购人因此而遭致损失的，成交单位应赔偿该损失。</w:t>
      </w:r>
      <w:r/>
    </w:p>
    <w:p>
      <w:pPr>
        <w:ind w:left="0" w:firstLine="48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服务时间：自合同签订之日起</w:t>
      </w:r>
      <w:r>
        <w:rPr>
          <w:rFonts w:hint="eastAsia" w:ascii="宋体" w:hAnsi="宋体" w:cs="宋体"/>
          <w:color w:val="auto"/>
          <w:sz w:val="24"/>
          <w:szCs w:val="24"/>
          <w:highlight w:val="none"/>
          <w:lang w:val="en-US" w:eastAsia="zh-CN"/>
        </w:rPr>
        <w:t xml:space="preserve">一年，具体起止时间以采购单位通知为准</w:t>
      </w:r>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、服务地点：采购人指定地点。</w:t>
      </w:r>
      <w:r/>
    </w:p>
    <w:p>
      <w:pPr>
        <w:pStyle w:val="1041"/>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、验收：</w:t>
      </w:r>
      <w:r/>
    </w:p>
    <w:p>
      <w:pPr>
        <w:pStyle w:val="1041"/>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（1）验收时间：</w:t>
      </w:r>
      <w:r>
        <w:rPr>
          <w:rFonts w:hint="eastAsia" w:ascii="宋体" w:hAnsi="宋体" w:eastAsia="宋体" w:cs="宋体"/>
          <w:color w:val="auto"/>
          <w:sz w:val="24"/>
          <w:szCs w:val="24"/>
          <w:highlight w:val="none"/>
          <w:lang w:eastAsia="zh-CN"/>
        </w:rPr>
        <w:t xml:space="preserve">采购方</w:t>
      </w:r>
      <w:r>
        <w:rPr>
          <w:rFonts w:hint="eastAsia" w:ascii="宋体" w:hAnsi="宋体" w:eastAsia="宋体" w:cs="宋体"/>
          <w:color w:val="auto"/>
          <w:sz w:val="24"/>
          <w:szCs w:val="24"/>
          <w:highlight w:val="none"/>
        </w:rPr>
        <w:t xml:space="preserve">根据实际情况在合理时间内进行验收。</w:t>
      </w:r>
      <w:r/>
    </w:p>
    <w:p>
      <w:pPr>
        <w:pStyle w:val="1041"/>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（2）验收标准：按国家相关法律法规、行业相关标准及采购文件要求和成交单位的承诺进行验收。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highlight w:val="none"/>
          <w:lang w:val="en-US" w:eastAsia="zh-CN" w:bidi="ar-SA"/>
        </w:rPr>
        <w:t xml:space="preserve">合同签订生效后，甲方向乙方最高支付合同价的30%作为预付款；中期验收合格后余款于2024年12月31日前一次性付清。</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注：上述付款方式可在甲乙双方签订合同时根据《苏财购[2020]42号》文件相关内容进行调整。</w:t>
      </w:r>
      <w:r/>
    </w:p>
    <w:p>
      <w:pPr>
        <w:ind w:left="0" w:firstLine="480"/>
        <w:spacing w:line="360" w:lineRule="auto"/>
        <w:widowControl w:val="off"/>
        <w:rPr>
          <w:rStyle w:val="1071"/>
          <w:rFonts w:hint="eastAsia" w:ascii="宋体" w:hAnsi="宋体" w:eastAsia="宋体" w:cs="宋体"/>
          <w:color w:val="auto"/>
          <w:sz w:val="24"/>
          <w:szCs w:val="24"/>
          <w:highlight w:val="none"/>
        </w:rPr>
      </w:pPr>
      <w:r>
        <w:rPr>
          <w:rStyle w:val="1071"/>
          <w:rFonts w:hint="eastAsia" w:ascii="宋体" w:hAnsi="宋体" w:eastAsia="宋体" w:cs="宋体"/>
          <w:color w:val="auto"/>
          <w:sz w:val="24"/>
          <w:szCs w:val="24"/>
          <w:highlight w:val="none"/>
        </w:rPr>
        <w:t xml:space="preserve">付款前，乙方需先向甲方提供：</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（1）合格的发票；</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（2）由甲乙双方及采购代理机构签章的《政府采购合同履行验收报告》。</w:t>
      </w: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、凡涉及采购文件的补充说明和修改，均以最后在苏州市政府采购网发布的内容为准。</w:t>
      </w:r>
      <w:r/>
    </w:p>
    <w:p>
      <w:pPr>
        <w:jc w:val="center"/>
        <w:spacing w:before="340" w:after="330" w:line="578"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before="340" w:after="330" w:line="578"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340" w:after="330" w:line="578"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340" w:after="330" w:line="578"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numPr>
          <w:ilvl w:val="0"/>
          <w:numId w:val="3"/>
        </w:numPr>
        <w:ind w:left="0"/>
        <w:jc w:val="center"/>
        <w:spacing w:before="340" w:after="330" w:line="579" w:lineRule="auto"/>
        <w:rPr>
          <w:rFonts w:hint="eastAsia" w:ascii="宋体" w:hAnsi="宋体" w:cs="宋体"/>
          <w:b/>
          <w:color w:val="auto"/>
          <w:sz w:val="44"/>
          <w:szCs w:val="44"/>
          <w:highlight w:val="none"/>
        </w:rPr>
        <w:outlineLvl w:val="0"/>
      </w:pPr>
      <w:r/>
      <w:bookmarkStart w:id="75" w:name="合同的特殊条款"/>
      <w:r/>
      <w:bookmarkEnd w:id="75"/>
      <w:r/>
      <w:bookmarkStart w:id="76" w:name="_Toc3589"/>
      <w:r>
        <w:rPr>
          <w:rFonts w:hint="eastAsia" w:ascii="宋体" w:hAnsi="宋体" w:cs="宋体"/>
          <w:b/>
          <w:color w:val="auto"/>
          <w:sz w:val="44"/>
          <w:szCs w:val="44"/>
          <w:highlight w:val="none"/>
        </w:rPr>
        <w:t xml:space="preserve"> </w:t>
      </w:r>
      <w:bookmarkStart w:id="77" w:name="_Toc26481"/>
      <w:r>
        <w:rPr>
          <w:rFonts w:hint="eastAsia" w:ascii="宋体" w:hAnsi="宋体" w:cs="宋体"/>
          <w:b/>
          <w:color w:val="auto"/>
          <w:sz w:val="44"/>
          <w:szCs w:val="44"/>
          <w:highlight w:val="none"/>
        </w:rPr>
        <w:t xml:space="preserve">合同及主要条款</w:t>
      </w:r>
      <w:bookmarkEnd w:id="67"/>
      <w:r/>
      <w:bookmarkEnd w:id="76"/>
      <w:r/>
      <w:bookmarkEnd w:id="77"/>
      <w:r/>
      <w:r/>
    </w:p>
    <w:p>
      <w:pPr>
        <w:pStyle w:val="1043"/>
        <w:ind w:firstLine="0"/>
        <w:rPr>
          <w:rFonts w:hint="eastAsia" w:ascii="宋体" w:hAnsi="宋体" w:cs="宋体"/>
          <w:color w:val="auto"/>
          <w:highlight w:val="none"/>
        </w:rPr>
      </w:pPr>
      <w:r>
        <w:rPr>
          <w:rFonts w:hint="eastAsia" w:ascii="宋体" w:hAnsi="宋体" w:cs="宋体"/>
          <w:color w:val="auto"/>
          <w:highlight w:val="none"/>
        </w:rPr>
      </w:r>
      <w:r/>
    </w:p>
    <w:p>
      <w:pPr>
        <w:ind w:left="0"/>
        <w:jc w:val="center"/>
        <w:keepLines w:val="0"/>
        <w:keepNext w:val="0"/>
        <w:pageBreakBefore w:val="0"/>
        <w:spacing w:line="360" w:lineRule="auto"/>
        <w:widowControl w:val="off"/>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78" w:name="_Toc32730"/>
      <w:r>
        <w:rPr>
          <w:rFonts w:hint="eastAsia" w:ascii="宋体" w:hAnsi="宋体" w:cs="宋体"/>
          <w:b/>
          <w:color w:val="auto"/>
          <w:sz w:val="32"/>
          <w:szCs w:val="32"/>
          <w:highlight w:val="none"/>
        </w:rPr>
        <w:t xml:space="preserve">合同主要条款</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依据甲方委托</w:t>
      </w:r>
      <w:r>
        <w:rPr>
          <w:rFonts w:hint="eastAsia" w:ascii="宋体" w:hAnsi="宋体" w:cs="宋体"/>
          <w:color w:val="auto"/>
          <w:sz w:val="24"/>
          <w:szCs w:val="24"/>
          <w:highlight w:val="none"/>
        </w:rPr>
        <w:t xml:space="preserve">苏州合亿盛工程咨询</w:t>
      </w:r>
      <w:r>
        <w:rPr>
          <w:rFonts w:hint="eastAsia" w:ascii="宋体" w:hAnsi="宋体" w:cs="宋体"/>
          <w:color w:val="auto"/>
          <w:sz w:val="24"/>
          <w:szCs w:val="24"/>
          <w:highlight w:val="none"/>
          <w:lang w:val="zh-CN"/>
        </w:rPr>
        <w:t xml:space="preserve">有限公司进行本项目政府采购（采购编号：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）的采购结果，确定乙方为本次成交供应商，现依照采购文件、乙方的响应文件及相关文件的内容，签订本合同书。</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一、合同标的物和合同价格组成</w:t>
      </w:r>
      <w:r/>
    </w:p>
    <w:p>
      <w:pPr>
        <w:pStyle w:val="1041"/>
        <w:ind w:left="0" w:firstLine="480"/>
        <w:keepLines w:val="0"/>
        <w:keepNext w:val="0"/>
        <w:pageBreakBefore w:val="0"/>
        <w:spacing w:line="360" w:lineRule="auto"/>
        <w:widowControl w:val="off"/>
        <w:tabs>
          <w:tab w:val="left" w:pos="75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1.1采购的服务内容概述；</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1.2服务具体范围，</w:t>
      </w:r>
      <w:r>
        <w:rPr>
          <w:rFonts w:hint="eastAsia" w:ascii="宋体" w:hAnsi="宋体" w:cs="宋体"/>
          <w:b/>
          <w:color w:val="auto"/>
          <w:sz w:val="24"/>
          <w:szCs w:val="24"/>
          <w:highlight w:val="none"/>
        </w:rPr>
        <w:t xml:space="preserve">详见第四章；</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1.3服务期限，</w:t>
      </w:r>
      <w:r>
        <w:rPr>
          <w:rFonts w:hint="eastAsia" w:ascii="宋体" w:hAnsi="宋体" w:cs="宋体"/>
          <w:b/>
          <w:color w:val="auto"/>
          <w:sz w:val="24"/>
          <w:szCs w:val="24"/>
          <w:highlight w:val="none"/>
        </w:rPr>
        <w:t xml:space="preserve">详见第四章；</w:t>
      </w:r>
      <w:r/>
    </w:p>
    <w:p>
      <w:pPr>
        <w:ind w:left="0" w:firstLine="480"/>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1.4合同价款的组成：合同价款包含甲方应付乙方的全部款项，</w:t>
      </w:r>
      <w:r>
        <w:rPr>
          <w:rFonts w:hint="eastAsia" w:ascii="宋体" w:hAnsi="宋体" w:cs="宋体"/>
          <w:b/>
          <w:color w:val="auto"/>
          <w:sz w:val="24"/>
          <w:szCs w:val="24"/>
          <w:highlight w:val="none"/>
        </w:rPr>
        <w:t xml:space="preserve">详见第四章。</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二、下列文件为本合同不可分割部分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2.1成交通知书；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2.2乙方成交的响应文件；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2.3采购文件；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2.4乙方在磋商过程中所作的其它承诺、声明、书面澄清等。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三、合同价格支付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3.1支付步骤和比例，</w:t>
      </w:r>
      <w:r>
        <w:rPr>
          <w:rFonts w:hint="eastAsia" w:ascii="宋体" w:hAnsi="宋体" w:eastAsia="宋体" w:cs="宋体"/>
          <w:b/>
          <w:color w:val="auto"/>
          <w:sz w:val="24"/>
          <w:szCs w:val="24"/>
          <w:highlight w:val="none"/>
        </w:rPr>
        <w:t xml:space="preserve">详见第四章。</w:t>
      </w: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3.2根据现行税法对甲方征收的与本合同有关的一切税费均由甲方承担；根据现行税法对乙方征收的与本合同有关的一切税费均由乙方承担。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3.3乙方要求付款应提供以下资料：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（1）合格的发票；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（2）由甲乙双方及采购代理机构签章的《政府采购合同履行验收报告》。</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3.4支付方式：银行转账、银行汇票或转账支票，具体支付方式甲方有权根据财务安排自主选择。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四、服务工作管理</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详见第四章</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五、不可抗力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5.1因不可抗力不能履行合同的，根据不可抗力的影响，部分或者全部免除责任。但合同一方延迟履行后发生不可抗力的，不能免除责任。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5.2合同一方因不可抗力不能履行合同的，应当及时通知对方，以减轻可能给对方造成的损失，并应当在合理期限内提供证明。</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六、合同的解除和转让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6.1甲方和乙方协商一致，可以解除合同。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6.2有下列情形之一，合同一方可以解除合同：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6.2.1因不可抗力致使不能实现合同目的，未受不可抗力影响的一方有权解除合同；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6.2.2因合同一方违约导致合同不能履行，另一方有权解除合同；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6.2.3因乙方在履行合同过程中造成社会不良影响的，甲方有权解除合同。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6.3有权解除合同的一方，应当在违约事实或不可抗力发生之后三十天内书面通知对方以主张解除合同，合同在书面通知到达对方时解除。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6.4合同的部分和全部都不得转让。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7.1合同一方不履行合同义务或者履行合同义务不符合约定的，应当承担继续履行、采取补救措施或赔偿损失等违约责任。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7.2甲方违约责任。甲方未按照约定时间支付合同价款的，应当承担逾期付款违约责任。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7.3乙方违约责任。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7.3.1甲方有权按照规定对乙方进行考核，并按照考核办法的规定要求乙方承担相应责任。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7.3.2乙方承担的违约金不足以赔偿甲方实际损失的，甲方有权要</w:t>
      </w:r>
      <w:r>
        <w:rPr>
          <w:rFonts w:hint="eastAsia" w:ascii="宋体" w:hAnsi="宋体" w:eastAsia="宋体" w:cs="宋体"/>
          <w:color w:val="auto"/>
          <w:sz w:val="24"/>
          <w:szCs w:val="24"/>
          <w:highlight w:val="none"/>
          <w:lang w:val="en-US" w:eastAsia="zh-CN"/>
        </w:rPr>
        <w:t xml:space="preserve">求</w:t>
      </w:r>
      <w:r>
        <w:rPr>
          <w:rFonts w:hint="eastAsia" w:ascii="宋体" w:hAnsi="宋体" w:eastAsia="宋体" w:cs="宋体"/>
          <w:color w:val="auto"/>
          <w:sz w:val="24"/>
          <w:szCs w:val="24"/>
          <w:highlight w:val="none"/>
        </w:rPr>
        <w:t xml:space="preserve">乙方继续赔偿。</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7.3.3乙方履行合同不符合合同要求的，甲方有权责令乙方立即改正，乙方拒不改正或已经造成不良社会影响的，甲方有权要求乙方承担责任。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八、争议解决办法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因本合同或与本合同有关的一切事项发生争议，由双方友好协商解决。协商不成的，任何一方均可以向甲方所在地人民法院起诉。</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九、合同生效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本合同在双方签字盖章后生效，并需经政府采购管理部门备案。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十、其他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十一、附则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11.1本合同一式四份，甲方、乙方各执一份，政府采购监督管理部门备案一份，采购代理机构一份。</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11.2本合同文件使用中文书写、解释和说明。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11.3本合同履行过程中产生的纪要、协议以及成交通知书、响应文件和采购文件为本合同的附件，与合同具有同等效力。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11.4未尽事宜</w:t>
      </w:r>
      <w:r/>
    </w:p>
    <w:p>
      <w:pPr>
        <w:ind w:left="0"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pStyle w:val="1041"/>
        <w:ind w:left="0" w:firstLine="0"/>
        <w:rPr>
          <w:rFonts w:hint="eastAsia" w:ascii="宋体" w:hAnsi="宋体" w:cs="宋体"/>
          <w:color w:val="auto"/>
          <w:highlight w:val="none"/>
        </w:rPr>
      </w:pPr>
      <w:r>
        <w:rPr>
          <w:rFonts w:hint="eastAsia" w:ascii="宋体" w:hAnsi="宋体" w:cs="宋体"/>
          <w:color w:val="auto"/>
          <w:highlight w:val="none"/>
        </w:rPr>
      </w:r>
      <w:r/>
    </w:p>
    <w:p>
      <w:pPr>
        <w:pStyle w:val="1037"/>
        <w:ind w:left="0" w:firstLine="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79" w:name="评分要点"/>
      <w:r/>
      <w:bookmarkEnd w:id="79"/>
      <w:r/>
      <w:r/>
    </w:p>
    <w:p>
      <w:pPr>
        <w:pStyle w:val="1037"/>
        <w:ind w:left="0" w:firstLine="0"/>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037"/>
        <w:ind w:left="0" w:firstLine="0"/>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1037"/>
        <w:numPr>
          <w:ilvl w:val="0"/>
          <w:numId w:val="3"/>
        </w:numPr>
        <w:ind w:left="0" w:firstLine="0"/>
        <w:jc w:val="center"/>
        <w:spacing w:line="579"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 </w:t>
      </w:r>
      <w:bookmarkStart w:id="80" w:name="_Toc27775"/>
      <w:r/>
      <w:bookmarkStart w:id="81" w:name="_Toc16154"/>
      <w:r>
        <w:rPr>
          <w:rFonts w:hint="eastAsia" w:ascii="宋体" w:hAnsi="宋体" w:cs="宋体"/>
          <w:b/>
          <w:color w:val="auto"/>
          <w:sz w:val="44"/>
          <w:szCs w:val="44"/>
          <w:highlight w:val="none"/>
        </w:rPr>
        <w:t xml:space="preserve">评审办法</w:t>
      </w:r>
      <w:bookmarkEnd w:id="68"/>
      <w:r/>
      <w:bookmarkEnd w:id="69"/>
      <w:r/>
      <w:bookmarkEnd w:id="70"/>
      <w:r/>
      <w:bookmarkEnd w:id="71"/>
      <w:r/>
      <w:bookmarkEnd w:id="78"/>
      <w:r/>
      <w:bookmarkEnd w:id="80"/>
      <w:r/>
      <w:bookmarkEnd w:id="81"/>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4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spacing w:line="360" w:lineRule="auto"/>
        <w:rPr>
          <w:rStyle w:val="1071"/>
          <w:rFonts w:hint="eastAsia" w:ascii="宋体" w:hAnsi="宋体" w:cs="宋体"/>
          <w:b/>
          <w:bCs/>
          <w:color w:val="auto"/>
          <w:sz w:val="24"/>
          <w:highlight w:val="none"/>
        </w:rPr>
      </w:pPr>
      <w:r>
        <w:rPr>
          <w:rFonts w:hint="eastAsia" w:ascii="宋体" w:hAnsi="宋体" w:cs="宋体"/>
          <w:color w:val="auto"/>
          <w:sz w:val="24"/>
          <w:szCs w:val="24"/>
          <w:highlight w:val="none"/>
        </w:rPr>
        <w:br w:type="page" w:clear="all"/>
      </w:r>
      <w:r>
        <w:rPr>
          <w:rStyle w:val="1071"/>
          <w:rFonts w:hint="eastAsia" w:ascii="宋体" w:hAnsi="宋体" w:cs="宋体"/>
          <w:b/>
          <w:bCs/>
          <w:color w:val="auto"/>
          <w:sz w:val="24"/>
          <w:highlight w:val="none"/>
        </w:rPr>
        <w:t xml:space="preserve">一、评审方法</w:t>
      </w:r>
      <w:r/>
    </w:p>
    <w:p>
      <w:pPr>
        <w:ind w:left="0" w:firstLine="480"/>
        <w:spacing w:line="360" w:lineRule="auto"/>
        <w:widowControl w:val="off"/>
        <w:rPr>
          <w:rStyle w:val="1071"/>
          <w:rFonts w:hint="eastAsia" w:ascii="宋体" w:hAnsi="宋体" w:cs="宋体"/>
          <w:color w:val="auto"/>
          <w:sz w:val="24"/>
          <w:highlight w:val="none"/>
        </w:rPr>
      </w:pPr>
      <w:r>
        <w:rPr>
          <w:rStyle w:val="1071"/>
          <w:rFonts w:hint="eastAsia" w:ascii="宋体" w:hAnsi="宋体" w:cs="宋体"/>
          <w:color w:val="auto"/>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p>
    <w:p>
      <w:pPr>
        <w:ind w:left="0" w:firstLine="480"/>
        <w:spacing w:line="360" w:lineRule="auto"/>
        <w:widowControl w:val="off"/>
        <w:rPr>
          <w:rStyle w:val="1071"/>
          <w:rFonts w:hint="eastAsia" w:ascii="宋体" w:hAnsi="宋体" w:cs="宋体"/>
          <w:color w:val="auto"/>
          <w:sz w:val="24"/>
          <w:highlight w:val="none"/>
        </w:rPr>
      </w:pPr>
      <w:r>
        <w:rPr>
          <w:rStyle w:val="1071"/>
          <w:rFonts w:hint="eastAsia" w:ascii="宋体" w:hAnsi="宋体" w:cs="宋体"/>
          <w:color w:val="auto"/>
          <w:sz w:val="24"/>
          <w:highlight w:val="none"/>
        </w:rPr>
        <w:t xml:space="preserve">2、评审小组各成员独立对每个进入打分程序的有效磋商供应商的响应文件技术和资质部分以打分的形式进行评审和评价。</w:t>
      </w:r>
      <w:r/>
    </w:p>
    <w:p>
      <w:pPr>
        <w:ind w:left="0" w:firstLine="480"/>
        <w:spacing w:line="360" w:lineRule="auto"/>
        <w:widowControl w:val="off"/>
        <w:rPr>
          <w:rStyle w:val="1071"/>
          <w:rFonts w:hint="eastAsia" w:ascii="宋体" w:hAnsi="宋体" w:cs="宋体"/>
          <w:color w:val="auto"/>
          <w:sz w:val="24"/>
          <w:highlight w:val="none"/>
        </w:rPr>
      </w:pPr>
      <w:r>
        <w:rPr>
          <w:rStyle w:val="1071"/>
          <w:rFonts w:hint="eastAsia" w:ascii="宋体" w:hAnsi="宋体" w:cs="宋体"/>
          <w:color w:val="auto"/>
          <w:sz w:val="24"/>
          <w:highlight w:val="none"/>
        </w:rPr>
        <w:t xml:space="preserve">3、对评委的评分（除价格分外）进行统计汇总，直接算术平均计算出每个磋商供应商的得分，加上价格得分即为每个磋商供应商的综合得分。</w:t>
      </w:r>
      <w:r/>
    </w:p>
    <w:p>
      <w:pPr>
        <w:ind w:left="0" w:firstLine="480"/>
        <w:spacing w:line="360" w:lineRule="auto"/>
        <w:widowControl w:val="off"/>
        <w:rPr>
          <w:rStyle w:val="1071"/>
          <w:rFonts w:hint="eastAsia" w:ascii="宋体" w:hAnsi="宋体" w:cs="宋体"/>
          <w:color w:val="auto"/>
          <w:sz w:val="24"/>
          <w:highlight w:val="none"/>
        </w:rPr>
      </w:pPr>
      <w:r>
        <w:rPr>
          <w:rStyle w:val="1071"/>
          <w:rFonts w:hint="eastAsia" w:ascii="宋体" w:hAnsi="宋体" w:cs="宋体"/>
          <w:color w:val="auto"/>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pStyle w:val="1072"/>
        <w:ind w:left="0" w:firstLine="482"/>
        <w:jc w:val="both"/>
        <w:spacing w:line="360" w:lineRule="auto"/>
        <w:widowControl w:val="off"/>
        <w:rPr>
          <w:rStyle w:val="1071"/>
          <w:rFonts w:hint="eastAsia" w:ascii="宋体" w:hAnsi="宋体" w:cs="宋体"/>
          <w:b/>
          <w:color w:val="auto"/>
          <w:highlight w:val="none"/>
        </w:rPr>
      </w:pPr>
      <w:r>
        <w:rPr>
          <w:rStyle w:val="1071"/>
          <w:rFonts w:hint="eastAsia" w:ascii="宋体" w:hAnsi="宋体" w:cs="宋体"/>
          <w:b/>
          <w:color w:val="auto"/>
          <w:highlight w:val="none"/>
        </w:rPr>
        <w:t xml:space="preserve">二、评分标准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（一）价格基准分：</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第一步：磋商报价低于或等于财政预算价格的，为有效磋商报价。超财政预算的磋商报价文件为未实质性响应文件，不参与评审。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磋商报价得分＝（评标基准价/磋商报价）×10%×100。</w:t>
      </w:r>
      <w:r/>
    </w:p>
    <w:p>
      <w:pPr>
        <w:ind w:left="0" w:firstLine="482"/>
        <w:jc w:val="left"/>
        <w:spacing w:line="348" w:lineRule="auto"/>
        <w:widowControl/>
        <w:rPr>
          <w:rFonts w:hint="default" w:ascii="宋体" w:hAnsi="宋体" w:cs="宋体"/>
          <w:b/>
          <w:bCs/>
          <w:color w:val="auto"/>
          <w:sz w:val="24"/>
          <w:szCs w:val="22"/>
          <w:highlight w:val="none"/>
        </w:rPr>
      </w:pPr>
      <w:r>
        <w:rPr>
          <w:rFonts w:hint="eastAsia" w:ascii="宋体" w:hAnsi="宋体" w:cs="宋体"/>
          <w:b/>
          <w:bCs/>
          <w:color w:val="auto"/>
          <w:sz w:val="24"/>
          <w:szCs w:val="22"/>
          <w:highlight w:val="none"/>
        </w:rPr>
        <w:t xml:space="preserve">（二）</w:t>
      </w:r>
      <w:r>
        <w:rPr>
          <w:rFonts w:hint="eastAsia" w:ascii="宋体" w:hAnsi="宋体" w:cs="宋体"/>
          <w:b/>
          <w:bCs/>
          <w:color w:val="auto"/>
          <w:sz w:val="24"/>
          <w:szCs w:val="22"/>
          <w:highlight w:val="none"/>
          <w:lang w:val="en-US" w:eastAsia="zh-CN"/>
        </w:rPr>
        <w:t xml:space="preserve">技术</w:t>
      </w:r>
      <w:r>
        <w:rPr>
          <w:rFonts w:hint="eastAsia" w:ascii="宋体" w:hAnsi="宋体" w:cs="宋体"/>
          <w:b/>
          <w:bCs/>
          <w:color w:val="auto"/>
          <w:sz w:val="24"/>
          <w:szCs w:val="22"/>
          <w:highlight w:val="none"/>
        </w:rPr>
        <w:t xml:space="preserve">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2"/>
          <w:highlight w:val="none"/>
          <w:lang w:val="en-US" w:eastAsia="zh-CN"/>
        </w:rPr>
        <w:t xml:space="preserve">78</w:t>
      </w:r>
      <w:r>
        <w:rPr>
          <w:rFonts w:hint="eastAsia" w:ascii="宋体" w:hAnsi="宋体" w:cs="宋体"/>
          <w:b/>
          <w:bCs/>
          <w:color w:val="auto"/>
          <w:sz w:val="24"/>
          <w:szCs w:val="22"/>
          <w:highlight w:val="none"/>
        </w:rPr>
        <w:t xml:space="preserve">分</w:t>
      </w:r>
      <w:r/>
    </w:p>
    <w:p>
      <w:pPr>
        <w:ind w:left="0" w:firstLine="480"/>
        <w:spacing w:line="360" w:lineRule="auto"/>
        <w:widowControl w:val="off"/>
        <w:rPr>
          <w:rFonts w:hint="default" w:ascii="宋体" w:hAnsi="宋体"/>
          <w:b w:val="0"/>
          <w:bCs w:val="0"/>
          <w:color w:val="auto"/>
          <w:sz w:val="24"/>
          <w:szCs w:val="22"/>
          <w:highlight w:val="none"/>
        </w:rPr>
      </w:pPr>
      <w:r>
        <w:rPr>
          <w:rFonts w:hint="eastAsia" w:ascii="宋体" w:hAnsi="宋体"/>
          <w:b w:val="0"/>
          <w:bCs w:val="0"/>
          <w:color w:val="auto"/>
          <w:sz w:val="24"/>
          <w:szCs w:val="22"/>
          <w:highlight w:val="none"/>
        </w:rPr>
        <w:t xml:space="preserve">1、对本项目的理解及重难点的把握（18分）</w:t>
      </w:r>
      <w:r/>
    </w:p>
    <w:p>
      <w:pPr>
        <w:ind w:left="0" w:firstLine="480"/>
        <w:spacing w:line="360" w:lineRule="auto"/>
        <w:widowControl w:val="off"/>
        <w:rPr>
          <w:rFonts w:hint="default" w:ascii="宋体" w:hAnsi="宋体"/>
          <w:color w:val="auto"/>
          <w:sz w:val="24"/>
          <w:szCs w:val="22"/>
          <w:highlight w:val="none"/>
        </w:rPr>
      </w:pP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lang w:val="en-US" w:eastAsia="zh-CN"/>
        </w:rPr>
        <w:t xml:space="preserve">1</w:t>
      </w:r>
      <w:r>
        <w:rPr>
          <w:rFonts w:hint="eastAsia" w:ascii="宋体" w:hAnsi="宋体"/>
          <w:color w:val="auto"/>
          <w:sz w:val="24"/>
          <w:szCs w:val="22"/>
          <w:highlight w:val="none"/>
          <w:lang w:eastAsia="zh-CN"/>
        </w:rPr>
        <w:t xml:space="preserve">）</w:t>
      </w:r>
      <w:r>
        <w:rPr>
          <w:rFonts w:hint="eastAsia" w:ascii="宋体" w:hAnsi="宋体"/>
          <w:bCs/>
          <w:color w:val="auto"/>
          <w:sz w:val="24"/>
          <w:szCs w:val="22"/>
          <w:highlight w:val="none"/>
        </w:rPr>
        <w:t xml:space="preserve">响应单位对本项目的理解、分析：对本项目理解透彻、分析科学合理的得9分；对项目基本理解、分析基本合理的得6分；对项目的理解与实际有偏差、分析不到位的得3分；</w:t>
      </w:r>
      <w:r>
        <w:rPr>
          <w:rFonts w:hint="eastAsia" w:ascii="宋体" w:hAnsi="宋体"/>
          <w:bCs/>
          <w:color w:val="auto"/>
          <w:sz w:val="24"/>
          <w:szCs w:val="22"/>
          <w:highlight w:val="none"/>
          <w:lang w:eastAsia="zh-CN"/>
        </w:rPr>
        <w:t xml:space="preserve">其余不得分</w:t>
      </w:r>
      <w:r>
        <w:rPr>
          <w:rFonts w:hint="eastAsia" w:ascii="宋体" w:hAnsi="宋体"/>
          <w:bCs/>
          <w:color w:val="auto"/>
          <w:sz w:val="24"/>
          <w:szCs w:val="22"/>
          <w:highlight w:val="none"/>
        </w:rPr>
        <w:t xml:space="preserve">。</w:t>
      </w:r>
      <w:r/>
    </w:p>
    <w:p>
      <w:pPr>
        <w:ind w:left="0" w:firstLine="480"/>
        <w:spacing w:line="360" w:lineRule="auto"/>
        <w:widowControl w:val="off"/>
        <w:rPr>
          <w:rFonts w:hint="default" w:ascii="宋体" w:hAnsi="宋体"/>
          <w:color w:val="auto"/>
          <w:sz w:val="24"/>
          <w:szCs w:val="22"/>
          <w:highlight w:val="none"/>
        </w:rPr>
      </w:pP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lang w:eastAsia="zh-CN"/>
        </w:rPr>
        <w:t xml:space="preserve">）</w:t>
      </w:r>
      <w:r>
        <w:rPr>
          <w:rFonts w:hint="eastAsia" w:ascii="宋体" w:hAnsi="宋体"/>
          <w:bCs/>
          <w:color w:val="auto"/>
          <w:sz w:val="24"/>
          <w:szCs w:val="22"/>
          <w:highlight w:val="none"/>
        </w:rPr>
        <w:t xml:space="preserve">响应单位对</w:t>
      </w:r>
      <w:r>
        <w:rPr>
          <w:rFonts w:hint="eastAsia" w:ascii="宋体" w:hAnsi="宋体"/>
          <w:color w:val="auto"/>
          <w:sz w:val="24"/>
          <w:szCs w:val="22"/>
          <w:highlight w:val="none"/>
        </w:rPr>
        <w:t xml:space="preserve">本项目重难点的把握和认识及其解决方案</w:t>
      </w:r>
      <w:r>
        <w:rPr>
          <w:rFonts w:hint="eastAsia" w:ascii="宋体" w:hAnsi="宋体"/>
          <w:bCs/>
          <w:color w:val="auto"/>
          <w:sz w:val="24"/>
          <w:szCs w:val="22"/>
          <w:highlight w:val="none"/>
        </w:rPr>
        <w:t xml:space="preserve">：对项目重难点把握精准、解决方案科学合理的得9分；对项目重难点把握基本正确、解决方案基本合理的得6分；对项目重难点把握不到位、解决方案可操作性不强的得3</w:t>
      </w:r>
      <w:r>
        <w:rPr>
          <w:rFonts w:hint="default" w:ascii="宋体" w:hAnsi="宋体"/>
          <w:bCs/>
          <w:color w:val="auto"/>
          <w:sz w:val="24"/>
          <w:szCs w:val="22"/>
          <w:highlight w:val="none"/>
        </w:rPr>
        <w:t xml:space="preserve">分；</w:t>
      </w:r>
      <w:r>
        <w:rPr>
          <w:rFonts w:hint="eastAsia" w:ascii="宋体" w:hAnsi="宋体"/>
          <w:bCs/>
          <w:color w:val="auto"/>
          <w:sz w:val="24"/>
          <w:szCs w:val="22"/>
          <w:highlight w:val="none"/>
          <w:lang w:eastAsia="zh-CN"/>
        </w:rPr>
        <w:t xml:space="preserve">其余不得分</w:t>
      </w:r>
      <w:r>
        <w:rPr>
          <w:rFonts w:hint="eastAsia" w:ascii="宋体" w:hAnsi="宋体"/>
          <w:bCs/>
          <w:color w:val="auto"/>
          <w:sz w:val="24"/>
          <w:szCs w:val="22"/>
          <w:highlight w:val="none"/>
        </w:rPr>
        <w:t xml:space="preserve">。</w:t>
      </w:r>
      <w:r/>
    </w:p>
    <w:p>
      <w:pPr>
        <w:ind w:left="0" w:firstLine="480"/>
        <w:spacing w:line="360" w:lineRule="auto"/>
        <w:widowControl w:val="off"/>
        <w:rPr>
          <w:rFonts w:hint="eastAsia" w:ascii="宋体" w:hAnsi="宋体"/>
          <w:color w:val="auto"/>
          <w:sz w:val="24"/>
          <w:szCs w:val="22"/>
          <w:highlight w:val="none"/>
        </w:rPr>
      </w:pPr>
      <w:r>
        <w:rPr>
          <w:rFonts w:hint="eastAsia" w:ascii="宋体" w:hAnsi="宋体"/>
          <w:color w:val="auto"/>
          <w:sz w:val="24"/>
          <w:szCs w:val="22"/>
          <w:highlight w:val="none"/>
        </w:rPr>
        <w:t xml:space="preserve">2、师资团队组建、管理（27分）</w:t>
      </w:r>
      <w:r/>
    </w:p>
    <w:p>
      <w:pPr>
        <w:ind w:left="0" w:firstLine="480"/>
        <w:spacing w:line="360" w:lineRule="auto"/>
        <w:widowControl w:val="off"/>
        <w:rPr>
          <w:rFonts w:hint="eastAsia" w:ascii="宋体" w:hAnsi="宋体"/>
          <w:color w:val="auto"/>
          <w:sz w:val="24"/>
          <w:szCs w:val="22"/>
          <w:highlight w:val="none"/>
        </w:rPr>
      </w:pP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lang w:val="en-US" w:eastAsia="zh-CN"/>
        </w:rPr>
        <w:t xml:space="preserve">1</w:t>
      </w:r>
      <w:r>
        <w:rPr>
          <w:rFonts w:hint="eastAsia" w:ascii="宋体" w:hAnsi="宋体"/>
          <w:color w:val="auto"/>
          <w:sz w:val="24"/>
          <w:szCs w:val="22"/>
          <w:highlight w:val="none"/>
          <w:lang w:eastAsia="zh-CN"/>
        </w:rPr>
        <w:t xml:space="preserve">）</w:t>
      </w:r>
      <w:r>
        <w:rPr>
          <w:rFonts w:hint="eastAsia" w:ascii="宋体" w:hAnsi="宋体"/>
          <w:bCs/>
          <w:color w:val="auto"/>
          <w:sz w:val="24"/>
          <w:szCs w:val="22"/>
          <w:highlight w:val="none"/>
        </w:rPr>
        <w:t xml:space="preserve">响应单位针对</w:t>
      </w:r>
      <w:r>
        <w:rPr>
          <w:rFonts w:hint="eastAsia" w:ascii="宋体" w:hAnsi="宋体"/>
          <w:color w:val="auto"/>
          <w:sz w:val="24"/>
          <w:szCs w:val="22"/>
          <w:highlight w:val="none"/>
        </w:rPr>
        <w:t xml:space="preserve">本项目的师资团队组建方案、人员实力：方案科学规范、人员综合实力强、可实施性强的得9分；方案较规范、人员综合实力较强、可实施性一般的得6分；方案有所欠缺、人员综合实力一般、可实施性不强的得3分；</w:t>
      </w:r>
      <w:r>
        <w:rPr>
          <w:rFonts w:hint="eastAsia" w:ascii="宋体" w:hAnsi="宋体"/>
          <w:color w:val="auto"/>
          <w:sz w:val="24"/>
          <w:szCs w:val="22"/>
          <w:highlight w:val="none"/>
          <w:lang w:eastAsia="zh-CN"/>
        </w:rPr>
        <w:t xml:space="preserve">其余不得分</w:t>
      </w:r>
      <w:r>
        <w:rPr>
          <w:rFonts w:hint="eastAsia" w:ascii="宋体" w:hAnsi="宋体"/>
          <w:color w:val="auto"/>
          <w:sz w:val="24"/>
          <w:szCs w:val="22"/>
          <w:highlight w:val="none"/>
        </w:rPr>
        <w:t xml:space="preserve">。</w:t>
      </w:r>
      <w:r/>
    </w:p>
    <w:p>
      <w:pPr>
        <w:ind w:left="0" w:firstLine="480"/>
        <w:spacing w:line="360" w:lineRule="auto"/>
        <w:widowControl w:val="off"/>
        <w:rPr>
          <w:rFonts w:hint="default" w:ascii="宋体" w:hAnsi="宋体"/>
          <w:bCs/>
          <w:color w:val="auto"/>
          <w:sz w:val="24"/>
          <w:szCs w:val="22"/>
          <w:highlight w:val="none"/>
        </w:rPr>
      </w:pP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lang w:eastAsia="zh-CN"/>
        </w:rPr>
        <w:t xml:space="preserve">）</w:t>
      </w:r>
      <w:r>
        <w:rPr>
          <w:rFonts w:hint="eastAsia" w:ascii="宋体" w:hAnsi="宋体"/>
          <w:bCs/>
          <w:color w:val="auto"/>
          <w:sz w:val="24"/>
          <w:szCs w:val="22"/>
          <w:highlight w:val="none"/>
        </w:rPr>
        <w:t xml:space="preserve">响应单位针对</w:t>
      </w:r>
      <w:r>
        <w:rPr>
          <w:rFonts w:hint="eastAsia" w:ascii="宋体" w:hAnsi="宋体"/>
          <w:color w:val="auto"/>
          <w:sz w:val="24"/>
          <w:szCs w:val="22"/>
          <w:highlight w:val="none"/>
        </w:rPr>
        <w:t xml:space="preserve">师资团队成员</w:t>
      </w:r>
      <w:r>
        <w:rPr>
          <w:rFonts w:hint="eastAsia" w:ascii="宋体" w:hAnsi="宋体"/>
          <w:bCs/>
          <w:color w:val="auto"/>
          <w:sz w:val="24"/>
          <w:szCs w:val="22"/>
          <w:highlight w:val="none"/>
        </w:rPr>
        <w:t xml:space="preserve">的管理制度：制度规范、与项目契合度高、科学合理的得9分；制度较规范、较为贴合项目需求、总体较合理的得6分；制度条理不清、与项目贴合度不高、合理性一般的得3分；</w:t>
      </w:r>
      <w:r>
        <w:rPr>
          <w:rFonts w:hint="eastAsia" w:ascii="宋体" w:hAnsi="宋体"/>
          <w:bCs/>
          <w:color w:val="auto"/>
          <w:sz w:val="24"/>
          <w:szCs w:val="22"/>
          <w:highlight w:val="none"/>
          <w:lang w:eastAsia="zh-CN"/>
        </w:rPr>
        <w:t xml:space="preserve">其余不得分</w:t>
      </w:r>
      <w:r>
        <w:rPr>
          <w:rFonts w:hint="eastAsia" w:ascii="宋体" w:hAnsi="宋体"/>
          <w:bCs/>
          <w:color w:val="auto"/>
          <w:sz w:val="24"/>
          <w:szCs w:val="22"/>
          <w:highlight w:val="none"/>
        </w:rPr>
        <w:t xml:space="preserve">。</w:t>
      </w:r>
      <w:r/>
    </w:p>
    <w:p>
      <w:pPr>
        <w:ind w:left="0" w:firstLine="480"/>
        <w:spacing w:line="360" w:lineRule="auto"/>
        <w:widowControl w:val="off"/>
        <w:rPr>
          <w:rFonts w:hint="eastAsia" w:ascii="宋体" w:hAnsi="宋体"/>
          <w:color w:val="auto"/>
          <w:sz w:val="24"/>
          <w:szCs w:val="22"/>
          <w:highlight w:val="none"/>
        </w:rPr>
      </w:pP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lang w:eastAsia="zh-CN"/>
        </w:rPr>
        <w:t xml:space="preserve">）</w:t>
      </w:r>
      <w:r>
        <w:rPr>
          <w:rFonts w:hint="eastAsia" w:ascii="宋体" w:hAnsi="宋体"/>
          <w:bCs/>
          <w:color w:val="auto"/>
          <w:sz w:val="24"/>
          <w:szCs w:val="22"/>
          <w:highlight w:val="none"/>
        </w:rPr>
        <w:t xml:space="preserve">响应</w:t>
      </w:r>
      <w:r>
        <w:rPr>
          <w:rFonts w:hint="eastAsia" w:ascii="宋体" w:hAnsi="宋体"/>
          <w:color w:val="auto"/>
          <w:sz w:val="24"/>
          <w:szCs w:val="22"/>
          <w:highlight w:val="none"/>
        </w:rPr>
        <w:t xml:space="preserve">单位对服务过程中可能出现的师资团队成员教学不利、中途离开团队等情况的人员调配方案：方案合理有效、人员调配迅速、对教学完全无影响的得9分；方案基本合理、人员调配较快、对教学略有影响的得6分；方案有一定合理性、人员调配慢、对教学影响较大的得3分；</w:t>
      </w:r>
      <w:r>
        <w:rPr>
          <w:rFonts w:hint="eastAsia" w:ascii="宋体" w:hAnsi="宋体"/>
          <w:color w:val="auto"/>
          <w:sz w:val="24"/>
          <w:szCs w:val="22"/>
          <w:highlight w:val="none"/>
          <w:lang w:eastAsia="zh-CN"/>
        </w:rPr>
        <w:t xml:space="preserve">其余不得分</w:t>
      </w:r>
      <w:r>
        <w:rPr>
          <w:rFonts w:hint="eastAsia" w:ascii="宋体" w:hAnsi="宋体"/>
          <w:color w:val="auto"/>
          <w:sz w:val="24"/>
          <w:szCs w:val="22"/>
          <w:highlight w:val="none"/>
        </w:rPr>
        <w:t xml:space="preserve">。</w:t>
      </w:r>
      <w:r/>
    </w:p>
    <w:p>
      <w:pPr>
        <w:ind w:left="0" w:firstLine="480"/>
        <w:spacing w:line="360" w:lineRule="auto"/>
        <w:widowControl w:val="off"/>
        <w:rPr>
          <w:rFonts w:hint="eastAsia" w:ascii="宋体" w:hAnsi="宋体"/>
          <w:color w:val="auto"/>
          <w:sz w:val="24"/>
          <w:szCs w:val="22"/>
          <w:highlight w:val="none"/>
        </w:rPr>
      </w:pPr>
      <w:r>
        <w:rPr>
          <w:rFonts w:hint="eastAsia" w:ascii="宋体" w:hAnsi="宋体"/>
          <w:color w:val="auto"/>
          <w:sz w:val="24"/>
          <w:szCs w:val="22"/>
          <w:highlight w:val="none"/>
        </w:rPr>
        <w:t xml:space="preserve">3、针对本项目的质量保证及质量管理方法：方案科学合理、内容详细全面、切合实际、针对性及可操作性强的得9分；方案较合理、内容较详细、符合实际、针对性及可操作性较强的得</w:t>
      </w:r>
      <w:r>
        <w:rPr>
          <w:rFonts w:hint="eastAsia" w:ascii="宋体" w:hAnsi="宋体"/>
          <w:color w:val="auto"/>
          <w:sz w:val="24"/>
          <w:szCs w:val="22"/>
          <w:highlight w:val="none"/>
          <w:lang w:val="en-US" w:eastAsia="zh-CN"/>
        </w:rPr>
        <w:t xml:space="preserve">6</w:t>
      </w:r>
      <w:r>
        <w:rPr>
          <w:rFonts w:hint="eastAsia" w:ascii="宋体" w:hAnsi="宋体"/>
          <w:color w:val="auto"/>
          <w:sz w:val="24"/>
          <w:szCs w:val="22"/>
          <w:highlight w:val="none"/>
        </w:rPr>
        <w:t xml:space="preserve">分；方案基本合理、内容较简单、针对性及可操作性一般的得</w:t>
      </w: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分；</w:t>
      </w:r>
      <w:r>
        <w:rPr>
          <w:rFonts w:hint="eastAsia" w:ascii="宋体" w:hAnsi="宋体"/>
          <w:color w:val="auto"/>
          <w:sz w:val="24"/>
          <w:szCs w:val="22"/>
          <w:highlight w:val="none"/>
          <w:lang w:eastAsia="zh-CN"/>
        </w:rPr>
        <w:t xml:space="preserve">其余不得分</w:t>
      </w:r>
      <w:r>
        <w:rPr>
          <w:rFonts w:hint="eastAsia" w:ascii="宋体" w:hAnsi="宋体"/>
          <w:color w:val="auto"/>
          <w:sz w:val="24"/>
          <w:szCs w:val="22"/>
          <w:highlight w:val="none"/>
        </w:rPr>
        <w:t xml:space="preserve">。</w:t>
      </w:r>
      <w:r/>
    </w:p>
    <w:p>
      <w:pPr>
        <w:ind w:left="0" w:firstLine="480"/>
        <w:spacing w:line="360" w:lineRule="auto"/>
        <w:widowControl w:val="off"/>
        <w:rPr>
          <w:rFonts w:hint="eastAsia" w:ascii="宋体" w:hAnsi="宋体"/>
          <w:color w:val="auto"/>
          <w:sz w:val="24"/>
          <w:szCs w:val="22"/>
          <w:highlight w:val="none"/>
        </w:rPr>
      </w:pPr>
      <w:r>
        <w:rPr>
          <w:rFonts w:hint="eastAsia" w:ascii="宋体" w:hAnsi="宋体"/>
          <w:color w:val="auto"/>
          <w:sz w:val="24"/>
          <w:szCs w:val="22"/>
          <w:highlight w:val="none"/>
        </w:rPr>
        <w:t xml:space="preserve">4、针对本项目协调配合方案：内容描述详细全面、切合实际、可操作性强的得9分；内容描述较详细、符合实际、可操作性较强的得</w:t>
      </w:r>
      <w:r>
        <w:rPr>
          <w:rFonts w:hint="eastAsia" w:ascii="宋体" w:hAnsi="宋体"/>
          <w:color w:val="auto"/>
          <w:sz w:val="24"/>
          <w:szCs w:val="22"/>
          <w:highlight w:val="none"/>
          <w:lang w:val="en-US" w:eastAsia="zh-CN"/>
        </w:rPr>
        <w:t xml:space="preserve">6</w:t>
      </w:r>
      <w:r>
        <w:rPr>
          <w:rFonts w:hint="eastAsia" w:ascii="宋体" w:hAnsi="宋体"/>
          <w:color w:val="auto"/>
          <w:sz w:val="24"/>
          <w:szCs w:val="22"/>
          <w:highlight w:val="none"/>
        </w:rPr>
        <w:t xml:space="preserve">分；内容描述较简单、可操作性一般的得</w:t>
      </w: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分；</w:t>
      </w:r>
      <w:r>
        <w:rPr>
          <w:rFonts w:hint="eastAsia" w:ascii="宋体" w:hAnsi="宋体"/>
          <w:color w:val="auto"/>
          <w:sz w:val="24"/>
          <w:szCs w:val="22"/>
          <w:highlight w:val="none"/>
          <w:lang w:eastAsia="zh-CN"/>
        </w:rPr>
        <w:t xml:space="preserve">其余不得分</w:t>
      </w:r>
      <w:r>
        <w:rPr>
          <w:rFonts w:hint="eastAsia" w:ascii="宋体" w:hAnsi="宋体"/>
          <w:color w:val="auto"/>
          <w:sz w:val="24"/>
          <w:szCs w:val="22"/>
          <w:highlight w:val="none"/>
        </w:rPr>
        <w:t xml:space="preserve">。</w:t>
      </w:r>
      <w:r/>
    </w:p>
    <w:p>
      <w:pPr>
        <w:ind w:left="0" w:firstLine="480"/>
        <w:spacing w:line="360" w:lineRule="auto"/>
        <w:widowControl w:val="off"/>
        <w:rPr>
          <w:rFonts w:hint="eastAsia" w:ascii="宋体" w:hAnsi="宋体"/>
          <w:color w:val="auto"/>
          <w:sz w:val="24"/>
          <w:szCs w:val="22"/>
          <w:highlight w:val="none"/>
        </w:rPr>
      </w:pPr>
      <w:r>
        <w:rPr>
          <w:rFonts w:hint="eastAsia" w:ascii="宋体" w:hAnsi="宋体"/>
          <w:color w:val="auto"/>
          <w:sz w:val="24"/>
          <w:szCs w:val="22"/>
          <w:highlight w:val="none"/>
        </w:rPr>
        <w:t xml:space="preserve">5、响应单位内部管理、考核制度：制度规范、针对性及可实施性强的得9分；制度较规范、针对性及可实施性较强的得</w:t>
      </w:r>
      <w:r>
        <w:rPr>
          <w:rFonts w:hint="eastAsia" w:ascii="宋体" w:hAnsi="宋体"/>
          <w:color w:val="auto"/>
          <w:sz w:val="24"/>
          <w:szCs w:val="22"/>
          <w:highlight w:val="none"/>
          <w:lang w:val="en-US" w:eastAsia="zh-CN"/>
        </w:rPr>
        <w:t xml:space="preserve">6</w:t>
      </w:r>
      <w:r>
        <w:rPr>
          <w:rFonts w:hint="eastAsia" w:ascii="宋体" w:hAnsi="宋体"/>
          <w:color w:val="auto"/>
          <w:sz w:val="24"/>
          <w:szCs w:val="22"/>
          <w:highlight w:val="none"/>
        </w:rPr>
        <w:t xml:space="preserve">分；制度基本规范、针对性及可实施性一般的得</w:t>
      </w: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分；</w:t>
      </w:r>
      <w:r>
        <w:rPr>
          <w:rFonts w:hint="eastAsia" w:ascii="宋体" w:hAnsi="宋体"/>
          <w:color w:val="auto"/>
          <w:sz w:val="24"/>
          <w:szCs w:val="22"/>
          <w:highlight w:val="none"/>
          <w:lang w:eastAsia="zh-CN"/>
        </w:rPr>
        <w:t xml:space="preserve">其余不得分</w:t>
      </w:r>
      <w:r>
        <w:rPr>
          <w:rFonts w:hint="eastAsia" w:ascii="宋体" w:hAnsi="宋体"/>
          <w:color w:val="auto"/>
          <w:sz w:val="24"/>
          <w:szCs w:val="22"/>
          <w:highlight w:val="none"/>
        </w:rPr>
        <w:t xml:space="preserve">。</w:t>
      </w:r>
      <w:r/>
    </w:p>
    <w:p>
      <w:pPr>
        <w:ind w:left="0" w:firstLine="480"/>
        <w:jc w:val="left"/>
        <w:spacing w:line="348"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w:t>
      </w:r>
      <w:r>
        <w:rPr>
          <w:rFonts w:hint="eastAsia" w:ascii="宋体" w:hAnsi="宋体"/>
          <w:color w:val="auto"/>
          <w:sz w:val="24"/>
          <w:szCs w:val="22"/>
          <w:highlight w:val="none"/>
        </w:rPr>
        <w:t xml:space="preserve">针对本项目的合理化建议评价：建议合理且契合本项目实施得</w:t>
      </w:r>
      <w:r>
        <w:rPr>
          <w:rFonts w:hint="eastAsia" w:ascii="宋体" w:hAnsi="宋体"/>
          <w:color w:val="auto"/>
          <w:sz w:val="24"/>
          <w:szCs w:val="22"/>
          <w:highlight w:val="none"/>
          <w:lang w:val="en-US" w:eastAsia="zh-CN"/>
        </w:rPr>
        <w:t xml:space="preserve">6</w:t>
      </w:r>
      <w:r>
        <w:rPr>
          <w:rFonts w:hint="eastAsia" w:ascii="宋体" w:hAnsi="宋体"/>
          <w:color w:val="auto"/>
          <w:sz w:val="24"/>
          <w:szCs w:val="22"/>
          <w:highlight w:val="none"/>
        </w:rPr>
        <w:t xml:space="preserve">分；建议基本可行</w:t>
      </w:r>
      <w:r>
        <w:rPr>
          <w:rFonts w:hint="eastAsia" w:ascii="宋体" w:hAnsi="宋体"/>
          <w:color w:val="auto"/>
          <w:sz w:val="24"/>
          <w:szCs w:val="22"/>
          <w:highlight w:val="none"/>
          <w:lang w:eastAsia="zh-CN"/>
        </w:rPr>
        <w:t xml:space="preserve">，</w:t>
      </w:r>
      <w:r>
        <w:rPr>
          <w:rFonts w:hint="eastAsia" w:ascii="宋体" w:hAnsi="宋体"/>
          <w:color w:val="auto"/>
          <w:sz w:val="24"/>
          <w:szCs w:val="22"/>
          <w:highlight w:val="none"/>
        </w:rPr>
        <w:t xml:space="preserve">较为契合项目实施的得</w:t>
      </w:r>
      <w:r>
        <w:rPr>
          <w:rFonts w:hint="eastAsia" w:ascii="宋体" w:hAnsi="宋体"/>
          <w:color w:val="auto"/>
          <w:sz w:val="24"/>
          <w:szCs w:val="22"/>
          <w:highlight w:val="none"/>
          <w:lang w:val="en-US" w:eastAsia="zh-CN"/>
        </w:rPr>
        <w:t xml:space="preserve">4</w:t>
      </w:r>
      <w:r>
        <w:rPr>
          <w:rFonts w:hint="eastAsia" w:ascii="宋体" w:hAnsi="宋体"/>
          <w:color w:val="auto"/>
          <w:sz w:val="24"/>
          <w:szCs w:val="22"/>
          <w:highlight w:val="none"/>
        </w:rPr>
        <w:t xml:space="preserve">分；建议可行性一般、与项目契合度一般的</w:t>
      </w: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分；</w:t>
      </w:r>
      <w:r>
        <w:rPr>
          <w:rFonts w:hint="eastAsia" w:ascii="宋体" w:hAnsi="宋体"/>
          <w:color w:val="auto"/>
          <w:sz w:val="24"/>
          <w:szCs w:val="22"/>
          <w:highlight w:val="none"/>
          <w:lang w:eastAsia="zh-CN"/>
        </w:rPr>
        <w:t xml:space="preserve">其余不得分</w:t>
      </w:r>
      <w:r>
        <w:rPr>
          <w:rFonts w:hint="eastAsia" w:ascii="宋体" w:hAnsi="宋体"/>
          <w:color w:val="auto"/>
          <w:sz w:val="24"/>
          <w:szCs w:val="22"/>
          <w:highlight w:val="none"/>
        </w:rPr>
        <w:t xml:space="preserve">。</w:t>
      </w:r>
      <w:r/>
    </w:p>
    <w:p>
      <w:pPr>
        <w:ind w:left="0" w:firstLine="482"/>
        <w:spacing w:line="360" w:lineRule="auto"/>
        <w:widowControl w:val="off"/>
        <w:rPr>
          <w:rFonts w:hint="default" w:ascii="宋体" w:hAnsi="宋体"/>
          <w:b/>
          <w:color w:val="auto"/>
          <w:sz w:val="24"/>
          <w:szCs w:val="22"/>
          <w:highlight w:val="none"/>
        </w:rPr>
      </w:pPr>
      <w:r>
        <w:rPr>
          <w:rFonts w:hint="eastAsia" w:ascii="宋体" w:hAnsi="宋体"/>
          <w:b/>
          <w:color w:val="auto"/>
          <w:sz w:val="24"/>
          <w:szCs w:val="22"/>
          <w:highlight w:val="none"/>
        </w:rPr>
        <w:t xml:space="preserve">（三）综合实力比较</w:t>
      </w:r>
      <w:r>
        <w:rPr>
          <w:rFonts w:hint="eastAsia" w:ascii="宋体" w:hAnsi="宋体"/>
          <w:b/>
          <w:color w:val="auto"/>
          <w:sz w:val="24"/>
          <w:szCs w:val="22"/>
          <w:highlight w:val="none"/>
          <w:lang w:eastAsia="zh-CN"/>
        </w:rPr>
        <w:t xml:space="preserve">：</w:t>
      </w:r>
      <w:r>
        <w:rPr>
          <w:rFonts w:hint="eastAsia" w:ascii="宋体" w:hAnsi="宋体"/>
          <w:b/>
          <w:color w:val="auto"/>
          <w:sz w:val="24"/>
          <w:szCs w:val="22"/>
          <w:highlight w:val="none"/>
          <w:lang w:val="en-US" w:eastAsia="zh-CN"/>
        </w:rPr>
        <w:t xml:space="preserve">12</w:t>
      </w:r>
      <w:r>
        <w:rPr>
          <w:rFonts w:hint="eastAsia" w:ascii="宋体" w:hAnsi="宋体"/>
          <w:b/>
          <w:color w:val="auto"/>
          <w:sz w:val="24"/>
          <w:szCs w:val="22"/>
          <w:highlight w:val="none"/>
        </w:rPr>
        <w:t xml:space="preserve">分</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2"/>
          <w:highlight w:val="none"/>
          <w:lang w:val="en-US" w:eastAsia="zh-CN"/>
        </w:rPr>
        <w:t xml:space="preserve">响应单位</w:t>
      </w:r>
      <w:r>
        <w:rPr>
          <w:rFonts w:hint="eastAsia" w:ascii="宋体" w:hAnsi="宋体" w:eastAsia="宋体" w:cs="宋体"/>
          <w:color w:val="auto"/>
          <w:sz w:val="24"/>
          <w:szCs w:val="22"/>
          <w:highlight w:val="none"/>
          <w:lang w:val="en-US" w:eastAsia="zh-CN"/>
        </w:rPr>
        <w:t xml:space="preserve">自2021年1月1日以来承担过的类似业绩，每提供一份得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分，最高得</w:t>
      </w:r>
      <w:r>
        <w:rPr>
          <w:rFonts w:hint="eastAsia" w:ascii="宋体" w:hAnsi="宋体" w:cs="宋体"/>
          <w:color w:val="auto"/>
          <w:sz w:val="24"/>
          <w:szCs w:val="22"/>
          <w:highlight w:val="none"/>
          <w:lang w:val="en-US" w:eastAsia="zh-CN"/>
        </w:rPr>
        <w:t xml:space="preserve">12</w:t>
      </w:r>
      <w:r>
        <w:rPr>
          <w:rFonts w:hint="eastAsia" w:ascii="宋体" w:hAnsi="宋体" w:eastAsia="宋体" w:cs="宋体"/>
          <w:color w:val="auto"/>
          <w:sz w:val="24"/>
          <w:szCs w:val="22"/>
          <w:highlight w:val="none"/>
          <w:lang w:val="en-US" w:eastAsia="zh-CN"/>
        </w:rPr>
        <w:t xml:space="preserve">分。</w:t>
      </w:r>
      <w:r/>
    </w:p>
    <w:p>
      <w:pPr>
        <w:ind w:left="0" w:firstLine="482"/>
        <w:jc w:val="both"/>
        <w:keepLines w:val="0"/>
        <w:keepNext w:val="0"/>
        <w:pageBreakBefore w:val="0"/>
        <w:spacing w:line="360" w:lineRule="auto"/>
        <w:widowControl w:val="off"/>
        <w:rPr>
          <w:rFonts w:hint="eastAsia" w:ascii="宋体" w:hAnsi="宋体" w:eastAsia="宋体" w:cs="宋体"/>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注：①时间以合同签订日期为准；②响应文件中提供合同复印件。</w:t>
      </w:r>
      <w:r>
        <w:rPr>
          <w:rFonts w:hint="eastAsia" w:ascii="宋体" w:hAnsi="宋体" w:eastAsia="宋体" w:cs="宋体"/>
          <w:b/>
          <w:bCs/>
          <w:color w:val="auto"/>
          <w:sz w:val="24"/>
          <w:szCs w:val="22"/>
          <w:highlight w:val="none"/>
          <w:lang w:val="en-US" w:eastAsia="zh-CN"/>
        </w:rPr>
        <w:t xml:space="preserve">材料未提供或提供不全或提供材料无法认定的，则此项不得分。</w:t>
      </w:r>
      <w:r/>
    </w:p>
    <w:p>
      <w:pPr>
        <w:ind w:left="0" w:firstLine="482"/>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0" w:firstLine="482"/>
        <w:spacing w:line="360" w:lineRule="auto"/>
        <w:widowControl w:val="off"/>
        <w:rPr>
          <w:rStyle w:val="1071"/>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注：针对评分标准中评分的每一条，响应</w:t>
      </w:r>
      <w:r>
        <w:rPr>
          <w:rFonts w:hint="eastAsia" w:ascii="宋体" w:hAnsi="宋体" w:cs="宋体"/>
          <w:b/>
          <w:color w:val="auto"/>
          <w:sz w:val="24"/>
          <w:szCs w:val="24"/>
          <w:highlight w:val="none"/>
          <w:lang w:val="en-US" w:eastAsia="zh-CN"/>
        </w:rPr>
        <w:t xml:space="preserve">单位</w:t>
      </w:r>
      <w:r>
        <w:rPr>
          <w:rFonts w:hint="eastAsia" w:ascii="宋体" w:hAnsi="宋体" w:cs="宋体"/>
          <w:b/>
          <w:color w:val="auto"/>
          <w:sz w:val="24"/>
          <w:szCs w:val="24"/>
          <w:highlight w:val="none"/>
        </w:rPr>
        <w:t xml:space="preserve">在响应文件中均应提供清晰明了的相关资料并做出相应说明供评委评判，不提供相关资料的视为不具备该项得分的条件。</w:t>
      </w:r>
      <w:r/>
    </w:p>
    <w:p>
      <w:pPr>
        <w:ind w:left="0" w:firstLine="482"/>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2"/>
        <w:jc w:val="righ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footerReference w:type="default" r:id="rId18"/>
      <w:footerReference w:type="first" r:id="rId19"/>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Courier New">
    <w:panose1 w:val="02070309020205020404"/>
  </w:font>
  <w:font w:name="等线">
    <w:panose1 w:val="02010600030101010101"/>
  </w:font>
  <w:font w:name="仿宋">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59"/>
      </w:rPr>
      <w:framePr w:wrap="around" w:vAnchor="text" w:hAnchor="margin" w:xAlign="center" w:y="1"/>
    </w:pPr>
    <w:r>
      <w:rPr>
        <w:rStyle w:val="1059"/>
      </w:rPr>
      <w:fldChar w:fldCharType="begin"/>
    </w:r>
    <w:r>
      <w:rPr>
        <w:rStyle w:val="1059"/>
      </w:rPr>
      <w:instrText xml:space="preserve"> PAGE </w:instrText>
    </w:r>
    <w:r>
      <w:rPr>
        <w:rStyle w:val="1059"/>
      </w:rPr>
      <w:fldChar w:fldCharType="end"/>
    </w:r>
    <w:r/>
  </w:p>
  <w:p>
    <w:pPr>
      <w:pStyle w:val="10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center"/>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center"/>
      <w:rPr>
        <w:rFonts w:ascii="Times New Roman" w:hAnsi="Times New Roman"/>
        <w:sz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2384425</wp:posOffset>
              </wp:positionH>
              <wp:positionV relativeFrom="paragraph">
                <wp:posOffset>-126365</wp:posOffset>
              </wp:positionV>
              <wp:extent cx="1494155" cy="21844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w="6350">
                        <a:noFill/>
                      </a:ln>
                    </wps:spPr>
                    <wps:txbx>
                      <w:txbxContent>
                        <w:p>
                          <w:pPr>
                            <w:pStyle w:val="1050"/>
                            <w:ind w:firstLine="0"/>
                          </w:pPr>
                          <w:r>
                            <w:t xml:space="preserve">第 </w:t>
                          </w:r>
                          <w:r>
                            <w:fldChar w:fldCharType="begin"/>
                          </w:r>
                          <w:r>
                            <w:instrText xml:space="preserve"> PAGE  \* MERGEFORMAT </w:instrText>
                          </w:r>
                          <w:r>
                            <w:fldChar w:fldCharType="separate"/>
                          </w:r>
                          <w:r>
                            <w:t xml:space="preserve">53</w:t>
                          </w:r>
                          <w:r>
                            <w:fldChar w:fldCharType="end"/>
                          </w:r>
                          <w:r>
                            <w:t xml:space="preserve"> 页 共 </w:t>
                          </w:r>
                          <w:r>
                            <w:rPr>
                              <w:rFonts w:hint="eastAsia"/>
                              <w:lang w:val="en-US" w:eastAsia="zh-CN"/>
                            </w:rPr>
                            <w:t xml:space="preserve">43</w:t>
                          </w:r>
                          <w: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argin-left:187.8pt;mso-position-horizontal:absolute;mso-position-vertical-relative:text;margin-top:-9.9pt;mso-position-vertical:absolute;width:117.6pt;height:17.2pt;mso-wrap-distance-left:9.0pt;mso-wrap-distance-top:0.0pt;mso-wrap-distance-right:9.0pt;mso-wrap-distance-bottom:0.0pt;visibility:visible;" filled="f" stroked="f" strokeweight="0.50pt">
              <v:textbox inset="0,0,0,0">
                <w:txbxContent>
                  <w:p>
                    <w:pPr>
                      <w:pStyle w:val="1050"/>
                      <w:ind w:firstLine="0"/>
                    </w:pPr>
                    <w:r>
                      <w:t xml:space="preserve">第 </w:t>
                    </w:r>
                    <w:r>
                      <w:fldChar w:fldCharType="begin"/>
                    </w:r>
                    <w:r>
                      <w:instrText xml:space="preserve"> PAGE  \* MERGEFORMAT </w:instrText>
                    </w:r>
                    <w:r>
                      <w:fldChar w:fldCharType="separate"/>
                    </w:r>
                    <w:r>
                      <w:t xml:space="preserve">53</w:t>
                    </w:r>
                    <w:r>
                      <w:fldChar w:fldCharType="end"/>
                    </w:r>
                    <w:r>
                      <w:t xml:space="preserve"> 页 共 </w:t>
                    </w:r>
                    <w:r>
                      <w:rPr>
                        <w:rFonts w:hint="eastAsia"/>
                        <w:lang w:val="en-US" w:eastAsia="zh-CN"/>
                      </w:rPr>
                      <w:t xml:space="preserve">43</w:t>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0"/>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0"/>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JSZC-320507-SHYS-C2024-0068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left"/>
      <w:rPr>
        <w:rFonts w:hint="eastAsia"/>
      </w:rPr>
      <w:pBdr>
        <w:bottom w:val="single" w:color="000000" w:sz="4" w:space="0"/>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jc w:val="center"/>
      <w:tabs>
        <w:tab w:val="center" w:pos="4153" w:leader="none"/>
        <w:tab w:val="right" w:pos="8640" w:leader="none"/>
      </w:tabs>
      <w:rPr>
        <w:rFonts w:hint="eastAsia" w:ascii="宋体" w:hAnsi="宋体" w:eastAsia="宋体"/>
        <w:sz w:val="18"/>
        <w:highlight w:val="none"/>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ascii="宋体" w:hAnsi="宋体"/>
        <w:sz w:val="18"/>
        <w:highlight w:val="none"/>
      </w:rPr>
      <w:t xml:space="preserve"> </w:t>
    </w: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JSZC-320507-SHYS-C2024-0068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left="0" w:firstLine="0"/>
      <w:shd w:val="clear" w:color="auto"/>
      <w:tabs>
        <w:tab w:val="clear" w:pos="7143" w:leader="none"/>
        <w:tab w:val="clear" w:pos="14287" w:leader="none"/>
      </w:tabs>
      <w:rPr>
        <w:rFonts w:hint="eastAsia"/>
      </w:rPr>
    </w:pPr>
    <w:r>
      <w:rPr>
        <w:rFonts w:hint="eastAsia" w:ascii="宋体" w:hAnsi="宋体"/>
        <w:sz w:val="18"/>
      </w:rPr>
      <w:t xml:space="preserve">苏州合亿盛工程咨询有限公司 </w:t>
    </w:r>
    <w:r>
      <w:rPr>
        <w:rFonts w:ascii="宋体" w:hAnsi="宋体"/>
        <w:sz w:val="18"/>
      </w:rPr>
      <w:t xml:space="preserve">         </w:t>
    </w:r>
    <w:r>
      <w:rPr>
        <w:rFonts w:ascii="宋体" w:hAnsi="宋体"/>
        <w:sz w:val="18"/>
        <w:highlight w:val="none"/>
      </w:rPr>
      <w:t xml:space="preserve">       </w:t>
    </w:r>
    <w:r>
      <w:rPr>
        <w:rFonts w:hint="eastAsia" w:ascii="宋体" w:hAnsi="宋体"/>
        <w:sz w:val="18"/>
        <w:highlight w:val="none"/>
        <w:lang w:val="en-US" w:eastAsia="zh-CN"/>
      </w:rPr>
      <w:t xml:space="preserve">            </w:t>
    </w:r>
    <w:r>
      <w:rPr>
        <w:rFonts w:ascii="宋体" w:hAnsi="宋体"/>
        <w:sz w:val="18"/>
        <w:highlight w:val="none"/>
      </w:rPr>
      <w:t xml:space="preserve">      </w:t>
    </w:r>
    <w:r>
      <w:rPr>
        <w:rFonts w:hint="eastAsia" w:ascii="宋体" w:hAnsi="宋体"/>
        <w:sz w:val="18"/>
        <w:highlight w:val="none"/>
      </w:rPr>
      <w:t xml:space="preserve"> </w:t>
    </w:r>
    <w:r>
      <w:rPr>
        <w:rFonts w:hint="eastAsia" w:ascii="宋体" w:hAnsi="宋体"/>
        <w:sz w:val="18"/>
        <w:highlight w:val="none"/>
        <w:lang w:val="en-US" w:eastAsia="zh-CN"/>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JSZC-320507-SHYS-C2024-0068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link w:val="1071"/>
    <w:uiPriority w:val="0"/>
    <w:qFormat/>
    <w:pPr>
      <w:ind w:left="1024"/>
      <w:jc w:val="both"/>
    </w:pPr>
    <w:rPr>
      <w:rFonts w:hint="default" w:ascii="Calibri" w:hAnsi="Calibri" w:eastAsia="宋体" w:cs="Times New Roman"/>
      <w:lang w:val="en-US" w:eastAsia="zh-CN" w:bidi="ar-SA"/>
    </w:rPr>
  </w:style>
  <w:style w:type="paragraph" w:styleId="850">
    <w:name w:val="Heading 1"/>
    <w:basedOn w:val="849"/>
    <w:next w:val="849"/>
    <w:link w:val="889"/>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890"/>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891"/>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892"/>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893"/>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894"/>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896"/>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897"/>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right="0" w:firstLine="0"/>
      <w:spacing w:after="57"/>
    </w:pPr>
  </w:style>
  <w:style w:type="paragraph" w:styleId="862">
    <w:name w:val="Normal Indent"/>
    <w:basedOn w:val="849"/>
    <w:next w:val="849"/>
    <w:uiPriority w:val="0"/>
    <w:qFormat/>
    <w:pPr>
      <w:ind w:left="420" w:firstLine="4772"/>
    </w:pPr>
  </w:style>
  <w:style w:type="paragraph" w:styleId="863">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Body Text"/>
    <w:basedOn w:val="849"/>
    <w:uiPriority w:val="0"/>
    <w:semiHidden/>
    <w:qFormat/>
    <w:rPr>
      <w:rFonts w:ascii="仿宋" w:hAnsi="仿宋" w:eastAsia="仿宋" w:cs="仿宋"/>
      <w:sz w:val="22"/>
      <w:szCs w:val="22"/>
      <w:lang w:val="en-US" w:eastAsia="en-US" w:bidi="ar-SA"/>
    </w:rPr>
  </w:style>
  <w:style w:type="paragraph" w:styleId="865">
    <w:name w:val="Body Text Indent"/>
    <w:basedOn w:val="849"/>
    <w:next w:val="866"/>
    <w:uiPriority w:val="0"/>
    <w:qFormat/>
    <w:pPr>
      <w:ind w:left="420" w:firstLine="1188"/>
      <w:spacing w:before="0" w:after="0" w:line="360" w:lineRule="exact"/>
    </w:pPr>
  </w:style>
  <w:style w:type="paragraph" w:styleId="866">
    <w:name w:val="envelope return"/>
    <w:basedOn w:val="849"/>
    <w:uiPriority w:val="99"/>
    <w:unhideWhenUsed/>
    <w:qFormat/>
    <w:rPr>
      <w:rFonts w:ascii="Arial" w:hAnsi="Arial"/>
    </w:rPr>
  </w:style>
  <w:style w:type="paragraph" w:styleId="867">
    <w:name w:val="toc 5"/>
    <w:basedOn w:val="849"/>
    <w:next w:val="849"/>
    <w:uiPriority w:val="39"/>
    <w:unhideWhenUsed/>
    <w:qFormat/>
    <w:pPr>
      <w:ind w:left="1134" w:right="0" w:firstLine="0"/>
      <w:spacing w:after="57"/>
    </w:pPr>
  </w:style>
  <w:style w:type="paragraph" w:styleId="868">
    <w:name w:val="toc 3"/>
    <w:basedOn w:val="849"/>
    <w:next w:val="849"/>
    <w:uiPriority w:val="39"/>
    <w:unhideWhenUsed/>
    <w:qFormat/>
    <w:pPr>
      <w:ind w:left="567" w:right="0" w:firstLine="0"/>
      <w:spacing w:after="57"/>
    </w:pPr>
  </w:style>
  <w:style w:type="paragraph" w:styleId="869">
    <w:name w:val="toc 8"/>
    <w:basedOn w:val="849"/>
    <w:next w:val="849"/>
    <w:uiPriority w:val="39"/>
    <w:unhideWhenUsed/>
    <w:qFormat/>
    <w:pPr>
      <w:ind w:left="1984" w:right="0" w:firstLine="0"/>
      <w:spacing w:after="57"/>
    </w:pPr>
  </w:style>
  <w:style w:type="paragraph" w:styleId="870">
    <w:name w:val="endnote text"/>
    <w:basedOn w:val="849"/>
    <w:link w:val="1035"/>
    <w:uiPriority w:val="99"/>
    <w:semiHidden/>
    <w:unhideWhenUsed/>
    <w:qFormat/>
    <w:pPr>
      <w:spacing w:after="0" w:line="240" w:lineRule="auto"/>
    </w:pPr>
    <w:rPr>
      <w:sz w:val="20"/>
    </w:rPr>
  </w:style>
  <w:style w:type="paragraph" w:styleId="871">
    <w:name w:val="Footer"/>
    <w:basedOn w:val="849"/>
    <w:link w:val="908"/>
    <w:uiPriority w:val="99"/>
    <w:unhideWhenUsed/>
    <w:qFormat/>
    <w:pPr>
      <w:spacing w:after="0" w:line="240" w:lineRule="auto"/>
      <w:tabs>
        <w:tab w:val="center" w:pos="7143" w:leader="none"/>
        <w:tab w:val="right" w:pos="14287" w:leader="none"/>
      </w:tabs>
    </w:pPr>
  </w:style>
  <w:style w:type="paragraph" w:styleId="872">
    <w:name w:val="Header"/>
    <w:basedOn w:val="849"/>
    <w:link w:val="906"/>
    <w:uiPriority w:val="99"/>
    <w:unhideWhenUsed/>
    <w:qFormat/>
    <w:pPr>
      <w:spacing w:after="0" w:line="240" w:lineRule="auto"/>
      <w:tabs>
        <w:tab w:val="center" w:pos="7143" w:leader="none"/>
        <w:tab w:val="right" w:pos="14287" w:leader="none"/>
      </w:tabs>
    </w:pPr>
  </w:style>
  <w:style w:type="paragraph" w:styleId="873">
    <w:name w:val="toc 1"/>
    <w:basedOn w:val="849"/>
    <w:next w:val="849"/>
    <w:uiPriority w:val="39"/>
    <w:unhideWhenUsed/>
    <w:qFormat/>
    <w:pPr>
      <w:ind w:left="0" w:right="0" w:firstLine="0"/>
      <w:spacing w:after="57"/>
    </w:pPr>
  </w:style>
  <w:style w:type="paragraph" w:styleId="874">
    <w:name w:val="toc 4"/>
    <w:basedOn w:val="849"/>
    <w:next w:val="849"/>
    <w:uiPriority w:val="39"/>
    <w:unhideWhenUsed/>
    <w:qFormat/>
    <w:pPr>
      <w:ind w:left="850" w:right="0" w:firstLine="0"/>
      <w:spacing w:after="57"/>
    </w:pPr>
  </w:style>
  <w:style w:type="paragraph" w:styleId="875">
    <w:name w:val="Subtitle"/>
    <w:basedOn w:val="849"/>
    <w:next w:val="849"/>
    <w:link w:val="901"/>
    <w:uiPriority w:val="11"/>
    <w:qFormat/>
    <w:pPr>
      <w:spacing w:before="200" w:after="200"/>
    </w:pPr>
    <w:rPr>
      <w:sz w:val="24"/>
      <w:szCs w:val="24"/>
    </w:rPr>
  </w:style>
  <w:style w:type="paragraph" w:styleId="876">
    <w:name w:val="footnote text"/>
    <w:basedOn w:val="849"/>
    <w:link w:val="1034"/>
    <w:uiPriority w:val="99"/>
    <w:semiHidden/>
    <w:unhideWhenUsed/>
    <w:qFormat/>
    <w:pPr>
      <w:spacing w:after="40" w:line="240" w:lineRule="auto"/>
    </w:pPr>
    <w:rPr>
      <w:sz w:val="18"/>
    </w:rPr>
  </w:style>
  <w:style w:type="paragraph" w:styleId="877">
    <w:name w:val="toc 6"/>
    <w:basedOn w:val="849"/>
    <w:next w:val="849"/>
    <w:uiPriority w:val="39"/>
    <w:unhideWhenUsed/>
    <w:qFormat/>
    <w:pPr>
      <w:ind w:left="1417" w:right="0" w:firstLine="0"/>
      <w:spacing w:after="57"/>
    </w:pPr>
  </w:style>
  <w:style w:type="paragraph" w:styleId="878">
    <w:name w:val="table of figures"/>
    <w:basedOn w:val="849"/>
    <w:next w:val="849"/>
    <w:uiPriority w:val="99"/>
    <w:unhideWhenUsed/>
    <w:qFormat/>
    <w:pPr>
      <w:spacing w:after="0" w:afterAutospacing="0"/>
    </w:pPr>
  </w:style>
  <w:style w:type="paragraph" w:styleId="879">
    <w:name w:val="toc 2"/>
    <w:basedOn w:val="849"/>
    <w:next w:val="849"/>
    <w:uiPriority w:val="39"/>
    <w:unhideWhenUsed/>
    <w:qFormat/>
    <w:pPr>
      <w:ind w:left="283" w:right="0" w:firstLine="0"/>
      <w:spacing w:after="57"/>
    </w:pPr>
  </w:style>
  <w:style w:type="paragraph" w:styleId="880">
    <w:name w:val="toc 9"/>
    <w:basedOn w:val="849"/>
    <w:next w:val="849"/>
    <w:uiPriority w:val="39"/>
    <w:unhideWhenUsed/>
    <w:qFormat/>
    <w:pPr>
      <w:ind w:left="2268" w:right="0" w:firstLine="0"/>
      <w:spacing w:after="57"/>
    </w:pPr>
  </w:style>
  <w:style w:type="paragraph" w:styleId="881">
    <w:name w:val="Title"/>
    <w:basedOn w:val="849"/>
    <w:next w:val="849"/>
    <w:link w:val="900"/>
    <w:uiPriority w:val="10"/>
    <w:qFormat/>
    <w:pPr>
      <w:contextualSpacing/>
      <w:spacing w:before="300" w:after="200"/>
    </w:pPr>
    <w:rPr>
      <w:sz w:val="48"/>
      <w:szCs w:val="48"/>
    </w:rPr>
  </w:style>
  <w:style w:type="table" w:styleId="8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basedOn w:val="859"/>
    <w:uiPriority w:val="22"/>
    <w:qFormat/>
    <w:rPr>
      <w:b/>
    </w:r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14:textFill>
        <w14:solidFill>
          <w14:schemeClr w14:val="hlink"/>
        </w14:solidFill>
      </w14:textFill>
    </w:rPr>
  </w:style>
  <w:style w:type="character" w:styleId="886">
    <w:name w:val="footnote reference"/>
    <w:uiPriority w:val="99"/>
    <w:unhideWhenUsed/>
    <w:qFormat/>
    <w:rPr>
      <w:vertAlign w:val="superscript"/>
    </w:rPr>
  </w:style>
  <w:style w:type="paragraph" w:styleId="887" w:customStyle="1">
    <w:name w:val="标题 31"/>
    <w:basedOn w:val="849"/>
    <w:next w:val="849"/>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888" w:customStyle="1">
    <w:name w:val="正文文本缩进1"/>
    <w:basedOn w:val="849"/>
    <w:next w:val="849"/>
    <w:uiPriority w:val="0"/>
    <w:qFormat/>
    <w:pPr>
      <w:ind w:left="420" w:firstLine="1188"/>
      <w:spacing w:before="0" w:after="0" w:line="360" w:lineRule="exact"/>
    </w:pPr>
  </w:style>
  <w:style w:type="character" w:styleId="889" w:customStyle="1">
    <w:name w:val="Heading 1 Char"/>
    <w:link w:val="850"/>
    <w:uiPriority w:val="9"/>
    <w:qFormat/>
    <w:rPr>
      <w:rFonts w:ascii="Arial" w:hAnsi="Arial" w:eastAsia="Arial" w:cs="Arial"/>
      <w:sz w:val="40"/>
      <w:szCs w:val="40"/>
    </w:rPr>
  </w:style>
  <w:style w:type="character" w:styleId="890" w:customStyle="1">
    <w:name w:val="Heading 2 Char"/>
    <w:link w:val="851"/>
    <w:uiPriority w:val="9"/>
    <w:qFormat/>
    <w:rPr>
      <w:rFonts w:ascii="Arial" w:hAnsi="Arial" w:eastAsia="Arial" w:cs="Arial"/>
      <w:sz w:val="34"/>
    </w:rPr>
  </w:style>
  <w:style w:type="character" w:styleId="891" w:customStyle="1">
    <w:name w:val="Heading 3 Char"/>
    <w:link w:val="852"/>
    <w:uiPriority w:val="9"/>
    <w:qFormat/>
    <w:rPr>
      <w:rFonts w:ascii="Arial" w:hAnsi="Arial" w:eastAsia="Arial" w:cs="Arial"/>
      <w:sz w:val="30"/>
      <w:szCs w:val="30"/>
    </w:rPr>
  </w:style>
  <w:style w:type="character" w:styleId="892" w:customStyle="1">
    <w:name w:val="Heading 4 Char"/>
    <w:link w:val="853"/>
    <w:uiPriority w:val="9"/>
    <w:qFormat/>
    <w:rPr>
      <w:rFonts w:ascii="Arial" w:hAnsi="Arial" w:eastAsia="Arial" w:cs="Arial"/>
      <w:b/>
      <w:bCs/>
      <w:sz w:val="26"/>
      <w:szCs w:val="26"/>
    </w:rPr>
  </w:style>
  <w:style w:type="character" w:styleId="893" w:customStyle="1">
    <w:name w:val="Heading 5 Char"/>
    <w:link w:val="854"/>
    <w:uiPriority w:val="9"/>
    <w:qFormat/>
    <w:rPr>
      <w:rFonts w:ascii="Arial" w:hAnsi="Arial" w:eastAsia="Arial" w:cs="Arial"/>
      <w:b/>
      <w:bCs/>
      <w:sz w:val="24"/>
      <w:szCs w:val="24"/>
    </w:rPr>
  </w:style>
  <w:style w:type="character" w:styleId="894" w:customStyle="1">
    <w:name w:val="Heading 6 Char"/>
    <w:link w:val="855"/>
    <w:uiPriority w:val="9"/>
    <w:qFormat/>
    <w:rPr>
      <w:rFonts w:ascii="Arial" w:hAnsi="Arial" w:eastAsia="Arial" w:cs="Arial"/>
      <w:b/>
      <w:bCs/>
      <w:sz w:val="22"/>
      <w:szCs w:val="22"/>
    </w:rPr>
  </w:style>
  <w:style w:type="character" w:styleId="895" w:customStyle="1">
    <w:name w:val="Heading 7 Char"/>
    <w:link w:val="856"/>
    <w:uiPriority w:val="9"/>
    <w:qFormat/>
    <w:rPr>
      <w:rFonts w:ascii="Arial" w:hAnsi="Arial" w:eastAsia="Arial" w:cs="Arial"/>
      <w:b/>
      <w:bCs/>
      <w:i/>
      <w:iCs/>
      <w:sz w:val="22"/>
      <w:szCs w:val="22"/>
    </w:rPr>
  </w:style>
  <w:style w:type="character" w:styleId="896" w:customStyle="1">
    <w:name w:val="Heading 8 Char"/>
    <w:link w:val="857"/>
    <w:uiPriority w:val="9"/>
    <w:qFormat/>
    <w:rPr>
      <w:rFonts w:ascii="Arial" w:hAnsi="Arial" w:eastAsia="Arial" w:cs="Arial"/>
      <w:i/>
      <w:iCs/>
      <w:sz w:val="22"/>
      <w:szCs w:val="22"/>
    </w:rPr>
  </w:style>
  <w:style w:type="character" w:styleId="897" w:customStyle="1">
    <w:name w:val="Heading 9 Char"/>
    <w:link w:val="858"/>
    <w:uiPriority w:val="9"/>
    <w:qFormat/>
    <w:rPr>
      <w:rFonts w:ascii="Arial" w:hAnsi="Arial" w:eastAsia="Arial" w:cs="Arial"/>
      <w:i/>
      <w:iCs/>
      <w:sz w:val="21"/>
      <w:szCs w:val="21"/>
    </w:rPr>
  </w:style>
  <w:style w:type="paragraph" w:styleId="898">
    <w:name w:val="List Paragraph"/>
    <w:basedOn w:val="849"/>
    <w:uiPriority w:val="34"/>
    <w:qFormat/>
    <w:pPr>
      <w:contextualSpacing/>
      <w:ind w:left="720"/>
    </w:pPr>
  </w:style>
  <w:style w:type="paragraph" w:styleId="899">
    <w:name w:val="No Spacing"/>
    <w:uiPriority w:val="1"/>
    <w:qFormat/>
    <w:pPr>
      <w:spacing w:before="0" w:after="0" w:line="240" w:lineRule="auto"/>
    </w:pPr>
    <w:rPr>
      <w:rFonts w:hint="default" w:ascii="Times New Roman" w:hAnsi="Times New Roman" w:eastAsia="宋体" w:cs="Times New Roman"/>
    </w:rPr>
  </w:style>
  <w:style w:type="character" w:styleId="900" w:customStyle="1">
    <w:name w:val="Title Char"/>
    <w:link w:val="881"/>
    <w:uiPriority w:val="10"/>
    <w:qFormat/>
    <w:rPr>
      <w:sz w:val="48"/>
      <w:szCs w:val="48"/>
    </w:rPr>
  </w:style>
  <w:style w:type="character" w:styleId="901" w:customStyle="1">
    <w:name w:val="Subtitle Char"/>
    <w:link w:val="875"/>
    <w:uiPriority w:val="11"/>
    <w:qFormat/>
    <w:rPr>
      <w:sz w:val="24"/>
      <w:szCs w:val="24"/>
    </w:rPr>
  </w:style>
  <w:style w:type="paragraph" w:styleId="902">
    <w:name w:val="Quote"/>
    <w:basedOn w:val="849"/>
    <w:next w:val="849"/>
    <w:link w:val="903"/>
    <w:uiPriority w:val="29"/>
    <w:qFormat/>
    <w:pPr>
      <w:ind w:left="720" w:right="720"/>
    </w:pPr>
    <w:rPr>
      <w:i/>
    </w:rPr>
  </w:style>
  <w:style w:type="character" w:styleId="903" w:customStyle="1">
    <w:name w:val="Quote Char"/>
    <w:link w:val="902"/>
    <w:uiPriority w:val="29"/>
    <w:qFormat/>
    <w:rPr>
      <w:i/>
    </w:rPr>
  </w:style>
  <w:style w:type="paragraph" w:styleId="904">
    <w:name w:val="Intense Quote"/>
    <w:basedOn w:val="849"/>
    <w:next w:val="849"/>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Intense Quote Char"/>
    <w:link w:val="904"/>
    <w:uiPriority w:val="30"/>
    <w:qFormat/>
    <w:rPr>
      <w:i/>
    </w:rPr>
  </w:style>
  <w:style w:type="character" w:styleId="906" w:customStyle="1">
    <w:name w:val="Header Char"/>
    <w:link w:val="872"/>
    <w:uiPriority w:val="99"/>
    <w:qFormat/>
  </w:style>
  <w:style w:type="character" w:styleId="907" w:customStyle="1">
    <w:name w:val="Footer Char"/>
    <w:link w:val="871"/>
    <w:uiPriority w:val="99"/>
    <w:qFormat/>
  </w:style>
  <w:style w:type="character" w:styleId="908" w:customStyle="1">
    <w:name w:val="Caption Char"/>
    <w:link w:val="871"/>
    <w:uiPriority w:val="99"/>
    <w:qFormat/>
  </w:style>
  <w:style w:type="table" w:styleId="9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Footnote Text Char"/>
    <w:link w:val="876"/>
    <w:uiPriority w:val="99"/>
    <w:qFormat/>
    <w:rPr>
      <w:sz w:val="18"/>
    </w:rPr>
  </w:style>
  <w:style w:type="character" w:styleId="1035" w:customStyle="1">
    <w:name w:val="Endnote Text Char"/>
    <w:link w:val="870"/>
    <w:uiPriority w:val="99"/>
    <w:qFormat/>
    <w:rPr>
      <w:sz w:val="20"/>
    </w:rPr>
  </w:style>
  <w:style w:type="paragraph" w:styleId="1036" w:customStyle="1">
    <w:name w:val="TOC Heading"/>
    <w:uiPriority w:val="39"/>
    <w:unhideWhenUsed/>
    <w:qFormat/>
    <w:rPr>
      <w:rFonts w:hint="default" w:ascii="Times New Roman" w:hAnsi="Times New Roman" w:eastAsia="宋体" w:cs="Times New Roman"/>
    </w:rPr>
  </w:style>
  <w:style w:type="paragraph" w:styleId="1037" w:customStyle="1">
    <w:name w:val="标题 11"/>
    <w:basedOn w:val="849"/>
    <w:next w:val="849"/>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1038" w:customStyle="1">
    <w:name w:val="标题 21"/>
    <w:basedOn w:val="849"/>
    <w:next w:val="849"/>
    <w:uiPriority w:val="0"/>
    <w:qFormat/>
    <w:pPr>
      <w:keepNext/>
      <w:spacing w:before="240" w:after="60"/>
      <w:outlineLvl w:val="1"/>
    </w:pPr>
    <w:rPr>
      <w:rFonts w:ascii="Arial" w:hAnsi="Arial"/>
      <w:b/>
      <w:bCs/>
      <w:i/>
      <w:iCs/>
      <w:sz w:val="28"/>
      <w:szCs w:val="28"/>
    </w:rPr>
  </w:style>
  <w:style w:type="character" w:styleId="1039" w:customStyle="1">
    <w:name w:val="默认段落字体1"/>
    <w:link w:val="849"/>
    <w:uiPriority w:val="0"/>
    <w:semiHidden/>
    <w:qFormat/>
  </w:style>
  <w:style w:type="table" w:styleId="1040" w:customStyle="1">
    <w:name w:val="普通表格1"/>
    <w:uiPriority w:val="0"/>
    <w:semiHidden/>
    <w:qFormat/>
    <w:tblPr/>
  </w:style>
  <w:style w:type="paragraph" w:styleId="1041" w:customStyle="1">
    <w:name w:val="正文缩进1"/>
    <w:basedOn w:val="849"/>
    <w:next w:val="849"/>
    <w:uiPriority w:val="0"/>
    <w:qFormat/>
    <w:pPr>
      <w:ind w:left="420" w:firstLine="4772"/>
    </w:pPr>
  </w:style>
  <w:style w:type="paragraph" w:styleId="1042" w:customStyle="1">
    <w:name w:val="批注文字1"/>
    <w:basedOn w:val="849"/>
    <w:next w:val="849"/>
    <w:uiPriority w:val="0"/>
    <w:qFormat/>
    <w:pPr>
      <w:ind w:left="0" w:firstLine="3584"/>
      <w:spacing w:before="0" w:after="0" w:line="360" w:lineRule="auto"/>
    </w:pPr>
  </w:style>
  <w:style w:type="paragraph" w:styleId="1043" w:customStyle="1">
    <w:name w:val="正文文本1"/>
    <w:basedOn w:val="849"/>
    <w:next w:val="849"/>
    <w:uiPriority w:val="0"/>
    <w:qFormat/>
    <w:pPr>
      <w:ind w:left="0" w:firstLine="2560"/>
    </w:pPr>
  </w:style>
  <w:style w:type="paragraph" w:styleId="1044" w:customStyle="1">
    <w:name w:val="列表编号 31"/>
    <w:basedOn w:val="1037"/>
    <w:next w:val="849"/>
    <w:uiPriority w:val="0"/>
    <w:qFormat/>
    <w:pPr>
      <w:numPr>
        <w:ilvl w:val="0"/>
        <w:numId w:val="1"/>
      </w:numPr>
    </w:pPr>
  </w:style>
  <w:style w:type="paragraph" w:styleId="1045" w:customStyle="1">
    <w:name w:val="纯文本11"/>
    <w:basedOn w:val="849"/>
    <w:uiPriority w:val="0"/>
    <w:qFormat/>
    <w:rPr>
      <w:rFonts w:hAnsi="Courier New"/>
      <w:sz w:val="21"/>
    </w:rPr>
  </w:style>
  <w:style w:type="paragraph" w:styleId="1046" w:customStyle="1">
    <w:name w:val="列表项目符号 51"/>
    <w:basedOn w:val="1037"/>
    <w:next w:val="1047"/>
    <w:uiPriority w:val="0"/>
    <w:qFormat/>
    <w:pPr>
      <w:numPr>
        <w:ilvl w:val="0"/>
        <w:numId w:val="2"/>
      </w:numPr>
    </w:pPr>
  </w:style>
  <w:style w:type="paragraph" w:styleId="1047" w:customStyle="1">
    <w:name w:val="正文首行缩进1"/>
    <w:next w:val="1044"/>
    <w:uiPriority w:val="0"/>
    <w:qFormat/>
    <w:pPr>
      <w:ind w:left="420" w:firstLine="2724"/>
      <w:spacing w:after="120" w:line="360" w:lineRule="auto"/>
    </w:pPr>
    <w:rPr>
      <w:rFonts w:hint="default" w:ascii="Calibri" w:hAnsi="Calibri" w:eastAsia="宋体" w:cs="Times New Roman"/>
      <w:lang w:val="en-US" w:eastAsia="zh-CN" w:bidi="ar-SA"/>
    </w:rPr>
  </w:style>
  <w:style w:type="paragraph" w:styleId="1048" w:customStyle="1">
    <w:name w:val="日期1"/>
    <w:basedOn w:val="1037"/>
    <w:next w:val="849"/>
    <w:uiPriority w:val="0"/>
    <w:qFormat/>
    <w:pPr>
      <w:ind w:left="0" w:firstLine="2560"/>
      <w:spacing w:before="0" w:after="0" w:line="240" w:lineRule="auto"/>
    </w:pPr>
  </w:style>
  <w:style w:type="paragraph" w:styleId="1049" w:customStyle="1">
    <w:name w:val="批注框文本1"/>
    <w:basedOn w:val="849"/>
    <w:uiPriority w:val="0"/>
    <w:unhideWhenUsed/>
    <w:qFormat/>
    <w:rPr>
      <w:sz w:val="18"/>
      <w:szCs w:val="18"/>
    </w:rPr>
  </w:style>
  <w:style w:type="paragraph" w:styleId="1050" w:customStyle="1">
    <w:name w:val="页脚1"/>
    <w:basedOn w:val="1037"/>
    <w:next w:val="1051"/>
    <w:uiPriority w:val="99"/>
    <w:qFormat/>
    <w:pPr>
      <w:ind w:left="0" w:firstLine="3584"/>
      <w:spacing w:before="0" w:after="0" w:line="240" w:lineRule="auto"/>
    </w:pPr>
  </w:style>
  <w:style w:type="paragraph" w:styleId="1051" w:customStyle="1">
    <w:name w:val="Char Char Char Char Char Char Char Char Char Char Char Char Char"/>
    <w:basedOn w:val="1037"/>
    <w:next w:val="849"/>
    <w:uiPriority w:val="0"/>
    <w:qFormat/>
    <w:pPr>
      <w:ind w:left="0" w:firstLine="3584"/>
      <w:spacing w:before="0" w:after="160" w:line="240" w:lineRule="exact"/>
    </w:pPr>
  </w:style>
  <w:style w:type="paragraph" w:styleId="1052" w:customStyle="1">
    <w:name w:val="寄信人地址1"/>
    <w:basedOn w:val="849"/>
    <w:uiPriority w:val="99"/>
    <w:unhideWhenUsed/>
    <w:qFormat/>
    <w:rPr>
      <w:rFonts w:ascii="Arial" w:hAnsi="Arial"/>
    </w:rPr>
  </w:style>
  <w:style w:type="paragraph" w:styleId="1053" w:customStyle="1">
    <w:name w:val="页眉1"/>
    <w:basedOn w:val="1037"/>
    <w:next w:val="1048"/>
    <w:uiPriority w:val="99"/>
    <w:qFormat/>
    <w:pPr>
      <w:ind w:left="0" w:firstLine="3584"/>
      <w:jc w:val="center"/>
      <w:spacing w:before="0" w:after="0" w:line="240" w:lineRule="auto"/>
      <w:pBdr>
        <w:bottom w:val="none" w:color="000000" w:sz="0" w:space="0"/>
      </w:pBdr>
    </w:pPr>
  </w:style>
  <w:style w:type="paragraph" w:styleId="1054" w:customStyle="1">
    <w:name w:val="目录 11"/>
    <w:basedOn w:val="1037"/>
    <w:next w:val="849"/>
    <w:uiPriority w:val="39"/>
    <w:qFormat/>
    <w:pPr>
      <w:ind w:left="0" w:firstLine="4608"/>
      <w:spacing w:before="0" w:after="0" w:line="240" w:lineRule="auto"/>
    </w:pPr>
  </w:style>
  <w:style w:type="paragraph" w:styleId="1055" w:customStyle="1">
    <w:name w:val="目录 21"/>
    <w:basedOn w:val="849"/>
    <w:next w:val="849"/>
    <w:uiPriority w:val="0"/>
    <w:qFormat/>
    <w:pPr>
      <w:ind w:left="420"/>
    </w:pPr>
  </w:style>
  <w:style w:type="paragraph" w:styleId="1056" w:customStyle="1">
    <w:name w:val="普通(网站)1"/>
    <w:basedOn w:val="849"/>
    <w:uiPriority w:val="0"/>
    <w:qFormat/>
    <w:rPr>
      <w:sz w:val="24"/>
    </w:rPr>
  </w:style>
  <w:style w:type="paragraph" w:styleId="1057" w:customStyle="1">
    <w:name w:val="正文首行缩进 21"/>
    <w:basedOn w:val="888"/>
    <w:uiPriority w:val="0"/>
    <w:qFormat/>
    <w:pPr>
      <w:ind w:left="420" w:firstLine="420"/>
      <w:spacing w:after="120" w:line="240" w:lineRule="auto"/>
    </w:pPr>
    <w:rPr>
      <w:rFonts w:ascii="等线" w:cs="Times New Roman"/>
      <w:sz w:val="21"/>
      <w:szCs w:val="24"/>
    </w:rPr>
  </w:style>
  <w:style w:type="table" w:styleId="1058" w:customStyle="1">
    <w:name w:val="网格型1"/>
    <w:basedOn w:val="1040"/>
    <w:uiPriority w:val="59"/>
    <w:qFormat/>
    <w:tblPr/>
  </w:style>
  <w:style w:type="character" w:styleId="1059" w:customStyle="1">
    <w:name w:val="页码1"/>
    <w:link w:val="849"/>
    <w:uiPriority w:val="0"/>
    <w:qFormat/>
    <w:rPr>
      <w:sz w:val="20"/>
    </w:rPr>
  </w:style>
  <w:style w:type="character" w:styleId="1060" w:customStyle="1">
    <w:name w:val="已访问的超链接1"/>
    <w:link w:val="849"/>
    <w:uiPriority w:val="0"/>
    <w:qFormat/>
    <w:rPr>
      <w:color w:val="333333"/>
      <w:u w:val="none"/>
    </w:rPr>
  </w:style>
  <w:style w:type="character" w:styleId="1061" w:customStyle="1">
    <w:name w:val="强调1"/>
    <w:link w:val="849"/>
    <w:uiPriority w:val="0"/>
    <w:qFormat/>
  </w:style>
  <w:style w:type="character" w:styleId="1062" w:customStyle="1">
    <w:name w:val="超链接1"/>
    <w:link w:val="849"/>
    <w:uiPriority w:val="99"/>
    <w:qFormat/>
    <w:rPr>
      <w:color w:val="333333"/>
      <w:sz w:val="20"/>
      <w:u w:val="none"/>
    </w:rPr>
  </w:style>
  <w:style w:type="paragraph" w:styleId="1063" w:customStyle="1">
    <w:name w:val="Default"/>
    <w:next w:val="1046"/>
    <w:uiPriority w:val="0"/>
    <w:qFormat/>
    <w:pPr>
      <w:ind w:firstLine="5120"/>
      <w:widowControl w:val="off"/>
    </w:pPr>
    <w:rPr>
      <w:rFonts w:hint="default" w:ascii="Calibri" w:hAnsi="Calibri" w:eastAsia="宋体" w:cs="Times New Roman"/>
      <w:lang w:val="en-US" w:eastAsia="zh-CN" w:bidi="ar-SA"/>
    </w:rPr>
  </w:style>
  <w:style w:type="paragraph" w:styleId="1064" w:customStyle="1">
    <w:name w:val="段"/>
    <w:next w:val="849"/>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65" w:customStyle="1">
    <w:name w:val="首行缩进"/>
    <w:basedOn w:val="849"/>
    <w:uiPriority w:val="0"/>
    <w:qFormat/>
    <w:pPr>
      <w:ind w:firstLine="480"/>
    </w:pPr>
    <w:rPr>
      <w:lang w:val="zh-CN"/>
    </w:rPr>
  </w:style>
  <w:style w:type="paragraph" w:styleId="1066" w:customStyle="1">
    <w:name w:val="_Style 6"/>
    <w:basedOn w:val="1037"/>
    <w:next w:val="849"/>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67" w:customStyle="1">
    <w:name w:val="纯文本3"/>
    <w:basedOn w:val="849"/>
    <w:uiPriority w:val="0"/>
    <w:qFormat/>
    <w:rPr>
      <w:rFonts w:ascii="宋体" w:hAnsi="Courier New"/>
    </w:rPr>
  </w:style>
  <w:style w:type="character" w:styleId="1068" w:customStyle="1">
    <w:name w:val="font11"/>
    <w:link w:val="849"/>
    <w:uiPriority w:val="0"/>
    <w:qFormat/>
    <w:rPr>
      <w:rFonts w:ascii="Times New Roman" w:hAnsi="Times New Roman" w:cs="Times New Roman"/>
      <w:color w:val="000000"/>
      <w:sz w:val="21"/>
      <w:szCs w:val="21"/>
      <w:u w:val="none"/>
    </w:rPr>
  </w:style>
  <w:style w:type="character" w:styleId="1069" w:customStyle="1">
    <w:name w:val="font21"/>
    <w:link w:val="849"/>
    <w:uiPriority w:val="0"/>
    <w:qFormat/>
    <w:rPr>
      <w:rFonts w:hint="eastAsia" w:ascii="宋体" w:hAnsi="宋体" w:eastAsia="宋体" w:cs="宋体"/>
      <w:color w:val="000000"/>
      <w:sz w:val="21"/>
      <w:szCs w:val="21"/>
      <w:u w:val="none"/>
    </w:rPr>
  </w:style>
  <w:style w:type="paragraph" w:styleId="1070" w:customStyle="1">
    <w:name w:val="纯文本1"/>
    <w:basedOn w:val="849"/>
    <w:uiPriority w:val="0"/>
    <w:qFormat/>
    <w:rPr>
      <w:rFonts w:hAnsi="Courier New" w:eastAsia="楷体_GB2312"/>
      <w:sz w:val="28"/>
    </w:rPr>
  </w:style>
  <w:style w:type="character" w:styleId="1071" w:customStyle="1">
    <w:name w:val="NormalCharacter1"/>
    <w:link w:val="849"/>
    <w:uiPriority w:val="0"/>
    <w:semiHidden/>
    <w:qFormat/>
  </w:style>
  <w:style w:type="paragraph" w:styleId="1072" w:customStyle="1">
    <w:name w:val="NormalIndent1"/>
    <w:basedOn w:val="849"/>
    <w:uiPriority w:val="0"/>
    <w:qFormat/>
    <w:pPr>
      <w:ind w:firstLine="420"/>
      <w:jc w:val="left"/>
    </w:pPr>
    <w:rPr>
      <w:sz w:val="24"/>
    </w:rPr>
  </w:style>
  <w:style w:type="paragraph" w:styleId="1073" w:customStyle="1">
    <w:name w:val="UserStyle_34"/>
    <w:basedOn w:val="849"/>
    <w:uiPriority w:val="0"/>
    <w:qFormat/>
    <w:pPr>
      <w:ind w:firstLine="200"/>
      <w:spacing w:before="50" w:after="50" w:line="360" w:lineRule="auto"/>
    </w:pPr>
    <w:rPr>
      <w:rFonts w:eastAsia="宋体"/>
      <w:sz w:val="24"/>
      <w:szCs w:val="24"/>
    </w:rPr>
  </w:style>
  <w:style w:type="paragraph" w:styleId="1074" w:customStyle="1">
    <w:name w:val="UserStyle_28"/>
    <w:basedOn w:val="849"/>
    <w:uiPriority w:val="0"/>
    <w:qFormat/>
    <w:pPr>
      <w:ind w:firstLine="480"/>
      <w:spacing w:line="360" w:lineRule="auto"/>
    </w:pPr>
    <w:rPr>
      <w:rFonts w:ascii="Calibri" w:hAnsi="Calibri" w:eastAsia="宋体"/>
      <w:sz w:val="24"/>
    </w:rPr>
  </w:style>
  <w:style w:type="paragraph" w:styleId="1075" w:customStyle="1">
    <w:name w:val="Acetate1"/>
    <w:basedOn w:val="849"/>
    <w:uiPriority w:val="0"/>
    <w:semiHidden/>
    <w:qFormat/>
    <w:rPr>
      <w:sz w:val="18"/>
      <w:szCs w:val="18"/>
    </w:rPr>
  </w:style>
  <w:style w:type="paragraph" w:styleId="1076" w:customStyle="1">
    <w:name w:val="PlainText1"/>
    <w:basedOn w:val="849"/>
    <w:uiPriority w:val="0"/>
    <w:qFormat/>
    <w:rPr>
      <w:rFonts w:ascii="宋体" w:hAnsi="Courier New"/>
    </w:rPr>
  </w:style>
  <w:style w:type="paragraph" w:styleId="1077" w:customStyle="1">
    <w:name w:val="纯文本4"/>
    <w:basedOn w:val="849"/>
    <w:uiPriority w:val="0"/>
    <w:qFormat/>
    <w:pPr>
      <w:widowControl w:val="off"/>
    </w:pPr>
    <w:rPr>
      <w:rFonts w:ascii="宋体" w:hAnsi="Courier New"/>
      <w:szCs w:val="20"/>
      <w:lang w:val="zh-CN" w:eastAsia="zh-CN"/>
    </w:rPr>
  </w:style>
  <w:style w:type="paragraph" w:styleId="1078" w:customStyle="1">
    <w:name w:val="Andy_正文"/>
    <w:basedOn w:val="849"/>
    <w:uiPriority w:val="0"/>
    <w:qFormat/>
    <w:pPr>
      <w:ind w:firstLine="480"/>
      <w:spacing w:line="360" w:lineRule="auto"/>
      <w:widowControl w:val="off"/>
    </w:pPr>
    <w:rPr>
      <w:rFonts w:ascii="Calibri" w:hAnsi="Calibri" w:eastAsia="宋体"/>
      <w:sz w:val="24"/>
    </w:rPr>
  </w:style>
  <w:style w:type="paragraph" w:styleId="1079" w:customStyle="1">
    <w:name w:val="WPSOffice手动目录 1"/>
    <w:uiPriority w:val="0"/>
    <w:qFormat/>
    <w:rPr>
      <w:rFonts w:hint="default" w:ascii="Times New Roman" w:hAnsi="Times New Roman" w:eastAsia="宋体" w:cs="Times New Roman"/>
      <w:lang w:val="en-US" w:eastAsia="zh-CN" w:bidi="ar-SA"/>
    </w:rPr>
  </w:style>
  <w:style w:type="paragraph" w:styleId="1080" w:customStyle="1">
    <w:name w:val="UserStyle_62"/>
    <w:basedOn w:val="849"/>
    <w:uiPriority w:val="0"/>
    <w:qFormat/>
    <w:rPr>
      <w:rFonts w:ascii="宋体" w:hAnsi="Courier New"/>
    </w:rPr>
  </w:style>
  <w:style w:type="paragraph" w:styleId="1081" w:customStyle="1">
    <w:name w:val="Plain Text1"/>
    <w:basedOn w:val="849"/>
    <w:uiPriority w:val="0"/>
    <w:qFormat/>
    <w:pPr>
      <w:widowControl w:val="off"/>
    </w:pPr>
    <w:rPr>
      <w:rFonts w:hint="eastAsia" w:ascii="宋体" w:hAnsi="Courier New"/>
      <w:sz w:val="28"/>
    </w:rPr>
  </w:style>
  <w:style w:type="paragraph" w:styleId="1082" w:customStyle="1">
    <w:name w:val="Table Text"/>
    <w:basedOn w:val="849"/>
    <w:uiPriority w:val="0"/>
    <w:semiHidden/>
    <w:qFormat/>
    <w:rPr>
      <w:rFonts w:ascii="仿宋" w:hAnsi="仿宋" w:eastAsia="仿宋" w:cs="仿宋"/>
      <w:sz w:val="22"/>
      <w:szCs w:val="22"/>
      <w:lang w:val="en-US" w:eastAsia="en-US" w:bidi="ar-SA"/>
    </w:rPr>
  </w:style>
  <w:style w:type="table" w:styleId="1083" w:customStyle="1">
    <w:name w:val="Table Normal"/>
    <w:uiPriority w:val="0"/>
    <w:semiHidden/>
    <w:unhideWhenUsed/>
    <w:qFormat/>
    <w:tblPr>
      <w:tblCellMar>
        <w:left w:w="0" w:type="dxa"/>
        <w:top w:w="0" w:type="dxa"/>
        <w:right w:w="0" w:type="dxa"/>
        <w:bottom w:w="0" w:type="dxa"/>
      </w:tblCellMar>
    </w:tblPr>
  </w:style>
  <w:style w:type="character" w:styleId="1084" w:customStyle="1">
    <w:name w:val="NormalCharacter"/>
    <w:uiPriority w:val="0"/>
    <w:semiHidden/>
    <w:qFormat/>
  </w:style>
  <w:style w:type="paragraph" w:styleId="1085" w:customStyle="1">
    <w:name w:val="NormalIndent"/>
    <w:basedOn w:val="849"/>
    <w:uiPriority w:val="0"/>
    <w:qFormat/>
    <w:pPr>
      <w:ind w:firstLine="420"/>
      <w:jc w:val="left"/>
    </w:pPr>
    <w:rPr>
      <w:sz w:val="24"/>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徐晓逸</cp:lastModifiedBy>
  <cp:revision>11</cp:revision>
  <dcterms:created xsi:type="dcterms:W3CDTF">2024-02-19T05:34:00Z</dcterms:created>
  <dcterms:modified xsi:type="dcterms:W3CDTF">2024-09-18T02:22:51Z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113478F9C4E44ECAB83977F20B824352_13</vt:lpwstr>
  </property>
</Properties>
</file>