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宋体"/>
          <w:b/>
          <w:bCs/>
          <w:sz w:val="44"/>
          <w:szCs w:val="44"/>
        </w:rPr>
      </w:pPr>
      <w:r>
        <w:rPr>
          <w:rFonts w:hint="eastAsia" w:ascii="宋体" w:hAnsi="宋体" w:eastAsia="宋体" w:cs="宋体"/>
          <w:b/>
          <w:bCs/>
          <w:sz w:val="44"/>
          <w:szCs w:val="44"/>
        </w:rPr>
        <w:t xml:space="preserve">灌云县高标准农田调查摸底上图入库项目</w:t>
      </w:r>
      <w:r/>
    </w:p>
    <w:p>
      <w:pPr>
        <w:jc w:val="center"/>
        <w:spacing w:before="120" w:after="120" w:line="360" w:lineRule="auto"/>
        <w:rPr>
          <w:rFonts w:ascii="宋体" w:hAnsi="宋体" w:eastAsia="宋体" w:cs="宋体"/>
          <w:b/>
          <w:bCs/>
          <w:sz w:val="32"/>
          <w:szCs w:val="32"/>
        </w:rPr>
      </w:pPr>
      <w:r>
        <w:rPr>
          <w:rFonts w:hint="eastAsia" w:ascii="宋体" w:hAnsi="宋体" w:eastAsia="宋体" w:cs="宋体"/>
          <w:b/>
          <w:bCs/>
          <w:sz w:val="32"/>
          <w:szCs w:val="32"/>
        </w:rPr>
        <w:t xml:space="preserve">（专门面向中小企业）</w:t>
      </w:r>
      <w:r/>
    </w:p>
    <w:p>
      <w:pPr>
        <w:spacing w:before="120" w:after="120" w:line="360" w:lineRule="auto"/>
        <w:rPr>
          <w:rFonts w:ascii="宋体" w:hAnsi="宋体" w:eastAsia="宋体" w:cs="宋体"/>
          <w:b/>
          <w:bCs/>
          <w:sz w:val="72"/>
        </w:rPr>
      </w:pPr>
      <w:r>
        <w:rPr>
          <w:rFonts w:ascii="宋体" w:hAnsi="宋体" w:eastAsia="宋体" w:cs="宋体"/>
          <w:b/>
          <w:bCs/>
          <w:sz w:val="72"/>
        </w:rPr>
      </w:r>
      <w:r/>
    </w:p>
    <w:p>
      <w:pPr>
        <w:jc w:val="center"/>
        <w:spacing w:before="120" w:after="120" w:line="360" w:lineRule="auto"/>
        <w:rPr>
          <w:rFonts w:ascii="宋体" w:hAnsi="宋体" w:eastAsia="宋体" w:cs="宋体"/>
          <w:b/>
          <w:bCs/>
          <w:sz w:val="72"/>
          <w:highlight w:val="none"/>
        </w:rPr>
      </w:pPr>
      <w:r>
        <w:rPr>
          <w:rFonts w:ascii="宋体" w:hAnsi="宋体" w:eastAsia="宋体" w:cs="宋体"/>
          <w:b/>
          <w:bCs/>
          <w:sz w:val="72"/>
          <w:highlight w:val="none"/>
        </w:rPr>
      </w:r>
      <w:r/>
    </w:p>
    <w:p>
      <w:pPr>
        <w:jc w:val="center"/>
        <w:spacing w:before="120" w:after="120" w:line="360" w:lineRule="auto"/>
        <w:rPr>
          <w:rFonts w:ascii="宋体" w:hAnsi="宋体" w:eastAsia="宋体" w:cs="宋体"/>
          <w:b/>
          <w:bCs/>
          <w:sz w:val="72"/>
          <w:highlight w:val="none"/>
        </w:rPr>
      </w:pPr>
      <w:r>
        <w:rPr>
          <w:rFonts w:ascii="宋体" w:hAnsi="宋体" w:eastAsia="宋体" w:cs="宋体"/>
          <w:b/>
          <w:bCs/>
          <w:sz w:val="72"/>
          <w:highlight w:val="none"/>
        </w:rPr>
      </w:r>
      <w:r/>
    </w:p>
    <w:p>
      <w:pPr>
        <w:jc w:val="center"/>
        <w:spacing w:before="120" w:after="120" w:line="360" w:lineRule="auto"/>
        <w:rPr>
          <w:rFonts w:ascii="宋体" w:hAnsi="宋体" w:eastAsia="宋体" w:cs="宋体"/>
          <w:b/>
          <w:bCs/>
          <w:sz w:val="72"/>
          <w:highlight w:val="none"/>
        </w:rPr>
      </w:pPr>
      <w:r>
        <w:rPr>
          <w:rFonts w:hint="eastAsia" w:ascii="宋体" w:hAnsi="宋体" w:eastAsia="宋体" w:cs="宋体"/>
          <w:b/>
          <w:bCs/>
          <w:sz w:val="72"/>
          <w:highlight w:val="none"/>
        </w:rPr>
        <w:t xml:space="preserve">招标文件</w:t>
      </w:r>
      <w:r/>
    </w:p>
    <w:p>
      <w:pPr>
        <w:rPr>
          <w:rFonts w:ascii="宋体" w:hAnsi="宋体" w:eastAsia="宋体" w:cs="宋体"/>
          <w:b/>
          <w:bCs/>
          <w:sz w:val="32"/>
          <w:szCs w:val="32"/>
          <w:highlight w:val="none"/>
        </w:rPr>
      </w:pPr>
      <w:r>
        <w:rPr>
          <w:rFonts w:ascii="宋体" w:hAnsi="宋体" w:eastAsia="宋体" w:cs="宋体"/>
          <w:b/>
          <w:bCs/>
          <w:sz w:val="32"/>
          <w:szCs w:val="32"/>
          <w:highlight w:val="none"/>
        </w:rPr>
      </w:r>
      <w:r/>
    </w:p>
    <w:p>
      <w:pPr>
        <w:jc w:val="center"/>
        <w:rPr>
          <w:rFonts w:hint="eastAsia" w:ascii="宋体" w:hAnsi="宋体" w:eastAsia="宋体" w:cs="宋体"/>
          <w:b/>
          <w:sz w:val="30"/>
          <w:szCs w:val="30"/>
          <w:highlight w:val="none"/>
          <w:lang w:eastAsia="zh-CN"/>
        </w:rPr>
      </w:pPr>
      <w:r>
        <w:rPr>
          <w:rFonts w:hint="eastAsia" w:ascii="宋体" w:hAnsi="宋体" w:eastAsia="宋体" w:cs="宋体"/>
          <w:b/>
          <w:bCs/>
          <w:sz w:val="32"/>
          <w:szCs w:val="32"/>
          <w:highlight w:val="none"/>
        </w:rPr>
        <w:t xml:space="preserve">项目编号：</w:t>
      </w:r>
      <w:r>
        <w:rPr>
          <w:rFonts w:hint="eastAsia" w:ascii="宋体" w:hAnsi="宋体" w:eastAsia="宋体" w:cs="宋体"/>
          <w:b/>
          <w:bCs/>
          <w:sz w:val="32"/>
          <w:szCs w:val="32"/>
          <w:highlight w:val="none"/>
          <w:lang w:eastAsia="zh-CN"/>
        </w:rPr>
        <w:t xml:space="preserve">JSZC-320723-LYGZ-G2024-0016</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before="120" w:after="120" w:line="360" w:lineRule="auto"/>
        <w:rPr>
          <w:rFonts w:ascii="宋体" w:hAnsi="宋体" w:eastAsia="宋体" w:cs="宋体"/>
          <w:b/>
          <w:bCs/>
          <w:sz w:val="32"/>
          <w:szCs w:val="24"/>
          <w:highlight w:val="none"/>
        </w:rPr>
        <w:outlineLvl w:val="0"/>
      </w:pPr>
      <w:r/>
      <w:bookmarkStart w:id="0" w:name="_Toc10532"/>
      <w:r/>
      <w:bookmarkStart w:id="1" w:name="_Toc13903"/>
      <w:r/>
      <w:bookmarkStart w:id="2" w:name="_Toc7719"/>
      <w:r/>
      <w:bookmarkStart w:id="3" w:name="_Toc17408"/>
      <w:r/>
      <w:r/>
    </w:p>
    <w:p>
      <w:pPr>
        <w:spacing w:before="120" w:after="120" w:line="360" w:lineRule="auto"/>
        <w:rPr>
          <w:rFonts w:ascii="宋体" w:hAnsi="宋体" w:eastAsia="宋体" w:cs="宋体"/>
          <w:b/>
          <w:bCs/>
          <w:sz w:val="32"/>
          <w:szCs w:val="24"/>
          <w:highlight w:val="none"/>
        </w:rPr>
        <w:outlineLvl w:val="0"/>
      </w:pPr>
      <w:r>
        <w:rPr>
          <w:rFonts w:ascii="宋体" w:hAnsi="宋体" w:eastAsia="宋体" w:cs="宋体"/>
          <w:b/>
          <w:bCs/>
          <w:sz w:val="32"/>
          <w:szCs w:val="24"/>
          <w:highlight w:val="none"/>
        </w:rPr>
      </w:r>
      <w:r/>
    </w:p>
    <w:p>
      <w:pPr>
        <w:ind w:firstLine="1606"/>
        <w:spacing w:before="120" w:after="120" w:line="360" w:lineRule="auto"/>
        <w:rPr>
          <w:rFonts w:ascii="宋体" w:hAnsi="宋体" w:eastAsia="宋体" w:cs="宋体"/>
          <w:b/>
          <w:bCs/>
          <w:sz w:val="32"/>
          <w:szCs w:val="24"/>
          <w:highlight w:val="none"/>
        </w:rPr>
        <w:outlineLvl w:val="0"/>
      </w:pPr>
      <w:r>
        <w:rPr>
          <w:rFonts w:ascii="宋体" w:hAnsi="宋体" w:eastAsia="宋体" w:cs="宋体"/>
          <w:b/>
          <w:bCs/>
          <w:sz w:val="32"/>
          <w:szCs w:val="24"/>
          <w:highlight w:val="none"/>
        </w:rPr>
      </w:r>
      <w:r/>
    </w:p>
    <w:p>
      <w:pPr>
        <w:ind w:firstLine="480"/>
        <w:spacing w:before="120" w:after="120" w:line="360" w:lineRule="auto"/>
        <w:rPr>
          <w:rFonts w:ascii="宋体" w:hAnsi="宋体" w:eastAsia="宋体" w:cs="宋体"/>
          <w:b/>
          <w:bCs/>
          <w:sz w:val="32"/>
          <w:szCs w:val="24"/>
          <w:highlight w:val="none"/>
        </w:rPr>
        <w:outlineLvl w:val="0"/>
      </w:pPr>
      <w:r>
        <w:rPr>
          <w:rFonts w:hint="eastAsia" w:ascii="宋体" w:hAnsi="宋体" w:eastAsia="宋体" w:cs="宋体"/>
          <w:b/>
          <w:bCs/>
          <w:sz w:val="32"/>
          <w:szCs w:val="24"/>
          <w:highlight w:val="none"/>
        </w:rPr>
        <w:t xml:space="preserve">招   标   人：</w:t>
      </w:r>
      <w:bookmarkEnd w:id="0"/>
      <w:r/>
      <w:bookmarkEnd w:id="1"/>
      <w:r/>
      <w:bookmarkEnd w:id="2"/>
      <w:r/>
      <w:bookmarkEnd w:id="3"/>
      <w:r/>
      <w:bookmarkStart w:id="4" w:name="_Toc17956"/>
      <w:r/>
      <w:bookmarkStart w:id="5" w:name="_Toc1689"/>
      <w:r/>
      <w:bookmarkStart w:id="6" w:name="_Toc1865"/>
      <w:r/>
      <w:bookmarkStart w:id="7" w:name="_Toc2460"/>
      <w:r/>
      <w:bookmarkStart w:id="8" w:name="_Toc14767"/>
      <w:r/>
      <w:bookmarkStart w:id="9" w:name="_Toc25504"/>
      <w:r/>
      <w:bookmarkStart w:id="10" w:name="_Toc31270"/>
      <w:r/>
      <w:bookmarkStart w:id="11" w:name="_Toc931"/>
      <w:r>
        <w:rPr>
          <w:rFonts w:hint="eastAsia" w:ascii="宋体" w:hAnsi="宋体" w:eastAsia="宋体" w:cs="宋体"/>
          <w:b/>
          <w:bCs/>
          <w:sz w:val="32"/>
          <w:szCs w:val="24"/>
          <w:highlight w:val="none"/>
        </w:rPr>
        <w:t xml:space="preserve">灌云县农业农村局</w:t>
      </w:r>
      <w:r/>
    </w:p>
    <w:p>
      <w:pPr>
        <w:ind w:firstLine="480"/>
        <w:spacing w:before="120" w:after="120" w:line="360" w:lineRule="auto"/>
        <w:rPr>
          <w:rFonts w:ascii="宋体" w:hAnsi="宋体" w:eastAsia="宋体" w:cs="宋体"/>
          <w:b/>
          <w:bCs/>
          <w:sz w:val="32"/>
          <w:szCs w:val="24"/>
          <w:highlight w:val="none"/>
        </w:rPr>
        <w:outlineLvl w:val="0"/>
      </w:pPr>
      <w:r>
        <w:rPr>
          <w:rFonts w:hint="eastAsia" w:ascii="宋体" w:hAnsi="宋体" w:eastAsia="宋体" w:cs="宋体"/>
          <w:b/>
          <w:bCs/>
          <w:sz w:val="32"/>
          <w:szCs w:val="24"/>
          <w:highlight w:val="none"/>
        </w:rPr>
        <w:t xml:space="preserve">招标代理机构：</w:t>
      </w:r>
      <w:bookmarkEnd w:id="4"/>
      <w:r/>
      <w:bookmarkEnd w:id="5"/>
      <w:r/>
      <w:bookmarkEnd w:id="6"/>
      <w:r/>
      <w:bookmarkEnd w:id="7"/>
      <w:r/>
      <w:bookmarkEnd w:id="8"/>
      <w:r/>
      <w:bookmarkEnd w:id="9"/>
      <w:r/>
      <w:bookmarkEnd w:id="10"/>
      <w:r/>
      <w:bookmarkEnd w:id="11"/>
      <w:r>
        <w:rPr>
          <w:rFonts w:hint="eastAsia" w:ascii="宋体" w:hAnsi="宋体" w:eastAsia="宋体" w:cs="宋体"/>
          <w:b/>
          <w:bCs/>
          <w:sz w:val="32"/>
          <w:szCs w:val="24"/>
          <w:highlight w:val="none"/>
        </w:rPr>
        <w:t xml:space="preserve">连云港市正源招标代理有限公司</w:t>
      </w:r>
      <w:r/>
    </w:p>
    <w:p>
      <w:pPr>
        <w:jc w:val="center"/>
        <w:spacing w:before="120" w:after="120" w:line="360" w:lineRule="auto"/>
      </w:pPr>
      <w:r>
        <w:rPr>
          <w:rFonts w:hint="eastAsia" w:ascii="宋体" w:hAnsi="宋体" w:eastAsia="宋体" w:cs="宋体"/>
          <w:b/>
          <w:bCs/>
          <w:sz w:val="32"/>
          <w:szCs w:val="24"/>
          <w:highlight w:val="none"/>
        </w:rPr>
        <w:t xml:space="preserve">2024年12月2</w:t>
      </w:r>
      <w:r>
        <w:rPr>
          <w:rFonts w:hint="eastAsia" w:ascii="宋体" w:hAnsi="宋体" w:eastAsia="宋体" w:cs="宋体"/>
          <w:b/>
          <w:bCs/>
          <w:sz w:val="32"/>
          <w:szCs w:val="24"/>
          <w:highlight w:val="none"/>
          <w:lang w:val="en-US" w:eastAsia="zh-CN"/>
        </w:rPr>
        <w:t xml:space="preserve">6</w:t>
      </w:r>
      <w:r>
        <w:rPr>
          <w:rFonts w:hint="eastAsia" w:ascii="宋体" w:hAnsi="宋体" w:eastAsia="宋体" w:cs="宋体"/>
          <w:b/>
          <w:bCs/>
          <w:sz w:val="32"/>
          <w:szCs w:val="24"/>
          <w:highlight w:val="none"/>
        </w:rPr>
        <w:t xml:space="preserve">日</w:t>
      </w:r>
      <w:r>
        <w:br w:type="page" w:clear="all"/>
      </w:r>
      <w:r>
        <w:fldChar w:fldCharType="begin"/>
      </w:r>
      <w:r>
        <w:instrText xml:space="preserve"> TOC \o "1-1" \u </w:instrText>
      </w:r>
      <w:r>
        <w:fldChar w:fldCharType="separate"/>
      </w:r>
      <w:r/>
    </w:p>
    <w:p>
      <w:pPr>
        <w:jc w:val="left"/>
        <w:widowControl/>
        <w:rPr>
          <w:rFonts w:ascii="黑体" w:hAnsi="黑体" w:eastAsia="黑体"/>
          <w:bCs/>
          <w:sz w:val="44"/>
          <w:szCs w:val="44"/>
        </w:rPr>
      </w:pPr>
      <w:r>
        <w:rPr>
          <w:rFonts w:ascii="黑体" w:hAnsi="黑体" w:eastAsia="黑体"/>
          <w:b/>
        </w:rPr>
        <w:br w:type="page" w:clear="all"/>
      </w:r>
      <w:r/>
    </w:p>
    <w:p>
      <w:pPr>
        <w:pStyle w:val="645"/>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671"/>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71"/>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71"/>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21</w:t>
      </w:r>
      <w:r>
        <w:rPr>
          <w:sz w:val="32"/>
        </w:rPr>
        <w:fldChar w:fldCharType="end"/>
      </w:r>
      <w:r/>
    </w:p>
    <w:p>
      <w:pPr>
        <w:pStyle w:val="671"/>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671"/>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37</w:t>
      </w:r>
      <w:r>
        <w:rPr>
          <w:sz w:val="32"/>
        </w:rPr>
        <w:fldChar w:fldCharType="end"/>
      </w:r>
      <w:r/>
    </w:p>
    <w:p>
      <w:pPr>
        <w:pStyle w:val="671"/>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45</w:t>
      </w:r>
      <w:r>
        <w:rPr>
          <w:sz w:val="32"/>
        </w:rPr>
        <w:fldChar w:fldCharType="end"/>
      </w:r>
      <w:r/>
    </w:p>
    <w:p>
      <w:pPr>
        <w:jc w:val="left"/>
        <w:widowControl/>
      </w:pPr>
      <w:r>
        <w:fldChar w:fldCharType="end"/>
      </w:r>
      <w:r>
        <w:br w:type="page" w:clear="all"/>
      </w:r>
      <w:r/>
    </w:p>
    <w:p>
      <w:pPr>
        <w:pStyle w:val="645"/>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12" w:name="_Toc155796356"/>
      <w:r/>
      <w:r/>
    </w:p>
    <w:p>
      <w:pPr>
        <w:pStyle w:val="645"/>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12"/>
      <w:r/>
      <w:r/>
    </w:p>
    <w:p>
      <w:pPr>
        <w:ind w:firstLine="480"/>
        <w:jc w:val="left"/>
        <w:spacing w:line="360" w:lineRule="auto"/>
        <w:rPr>
          <w:sz w:val="24"/>
          <w:szCs w:val="24"/>
          <w:highlight w:val="none"/>
        </w:rPr>
      </w:pPr>
      <w:r>
        <w:rPr>
          <w:rFonts w:hint="eastAsia"/>
          <w:sz w:val="24"/>
          <w:szCs w:val="24"/>
        </w:rPr>
        <w:t xml:space="preserve">受</w:t>
      </w:r>
      <w:r>
        <w:rPr>
          <w:rFonts w:hint="eastAsia" w:eastAsia="宋体"/>
          <w:sz w:val="24"/>
          <w:szCs w:val="24"/>
        </w:rPr>
        <w:t xml:space="preserve">灌云县农业农村局</w:t>
      </w:r>
      <w:r>
        <w:rPr>
          <w:rFonts w:hint="eastAsia"/>
          <w:sz w:val="24"/>
          <w:szCs w:val="24"/>
        </w:rPr>
        <w:t xml:space="preserve">的委托，</w:t>
      </w:r>
      <w:r>
        <w:rPr>
          <w:rFonts w:hint="eastAsia" w:eastAsia="宋体"/>
          <w:sz w:val="24"/>
          <w:szCs w:val="24"/>
        </w:rPr>
        <w:t xml:space="preserve">连云港市正源招标代理有限公司</w:t>
      </w:r>
      <w:r>
        <w:rPr>
          <w:rFonts w:hint="eastAsia"/>
          <w:sz w:val="24"/>
          <w:szCs w:val="24"/>
        </w:rPr>
        <w:t xml:space="preserve">就</w:t>
      </w:r>
      <w:r>
        <w:rPr>
          <w:rFonts w:hint="eastAsia" w:eastAsia="宋体"/>
          <w:sz w:val="24"/>
          <w:szCs w:val="24"/>
        </w:rPr>
        <w:t xml:space="preserve">灌云县高标准农田调查摸底上图入库项目</w:t>
      </w:r>
      <w:r>
        <w:rPr>
          <w:rFonts w:hint="eastAsia"/>
          <w:sz w:val="24"/>
          <w:szCs w:val="24"/>
          <w:highlight w:val="none"/>
        </w:rPr>
        <w:t xml:space="preserve">（</w:t>
      </w:r>
      <w:r>
        <w:rPr>
          <w:rFonts w:hint="eastAsia"/>
          <w:sz w:val="24"/>
          <w:szCs w:val="24"/>
          <w:highlight w:val="none"/>
          <w:lang w:eastAsia="zh-CN"/>
        </w:rPr>
        <w:t xml:space="preserve">JSZC-320723-LYGZ-G2024-0016</w:t>
      </w:r>
      <w:r>
        <w:rPr>
          <w:rFonts w:hint="eastAsia"/>
          <w:sz w:val="24"/>
          <w:szCs w:val="24"/>
          <w:highlight w:val="none"/>
        </w:rPr>
        <w:t xml:space="preserve">）进行公开招标采购，欢迎符合条件的供应商投标。</w:t>
      </w:r>
      <w:r/>
    </w:p>
    <w:tbl>
      <w:tblPr>
        <w:tblStyle w:val="6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360" w:lineRule="auto"/>
              <w:rPr>
                <w:sz w:val="24"/>
                <w:szCs w:val="24"/>
              </w:rPr>
            </w:pPr>
            <w:r>
              <w:rPr>
                <w:rFonts w:hint="eastAsia"/>
                <w:sz w:val="24"/>
                <w:szCs w:val="24"/>
              </w:rPr>
              <w:t xml:space="preserve">项目概况</w:t>
            </w:r>
            <w:r/>
          </w:p>
          <w:p>
            <w:pPr>
              <w:jc w:val="left"/>
              <w:spacing w:line="360" w:lineRule="auto"/>
              <w:rPr>
                <w:sz w:val="24"/>
                <w:szCs w:val="24"/>
              </w:rPr>
            </w:pPr>
            <w:r>
              <w:rPr>
                <w:rFonts w:hint="eastAsia" w:eastAsia="宋体"/>
                <w:sz w:val="24"/>
                <w:szCs w:val="24"/>
                <w:u w:val="single"/>
              </w:rPr>
              <w:t xml:space="preserve">灌云县高标准农田调查摸底上图入库</w:t>
            </w:r>
            <w:r>
              <w:rPr>
                <w:rFonts w:hint="eastAsia"/>
                <w:sz w:val="24"/>
                <w:szCs w:val="24"/>
              </w:rPr>
              <w:t xml:space="preserve">招标项目的潜在投标人应在江苏政府采购网自行免费下载招标文件，并</w:t>
            </w:r>
            <w:r>
              <w:rPr>
                <w:rFonts w:hint="eastAsia"/>
                <w:sz w:val="24"/>
                <w:szCs w:val="24"/>
                <w:highlight w:val="white"/>
              </w:rPr>
              <w:t xml:space="preserve">于</w:t>
            </w:r>
            <w:r>
              <w:rPr>
                <w:rFonts w:hint="eastAsia"/>
                <w:sz w:val="24"/>
                <w:szCs w:val="24"/>
                <w:highlight w:val="white"/>
                <w:u w:val="single"/>
              </w:rPr>
              <w:t xml:space="preserve">2025年1月17日10:00:00</w:t>
            </w:r>
            <w:r>
              <w:rPr>
                <w:rFonts w:hint="eastAsia"/>
                <w:sz w:val="24"/>
                <w:szCs w:val="24"/>
                <w:highlight w:val="white"/>
              </w:rPr>
              <w:t xml:space="preserve">（北京时</w:t>
            </w:r>
            <w:r>
              <w:rPr>
                <w:rFonts w:hint="eastAsia"/>
                <w:sz w:val="24"/>
                <w:szCs w:val="24"/>
              </w:rPr>
              <w:t xml:space="preserve">间）前递交（上传）投标文件。</w:t>
            </w:r>
            <w:r/>
          </w:p>
        </w:tc>
      </w:tr>
    </w:tbl>
    <w:p>
      <w:pPr>
        <w:pStyle w:val="64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Theme="minorEastAsia"/>
          <w:sz w:val="24"/>
          <w:szCs w:val="24"/>
          <w:lang w:eastAsia="zh-CN"/>
        </w:rPr>
      </w:pPr>
      <w:r>
        <w:rPr>
          <w:rFonts w:hint="eastAsia"/>
          <w:sz w:val="24"/>
          <w:szCs w:val="24"/>
        </w:rPr>
        <w:t xml:space="preserve">项目</w:t>
      </w:r>
      <w:bookmarkStart w:id="34" w:name="_GoBack"/>
      <w:r>
        <w:rPr>
          <w:rFonts w:hint="eastAsia"/>
          <w:sz w:val="24"/>
          <w:szCs w:val="24"/>
          <w:highlight w:val="none"/>
        </w:rPr>
        <w:t xml:space="preserve">编号：</w:t>
      </w:r>
      <w:r>
        <w:rPr>
          <w:rFonts w:hint="eastAsia"/>
          <w:sz w:val="24"/>
          <w:szCs w:val="24"/>
          <w:highlight w:val="none"/>
          <w:lang w:eastAsia="zh-CN"/>
        </w:rPr>
        <w:t xml:space="preserve">JSZC-320723-LYGZ-G2024-0016</w:t>
      </w:r>
      <w:bookmarkEnd w:id="34"/>
      <w:r/>
      <w:r/>
    </w:p>
    <w:p>
      <w:pPr>
        <w:ind w:firstLine="480"/>
        <w:jc w:val="left"/>
        <w:spacing w:line="360" w:lineRule="auto"/>
        <w:rPr>
          <w:rFonts w:eastAsia="宋体"/>
          <w:sz w:val="24"/>
          <w:szCs w:val="24"/>
        </w:rPr>
      </w:pPr>
      <w:r>
        <w:rPr>
          <w:rFonts w:hint="eastAsia"/>
          <w:sz w:val="24"/>
          <w:szCs w:val="24"/>
        </w:rPr>
        <w:t xml:space="preserve">项目名称：</w:t>
      </w:r>
      <w:r>
        <w:rPr>
          <w:rFonts w:hint="eastAsia" w:eastAsia="宋体"/>
          <w:sz w:val="24"/>
          <w:szCs w:val="24"/>
        </w:rPr>
        <w:t xml:space="preserve">灌云县高标准农田调查摸底上图入库项目</w:t>
      </w:r>
      <w:r/>
    </w:p>
    <w:p>
      <w:pPr>
        <w:ind w:firstLine="480"/>
        <w:jc w:val="left"/>
        <w:spacing w:line="360" w:lineRule="auto"/>
        <w:rPr>
          <w:sz w:val="24"/>
          <w:szCs w:val="24"/>
        </w:rPr>
      </w:pPr>
      <w:r>
        <w:rPr>
          <w:rFonts w:hint="eastAsia"/>
          <w:sz w:val="24"/>
          <w:szCs w:val="24"/>
        </w:rPr>
        <w:t xml:space="preserve">预算金额：</w:t>
      </w:r>
      <w:r>
        <w:rPr>
          <w:rFonts w:hint="eastAsia" w:eastAsia="宋体"/>
          <w:sz w:val="24"/>
          <w:szCs w:val="24"/>
        </w:rPr>
        <w:t xml:space="preserve">660</w:t>
      </w:r>
      <w:r>
        <w:rPr>
          <w:rFonts w:hint="eastAsia"/>
          <w:sz w:val="24"/>
          <w:szCs w:val="24"/>
        </w:rPr>
        <w:t xml:space="preserve">万元</w:t>
      </w:r>
      <w:r/>
    </w:p>
    <w:p>
      <w:pPr>
        <w:ind w:firstLine="480"/>
        <w:jc w:val="left"/>
        <w:spacing w:line="360" w:lineRule="auto"/>
        <w:rPr>
          <w:b/>
          <w:bCs/>
          <w:sz w:val="24"/>
          <w:szCs w:val="24"/>
        </w:rPr>
      </w:pPr>
      <w:r>
        <w:rPr>
          <w:rFonts w:hint="eastAsia"/>
          <w:sz w:val="24"/>
          <w:szCs w:val="24"/>
        </w:rPr>
        <w:t xml:space="preserve">最高限价：</w:t>
      </w:r>
      <w:r>
        <w:rPr>
          <w:rFonts w:hint="eastAsia" w:eastAsia="宋体"/>
          <w:b/>
          <w:bCs/>
          <w:sz w:val="24"/>
          <w:szCs w:val="24"/>
        </w:rPr>
        <w:t xml:space="preserve">660</w:t>
      </w:r>
      <w:r>
        <w:rPr>
          <w:rFonts w:hint="eastAsia"/>
          <w:b/>
          <w:bCs/>
          <w:sz w:val="24"/>
          <w:szCs w:val="24"/>
        </w:rPr>
        <w:t xml:space="preserve">万元，投标报价超过最高限价的视为无效标。</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根据农业农村厅印发的《江苏省高标准农田调查摸底上图入库工作指南》，现对灌云县高标准农田进行调查摸底上图入库工作，包括对位置面积复查与校核比对、数据采集与调查、成果汇交等，以及对耕地内未建高标准农田区域地块进行宜建性评估，具体内容详见招标文件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对本项目资格要求、采购需求、评标方法与评标标准等部分的询问、质疑请与招标人联系，由招标人负责答复。</w:t>
      </w:r>
      <w:r/>
    </w:p>
    <w:p>
      <w:pPr>
        <w:ind w:firstLine="480"/>
        <w:jc w:val="left"/>
        <w:spacing w:line="500" w:lineRule="exact"/>
        <w:rPr>
          <w:sz w:val="24"/>
          <w:szCs w:val="24"/>
        </w:rPr>
      </w:pPr>
      <w:r>
        <w:rPr>
          <w:rFonts w:hint="eastAsia"/>
          <w:sz w:val="24"/>
          <w:szCs w:val="24"/>
        </w:rPr>
        <w:t xml:space="preserve">合同履行期限：</w:t>
      </w:r>
      <w:r>
        <w:rPr>
          <w:rFonts w:hint="eastAsia"/>
          <w:b/>
          <w:sz w:val="24"/>
          <w:szCs w:val="24"/>
        </w:rPr>
        <w:t xml:space="preserve">自合同签订之日起，2025年7月底前完成，2025年12月底前配合完成项目审计、验收等后续工作。（具体时间以省、市两级实际工作进度为准）。</w:t>
      </w:r>
      <w:r/>
    </w:p>
    <w:p>
      <w:pPr>
        <w:ind w:firstLine="480"/>
        <w:jc w:val="left"/>
        <w:spacing w:line="360" w:lineRule="auto"/>
        <w:rPr>
          <w:sz w:val="24"/>
          <w:szCs w:val="24"/>
        </w:rPr>
      </w:pPr>
      <w:r>
        <w:rPr>
          <w:rFonts w:hint="eastAsia"/>
          <w:sz w:val="24"/>
          <w:szCs w:val="24"/>
        </w:rPr>
        <w:t xml:space="preserve">本项目（是/否√）接受联合体投标：</w:t>
      </w:r>
      <w:r/>
    </w:p>
    <w:p>
      <w:pPr>
        <w:pStyle w:val="64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0"/>
        <w:jc w:val="left"/>
        <w:spacing w:line="360" w:lineRule="auto"/>
        <w:rPr>
          <w:sz w:val="24"/>
          <w:szCs w:val="24"/>
        </w:rPr>
      </w:pPr>
      <w:r>
        <w:rPr>
          <w:rFonts w:hint="eastAsia"/>
          <w:sz w:val="24"/>
          <w:szCs w:val="24"/>
        </w:rPr>
        <w:t xml:space="preserve">1.法人或者其他组织的营业执照等证明文件，自然人的身份证明；</w:t>
      </w:r>
      <w:r/>
    </w:p>
    <w:p>
      <w:pPr>
        <w:ind w:firstLine="480"/>
        <w:jc w:val="left"/>
        <w:spacing w:line="360" w:lineRule="auto"/>
        <w:rPr>
          <w:sz w:val="24"/>
          <w:szCs w:val="24"/>
        </w:rPr>
      </w:pPr>
      <w:r>
        <w:rPr>
          <w:rFonts w:hint="eastAsia"/>
          <w:sz w:val="24"/>
          <w:szCs w:val="24"/>
        </w:rPr>
        <w:t xml:space="preserve">2.具有良好的商业信誉和健全的财务会计制度；</w:t>
      </w:r>
      <w:r/>
    </w:p>
    <w:p>
      <w:pPr>
        <w:ind w:firstLine="480"/>
        <w:jc w:val="left"/>
        <w:spacing w:line="360" w:lineRule="auto"/>
        <w:rPr>
          <w:sz w:val="24"/>
          <w:szCs w:val="24"/>
        </w:rPr>
      </w:pPr>
      <w:r>
        <w:rPr>
          <w:rFonts w:hint="eastAsia"/>
          <w:sz w:val="24"/>
          <w:szCs w:val="24"/>
        </w:rPr>
        <w:t xml:space="preserve">3.依法缴纳税收和社会保障资金的相关材料；</w:t>
      </w:r>
      <w:r/>
    </w:p>
    <w:p>
      <w:pPr>
        <w:ind w:firstLine="482"/>
        <w:jc w:val="left"/>
        <w:spacing w:line="360" w:lineRule="auto"/>
        <w:rPr>
          <w:b/>
          <w:bCs/>
          <w:sz w:val="24"/>
          <w:szCs w:val="24"/>
        </w:rPr>
      </w:pPr>
      <w:r>
        <w:rPr>
          <w:rFonts w:hint="eastAsia"/>
          <w:b/>
          <w:bCs/>
          <w:sz w:val="24"/>
          <w:szCs w:val="24"/>
        </w:rPr>
        <w:t xml:space="preserve">（根据连财购〔2023〕4号文件精神，2、3项可以提供《财务状况报告及税收、社会保障资金缴纳情况承诺函》，详见第六章 投标文件格式）</w:t>
      </w:r>
      <w:r/>
    </w:p>
    <w:p>
      <w:pPr>
        <w:ind w:firstLine="480"/>
        <w:jc w:val="left"/>
        <w:spacing w:line="360" w:lineRule="auto"/>
        <w:rPr>
          <w:sz w:val="24"/>
          <w:szCs w:val="24"/>
        </w:rPr>
      </w:pPr>
      <w:r>
        <w:rPr>
          <w:rFonts w:hint="eastAsia"/>
          <w:sz w:val="24"/>
          <w:szCs w:val="24"/>
        </w:rPr>
        <w:t xml:space="preserve">4.具备履行合同所必需的设备和专业技术能力的声明及证明材料；</w:t>
      </w:r>
      <w:r/>
    </w:p>
    <w:p>
      <w:pPr>
        <w:ind w:firstLine="480"/>
        <w:jc w:val="left"/>
        <w:spacing w:line="360" w:lineRule="auto"/>
        <w:rPr>
          <w:sz w:val="24"/>
          <w:szCs w:val="24"/>
        </w:rPr>
      </w:pPr>
      <w:r>
        <w:rPr>
          <w:rFonts w:hint="eastAsia"/>
          <w:sz w:val="24"/>
          <w:szCs w:val="24"/>
        </w:rPr>
        <w:t xml:space="preserve">5.参加政府采购活动前3年内在经营活动中没有重大违法记录的书面声明；</w:t>
      </w:r>
      <w:r/>
    </w:p>
    <w:p>
      <w:pPr>
        <w:ind w:firstLine="480"/>
        <w:jc w:val="left"/>
        <w:spacing w:line="360" w:lineRule="auto"/>
        <w:rPr>
          <w:sz w:val="24"/>
          <w:szCs w:val="24"/>
        </w:rPr>
      </w:pPr>
      <w:r>
        <w:rPr>
          <w:rFonts w:hint="eastAsia"/>
          <w:sz w:val="24"/>
          <w:szCs w:val="24"/>
        </w:rPr>
        <w:t xml:space="preserve">（二）落实政府采购政策需满足的资格要求：</w:t>
      </w:r>
      <w:r/>
    </w:p>
    <w:p>
      <w:pPr>
        <w:ind w:firstLine="482"/>
        <w:jc w:val="left"/>
        <w:spacing w:line="360" w:lineRule="auto"/>
        <w:rPr>
          <w:b/>
          <w:bCs/>
          <w:sz w:val="24"/>
          <w:szCs w:val="24"/>
        </w:rPr>
      </w:pPr>
      <w:r>
        <w:rPr>
          <w:rFonts w:hint="eastAsia"/>
          <w:b/>
          <w:bCs/>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numPr>
          <w:ilvl w:val="0"/>
          <w:numId w:val="1"/>
        </w:numPr>
        <w:ind w:firstLine="480"/>
        <w:jc w:val="left"/>
        <w:spacing w:line="360" w:lineRule="auto"/>
        <w:rPr>
          <w:sz w:val="24"/>
          <w:szCs w:val="24"/>
        </w:rPr>
      </w:pPr>
      <w:r>
        <w:rPr>
          <w:rFonts w:hint="eastAsia"/>
          <w:sz w:val="24"/>
          <w:szCs w:val="24"/>
        </w:rPr>
        <w:t xml:space="preserve">本项目的特定资格要求：</w:t>
      </w:r>
      <w:r/>
    </w:p>
    <w:p>
      <w:pPr>
        <w:numPr>
          <w:ilvl w:val="0"/>
          <w:numId w:val="2"/>
        </w:num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投标人须具有乙级及以上测绘资质证书（同时具备工程测量、摄影测量与遥感、地理信息系统工程）；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3.若投标人法定代表人参与投标，则仅需提供法定代表人身份证；若授权代理人参与投标，则需提供企业法人委托书、授权人身份证、被授权人身份证。</w:t>
      </w:r>
      <w:r/>
    </w:p>
    <w:p>
      <w:pPr>
        <w:pStyle w:val="646"/>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spacing w:line="85" w:lineRule="atLeast"/>
        <w:rPr>
          <w:rFonts w:asciiTheme="minorEastAsia" w:hAnsiTheme="minorEastAsia"/>
          <w:sz w:val="24"/>
          <w:szCs w:val="24"/>
          <w:highlight w:val="white"/>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highlight w:val="white"/>
        </w:rPr>
        <w:t xml:space="preserve">时间：</w:t>
      </w:r>
      <w:r>
        <w:rPr>
          <w:rFonts w:ascii="宋体" w:hAnsi="宋体" w:eastAsia="宋体" w:cs="宋体"/>
          <w:b/>
          <w:color w:val="000000"/>
          <w:sz w:val="24"/>
          <w:highlight w:val="white"/>
        </w:rPr>
        <w:t xml:space="preserve">2024年</w:t>
      </w:r>
      <w:r>
        <w:rPr>
          <w:rFonts w:hint="eastAsia" w:ascii="宋体" w:hAnsi="宋体" w:eastAsia="宋体" w:cs="宋体"/>
          <w:b/>
          <w:color w:val="000000"/>
          <w:sz w:val="24"/>
          <w:highlight w:val="white"/>
        </w:rPr>
        <w:t xml:space="preserve">12</w:t>
      </w:r>
      <w:r>
        <w:rPr>
          <w:rFonts w:ascii="宋体" w:hAnsi="宋体" w:eastAsia="宋体" w:cs="宋体"/>
          <w:b/>
          <w:color w:val="000000"/>
          <w:sz w:val="24"/>
          <w:highlight w:val="white"/>
        </w:rPr>
        <w:t xml:space="preserve">月27</w:t>
      </w:r>
      <w:r>
        <w:rPr>
          <w:rFonts w:ascii="宋体" w:hAnsi="宋体" w:eastAsia="宋体" w:cs="宋体"/>
          <w:b/>
          <w:color w:val="000000"/>
          <w:sz w:val="24"/>
          <w:highlight w:val="white"/>
        </w:rPr>
        <w:t xml:space="preserve">日至2025年1</w:t>
      </w:r>
      <w:r>
        <w:rPr>
          <w:rFonts w:ascii="宋体" w:hAnsi="宋体" w:eastAsia="宋体" w:cs="宋体"/>
          <w:b/>
          <w:color w:val="000000"/>
          <w:sz w:val="24"/>
          <w:highlight w:val="white"/>
        </w:rPr>
        <w:t xml:space="preserve">月3</w:t>
      </w:r>
      <w:r>
        <w:rPr>
          <w:rFonts w:ascii="宋体" w:hAnsi="宋体" w:eastAsia="宋体" w:cs="宋体"/>
          <w:b/>
          <w:color w:val="000000"/>
          <w:sz w:val="24"/>
          <w:highlight w:val="white"/>
        </w:rPr>
        <w:t xml:space="preserve">日，每天上午00:00-12:00，下午12:00-23:59（</w:t>
      </w:r>
      <w:r>
        <w:rPr>
          <w:rFonts w:ascii="宋体" w:hAnsi="宋体" w:eastAsia="宋体" w:cs="宋体"/>
          <w:color w:val="000000"/>
          <w:sz w:val="24"/>
          <w:highlight w:val="white"/>
        </w:rPr>
        <w:t xml:space="preserve">北京时间，节假日除外</w:t>
      </w:r>
      <w:r>
        <w:rPr>
          <w:rFonts w:ascii="宋体" w:hAnsi="宋体" w:eastAsia="宋体" w:cs="宋体"/>
          <w:b/>
          <w:color w:val="000000"/>
          <w:sz w:val="24"/>
          <w:highlight w:val="white"/>
        </w:rPr>
        <w:t xml:space="preserve">）</w:t>
      </w:r>
      <w:r>
        <w:rPr>
          <w:highlight w:val="white"/>
        </w:rPr>
      </w:r>
    </w:p>
    <w:p>
      <w:pPr>
        <w:ind w:firstLine="480"/>
        <w:jc w:val="left"/>
        <w:spacing w:line="360" w:lineRule="auto"/>
        <w:rPr>
          <w:sz w:val="24"/>
          <w:szCs w:val="24"/>
        </w:rPr>
      </w:pPr>
      <w:r>
        <w:rPr>
          <w:rFonts w:hint="eastAsia"/>
          <w:sz w:val="24"/>
          <w:szCs w:val="24"/>
        </w:rPr>
        <w:t xml:space="preserve">地点：江苏政府采购网</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646"/>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highlight w:val="white"/>
        </w:rPr>
      </w:pPr>
      <w:r>
        <w:rPr>
          <w:rFonts w:hint="eastAsia"/>
          <w:sz w:val="24"/>
          <w:szCs w:val="24"/>
        </w:rPr>
        <w:t xml:space="preserve">提交投标文件截止时间</w:t>
      </w:r>
      <w:r>
        <w:rPr>
          <w:rFonts w:hint="eastAsia"/>
          <w:sz w:val="24"/>
          <w:szCs w:val="24"/>
          <w:highlight w:val="white"/>
        </w:rPr>
        <w:t xml:space="preserve">：</w:t>
      </w:r>
      <w:r>
        <w:rPr>
          <w:rFonts w:hint="eastAsia"/>
          <w:sz w:val="24"/>
          <w:szCs w:val="24"/>
          <w:highlight w:val="white"/>
        </w:rPr>
        <w:t xml:space="preserve">2025年1月17日10:00:00（北京时间）</w:t>
      </w:r>
      <w:r>
        <w:rPr>
          <w:highlight w:val="white"/>
        </w:rP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64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spacing w:line="360" w:lineRule="auto"/>
        <w:rPr>
          <w:rFonts w:ascii="宋体" w:hAnsi="宋体" w:eastAsia="宋体" w:cs="宋体"/>
          <w:sz w:val="24"/>
          <w:szCs w:val="24"/>
        </w:rPr>
      </w:pPr>
      <w:r/>
      <w:bookmarkStart w:id="13" w:name="_Toc35393795"/>
      <w:r/>
      <w:bookmarkStart w:id="14" w:name="_Toc38985268"/>
      <w:r/>
      <w:bookmarkStart w:id="15" w:name="_Toc35393626"/>
      <w:r>
        <w:rPr>
          <w:rFonts w:hint="eastAsia" w:ascii="宋体" w:hAnsi="宋体" w:cs="宋体"/>
          <w:sz w:val="24"/>
          <w:szCs w:val="24"/>
        </w:rPr>
        <w:t xml:space="preserve">1、</w:t>
      </w:r>
      <w:r>
        <w:rPr>
          <w:rFonts w:hint="eastAsia" w:ascii="宋体" w:hAnsi="宋体" w:eastAsia="宋体" w:cs="宋体"/>
          <w:sz w:val="24"/>
          <w:szCs w:val="24"/>
        </w:rPr>
        <w:t xml:space="preserve">公告期限为自本公告发布之日起</w:t>
      </w:r>
      <w:r>
        <w:rPr>
          <w:rFonts w:hint="eastAsia" w:ascii="宋体" w:hAnsi="宋体" w:cs="宋体"/>
          <w:sz w:val="24"/>
          <w:szCs w:val="24"/>
        </w:rPr>
        <w:t xml:space="preserve">5</w:t>
      </w:r>
      <w:r>
        <w:rPr>
          <w:rFonts w:hint="eastAsia" w:ascii="宋体" w:hAnsi="宋体" w:eastAsia="宋体" w:cs="宋体"/>
          <w:sz w:val="24"/>
          <w:szCs w:val="24"/>
        </w:rPr>
        <w:t xml:space="preserve">个工作日</w:t>
      </w:r>
      <w:bookmarkEnd w:id="13"/>
      <w:r/>
      <w:bookmarkEnd w:id="14"/>
      <w:r/>
      <w:bookmarkEnd w:id="15"/>
      <w:r>
        <w:rPr>
          <w:rFonts w:hint="eastAsia" w:ascii="宋体" w:hAnsi="宋体" w:cs="宋体"/>
          <w:sz w:val="24"/>
          <w:szCs w:val="24"/>
        </w:rPr>
        <w:t xml:space="preserve">；</w:t>
      </w:r>
      <w:r/>
    </w:p>
    <w:p>
      <w:pPr>
        <w:ind w:firstLine="480"/>
        <w:spacing w:line="360" w:lineRule="auto"/>
        <w:rPr>
          <w:rFonts w:ascii="宋体" w:hAnsi="宋体" w:eastAsia="宋体" w:cs="Times New Roman"/>
          <w:sz w:val="24"/>
          <w:szCs w:val="24"/>
        </w:rPr>
      </w:pPr>
      <w:r>
        <w:rPr>
          <w:rFonts w:hint="eastAsia" w:ascii="宋体" w:hAnsi="宋体" w:cs="宋体"/>
          <w:sz w:val="24"/>
          <w:szCs w:val="24"/>
        </w:rPr>
        <w:t xml:space="preserve">2、发布媒</w:t>
      </w:r>
      <w:r>
        <w:rPr>
          <w:rFonts w:hint="eastAsia" w:ascii="宋体" w:hAnsi="宋体" w:eastAsia="宋体" w:cs="宋体"/>
          <w:sz w:val="24"/>
          <w:szCs w:val="24"/>
        </w:rPr>
        <w:t xml:space="preserve">介：江苏政府采购网</w:t>
      </w:r>
      <w:r>
        <w:rPr>
          <w:rFonts w:hint="eastAsia" w:ascii="宋体" w:hAnsi="宋体" w:cs="宋体"/>
          <w:sz w:val="24"/>
          <w:szCs w:val="24"/>
        </w:rPr>
        <w:t xml:space="preserve">。</w:t>
      </w:r>
      <w:r/>
    </w:p>
    <w:p>
      <w:pPr>
        <w:pStyle w:val="64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360" w:lineRule="auto"/>
        <w:rPr>
          <w:sz w:val="24"/>
          <w:szCs w:val="24"/>
        </w:rPr>
      </w:pPr>
      <w:r>
        <w:rPr>
          <w:rFonts w:hint="eastAsia"/>
          <w:sz w:val="24"/>
          <w:szCs w:val="24"/>
        </w:rPr>
        <w:t xml:space="preserve">1.本次招标不收取投标保证金。</w:t>
      </w:r>
      <w:r/>
    </w:p>
    <w:p>
      <w:pPr>
        <w:ind w:firstLine="480"/>
        <w:jc w:val="left"/>
        <w:spacing w:line="360" w:lineRule="auto"/>
        <w:rPr>
          <w:sz w:val="24"/>
          <w:szCs w:val="24"/>
        </w:rPr>
      </w:pPr>
      <w:r>
        <w:rPr>
          <w:rFonts w:hint="eastAsia"/>
          <w:sz w:val="24"/>
          <w:szCs w:val="24"/>
        </w:rPr>
        <w:t xml:space="preserve">2.无论出于何种原因，招标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360" w:lineRule="auto"/>
        <w:rPr>
          <w:sz w:val="24"/>
          <w:szCs w:val="24"/>
        </w:rPr>
      </w:pPr>
      <w:r>
        <w:rPr>
          <w:rFonts w:hint="eastAsia"/>
          <w:sz w:val="24"/>
          <w:szCs w:val="24"/>
        </w:rPr>
        <w:t xml:space="preserve">3.根据江苏省财政厅《关于更换全省政府采购交易系统C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sz w:val="24"/>
          <w:szCs w:val="24"/>
        </w:rPr>
      </w:pPr>
      <w:r>
        <w:rPr>
          <w:rFonts w:hint="eastAsia"/>
          <w:sz w:val="24"/>
          <w:szCs w:val="24"/>
        </w:rPr>
        <w:t xml:space="preserve">http://www.ccgp-jiangsu.gov.cn/jiangsu/zlxz/ee/ee3a4bc5a3454aa2b0d9312230633ce9.html</w:t>
      </w:r>
      <w:r/>
    </w:p>
    <w:p>
      <w:pPr>
        <w:ind w:firstLine="480"/>
        <w:jc w:val="left"/>
        <w:spacing w:line="360" w:lineRule="auto"/>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4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1.招标人信息</w:t>
      </w:r>
      <w:r/>
    </w:p>
    <w:p>
      <w:pPr>
        <w:ind w:firstLine="480"/>
        <w:jc w:val="left"/>
        <w:spacing w:line="360" w:lineRule="auto"/>
        <w:rPr>
          <w:rFonts w:eastAsia="宋体"/>
          <w:sz w:val="24"/>
          <w:szCs w:val="24"/>
        </w:rPr>
      </w:pPr>
      <w:r>
        <w:rPr>
          <w:rFonts w:hint="eastAsia"/>
          <w:sz w:val="24"/>
          <w:szCs w:val="24"/>
        </w:rPr>
        <w:t xml:space="preserve">名    称：</w:t>
      </w:r>
      <w:r>
        <w:rPr>
          <w:rFonts w:hint="eastAsia" w:eastAsia="宋体"/>
          <w:sz w:val="24"/>
          <w:szCs w:val="24"/>
        </w:rPr>
        <w:t xml:space="preserve">灌云县农业农村局</w:t>
      </w:r>
      <w:r/>
    </w:p>
    <w:p>
      <w:pPr>
        <w:ind w:firstLine="480"/>
        <w:jc w:val="left"/>
        <w:spacing w:line="360" w:lineRule="auto"/>
        <w:rPr>
          <w:rFonts w:eastAsia="宋体"/>
          <w:sz w:val="24"/>
          <w:szCs w:val="24"/>
        </w:rPr>
      </w:pPr>
      <w:r>
        <w:rPr>
          <w:rFonts w:hint="eastAsia"/>
          <w:sz w:val="24"/>
          <w:szCs w:val="24"/>
        </w:rPr>
        <w:t xml:space="preserve">地    址：</w:t>
      </w:r>
      <w:r>
        <w:rPr>
          <w:rFonts w:hint="eastAsia" w:eastAsia="宋体"/>
          <w:sz w:val="24"/>
          <w:szCs w:val="24"/>
        </w:rPr>
        <w:t xml:space="preserve">江苏省连云港市灌云县伊山镇伊山中路257号</w:t>
      </w:r>
      <w:r/>
    </w:p>
    <w:p>
      <w:pPr>
        <w:ind w:firstLine="480"/>
        <w:jc w:val="left"/>
        <w:spacing w:line="360" w:lineRule="auto"/>
        <w:rPr>
          <w:rFonts w:eastAsia="宋体"/>
          <w:sz w:val="24"/>
          <w:szCs w:val="24"/>
        </w:rPr>
      </w:pPr>
      <w:r>
        <w:rPr>
          <w:rFonts w:hint="eastAsia"/>
          <w:sz w:val="24"/>
          <w:szCs w:val="24"/>
        </w:rPr>
        <w:t xml:space="preserve">联 系 人：</w:t>
      </w:r>
      <w:r>
        <w:rPr>
          <w:rFonts w:hint="eastAsia" w:eastAsia="宋体"/>
          <w:sz w:val="24"/>
          <w:szCs w:val="24"/>
        </w:rPr>
        <w:t xml:space="preserve">闫先生</w:t>
      </w:r>
      <w:r/>
    </w:p>
    <w:p>
      <w:pPr>
        <w:ind w:firstLine="480"/>
        <w:jc w:val="left"/>
        <w:spacing w:line="360" w:lineRule="auto"/>
        <w:rPr>
          <w:sz w:val="24"/>
          <w:szCs w:val="24"/>
        </w:rPr>
      </w:pPr>
      <w:r>
        <w:rPr>
          <w:rFonts w:hint="eastAsia"/>
          <w:sz w:val="24"/>
          <w:szCs w:val="24"/>
        </w:rPr>
        <w:t xml:space="preserve">联系电话：</w:t>
      </w:r>
      <w:r>
        <w:rPr>
          <w:rFonts w:hint="eastAsia" w:eastAsia="宋体"/>
          <w:sz w:val="24"/>
          <w:szCs w:val="24"/>
        </w:rPr>
        <w:t xml:space="preserve">0518-80539730</w:t>
      </w:r>
      <w:r>
        <w:rPr>
          <w:rFonts w:hint="eastAsia"/>
          <w:sz w:val="24"/>
          <w:szCs w:val="24"/>
        </w:rPr>
        <w:t xml:space="preserve">          </w:t>
      </w:r>
      <w:r/>
    </w:p>
    <w:p>
      <w:pPr>
        <w:ind w:firstLine="480"/>
        <w:jc w:val="left"/>
        <w:spacing w:line="360" w:lineRule="auto"/>
        <w:rPr>
          <w:sz w:val="24"/>
          <w:szCs w:val="24"/>
        </w:rPr>
      </w:pPr>
      <w:r>
        <w:rPr>
          <w:rFonts w:hint="eastAsia"/>
          <w:sz w:val="24"/>
          <w:szCs w:val="24"/>
        </w:rPr>
        <w:t xml:space="preserve">2.采购代理机构信息</w:t>
      </w:r>
      <w:r/>
    </w:p>
    <w:p>
      <w:pPr>
        <w:ind w:firstLine="480"/>
        <w:jc w:val="left"/>
        <w:spacing w:line="360" w:lineRule="auto"/>
        <w:rPr>
          <w:rFonts w:eastAsia="宋体"/>
          <w:sz w:val="24"/>
          <w:szCs w:val="24"/>
        </w:rPr>
      </w:pPr>
      <w:r>
        <w:rPr>
          <w:rFonts w:hint="eastAsia"/>
          <w:sz w:val="24"/>
          <w:szCs w:val="24"/>
        </w:rPr>
        <w:t xml:space="preserve">名    称：</w:t>
      </w:r>
      <w:r>
        <w:rPr>
          <w:rFonts w:hint="eastAsia" w:ascii="宋体" w:hAnsi="宋体" w:eastAsia="宋体" w:cs="宋体"/>
          <w:sz w:val="24"/>
          <w:szCs w:val="24"/>
        </w:rPr>
        <w:t xml:space="preserve">连云港市正源招标代理有限公司</w:t>
      </w:r>
      <w:r/>
    </w:p>
    <w:p>
      <w:pPr>
        <w:ind w:firstLine="480"/>
        <w:jc w:val="left"/>
        <w:spacing w:line="360" w:lineRule="auto"/>
        <w:rPr>
          <w:rFonts w:eastAsia="宋体"/>
          <w:sz w:val="24"/>
          <w:szCs w:val="24"/>
        </w:rPr>
      </w:pPr>
      <w:r>
        <w:rPr>
          <w:rFonts w:hint="eastAsia"/>
          <w:sz w:val="24"/>
          <w:szCs w:val="24"/>
        </w:rPr>
        <w:t xml:space="preserve">地    址：</w:t>
      </w:r>
      <w:r>
        <w:rPr>
          <w:rFonts w:hint="eastAsia" w:eastAsia="宋体"/>
          <w:sz w:val="24"/>
          <w:szCs w:val="24"/>
        </w:rPr>
        <w:t xml:space="preserve">连云港市海州区秦东门大街382号兴亿达大厦12楼</w:t>
      </w:r>
      <w:r/>
    </w:p>
    <w:p>
      <w:pPr>
        <w:ind w:firstLine="480"/>
        <w:jc w:val="left"/>
        <w:spacing w:line="360" w:lineRule="auto"/>
        <w:rPr>
          <w:rFonts w:eastAsia="宋体"/>
          <w:sz w:val="24"/>
          <w:szCs w:val="24"/>
        </w:rPr>
      </w:pPr>
      <w:r>
        <w:rPr>
          <w:rFonts w:hint="eastAsia"/>
          <w:sz w:val="24"/>
          <w:szCs w:val="24"/>
        </w:rPr>
        <w:t xml:space="preserve">联 系 人：</w:t>
      </w:r>
      <w:r>
        <w:rPr>
          <w:rFonts w:hint="eastAsia" w:eastAsia="宋体"/>
          <w:sz w:val="24"/>
          <w:szCs w:val="24"/>
        </w:rPr>
        <w:t xml:space="preserve">刘工</w:t>
      </w:r>
      <w:r/>
    </w:p>
    <w:p>
      <w:pPr>
        <w:ind w:firstLine="480"/>
        <w:jc w:val="left"/>
        <w:spacing w:line="360" w:lineRule="auto"/>
        <w:rPr>
          <w:rFonts w:eastAsia="宋体"/>
          <w:sz w:val="24"/>
          <w:szCs w:val="24"/>
        </w:rPr>
      </w:pPr>
      <w:r>
        <w:rPr>
          <w:rFonts w:hint="eastAsia"/>
          <w:sz w:val="24"/>
          <w:szCs w:val="24"/>
        </w:rPr>
        <w:t xml:space="preserve">联系电话：</w:t>
      </w:r>
      <w:r>
        <w:rPr>
          <w:rFonts w:hint="eastAsia" w:ascii="宋体" w:hAnsi="宋体" w:eastAsia="宋体" w:cs="宋体"/>
          <w:sz w:val="24"/>
          <w:szCs w:val="24"/>
        </w:rPr>
        <w:t xml:space="preserve">15961318871</w:t>
      </w:r>
      <w:r/>
    </w:p>
    <w:p>
      <w:pPr>
        <w:ind w:firstLine="480"/>
        <w:jc w:val="left"/>
        <w:spacing w:line="360" w:lineRule="auto"/>
        <w:rPr>
          <w:sz w:val="24"/>
          <w:szCs w:val="24"/>
        </w:rPr>
      </w:pPr>
      <w:r>
        <w:rPr>
          <w:rFonts w:hint="eastAsia"/>
          <w:sz w:val="24"/>
          <w:szCs w:val="24"/>
        </w:rPr>
        <w:t xml:space="preserve">3.项目联系方式</w:t>
      </w:r>
      <w:r/>
    </w:p>
    <w:p>
      <w:pPr>
        <w:ind w:firstLine="480"/>
        <w:jc w:val="left"/>
        <w:spacing w:line="360" w:lineRule="auto"/>
        <w:rPr>
          <w:rFonts w:eastAsia="宋体"/>
          <w:sz w:val="24"/>
          <w:szCs w:val="24"/>
        </w:rPr>
      </w:pPr>
      <w:r>
        <w:rPr>
          <w:rFonts w:hint="eastAsia"/>
          <w:sz w:val="24"/>
          <w:szCs w:val="24"/>
        </w:rPr>
        <w:t xml:space="preserve">项目联系人：</w:t>
      </w:r>
      <w:r>
        <w:rPr>
          <w:rFonts w:hint="eastAsia" w:eastAsia="宋体"/>
          <w:sz w:val="24"/>
          <w:szCs w:val="24"/>
        </w:rPr>
        <w:t xml:space="preserve">闫先生</w:t>
      </w:r>
      <w:r/>
    </w:p>
    <w:p>
      <w:pPr>
        <w:ind w:firstLine="480"/>
        <w:jc w:val="left"/>
        <w:spacing w:line="360" w:lineRule="auto"/>
        <w:rPr>
          <w:sz w:val="24"/>
          <w:szCs w:val="24"/>
        </w:rPr>
      </w:pPr>
      <w:r>
        <w:rPr>
          <w:rFonts w:hint="eastAsia"/>
          <w:sz w:val="24"/>
          <w:szCs w:val="24"/>
        </w:rPr>
        <w:t xml:space="preserve">电      话：</w:t>
      </w:r>
      <w:r>
        <w:rPr>
          <w:rFonts w:hint="eastAsia" w:eastAsia="宋体"/>
          <w:sz w:val="24"/>
          <w:szCs w:val="24"/>
        </w:rPr>
        <w:t xml:space="preserve">0518-80539730</w:t>
      </w:r>
      <w:r>
        <w:rPr>
          <w:sz w:val="24"/>
          <w:szCs w:val="24"/>
        </w:rPr>
        <w:t xml:space="preserve"> </w:t>
      </w:r>
      <w:r/>
    </w:p>
    <w:p>
      <w:pPr>
        <w:jc w:val="left"/>
        <w:widowControl/>
        <w:rPr>
          <w:rFonts w:ascii="黑体" w:hAnsi="黑体" w:eastAsia="黑体"/>
          <w:bCs/>
          <w:sz w:val="44"/>
          <w:szCs w:val="44"/>
        </w:rPr>
      </w:pPr>
      <w:r/>
      <w:bookmarkStart w:id="16" w:name="_Toc155796357"/>
      <w:r>
        <w:rPr>
          <w:rFonts w:ascii="黑体" w:hAnsi="黑体" w:eastAsia="黑体"/>
          <w:b/>
        </w:rPr>
        <w:br w:type="page" w:clear="all"/>
      </w:r>
      <w:r/>
    </w:p>
    <w:p>
      <w:pPr>
        <w:pStyle w:val="645"/>
        <w:ind w:firstLine="880"/>
        <w:jc w:val="center"/>
        <w:spacing w:before="0" w:after="0" w:line="360" w:lineRule="auto"/>
        <w:rPr>
          <w:rFonts w:ascii="黑体" w:hAnsi="黑体" w:eastAsia="黑体"/>
          <w:b w:val="0"/>
        </w:rPr>
      </w:pPr>
      <w:r>
        <w:rPr>
          <w:rFonts w:hint="eastAsia" w:ascii="黑体" w:hAnsi="黑体" w:eastAsia="黑体"/>
          <w:b w:val="0"/>
        </w:rPr>
        <w:t xml:space="preserve">第二章  投标人须知</w:t>
      </w:r>
      <w:bookmarkEnd w:id="16"/>
      <w:r/>
      <w:r/>
    </w:p>
    <w:p>
      <w:pPr>
        <w:pStyle w:val="646"/>
        <w:ind w:firstLine="640"/>
        <w:spacing w:before="0" w:after="0" w:line="360" w:lineRule="auto"/>
        <w:rPr>
          <w:rFonts w:ascii="黑体" w:hAnsi="黑体" w:eastAsia="黑体"/>
          <w:b w:val="0"/>
        </w:rPr>
      </w:pPr>
      <w:r>
        <w:rPr>
          <w:rFonts w:hint="eastAsia" w:ascii="黑体" w:hAnsi="黑体" w:eastAsia="黑体"/>
          <w:b w:val="0"/>
        </w:rPr>
        <w:t xml:space="preserve">一、总则</w:t>
      </w:r>
      <w:r/>
    </w:p>
    <w:p>
      <w:pPr>
        <w:pStyle w:val="647"/>
        <w:ind w:firstLine="562"/>
        <w:jc w:val="left"/>
        <w:spacing w:before="0" w:after="0" w:line="360" w:lineRule="auto"/>
        <w:rPr>
          <w:sz w:val="28"/>
          <w:szCs w:val="28"/>
        </w:rPr>
      </w:pPr>
      <w:r>
        <w:rPr>
          <w:rFonts w:hint="eastAsia"/>
          <w:sz w:val="28"/>
          <w:szCs w:val="28"/>
        </w:rPr>
        <w:t xml:space="preserve">1、采购方式</w:t>
      </w:r>
      <w:r/>
    </w:p>
    <w:p>
      <w:pPr>
        <w:ind w:firstLine="480"/>
        <w:jc w:val="left"/>
        <w:spacing w:line="360" w:lineRule="auto"/>
        <w:rPr>
          <w:sz w:val="24"/>
          <w:szCs w:val="24"/>
        </w:rPr>
      </w:pPr>
      <w:r>
        <w:rPr>
          <w:rFonts w:hint="eastAsia"/>
          <w:sz w:val="24"/>
          <w:szCs w:val="24"/>
        </w:rPr>
        <w:t xml:space="preserve">1.1 本次招标采取公开招标方式，本招标文件仅适用于招标公告中所述项目。</w:t>
      </w:r>
      <w:r/>
    </w:p>
    <w:p>
      <w:pPr>
        <w:pStyle w:val="64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360" w:lineRule="auto"/>
        <w:rPr>
          <w:sz w:val="24"/>
          <w:szCs w:val="24"/>
        </w:rPr>
      </w:pPr>
      <w:r>
        <w:rPr>
          <w:rFonts w:hint="eastAsia"/>
          <w:sz w:val="24"/>
          <w:szCs w:val="24"/>
        </w:rPr>
        <w:t xml:space="preserve">2.1 满足招标公告中申请人的资格要求的规定。</w:t>
      </w:r>
      <w:r/>
    </w:p>
    <w:p>
      <w:pPr>
        <w:ind w:firstLine="480"/>
        <w:jc w:val="left"/>
        <w:spacing w:line="360" w:lineRule="auto"/>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sz w:val="24"/>
          <w:szCs w:val="24"/>
        </w:rPr>
      </w:pPr>
      <w:r>
        <w:rPr>
          <w:rFonts w:hint="eastAsia"/>
          <w:sz w:val="24"/>
          <w:szCs w:val="24"/>
        </w:rPr>
        <w:t xml:space="preserve">2.3 满足本招标文件全部实质性要求和条件的规定。</w:t>
      </w:r>
      <w:r/>
    </w:p>
    <w:p>
      <w:pPr>
        <w:ind w:right="-210" w:firstLine="480"/>
        <w:jc w:val="left"/>
        <w:spacing w:line="360" w:lineRule="auto"/>
        <w:rPr>
          <w:sz w:val="24"/>
          <w:szCs w:val="24"/>
        </w:rPr>
      </w:pPr>
      <w:r>
        <w:rPr>
          <w:rFonts w:hint="eastAsia"/>
          <w:sz w:val="24"/>
          <w:szCs w:val="24"/>
        </w:rPr>
        <w:t xml:space="preserve">2.4 符合上述条件的投标人应承担投标及履约过程应承担的全部责任与义务。</w:t>
      </w:r>
      <w:r/>
    </w:p>
    <w:p>
      <w:pPr>
        <w:pStyle w:val="647"/>
        <w:ind w:firstLine="562"/>
        <w:jc w:val="left"/>
        <w:spacing w:before="0" w:after="0" w:line="360" w:lineRule="auto"/>
        <w:rPr>
          <w:sz w:val="28"/>
          <w:szCs w:val="28"/>
        </w:rPr>
      </w:pPr>
      <w:r>
        <w:rPr>
          <w:rFonts w:hint="eastAsia"/>
          <w:sz w:val="28"/>
          <w:szCs w:val="28"/>
        </w:rPr>
        <w:t xml:space="preserve">3、适用法律</w:t>
      </w:r>
      <w:r/>
    </w:p>
    <w:p>
      <w:pPr>
        <w:ind w:firstLine="480"/>
        <w:jc w:val="left"/>
        <w:spacing w:line="360" w:lineRule="auto"/>
        <w:rPr>
          <w:sz w:val="24"/>
          <w:szCs w:val="24"/>
        </w:rPr>
      </w:pPr>
      <w:r>
        <w:rPr>
          <w:rFonts w:hint="eastAsia"/>
          <w:sz w:val="24"/>
          <w:szCs w:val="24"/>
        </w:rPr>
        <w:t xml:space="preserve">3.1 本次招标及由此产生的合同受中华人民共和国有关的法律法规制约和保护。</w:t>
      </w:r>
      <w:r/>
    </w:p>
    <w:p>
      <w:pPr>
        <w:pStyle w:val="647"/>
        <w:ind w:firstLine="562"/>
        <w:jc w:val="left"/>
        <w:spacing w:before="0" w:after="0" w:line="360" w:lineRule="auto"/>
        <w:rPr>
          <w:sz w:val="28"/>
          <w:szCs w:val="28"/>
        </w:rPr>
      </w:pPr>
      <w:r>
        <w:rPr>
          <w:rFonts w:hint="eastAsia"/>
          <w:sz w:val="28"/>
          <w:szCs w:val="28"/>
        </w:rPr>
        <w:t xml:space="preserve">4、投标费用</w:t>
      </w:r>
      <w:r/>
    </w:p>
    <w:p>
      <w:pPr>
        <w:ind w:firstLine="480"/>
        <w:jc w:val="left"/>
        <w:spacing w:line="360" w:lineRule="auto"/>
        <w:rPr>
          <w:sz w:val="24"/>
          <w:szCs w:val="24"/>
        </w:rPr>
      </w:pPr>
      <w:r>
        <w:rPr>
          <w:rFonts w:hint="eastAsia"/>
          <w:sz w:val="24"/>
          <w:szCs w:val="24"/>
        </w:rPr>
        <w:t xml:space="preserve">4.1 投标人应自行承担所有与参与投标有关的费用，无论投标过程中的做法和结果如何，招标人和招标代理机构在任何情况下均无义务和责任承担这些费用。</w:t>
      </w:r>
      <w:r/>
    </w:p>
    <w:p>
      <w:pPr>
        <w:ind w:firstLine="480"/>
        <w:jc w:val="left"/>
        <w:spacing w:line="360" w:lineRule="auto"/>
        <w:rPr>
          <w:sz w:val="24"/>
          <w:szCs w:val="24"/>
          <w:highlight w:val="yellow"/>
        </w:rPr>
      </w:pPr>
      <w:r>
        <w:rPr>
          <w:rFonts w:hint="eastAsia"/>
          <w:sz w:val="24"/>
          <w:szCs w:val="24"/>
        </w:rPr>
        <w:t xml:space="preserve">4.2 本项目招标代理服务费按“苏招协[2022]002号文”规定收费标准</w:t>
      </w:r>
      <w:r>
        <w:rPr>
          <w:rFonts w:hint="eastAsia" w:eastAsia="宋体"/>
          <w:sz w:val="24"/>
          <w:szCs w:val="24"/>
        </w:rPr>
        <w:t xml:space="preserve">下浮，收取费用65800.00元</w:t>
      </w:r>
      <w:r>
        <w:rPr>
          <w:rFonts w:hint="eastAsia"/>
          <w:sz w:val="24"/>
          <w:szCs w:val="24"/>
        </w:rPr>
        <w:t xml:space="preserve">，以上费用由中标人在领取中标通知书时一次性付清。投标单位在投标报价时应综合考虑以上费用，但不得单列。</w:t>
      </w:r>
      <w:r/>
    </w:p>
    <w:p>
      <w:pPr>
        <w:pStyle w:val="64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360" w:lineRule="auto"/>
        <w:rPr>
          <w:sz w:val="24"/>
          <w:szCs w:val="24"/>
        </w:rPr>
      </w:pPr>
      <w:r>
        <w:rPr>
          <w:rFonts w:hint="eastAsia"/>
          <w:sz w:val="24"/>
          <w:szCs w:val="24"/>
        </w:rPr>
        <w:t xml:space="preserve">5.1 投标人一旦参与本项目采购活动，即被认为接受了本招标文件的规定和约束。</w:t>
      </w:r>
      <w:r/>
    </w:p>
    <w:p>
      <w:pPr>
        <w:pStyle w:val="646"/>
        <w:ind w:firstLine="640"/>
        <w:spacing w:before="0" w:after="0" w:line="360" w:lineRule="auto"/>
        <w:rPr>
          <w:rFonts w:ascii="黑体" w:hAnsi="黑体" w:eastAsia="黑体"/>
          <w:b w:val="0"/>
        </w:rPr>
      </w:pPr>
      <w:r>
        <w:rPr>
          <w:rFonts w:hint="eastAsia" w:ascii="黑体" w:hAnsi="黑体" w:eastAsia="黑体"/>
          <w:b w:val="0"/>
        </w:rPr>
        <w:t xml:space="preserve">二、招标文件</w:t>
      </w:r>
      <w:r/>
    </w:p>
    <w:p>
      <w:pPr>
        <w:pStyle w:val="64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360" w:lineRule="auto"/>
        <w:rPr>
          <w:sz w:val="24"/>
          <w:szCs w:val="24"/>
        </w:rPr>
      </w:pPr>
      <w:r>
        <w:rPr>
          <w:rFonts w:hint="eastAsia"/>
          <w:sz w:val="24"/>
          <w:szCs w:val="24"/>
        </w:rPr>
        <w:t xml:space="preserve">6.1 招标文件由以下部分构成：</w:t>
      </w:r>
      <w:r/>
    </w:p>
    <w:p>
      <w:pPr>
        <w:ind w:firstLine="480"/>
        <w:jc w:val="left"/>
        <w:spacing w:line="360" w:lineRule="auto"/>
        <w:rPr>
          <w:sz w:val="24"/>
          <w:szCs w:val="24"/>
        </w:rPr>
      </w:pPr>
      <w:r>
        <w:rPr>
          <w:rFonts w:hint="eastAsia"/>
          <w:sz w:val="24"/>
          <w:szCs w:val="24"/>
        </w:rPr>
        <w:t xml:space="preserve">（1）投标邀请</w:t>
      </w:r>
      <w:r/>
    </w:p>
    <w:p>
      <w:pPr>
        <w:ind w:firstLine="480"/>
        <w:jc w:val="left"/>
        <w:spacing w:line="360" w:lineRule="auto"/>
        <w:rPr>
          <w:sz w:val="24"/>
          <w:szCs w:val="24"/>
        </w:rPr>
      </w:pPr>
      <w:r>
        <w:rPr>
          <w:rFonts w:hint="eastAsia"/>
          <w:sz w:val="24"/>
          <w:szCs w:val="24"/>
        </w:rPr>
        <w:t xml:space="preserve">（2）投标人须知</w:t>
      </w:r>
      <w:r/>
    </w:p>
    <w:p>
      <w:pPr>
        <w:ind w:firstLine="480"/>
        <w:jc w:val="left"/>
        <w:spacing w:line="360" w:lineRule="auto"/>
        <w:rPr>
          <w:sz w:val="24"/>
          <w:szCs w:val="24"/>
        </w:rPr>
      </w:pPr>
      <w:r>
        <w:rPr>
          <w:rFonts w:hint="eastAsia"/>
          <w:sz w:val="24"/>
          <w:szCs w:val="24"/>
        </w:rPr>
        <w:t xml:space="preserve">（3）合同文本</w:t>
      </w:r>
      <w:r/>
    </w:p>
    <w:p>
      <w:pPr>
        <w:ind w:firstLine="480"/>
        <w:jc w:val="left"/>
        <w:spacing w:line="360" w:lineRule="auto"/>
        <w:rPr>
          <w:sz w:val="24"/>
          <w:szCs w:val="24"/>
        </w:rPr>
      </w:pPr>
      <w:r>
        <w:rPr>
          <w:rFonts w:hint="eastAsia"/>
          <w:sz w:val="24"/>
          <w:szCs w:val="24"/>
        </w:rPr>
        <w:t xml:space="preserve">（4）采购需求</w:t>
      </w:r>
      <w:r/>
    </w:p>
    <w:p>
      <w:pPr>
        <w:ind w:firstLine="480"/>
        <w:jc w:val="left"/>
        <w:spacing w:line="360" w:lineRule="auto"/>
        <w:rPr>
          <w:sz w:val="24"/>
          <w:szCs w:val="24"/>
        </w:rPr>
      </w:pPr>
      <w:r>
        <w:rPr>
          <w:rFonts w:hint="eastAsia"/>
          <w:sz w:val="24"/>
          <w:szCs w:val="24"/>
        </w:rPr>
        <w:t xml:space="preserve">（5）评标方法与评标标准</w:t>
      </w:r>
      <w:r/>
    </w:p>
    <w:p>
      <w:pPr>
        <w:ind w:firstLine="480"/>
        <w:jc w:val="left"/>
        <w:spacing w:line="360" w:lineRule="auto"/>
        <w:rPr>
          <w:sz w:val="24"/>
          <w:szCs w:val="24"/>
        </w:rPr>
      </w:pPr>
      <w:r>
        <w:rPr>
          <w:rFonts w:hint="eastAsia"/>
          <w:sz w:val="24"/>
          <w:szCs w:val="24"/>
        </w:rPr>
        <w:t xml:space="preserve">（6）投标文件格式</w:t>
      </w:r>
      <w:r/>
    </w:p>
    <w:p>
      <w:pPr>
        <w:pStyle w:val="64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360" w:lineRule="auto"/>
        <w:rPr>
          <w:sz w:val="24"/>
          <w:szCs w:val="24"/>
        </w:rPr>
      </w:pPr>
      <w:r>
        <w:rPr>
          <w:rFonts w:hint="eastAsia"/>
          <w:sz w:val="24"/>
          <w:szCs w:val="24"/>
        </w:rPr>
        <w:t xml:space="preserve">7.1 任何要求对招标文件进行澄清的投标人，应在投标截止时间十日前按招标公告中的通讯地址，以书面形式通知招标人或者招标代理机构。</w:t>
      </w:r>
      <w:r/>
    </w:p>
    <w:p>
      <w:pPr>
        <w:pStyle w:val="64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360" w:lineRule="auto"/>
        <w:rPr>
          <w:sz w:val="24"/>
          <w:szCs w:val="24"/>
        </w:rPr>
      </w:pPr>
      <w:r>
        <w:rPr>
          <w:rFonts w:hint="eastAsia"/>
          <w:sz w:val="24"/>
          <w:szCs w:val="24"/>
        </w:rPr>
        <w:t xml:space="preserve">8.1 在投标截止时间前，招标人和招标代理机构可以对招标文件进行修改。</w:t>
      </w:r>
      <w:r/>
    </w:p>
    <w:p>
      <w:pPr>
        <w:ind w:firstLine="480"/>
        <w:jc w:val="left"/>
        <w:spacing w:line="360" w:lineRule="auto"/>
        <w:rPr>
          <w:sz w:val="24"/>
          <w:szCs w:val="24"/>
        </w:rPr>
      </w:pPr>
      <w:r>
        <w:rPr>
          <w:rFonts w:hint="eastAsia"/>
          <w:sz w:val="24"/>
          <w:szCs w:val="24"/>
        </w:rPr>
        <w:t xml:space="preserve">8.2 招标人和招标代理机构有权按照法定的要求推迟投标截止时间和开标时间。</w:t>
      </w:r>
      <w:r/>
    </w:p>
    <w:p>
      <w:pPr>
        <w:ind w:firstLine="480"/>
        <w:jc w:val="left"/>
        <w:spacing w:line="360" w:lineRule="auto"/>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46"/>
        <w:ind w:firstLine="640"/>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4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360" w:lineRule="auto"/>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7"/>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360" w:lineRule="auto"/>
        <w:rPr>
          <w:sz w:val="24"/>
          <w:szCs w:val="24"/>
        </w:rPr>
      </w:pPr>
      <w:r>
        <w:rPr>
          <w:rFonts w:hint="eastAsia"/>
          <w:sz w:val="24"/>
          <w:szCs w:val="24"/>
        </w:rPr>
        <w:t xml:space="preserve">10.1 除专用术语外，投标人提交的投标文件以及投标人与招标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sz w:val="24"/>
          <w:szCs w:val="24"/>
        </w:rPr>
      </w:pPr>
      <w:r>
        <w:rPr>
          <w:rFonts w:hint="eastAsia"/>
          <w:sz w:val="24"/>
          <w:szCs w:val="24"/>
        </w:rPr>
        <w:t xml:space="preserve">10.2 除技术性能另有规定外，投标文件所使用的度量衡单位，均须采用国家法定计量单位。</w:t>
      </w:r>
      <w:r/>
    </w:p>
    <w:p>
      <w:pPr>
        <w:pStyle w:val="647"/>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360" w:lineRule="auto"/>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47"/>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360" w:lineRule="auto"/>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360" w:lineRule="auto"/>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360" w:lineRule="auto"/>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47"/>
        <w:ind w:firstLine="562"/>
        <w:jc w:val="left"/>
        <w:spacing w:before="0" w:after="0" w:line="360" w:lineRule="auto"/>
      </w:pPr>
      <w:r>
        <w:rPr>
          <w:rFonts w:hint="eastAsia"/>
          <w:sz w:val="28"/>
          <w:szCs w:val="28"/>
        </w:rPr>
        <w:t xml:space="preserve">13、投标分项报价表</w:t>
      </w:r>
      <w:r/>
    </w:p>
    <w:p>
      <w:pPr>
        <w:ind w:firstLine="480"/>
        <w:jc w:val="left"/>
        <w:spacing w:line="360" w:lineRule="auto"/>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360" w:lineRule="auto"/>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647"/>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360" w:lineRule="auto"/>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sz w:val="24"/>
          <w:szCs w:val="24"/>
        </w:rPr>
      </w:pPr>
      <w:r>
        <w:rPr>
          <w:rFonts w:hint="eastAsia"/>
          <w:sz w:val="24"/>
          <w:szCs w:val="24"/>
        </w:rPr>
        <w:t xml:space="preserve">14.2 投标人可在投标文件中提供认为需要的其他技术文件或说明。</w:t>
      </w:r>
      <w:r/>
    </w:p>
    <w:p>
      <w:pPr>
        <w:pStyle w:val="647"/>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360" w:lineRule="auto"/>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sz w:val="24"/>
          <w:szCs w:val="24"/>
        </w:rPr>
      </w:pPr>
      <w:r>
        <w:rPr>
          <w:rFonts w:hint="eastAsia"/>
          <w:sz w:val="24"/>
          <w:szCs w:val="24"/>
        </w:rPr>
        <w:t xml:space="preserve">15.2 投标人应根据招标文件要求提供人员安排等。</w:t>
      </w:r>
      <w:r/>
    </w:p>
    <w:p>
      <w:pPr>
        <w:pStyle w:val="647"/>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360" w:lineRule="auto"/>
        <w:rPr>
          <w:sz w:val="24"/>
          <w:szCs w:val="24"/>
        </w:rPr>
      </w:pPr>
      <w:r>
        <w:rPr>
          <w:rFonts w:hint="eastAsia"/>
          <w:sz w:val="24"/>
          <w:szCs w:val="24"/>
        </w:rPr>
        <w:t xml:space="preserve">16.1 投标人应按照招标文件提供的格式完整、正确填写投标函、开标一览表。</w:t>
      </w:r>
      <w:r/>
    </w:p>
    <w:p>
      <w:pPr>
        <w:ind w:firstLine="480"/>
        <w:jc w:val="left"/>
        <w:spacing w:line="360" w:lineRule="auto"/>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47"/>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360" w:lineRule="auto"/>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360" w:lineRule="auto"/>
        <w:rPr>
          <w:sz w:val="24"/>
          <w:szCs w:val="24"/>
        </w:rPr>
      </w:pPr>
      <w:r>
        <w:rPr>
          <w:rFonts w:hint="eastAsia"/>
          <w:sz w:val="24"/>
          <w:szCs w:val="24"/>
        </w:rPr>
        <w:t xml:space="preserve">17.2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646"/>
        <w:ind w:firstLine="640"/>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47"/>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360" w:lineRule="auto"/>
        <w:rPr>
          <w:sz w:val="24"/>
          <w:szCs w:val="24"/>
        </w:rPr>
      </w:pPr>
      <w:r>
        <w:rPr>
          <w:rFonts w:hint="eastAsia"/>
          <w:sz w:val="24"/>
          <w:szCs w:val="24"/>
        </w:rPr>
        <w:t xml:space="preserve">18.1 投标人应当按照《操作手册》规定，在投标截止时间前制作并递交（上传）电子投标文件。</w:t>
      </w:r>
      <w:r/>
    </w:p>
    <w:p>
      <w:pPr>
        <w:pStyle w:val="647"/>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360" w:lineRule="auto"/>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360" w:lineRule="auto"/>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sz w:val="24"/>
          <w:szCs w:val="24"/>
        </w:rPr>
      </w:pPr>
      <w:r>
        <w:rPr>
          <w:rFonts w:hint="eastAsia"/>
          <w:sz w:val="24"/>
          <w:szCs w:val="24"/>
        </w:rPr>
        <w:t xml:space="preserve">19.2 招标人和招标代理机构可以按照规定，通过修改招标文件酌情延长投标截止时间，在此情况下，投标人的所有权利和义务以及投标人受制的截止时间均应以延长后新的截止时间为准。</w:t>
      </w:r>
      <w:r/>
    </w:p>
    <w:p>
      <w:pPr>
        <w:pStyle w:val="647"/>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360" w:lineRule="auto"/>
        <w:rPr>
          <w:sz w:val="24"/>
          <w:szCs w:val="24"/>
        </w:rPr>
      </w:pPr>
      <w:r>
        <w:rPr>
          <w:rFonts w:hint="eastAsia"/>
          <w:sz w:val="24"/>
          <w:szCs w:val="24"/>
        </w:rPr>
        <w:t xml:space="preserve">20.1 招标代理机构拒绝接收在招标文件规定的投标截止时间后递交（上传）的任何投标文件。</w:t>
      </w:r>
      <w:r/>
    </w:p>
    <w:p>
      <w:pPr>
        <w:pStyle w:val="647"/>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360" w:lineRule="auto"/>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360" w:lineRule="auto"/>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sz w:val="24"/>
          <w:szCs w:val="24"/>
        </w:rPr>
      </w:pPr>
      <w:r>
        <w:rPr>
          <w:rFonts w:hint="eastAsia"/>
          <w:sz w:val="24"/>
          <w:szCs w:val="24"/>
        </w:rPr>
        <w:t xml:space="preserve">21.3 在投标截止时间至招标文件规定的投标有效期满之间的这段时间内，投标人不得撤回其投标。</w:t>
      </w:r>
      <w:r/>
    </w:p>
    <w:p>
      <w:pPr>
        <w:pStyle w:val="646"/>
        <w:ind w:firstLine="640"/>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47"/>
        <w:ind w:firstLine="562"/>
        <w:jc w:val="left"/>
        <w:spacing w:before="0" w:after="0" w:line="360" w:lineRule="auto"/>
        <w:rPr>
          <w:sz w:val="28"/>
          <w:szCs w:val="28"/>
        </w:rPr>
      </w:pPr>
      <w:r>
        <w:rPr>
          <w:rFonts w:hint="eastAsia"/>
          <w:sz w:val="28"/>
          <w:szCs w:val="28"/>
        </w:rPr>
        <w:t xml:space="preserve">22、开标</w:t>
      </w:r>
      <w:r/>
    </w:p>
    <w:p>
      <w:pPr>
        <w:ind w:firstLine="480"/>
        <w:jc w:val="left"/>
        <w:spacing w:line="360" w:lineRule="auto"/>
        <w:rPr>
          <w:sz w:val="24"/>
          <w:szCs w:val="24"/>
        </w:rPr>
      </w:pPr>
      <w:r>
        <w:rPr>
          <w:rFonts w:hint="eastAsia"/>
          <w:sz w:val="24"/>
          <w:szCs w:val="24"/>
        </w:rPr>
        <w:t xml:space="preserve">22.1 招标代理机构将在招标公告中规定的时间和地点组织公开开标。投标人应当按时参加开标活动，并在“苏采云”系统规定的时间内对其投标文件进行解密。</w:t>
      </w:r>
      <w:r/>
    </w:p>
    <w:p>
      <w:pPr>
        <w:ind w:firstLine="480"/>
        <w:jc w:val="left"/>
        <w:spacing w:line="360" w:lineRule="auto"/>
        <w:rPr>
          <w:sz w:val="24"/>
          <w:szCs w:val="24"/>
        </w:rPr>
      </w:pPr>
      <w:r>
        <w:rPr>
          <w:rFonts w:hint="eastAsia"/>
          <w:sz w:val="24"/>
          <w:szCs w:val="24"/>
        </w:rPr>
        <w:t xml:space="preserve">22.2 开标仪式由招标代理机构组织。“苏采云”系统将自动对项目进行开标，并宣布各投标人名称和投标价格。</w:t>
      </w:r>
      <w:r/>
    </w:p>
    <w:p>
      <w:pPr>
        <w:ind w:firstLine="480"/>
        <w:jc w:val="left"/>
        <w:spacing w:line="360" w:lineRule="auto"/>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360" w:lineRule="auto"/>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sz w:val="24"/>
          <w:szCs w:val="24"/>
        </w:rPr>
      </w:pPr>
      <w:r>
        <w:rPr>
          <w:rFonts w:hint="eastAsia"/>
          <w:sz w:val="24"/>
          <w:szCs w:val="24"/>
        </w:rPr>
        <w:t xml:space="preserve">22.5 投标人未参加开标的，视同认可开标结果。</w:t>
      </w:r>
      <w:r/>
    </w:p>
    <w:p>
      <w:pPr>
        <w:ind w:firstLine="480"/>
        <w:jc w:val="left"/>
        <w:spacing w:line="360" w:lineRule="auto"/>
        <w:rPr>
          <w:sz w:val="24"/>
          <w:szCs w:val="24"/>
        </w:rPr>
      </w:pPr>
      <w:r>
        <w:rPr>
          <w:rFonts w:hint="eastAsia"/>
          <w:sz w:val="24"/>
          <w:szCs w:val="24"/>
        </w:rPr>
        <w:t xml:space="preserve">22.6 投标人在开标、评标全过程中应保持通讯畅通，及时登录“苏采云”系统查阅、答复相关信息，并安排专人与招标代理机构及评委会联系。</w:t>
      </w:r>
      <w:r/>
    </w:p>
    <w:p>
      <w:pPr>
        <w:pStyle w:val="647"/>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360" w:lineRule="auto"/>
        <w:rPr>
          <w:sz w:val="24"/>
          <w:szCs w:val="24"/>
        </w:rPr>
      </w:pPr>
      <w:r>
        <w:rPr>
          <w:rFonts w:hint="eastAsia"/>
          <w:sz w:val="24"/>
          <w:szCs w:val="24"/>
        </w:rPr>
        <w:t xml:space="preserve">23.1 开标后，招标代理机构将组织评委会进行评标。</w:t>
      </w:r>
      <w:r/>
    </w:p>
    <w:p>
      <w:pPr>
        <w:ind w:firstLine="480"/>
        <w:jc w:val="left"/>
        <w:spacing w:line="360" w:lineRule="auto"/>
        <w:rPr>
          <w:sz w:val="24"/>
          <w:szCs w:val="24"/>
        </w:rPr>
      </w:pPr>
      <w:r>
        <w:rPr>
          <w:rFonts w:hint="eastAsia"/>
          <w:sz w:val="24"/>
          <w:szCs w:val="24"/>
        </w:rPr>
        <w:t xml:space="preserve">23.2 评委会由招标人代表和有关技术、经济等方面的评审专家组成，且人员构成符合政府采购有关规定。</w:t>
      </w:r>
      <w:r/>
    </w:p>
    <w:p>
      <w:pPr>
        <w:ind w:firstLine="480"/>
        <w:jc w:val="left"/>
        <w:spacing w:line="360" w:lineRule="auto"/>
        <w:rPr>
          <w:sz w:val="24"/>
          <w:szCs w:val="24"/>
        </w:rPr>
      </w:pPr>
      <w:r>
        <w:rPr>
          <w:rFonts w:hint="eastAsia"/>
          <w:sz w:val="24"/>
          <w:szCs w:val="24"/>
        </w:rPr>
        <w:t xml:space="preserve">23.3 评委会按照采购文件规定的评审程序、评审方法和评审标准进行独立评审并确定中标候选人。</w:t>
      </w:r>
      <w:r/>
    </w:p>
    <w:p>
      <w:pPr>
        <w:pStyle w:val="647"/>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360" w:lineRule="auto"/>
        <w:rPr>
          <w:sz w:val="24"/>
          <w:szCs w:val="24"/>
        </w:rPr>
      </w:pPr>
      <w:r>
        <w:rPr>
          <w:rFonts w:hint="eastAsia"/>
          <w:sz w:val="24"/>
          <w:szCs w:val="24"/>
        </w:rPr>
        <w:t xml:space="preserve">24.1 凡是与审查、澄清、评价和比较投标的有关资料以及授标建议等，招标人、评审专家、招标代理机构均不得向投标人或与评标无关的其他人员透露。</w:t>
      </w:r>
      <w:r/>
    </w:p>
    <w:p>
      <w:pPr>
        <w:ind w:firstLine="480"/>
        <w:jc w:val="left"/>
        <w:spacing w:line="360" w:lineRule="auto"/>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360" w:lineRule="auto"/>
        <w:rPr>
          <w:sz w:val="24"/>
          <w:szCs w:val="24"/>
        </w:rPr>
      </w:pPr>
      <w:r>
        <w:rPr>
          <w:rFonts w:hint="eastAsia"/>
          <w:sz w:val="24"/>
          <w:szCs w:val="24"/>
        </w:rPr>
        <w:t xml:space="preserve">24.3 招标代理机构和评委会不向未中标的投标人解释未中标原因，也不公布评标过程中的相关细节。</w:t>
      </w:r>
      <w:r/>
    </w:p>
    <w:p>
      <w:pPr>
        <w:ind w:firstLine="480"/>
        <w:jc w:val="left"/>
        <w:spacing w:line="360" w:lineRule="auto"/>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47"/>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360" w:lineRule="auto"/>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sz w:val="24"/>
          <w:szCs w:val="24"/>
        </w:rPr>
      </w:pPr>
      <w:r>
        <w:rPr>
          <w:rFonts w:hint="eastAsia"/>
          <w:sz w:val="24"/>
          <w:szCs w:val="24"/>
        </w:rPr>
        <w:t xml:space="preserve">评委会并非对每个投标人都提出澄清、说明或者补正要求。</w:t>
      </w:r>
      <w:r/>
    </w:p>
    <w:p>
      <w:pPr>
        <w:ind w:firstLine="480"/>
        <w:jc w:val="left"/>
        <w:spacing w:line="360" w:lineRule="auto"/>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sz w:val="24"/>
          <w:szCs w:val="24"/>
        </w:rPr>
      </w:pPr>
      <w:r>
        <w:rPr>
          <w:rFonts w:hint="eastAsia"/>
          <w:sz w:val="24"/>
          <w:szCs w:val="24"/>
        </w:rPr>
        <w:t xml:space="preserve">25.3 接到评委会澄清、说明或者补正要求的投标人如未按要求响应，其风险由投标人自行承担。</w:t>
      </w:r>
      <w:r/>
    </w:p>
    <w:p>
      <w:pPr>
        <w:pStyle w:val="647"/>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360" w:lineRule="auto"/>
        <w:rPr>
          <w:sz w:val="24"/>
          <w:szCs w:val="24"/>
        </w:rPr>
      </w:pPr>
      <w:r>
        <w:rPr>
          <w:rFonts w:hint="eastAsia"/>
          <w:sz w:val="24"/>
          <w:szCs w:val="24"/>
        </w:rPr>
        <w:t xml:space="preserve">26.1 投标文件初审分为资格审查和符合性审查。</w:t>
      </w:r>
      <w:r/>
    </w:p>
    <w:p>
      <w:pPr>
        <w:ind w:firstLine="480"/>
        <w:jc w:val="left"/>
        <w:spacing w:line="360" w:lineRule="auto"/>
        <w:rPr>
          <w:sz w:val="24"/>
          <w:szCs w:val="24"/>
        </w:rPr>
      </w:pPr>
      <w:r>
        <w:rPr>
          <w:rFonts w:hint="eastAsia"/>
          <w:sz w:val="24"/>
          <w:szCs w:val="24"/>
        </w:rPr>
        <w:t xml:space="preserve">（1）资格审查：招标人依据法律法规和招标文件的规定，对投标文件中的资格证明文件进行审查。资格审查的结论，招标人以书面形式向评委会进行反馈。</w:t>
      </w:r>
      <w:r/>
    </w:p>
    <w:p>
      <w:pPr>
        <w:ind w:firstLine="480"/>
        <w:jc w:val="left"/>
        <w:spacing w:line="360" w:lineRule="auto"/>
        <w:rPr>
          <w:sz w:val="24"/>
          <w:szCs w:val="24"/>
        </w:rPr>
      </w:pPr>
      <w:r>
        <w:rPr>
          <w:rFonts w:hint="eastAsia"/>
          <w:sz w:val="24"/>
          <w:szCs w:val="24"/>
        </w:rPr>
        <w:t xml:space="preserve">招标人在进行资格审查的同时，将在信用中国网站（www.creditchina.gov.cn）、中国政府采购网（www.ccgp.gov.cn）查询投标人的信用记录，以确定投标人是否具备投标资格，查询结果留存并归档。</w:t>
      </w:r>
      <w:r/>
    </w:p>
    <w:p>
      <w:pPr>
        <w:ind w:firstLine="480"/>
        <w:jc w:val="left"/>
        <w:spacing w:line="360" w:lineRule="auto"/>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360" w:lineRule="auto"/>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360" w:lineRule="auto"/>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360" w:lineRule="auto"/>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360" w:lineRule="auto"/>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360" w:lineRule="auto"/>
        <w:rPr>
          <w:sz w:val="24"/>
          <w:szCs w:val="24"/>
        </w:rPr>
      </w:pPr>
      <w:r>
        <w:rPr>
          <w:rFonts w:hint="eastAsia"/>
          <w:sz w:val="24"/>
          <w:szCs w:val="24"/>
        </w:rPr>
        <w:t xml:space="preserve">（2）大写金额和小写金额不一致的，以大写金额为准。</w:t>
      </w:r>
      <w:r/>
    </w:p>
    <w:p>
      <w:pPr>
        <w:ind w:firstLine="480"/>
        <w:jc w:val="left"/>
        <w:spacing w:line="360" w:lineRule="auto"/>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360" w:lineRule="auto"/>
        <w:rPr>
          <w:sz w:val="24"/>
          <w:szCs w:val="24"/>
        </w:rPr>
      </w:pPr>
      <w:r>
        <w:rPr>
          <w:rFonts w:hint="eastAsia"/>
          <w:sz w:val="24"/>
          <w:szCs w:val="24"/>
        </w:rPr>
        <w:t xml:space="preserve">（4）总价金额与按单价汇总金额不一致的，以单价金额计算结果为准。</w:t>
      </w:r>
      <w:r/>
    </w:p>
    <w:p>
      <w:pPr>
        <w:ind w:firstLine="480"/>
        <w:jc w:val="left"/>
        <w:spacing w:line="360" w:lineRule="auto"/>
        <w:rPr>
          <w:sz w:val="24"/>
          <w:szCs w:val="24"/>
        </w:rPr>
      </w:pPr>
      <w:r>
        <w:rPr>
          <w:rFonts w:hint="eastAsia"/>
          <w:sz w:val="24"/>
          <w:szCs w:val="24"/>
        </w:rPr>
        <w:t xml:space="preserve">同时出现两种以上错误的，按照前款规定的顺序修正。</w:t>
      </w:r>
      <w:r/>
    </w:p>
    <w:p>
      <w:pPr>
        <w:ind w:firstLine="480"/>
        <w:jc w:val="left"/>
        <w:spacing w:line="360" w:lineRule="auto"/>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360" w:lineRule="auto"/>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47"/>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360" w:lineRule="auto"/>
        <w:rPr>
          <w:sz w:val="24"/>
          <w:szCs w:val="24"/>
        </w:rPr>
      </w:pPr>
      <w:r>
        <w:rPr>
          <w:rFonts w:hint="eastAsia"/>
          <w:sz w:val="24"/>
          <w:szCs w:val="24"/>
        </w:rPr>
        <w:t xml:space="preserve">27.1 无效投标条款：</w:t>
      </w:r>
      <w:r/>
    </w:p>
    <w:p>
      <w:pPr>
        <w:ind w:firstLine="480"/>
        <w:jc w:val="left"/>
        <w:spacing w:line="360" w:lineRule="auto"/>
        <w:rPr>
          <w:sz w:val="24"/>
          <w:szCs w:val="24"/>
        </w:rPr>
      </w:pPr>
      <w:r>
        <w:rPr>
          <w:rFonts w:hint="eastAsia"/>
          <w:sz w:val="24"/>
          <w:szCs w:val="24"/>
        </w:rPr>
        <w:t xml:space="preserve">（1）投标人未按照招标文件要求递交（上传）电子投标文件的。</w:t>
      </w:r>
      <w:r/>
    </w:p>
    <w:p>
      <w:pPr>
        <w:ind w:firstLine="480"/>
        <w:jc w:val="left"/>
        <w:spacing w:line="360" w:lineRule="auto"/>
        <w:rPr>
          <w:sz w:val="24"/>
          <w:szCs w:val="24"/>
        </w:rPr>
      </w:pPr>
      <w:r>
        <w:rPr>
          <w:rFonts w:hint="eastAsia"/>
          <w:sz w:val="24"/>
          <w:szCs w:val="24"/>
        </w:rPr>
        <w:t xml:space="preserve">（2）投标人在“苏采云”系统规定的时间内未成功解密电子投标文件的。</w:t>
      </w:r>
      <w:r/>
    </w:p>
    <w:p>
      <w:pPr>
        <w:ind w:firstLine="480"/>
        <w:jc w:val="left"/>
        <w:spacing w:line="360" w:lineRule="auto"/>
        <w:rPr>
          <w:sz w:val="24"/>
          <w:szCs w:val="24"/>
        </w:rPr>
      </w:pPr>
      <w:r>
        <w:rPr>
          <w:rFonts w:hint="eastAsia"/>
          <w:sz w:val="24"/>
          <w:szCs w:val="24"/>
        </w:rPr>
        <w:t xml:space="preserve">（3）投标人不具备招标文件中规定的资格要求的。</w:t>
      </w:r>
      <w:r/>
    </w:p>
    <w:p>
      <w:pPr>
        <w:ind w:firstLine="480"/>
        <w:jc w:val="left"/>
        <w:spacing w:line="360" w:lineRule="auto"/>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sz w:val="24"/>
          <w:szCs w:val="24"/>
        </w:rPr>
      </w:pPr>
      <w:r>
        <w:rPr>
          <w:rFonts w:hint="eastAsia"/>
          <w:sz w:val="24"/>
          <w:szCs w:val="24"/>
        </w:rPr>
        <w:t xml:space="preserve">（5）投标人提交两个（含两个）以上不同的投标报价的。</w:t>
      </w:r>
      <w:r/>
    </w:p>
    <w:p>
      <w:pPr>
        <w:ind w:firstLine="480"/>
        <w:jc w:val="left"/>
        <w:spacing w:line="360" w:lineRule="auto"/>
        <w:rPr>
          <w:sz w:val="24"/>
          <w:szCs w:val="24"/>
        </w:rPr>
      </w:pPr>
      <w:r>
        <w:rPr>
          <w:rFonts w:hint="eastAsia"/>
          <w:sz w:val="24"/>
          <w:szCs w:val="24"/>
        </w:rPr>
        <w:t xml:space="preserve">（6）投标人的报价超过了采购预算或者最高限价的。</w:t>
      </w:r>
      <w:r/>
    </w:p>
    <w:p>
      <w:pPr>
        <w:ind w:firstLine="480"/>
        <w:jc w:val="left"/>
        <w:spacing w:line="360" w:lineRule="auto"/>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评委会应当将其作为无效投标处理。</w:t>
      </w:r>
      <w:r/>
    </w:p>
    <w:p>
      <w:pPr>
        <w:ind w:firstLine="480"/>
        <w:jc w:val="left"/>
        <w:spacing w:line="360" w:lineRule="auto"/>
        <w:rPr>
          <w:sz w:val="24"/>
          <w:szCs w:val="24"/>
        </w:rPr>
      </w:pPr>
      <w:r>
        <w:rPr>
          <w:rFonts w:hint="eastAsia"/>
          <w:sz w:val="24"/>
          <w:szCs w:val="24"/>
        </w:rPr>
        <w:t xml:space="preserve">（8）不符合招标文件规定的实质性要求和条件的。（本招标文件中标注★号的部分为实质性要求和条件）</w:t>
      </w:r>
      <w:r/>
    </w:p>
    <w:p>
      <w:pPr>
        <w:ind w:firstLine="480"/>
        <w:jc w:val="left"/>
        <w:spacing w:line="360" w:lineRule="auto"/>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sz w:val="24"/>
          <w:szCs w:val="24"/>
        </w:rPr>
      </w:pPr>
      <w:r>
        <w:rPr>
          <w:rFonts w:hint="eastAsia"/>
          <w:sz w:val="24"/>
          <w:szCs w:val="24"/>
        </w:rPr>
        <w:t xml:space="preserve">（10）投标人未通过符合性审查的。</w:t>
      </w:r>
      <w:r/>
    </w:p>
    <w:p>
      <w:pPr>
        <w:ind w:firstLine="480"/>
        <w:jc w:val="left"/>
        <w:spacing w:line="360" w:lineRule="auto"/>
        <w:rPr>
          <w:sz w:val="24"/>
          <w:szCs w:val="24"/>
        </w:rPr>
      </w:pPr>
      <w:r>
        <w:rPr>
          <w:rFonts w:hint="eastAsia"/>
          <w:sz w:val="24"/>
          <w:szCs w:val="24"/>
        </w:rPr>
        <w:t xml:space="preserve">（11）投标文件含有招标人不能接受的附加条件的。</w:t>
      </w:r>
      <w:r/>
    </w:p>
    <w:p>
      <w:pPr>
        <w:ind w:firstLine="480"/>
        <w:jc w:val="left"/>
        <w:spacing w:line="360" w:lineRule="auto"/>
        <w:rPr>
          <w:sz w:val="24"/>
          <w:szCs w:val="24"/>
        </w:rPr>
      </w:pPr>
      <w:r>
        <w:rPr>
          <w:rFonts w:hint="eastAsia"/>
          <w:sz w:val="24"/>
          <w:szCs w:val="24"/>
        </w:rPr>
        <w:t xml:space="preserve">（12）投标文件未按照招标文件要求加盖公章（CA电子公章）的。</w:t>
      </w:r>
      <w:r/>
    </w:p>
    <w:p>
      <w:pPr>
        <w:ind w:firstLine="480"/>
        <w:jc w:val="left"/>
        <w:spacing w:line="360" w:lineRule="auto"/>
        <w:rPr>
          <w:sz w:val="24"/>
          <w:szCs w:val="24"/>
        </w:rPr>
      </w:pPr>
      <w:r>
        <w:rPr>
          <w:rFonts w:hint="eastAsia"/>
          <w:sz w:val="24"/>
          <w:szCs w:val="24"/>
        </w:rPr>
        <w:t xml:space="preserve">（13）其他法律、法规及本招标文件规定的属于无效投标的情形。</w:t>
      </w:r>
      <w:r/>
    </w:p>
    <w:p>
      <w:pPr>
        <w:ind w:firstLine="480"/>
        <w:jc w:val="left"/>
        <w:spacing w:line="360" w:lineRule="auto"/>
        <w:rPr>
          <w:sz w:val="24"/>
          <w:szCs w:val="24"/>
        </w:rPr>
      </w:pPr>
      <w:r>
        <w:rPr>
          <w:rFonts w:hint="eastAsia"/>
          <w:sz w:val="24"/>
          <w:szCs w:val="24"/>
        </w:rPr>
        <w:t xml:space="preserve">27.2 有下列情形之一的，视为投标人串通投标，投标无效：</w:t>
      </w:r>
      <w:r/>
    </w:p>
    <w:p>
      <w:pPr>
        <w:ind w:firstLine="480"/>
        <w:jc w:val="left"/>
        <w:spacing w:line="360" w:lineRule="auto"/>
        <w:rPr>
          <w:sz w:val="24"/>
          <w:szCs w:val="24"/>
        </w:rPr>
      </w:pPr>
      <w:r>
        <w:rPr>
          <w:rFonts w:hint="eastAsia"/>
          <w:sz w:val="24"/>
          <w:szCs w:val="24"/>
        </w:rPr>
        <w:t xml:space="preserve">（1）不同投标人的投标文件由同一单位或者个人编制。</w:t>
      </w:r>
      <w:r/>
    </w:p>
    <w:p>
      <w:pPr>
        <w:ind w:firstLine="480"/>
        <w:jc w:val="left"/>
        <w:spacing w:line="360" w:lineRule="auto"/>
        <w:rPr>
          <w:sz w:val="24"/>
          <w:szCs w:val="24"/>
        </w:rPr>
      </w:pPr>
      <w:r>
        <w:rPr>
          <w:rFonts w:hint="eastAsia"/>
          <w:sz w:val="24"/>
          <w:szCs w:val="24"/>
        </w:rPr>
        <w:t xml:space="preserve">（2）不同投标人委托同一单位或者个人办理投标事宜。</w:t>
      </w:r>
      <w:r/>
    </w:p>
    <w:p>
      <w:pPr>
        <w:ind w:firstLine="480"/>
        <w:jc w:val="left"/>
        <w:spacing w:line="360" w:lineRule="auto"/>
        <w:rPr>
          <w:sz w:val="24"/>
          <w:szCs w:val="24"/>
        </w:rPr>
      </w:pPr>
      <w:r>
        <w:rPr>
          <w:rFonts w:hint="eastAsia"/>
          <w:sz w:val="24"/>
          <w:szCs w:val="24"/>
        </w:rPr>
        <w:t xml:space="preserve">（3）不同投标人的投标文件载明的项目管理成员或者联系人员为同一人。</w:t>
      </w:r>
      <w:r/>
    </w:p>
    <w:p>
      <w:pPr>
        <w:ind w:firstLine="480"/>
        <w:jc w:val="left"/>
        <w:spacing w:line="360" w:lineRule="auto"/>
        <w:rPr>
          <w:sz w:val="24"/>
          <w:szCs w:val="24"/>
        </w:rPr>
      </w:pPr>
      <w:r>
        <w:rPr>
          <w:rFonts w:hint="eastAsia"/>
          <w:sz w:val="24"/>
          <w:szCs w:val="24"/>
        </w:rPr>
        <w:t xml:space="preserve">（4）不同投标人的投标文件异常一致或者投标报价呈规律性差异。</w:t>
      </w:r>
      <w:r/>
    </w:p>
    <w:p>
      <w:pPr>
        <w:ind w:firstLine="480"/>
        <w:jc w:val="left"/>
        <w:spacing w:line="360" w:lineRule="auto"/>
        <w:rPr>
          <w:sz w:val="24"/>
          <w:szCs w:val="24"/>
        </w:rPr>
      </w:pPr>
      <w:r>
        <w:rPr>
          <w:rFonts w:hint="eastAsia"/>
          <w:sz w:val="24"/>
          <w:szCs w:val="24"/>
        </w:rPr>
        <w:t xml:space="preserve">（5）不同投标人的投标文件相互混装。</w:t>
      </w:r>
      <w:r/>
    </w:p>
    <w:p>
      <w:pPr>
        <w:ind w:firstLine="480"/>
        <w:jc w:val="left"/>
        <w:spacing w:line="360" w:lineRule="auto"/>
        <w:rPr>
          <w:sz w:val="24"/>
          <w:szCs w:val="24"/>
        </w:rPr>
      </w:pPr>
      <w:r>
        <w:rPr>
          <w:rFonts w:hint="eastAsia"/>
          <w:sz w:val="24"/>
          <w:szCs w:val="24"/>
        </w:rPr>
        <w:t xml:space="preserve">27.3 废标条款：</w:t>
      </w:r>
      <w:r/>
    </w:p>
    <w:p>
      <w:pPr>
        <w:ind w:firstLine="480"/>
        <w:jc w:val="left"/>
        <w:spacing w:line="360" w:lineRule="auto"/>
        <w:rPr>
          <w:sz w:val="24"/>
          <w:szCs w:val="24"/>
        </w:rPr>
      </w:pPr>
      <w:r>
        <w:rPr>
          <w:rFonts w:hint="eastAsia"/>
          <w:sz w:val="24"/>
          <w:szCs w:val="24"/>
        </w:rPr>
        <w:t xml:space="preserve">（1）因“苏采云”系统故障原因造成开标不成功的。</w:t>
      </w:r>
      <w:r/>
    </w:p>
    <w:p>
      <w:pPr>
        <w:ind w:firstLine="480"/>
        <w:jc w:val="left"/>
        <w:spacing w:line="360" w:lineRule="auto"/>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sz w:val="24"/>
          <w:szCs w:val="24"/>
        </w:rPr>
      </w:pPr>
      <w:r>
        <w:rPr>
          <w:rFonts w:hint="eastAsia"/>
          <w:sz w:val="24"/>
          <w:szCs w:val="24"/>
        </w:rPr>
        <w:t xml:space="preserve">（3）符合专业条件的供应商或者对招标文件作实质响应的供应商不足三家的。</w:t>
      </w:r>
      <w:r/>
    </w:p>
    <w:p>
      <w:pPr>
        <w:ind w:firstLine="480"/>
        <w:jc w:val="left"/>
        <w:spacing w:line="360" w:lineRule="auto"/>
        <w:rPr>
          <w:sz w:val="24"/>
          <w:szCs w:val="24"/>
        </w:rPr>
      </w:pPr>
      <w:r>
        <w:rPr>
          <w:rFonts w:hint="eastAsia"/>
          <w:sz w:val="24"/>
          <w:szCs w:val="24"/>
        </w:rPr>
        <w:t xml:space="preserve">（4）出现影响采购公正的违法、违规行为的。</w:t>
      </w:r>
      <w:r/>
    </w:p>
    <w:p>
      <w:pPr>
        <w:ind w:firstLine="480"/>
        <w:jc w:val="left"/>
        <w:spacing w:line="360" w:lineRule="auto"/>
        <w:rPr>
          <w:sz w:val="24"/>
          <w:szCs w:val="24"/>
        </w:rPr>
      </w:pPr>
      <w:r>
        <w:rPr>
          <w:rFonts w:hint="eastAsia"/>
          <w:sz w:val="24"/>
          <w:szCs w:val="24"/>
        </w:rPr>
        <w:t xml:space="preserve">（5）因重大变故，采购任务取消的。</w:t>
      </w:r>
      <w:r/>
    </w:p>
    <w:p>
      <w:pPr>
        <w:ind w:firstLine="480"/>
        <w:jc w:val="left"/>
        <w:spacing w:line="360" w:lineRule="auto"/>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46"/>
        <w:ind w:firstLine="640"/>
        <w:spacing w:before="0" w:after="0" w:line="360" w:lineRule="auto"/>
        <w:rPr>
          <w:rFonts w:ascii="黑体" w:hAnsi="黑体" w:eastAsia="黑体"/>
          <w:b w:val="0"/>
        </w:rPr>
      </w:pPr>
      <w:r>
        <w:rPr>
          <w:rFonts w:hint="eastAsia" w:ascii="黑体" w:hAnsi="黑体" w:eastAsia="黑体"/>
          <w:b w:val="0"/>
        </w:rPr>
        <w:t xml:space="preserve">六、定标</w:t>
      </w:r>
      <w:r/>
    </w:p>
    <w:p>
      <w:pPr>
        <w:pStyle w:val="647"/>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360" w:lineRule="auto"/>
        <w:rPr>
          <w:sz w:val="24"/>
          <w:szCs w:val="24"/>
        </w:rPr>
      </w:pPr>
      <w:r>
        <w:rPr>
          <w:rFonts w:hint="eastAsia"/>
          <w:sz w:val="24"/>
          <w:szCs w:val="24"/>
        </w:rPr>
        <w:t xml:space="preserve">28.1 中标候选人的选取原则和数量详见招标文件第五章规定。 </w:t>
      </w:r>
      <w:r/>
    </w:p>
    <w:p>
      <w:pPr>
        <w:ind w:firstLine="480"/>
        <w:jc w:val="left"/>
        <w:spacing w:line="360" w:lineRule="auto"/>
        <w:rPr>
          <w:sz w:val="24"/>
          <w:szCs w:val="24"/>
        </w:rPr>
      </w:pPr>
      <w:r>
        <w:rPr>
          <w:rFonts w:hint="eastAsia"/>
          <w:sz w:val="24"/>
          <w:szCs w:val="24"/>
        </w:rPr>
        <w:t xml:space="preserve">28.2 招标人应根据评委会推荐的中标候选人确定中标人。</w:t>
      </w:r>
      <w:r/>
    </w:p>
    <w:p>
      <w:pPr>
        <w:ind w:firstLine="480"/>
        <w:jc w:val="left"/>
        <w:spacing w:line="360" w:lineRule="auto"/>
        <w:rPr>
          <w:sz w:val="24"/>
          <w:szCs w:val="24"/>
        </w:rPr>
      </w:pPr>
      <w:r>
        <w:rPr>
          <w:rFonts w:hint="eastAsia"/>
          <w:sz w:val="24"/>
          <w:szCs w:val="24"/>
        </w:rPr>
        <w:t xml:space="preserve">28.3 招标代理机构将在江苏政府采购网发布中标公告，公告期限为1个工作日。</w:t>
      </w:r>
      <w:r/>
    </w:p>
    <w:p>
      <w:pPr>
        <w:ind w:firstLine="480"/>
        <w:jc w:val="left"/>
        <w:spacing w:line="360" w:lineRule="auto"/>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360" w:lineRule="auto"/>
        <w:rPr>
          <w:sz w:val="24"/>
          <w:szCs w:val="24"/>
        </w:rPr>
      </w:pPr>
      <w:r>
        <w:rPr>
          <w:rFonts w:hint="eastAsia"/>
          <w:sz w:val="24"/>
          <w:szCs w:val="24"/>
        </w:rPr>
        <w:t xml:space="preserve">（1）提供虚假材料谋取中标、成交的。</w:t>
      </w:r>
      <w:r/>
    </w:p>
    <w:p>
      <w:pPr>
        <w:ind w:firstLine="480"/>
        <w:jc w:val="left"/>
        <w:spacing w:line="360" w:lineRule="auto"/>
        <w:rPr>
          <w:sz w:val="24"/>
          <w:szCs w:val="24"/>
        </w:rPr>
      </w:pPr>
      <w:r>
        <w:rPr>
          <w:rFonts w:hint="eastAsia"/>
          <w:sz w:val="24"/>
          <w:szCs w:val="24"/>
        </w:rPr>
        <w:t xml:space="preserve">（2）采取不正当手段诋毁、排挤其他供应商的。</w:t>
      </w:r>
      <w:r/>
    </w:p>
    <w:p>
      <w:pPr>
        <w:ind w:firstLine="480"/>
        <w:jc w:val="left"/>
        <w:spacing w:line="360" w:lineRule="auto"/>
        <w:rPr>
          <w:sz w:val="24"/>
          <w:szCs w:val="24"/>
        </w:rPr>
      </w:pPr>
      <w:r>
        <w:rPr>
          <w:rFonts w:hint="eastAsia"/>
          <w:sz w:val="24"/>
          <w:szCs w:val="24"/>
        </w:rPr>
        <w:t xml:space="preserve">（3）与招标人、其他供应商或者招标代理机构恶意串通的。</w:t>
      </w:r>
      <w:r/>
    </w:p>
    <w:p>
      <w:pPr>
        <w:ind w:firstLine="480"/>
        <w:jc w:val="left"/>
        <w:spacing w:line="360" w:lineRule="auto"/>
        <w:rPr>
          <w:sz w:val="24"/>
          <w:szCs w:val="24"/>
        </w:rPr>
      </w:pPr>
      <w:r>
        <w:rPr>
          <w:rFonts w:hint="eastAsia"/>
          <w:sz w:val="24"/>
          <w:szCs w:val="24"/>
        </w:rPr>
        <w:t xml:space="preserve">（4）向招标人、招标代理机构行贿或者提供其他不正当利益的。</w:t>
      </w:r>
      <w:r/>
    </w:p>
    <w:p>
      <w:pPr>
        <w:ind w:firstLine="480"/>
        <w:jc w:val="left"/>
        <w:spacing w:line="360" w:lineRule="auto"/>
        <w:rPr>
          <w:sz w:val="24"/>
          <w:szCs w:val="24"/>
        </w:rPr>
      </w:pPr>
      <w:r>
        <w:rPr>
          <w:rFonts w:hint="eastAsia"/>
          <w:sz w:val="24"/>
          <w:szCs w:val="24"/>
        </w:rPr>
        <w:t xml:space="preserve">（5）在招标采购过程中与招标人进行协商谈判的。</w:t>
      </w:r>
      <w:r/>
    </w:p>
    <w:p>
      <w:pPr>
        <w:ind w:right="-210" w:firstLine="480"/>
        <w:jc w:val="left"/>
        <w:spacing w:line="360" w:lineRule="auto"/>
        <w:rPr>
          <w:sz w:val="24"/>
          <w:szCs w:val="24"/>
        </w:rPr>
      </w:pPr>
      <w:r>
        <w:rPr>
          <w:rFonts w:hint="eastAsia"/>
          <w:sz w:val="24"/>
          <w:szCs w:val="24"/>
        </w:rPr>
        <w:t xml:space="preserve">（6）属于本招标文件规定的无效情形，但在评标过程中又未被评委会发现的。</w:t>
      </w:r>
      <w:r/>
    </w:p>
    <w:p>
      <w:pPr>
        <w:pStyle w:val="647"/>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360" w:lineRule="auto"/>
        <w:rPr>
          <w:sz w:val="24"/>
          <w:szCs w:val="24"/>
        </w:rPr>
      </w:pPr>
      <w:r>
        <w:rPr>
          <w:rFonts w:hint="eastAsia"/>
          <w:sz w:val="24"/>
          <w:szCs w:val="24"/>
        </w:rPr>
        <w:t xml:space="preserve">29.1 中标结果确定后，招标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sz w:val="24"/>
          <w:szCs w:val="24"/>
        </w:rPr>
      </w:pPr>
      <w:r>
        <w:rPr>
          <w:rFonts w:hint="eastAsia"/>
          <w:sz w:val="24"/>
          <w:szCs w:val="24"/>
        </w:rPr>
        <w:t xml:space="preserve">29.2 中标通知书将作为政府采购合同的一个组成部分。对招标人和中标人均具有法律效力。中标通知书发出后，招标人改变中标结果的，或者中标人放弃中标项目的，应当依法承担法律责任。</w:t>
      </w:r>
      <w:r/>
    </w:p>
    <w:p>
      <w:pPr>
        <w:ind w:firstLine="480"/>
        <w:jc w:val="left"/>
        <w:spacing w:line="360" w:lineRule="auto"/>
        <w:rPr>
          <w:sz w:val="24"/>
          <w:szCs w:val="24"/>
        </w:rPr>
      </w:pPr>
      <w:r>
        <w:rPr>
          <w:rFonts w:hint="eastAsia"/>
          <w:sz w:val="24"/>
          <w:szCs w:val="24"/>
        </w:rPr>
        <w:t xml:space="preserve">29.3 中标人应在中标后七个工作日内，向招标人和招标代理机构提供一正四副与电子投标文件一致的纸质打印胶装投标文件，封面、骑缝需加盖公章。</w:t>
      </w:r>
      <w:r/>
    </w:p>
    <w:p>
      <w:pPr>
        <w:pStyle w:val="646"/>
        <w:ind w:firstLine="640"/>
        <w:spacing w:before="0" w:after="0" w:line="360" w:lineRule="auto"/>
        <w:rPr>
          <w:rFonts w:ascii="黑体" w:hAnsi="黑体" w:eastAsia="黑体"/>
          <w:b w:val="0"/>
        </w:rPr>
      </w:pPr>
      <w:r>
        <w:rPr>
          <w:rFonts w:hint="eastAsia" w:ascii="黑体" w:hAnsi="黑体" w:eastAsia="黑体"/>
          <w:b w:val="0"/>
        </w:rPr>
        <w:t xml:space="preserve">七、授予合同</w:t>
      </w:r>
      <w:r/>
    </w:p>
    <w:p>
      <w:pPr>
        <w:pStyle w:val="647"/>
        <w:ind w:firstLine="562"/>
        <w:jc w:val="left"/>
        <w:spacing w:before="0" w:after="0" w:line="360" w:lineRule="auto"/>
        <w:rPr>
          <w:sz w:val="28"/>
          <w:szCs w:val="28"/>
        </w:rPr>
      </w:pPr>
      <w:r>
        <w:rPr>
          <w:rFonts w:hint="eastAsia"/>
          <w:sz w:val="28"/>
          <w:szCs w:val="28"/>
        </w:rPr>
        <w:t xml:space="preserve">30、签订合同</w:t>
      </w:r>
      <w:r/>
    </w:p>
    <w:p>
      <w:pPr>
        <w:ind w:firstLine="480"/>
        <w:jc w:val="left"/>
        <w:spacing w:line="360" w:lineRule="auto"/>
        <w:rPr>
          <w:sz w:val="24"/>
          <w:szCs w:val="24"/>
        </w:rPr>
      </w:pPr>
      <w:r>
        <w:rPr>
          <w:rFonts w:hint="eastAsia"/>
          <w:sz w:val="24"/>
          <w:szCs w:val="24"/>
        </w:rPr>
        <w:t xml:space="preserve">30.1 中标人应当在中标通知书发出之日起三十日内，按照招标文件和中标人投标文件的规定，与招标人签订政府采购合同。</w:t>
      </w:r>
      <w:r/>
    </w:p>
    <w:p>
      <w:pPr>
        <w:ind w:firstLine="480"/>
        <w:jc w:val="left"/>
        <w:spacing w:line="360" w:lineRule="auto"/>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360" w:lineRule="auto"/>
        <w:rPr>
          <w:sz w:val="24"/>
          <w:szCs w:val="24"/>
        </w:rPr>
      </w:pPr>
      <w:r>
        <w:rPr>
          <w:rFonts w:hint="eastAsia"/>
          <w:sz w:val="24"/>
          <w:szCs w:val="24"/>
        </w:rPr>
        <w:t xml:space="preserve">30.3 签订合同后，中标人不得将合同标的转包。未经招标人同意，中标人也不得采用分包的形式履行合同，否则招标人有权终止合同。转包或分包造成招标人损失的，中标人应承担相应赔偿责任。</w:t>
      </w:r>
      <w:r/>
    </w:p>
    <w:p>
      <w:pPr>
        <w:ind w:firstLine="480"/>
        <w:jc w:val="left"/>
        <w:spacing w:line="360" w:lineRule="auto"/>
        <w:rPr>
          <w:sz w:val="24"/>
          <w:szCs w:val="24"/>
        </w:rPr>
      </w:pPr>
      <w:r>
        <w:rPr>
          <w:rFonts w:hint="eastAsia"/>
          <w:sz w:val="24"/>
          <w:szCs w:val="24"/>
        </w:rPr>
        <w:t xml:space="preserve">30.4 招标人</w:t>
      </w:r>
      <w:r>
        <w:rPr>
          <w:sz w:val="24"/>
          <w:szCs w:val="24"/>
        </w:rPr>
        <w:t xml:space="preserve">应当在合同签订</w:t>
      </w:r>
      <w:r>
        <w:rPr>
          <w:rFonts w:hint="eastAsia"/>
          <w:sz w:val="24"/>
          <w:szCs w:val="24"/>
        </w:rPr>
        <w:t xml:space="preserve">之日起2日</w:t>
      </w:r>
      <w:r>
        <w:rPr>
          <w:sz w:val="24"/>
          <w:szCs w:val="24"/>
        </w:rPr>
        <w:t xml:space="preserve">内上传合同至苏采云</w:t>
      </w:r>
      <w:r>
        <w:rPr>
          <w:rFonts w:hint="eastAsia"/>
          <w:sz w:val="24"/>
          <w:szCs w:val="24"/>
        </w:rPr>
        <w:t xml:space="preserve">公示</w:t>
      </w:r>
      <w:r>
        <w:rPr>
          <w:sz w:val="24"/>
          <w:szCs w:val="24"/>
        </w:rPr>
        <w:t xml:space="preserve">。</w:t>
      </w:r>
      <w:r/>
    </w:p>
    <w:p>
      <w:pPr>
        <w:ind w:firstLine="480"/>
        <w:jc w:val="left"/>
        <w:spacing w:line="360" w:lineRule="auto"/>
        <w:rPr>
          <w:sz w:val="24"/>
          <w:szCs w:val="24"/>
        </w:rPr>
      </w:pPr>
      <w:r>
        <w:rPr>
          <w:rFonts w:hint="eastAsia"/>
          <w:sz w:val="24"/>
          <w:szCs w:val="24"/>
        </w:rPr>
        <w:t xml:space="preserve">30.5履约保证金</w:t>
      </w:r>
      <w:r/>
    </w:p>
    <w:p>
      <w:pPr>
        <w:ind w:firstLine="480"/>
        <w:jc w:val="left"/>
        <w:spacing w:line="360" w:lineRule="auto"/>
        <w:rPr>
          <w:sz w:val="24"/>
          <w:szCs w:val="24"/>
        </w:rPr>
      </w:pPr>
      <w:r>
        <w:rPr>
          <w:rFonts w:hint="eastAsia"/>
          <w:sz w:val="24"/>
          <w:szCs w:val="24"/>
        </w:rPr>
        <w:t xml:space="preserve">30.5.1 履约保证金的金额：中标价的10%。</w:t>
      </w:r>
      <w:r/>
    </w:p>
    <w:p>
      <w:pPr>
        <w:ind w:firstLine="480"/>
        <w:jc w:val="left"/>
        <w:spacing w:line="360" w:lineRule="auto"/>
        <w:rPr>
          <w:sz w:val="24"/>
          <w:szCs w:val="24"/>
        </w:rPr>
      </w:pP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360" w:lineRule="auto"/>
        <w:rPr>
          <w:sz w:val="24"/>
          <w:szCs w:val="24"/>
        </w:rPr>
      </w:pPr>
      <w:r>
        <w:rPr>
          <w:rFonts w:hint="eastAsia"/>
          <w:sz w:val="24"/>
          <w:szCs w:val="24"/>
        </w:rPr>
        <w:t xml:space="preserve">30.5.2 中标人违约的，招标人将按照合同约定扣除其全部或部分履约保证金。如中标人违约给招标人造成的损失超过履约保证金的，应当依法赔偿超过部分的损失。</w:t>
      </w:r>
      <w:r/>
    </w:p>
    <w:p>
      <w:pPr>
        <w:ind w:firstLine="480"/>
        <w:jc w:val="left"/>
        <w:spacing w:line="360" w:lineRule="auto"/>
        <w:rPr>
          <w:sz w:val="24"/>
          <w:szCs w:val="24"/>
        </w:rPr>
      </w:pPr>
      <w:r>
        <w:rPr>
          <w:rFonts w:hint="eastAsia"/>
          <w:sz w:val="24"/>
          <w:szCs w:val="24"/>
        </w:rPr>
        <w:t xml:space="preserve">30.5.3 履约保证金自合同生效之日起至合同约定的中标人主要义务履行完毕止，招标人应当按合同约定及时退还履约保证金。</w:t>
      </w:r>
      <w:r/>
    </w:p>
    <w:p>
      <w:pPr>
        <w:ind w:firstLine="480"/>
        <w:jc w:val="left"/>
        <w:spacing w:line="360" w:lineRule="auto"/>
        <w:rPr>
          <w:sz w:val="24"/>
          <w:szCs w:val="24"/>
        </w:rPr>
      </w:pPr>
      <w:r>
        <w:rPr>
          <w:rFonts w:hint="eastAsia"/>
          <w:sz w:val="24"/>
          <w:szCs w:val="24"/>
        </w:rPr>
        <w:t xml:space="preserve">30.5.4 逾期退还履约保证金的违约责任，按照中国人民银行同期贷款基准利率上浮20％后的利率支付超期资金占用费，但因投标人自身原因导致无法及时退还的除外。</w:t>
      </w:r>
      <w:r/>
    </w:p>
    <w:p>
      <w:pPr>
        <w:pStyle w:val="647"/>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360" w:lineRule="auto"/>
        <w:rPr>
          <w:sz w:val="24"/>
          <w:szCs w:val="24"/>
        </w:rPr>
      </w:pPr>
      <w:r>
        <w:rPr>
          <w:rFonts w:hint="eastAsia"/>
          <w:sz w:val="24"/>
          <w:szCs w:val="24"/>
        </w:rPr>
        <w:t xml:space="preserve">31.1 政府采购合同履行中，招标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7"/>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360" w:lineRule="auto"/>
        <w:rPr>
          <w:sz w:val="24"/>
          <w:szCs w:val="24"/>
        </w:rPr>
      </w:pPr>
      <w:r>
        <w:rPr>
          <w:rFonts w:hint="eastAsia"/>
          <w:sz w:val="24"/>
          <w:szCs w:val="24"/>
        </w:rPr>
        <w:t xml:space="preserve">32.1 中标人可凭政府采购合同办理融资贷款，详情请见江苏政府采购网“政采贷”专栏。</w:t>
      </w:r>
      <w:r/>
    </w:p>
    <w:p>
      <w:pPr>
        <w:pStyle w:val="646"/>
        <w:ind w:firstLine="64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47"/>
        <w:ind w:firstLine="562"/>
        <w:jc w:val="left"/>
        <w:spacing w:before="0" w:after="0" w:line="360" w:lineRule="auto"/>
        <w:rPr>
          <w:sz w:val="28"/>
          <w:szCs w:val="28"/>
        </w:rPr>
      </w:pPr>
      <w:r>
        <w:rPr>
          <w:rFonts w:hint="eastAsia"/>
          <w:sz w:val="28"/>
          <w:szCs w:val="28"/>
        </w:rPr>
        <w:t xml:space="preserve">33、询问</w:t>
      </w:r>
      <w:r/>
    </w:p>
    <w:p>
      <w:pPr>
        <w:ind w:firstLine="480"/>
        <w:jc w:val="left"/>
        <w:spacing w:line="360" w:lineRule="auto"/>
        <w:rPr>
          <w:sz w:val="24"/>
          <w:szCs w:val="24"/>
        </w:rPr>
      </w:pPr>
      <w:r>
        <w:rPr>
          <w:rFonts w:hint="eastAsia"/>
          <w:sz w:val="24"/>
          <w:szCs w:val="24"/>
        </w:rPr>
        <w:t xml:space="preserve">33.1 供应商对政府采购活动事项有疑问的，可以提出询问，招标人或者招标代理机构应当在3个工作日内对投标人依法提出的询问作出答复，但答复的内容不得涉及商业秘密。供应商提出的询问超出招标人对招标代理机构委托授权范围的，招标代理机构应当告知其向招标人提出。</w:t>
      </w:r>
      <w:r/>
    </w:p>
    <w:p>
      <w:pPr>
        <w:pStyle w:val="647"/>
        <w:ind w:firstLine="562"/>
        <w:jc w:val="left"/>
        <w:spacing w:before="0" w:after="0" w:line="360" w:lineRule="auto"/>
        <w:rPr>
          <w:sz w:val="28"/>
          <w:szCs w:val="28"/>
        </w:rPr>
      </w:pPr>
      <w:r>
        <w:rPr>
          <w:rFonts w:hint="eastAsia"/>
          <w:sz w:val="28"/>
          <w:szCs w:val="28"/>
        </w:rPr>
        <w:t xml:space="preserve">34、质疑提出</w:t>
      </w:r>
      <w:r/>
    </w:p>
    <w:p>
      <w:pPr>
        <w:ind w:firstLine="480"/>
        <w:jc w:val="left"/>
        <w:spacing w:line="360" w:lineRule="auto"/>
        <w:rPr>
          <w:sz w:val="24"/>
          <w:szCs w:val="24"/>
        </w:rPr>
      </w:pPr>
      <w:r>
        <w:rPr>
          <w:rFonts w:hint="eastAsia"/>
          <w:sz w:val="24"/>
          <w:szCs w:val="24"/>
        </w:rPr>
        <w:t xml:space="preserve">34.1 提出质疑的供应商应当是参与所质疑项目采购活动的供应商。</w:t>
      </w:r>
      <w:r/>
    </w:p>
    <w:p>
      <w:pPr>
        <w:ind w:firstLine="480"/>
        <w:jc w:val="left"/>
        <w:spacing w:line="360" w:lineRule="auto"/>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招标人、招标代理机构提出质疑。</w:t>
      </w:r>
      <w:r/>
    </w:p>
    <w:p>
      <w:pPr>
        <w:ind w:firstLine="480"/>
        <w:jc w:val="left"/>
        <w:spacing w:line="360" w:lineRule="auto"/>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供应商应当在法定质疑期内一次性提出针对同一采购程序环节的质疑，供应商如在法定期限内对同一采购程序环节提出多次质疑的，招标人、招标代理机构将只对供应商第一次质疑作出答复。</w:t>
      </w:r>
      <w:r/>
    </w:p>
    <w:p>
      <w:pPr>
        <w:ind w:firstLine="480"/>
        <w:jc w:val="left"/>
        <w:spacing w:line="360" w:lineRule="auto"/>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招标人、招标代理机构。招标人、招标代理机构不具有法定调查、认定权限。</w:t>
      </w:r>
      <w:r/>
    </w:p>
    <w:p>
      <w:pPr>
        <w:ind w:firstLine="480"/>
        <w:jc w:val="left"/>
        <w:spacing w:line="360" w:lineRule="auto"/>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360" w:lineRule="auto"/>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360" w:lineRule="auto"/>
        <w:rPr>
          <w:sz w:val="24"/>
          <w:szCs w:val="24"/>
        </w:rPr>
      </w:pPr>
      <w:r>
        <w:rPr>
          <w:rFonts w:hint="eastAsia"/>
          <w:sz w:val="24"/>
          <w:szCs w:val="24"/>
        </w:rPr>
        <w:t xml:space="preserve">（1）供应商的姓名或者名称、地址、邮编、联系人及联系电话；</w:t>
      </w:r>
      <w:r/>
    </w:p>
    <w:p>
      <w:pPr>
        <w:ind w:firstLine="480"/>
        <w:jc w:val="left"/>
        <w:spacing w:line="360" w:lineRule="auto"/>
        <w:rPr>
          <w:sz w:val="24"/>
          <w:szCs w:val="24"/>
        </w:rPr>
      </w:pPr>
      <w:r>
        <w:rPr>
          <w:rFonts w:hint="eastAsia"/>
          <w:sz w:val="24"/>
          <w:szCs w:val="24"/>
        </w:rPr>
        <w:t xml:space="preserve">（2）质疑项目的名称、编号；</w:t>
      </w:r>
      <w:r/>
    </w:p>
    <w:p>
      <w:pPr>
        <w:ind w:firstLine="480"/>
        <w:jc w:val="left"/>
        <w:spacing w:line="360" w:lineRule="auto"/>
        <w:rPr>
          <w:sz w:val="24"/>
          <w:szCs w:val="24"/>
        </w:rPr>
      </w:pPr>
      <w:r>
        <w:rPr>
          <w:rFonts w:hint="eastAsia"/>
          <w:sz w:val="24"/>
          <w:szCs w:val="24"/>
        </w:rPr>
        <w:t xml:space="preserve">（3）具体、明确的质疑事项和与质疑事项相关的请求；</w:t>
      </w:r>
      <w:r/>
    </w:p>
    <w:p>
      <w:pPr>
        <w:ind w:firstLine="480"/>
        <w:jc w:val="left"/>
        <w:spacing w:line="360" w:lineRule="auto"/>
        <w:rPr>
          <w:sz w:val="24"/>
          <w:szCs w:val="24"/>
        </w:rPr>
      </w:pPr>
      <w:r>
        <w:rPr>
          <w:rFonts w:hint="eastAsia"/>
          <w:sz w:val="24"/>
          <w:szCs w:val="24"/>
        </w:rPr>
        <w:t xml:space="preserve">（4）事实依据；</w:t>
      </w:r>
      <w:r/>
    </w:p>
    <w:p>
      <w:pPr>
        <w:ind w:firstLine="480"/>
        <w:jc w:val="left"/>
        <w:spacing w:line="360" w:lineRule="auto"/>
        <w:rPr>
          <w:sz w:val="24"/>
          <w:szCs w:val="24"/>
        </w:rPr>
      </w:pPr>
      <w:r>
        <w:rPr>
          <w:rFonts w:hint="eastAsia"/>
          <w:sz w:val="24"/>
          <w:szCs w:val="24"/>
        </w:rPr>
        <w:t xml:space="preserve">（5）必要的法律依据；</w:t>
      </w:r>
      <w:r/>
    </w:p>
    <w:p>
      <w:pPr>
        <w:ind w:firstLine="480"/>
        <w:jc w:val="left"/>
        <w:spacing w:line="360" w:lineRule="auto"/>
        <w:rPr>
          <w:sz w:val="24"/>
          <w:szCs w:val="24"/>
        </w:rPr>
      </w:pPr>
      <w:r>
        <w:rPr>
          <w:rFonts w:hint="eastAsia"/>
          <w:sz w:val="24"/>
          <w:szCs w:val="24"/>
        </w:rPr>
        <w:t xml:space="preserve">（6）提出质疑的日期；</w:t>
      </w:r>
      <w:r/>
    </w:p>
    <w:p>
      <w:pPr>
        <w:ind w:firstLine="480"/>
        <w:jc w:val="left"/>
        <w:spacing w:line="360" w:lineRule="auto"/>
        <w:rPr>
          <w:sz w:val="24"/>
          <w:szCs w:val="24"/>
        </w:rPr>
      </w:pPr>
      <w:r>
        <w:rPr>
          <w:rFonts w:hint="eastAsia"/>
          <w:sz w:val="24"/>
          <w:szCs w:val="24"/>
        </w:rPr>
        <w:t xml:space="preserve">（7）必要的证明材料；</w:t>
      </w:r>
      <w:r/>
    </w:p>
    <w:p>
      <w:pPr>
        <w:ind w:firstLine="480"/>
        <w:jc w:val="left"/>
        <w:spacing w:line="360" w:lineRule="auto"/>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360" w:lineRule="auto"/>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47"/>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360" w:lineRule="auto"/>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招标人、招标代理机构不负责搜集必要的证明材料等工作。</w:t>
      </w:r>
      <w:r/>
    </w:p>
    <w:p>
      <w:pPr>
        <w:ind w:firstLine="480"/>
        <w:jc w:val="left"/>
        <w:spacing w:line="360" w:lineRule="auto"/>
        <w:rPr>
          <w:sz w:val="24"/>
          <w:szCs w:val="24"/>
        </w:rPr>
      </w:pPr>
      <w:r>
        <w:rPr>
          <w:rFonts w:hint="eastAsia"/>
          <w:sz w:val="24"/>
          <w:szCs w:val="24"/>
        </w:rPr>
        <w:t xml:space="preserve">35.2 对符合法定要求的质疑，招标人、招标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sz w:val="24"/>
          <w:szCs w:val="24"/>
        </w:rPr>
      </w:pPr>
      <w:r>
        <w:rPr>
          <w:rFonts w:hint="eastAsia"/>
          <w:sz w:val="24"/>
          <w:szCs w:val="24"/>
        </w:rPr>
        <w:t xml:space="preserve">35.3 对不符合质疑要求的，招标人、招标代理机构有权要求其补充必要的证明材料，质疑供应商未在法定时间内补充必要的证明材料的，视同放弃质疑。</w:t>
      </w:r>
      <w:r/>
    </w:p>
    <w:p>
      <w:pPr>
        <w:ind w:firstLine="480"/>
        <w:jc w:val="left"/>
        <w:spacing w:line="360" w:lineRule="auto"/>
        <w:rPr>
          <w:sz w:val="24"/>
          <w:szCs w:val="24"/>
        </w:rPr>
      </w:pPr>
      <w:r>
        <w:rPr>
          <w:rFonts w:hint="eastAsia"/>
          <w:sz w:val="24"/>
          <w:szCs w:val="24"/>
        </w:rPr>
        <w:t xml:space="preserve">35.4 以下情形的质疑依法不予受理：</w:t>
      </w:r>
      <w:r/>
    </w:p>
    <w:p>
      <w:pPr>
        <w:ind w:firstLine="480"/>
        <w:jc w:val="left"/>
        <w:spacing w:line="360" w:lineRule="auto"/>
        <w:rPr>
          <w:sz w:val="24"/>
          <w:szCs w:val="24"/>
        </w:rPr>
      </w:pPr>
      <w:r>
        <w:rPr>
          <w:rFonts w:hint="eastAsia"/>
          <w:sz w:val="24"/>
          <w:szCs w:val="24"/>
        </w:rPr>
        <w:t xml:space="preserve">（1）内容不符合《政府采购质疑和投诉办法》第十二条规定的质疑。</w:t>
      </w:r>
      <w:r/>
    </w:p>
    <w:p>
      <w:pPr>
        <w:ind w:firstLine="480"/>
        <w:jc w:val="left"/>
        <w:spacing w:line="360" w:lineRule="auto"/>
        <w:rPr>
          <w:sz w:val="24"/>
          <w:szCs w:val="24"/>
        </w:rPr>
      </w:pPr>
      <w:r>
        <w:rPr>
          <w:rFonts w:hint="eastAsia"/>
          <w:sz w:val="24"/>
          <w:szCs w:val="24"/>
        </w:rPr>
        <w:t xml:space="preserve">（2）超出政府采购法定期限的质疑。</w:t>
      </w:r>
      <w:r/>
    </w:p>
    <w:p>
      <w:pPr>
        <w:ind w:firstLine="480"/>
        <w:jc w:val="left"/>
        <w:spacing w:line="360" w:lineRule="auto"/>
        <w:rPr>
          <w:sz w:val="24"/>
          <w:szCs w:val="24"/>
        </w:rPr>
      </w:pPr>
      <w:r>
        <w:rPr>
          <w:rFonts w:hint="eastAsia"/>
          <w:sz w:val="24"/>
          <w:szCs w:val="24"/>
        </w:rPr>
        <w:t xml:space="preserve">（3）以传真、电子邮件等方式递交的非原件形式的质疑。</w:t>
      </w:r>
      <w:r/>
    </w:p>
    <w:p>
      <w:pPr>
        <w:ind w:firstLine="480"/>
        <w:jc w:val="left"/>
        <w:spacing w:line="360" w:lineRule="auto"/>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360" w:lineRule="auto"/>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360" w:lineRule="auto"/>
        <w:rPr>
          <w:sz w:val="24"/>
          <w:szCs w:val="24"/>
        </w:rPr>
      </w:pPr>
      <w:r>
        <w:rPr>
          <w:rFonts w:hint="eastAsia"/>
          <w:sz w:val="24"/>
          <w:szCs w:val="24"/>
        </w:rPr>
        <w:t xml:space="preserve">35.5 招标人、招标代理机构依法受理的质疑，将按照政府采购有关规定，在法定期限内作出答复。</w:t>
      </w:r>
      <w:r/>
    </w:p>
    <w:p>
      <w:pPr>
        <w:pStyle w:val="647"/>
        <w:ind w:firstLine="562"/>
        <w:jc w:val="left"/>
        <w:spacing w:before="0" w:after="0" w:line="360" w:lineRule="auto"/>
        <w:rPr>
          <w:sz w:val="28"/>
          <w:szCs w:val="28"/>
        </w:rPr>
      </w:pPr>
      <w:r>
        <w:rPr>
          <w:rFonts w:hint="eastAsia"/>
          <w:sz w:val="28"/>
          <w:szCs w:val="28"/>
        </w:rPr>
        <w:t xml:space="preserve">36、质疑处理</w:t>
      </w:r>
      <w:r/>
    </w:p>
    <w:p>
      <w:pPr>
        <w:ind w:firstLine="480"/>
        <w:jc w:val="left"/>
        <w:spacing w:line="360" w:lineRule="auto"/>
        <w:rPr>
          <w:sz w:val="24"/>
          <w:szCs w:val="24"/>
        </w:rPr>
      </w:pPr>
      <w:r>
        <w:rPr>
          <w:rFonts w:hint="eastAsia"/>
          <w:sz w:val="24"/>
          <w:szCs w:val="24"/>
        </w:rPr>
        <w:t xml:space="preserve">36.1 质疑供应商未按照法定程序进行质疑投诉的，视为一般失信行为。</w:t>
      </w:r>
      <w:r/>
    </w:p>
    <w:p>
      <w:pPr>
        <w:ind w:firstLine="480"/>
        <w:jc w:val="left"/>
        <w:spacing w:line="360" w:lineRule="auto"/>
        <w:rPr>
          <w:sz w:val="24"/>
          <w:szCs w:val="24"/>
        </w:rPr>
      </w:pPr>
      <w:r>
        <w:rPr>
          <w:rFonts w:hint="eastAsia"/>
          <w:sz w:val="24"/>
          <w:szCs w:val="24"/>
        </w:rPr>
        <w:t xml:space="preserve">36.2 质疑供应商不配合或者采取不正当手段干扰政府采购质疑、投诉处理工作的，视为一般失信行为。</w:t>
      </w:r>
      <w:r/>
    </w:p>
    <w:p>
      <w:pPr>
        <w:ind w:firstLine="480"/>
        <w:jc w:val="left"/>
        <w:spacing w:line="360" w:lineRule="auto"/>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360" w:lineRule="auto"/>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360" w:lineRule="auto"/>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360" w:lineRule="auto"/>
        <w:rPr>
          <w:sz w:val="24"/>
          <w:szCs w:val="24"/>
        </w:rPr>
      </w:pPr>
      <w:r>
        <w:rPr>
          <w:rFonts w:hint="eastAsia"/>
          <w:sz w:val="24"/>
          <w:szCs w:val="24"/>
        </w:rPr>
        <w:t xml:space="preserve">36.7 未尽事宜，依照有关法律、法规执行。</w:t>
      </w:r>
      <w:r/>
    </w:p>
    <w:p>
      <w:pPr>
        <w:pStyle w:val="646"/>
        <w:ind w:firstLine="64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47"/>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360" w:lineRule="auto"/>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sz w:val="24"/>
          <w:szCs w:val="24"/>
        </w:rPr>
      </w:pPr>
      <w:r>
        <w:rPr>
          <w:rFonts w:hint="eastAsia"/>
          <w:sz w:val="24"/>
          <w:szCs w:val="24"/>
        </w:rPr>
        <w:t xml:space="preserve">37.2 参加本项目政府采购活动的供应商应当提供的材料： </w:t>
      </w:r>
      <w:r/>
    </w:p>
    <w:p>
      <w:pPr>
        <w:ind w:firstLine="480"/>
        <w:jc w:val="left"/>
        <w:spacing w:line="360" w:lineRule="auto"/>
        <w:rPr>
          <w:sz w:val="24"/>
          <w:szCs w:val="24"/>
        </w:rPr>
      </w:pPr>
      <w:r>
        <w:rPr>
          <w:rFonts w:hint="eastAsia"/>
          <w:sz w:val="24"/>
          <w:szCs w:val="24"/>
        </w:rPr>
        <w:t xml:space="preserve">（1）投标人为中型企业、小型企业、微型企业的，提供《中小企业声明函》（第六章 投标文件格式）。</w:t>
      </w:r>
      <w:r/>
    </w:p>
    <w:p>
      <w:pPr>
        <w:ind w:firstLine="480"/>
        <w:jc w:val="left"/>
        <w:spacing w:line="360" w:lineRule="auto"/>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sz w:val="24"/>
          <w:szCs w:val="24"/>
        </w:rPr>
      </w:pPr>
      <w:r>
        <w:rPr>
          <w:rFonts w:hint="eastAsia"/>
          <w:sz w:val="24"/>
          <w:szCs w:val="24"/>
        </w:rPr>
        <w:t xml:space="preserve">37.3 享受扶持政策获得政府采购合同的，小微型企业不得将合同分包给大中型企业，中型企业不得将合同分包给大型企业。</w:t>
      </w:r>
      <w:r/>
    </w:p>
    <w:p>
      <w:pPr>
        <w:pStyle w:val="647"/>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360" w:lineRule="auto"/>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招标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sz w:val="24"/>
          <w:szCs w:val="24"/>
        </w:rPr>
      </w:pPr>
      <w:r>
        <w:rPr>
          <w:sz w:val="24"/>
          <w:szCs w:val="24"/>
        </w:rPr>
        <w:t xml:space="preserve">38</w:t>
      </w:r>
      <w:r>
        <w:rPr>
          <w:rFonts w:hint="eastAsia"/>
          <w:sz w:val="24"/>
          <w:szCs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47"/>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360" w:lineRule="auto"/>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45"/>
        <w:jc w:val="center"/>
        <w:spacing w:before="156" w:after="156" w:line="360" w:lineRule="auto"/>
        <w:rPr>
          <w:rFonts w:ascii="黑体" w:hAnsi="黑体" w:eastAsia="黑体"/>
          <w:b w:val="0"/>
        </w:rPr>
      </w:pPr>
      <w:r/>
      <w:bookmarkStart w:id="17" w:name="_Toc155796358"/>
      <w:r>
        <w:rPr>
          <w:rFonts w:hint="eastAsia" w:ascii="黑体" w:hAnsi="黑体" w:eastAsia="黑体"/>
          <w:b w:val="0"/>
        </w:rPr>
        <w:t xml:space="preserve">第三章  合同文本</w:t>
      </w:r>
      <w:bookmarkEnd w:id="17"/>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w:t>
      </w:r>
      <w:r/>
    </w:p>
    <w:p>
      <w:pPr>
        <w:ind w:firstLine="480"/>
        <w:jc w:val="left"/>
        <w:spacing w:line="500" w:lineRule="exact"/>
        <w:rPr>
          <w:sz w:val="24"/>
          <w:szCs w:val="24"/>
        </w:rPr>
      </w:pPr>
      <w:r>
        <w:rPr>
          <w:sz w:val="24"/>
          <w:szCs w:val="24"/>
        </w:rPr>
      </w:r>
      <w:r/>
    </w:p>
    <w:p>
      <w:pPr>
        <w:rPr>
          <w:sz w:val="24"/>
          <w:szCs w:val="24"/>
        </w:rPr>
      </w:pPr>
      <w:r>
        <w:rPr>
          <w:sz w:val="24"/>
          <w:szCs w:val="24"/>
        </w:rPr>
        <w:br w:type="page" w:clear="all"/>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pStyle w:val="660"/>
      </w:pPr>
      <w:r/>
      <w:r/>
    </w:p>
    <w:p>
      <w:pPr>
        <w:jc w:val="left"/>
        <w:spacing w:line="360" w:lineRule="auto"/>
        <w:rPr>
          <w:sz w:val="24"/>
          <w:szCs w:val="24"/>
        </w:rPr>
      </w:pPr>
      <w:r>
        <w:rPr>
          <w:rFonts w:hint="eastAsia"/>
          <w:sz w:val="24"/>
          <w:szCs w:val="24"/>
        </w:rPr>
        <w:t xml:space="preserve">甲方：_________</w:t>
      </w:r>
      <w:r/>
    </w:p>
    <w:p>
      <w:pPr>
        <w:jc w:val="left"/>
        <w:spacing w:line="360" w:lineRule="auto"/>
        <w:rPr>
          <w:sz w:val="24"/>
          <w:szCs w:val="24"/>
        </w:rPr>
      </w:pPr>
      <w:r>
        <w:rPr>
          <w:rFonts w:hint="eastAsia"/>
          <w:sz w:val="24"/>
          <w:szCs w:val="24"/>
        </w:rPr>
        <w:t xml:space="preserve">乙方：_________</w:t>
      </w:r>
      <w:r/>
    </w:p>
    <w:p>
      <w:pPr>
        <w:ind w:firstLine="480"/>
        <w:jc w:val="left"/>
        <w:spacing w:line="360" w:lineRule="auto"/>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360" w:lineRule="auto"/>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360" w:lineRule="auto"/>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360" w:lineRule="auto"/>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360" w:lineRule="auto"/>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360" w:lineRule="auto"/>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360" w:lineRule="auto"/>
        <w:rPr>
          <w:sz w:val="24"/>
          <w:szCs w:val="24"/>
        </w:rPr>
      </w:pPr>
      <w:r>
        <w:rPr>
          <w:rFonts w:hint="eastAsia"/>
          <w:sz w:val="24"/>
          <w:szCs w:val="24"/>
        </w:rPr>
        <w:t xml:space="preserve">3.1 乙方应按招标文件规定的时间向甲方提供有关技术资料。</w:t>
      </w:r>
      <w:r/>
    </w:p>
    <w:p>
      <w:pPr>
        <w:ind w:firstLine="480"/>
        <w:jc w:val="left"/>
        <w:spacing w:line="360" w:lineRule="auto"/>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360" w:lineRule="auto"/>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sz w:val="24"/>
          <w:szCs w:val="24"/>
        </w:rPr>
      </w:pPr>
      <w:r>
        <w:rPr>
          <w:rFonts w:hint="eastAsia"/>
          <w:sz w:val="24"/>
          <w:szCs w:val="24"/>
        </w:rPr>
        <w:t xml:space="preserve">4.2 乙方所完成的服务成果的所有权利，包括但不限于知识产权、专利申请权和所有权，归甲方所有。</w:t>
      </w:r>
      <w:r/>
    </w:p>
    <w:p>
      <w:pPr>
        <w:ind w:firstLine="480"/>
        <w:jc w:val="left"/>
        <w:spacing w:line="360" w:lineRule="auto"/>
        <w:rPr>
          <w:sz w:val="24"/>
          <w:szCs w:val="24"/>
        </w:rPr>
      </w:pPr>
      <w:r>
        <w:rPr>
          <w:rFonts w:hint="eastAsia"/>
          <w:sz w:val="24"/>
          <w:szCs w:val="24"/>
        </w:rPr>
        <w:t xml:space="preserve">4.3 甲方利用乙方的服务成果所完成的新的成果的所有权利，包括但不限于知识产权、专利申请权和所有权，归甲方所有。</w:t>
      </w:r>
      <w:r/>
    </w:p>
    <w:p>
      <w:pPr>
        <w:ind w:firstLine="480"/>
        <w:jc w:val="left"/>
        <w:spacing w:line="360" w:lineRule="auto"/>
        <w:rPr>
          <w:sz w:val="24"/>
          <w:szCs w:val="24"/>
        </w:rPr>
      </w:pPr>
      <w:r>
        <w:rPr>
          <w:rFonts w:hint="eastAsia"/>
          <w:sz w:val="24"/>
          <w:szCs w:val="24"/>
        </w:rPr>
        <w:t xml:space="preserve">4.4 乙方未经甲方书面同意，不得使用本合同中涉及的内容与信息做任何形式的推广。</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360" w:lineRule="auto"/>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360" w:lineRule="auto"/>
        <w:rPr>
          <w:sz w:val="24"/>
          <w:szCs w:val="24"/>
        </w:rPr>
      </w:pPr>
      <w:r>
        <w:rPr>
          <w:rFonts w:hint="eastAsia"/>
          <w:sz w:val="24"/>
          <w:szCs w:val="24"/>
        </w:rPr>
        <w:t xml:space="preserve">6.1 履约保证金的金额：合同价款的10%。</w:t>
      </w:r>
      <w:r/>
    </w:p>
    <w:p>
      <w:pPr>
        <w:ind w:firstLine="480"/>
        <w:jc w:val="left"/>
        <w:spacing w:line="360" w:lineRule="auto"/>
        <w:rPr>
          <w:sz w:val="24"/>
          <w:szCs w:val="24"/>
        </w:rPr>
      </w:pPr>
      <w:r>
        <w:rPr>
          <w:rFonts w:hint="eastAsia"/>
          <w:sz w:val="24"/>
          <w:szCs w:val="24"/>
        </w:rPr>
        <w:t xml:space="preserve">6.2 履约保证金应当以支票、汇票、本票或者金融机构、担保机构出具的保函等非现金形式提交。</w:t>
      </w:r>
      <w:r/>
    </w:p>
    <w:p>
      <w:pPr>
        <w:ind w:firstLine="480"/>
        <w:jc w:val="left"/>
        <w:spacing w:line="360" w:lineRule="auto"/>
        <w:rPr>
          <w:sz w:val="24"/>
          <w:szCs w:val="24"/>
        </w:rPr>
      </w:pPr>
      <w:r>
        <w:rPr>
          <w:rFonts w:hint="eastAsia"/>
          <w:sz w:val="24"/>
          <w:szCs w:val="24"/>
        </w:rPr>
        <w:t xml:space="preserve">6.3 履约保证金的退还：乙方完成合同范围内的所有内容，并经质检合格后，甲方退还乙方履约保证金。</w:t>
      </w:r>
      <w:r/>
    </w:p>
    <w:p>
      <w:pPr>
        <w:ind w:firstLine="480"/>
        <w:jc w:val="left"/>
        <w:spacing w:line="360" w:lineRule="auto"/>
        <w:rPr>
          <w:sz w:val="24"/>
          <w:szCs w:val="24"/>
        </w:rPr>
      </w:pPr>
      <w:r>
        <w:rPr>
          <w:rFonts w:hint="eastAsia"/>
          <w:sz w:val="24"/>
          <w:szCs w:val="24"/>
        </w:rPr>
        <w:t xml:space="preserve">6.4 不予退还的情形：乙方不履行合同，履约保证金不予退还。乙方违约的，甲方将按照招标文件及合同约定扣除其全部或部分履约保证金。如乙方违约给甲方造成的损失超过履约保证金的，应当依法赔偿超过部分的损失。</w:t>
      </w:r>
      <w:r/>
    </w:p>
    <w:p>
      <w:pPr>
        <w:ind w:firstLine="480"/>
        <w:jc w:val="left"/>
        <w:spacing w:line="360" w:lineRule="auto"/>
        <w:rPr>
          <w:sz w:val="24"/>
          <w:szCs w:val="24"/>
        </w:rPr>
      </w:pPr>
      <w:r>
        <w:rPr>
          <w:rFonts w:hint="eastAsia"/>
          <w:sz w:val="24"/>
          <w:szCs w:val="24"/>
        </w:rPr>
        <w:t xml:space="preserve">6.5 逾期退还履约保证金的违约责任：除不可抗力外，甲方逾期退还履约保证金的，除应当退还履约保证金本金外，还应按商业银行同期贷款利率上浮20%后的利率支付资金占用费。</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360" w:lineRule="auto"/>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360" w:lineRule="auto"/>
        <w:rPr>
          <w:sz w:val="24"/>
          <w:szCs w:val="24"/>
        </w:rPr>
      </w:pPr>
      <w:r>
        <w:rPr>
          <w:rFonts w:hint="eastAsia"/>
          <w:sz w:val="24"/>
          <w:szCs w:val="24"/>
        </w:rPr>
        <w:t xml:space="preserve">7.2 如有转让和未经甲方同意的分包行为，甲方有权终止合同。</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sz w:val="24"/>
          <w:szCs w:val="24"/>
          <w:u w:val="single"/>
        </w:rPr>
      </w:pPr>
      <w:r>
        <w:rPr>
          <w:rFonts w:hint="eastAsia"/>
          <w:sz w:val="24"/>
          <w:szCs w:val="24"/>
        </w:rPr>
        <w:t xml:space="preserve">8.1 服务时间：</w:t>
      </w:r>
      <w:r>
        <w:rPr>
          <w:rFonts w:hint="eastAsia"/>
          <w:b/>
          <w:sz w:val="24"/>
          <w:szCs w:val="24"/>
          <w:u w:val="single"/>
        </w:rPr>
        <w:t xml:space="preserve">自合同签订之日起，2025年7月底前完成，2025年12月底前配合完成项目审计、验收等后续工作。（具体时间以省、市两级实际工作进度为准）。</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360" w:lineRule="auto"/>
        <w:rPr>
          <w:sz w:val="24"/>
          <w:szCs w:val="24"/>
        </w:rPr>
      </w:pPr>
      <w:r>
        <w:rPr>
          <w:rFonts w:hint="eastAsia"/>
          <w:sz w:val="24"/>
          <w:szCs w:val="24"/>
        </w:rPr>
        <w:t xml:space="preserve">9.1 交付方式：</w:t>
      </w:r>
      <w:r>
        <w:rPr>
          <w:rFonts w:hint="eastAsia"/>
          <w:sz w:val="24"/>
          <w:szCs w:val="24"/>
          <w:u w:val="single"/>
        </w:rPr>
        <w:t xml:space="preserve">纸质或电子，按甲方要求执行</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9.2 交付地点：</w:t>
      </w:r>
      <w:r>
        <w:rPr>
          <w:rFonts w:hint="eastAsia" w:eastAsia="宋体"/>
          <w:sz w:val="24"/>
          <w:szCs w:val="24"/>
          <w:u w:val="single"/>
        </w:rPr>
        <w:t xml:space="preserve">江苏省连云港市灌云县伊山镇伊山中路257号</w:t>
      </w:r>
      <w:r>
        <w:rPr>
          <w:rFonts w:hint="eastAsia"/>
          <w:sz w:val="24"/>
          <w:szCs w:val="24"/>
        </w:rPr>
        <w:t xml:space="preserve">。</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360" w:lineRule="auto"/>
        <w:rPr>
          <w:sz w:val="24"/>
          <w:szCs w:val="24"/>
        </w:rPr>
      </w:pPr>
      <w:r>
        <w:rPr>
          <w:rFonts w:hint="eastAsia"/>
          <w:sz w:val="24"/>
          <w:szCs w:val="24"/>
        </w:rPr>
        <w:t xml:space="preserve">10.1 付款方式：_________。</w:t>
      </w:r>
      <w:r/>
    </w:p>
    <w:p>
      <w:pPr>
        <w:ind w:firstLine="480"/>
        <w:jc w:val="left"/>
        <w:spacing w:line="360" w:lineRule="auto"/>
        <w:rPr>
          <w:sz w:val="24"/>
          <w:szCs w:val="24"/>
        </w:rPr>
      </w:pPr>
      <w:r>
        <w:rPr>
          <w:rFonts w:hint="eastAsia"/>
          <w:sz w:val="24"/>
          <w:szCs w:val="24"/>
        </w:rPr>
        <w:t xml:space="preserve">10.2 甲方对满足合同约定支付条件的项目自收到发票后10个工作日内将资金支付到约定的乙方账户(以发票开具日期计算)。</w:t>
      </w:r>
      <w:r/>
    </w:p>
    <w:p>
      <w:pPr>
        <w:ind w:firstLine="480"/>
        <w:jc w:val="left"/>
        <w:spacing w:line="360" w:lineRule="auto"/>
        <w:rPr>
          <w:sz w:val="24"/>
          <w:szCs w:val="24"/>
        </w:rPr>
      </w:pPr>
      <w:r>
        <w:rPr>
          <w:rFonts w:hint="eastAsia"/>
          <w:sz w:val="24"/>
          <w:szCs w:val="24"/>
        </w:rPr>
        <w:t xml:space="preserve">注：具体付款时间以财政支付节点及有关要求为准。</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360" w:lineRule="auto"/>
        <w:rPr>
          <w:sz w:val="24"/>
          <w:szCs w:val="24"/>
        </w:rPr>
      </w:pPr>
      <w:r>
        <w:rPr>
          <w:rFonts w:hint="eastAsia"/>
          <w:sz w:val="24"/>
          <w:szCs w:val="24"/>
        </w:rPr>
        <w:t xml:space="preserve">11.1 本合同执行中相关的一切税费均由乙方负担。</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十二、责任与义务</w:t>
      </w:r>
      <w:r/>
    </w:p>
    <w:p>
      <w:pPr>
        <w:ind w:firstLine="480"/>
        <w:jc w:val="left"/>
        <w:spacing w:line="360" w:lineRule="auto"/>
        <w:rPr>
          <w:sz w:val="24"/>
          <w:szCs w:val="24"/>
        </w:rPr>
      </w:pPr>
      <w:r>
        <w:rPr>
          <w:rFonts w:hint="eastAsia"/>
          <w:sz w:val="24"/>
          <w:szCs w:val="24"/>
        </w:rPr>
        <w:t xml:space="preserve">12.1甲方的责任与义务</w:t>
      </w:r>
      <w:r/>
    </w:p>
    <w:p>
      <w:pPr>
        <w:ind w:firstLine="480"/>
        <w:jc w:val="left"/>
        <w:spacing w:line="360" w:lineRule="auto"/>
        <w:rPr>
          <w:sz w:val="24"/>
          <w:szCs w:val="24"/>
        </w:rPr>
      </w:pPr>
      <w:r>
        <w:rPr>
          <w:rFonts w:hint="eastAsia"/>
          <w:sz w:val="24"/>
          <w:szCs w:val="24"/>
        </w:rPr>
        <w:t xml:space="preserve">（1）甲方有权随时向乙方了解项目进度并要求乙方提供项目相关资料。</w:t>
      </w:r>
      <w:r/>
    </w:p>
    <w:p>
      <w:pPr>
        <w:ind w:firstLine="480"/>
        <w:jc w:val="left"/>
        <w:spacing w:line="360" w:lineRule="auto"/>
        <w:rPr>
          <w:sz w:val="24"/>
          <w:szCs w:val="24"/>
        </w:rPr>
      </w:pPr>
      <w:r>
        <w:rPr>
          <w:rFonts w:hint="eastAsia"/>
          <w:sz w:val="24"/>
          <w:szCs w:val="24"/>
        </w:rPr>
        <w:t xml:space="preserve">（2）甲方根据项目的具体情况和技术要求确定合理的工作量及工作周期，并按合同有关规定支付费用。</w:t>
      </w:r>
      <w:r/>
    </w:p>
    <w:p>
      <w:pPr>
        <w:ind w:firstLine="480"/>
        <w:jc w:val="left"/>
        <w:spacing w:line="360" w:lineRule="auto"/>
        <w:rPr>
          <w:sz w:val="24"/>
          <w:szCs w:val="24"/>
        </w:rPr>
      </w:pPr>
      <w:r>
        <w:rPr>
          <w:rFonts w:hint="eastAsia"/>
          <w:sz w:val="24"/>
          <w:szCs w:val="24"/>
        </w:rPr>
        <w:t xml:space="preserve">（3）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ind w:firstLine="480"/>
        <w:jc w:val="left"/>
        <w:spacing w:line="360" w:lineRule="auto"/>
        <w:rPr>
          <w:sz w:val="24"/>
          <w:szCs w:val="24"/>
        </w:rPr>
      </w:pPr>
      <w:r>
        <w:rPr>
          <w:rFonts w:hint="eastAsia"/>
          <w:sz w:val="24"/>
          <w:szCs w:val="24"/>
        </w:rPr>
        <w:t xml:space="preserve">12.2乙方的责任与义务</w:t>
      </w:r>
      <w:r/>
    </w:p>
    <w:p>
      <w:pPr>
        <w:ind w:firstLine="480"/>
        <w:jc w:val="left"/>
        <w:spacing w:line="360" w:lineRule="auto"/>
        <w:rPr>
          <w:sz w:val="24"/>
          <w:szCs w:val="24"/>
        </w:rPr>
      </w:pPr>
      <w:r>
        <w:rPr>
          <w:rFonts w:hint="eastAsia"/>
          <w:sz w:val="24"/>
          <w:szCs w:val="24"/>
        </w:rPr>
        <w:t xml:space="preserve">（1）乙方应根据招标文件和签订的合同，按照相关规定，完成本合同项目的服务工作。</w:t>
      </w:r>
      <w:r/>
    </w:p>
    <w:p>
      <w:pPr>
        <w:ind w:firstLine="480"/>
        <w:jc w:val="left"/>
        <w:spacing w:line="360" w:lineRule="auto"/>
        <w:rPr>
          <w:sz w:val="24"/>
          <w:szCs w:val="24"/>
        </w:rPr>
      </w:pPr>
      <w:r>
        <w:rPr>
          <w:rFonts w:hint="eastAsia"/>
          <w:sz w:val="24"/>
          <w:szCs w:val="24"/>
        </w:rPr>
        <w:t xml:space="preserve">（2）乙方对其提供的技术成果及数据资料的完整性、正确性及时限负责。乙方所提供的技术成果及数据必须符合相关部门规范要求。</w:t>
      </w:r>
      <w:r/>
    </w:p>
    <w:p>
      <w:pPr>
        <w:ind w:firstLine="480"/>
        <w:jc w:val="left"/>
        <w:spacing w:line="360" w:lineRule="auto"/>
        <w:rPr>
          <w:sz w:val="24"/>
          <w:szCs w:val="24"/>
        </w:rPr>
      </w:pPr>
      <w:r>
        <w:rPr>
          <w:rFonts w:hint="eastAsia"/>
          <w:sz w:val="24"/>
          <w:szCs w:val="24"/>
        </w:rPr>
        <w:t xml:space="preserve">（3）乙方的相关技术文件应当接受甲方或甲方委托的单位及甲方的上级主管单位的评审。</w:t>
      </w:r>
      <w:r/>
    </w:p>
    <w:p>
      <w:pPr>
        <w:ind w:firstLine="480"/>
        <w:jc w:val="left"/>
        <w:spacing w:line="360" w:lineRule="auto"/>
        <w:rPr>
          <w:sz w:val="24"/>
          <w:szCs w:val="24"/>
        </w:rPr>
      </w:pPr>
      <w:r>
        <w:rPr>
          <w:rFonts w:hint="eastAsia"/>
          <w:sz w:val="24"/>
          <w:szCs w:val="24"/>
        </w:rPr>
        <w:t xml:space="preserve">（4）人员保证与变更</w:t>
      </w:r>
      <w:r/>
    </w:p>
    <w:p>
      <w:pPr>
        <w:ind w:firstLine="480"/>
        <w:jc w:val="left"/>
        <w:spacing w:line="360" w:lineRule="auto"/>
        <w:rPr>
          <w:sz w:val="24"/>
          <w:szCs w:val="24"/>
        </w:rPr>
      </w:pPr>
      <w:r>
        <w:rPr>
          <w:rFonts w:hint="eastAsia"/>
          <w:sz w:val="24"/>
          <w:szCs w:val="24"/>
        </w:rPr>
        <w:t xml:space="preserve">①乙方应按招标文件中承诺的人员投入工作，在服务过程应保持人员的相对稳定。确需调整，应报经甲方批准。</w:t>
      </w:r>
      <w:r/>
    </w:p>
    <w:p>
      <w:pPr>
        <w:ind w:firstLine="480"/>
        <w:jc w:val="left"/>
        <w:spacing w:line="360" w:lineRule="auto"/>
        <w:rPr>
          <w:sz w:val="24"/>
          <w:szCs w:val="24"/>
        </w:rPr>
      </w:pPr>
      <w:r>
        <w:rPr>
          <w:rFonts w:hint="eastAsia"/>
          <w:sz w:val="24"/>
          <w:szCs w:val="24"/>
        </w:rPr>
        <w:t xml:space="preserve">②当技术团队人员不能满足合同服务的进度计划或质量要求时，甲方有权要求乙方继续增派(和/或更换)人员。乙方在接到通知7天内，增派(和/或更换)的人员应到岗。</w:t>
      </w:r>
      <w:r/>
    </w:p>
    <w:p>
      <w:pPr>
        <w:ind w:firstLine="480"/>
        <w:jc w:val="left"/>
        <w:spacing w:line="360" w:lineRule="auto"/>
        <w:rPr>
          <w:sz w:val="24"/>
          <w:szCs w:val="24"/>
        </w:rPr>
      </w:pPr>
      <w:r>
        <w:rPr>
          <w:rFonts w:hint="eastAsia"/>
          <w:sz w:val="24"/>
          <w:szCs w:val="24"/>
        </w:rPr>
        <w:t xml:space="preserve">③当甲方需要现场服务时，除正常驻点办公人员外的其他人员须在24小时之内到位。</w:t>
      </w:r>
      <w:r/>
    </w:p>
    <w:p>
      <w:pPr>
        <w:ind w:firstLine="480"/>
        <w:jc w:val="left"/>
        <w:spacing w:line="360" w:lineRule="auto"/>
        <w:rPr>
          <w:sz w:val="24"/>
          <w:szCs w:val="24"/>
        </w:rPr>
      </w:pPr>
      <w:r>
        <w:rPr>
          <w:rFonts w:hint="eastAsia"/>
          <w:sz w:val="24"/>
          <w:szCs w:val="24"/>
        </w:rPr>
        <w:t xml:space="preserve">如上述未能达到甲方要求，则按照1000元人民币/人/天的标准向甲方支付违约金，由甲方从待付合同款中扣除。</w:t>
      </w:r>
      <w:r/>
    </w:p>
    <w:p>
      <w:pPr>
        <w:ind w:firstLine="480"/>
        <w:jc w:val="left"/>
        <w:spacing w:line="360" w:lineRule="auto"/>
        <w:rPr>
          <w:sz w:val="24"/>
          <w:szCs w:val="24"/>
        </w:rPr>
      </w:pPr>
      <w:r>
        <w:rPr>
          <w:rFonts w:hint="eastAsia"/>
          <w:sz w:val="24"/>
          <w:szCs w:val="24"/>
        </w:rPr>
        <w:t xml:space="preserve">（5）乙方在服务过程中，如果发生侵犯专利权等行为而引起索赔或诉讼，则乙方应承担全部责任，并保障甲方免于承担由此造成的一切损害和损失。</w:t>
      </w:r>
      <w:r/>
    </w:p>
    <w:p>
      <w:pPr>
        <w:ind w:firstLine="480"/>
        <w:jc w:val="left"/>
        <w:spacing w:line="360" w:lineRule="auto"/>
        <w:rPr>
          <w:sz w:val="24"/>
          <w:szCs w:val="24"/>
        </w:rPr>
      </w:pPr>
      <w:r>
        <w:rPr>
          <w:rFonts w:hint="eastAsia"/>
          <w:sz w:val="24"/>
          <w:szCs w:val="24"/>
        </w:rPr>
        <w:t xml:space="preserve">（6）在项目实施过程中必须严格执行安全管理制度，</w:t>
      </w:r>
      <w:r>
        <w:rPr>
          <w:rFonts w:hint="eastAsia"/>
          <w:sz w:val="24"/>
          <w:szCs w:val="24"/>
          <w:lang w:val="zh-CN"/>
        </w:rPr>
        <w:t xml:space="preserve">做好安全保障工作，不因项目实施而危及自身及第三方人员、财产安全。乙方应及时为项目投入人员购买人身意外等保险，若发生任何安全事故，由</w:t>
      </w:r>
      <w:r>
        <w:rPr>
          <w:rFonts w:hint="eastAsia"/>
          <w:sz w:val="24"/>
          <w:szCs w:val="24"/>
        </w:rPr>
        <w:t xml:space="preserve">乙方</w:t>
      </w:r>
      <w:r>
        <w:rPr>
          <w:rFonts w:hint="eastAsia"/>
          <w:sz w:val="24"/>
          <w:szCs w:val="24"/>
          <w:lang w:val="zh-CN"/>
        </w:rPr>
        <w:t xml:space="preserve">自行承担</w:t>
      </w:r>
      <w:r>
        <w:rPr>
          <w:rFonts w:hint="eastAsia"/>
          <w:sz w:val="24"/>
          <w:szCs w:val="24"/>
        </w:rPr>
        <w:t xml:space="preserve">相关责任</w:t>
      </w:r>
      <w:r>
        <w:rPr>
          <w:rFonts w:hint="eastAsia"/>
          <w:sz w:val="24"/>
          <w:szCs w:val="24"/>
          <w:lang w:val="zh-CN"/>
        </w:rPr>
        <w:t xml:space="preserve">。</w:t>
      </w:r>
      <w:r/>
    </w:p>
    <w:p>
      <w:pPr>
        <w:ind w:firstLine="480"/>
        <w:jc w:val="left"/>
        <w:spacing w:line="360" w:lineRule="auto"/>
        <w:rPr>
          <w:sz w:val="24"/>
          <w:szCs w:val="24"/>
        </w:rPr>
      </w:pPr>
      <w:r>
        <w:rPr>
          <w:rFonts w:hint="eastAsia"/>
          <w:sz w:val="24"/>
          <w:szCs w:val="24"/>
        </w:rPr>
        <w:t xml:space="preserve">（7）</w:t>
      </w:r>
      <w:r>
        <w:rPr>
          <w:rFonts w:hint="eastAsia" w:ascii="Times New Roman"/>
          <w:sz w:val="24"/>
          <w:szCs w:val="24"/>
          <w:lang w:val="zh-CN"/>
        </w:rPr>
        <w:t xml:space="preserve">乙方</w:t>
      </w:r>
      <w:r>
        <w:rPr>
          <w:rFonts w:hint="eastAsia"/>
          <w:sz w:val="24"/>
          <w:szCs w:val="24"/>
        </w:rPr>
        <w:t xml:space="preserve">对本项目涉及的所有信息及数据具有保密义务，在工作过程中要严格遵守工作保密制度，不经过甲方同意不得向任何第三方提供项目相关信息，如造成信息泄露或其他损失由</w:t>
      </w:r>
      <w:r>
        <w:rPr>
          <w:rFonts w:hint="eastAsia" w:ascii="Times New Roman"/>
          <w:sz w:val="24"/>
          <w:szCs w:val="24"/>
          <w:lang w:val="zh-CN"/>
        </w:rPr>
        <w:t xml:space="preserve">乙方</w:t>
      </w:r>
      <w:r>
        <w:rPr>
          <w:rFonts w:hint="eastAsia"/>
          <w:sz w:val="24"/>
          <w:szCs w:val="24"/>
        </w:rPr>
        <w:t xml:space="preserve">承担。</w:t>
      </w:r>
      <w:r/>
    </w:p>
    <w:p>
      <w:pPr>
        <w:ind w:firstLine="480"/>
        <w:jc w:val="left"/>
        <w:spacing w:line="360" w:lineRule="auto"/>
        <w:rPr>
          <w:sz w:val="24"/>
          <w:szCs w:val="24"/>
        </w:rPr>
      </w:pPr>
      <w:r>
        <w:rPr>
          <w:rFonts w:hint="eastAsia"/>
          <w:sz w:val="24"/>
          <w:szCs w:val="24"/>
        </w:rPr>
        <w:t xml:space="preserve">（8）完成的所有成果要求数量齐全、质量有保证，须通过上级部门质检。若成果经上级质检不合格，由乙方负责重新调查整改，直至数据通过逐级质检并入库，乙方同时应承担调查成果的整改和省市两级重复质检费用。</w:t>
      </w:r>
      <w:r/>
    </w:p>
    <w:p>
      <w:pPr>
        <w:ind w:firstLine="480"/>
        <w:jc w:val="left"/>
        <w:spacing w:line="360" w:lineRule="auto"/>
        <w:rPr>
          <w:sz w:val="24"/>
          <w:szCs w:val="24"/>
        </w:rPr>
      </w:pPr>
      <w:r>
        <w:rPr>
          <w:rFonts w:hint="eastAsia"/>
          <w:sz w:val="24"/>
          <w:szCs w:val="24"/>
        </w:rPr>
        <w:t xml:space="preserve">（9）免费售后服务：</w:t>
      </w:r>
      <w:r>
        <w:rPr>
          <w:rFonts w:hint="eastAsia"/>
          <w:sz w:val="24"/>
          <w:szCs w:val="24"/>
          <w:u w:val="single"/>
        </w:rPr>
        <w:t xml:space="preserve">  年</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（10）乙方不得将本项目分包或转包。</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360" w:lineRule="auto"/>
        <w:rPr>
          <w:sz w:val="24"/>
          <w:szCs w:val="24"/>
        </w:rPr>
      </w:pPr>
      <w:r>
        <w:rPr>
          <w:rFonts w:hint="eastAsia"/>
          <w:sz w:val="24"/>
          <w:szCs w:val="24"/>
        </w:rPr>
        <w:t xml:space="preserve">13.1 甲方依法组织履约验收工作。</w:t>
      </w:r>
      <w:r/>
    </w:p>
    <w:p>
      <w:pPr>
        <w:ind w:firstLine="480"/>
        <w:jc w:val="left"/>
        <w:spacing w:line="360" w:lineRule="auto"/>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jc w:val="left"/>
        <w:spacing w:line="360" w:lineRule="auto"/>
        <w:rPr>
          <w:sz w:val="24"/>
          <w:szCs w:val="24"/>
        </w:rPr>
      </w:pPr>
      <w:r>
        <w:rPr>
          <w:rFonts w:hint="eastAsia"/>
          <w:sz w:val="24"/>
          <w:szCs w:val="24"/>
        </w:rPr>
        <w:t xml:space="preserve">13.3 对于实际使用人和甲方分离的项目，甲方邀请实际使用人参与验收。</w:t>
      </w:r>
      <w:r/>
    </w:p>
    <w:p>
      <w:pPr>
        <w:ind w:firstLine="480"/>
        <w:jc w:val="left"/>
        <w:spacing w:line="360" w:lineRule="auto"/>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360" w:lineRule="auto"/>
        <w:rPr>
          <w:sz w:val="24"/>
          <w:szCs w:val="24"/>
        </w:rPr>
      </w:pPr>
      <w:r>
        <w:rPr>
          <w:rFonts w:hint="eastAsia"/>
          <w:sz w:val="24"/>
          <w:szCs w:val="24"/>
        </w:rPr>
        <w:t xml:space="preserve">13.5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sz w:val="24"/>
          <w:szCs w:val="24"/>
        </w:rPr>
      </w:pPr>
      <w:r>
        <w:rPr>
          <w:rFonts w:hint="eastAsia"/>
          <w:sz w:val="24"/>
          <w:szCs w:val="24"/>
        </w:rPr>
        <w:t xml:space="preserve">13.6 验收合格的，甲方根据采购合同的约定及时向乙方支付合同款项、退还履约保证金。验收不合格的，乙方依法及时处理并承担一切费用。</w:t>
      </w:r>
      <w:r/>
    </w:p>
    <w:p>
      <w:pPr>
        <w:ind w:firstLine="480"/>
        <w:jc w:val="left"/>
        <w:spacing w:line="360" w:lineRule="auto"/>
        <w:rPr>
          <w:sz w:val="24"/>
          <w:szCs w:val="24"/>
        </w:rPr>
      </w:pPr>
      <w:r>
        <w:rPr>
          <w:rFonts w:hint="eastAsia"/>
          <w:sz w:val="24"/>
          <w:szCs w:val="24"/>
        </w:rPr>
        <w:t xml:space="preserve">13.7 乙方在履约过程中有政府采购法律法规规定的违法违规情形的，甲方将及时报告本级财政部门。</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360" w:lineRule="auto"/>
        <w:rPr>
          <w:sz w:val="24"/>
          <w:szCs w:val="24"/>
        </w:rPr>
      </w:pPr>
      <w:r>
        <w:rPr>
          <w:rFonts w:hint="eastAsia"/>
          <w:sz w:val="24"/>
          <w:szCs w:val="24"/>
        </w:rPr>
        <w:t xml:space="preserve">14.1 甲方无故逾期验收和办理合同款支付手续的，甲方应按逾期付款总额每日</w:t>
      </w:r>
      <w:r>
        <w:rPr>
          <w:rFonts w:hint="eastAsia"/>
          <w:sz w:val="24"/>
          <w:szCs w:val="24"/>
          <w:u w:val="single"/>
        </w:rPr>
        <w:t xml:space="preserve">万分之一</w:t>
      </w:r>
      <w:r>
        <w:rPr>
          <w:rFonts w:hint="eastAsia"/>
          <w:sz w:val="24"/>
          <w:szCs w:val="24"/>
        </w:rPr>
        <w:t xml:space="preserve">向乙方支付违约金。</w:t>
      </w:r>
      <w:r/>
    </w:p>
    <w:p>
      <w:pPr>
        <w:ind w:firstLine="480"/>
        <w:jc w:val="left"/>
        <w:spacing w:line="360" w:lineRule="auto"/>
        <w:rPr>
          <w:sz w:val="24"/>
          <w:szCs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4.2乙方未能按本合同约定按期提供服务的</w:t>
      </w:r>
      <w:r>
        <w:rPr>
          <w:rFonts w:hint="eastAsia"/>
          <w:sz w:val="24"/>
          <w:szCs w:val="24"/>
        </w:rPr>
        <w:t xml:space="preserve">，乙方应按逾期交付总额每日</w:t>
      </w:r>
      <w:r>
        <w:rPr>
          <w:rFonts w:hint="eastAsia"/>
          <w:sz w:val="24"/>
          <w:szCs w:val="24"/>
          <w:u w:val="single"/>
        </w:rPr>
        <w:t xml:space="preserve">1</w:t>
      </w:r>
      <w:r>
        <w:rPr>
          <w:rFonts w:ascii="Arial" w:hAnsi="Arial" w:cs="Arial"/>
          <w:sz w:val="24"/>
          <w:szCs w:val="24"/>
          <w:u w:val="single"/>
        </w:rPr>
        <w:t xml:space="preserve">‰</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5%</w:t>
      </w:r>
      <w:r>
        <w:rPr>
          <w:rFonts w:hint="eastAsia"/>
          <w:sz w:val="24"/>
          <w:szCs w:val="24"/>
        </w:rPr>
        <w:t xml:space="preserve">。逾期超过</w:t>
      </w:r>
      <w:r>
        <w:rPr>
          <w:rFonts w:hint="eastAsia"/>
          <w:sz w:val="24"/>
          <w:szCs w:val="24"/>
          <w:u w:val="single"/>
        </w:rPr>
        <w:t xml:space="preserve">10个工作日</w:t>
      </w:r>
      <w:r>
        <w:rPr>
          <w:rFonts w:hint="eastAsia"/>
          <w:sz w:val="24"/>
          <w:szCs w:val="24"/>
        </w:rPr>
        <w:t xml:space="preserve">的不能交付的，甲方有权终止本合同。乙方因逾期交付或因其他违约行为导致甲方解除合同的，乙方应向甲方支付合同总额</w:t>
      </w:r>
      <w:r>
        <w:rPr>
          <w:rFonts w:hint="eastAsia" w:ascii="Times New Roman" w:eastAsia="宋体"/>
          <w:sz w:val="24"/>
          <w:szCs w:val="24"/>
          <w:u w:val="single"/>
        </w:rPr>
        <w:t xml:space="preserve">5%</w:t>
      </w:r>
      <w:r>
        <w:rPr>
          <w:rFonts w:hint="eastAsia"/>
          <w:sz w:val="24"/>
          <w:szCs w:val="24"/>
        </w:rPr>
        <w:t xml:space="preserve">的违约金，如造成甲方损失超过违约金的，超出部分由乙方继续承担赔偿责任。 </w:t>
      </w:r>
      <w:r/>
    </w:p>
    <w:p>
      <w:pPr>
        <w:ind w:firstLine="480"/>
        <w:jc w:val="left"/>
        <w:spacing w:line="360" w:lineRule="auto"/>
        <w:rPr>
          <w:sz w:val="24"/>
          <w:szCs w:val="24"/>
        </w:rPr>
      </w:pPr>
      <w:r>
        <w:rPr>
          <w:rFonts w:hint="eastAsia"/>
          <w:sz w:val="24"/>
          <w:szCs w:val="24"/>
        </w:rPr>
        <w:t xml:space="preserve">14.3 乙方提供的服务不符合</w:t>
      </w:r>
      <w:r>
        <w:rPr>
          <w:rFonts w:ascii="宋体" w:hAnsi="宋体" w:eastAsia="宋体" w:cs="宋体"/>
          <w:color w:val="000000"/>
          <w:sz w:val="24"/>
        </w:rPr>
        <w:t xml:space="preserve">本合同要求的</w:t>
      </w:r>
      <w:r>
        <w:rPr>
          <w:rFonts w:hint="eastAsia"/>
          <w:sz w:val="24"/>
          <w:szCs w:val="24"/>
        </w:rPr>
        <w:t xml:space="preserve">，</w:t>
      </w:r>
      <w:r>
        <w:rPr>
          <w:rFonts w:ascii="宋体" w:hAnsi="宋体" w:eastAsia="宋体" w:cs="宋体"/>
          <w:color w:val="000000"/>
          <w:sz w:val="24"/>
        </w:rPr>
        <w:t xml:space="preserve">乙方应当按照甲方要求更正和修改，并承担由此产生的全部费用</w:t>
      </w:r>
      <w:r>
        <w:rPr>
          <w:rFonts w:hint="eastAsia"/>
          <w:sz w:val="24"/>
          <w:szCs w:val="24"/>
        </w:rPr>
        <w:t xml:space="preserve">。乙方拒绝</w:t>
      </w:r>
      <w:r>
        <w:rPr>
          <w:rFonts w:ascii="宋体" w:hAnsi="宋体" w:eastAsia="宋体" w:cs="宋体"/>
          <w:color w:val="000000"/>
          <w:sz w:val="24"/>
        </w:rPr>
        <w:t xml:space="preserve">更正和修改</w:t>
      </w:r>
      <w:r>
        <w:rPr>
          <w:rFonts w:hint="eastAsia"/>
          <w:sz w:val="24"/>
          <w:szCs w:val="24"/>
        </w:rPr>
        <w:t xml:space="preserve">的，甲方可单方面解除合同，并由乙方赔偿由此造成的甲方全部损失。</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360" w:lineRule="auto"/>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360" w:lineRule="auto"/>
        <w:rPr>
          <w:sz w:val="24"/>
          <w:szCs w:val="24"/>
        </w:rPr>
      </w:pPr>
      <w:r>
        <w:rPr>
          <w:rFonts w:hint="eastAsia"/>
          <w:sz w:val="24"/>
          <w:szCs w:val="24"/>
        </w:rPr>
        <w:t xml:space="preserve">15.2 不可抗力事件发生后，应立即通知对方，并寄送有关权威机构出具的证明。</w:t>
      </w:r>
      <w:r/>
    </w:p>
    <w:p>
      <w:pPr>
        <w:ind w:firstLine="480"/>
        <w:jc w:val="left"/>
        <w:spacing w:line="360" w:lineRule="auto"/>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360" w:lineRule="auto"/>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（2）</w:t>
      </w:r>
      <w:r>
        <w:rPr>
          <w:rFonts w:hint="eastAsia"/>
          <w:sz w:val="24"/>
          <w:szCs w:val="24"/>
        </w:rPr>
        <w:t xml:space="preserve">种方式解决：</w:t>
      </w:r>
      <w:r/>
    </w:p>
    <w:p>
      <w:pPr>
        <w:ind w:firstLine="480"/>
        <w:jc w:val="left"/>
        <w:spacing w:line="360" w:lineRule="auto"/>
        <w:rPr>
          <w:sz w:val="24"/>
          <w:szCs w:val="24"/>
        </w:rPr>
      </w:pPr>
      <w:r>
        <w:rPr>
          <w:rFonts w:hint="eastAsia"/>
          <w:sz w:val="24"/>
          <w:szCs w:val="24"/>
        </w:rPr>
        <w:t xml:space="preserve">（1）向连云港仲裁委员会申请仲裁。</w:t>
      </w:r>
      <w:r/>
    </w:p>
    <w:p>
      <w:pPr>
        <w:ind w:firstLine="480"/>
        <w:jc w:val="left"/>
        <w:spacing w:line="360" w:lineRule="auto"/>
        <w:rPr>
          <w:sz w:val="24"/>
          <w:szCs w:val="24"/>
        </w:rPr>
      </w:pPr>
      <w:r>
        <w:rPr>
          <w:rFonts w:hint="eastAsia"/>
          <w:sz w:val="24"/>
          <w:szCs w:val="24"/>
        </w:rPr>
        <w:t xml:space="preserve">（2）向合同签订地法院起诉，合同签订地在此约定为</w:t>
      </w:r>
      <w:r>
        <w:rPr>
          <w:rFonts w:hint="eastAsia" w:eastAsia="宋体"/>
          <w:sz w:val="24"/>
          <w:szCs w:val="24"/>
        </w:rPr>
        <w:t xml:space="preserve">灌云县</w:t>
      </w:r>
      <w:r>
        <w:rPr>
          <w:rFonts w:hint="eastAsia"/>
          <w:sz w:val="24"/>
          <w:szCs w:val="24"/>
        </w:rPr>
        <w:t xml:space="preserve">。</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360" w:lineRule="auto"/>
        <w:rPr>
          <w:sz w:val="24"/>
          <w:szCs w:val="24"/>
        </w:rPr>
      </w:pPr>
      <w:r>
        <w:rPr>
          <w:rFonts w:hint="eastAsia"/>
          <w:sz w:val="24"/>
          <w:szCs w:val="24"/>
        </w:rPr>
        <w:t xml:space="preserve">17.1 合同经双方法定代表人或授权代表签字并加盖单位公章后生效。</w:t>
      </w:r>
      <w:r/>
    </w:p>
    <w:p>
      <w:pPr>
        <w:ind w:firstLine="480"/>
        <w:jc w:val="left"/>
        <w:spacing w:line="360" w:lineRule="auto"/>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360" w:lineRule="auto"/>
        <w:rPr>
          <w:sz w:val="24"/>
          <w:szCs w:val="24"/>
        </w:rPr>
      </w:pPr>
      <w:r>
        <w:rPr>
          <w:rFonts w:hint="eastAsia"/>
          <w:sz w:val="24"/>
          <w:szCs w:val="24"/>
        </w:rPr>
        <w:t xml:space="preserve">17.3 本合同正本一式五份，具有同等法律效力，甲方执二份、乙方执二份，甲方报一份至政府采购监督管理部门。</w:t>
      </w:r>
      <w:r/>
    </w:p>
    <w:p>
      <w:pPr>
        <w:ind w:firstLine="480"/>
        <w:jc w:val="left"/>
        <w:spacing w:line="360" w:lineRule="auto"/>
        <w:rPr>
          <w:sz w:val="24"/>
          <w:szCs w:val="24"/>
        </w:rPr>
      </w:pPr>
      <w:r>
        <w:rPr>
          <w:rFonts w:hint="eastAsia"/>
          <w:sz w:val="24"/>
          <w:szCs w:val="24"/>
        </w:rPr>
        <w:t xml:space="preserve">甲方：                        乙方： </w:t>
      </w:r>
      <w:r/>
    </w:p>
    <w:p>
      <w:pPr>
        <w:ind w:firstLine="480"/>
        <w:jc w:val="left"/>
        <w:spacing w:line="360" w:lineRule="auto"/>
        <w:rPr>
          <w:sz w:val="24"/>
          <w:szCs w:val="24"/>
        </w:rPr>
      </w:pPr>
      <w:r>
        <w:rPr>
          <w:rFonts w:hint="eastAsia"/>
          <w:sz w:val="24"/>
          <w:szCs w:val="24"/>
        </w:rPr>
        <w:t xml:space="preserve">地址：                        地址： </w:t>
      </w:r>
      <w:r/>
    </w:p>
    <w:p>
      <w:pPr>
        <w:ind w:firstLine="480"/>
        <w:jc w:val="left"/>
        <w:spacing w:line="360" w:lineRule="auto"/>
        <w:rPr>
          <w:sz w:val="24"/>
          <w:szCs w:val="24"/>
        </w:rPr>
      </w:pPr>
      <w:r>
        <w:rPr>
          <w:rFonts w:hint="eastAsia"/>
          <w:sz w:val="24"/>
          <w:szCs w:val="24"/>
        </w:rPr>
        <w:t xml:space="preserve">法定代表人或授权代表：        法定代表人或授权代表：</w:t>
      </w:r>
      <w:r/>
    </w:p>
    <w:p>
      <w:pPr>
        <w:ind w:firstLine="480"/>
        <w:jc w:val="left"/>
        <w:spacing w:line="360" w:lineRule="auto"/>
        <w:rPr>
          <w:sz w:val="24"/>
          <w:szCs w:val="24"/>
        </w:rPr>
      </w:pPr>
      <w:r>
        <w:rPr>
          <w:rFonts w:hint="eastAsia"/>
          <w:sz w:val="24"/>
          <w:szCs w:val="24"/>
        </w:rPr>
        <w:t xml:space="preserve">联系电话：                    联系电话：     </w:t>
      </w:r>
      <w:r/>
    </w:p>
    <w:p>
      <w:pPr>
        <w:ind w:firstLine="480"/>
        <w:jc w:val="left"/>
        <w:spacing w:line="360" w:lineRule="auto"/>
        <w:rPr>
          <w:sz w:val="24"/>
          <w:szCs w:val="24"/>
        </w:rPr>
      </w:pPr>
      <w:r>
        <w:rPr>
          <w:rFonts w:hint="eastAsia"/>
          <w:sz w:val="24"/>
          <w:szCs w:val="24"/>
        </w:rPr>
        <w:t xml:space="preserve">                                     </w:t>
      </w:r>
      <w:r/>
    </w:p>
    <w:p>
      <w:pPr>
        <w:ind w:firstLine="480"/>
        <w:jc w:val="right"/>
        <w:spacing w:line="360" w:lineRule="auto"/>
        <w:rPr>
          <w:sz w:val="24"/>
          <w:szCs w:val="24"/>
        </w:rPr>
      </w:pPr>
      <w:r>
        <w:rPr>
          <w:rFonts w:hint="eastAsia"/>
          <w:sz w:val="24"/>
          <w:szCs w:val="24"/>
        </w:rPr>
        <w:t xml:space="preserve">签订日期：       年    月    日</w:t>
      </w:r>
      <w:r>
        <w:rPr>
          <w:sz w:val="24"/>
          <w:szCs w:val="24"/>
        </w:rPr>
        <w:br w:type="page" w:clear="all"/>
      </w:r>
      <w:r/>
    </w:p>
    <w:p>
      <w:pPr>
        <w:pStyle w:val="645"/>
        <w:jc w:val="center"/>
        <w:spacing w:before="156" w:after="156" w:line="360" w:lineRule="auto"/>
        <w:rPr>
          <w:rFonts w:ascii="黑体" w:hAnsi="黑体" w:eastAsia="黑体"/>
          <w:b w:val="0"/>
        </w:rPr>
      </w:pPr>
      <w:r/>
      <w:bookmarkStart w:id="18" w:name="_Toc155796359"/>
      <w:r>
        <w:rPr>
          <w:rFonts w:hint="eastAsia" w:ascii="黑体" w:hAnsi="黑体" w:eastAsia="黑体"/>
          <w:b w:val="0"/>
        </w:rPr>
        <w:t xml:space="preserve">第四章  采购需求</w:t>
      </w:r>
      <w:bookmarkEnd w:id="18"/>
      <w:r/>
      <w:r/>
    </w:p>
    <w:p>
      <w:pPr>
        <w:ind w:firstLine="480"/>
        <w:jc w:val="left"/>
        <w:spacing w:line="360" w:lineRule="auto"/>
        <w:rPr>
          <w:b/>
          <w:bCs/>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b/>
          <w:bCs/>
          <w:sz w:val="24"/>
          <w:szCs w:val="24"/>
          <w:u w:val="single"/>
        </w:rPr>
        <w:t xml:space="preserve">其他未列明行业</w:t>
      </w:r>
      <w:r>
        <w:rPr>
          <w:rFonts w:hint="eastAsia"/>
          <w:b/>
          <w:bCs/>
          <w:sz w:val="24"/>
          <w:szCs w:val="24"/>
        </w:rPr>
        <w:t xml:space="preserve">。</w:t>
      </w:r>
      <w:r/>
    </w:p>
    <w:p>
      <w:pPr>
        <w:ind w:firstLine="480"/>
        <w:jc w:val="left"/>
        <w:spacing w:line="360" w:lineRule="auto"/>
        <w:rPr>
          <w:sz w:val="24"/>
          <w:szCs w:val="24"/>
        </w:rPr>
      </w:pPr>
      <w:r>
        <w:rPr>
          <w:rFonts w:hint="eastAsia"/>
          <w:sz w:val="24"/>
          <w:szCs w:val="24"/>
        </w:rPr>
        <w:t xml:space="preserve">根据《政府采购需求管理办法》等有关规定，招标人确定采购需求。</w:t>
      </w:r>
      <w:r/>
    </w:p>
    <w:p>
      <w:pPr>
        <w:ind w:firstLine="480"/>
        <w:jc w:val="left"/>
        <w:spacing w:line="360" w:lineRule="auto"/>
        <w:rPr>
          <w:rFonts w:ascii="宋体" w:hAnsi="宋体" w:eastAsia="宋体" w:cs="宋体"/>
          <w:sz w:val="24"/>
          <w:szCs w:val="24"/>
        </w:rPr>
      </w:pPr>
      <w:r>
        <w:rPr>
          <w:rFonts w:hint="eastAsia" w:ascii="宋体" w:hAnsi="宋体" w:eastAsia="宋体" w:cs="宋体"/>
          <w:b/>
          <w:sz w:val="24"/>
          <w:szCs w:val="24"/>
        </w:rPr>
        <w:t xml:space="preserve">本招标文件中标注★号的部分为实质性要求和条件</w:t>
      </w:r>
      <w:r>
        <w:rPr>
          <w:rFonts w:hint="eastAsia" w:ascii="宋体" w:hAnsi="宋体" w:eastAsia="宋体" w:cs="宋体"/>
          <w:sz w:val="24"/>
          <w:szCs w:val="24"/>
        </w:rPr>
        <w:t xml:space="preserve">，由招标人根据实际情况设置，投标人须逐条明确作出满足实质性要求和条件的响应，否则将按无效响应处理。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贯彻落实2024年江苏省委一号文件精神，落实《关于做好全省高标准农田检查评估、上图入库”工作的通知》（苏农建〔2024〕6号）要求，依据《江苏省高标准农田调查摸底上图入库工作总体执行方案》、《江苏省高标准农田调查摸底上图入库工作指南》以及相关政策文件和技术标准，开展全省高标准农田调查摸底上图入库工作，了解掌握高标准农田数量、质量、利用情况以及宜建地块等状况，加快推动相关信息“上图入库”，建设全省高标准农田数据库，实现动态监测监管。</w:t>
      </w:r>
      <w:r/>
    </w:p>
    <w:p>
      <w:pPr>
        <w:ind w:firstLine="562"/>
        <w:spacing w:line="360" w:lineRule="auto"/>
        <w:rPr>
          <w:sz w:val="24"/>
        </w:rPr>
      </w:pPr>
      <w:r>
        <w:rPr>
          <w:rFonts w:hint="eastAsia" w:ascii="Times New Roman" w:hAnsi="Times New Roman" w:eastAsia="宋体" w:cs="Times New Roman"/>
          <w:b/>
          <w:sz w:val="28"/>
          <w:szCs w:val="28"/>
        </w:rPr>
        <w:t xml:space="preserve">二、采购需求</w:t>
      </w:r>
      <w:r/>
    </w:p>
    <w:p>
      <w:pPr>
        <w:ind w:firstLine="480"/>
        <w:spacing w:line="360" w:lineRule="auto"/>
        <w:rPr>
          <w:sz w:val="24"/>
        </w:rPr>
      </w:pPr>
      <w:r>
        <w:rPr>
          <w:rFonts w:hint="eastAsia"/>
          <w:sz w:val="24"/>
        </w:rPr>
        <w:t xml:space="preserve">1、工作范围</w:t>
      </w:r>
      <w:r/>
    </w:p>
    <w:p>
      <w:pPr>
        <w:ind w:firstLine="480"/>
        <w:spacing w:line="360" w:lineRule="auto"/>
        <w:rPr>
          <w:sz w:val="24"/>
        </w:rPr>
      </w:pPr>
      <w:r>
        <w:rPr>
          <w:rFonts w:hint="eastAsia"/>
          <w:sz w:val="24"/>
        </w:rPr>
        <w:t xml:space="preserve">灌云县125.97万亩耕地中201</w:t>
      </w:r>
      <w:r>
        <w:rPr>
          <w:sz w:val="24"/>
        </w:rPr>
        <w:t xml:space="preserve">1</w:t>
      </w:r>
      <w:r>
        <w:rPr>
          <w:rFonts w:hint="eastAsia"/>
          <w:sz w:val="24"/>
        </w:rPr>
        <w:t xml:space="preserve">年以来已建成并完成上图入库的高标准农田项目，包括：清查评估入库的2011-2018年各级各有关部门建设管理的高标准农田建设项目；2019-2023年农业农村部门统一建设管理并纳入全国农田建设综合监测监管平台的高标准农田项目；工作底图中补录高标准农田项目；以及耕地内未建高标准农田区域地块。</w:t>
      </w:r>
      <w:r/>
    </w:p>
    <w:p>
      <w:pPr>
        <w:ind w:firstLine="480"/>
        <w:spacing w:line="360" w:lineRule="auto"/>
        <w:rPr>
          <w:sz w:val="24"/>
        </w:rPr>
      </w:pPr>
      <w:r>
        <w:rPr>
          <w:rFonts w:hint="eastAsia"/>
          <w:sz w:val="24"/>
        </w:rPr>
        <w:t xml:space="preserve">2、工作目标</w:t>
      </w:r>
      <w:r/>
    </w:p>
    <w:p>
      <w:pPr>
        <w:ind w:firstLine="480"/>
        <w:spacing w:line="360" w:lineRule="auto"/>
        <w:rPr>
          <w:sz w:val="24"/>
        </w:rPr>
      </w:pPr>
      <w:r>
        <w:rPr>
          <w:rFonts w:hint="eastAsia"/>
          <w:sz w:val="24"/>
        </w:rPr>
        <w:t xml:space="preserve">对已建高标准农田开展全面调查摸底工作，查清</w:t>
      </w:r>
      <w:r>
        <w:rPr>
          <w:rFonts w:hint="eastAsia" w:eastAsia="宋体"/>
          <w:sz w:val="24"/>
        </w:rPr>
        <w:t xml:space="preserve">灌云县</w:t>
      </w:r>
      <w:r>
        <w:rPr>
          <w:rFonts w:hint="eastAsia"/>
          <w:sz w:val="24"/>
        </w:rPr>
        <w:t xml:space="preserve">高标准农田数量、质量、分布、利用状况和未建区域宜建性，推动相关信息“上图入库”，实现“底数清、位置准、情况明”的目标。为加快推进农田数字化建设，实现“以图管田”、分类管理、精准施策，提供科学准确的数据信息支撑，为</w:t>
      </w:r>
      <w:r>
        <w:rPr>
          <w:rFonts w:hint="eastAsia" w:ascii="Times New Roman" w:eastAsia="宋体"/>
          <w:sz w:val="24"/>
        </w:rPr>
        <w:t xml:space="preserve">灌云县</w:t>
      </w:r>
      <w:r>
        <w:rPr>
          <w:rFonts w:hint="eastAsia"/>
          <w:sz w:val="24"/>
        </w:rPr>
        <w:t xml:space="preserve">高标准农田高水平建设管理及高质量推进耕地建设打下坚实基础。</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（1）摸清高标准农田项目及工程底数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对高标准农田项目位置和面积复查校核、工程数量清查上图和运行状态评估，掌握已建高标准农田在耕地的分布情况、工程设施运行状况、建成的质量等级，以及未建区域底数等，为今后实施高标准农田新增和改造提升建设提供依据。</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（2）掌握高标准农田建设实际利用情况和建设潜力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通过对高标准农田粮食产能、耕地质量、耕地流转等情况进行调查和数据采集，充分掌握高标准农田的实际利用情况，对未建区域宜建性开展评估，为进一步挖掘潜力、发挥效益提供参考。</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（3）夯实高标准农田建设数据管理基础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通过调查摸底工作形成的数据成果，能更好地促进高标准农田管理信息化，与相关农业数据叠加融合，形成多维立体的耕地信息图，为农业农村部门实现“以图管田”奠定基础。</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 三、工作内容</w:t>
      </w:r>
      <w:r/>
    </w:p>
    <w:tbl>
      <w:tblPr>
        <w:tblStyle w:val="68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320"/>
        <w:gridCol w:w="1320"/>
        <w:gridCol w:w="5006"/>
      </w:tblGrid>
      <w:tr>
        <w:trPr>
          <w:jc w:val="center"/>
          <w:trHeight w:val="6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6"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工作内容</w:t>
            </w:r>
            <w:r/>
          </w:p>
        </w:tc>
      </w:tr>
      <w:tr>
        <w:trPr>
          <w:jc w:val="cente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方案编制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开展工作调研，编制工作方案，明确目标、内容、步骤、技术路线、进度安排和人员分工。</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培训与宣传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通过培训会议、现场培训指导等方式，对参与高标准农田调查摸底相关管理人员和技术人员进行培训宣讲。编写宣传简报、制作宣传条幅、发布宣传信息等。</w:t>
            </w:r>
            <w:r/>
          </w:p>
        </w:tc>
      </w:tr>
      <w:tr>
        <w:trPr>
          <w:jc w:val="center"/>
          <w:trHeight w:val="76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gridSpan w:val="2"/>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调查工具配置</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w:t>
            </w:r>
            <w:r>
              <w:rPr>
                <w:rFonts w:hint="eastAsia" w:ascii="宋体" w:hAnsi="宋体" w:eastAsia="宋体" w:cs="宋体"/>
                <w:color w:val="000000"/>
                <w:sz w:val="24"/>
                <w:szCs w:val="24"/>
              </w:rPr>
              <w:t xml:space="preserve">完成办公场所和硬件保障设备准备，PC终端硬件2台。每台配置要求为：CPU16核、内存32G、1TB固态硬盘）。其中一台PC终端设备要求为物理隔绝，数据保密。</w:t>
            </w:r>
            <w:r/>
          </w:p>
        </w:tc>
      </w:tr>
      <w:tr>
        <w:trPr>
          <w:jc w:val="center"/>
          <w:trHeight w:val="63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数据资料收集整理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收集整合</w:t>
            </w:r>
            <w:r>
              <w:rPr>
                <w:rFonts w:hint="eastAsia"/>
                <w:sz w:val="24"/>
              </w:rPr>
              <w:t xml:space="preserve">灌云县</w:t>
            </w:r>
            <w:r>
              <w:rPr>
                <w:rFonts w:hint="eastAsia" w:ascii="宋体" w:hAnsi="宋体" w:eastAsia="宋体" w:cs="宋体"/>
                <w:color w:val="000000"/>
                <w:sz w:val="24"/>
                <w:szCs w:val="24"/>
              </w:rPr>
              <w:t xml:space="preserve">高标准农田竣工图纸、工程设施定点定位表、工程设施矢量数据等基础资料，并进行综合分析与初步整理，包括资料的可利用性分析、资料的匹配性分析和资料的综合分析，并对纸质图件成果扫描矢量化，进行各类调查成果叠加分析。</w:t>
            </w:r>
            <w:r/>
          </w:p>
        </w:tc>
      </w:tr>
      <w:tr>
        <w:trPr>
          <w:jc w:val="center"/>
          <w:trHeight w:val="3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位置面积复核与校核比对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以项目为单位，根据省级下发2011-2023年高标准农田项目台账，核实高标准农田项目基本信息与空间位置，并进行数据汇交。基于统一的工作底图，核实确认项目重叠情况、耕地和永久基本农田建设情况分析。</w:t>
            </w:r>
            <w:r/>
          </w:p>
        </w:tc>
      </w:tr>
      <w:tr>
        <w:trPr>
          <w:jc w:val="center"/>
          <w:trHeight w:val="48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vMerge w:val="restart"/>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vMerge w:val="restart"/>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工程设施采集上图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工程信息内业处理</w:t>
            </w:r>
            <w:r/>
          </w:p>
        </w:tc>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将高标准农田项目工程设施进行内业处理与上图。包括有竣工图、无竣工图、关联工程等内业工程上图。</w:t>
            </w:r>
            <w:r/>
          </w:p>
        </w:tc>
      </w:tr>
      <w:tr>
        <w:trPr>
          <w:jc w:val="center"/>
          <w:trHeight w:val="20"/>
        </w:trPr>
        <w:tc>
          <w:tcPr>
            <w:tcBorders>
              <w:top w:val="single" w:color="auto" w:sz="4" w:space="0"/>
              <w:left w:val="single" w:color="auto" w:sz="4" w:space="0"/>
              <w:bottom w:val="single" w:color="auto" w:sz="4" w:space="0"/>
              <w:right w:val="single" w:color="auto" w:sz="4" w:space="0"/>
            </w:tcBorders>
            <w:tcW w:w="732" w:type="dxa"/>
            <w:vAlign w:val="center"/>
            <w:vMerge w:val="continue"/>
            <w:textDirection w:val="lrTb"/>
            <w:noWrap w:val="false"/>
          </w:tcPr>
          <w:p>
            <w:pPr>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0" w:type="dxa"/>
            <w:vAlign w:val="center"/>
            <w:vMerge w:val="continue"/>
            <w:textDirection w:val="lrTb"/>
            <w:noWrap w:val="false"/>
          </w:tcPr>
          <w:p>
            <w:pPr>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工程信息外业调查</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调查高标准农田基础设施现状情况，包括灌溉与排水设施、田间道路、农田防护与生态环境防护、农田输配电、智能科技装备等。</w:t>
            </w:r>
            <w:r/>
          </w:p>
        </w:tc>
      </w:tr>
      <w:tr>
        <w:trPr>
          <w:jc w:val="center"/>
          <w:trHeight w:val="39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gridSpan w:val="2"/>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产量信息采集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产量信息采集与调查的内容为GBGD </w:t>
            </w:r>
            <w:r>
              <w:rPr>
                <w:rFonts w:hint="eastAsia" w:ascii="宋体" w:hAnsi="宋体" w:eastAsia="宋体" w:cs="宋体"/>
                <w:color w:val="000000"/>
                <w:sz w:val="24"/>
                <w:szCs w:val="24"/>
              </w:rPr>
              <w:t xml:space="preserve">图斑对应地块的 </w:t>
            </w:r>
            <w:r/>
          </w:p>
          <w:p>
            <w:pPr>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粮食综合单产信息与种植情况。 </w:t>
            </w:r>
            <w:r/>
          </w:p>
          <w:p>
            <w:pPr>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a</w:t>
            </w:r>
            <w:r>
              <w:rPr>
                <w:rFonts w:hint="eastAsia" w:ascii="宋体" w:hAnsi="宋体" w:eastAsia="宋体" w:cs="宋体"/>
                <w:color w:val="000000"/>
                <w:sz w:val="24"/>
                <w:szCs w:val="24"/>
              </w:rPr>
              <w:t xml:space="preserve">）粮食综合单产信息：近三年的粮食亩均单产数据。 </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b</w:t>
            </w:r>
            <w:r>
              <w:rPr>
                <w:rFonts w:hint="eastAsia" w:ascii="宋体" w:hAnsi="宋体" w:eastAsia="宋体" w:cs="宋体"/>
                <w:color w:val="000000"/>
                <w:sz w:val="24"/>
                <w:szCs w:val="24"/>
              </w:rPr>
              <w:t xml:space="preserve">）种植情况：主要种植粮食作物地块的主要作物类型；其他占用类型等。</w:t>
            </w:r>
            <w:r/>
          </w:p>
        </w:tc>
      </w:tr>
      <w:tr>
        <w:trPr>
          <w:jc w:val="cente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种植经营模式调查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种植经营模式采集与调查内容为 GBGD </w:t>
            </w:r>
            <w:r>
              <w:rPr>
                <w:rFonts w:hint="eastAsia" w:ascii="宋体" w:hAnsi="宋体" w:eastAsia="宋体" w:cs="宋体"/>
                <w:color w:val="000000"/>
                <w:sz w:val="24"/>
                <w:szCs w:val="24"/>
              </w:rPr>
              <w:t xml:space="preserve">图斑对应地块 的流转信息、经营主体及类型。</w:t>
            </w:r>
            <w:r/>
          </w:p>
        </w:tc>
      </w:tr>
      <w:tr>
        <w:trPr>
          <w:jc w:val="center"/>
          <w:trHeight w:val="87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已建区域现状情况采集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color w:val="000000"/>
                <w:sz w:val="24"/>
                <w:szCs w:val="24"/>
                <w:highlight w:val="red"/>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已建区域现状情况调查的内容为 GBGD </w:t>
            </w:r>
            <w:r>
              <w:rPr>
                <w:rFonts w:hint="eastAsia" w:ascii="宋体" w:hAnsi="宋体" w:eastAsia="宋体" w:cs="宋体"/>
                <w:color w:val="000000"/>
                <w:sz w:val="24"/>
                <w:szCs w:val="24"/>
              </w:rPr>
              <w:t xml:space="preserve">图斑对应地块 的灌溉能力、灌溉水源、排水能力、土地平整度、宜机化程度、通达度、地表砾石含量等。 </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耕地范围内未建高标准农田区调查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未建区域宜建性调查内容为未建区域耕地图斑对应地</w:t>
            </w:r>
            <w:r>
              <w:rPr>
                <w:rFonts w:hint="eastAsia" w:ascii="宋体" w:hAnsi="宋体" w:eastAsia="宋体" w:cs="宋体"/>
                <w:color w:val="000000"/>
                <w:sz w:val="24"/>
                <w:szCs w:val="24"/>
              </w:rPr>
              <w:t xml:space="preserve">块的田块连片度、道路通达情况、土地平整度、是否灌区内、 宜机化、利用情况。</w:t>
            </w:r>
            <w:r/>
          </w:p>
        </w:tc>
      </w:tr>
      <w:tr>
        <w:trPr>
          <w:jc w:val="center"/>
          <w:trHeight w:val="2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c>
          <w:tcPr>
            <w:gridSpan w:val="2"/>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调查信息自检汇总</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利用调查摸底工具，对内业预处理和实地调查数据的完整性、规范性、真实性和准确性进行内业自检审核，并进行汇总。</w:t>
            </w:r>
            <w:r/>
          </w:p>
        </w:tc>
      </w:tr>
      <w:tr>
        <w:trPr>
          <w:jc w:val="center"/>
          <w:trHeight w:val="82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数据成果汇总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高标准农田调查摸底上图入库工作的成果数据进行检查，保证数据完整性、空间数学基础与数据格式正确性标准符合性、空间拓扑、图数一致性等方面的质量。汇总上报全区范围内已建高标准农田粮食产能、耕地地力、耕地流转等高标准农田调查摸底数据及其他调查数据。</w:t>
            </w:r>
            <w:r/>
          </w:p>
        </w:tc>
      </w:tr>
      <w:tr>
        <w:trPr>
          <w:jc w:val="center"/>
          <w:trHeight w:val="429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w:t>
            </w:r>
            <w:r/>
          </w:p>
        </w:tc>
        <w:tc>
          <w:tcPr>
            <w:gridSpan w:val="2"/>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成果编制</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根据高标准农田调查摸底数据，编制高标准农田摸底调查工作成果，编写相关报告和图表成果及其他要求的文件，包含：</w:t>
            </w:r>
            <w:r/>
          </w:p>
          <w:p>
            <w:pPr>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①报告编制  </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高标准农田调查摸底工作总结报告；</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高标准农田调查摸底技术报告；</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高标准农田调查摸底质量控制报告。</w:t>
            </w:r>
            <w:r/>
          </w:p>
          <w:p>
            <w:pPr>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②图表编制  </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已建高标准农田工程设施数据；</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已建高标准农田粮食产能数据；</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已建高标准农田耕地流转数据；</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未建高标准农田宜建性评估数据。</w:t>
            </w:r>
            <w:r/>
          </w:p>
        </w:tc>
      </w:tr>
    </w:tbl>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四、总体技术指标要求</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（一）参考依据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《国土资源部 国家发展改革委 财政部 水利部 农业部关于切实做好高标准农田建设统一上图入库工作的通知》（国土资发〔2017〕115号）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《省政府办公厅关于印发江苏省高标准农田建设标准的通知》（苏政办发〔2021〕21号）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《全国高标准农田建设规划（2021-2030年）》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《关于做好全省高标准农田调查摸底、“上图入库”工作的通知》（苏农建〔2024〕6号）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《高标准农田建设评价规范》（GB/T 33130-2016）</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《耕地质量等级》（GB/T 33469-2016）</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《土地利用现状分类》（GB/T 21010-2017）</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《灌溉与排水工程设计标准》（GB 50288-2018）</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《信息安全技术 数据库管理系统安全技术要求》（GB/T 20273-2019）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《基础地理信息数字成果元数据》（GB/T 39608-2020）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《渠道防渗衬砌工程技术标准》（GB/T 50600-2020）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《高标准农田建设通则》（GB/T 30600-2022）</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《全国耕地类型区、耕地地力等级划分》（NY/T 309—1996）</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《耕地地力调查与质量评价技术规程》（NY/T 1634—2008）</w:t>
      </w:r>
      <w:r/>
    </w:p>
    <w:p>
      <w:pPr>
        <w:ind w:firstLine="480"/>
        <w:spacing w:line="360" w:lineRule="auto"/>
      </w:pPr>
      <w:r>
        <w:rPr>
          <w:rFonts w:hint="eastAsia" w:ascii="宋体" w:hAnsi="宋体" w:eastAsia="宋体" w:cs="宋体"/>
          <w:sz w:val="24"/>
          <w:szCs w:val="24"/>
        </w:rPr>
        <w:t xml:space="preserve">《高标准农田建设项目制图及其图例规范》（DB32/T 3721-2020）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（二）数学基础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（1）空间定位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坐标系统：采用2000国家大地坐标系；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投影系统：采用高斯-克吕格投影，采用标准3度分带平面直角坐标系；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高程系统：采用1985国家高程基准。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采用法定计量单位，数据精度在各项调查摸底工作技术规程规范中做详细说明。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长度单位：根据需要采用千米（km）或米（m）计量；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面积单位：采用公顷（h㎡），面积统计汇总单位采用公顷（h㎡），万亩、亩作为辅助单位；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坐标单位：采用米（m）；</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日期：采用公元纪年，时间采用北京时间；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比例：采用百分比（%）的形式。</w:t>
      </w:r>
      <w:r/>
    </w:p>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五、实施要求</w:t>
      </w:r>
      <w:r/>
    </w:p>
    <w:p>
      <w:pPr>
        <w:ind w:firstLine="480"/>
        <w:jc w:val="left"/>
        <w:spacing w:line="500" w:lineRule="exact"/>
        <w:rPr>
          <w:rFonts w:ascii="宋体" w:hAnsi="宋体" w:eastAsia="宋体" w:cs="宋体"/>
          <w:sz w:val="24"/>
          <w:szCs w:val="24"/>
          <w:highlight w:val="red"/>
        </w:rPr>
      </w:pPr>
      <w:r>
        <w:rPr>
          <w:rFonts w:hint="eastAsia" w:ascii="宋体" w:hAnsi="宋体" w:eastAsia="宋体" w:cs="宋体"/>
          <w:b/>
          <w:bCs/>
          <w:sz w:val="24"/>
          <w:szCs w:val="24"/>
        </w:rPr>
        <w:t xml:space="preserve">履行服务期限：</w:t>
      </w:r>
      <w:r>
        <w:rPr>
          <w:rFonts w:hint="eastAsia"/>
          <w:b/>
          <w:sz w:val="24"/>
          <w:szCs w:val="24"/>
          <w:u w:val="single"/>
        </w:rPr>
        <w:t xml:space="preserve">自合同签订之日起，2025年7月底前完成，2025年12月底前配合完成项目审计、验收等后续工作。（具体时间以省、市两级实际工作进度为准）。</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数据安全保密要求：</w:t>
      </w:r>
      <w:r>
        <w:rPr>
          <w:rFonts w:ascii="宋体" w:hAnsi="宋体" w:eastAsia="宋体" w:cs="宋体"/>
          <w:sz w:val="24"/>
          <w:szCs w:val="24"/>
        </w:rPr>
        <w:t xml:space="preserve">所有数据资料应严格按照国家信息安全制度进行存储</w:t>
      </w:r>
      <w:r>
        <w:rPr>
          <w:rFonts w:hint="eastAsia" w:ascii="宋体" w:hAnsi="宋体" w:eastAsia="宋体" w:cs="宋体"/>
          <w:sz w:val="24"/>
          <w:szCs w:val="24"/>
        </w:rPr>
        <w:t xml:space="preserve">和使用，配备调查摸底工作专用</w:t>
      </w:r>
      <w:r>
        <w:rPr>
          <w:rFonts w:ascii="宋体" w:hAnsi="宋体" w:eastAsia="宋体" w:cs="宋体"/>
          <w:sz w:val="24"/>
          <w:szCs w:val="24"/>
        </w:rPr>
        <w:t xml:space="preserve">PC</w:t>
      </w:r>
      <w:r>
        <w:rPr>
          <w:rFonts w:hint="eastAsia" w:ascii="宋体" w:hAnsi="宋体" w:eastAsia="宋体" w:cs="宋体"/>
          <w:sz w:val="24"/>
          <w:szCs w:val="24"/>
        </w:rPr>
        <w:t xml:space="preserve">终端，用于外业调查与核实成果自检、成果数据存储的</w:t>
      </w:r>
      <w:r>
        <w:rPr>
          <w:rFonts w:ascii="宋体" w:hAnsi="宋体" w:eastAsia="宋体" w:cs="宋体"/>
          <w:sz w:val="24"/>
          <w:szCs w:val="24"/>
        </w:rPr>
        <w:t xml:space="preserve">PC</w:t>
      </w:r>
      <w:r>
        <w:rPr>
          <w:rFonts w:hint="eastAsia" w:ascii="宋体" w:hAnsi="宋体" w:eastAsia="宋体" w:cs="宋体"/>
          <w:sz w:val="24"/>
          <w:szCs w:val="24"/>
        </w:rPr>
        <w:t xml:space="preserve">终端不得联网，用于任务数据包下发与任务数据收集</w:t>
      </w:r>
      <w:r>
        <w:rPr>
          <w:rFonts w:ascii="宋体" w:hAnsi="宋体" w:eastAsia="宋体" w:cs="宋体"/>
          <w:sz w:val="24"/>
          <w:szCs w:val="24"/>
        </w:rPr>
        <w:t xml:space="preserve">PC</w:t>
      </w:r>
      <w:r>
        <w:rPr>
          <w:rFonts w:hint="eastAsia" w:ascii="宋体" w:hAnsi="宋体" w:eastAsia="宋体" w:cs="宋体"/>
          <w:sz w:val="24"/>
          <w:szCs w:val="24"/>
        </w:rPr>
        <w:t xml:space="preserve">终端可联通互联网。与技术服务单位签订签署岗位安全协议和保密协议，明确双方数据安全责任、必要的安全措施及违约责任和处罚条。对涉密的数据信息的管理，使用国产硬件软件和定位系统，配备的工作设备满足要求。加强数据分类分级管理，强化数据传输与存储过程中的主动保护，并进行数据备份。电子数据以移动硬盘、</w:t>
      </w:r>
      <w:r>
        <w:rPr>
          <w:rFonts w:ascii="宋体" w:hAnsi="宋体" w:eastAsia="宋体" w:cs="宋体"/>
          <w:sz w:val="24"/>
          <w:szCs w:val="24"/>
        </w:rPr>
        <w:t xml:space="preserve">U</w:t>
      </w:r>
      <w:r>
        <w:rPr>
          <w:rFonts w:hint="eastAsia" w:ascii="宋体" w:hAnsi="宋体" w:eastAsia="宋体" w:cs="宋体"/>
          <w:sz w:val="24"/>
          <w:szCs w:val="24"/>
        </w:rPr>
        <w:t xml:space="preserve">盘或光盘为存储介质进行提交，不得在线传输。 工作专班对技术服务单位的数据安全措施的实施进行监督。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中标人对本项目涉及的所有信息及数据具有保密义务，在工作过程中要严格遵守工作保密制度，不经过招标人同意不得向任何第三方提供项目相关信息，如造成信息泄露或其他损失由中标人承担。</w:t>
      </w:r>
      <w:r/>
    </w:p>
    <w:p>
      <w:pPr>
        <w:ind w:firstLine="480"/>
        <w:spacing w:line="360" w:lineRule="auto"/>
        <w:rPr>
          <w:rFonts w:ascii="宋体" w:hAnsi="宋体" w:eastAsia="宋体" w:cs="宋体"/>
          <w:sz w:val="24"/>
          <w:szCs w:val="24"/>
        </w:rPr>
      </w:pPr>
      <w:r>
        <w:rPr>
          <w:rFonts w:hint="eastAsia" w:ascii="楷体" w:hAnsi="楷体" w:eastAsia="楷体" w:cs="楷体"/>
          <w:sz w:val="24"/>
          <w:szCs w:val="24"/>
        </w:rPr>
        <w:t xml:space="preserve">★</w:t>
      </w:r>
      <w:r>
        <w:rPr>
          <w:rFonts w:hint="eastAsia" w:ascii="宋体" w:hAnsi="宋体" w:eastAsia="宋体" w:cs="宋体"/>
          <w:b/>
          <w:bCs/>
          <w:sz w:val="24"/>
          <w:szCs w:val="24"/>
        </w:rPr>
        <w:t xml:space="preserve">质量要求：</w:t>
      </w:r>
      <w:r>
        <w:rPr>
          <w:rFonts w:hint="eastAsia" w:ascii="宋体" w:hAnsi="宋体" w:eastAsia="宋体" w:cs="宋体"/>
          <w:sz w:val="24"/>
          <w:szCs w:val="24"/>
        </w:rPr>
        <w:t xml:space="preserve">完成的所有成果要求数量齐全、质量有保证，须通过上级部门质检。若成果经上级质检不合格，由中标人负责重新调查整改，直至数据通过逐级质检并入库，中标人同时应承担调查成果的整改和省市两级重复质检费用。</w:t>
      </w:r>
      <w:r/>
    </w:p>
    <w:p>
      <w:pPr>
        <w:ind w:firstLine="482"/>
        <w:spacing w:line="360" w:lineRule="auto"/>
        <w:rPr>
          <w:rFonts w:ascii="宋体" w:hAnsi="宋体" w:eastAsia="宋体" w:cs="宋体"/>
          <w:sz w:val="24"/>
          <w:szCs w:val="24"/>
          <w:lang w:val="zh-CN"/>
        </w:rPr>
      </w:pPr>
      <w:r>
        <w:rPr>
          <w:rFonts w:hint="eastAsia" w:ascii="宋体" w:hAnsi="宋体" w:eastAsia="宋体" w:cs="宋体"/>
          <w:sz w:val="24"/>
          <w:szCs w:val="24"/>
        </w:rPr>
        <w:t xml:space="preserve">★</w:t>
      </w:r>
      <w:r>
        <w:rPr>
          <w:rFonts w:hint="eastAsia" w:ascii="宋体" w:hAnsi="宋体" w:eastAsia="宋体" w:cs="宋体"/>
          <w:b/>
          <w:bCs/>
          <w:sz w:val="24"/>
          <w:szCs w:val="24"/>
        </w:rPr>
        <w:t xml:space="preserve">安全生产要求：</w:t>
      </w:r>
      <w:r>
        <w:rPr>
          <w:rFonts w:hint="eastAsia" w:ascii="宋体" w:hAnsi="宋体" w:eastAsia="宋体" w:cs="宋体"/>
          <w:sz w:val="24"/>
          <w:szCs w:val="24"/>
        </w:rPr>
        <w:t xml:space="preserve">在项目实施过程中必须严格执行安全管理制度，</w:t>
      </w:r>
      <w:r>
        <w:rPr>
          <w:rFonts w:hint="eastAsia" w:ascii="宋体" w:hAnsi="宋体" w:eastAsia="宋体" w:cs="宋体"/>
          <w:sz w:val="24"/>
          <w:szCs w:val="24"/>
          <w:lang w:val="zh-CN"/>
        </w:rPr>
        <w:t xml:space="preserve">做好安全保障工作，不因项目实施而危及自身及第三方人员、财产安全。</w:t>
      </w:r>
      <w:r>
        <w:rPr>
          <w:rFonts w:hint="eastAsia" w:ascii="宋体" w:hAnsi="宋体" w:eastAsia="宋体" w:cs="宋体"/>
          <w:sz w:val="24"/>
          <w:szCs w:val="24"/>
        </w:rPr>
        <w:t xml:space="preserve">中标人</w:t>
      </w:r>
      <w:r>
        <w:rPr>
          <w:rFonts w:hint="eastAsia" w:ascii="宋体" w:hAnsi="宋体" w:eastAsia="宋体" w:cs="宋体"/>
          <w:sz w:val="24"/>
          <w:szCs w:val="24"/>
          <w:lang w:val="zh-CN"/>
        </w:rPr>
        <w:t xml:space="preserve">应及时为项目投入人员购买人身意外等保险，若发生任何安全事故，由</w:t>
      </w:r>
      <w:r>
        <w:rPr>
          <w:rFonts w:hint="eastAsia" w:ascii="宋体" w:hAnsi="宋体" w:eastAsia="宋体" w:cs="宋体"/>
          <w:sz w:val="24"/>
          <w:szCs w:val="24"/>
        </w:rPr>
        <w:t xml:space="preserve">中标人</w:t>
      </w:r>
      <w:r>
        <w:rPr>
          <w:rFonts w:hint="eastAsia" w:ascii="宋体" w:hAnsi="宋体" w:eastAsia="宋体" w:cs="宋体"/>
          <w:sz w:val="24"/>
          <w:szCs w:val="24"/>
          <w:lang w:val="zh-CN"/>
        </w:rPr>
        <w:t xml:space="preserve">自行承担</w:t>
      </w:r>
      <w:r>
        <w:rPr>
          <w:rFonts w:hint="eastAsia" w:ascii="宋体" w:hAnsi="宋体" w:eastAsia="宋体" w:cs="宋体"/>
          <w:sz w:val="24"/>
          <w:szCs w:val="24"/>
        </w:rPr>
        <w:t xml:space="preserve">相关责任</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b/>
          <w:bCs/>
          <w:sz w:val="24"/>
          <w:szCs w:val="24"/>
        </w:rPr>
        <w:t xml:space="preserve">人员要求：</w:t>
      </w:r>
      <w:r>
        <w:rPr>
          <w:rFonts w:hint="eastAsia" w:ascii="宋体" w:hAnsi="宋体" w:eastAsia="宋体" w:cs="宋体"/>
          <w:sz w:val="24"/>
          <w:szCs w:val="24"/>
        </w:rPr>
        <w:t xml:space="preserve">由于本项目工作量大，投标人在合同签订后须</w:t>
      </w:r>
      <w:r>
        <w:rPr>
          <w:rFonts w:hint="eastAsia" w:ascii="宋体" w:hAnsi="宋体" w:eastAsia="宋体" w:cs="宋体"/>
          <w:bCs/>
          <w:sz w:val="24"/>
          <w:szCs w:val="20"/>
        </w:rPr>
        <w:t xml:space="preserve">派驻服务人员</w:t>
      </w:r>
      <w:r>
        <w:rPr>
          <w:rFonts w:hint="eastAsia" w:ascii="宋体" w:hAnsi="宋体" w:eastAsia="宋体" w:cs="宋体"/>
          <w:sz w:val="24"/>
          <w:szCs w:val="24"/>
        </w:rPr>
        <w:t xml:space="preserve">，全程从事本项目工作。（详见投标文件格式。）</w:t>
      </w:r>
      <w:r/>
    </w:p>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六、售后服务</w:t>
      </w:r>
      <w:r/>
    </w:p>
    <w:p>
      <w:pPr>
        <w:ind w:firstLine="480"/>
        <w:spacing w:line="360" w:lineRule="auto"/>
        <w:rPr>
          <w:rFonts w:ascii="宋体" w:hAnsi="宋体" w:eastAsia="宋体" w:cs="宋体"/>
          <w:sz w:val="24"/>
          <w:szCs w:val="24"/>
        </w:rPr>
      </w:pPr>
      <w:r>
        <w:rPr>
          <w:rFonts w:hint="eastAsia" w:ascii="楷体" w:hAnsi="楷体" w:eastAsia="楷体" w:cs="楷体"/>
          <w:sz w:val="24"/>
          <w:szCs w:val="24"/>
        </w:rPr>
        <w:t xml:space="preserve">★</w:t>
      </w:r>
      <w:r>
        <w:rPr>
          <w:rFonts w:hint="eastAsia" w:ascii="宋体" w:hAnsi="宋体" w:eastAsia="宋体" w:cs="宋体"/>
          <w:sz w:val="24"/>
          <w:szCs w:val="24"/>
        </w:rPr>
        <w:t xml:space="preserve">项目通过验收后，中标人须为本项目提供1年免费售后服务。</w:t>
      </w:r>
      <w:r/>
    </w:p>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七、验收要求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项目符合国家、行业、地方相关规定，满足招标人要求。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1、文字类成果需</w:t>
      </w:r>
      <w:r>
        <w:rPr>
          <w:rFonts w:hint="eastAsia" w:ascii="宋体" w:hAnsi="宋体" w:eastAsia="宋体" w:cs="宋体"/>
          <w:bCs/>
          <w:sz w:val="24"/>
          <w:szCs w:val="24"/>
          <w:lang w:val="zh-CN"/>
        </w:rPr>
        <w:t xml:space="preserve">通过工作专班的评审</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2、数据类成果需满足规程规范，通过软件质检并满足质量控制标准；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3、根据招标人要求提供阶段性工作成果，工作成果需通过招标人组织的评审，并出具验收报告。</w:t>
      </w:r>
      <w:r/>
    </w:p>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八、人员投入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当招标人需要现场服务时，除正常驻点办公人员外的其他人员须在6小时之内到位。当技术团队人员不能满足合同服务的进度计划或质量要求时，项目组成员原则性不得更换，如果更换须经招标人同意。招标人有权要求投标人继续增派(和/或更换)人员。投标人在接到通知7天内，增派(和/或更换)的人员应到岗。否则，投标人按照1000元人民币/人/天的标准向招标人支付违约金，直至按照招标人的要求增派(和/或更换)的人员到岗为止。</w:t>
      </w:r>
      <w:r/>
    </w:p>
    <w:p>
      <w:pPr>
        <w:numPr>
          <w:ilvl w:val="0"/>
          <w:numId w:val="3"/>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项目说明</w:t>
      </w:r>
      <w:r/>
    </w:p>
    <w:p>
      <w:pPr>
        <w:ind w:firstLine="480"/>
        <w:spacing w:line="360" w:lineRule="auto"/>
        <w:rPr>
          <w:rFonts w:ascii="Times New Roman" w:hAnsi="Times New Roman" w:eastAsia="宋体" w:cs="Times New Roman"/>
          <w:b/>
          <w:sz w:val="28"/>
          <w:szCs w:val="28"/>
        </w:rPr>
      </w:pPr>
      <w:r>
        <w:rPr>
          <w:rFonts w:ascii="宋体" w:hAnsi="宋体" w:eastAsia="宋体" w:cs="宋体"/>
          <w:color w:val="000000"/>
          <w:sz w:val="24"/>
        </w:rPr>
        <w:t xml:space="preserve">除以上采购需求外，投标人须严格按照苏农建〔2024〕6 号、关于印发《江苏省高标准农田调查摸底上图入库工作指南》的通知、江苏省高标准农田调查摸底上图入库工作指南执行。</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合同签订后，完成调查摸底上图入库工作并提交检查评估分析报告后，付合同总价款的50%；通过市级审核确认后，付至合同总价款的80%，余款在省级完成成果抽查和审核确认后一次性付清。</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注：具体付款时间以财政支付节点及有关要求为准。</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1.履约保证金的金额：中标价的10%。</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2.履约保证金应当以支票、汇票、本票或者金融机构、担保机构出具的保函等非现金形式提交。</w:t>
      </w:r>
      <w:r/>
    </w:p>
    <w:p>
      <w:pPr>
        <w:ind w:firstLine="562"/>
        <w:jc w:val="left"/>
        <w:spacing w:line="360" w:lineRule="auto"/>
        <w:rPr>
          <w:rFonts w:ascii="宋体" w:hAnsi="宋体" w:eastAsia="宋体" w:cs="宋体"/>
          <w:bCs/>
          <w:color w:val="ff0000"/>
          <w:sz w:val="24"/>
          <w:szCs w:val="24"/>
        </w:rPr>
      </w:pPr>
      <w:r>
        <w:rPr>
          <w:rFonts w:hint="eastAsia" w:ascii="宋体" w:hAnsi="宋体" w:eastAsia="宋体" w:cs="宋体"/>
          <w:bCs/>
          <w:sz w:val="24"/>
          <w:szCs w:val="24"/>
        </w:rPr>
        <w:t xml:space="preserve">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3.履约保证金的退还：投标人完成合同范围内的所有内容，并经验收合格后，招标人退还投标人履约保证金。</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不予退还的情形：投标人不履行合同，履约保证金不予退还。投标人违约的，招标人将按照招标文件及合同约定扣除其全部或部分履约保证金。如投标人违约给招标人造成的损失超过履约保证金的，应当依法赔偿超过部分的损失。</w:t>
      </w:r>
      <w:r/>
    </w:p>
    <w:p>
      <w:pPr>
        <w:ind w:firstLine="480"/>
        <w:spacing w:line="360" w:lineRule="auto"/>
        <w:rPr>
          <w:rFonts w:ascii="Times New Roman" w:hAnsi="Times New Roman" w:eastAsia="宋体" w:cs="Times New Roman"/>
          <w:sz w:val="24"/>
          <w:szCs w:val="24"/>
        </w:rPr>
      </w:pPr>
      <w:r>
        <w:rPr>
          <w:rFonts w:hint="eastAsia" w:ascii="宋体" w:hAnsi="宋体" w:eastAsia="宋体" w:cs="宋体"/>
          <w:bCs/>
          <w:sz w:val="24"/>
          <w:szCs w:val="24"/>
        </w:rPr>
        <w:t xml:space="preserve">5.逾期退还履约保证金的违约责任：除不可抗力外，招标人逾期退还履约保证金的，除应当退还履约保证金本金外，还应按商业银行同期贷款利率上浮20%后的利率支付资金占用费</w:t>
      </w:r>
      <w:r>
        <w:rPr>
          <w:rFonts w:hint="eastAsia" w:ascii="Times New Roman" w:hAnsi="Times New Roman" w:eastAsia="宋体" w:cs="Times New Roman"/>
          <w:sz w:val="24"/>
          <w:szCs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十、报价要求</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1.本项目报价不得超过预算价（最高限价）。</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2.报价应包含与本次采购项目有关的所有费用。报价包含但不限于为完成服务最终成果而产生的一切附带服务费用等（包含所有隐含费用）；</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3.投标人的任何错漏、竞争性报价不得作为减轻责任、减少服务、增加收费、降低服务质量的理由；</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4.投标人报价除包含招标文件中列明的项目外还应包括保障服务正常运行应当具有的备件和服务，对服务正常运行应当具有的备件和服务理解不一致的以招标人理解为准。</w:t>
      </w:r>
      <w:r/>
    </w:p>
    <w:p>
      <w:pPr>
        <w:pStyle w:val="660"/>
        <w:ind w:firstLine="482"/>
        <w:rPr>
          <w:rFonts w:ascii="宋体" w:hAnsi="宋体" w:eastAsia="宋体" w:cs="宋体"/>
          <w:b/>
          <w:sz w:val="24"/>
          <w:szCs w:val="24"/>
        </w:rPr>
      </w:pPr>
      <w:r>
        <w:rPr>
          <w:rFonts w:hint="eastAsia" w:ascii="宋体" w:hAnsi="宋体" w:eastAsia="宋体" w:cs="宋体"/>
          <w:b/>
          <w:sz w:val="24"/>
          <w:szCs w:val="24"/>
        </w:rPr>
        <w:t xml:space="preserve">5.投标人按灌云县高标准农田调查摸底上图入库项目报价清单分项报价表报价，如分项报价低于该项分限价70%的，应提交相关证明材料，投标人不能证明其报价合理性的，将作无效投标处理（根据《政府采购货物和服务招标投标管理办法》（财政部令第18号）第六十条规定）。</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十一、其他</w:t>
      </w:r>
      <w:r/>
    </w:p>
    <w:p>
      <w:pPr>
        <w:ind w:firstLine="480"/>
        <w:spacing w:line="360" w:lineRule="auto"/>
        <w:rPr>
          <w:sz w:val="24"/>
        </w:rPr>
      </w:pPr>
      <w:r>
        <w:rPr>
          <w:rFonts w:hint="eastAsia"/>
          <w:sz w:val="24"/>
        </w:rPr>
        <w:t xml:space="preserve">本项目报价不得超过</w:t>
      </w:r>
      <w:r>
        <w:rPr>
          <w:rFonts w:hint="eastAsia" w:eastAsia="宋体"/>
          <w:sz w:val="24"/>
        </w:rPr>
        <w:t xml:space="preserve">最高总限</w:t>
      </w:r>
      <w:r>
        <w:rPr>
          <w:rFonts w:hint="eastAsia"/>
          <w:sz w:val="24"/>
        </w:rPr>
        <w:t xml:space="preserve">价</w:t>
      </w:r>
      <w:r>
        <w:rPr>
          <w:rFonts w:hint="eastAsia" w:eastAsia="宋体"/>
          <w:sz w:val="24"/>
        </w:rPr>
        <w:t xml:space="preserve">及分限价</w:t>
      </w:r>
      <w:r>
        <w:rPr>
          <w:rFonts w:hint="eastAsia"/>
          <w:b/>
          <w:bCs/>
          <w:sz w:val="24"/>
        </w:rPr>
        <w:t xml:space="preserve">（</w:t>
      </w:r>
      <w:r>
        <w:rPr>
          <w:rFonts w:hint="eastAsia" w:eastAsia="宋体"/>
          <w:b/>
          <w:bCs/>
          <w:sz w:val="24"/>
        </w:rPr>
        <w:t xml:space="preserve">最高总限价及分限价表具体详见评标办法附件</w:t>
      </w:r>
      <w:r>
        <w:rPr>
          <w:rFonts w:hint="eastAsia"/>
          <w:b/>
          <w:bCs/>
          <w:sz w:val="24"/>
        </w:rPr>
        <w:t xml:space="preserve">）</w:t>
      </w:r>
      <w:r>
        <w:rPr>
          <w:rFonts w:hint="eastAsia"/>
          <w:sz w:val="24"/>
        </w:rPr>
        <w:t xml:space="preserve">。</w:t>
      </w:r>
      <w:r/>
    </w:p>
    <w:p>
      <w:pPr>
        <w:ind w:firstLine="480"/>
        <w:spacing w:line="360" w:lineRule="auto"/>
        <w:rPr>
          <w:b/>
          <w:bCs/>
          <w:sz w:val="24"/>
        </w:rPr>
      </w:pPr>
      <w:r>
        <w:rPr>
          <w:rFonts w:hint="eastAsia"/>
          <w:b/>
          <w:bCs/>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rFonts w:hint="eastAsia"/>
          <w:sz w:val="24"/>
        </w:rPr>
        <w:t xml:space="preserve">。</w:t>
      </w:r>
      <w:r/>
      <w:bookmarkStart w:id="19" w:name="_Toc155796360"/>
      <w:r>
        <w:rPr>
          <w:rFonts w:ascii="黑体" w:hAnsi="黑体" w:eastAsia="黑体"/>
          <w:b/>
        </w:rPr>
        <w:br w:type="page" w:clear="all"/>
      </w:r>
      <w:r/>
      <w:r>
        <w:rPr>
          <w:sz w:val="24"/>
          <w:szCs w:val="24"/>
        </w:rPr>
      </w:r>
    </w:p>
    <w:p>
      <w:pPr>
        <w:pStyle w:val="645"/>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9"/>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ff0000"/>
        </w:rPr>
      </w:pPr>
      <w:r>
        <w:rPr>
          <w:rFonts w:hint="eastAsia"/>
          <w:sz w:val="24"/>
          <w:szCs w:val="24"/>
        </w:rPr>
        <w:t xml:space="preserve">投标报价得分=（评标基准价／投标报价）×10分</w:t>
      </w:r>
      <w:r/>
    </w:p>
    <w:p>
      <w:pPr>
        <w:pStyle w:val="660"/>
        <w:ind w:firstLine="482"/>
      </w:pPr>
      <w:r>
        <w:rPr>
          <w:rFonts w:hint="eastAsia" w:ascii="宋体" w:hAnsi="宋体" w:eastAsia="宋体" w:cs="宋体"/>
          <w:b/>
          <w:sz w:val="24"/>
          <w:szCs w:val="24"/>
        </w:rPr>
        <w:t xml:space="preserve">投标人按灌云县高标准农田调查摸底上图入库项目报价清单分项报价表报价，如分项报价低于该分项最高限价70%的，应提交相关证明材料，投标人不能证明其报价合理性的，将作无效投标处理（根据《政府采购货物和服务招标投标管理办法》（财政部令第18号）第六十条规定）。</w:t>
      </w:r>
      <w:r/>
    </w:p>
    <w:p>
      <w:pPr>
        <w:ind w:firstLine="480"/>
        <w:jc w:val="left"/>
        <w:spacing w:line="500" w:lineRule="exact"/>
        <w:rPr>
          <w:sz w:val="24"/>
          <w:szCs w:val="24"/>
        </w:rPr>
      </w:pPr>
      <w:r>
        <w:rPr>
          <w:rFonts w:hint="eastAsia"/>
          <w:sz w:val="24"/>
          <w:szCs w:val="24"/>
        </w:rPr>
        <w:t xml:space="preserve">（2）技术分（48分）</w:t>
      </w:r>
      <w:r/>
    </w:p>
    <w:tbl>
      <w:tblPr>
        <w:tblStyle w:val="655"/>
        <w:tblW w:w="8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621"/>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62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项目理解    （6分）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根据投标人对本项目的理解和认识，包括但不限于：项目背景、项目概况、项目建设内容、建设目标等进行评审：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（1）对项目的理解和认识程度非常透彻,整体思路清晰、针对性强,优于或完全满足采购需求的得5～6分；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（2）对项目的理解和认知程度一般，整体思路不够清晰，针对性一般，基本满足采购需求的得4～5分；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（3）对项目的理解和认知程度较差，整体思路模糊，针对性较差，部分满足采购需求的得2～4分；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总体技术方案（12分）</w:t>
            </w:r>
            <w:r/>
          </w:p>
          <w:p>
            <w:pPr>
              <w:jc w:val="center"/>
              <w:spacing w:line="276" w:lineRule="auto"/>
              <w:rPr>
                <w:rFonts w:ascii="宋体" w:hAnsi="宋体" w:eastAsia="宋体" w:cs="宋体"/>
                <w:sz w:val="24"/>
                <w:szCs w:val="24"/>
              </w:rPr>
            </w:pPr>
            <w:r>
              <w:rPr>
                <w:rFonts w:ascii="宋体" w:hAnsi="宋体" w:eastAsia="宋体" w:cs="宋体"/>
                <w:sz w:val="24"/>
                <w:szCs w:val="24"/>
              </w:rPr>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投标人针对《全省高标准农田检查评估、“上图入库”实施方案》的要求编制详细的总体技术方案（含位置面积复查与校核比、对工程设施采集上图、产量信息采集、种植经营模式采集、耕地范围内未建高标准农田区域宜建性采集等），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(1)技术方案全面、完整、可行性强，应对的解决方案完全符合本项目现行实际情况，得10～12分；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(2)技术方案内容较全面，基本满足项目实际需求的，得8～10分；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(3)技术服务方案基本全面，但可行性有待提升，能满足项目主要需求的，得4～8分；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重难点分析及合理化建议 （6分）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根据招标文件要求及投标人对本项目的实施过程中的重难点，包括但不限于：项目实施内容的重点、难点分析，提出实施过程中的重点、难点及合理化建议等进行评审。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(1)对本项目重难点分析理解准确，重难点分析及应对措施完整详细，可行性、实用性、针对性强，得5～6分；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(2)对本项目重难点分析理解基本准确，具有可行性、实用性和针对性，得4～5分；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(3)对本项目重难点分析理解有待提升，应对措施，可行性、实用性、针对性有待改善，得2～4分；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数据质量控制（8分）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根据投标人提供的对高标准农田调查摸底上图入库数据质量控制方案，包括但不限于质量控制重点事项、控制节点、控制措施、控制目标等进行评审。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(1)理解深刻，分析全面，针对性强、可操作性强的，得6～8分；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(2)质量控制理解不深刻，分析较全面，针对性较一般的，得4～6分；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(3)质量控制理解不符合实际，分析不全面，针对性差的，得2～4分；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进度保障措施（5分）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根据投标人提供的项目进度保证措施，包括但不限于服务期计划表、保障项目进度、实施措施、管理措施、技术措施等内容进行评审。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(1)措施科学合理、可行性强的的4～5分；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(2)措施较科学合理、可行性较强的的2～3分；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(3)措施一般、可行性弱的的0～2分；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25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档案管理与数据保密措施  （7分）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根据投标人提供档案管理与数据保密措施，包括但不限于项目档案管理、数据保密措施等内容进行评审。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(1)档案管理及数据保密措施是否明确、合理、可行且针对性强，措施详尽、准确且合理可行的，得6～7分。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(2)内容有欠缺、基本合理可行的，得4～6分。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(3)内容不全面、合理可行性有欠缺的，得2～4分。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售后服务及保证措施（4分）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根据投标人提供的项目售后服务承诺方案，包括但不限于售后服务承诺、售后服务内容、响应时间与响应方式等进行评审。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(1)售后服务内容及承诺全面，有详细的响应措施的，得2～3分。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(2)售后服务内容及承诺较全面，有较具体的响应措施的，得1～2分。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(3)售后服务承诺较差、响应措施不合理的，得0～1分。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（4）承诺售后服务期限1年不得分；承诺服务期限2年得1分，本项最高得1分。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bl>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（3）商务分（42分）</w:t>
      </w:r>
      <w:r/>
    </w:p>
    <w:tbl>
      <w:tblPr>
        <w:tblStyle w:val="655"/>
        <w:tblW w:w="8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6644"/>
      </w:tblGrid>
      <w:tr>
        <w:trPr>
          <w:jc w:val="center"/>
          <w:trHeight w:val="624"/>
        </w:trPr>
        <w:tc>
          <w:tcPr>
            <w:tcW w:w="168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64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1150"/>
        </w:trPr>
        <w:tc>
          <w:tcPr>
            <w:tcW w:w="168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人员配置</w:t>
            </w:r>
            <w:r/>
          </w:p>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（19分）</w:t>
            </w:r>
            <w:r/>
          </w:p>
        </w:tc>
        <w:tc>
          <w:tcPr>
            <w:tcW w:w="6644" w:type="dxa"/>
            <w:vAlign w:val="center"/>
            <w:textDirection w:val="lrTb"/>
            <w:noWrap w:val="false"/>
          </w:tcPr>
          <w:p>
            <w:pPr>
              <w:numPr>
                <w:ilvl w:val="0"/>
                <w:numId w:val="4"/>
              </w:numPr>
              <w:jc w:val="left"/>
              <w:spacing w:line="360" w:lineRule="auto"/>
              <w:tabs>
                <w:tab w:val="center" w:pos="4153" w:leader="none"/>
                <w:tab w:val="right" w:pos="8306" w:leader="none"/>
              </w:tabs>
              <w:rPr>
                <w:rFonts w:ascii="宋体" w:hAnsi="宋体" w:eastAsia="宋体" w:cs="宋体"/>
                <w:b/>
                <w:bCs/>
                <w:sz w:val="24"/>
                <w:szCs w:val="24"/>
              </w:rPr>
            </w:pPr>
            <w:r>
              <w:rPr>
                <w:rFonts w:hint="eastAsia" w:ascii="宋体" w:hAnsi="宋体" w:eastAsia="宋体" w:cs="宋体"/>
                <w:b/>
                <w:bCs/>
                <w:sz w:val="24"/>
                <w:szCs w:val="24"/>
              </w:rPr>
              <w:t xml:space="preserve">项目负责人要求：</w:t>
            </w:r>
            <w:r>
              <w:rPr>
                <w:rFonts w:hint="eastAsia" w:ascii="宋体" w:hAnsi="宋体" w:eastAsia="宋体" w:cs="宋体"/>
                <w:sz w:val="24"/>
                <w:szCs w:val="24"/>
              </w:rPr>
              <w:t xml:space="preserve">具有测绘类高级及以上技术职称；具有注册测绘师、涉密测绘成果管理培训合格证明、地理信息质量检查培训合格证明的，</w:t>
            </w:r>
            <w:r>
              <w:rPr>
                <w:rFonts w:hint="eastAsia" w:ascii="宋体" w:hAnsi="宋体" w:eastAsia="宋体" w:cs="宋体"/>
                <w:b/>
                <w:bCs/>
                <w:sz w:val="24"/>
                <w:szCs w:val="24"/>
              </w:rPr>
              <w:t xml:space="preserve">以上证书和证明全部具备得4分，少一项扣2分，扣完为止。</w:t>
            </w:r>
            <w:r/>
          </w:p>
          <w:p>
            <w:pPr>
              <w:jc w:val="left"/>
              <w:spacing w:line="360" w:lineRule="auto"/>
              <w:tabs>
                <w:tab w:val="center" w:pos="4153" w:leader="none"/>
                <w:tab w:val="right" w:pos="8306" w:leader="none"/>
              </w:tabs>
              <w:rPr>
                <w:rFonts w:ascii="宋体" w:hAnsi="宋体" w:eastAsia="宋体" w:cs="宋体"/>
                <w:b/>
                <w:bCs/>
                <w:sz w:val="24"/>
                <w:szCs w:val="24"/>
              </w:rPr>
            </w:pPr>
            <w:r>
              <w:rPr>
                <w:rFonts w:hint="eastAsia" w:ascii="Times New Roman" w:cs="Times New Roman"/>
                <w:b/>
                <w:bCs/>
                <w:color w:val="000000"/>
                <w:szCs w:val="21"/>
              </w:rPr>
              <w:t xml:space="preserve">评审依据：提供职称证书、</w:t>
            </w:r>
            <w:r>
              <w:rPr>
                <w:rFonts w:hint="eastAsia" w:ascii="Times New Roman" w:eastAsia="宋体" w:cs="Times New Roman"/>
                <w:b/>
                <w:bCs/>
                <w:color w:val="000000"/>
                <w:szCs w:val="21"/>
              </w:rPr>
              <w:t xml:space="preserve">测绘师证书、</w:t>
            </w:r>
            <w:r>
              <w:rPr>
                <w:rFonts w:hint="eastAsia" w:ascii="Times New Roman" w:cs="Times New Roman"/>
                <w:b/>
                <w:bCs/>
                <w:color w:val="000000"/>
                <w:szCs w:val="21"/>
              </w:rPr>
              <w:t xml:space="preserve">培训合格证明</w:t>
            </w:r>
            <w:r>
              <w:rPr>
                <w:rFonts w:hint="eastAsia" w:ascii="Times New Roman" w:eastAsia="宋体" w:cs="Times New Roman"/>
                <w:b/>
                <w:bCs/>
                <w:color w:val="000000"/>
                <w:szCs w:val="21"/>
              </w:rPr>
              <w:t xml:space="preserve">彩色</w:t>
            </w:r>
            <w:r>
              <w:rPr>
                <w:rFonts w:hint="eastAsia" w:ascii="Times New Roman" w:cs="Times New Roman"/>
                <w:b/>
                <w:bCs/>
                <w:color w:val="000000"/>
                <w:szCs w:val="21"/>
              </w:rPr>
              <w:t xml:space="preserve">扫描件上传至电子投标文件中。</w:t>
            </w:r>
            <w:r/>
          </w:p>
          <w:p>
            <w:pPr>
              <w:numPr>
                <w:ilvl w:val="0"/>
                <w:numId w:val="4"/>
              </w:numPr>
              <w:jc w:val="left"/>
              <w:spacing w:line="360" w:lineRule="auto"/>
              <w:tabs>
                <w:tab w:val="center" w:pos="4153" w:leader="none"/>
                <w:tab w:val="right" w:pos="8306" w:leader="none"/>
              </w:tabs>
              <w:rPr>
                <w:rFonts w:ascii="宋体" w:hAnsi="宋体" w:eastAsia="宋体" w:cs="宋体"/>
                <w:b/>
                <w:bCs/>
                <w:sz w:val="24"/>
                <w:szCs w:val="24"/>
              </w:rPr>
            </w:pPr>
            <w:r>
              <w:rPr>
                <w:rFonts w:hint="eastAsia" w:ascii="宋体" w:hAnsi="宋体" w:eastAsia="宋体" w:cs="宋体"/>
                <w:b/>
                <w:bCs/>
                <w:sz w:val="24"/>
                <w:szCs w:val="24"/>
              </w:rPr>
              <w:t xml:space="preserve">技术负责人要求：</w:t>
            </w:r>
            <w:r>
              <w:rPr>
                <w:rFonts w:hint="eastAsia" w:ascii="宋体" w:hAnsi="宋体" w:eastAsia="宋体" w:cs="宋体"/>
                <w:sz w:val="24"/>
                <w:szCs w:val="24"/>
              </w:rPr>
              <w:t xml:space="preserve">具有测绘类高级及以上技术职称；具有注册测绘师、涉密测绘成果管理培训合格证明、地理信息质量检查培训合格证明的，</w:t>
            </w:r>
            <w:r>
              <w:rPr>
                <w:rFonts w:hint="eastAsia" w:ascii="宋体" w:hAnsi="宋体" w:eastAsia="宋体" w:cs="宋体"/>
                <w:b/>
                <w:bCs/>
                <w:sz w:val="24"/>
                <w:szCs w:val="24"/>
              </w:rPr>
              <w:t xml:space="preserve">以上证书和证明全部具备得4分，少一项扣2分，扣完为止。</w:t>
            </w:r>
            <w:r/>
          </w:p>
          <w:p>
            <w:pPr>
              <w:jc w:val="left"/>
              <w:spacing w:line="360" w:lineRule="auto"/>
              <w:tabs>
                <w:tab w:val="center" w:pos="4153" w:leader="none"/>
                <w:tab w:val="right" w:pos="8306" w:leader="none"/>
              </w:tabs>
              <w:rPr>
                <w:rFonts w:ascii="宋体" w:hAnsi="宋体" w:eastAsia="宋体" w:cs="宋体"/>
                <w:b/>
                <w:bCs/>
                <w:sz w:val="24"/>
                <w:szCs w:val="24"/>
              </w:rPr>
            </w:pPr>
            <w:r>
              <w:rPr>
                <w:rFonts w:hint="eastAsia" w:ascii="Times New Roman" w:cs="Times New Roman"/>
                <w:b/>
                <w:bCs/>
                <w:color w:val="000000"/>
                <w:szCs w:val="21"/>
              </w:rPr>
              <w:t xml:space="preserve">评审依据：提供职称证书、</w:t>
            </w:r>
            <w:r>
              <w:rPr>
                <w:rFonts w:hint="eastAsia" w:ascii="Times New Roman" w:eastAsia="宋体" w:cs="Times New Roman"/>
                <w:b/>
                <w:bCs/>
                <w:color w:val="000000"/>
                <w:szCs w:val="21"/>
              </w:rPr>
              <w:t xml:space="preserve">测绘师证书、</w:t>
            </w:r>
            <w:r>
              <w:rPr>
                <w:rFonts w:hint="eastAsia" w:ascii="Times New Roman" w:cs="Times New Roman"/>
                <w:b/>
                <w:bCs/>
                <w:color w:val="000000"/>
                <w:szCs w:val="21"/>
              </w:rPr>
              <w:t xml:space="preserve">培训合格证明</w:t>
            </w:r>
            <w:r>
              <w:rPr>
                <w:rFonts w:hint="eastAsia" w:ascii="Times New Roman" w:eastAsia="宋体" w:cs="Times New Roman"/>
                <w:b/>
                <w:bCs/>
                <w:color w:val="000000"/>
                <w:szCs w:val="21"/>
              </w:rPr>
              <w:t xml:space="preserve">彩色</w:t>
            </w:r>
            <w:r>
              <w:rPr>
                <w:rFonts w:hint="eastAsia" w:ascii="Times New Roman" w:cs="Times New Roman"/>
                <w:b/>
                <w:bCs/>
                <w:color w:val="000000"/>
                <w:szCs w:val="21"/>
              </w:rPr>
              <w:t xml:space="preserve">扫描件上传至电子投标文件中。</w:t>
            </w:r>
            <w:r/>
          </w:p>
          <w:p>
            <w:pPr>
              <w:jc w:val="left"/>
              <w:spacing w:line="360" w:lineRule="auto"/>
              <w:tabs>
                <w:tab w:val="center" w:pos="4153" w:leader="none"/>
                <w:tab w:val="right" w:pos="8306" w:leader="none"/>
              </w:tabs>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bCs/>
                <w:sz w:val="24"/>
                <w:szCs w:val="24"/>
              </w:rPr>
              <w:t xml:space="preserve">项目团队成员要求（不含项目负责人、技术负责人）：</w:t>
            </w:r>
            <w:r/>
          </w:p>
          <w:p>
            <w:pPr>
              <w:jc w:val="left"/>
              <w:spacing w:line="360" w:lineRule="exact"/>
              <w:rPr>
                <w:rFonts w:asciiTheme="minorEastAsia" w:hAnsiTheme="minorEastAsia" w:cstheme="minorEastAsia"/>
                <w:szCs w:val="21"/>
              </w:rPr>
            </w:pPr>
            <w:r>
              <w:rPr>
                <w:rFonts w:hint="eastAsia" w:asciiTheme="minorEastAsia" w:hAnsiTheme="minorEastAsia" w:cstheme="minorEastAsia"/>
                <w:szCs w:val="21"/>
              </w:rPr>
              <w:t xml:space="preserve">（1）具有测绘工程、农田水利工程、农业水土工程、地理信息科学、地图制图学与地理信息工程、计算机科学与技术等至少三个专业（含以上）的人员组成，每提供1人得0.5分，最高得5分，成员专业不足三个的，本项不得分。</w:t>
            </w:r>
            <w:r>
              <w:rPr>
                <w:rFonts w:hint="eastAsia" w:asciiTheme="minorEastAsia" w:hAnsiTheme="minorEastAsia" w:cstheme="minorEastAsia"/>
                <w:b/>
                <w:bCs/>
                <w:szCs w:val="21"/>
              </w:rPr>
              <w:t xml:space="preserve">（注：同一人只计取一次，不重复计分。）</w:t>
            </w:r>
            <w:r>
              <w:rPr>
                <w:rFonts w:hint="eastAsia" w:ascii="Times New Roman" w:cs="Times New Roman"/>
                <w:b/>
                <w:bCs/>
                <w:color w:val="000000"/>
                <w:szCs w:val="21"/>
              </w:rPr>
              <w:t xml:space="preserve">评审依据：提供学历</w:t>
            </w:r>
            <w:r>
              <w:rPr>
                <w:rFonts w:hint="eastAsia" w:ascii="Times New Roman" w:eastAsia="宋体" w:cs="Times New Roman"/>
                <w:b/>
                <w:bCs/>
                <w:color w:val="000000"/>
                <w:szCs w:val="21"/>
              </w:rPr>
              <w:t xml:space="preserve">或</w:t>
            </w:r>
            <w:r>
              <w:rPr>
                <w:rFonts w:hint="eastAsia" w:ascii="Times New Roman" w:cs="Times New Roman"/>
                <w:b/>
                <w:bCs/>
                <w:color w:val="000000"/>
                <w:szCs w:val="21"/>
              </w:rPr>
              <w:t xml:space="preserve">学位证书</w:t>
            </w:r>
            <w:r>
              <w:rPr>
                <w:rFonts w:hint="eastAsia" w:ascii="Times New Roman" w:eastAsia="宋体" w:cs="Times New Roman"/>
                <w:b/>
                <w:bCs/>
                <w:color w:val="000000"/>
                <w:szCs w:val="21"/>
              </w:rPr>
              <w:t xml:space="preserve">彩色</w:t>
            </w:r>
            <w:r>
              <w:rPr>
                <w:rFonts w:hint="eastAsia" w:ascii="Times New Roman" w:cs="Times New Roman"/>
                <w:b/>
                <w:bCs/>
                <w:color w:val="000000"/>
                <w:szCs w:val="21"/>
              </w:rPr>
              <w:t xml:space="preserve">扫描件上传至电子投标文件中。</w:t>
            </w:r>
            <w:r/>
          </w:p>
          <w:p>
            <w:pPr>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w:t>
            </w:r>
            <w:r>
              <w:rPr>
                <w:rFonts w:hint="eastAsia" w:eastAsia="宋体" w:asciiTheme="minorEastAsia" w:hAnsiTheme="minorEastAsia" w:cstheme="minorEastAsia"/>
                <w:szCs w:val="21"/>
              </w:rPr>
              <w:t xml:space="preserve">2</w:t>
            </w:r>
            <w:r>
              <w:rPr>
                <w:rFonts w:hint="eastAsia" w:asciiTheme="minorEastAsia" w:hAnsiTheme="minorEastAsia" w:cstheme="minorEastAsia"/>
                <w:szCs w:val="21"/>
              </w:rPr>
              <w:t xml:space="preserve">）具有测绘类</w:t>
            </w:r>
            <w:r>
              <w:rPr>
                <w:rFonts w:hint="eastAsia" w:ascii="宋体" w:hAnsi="宋体" w:cs="宋体"/>
                <w:szCs w:val="21"/>
              </w:rPr>
              <w:t xml:space="preserve">高级工程师及以上职称证书的，每提供1人得1分，中级每提供1人得0.5分</w:t>
            </w:r>
            <w:r>
              <w:rPr>
                <w:rFonts w:hint="eastAsia" w:asciiTheme="minorEastAsia" w:hAnsiTheme="minorEastAsia" w:cstheme="minorEastAsia"/>
                <w:szCs w:val="21"/>
              </w:rPr>
              <w:t xml:space="preserve">，本项最高得4分。</w:t>
            </w:r>
            <w:r>
              <w:rPr>
                <w:rFonts w:hint="eastAsia" w:asciiTheme="minorEastAsia" w:hAnsiTheme="minorEastAsia" w:cstheme="minorEastAsia"/>
                <w:b/>
                <w:bCs/>
                <w:szCs w:val="21"/>
              </w:rPr>
              <w:t xml:space="preserve">（注：同一人只计取一次，不重复计分。）</w:t>
            </w:r>
            <w:r/>
          </w:p>
          <w:p>
            <w:pPr>
              <w:spacing w:line="400" w:lineRule="exact"/>
              <w:rPr>
                <w:rFonts w:asciiTheme="minorEastAsia" w:hAnsiTheme="minorEastAsia" w:cstheme="minorEastAsia"/>
                <w:szCs w:val="21"/>
              </w:rPr>
            </w:pPr>
            <w:r>
              <w:rPr>
                <w:rFonts w:hint="eastAsia" w:ascii="Times New Roman" w:cs="Times New Roman"/>
                <w:b/>
                <w:bCs/>
                <w:color w:val="000000"/>
                <w:szCs w:val="21"/>
              </w:rPr>
              <w:t xml:space="preserve">评审依据：提供</w:t>
            </w:r>
            <w:r>
              <w:rPr>
                <w:rFonts w:hint="eastAsia" w:ascii="Times New Roman" w:eastAsia="宋体" w:cs="Times New Roman"/>
                <w:b/>
                <w:bCs/>
                <w:color w:val="000000"/>
                <w:szCs w:val="21"/>
              </w:rPr>
              <w:t xml:space="preserve">职称</w:t>
            </w:r>
            <w:r>
              <w:rPr>
                <w:rFonts w:hint="eastAsia" w:ascii="Times New Roman" w:cs="Times New Roman"/>
                <w:b/>
                <w:bCs/>
                <w:color w:val="000000"/>
                <w:szCs w:val="21"/>
              </w:rPr>
              <w:t xml:space="preserve">证书</w:t>
            </w:r>
            <w:r>
              <w:rPr>
                <w:rFonts w:hint="eastAsia" w:ascii="Times New Roman" w:eastAsia="宋体" w:cs="Times New Roman"/>
                <w:b/>
                <w:bCs/>
                <w:color w:val="000000"/>
                <w:szCs w:val="21"/>
              </w:rPr>
              <w:t xml:space="preserve">彩色</w:t>
            </w:r>
            <w:r>
              <w:rPr>
                <w:rFonts w:hint="eastAsia" w:ascii="Times New Roman" w:cs="Times New Roman"/>
                <w:b/>
                <w:bCs/>
                <w:color w:val="000000"/>
                <w:szCs w:val="21"/>
              </w:rPr>
              <w:t xml:space="preserve">扫描件上传至电子投标文件中。</w:t>
            </w:r>
            <w:r/>
          </w:p>
          <w:p>
            <w:pPr>
              <w:pStyle w:val="673"/>
              <w:spacing w:line="400" w:lineRule="exact"/>
              <w:rPr>
                <w:rFonts w:asciiTheme="minorEastAsia" w:hAnsiTheme="minorEastAsia" w:cstheme="minorEastAsia"/>
                <w:sz w:val="21"/>
                <w:szCs w:val="21"/>
              </w:rPr>
            </w:pPr>
            <w:r>
              <w:rPr>
                <w:rFonts w:hint="eastAsia" w:eastAsia="宋体" w:asciiTheme="minorEastAsia" w:hAnsiTheme="minorEastAsia" w:cstheme="minorEastAsia"/>
                <w:sz w:val="21"/>
                <w:szCs w:val="21"/>
              </w:rPr>
              <w:t xml:space="preserve">（3）</w:t>
            </w:r>
            <w:r>
              <w:rPr>
                <w:rFonts w:hint="eastAsia" w:asciiTheme="minorEastAsia" w:hAnsiTheme="minorEastAsia" w:cstheme="minorEastAsia"/>
                <w:sz w:val="21"/>
                <w:szCs w:val="21"/>
              </w:rPr>
              <w:t xml:space="preserve">项目组成员配备民用无人机操作人员（需持有CAAC执照、AOPA合格证或ALPA合格证）得1分</w:t>
            </w:r>
            <w:r>
              <w:rPr>
                <w:rFonts w:hint="eastAsia" w:eastAsia="宋体" w:asciiTheme="minorEastAsia" w:hAnsiTheme="minorEastAsia" w:cstheme="minorEastAsia"/>
                <w:sz w:val="21"/>
                <w:szCs w:val="21"/>
              </w:rPr>
              <w:t xml:space="preserve">；</w:t>
            </w:r>
            <w:r>
              <w:rPr>
                <w:rFonts w:hint="eastAsia" w:asciiTheme="minorEastAsia" w:hAnsiTheme="minorEastAsia" w:cstheme="minorEastAsia"/>
                <w:sz w:val="21"/>
                <w:szCs w:val="21"/>
              </w:rPr>
              <w:t xml:space="preserve">获得过省级及以上测绘地理信息行业技能竞赛技术能手的得1分，本项最高得2分。</w:t>
            </w:r>
            <w:r>
              <w:rPr>
                <w:rFonts w:asciiTheme="minorEastAsia" w:hAnsiTheme="minorEastAsia" w:cstheme="minorEastAsia"/>
                <w:sz w:val="21"/>
                <w:szCs w:val="21"/>
              </w:rPr>
              <w:t xml:space="preserve"> </w:t>
            </w:r>
            <w:r/>
          </w:p>
          <w:p>
            <w:pPr>
              <w:spacing w:line="400" w:lineRule="exact"/>
              <w:rPr>
                <w:rFonts w:ascii="Times New Roman" w:cs="Times New Roman"/>
                <w:b/>
                <w:bCs/>
                <w:color w:val="000000"/>
                <w:szCs w:val="21"/>
              </w:rPr>
            </w:pPr>
            <w:r>
              <w:rPr>
                <w:rFonts w:hint="eastAsia" w:ascii="Times New Roman" w:cs="Times New Roman"/>
                <w:b/>
                <w:bCs/>
                <w:color w:val="000000"/>
                <w:szCs w:val="21"/>
              </w:rPr>
              <w:t xml:space="preserve">评审依据：提供</w:t>
            </w:r>
            <w:r>
              <w:rPr>
                <w:rFonts w:hint="eastAsia" w:ascii="Times New Roman" w:eastAsia="宋体" w:cs="Times New Roman"/>
                <w:b/>
                <w:bCs/>
                <w:color w:val="000000"/>
                <w:szCs w:val="21"/>
              </w:rPr>
              <w:t xml:space="preserve">相关证书彩色</w:t>
            </w:r>
            <w:r>
              <w:rPr>
                <w:rFonts w:hint="eastAsia" w:ascii="Times New Roman" w:cs="Times New Roman"/>
                <w:b/>
                <w:bCs/>
                <w:color w:val="000000"/>
                <w:szCs w:val="21"/>
              </w:rPr>
              <w:t xml:space="preserve">扫描件上传至电子投标文件中。</w:t>
            </w:r>
            <w:r/>
          </w:p>
          <w:p>
            <w:pPr>
              <w:pStyle w:val="865"/>
              <w:ind w:left="0" w:right="0" w:firstLine="0"/>
              <w:spacing w:after="0" w:line="360" w:lineRule="exact"/>
            </w:pPr>
            <w:r>
              <w:rPr>
                <w:rFonts w:hint="eastAsia" w:hAnsi="Calibri" w:eastAsia="宋体"/>
                <w:b/>
                <w:bCs/>
                <w:color w:val="000000"/>
                <w:sz w:val="21"/>
                <w:szCs w:val="21"/>
              </w:rPr>
              <w:t xml:space="preserve">注：</w:t>
            </w:r>
            <w:r>
              <w:rPr>
                <w:rFonts w:eastAsia="宋体" w:cs="Times New Roman"/>
                <w:b/>
                <w:bCs/>
                <w:color w:val="000000"/>
                <w:sz w:val="21"/>
                <w:szCs w:val="21"/>
              </w:rPr>
              <w:t xml:space="preserve">投</w:t>
            </w:r>
            <w:r>
              <w:rPr>
                <w:rFonts w:eastAsia="宋体" w:cs="Times New Roman"/>
                <w:b/>
                <w:bCs/>
                <w:sz w:val="21"/>
                <w:szCs w:val="21"/>
              </w:rPr>
              <w:t xml:space="preserve">标人</w:t>
            </w:r>
            <w:r>
              <w:rPr>
                <w:rFonts w:hint="eastAsia" w:eastAsia="宋体" w:cs="Times New Roman"/>
                <w:b/>
                <w:bCs/>
                <w:sz w:val="21"/>
                <w:szCs w:val="21"/>
              </w:rPr>
              <w:t xml:space="preserve">为项目组所有成员（含项目负责人、技术负责人）缴纳的投标截止时间前3个月（不含投标截止时间的当月）中</w:t>
            </w:r>
            <w:r>
              <w:rPr>
                <w:rFonts w:hint="eastAsia" w:ascii="宋体" w:hAnsi="宋体" w:eastAsia="宋体" w:cs="宋体"/>
                <w:b/>
                <w:bCs/>
                <w:sz w:val="24"/>
                <w:szCs w:val="24"/>
              </w:rPr>
              <w:t xml:space="preserve">任意</w:t>
            </w:r>
            <w:r>
              <w:rPr>
                <w:rFonts w:hint="eastAsia" w:eastAsia="宋体" w:cs="Times New Roman"/>
                <w:b/>
                <w:bCs/>
                <w:sz w:val="21"/>
                <w:szCs w:val="21"/>
              </w:rPr>
              <w:t xml:space="preserve">1个月份的社保缴费查询证明扫描件并加盖</w:t>
            </w:r>
            <w:r>
              <w:rPr>
                <w:rFonts w:eastAsia="宋体" w:cs="Times New Roman"/>
                <w:b/>
                <w:bCs/>
                <w:sz w:val="21"/>
                <w:szCs w:val="21"/>
              </w:rPr>
              <w:t xml:space="preserve">投标人</w:t>
            </w:r>
            <w:r>
              <w:rPr>
                <w:rFonts w:hint="eastAsia" w:eastAsia="宋体" w:cs="Times New Roman"/>
                <w:b/>
                <w:bCs/>
                <w:sz w:val="21"/>
                <w:szCs w:val="21"/>
              </w:rPr>
              <w:t xml:space="preserve">公章</w:t>
            </w:r>
            <w:r>
              <w:rPr>
                <w:rFonts w:eastAsia="宋体" w:cs="Times New Roman"/>
                <w:b/>
                <w:bCs/>
                <w:sz w:val="21"/>
                <w:szCs w:val="21"/>
              </w:rPr>
              <w:t xml:space="preserve">，否则不计分</w:t>
            </w:r>
            <w:r>
              <w:rPr>
                <w:rFonts w:hint="eastAsia" w:hAnsi="Calibri" w:eastAsia="宋体"/>
                <w:b/>
                <w:bCs/>
                <w:color w:val="000000"/>
                <w:sz w:val="21"/>
                <w:szCs w:val="21"/>
              </w:rPr>
              <w:t xml:space="preserve">。</w:t>
            </w:r>
            <w:r>
              <w:rPr>
                <w:rFonts w:hint="eastAsia" w:eastAsia="宋体" w:cs="Times New Roman"/>
                <w:b/>
                <w:bCs/>
                <w:sz w:val="21"/>
                <w:szCs w:val="21"/>
              </w:rPr>
              <w:t xml:space="preserve">已退休仍在执业有效期内应提供退休证明及返聘合同。若政府有关部门不下发纸质证书的，需要提供官方网站截图并加盖投标人公章。原件彩色扫描件上传至投标文件中，否则不得分。</w:t>
            </w:r>
            <w:r/>
          </w:p>
        </w:tc>
      </w:tr>
      <w:tr>
        <w:trPr>
          <w:jc w:val="center"/>
          <w:trHeight w:val="624"/>
        </w:trPr>
        <w:tc>
          <w:tcPr>
            <w:tcW w:w="168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综合实力   （13分）</w:t>
            </w:r>
            <w:r/>
          </w:p>
        </w:tc>
        <w:tc>
          <w:tcPr>
            <w:tcW w:w="6644"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1.投标人具有质量管理体系认证、职业健康安全管理体系认证、环境管理体系认证、信息安全管理体系认证的，每提供一个得1分，最高得4分。</w:t>
            </w:r>
            <w:r/>
          </w:p>
          <w:p>
            <w:pPr>
              <w:jc w:val="left"/>
              <w:spacing w:line="276" w:lineRule="auto"/>
              <w:rPr>
                <w:rFonts w:ascii="Times New Roman" w:cs="Times New Roman"/>
                <w:b/>
                <w:bCs/>
                <w:color w:val="000000"/>
                <w:szCs w:val="21"/>
              </w:rPr>
            </w:pPr>
            <w:r>
              <w:rPr>
                <w:rFonts w:hint="eastAsia" w:ascii="Times New Roman" w:cs="Times New Roman"/>
                <w:b/>
                <w:bCs/>
                <w:color w:val="000000"/>
                <w:szCs w:val="21"/>
              </w:rPr>
              <w:t xml:space="preserve">评审依据：提供相关证书原件彩色扫描件上传至电子投标文件中，否则不得分。</w:t>
            </w:r>
            <w:r/>
          </w:p>
          <w:p>
            <w:pPr>
              <w:spacing w:line="320" w:lineRule="exact"/>
              <w:rPr>
                <w:rFonts w:ascii="宋体" w:hAnsi="宋体" w:eastAsia="宋体" w:cs="宋体"/>
                <w:sz w:val="24"/>
                <w:szCs w:val="24"/>
              </w:rPr>
            </w:pPr>
            <w:r>
              <w:rPr>
                <w:rFonts w:hint="eastAsia" w:ascii="宋体" w:hAnsi="宋体" w:eastAsia="宋体" w:cs="宋体"/>
                <w:sz w:val="24"/>
                <w:szCs w:val="24"/>
              </w:rPr>
              <w:t xml:space="preserve">2.投标人具有与本项目相关的（农田水利系统类、信息系统类、大数据类等）计算机软件著作权登记证书的，有一个得1分，最高得3分。</w:t>
            </w:r>
            <w:r/>
          </w:p>
          <w:p>
            <w:pPr>
              <w:jc w:val="left"/>
              <w:spacing w:line="276" w:lineRule="auto"/>
              <w:rPr>
                <w:rFonts w:ascii="宋体" w:hAnsi="宋体" w:eastAsia="宋体" w:cs="宋体"/>
                <w:b/>
                <w:bCs/>
                <w:sz w:val="24"/>
                <w:szCs w:val="24"/>
              </w:rPr>
            </w:pPr>
            <w:r>
              <w:rPr>
                <w:rFonts w:hint="eastAsia" w:ascii="Times New Roman" w:cs="Times New Roman"/>
                <w:b/>
                <w:bCs/>
                <w:color w:val="000000"/>
                <w:szCs w:val="21"/>
              </w:rPr>
              <w:t xml:space="preserve">评审依据：提供相关证书原件彩色扫描件上传至电子投标文件中，否则不得分。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自2021年1月1日以来（以获奖证书上的时间为准）所承接高标准农田项目获得过省级及以上奖项的，每有一项得1分，最多得3分；自2021年1月1日以来获得过测绘、地理信息等相关行业省级及以上奖项，每有一项得1分，最多得3分；本项最多得6分。</w:t>
            </w:r>
            <w:r/>
          </w:p>
          <w:p>
            <w:pPr>
              <w:jc w:val="left"/>
              <w:spacing w:line="276" w:lineRule="auto"/>
            </w:pPr>
            <w:r>
              <w:rPr>
                <w:rFonts w:hint="eastAsia" w:ascii="Times New Roman" w:cs="Times New Roman"/>
                <w:b/>
                <w:bCs/>
                <w:color w:val="000000"/>
                <w:szCs w:val="21"/>
              </w:rPr>
              <w:t xml:space="preserve">评审依据：提供获奖证书原件彩色扫描件上传至电子投标文件中，否则不得分。</w:t>
            </w:r>
            <w:r/>
          </w:p>
        </w:tc>
      </w:tr>
      <w:tr>
        <w:trPr>
          <w:jc w:val="center"/>
          <w:trHeight w:val="624"/>
        </w:trPr>
        <w:tc>
          <w:tcPr>
            <w:tcW w:w="168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类似业绩</w:t>
            </w:r>
            <w:r/>
          </w:p>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（10分）</w:t>
            </w:r>
            <w:r/>
          </w:p>
        </w:tc>
        <w:tc>
          <w:tcPr>
            <w:tcW w:w="6644"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供应商自2021年1月1日以来（以合同签订时间为准），承担过高标准农田的勘察设计、方案编制、调查、上图入库业绩的，有一项得2分，最高得10分。</w:t>
            </w:r>
            <w:r/>
          </w:p>
          <w:p>
            <w:pPr>
              <w:jc w:val="left"/>
              <w:spacing w:line="276" w:lineRule="auto"/>
              <w:rPr>
                <w:rFonts w:ascii="宋体" w:hAnsi="宋体" w:eastAsia="宋体" w:cs="宋体"/>
                <w:sz w:val="24"/>
                <w:szCs w:val="24"/>
              </w:rPr>
            </w:pPr>
            <w:r>
              <w:rPr>
                <w:rFonts w:hint="eastAsia" w:ascii="Times New Roman" w:cs="Times New Roman"/>
                <w:b/>
                <w:bCs/>
                <w:color w:val="000000"/>
                <w:szCs w:val="21"/>
              </w:rPr>
              <w:t xml:space="preserve">评审依据：提供中标通知书及合同原件彩色扫描件上传至电子投标文件中，合同的标的名称、内容、签订时间等信息必须清晰，否则不得分。</w:t>
            </w:r>
            <w:r/>
          </w:p>
        </w:tc>
      </w:tr>
    </w:tbl>
    <w:p>
      <w:pPr>
        <w:rPr>
          <w:rFonts w:eastAsia="宋体"/>
          <w:sz w:val="24"/>
          <w:szCs w:val="24"/>
        </w:rPr>
      </w:pPr>
      <w:r>
        <w:rPr>
          <w:rFonts w:hint="eastAsia" w:eastAsia="宋体"/>
          <w:sz w:val="24"/>
          <w:szCs w:val="24"/>
        </w:rPr>
        <w:br w:type="page" w:clear="all"/>
      </w:r>
      <w:r/>
    </w:p>
    <w:p>
      <w:pPr>
        <w:jc w:val="left"/>
        <w:widowControl/>
        <w:rPr>
          <w:rFonts w:eastAsia="宋体"/>
          <w:sz w:val="24"/>
          <w:szCs w:val="24"/>
        </w:rPr>
      </w:pPr>
      <w:r>
        <w:rPr>
          <w:rFonts w:hint="eastAsia" w:eastAsia="宋体"/>
          <w:sz w:val="24"/>
          <w:szCs w:val="24"/>
        </w:rPr>
        <w:t xml:space="preserve">附件1</w:t>
      </w:r>
      <w:r/>
    </w:p>
    <w:tbl>
      <w:tblPr>
        <w:tblStyle w:val="655"/>
        <w:tblW w:w="8728" w:type="dxa"/>
        <w:tblInd w:w="93" w:type="dxa"/>
        <w:tblLayout w:type="fixed"/>
        <w:tblCellMar>
          <w:left w:w="108" w:type="dxa"/>
          <w:top w:w="0" w:type="dxa"/>
          <w:right w:w="108" w:type="dxa"/>
          <w:bottom w:w="0" w:type="dxa"/>
        </w:tblCellMar>
        <w:tblLook w:val="04A0" w:firstRow="1" w:lastRow="0" w:firstColumn="1" w:lastColumn="0" w:noHBand="0" w:noVBand="1"/>
      </w:tblPr>
      <w:tblGrid>
        <w:gridCol w:w="496"/>
        <w:gridCol w:w="925"/>
        <w:gridCol w:w="3482"/>
        <w:gridCol w:w="666"/>
        <w:gridCol w:w="552"/>
        <w:gridCol w:w="607"/>
        <w:gridCol w:w="550"/>
        <w:gridCol w:w="930"/>
        <w:gridCol w:w="520"/>
      </w:tblGrid>
      <w:tr>
        <w:trPr>
          <w:trHeight w:val="450"/>
        </w:trPr>
        <w:tc>
          <w:tcPr>
            <w:gridSpan w:val="8"/>
            <w:shd w:val="clear" w:color="auto" w:fill="auto"/>
            <w:tcBorders>
              <w:top w:val="single" w:color="000000" w:sz="4" w:space="0"/>
              <w:left w:val="single" w:color="000000" w:sz="4" w:space="0"/>
              <w:bottom w:val="single" w:color="000000" w:sz="4" w:space="0"/>
              <w:right w:val="none" w:color="000000" w:sz="4" w:space="0"/>
            </w:tcBorders>
            <w:tcW w:w="8208"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灌云县高标准农田项目调查摸底上图入库项目最高总限价及分限价表</w:t>
            </w:r>
            <w:r/>
          </w:p>
        </w:tc>
        <w:tc>
          <w:tcPr>
            <w:shd w:val="clear" w:color="auto" w:fill="auto"/>
            <w:tcBorders>
              <w:top w:val="none" w:color="000000" w:sz="4" w:space="0"/>
              <w:left w:val="none" w:color="000000" w:sz="4" w:space="0"/>
              <w:bottom w:val="none" w:color="000000" w:sz="4" w:space="0"/>
              <w:right w:val="non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vMerge w:val="restart"/>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restart"/>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工作类别</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vMerge w:val="restart"/>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工作内容</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0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最高限价详细表</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vMerge w:val="continue"/>
            <w:textDirection w:val="lrTb"/>
            <w:noWrap w:val="false"/>
          </w:tcPr>
          <w:p>
            <w:pPr>
              <w:jc w:val="center"/>
              <w:rPr>
                <w:rFonts w:ascii="宋体" w:hAnsi="宋体" w:eastAsia="宋体" w:cs="宋体"/>
                <w:b/>
                <w:bCs/>
                <w:color w:val="000000"/>
                <w:sz w:val="18"/>
                <w:szCs w:val="18"/>
              </w:rPr>
            </w:pPr>
            <w:r>
              <w:rPr>
                <w:rFonts w:ascii="宋体" w:hAnsi="宋体" w:eastAsia="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vMerge w:val="continue"/>
            <w:textDirection w:val="lrTb"/>
            <w:noWrap w:val="false"/>
          </w:tcPr>
          <w:p>
            <w:pPr>
              <w:jc w:val="center"/>
              <w:rPr>
                <w:rFonts w:ascii="宋体" w:hAnsi="宋体" w:eastAsia="宋体" w:cs="宋体"/>
                <w:b/>
                <w:bCs/>
                <w:color w:val="000000"/>
                <w:sz w:val="18"/>
                <w:szCs w:val="18"/>
              </w:rPr>
            </w:pPr>
            <w:r>
              <w:rPr>
                <w:rFonts w:ascii="宋体" w:hAnsi="宋体" w:eastAsia="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vMerge w:val="continue"/>
            <w:textDirection w:val="lrTb"/>
            <w:noWrap w:val="false"/>
          </w:tcPr>
          <w:p>
            <w:pPr>
              <w:jc w:val="center"/>
              <w:rPr>
                <w:rFonts w:ascii="宋体" w:hAnsi="宋体" w:eastAsia="宋体" w:cs="宋体"/>
                <w:b/>
                <w:bCs/>
                <w:color w:val="000000"/>
                <w:sz w:val="18"/>
                <w:szCs w:val="18"/>
              </w:rPr>
            </w:pPr>
            <w:r>
              <w:rPr>
                <w:rFonts w:ascii="宋体" w:hAnsi="宋体" w:eastAsia="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分</w:t>
            </w:r>
            <w:r>
              <w:rPr>
                <w:rFonts w:hint="eastAsia" w:ascii="宋体" w:hAnsi="宋体" w:eastAsia="宋体" w:cs="宋体"/>
                <w:b/>
                <w:bCs/>
                <w:color w:val="000000"/>
                <w:sz w:val="18"/>
                <w:szCs w:val="18"/>
                <w:lang w:bidi="ar"/>
              </w:rPr>
              <w:t xml:space="preserve">项</w:t>
            </w:r>
            <w:r>
              <w:rPr>
                <w:rFonts w:hint="eastAsia" w:ascii="宋体" w:hAnsi="宋体" w:eastAsia="宋体" w:cs="宋体"/>
                <w:b/>
                <w:bCs/>
                <w:color w:val="000000"/>
                <w:sz w:val="18"/>
                <w:szCs w:val="18"/>
                <w:lang w:bidi="ar"/>
              </w:rPr>
              <w:t xml:space="preserve">限价（元）</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vMerge w:val="continue"/>
            <w:textDirection w:val="lrTb"/>
            <w:noWrap w:val="false"/>
          </w:tcPr>
          <w:p>
            <w:pPr>
              <w:jc w:val="center"/>
              <w:rPr>
                <w:rFonts w:ascii="宋体" w:hAnsi="宋体" w:eastAsia="宋体" w:cs="宋体"/>
                <w:b/>
                <w:bCs/>
                <w:color w:val="000000"/>
                <w:sz w:val="18"/>
                <w:szCs w:val="18"/>
              </w:rPr>
            </w:pPr>
            <w:r>
              <w:rPr>
                <w:rFonts w:ascii="宋体" w:hAnsi="宋体" w:eastAsia="宋体" w:cs="宋体"/>
                <w:b/>
                <w:bCs/>
                <w:color w:val="000000"/>
                <w:sz w:val="18"/>
                <w:szCs w:val="18"/>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工作准备</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102050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方案编制</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调查摸底工作（含技术）方案编制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元/份</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办公设备</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保密服务器，需配置16核CPU，32内存，1TB（固态硬盘）及以上配置，供招标人租用12年，租金费。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元/台</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会议费用</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本次项目召开3次会议：县级项目培训1次，项目启动及进度协调会2次，每次人数不少于35人，天数不少2天。</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元/人天</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人天</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22050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高标准农田调查摸底上图入库工作底图制作</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127500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资料收集与处理</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对收集的资料整理需进行综合分析与初步整理，将整理分析的资料矢量化，期限1个月。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位置面积复查与校核</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初步修订与划定项目基本信息与范围边界、项目补录等。共16个行政区划，约120个项目，全县耕地面积约125.98万亩耕地，期限0.5个月。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工作底图数据核对修正</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核对省级处理后的“二下”数据。共16个行政区划，约120个项目，全县耕地面积约125.98万亩耕地，期限0.5个月。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37500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工程实施清查评估与上图</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4080000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95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工程信息内业处理</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有竣工图的高标田内业工程上图；无竣工图的高标田内业工程上图；高标田其他关联工程内业工程上图。共16个行政区划（350个行政村），约120个项目，约300个已建高标准农田行政村，全县耕地面积约125.98万亩，期限1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工程信息外业处理</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外业调查评估内容包括各类田间工程和其他关联工作，具体涉及灌溉与排水设施、田间道路、农田防护与生态环境防护、智能科技装备、农业生产、服务设施5大类。共16个行政区划（350个行政村），约120个项目，约300个已建高标准农田行政村，全县耕地面积约125.98万亩，期限4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3780000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利用情况调查与产能评估</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945000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内外业结合</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结合工程信息，以项目地块为调查单元，重点采集建成高标准农田范围内耕地地块“种植情况”和“粮食综合单产信息”。共16个行政区划（350个行政村），约120个项目，约300个已建高标准农田行政村，期限1.5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945000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经营模式（流转情况）调查</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450000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280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内外业结合</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利用最新承包地流转调查登记和村级承包地流转备案资料，结合工程信息、种植信息、产能信息采集，以建成高标准农田范围内耕地地块为调查单元，进行种植经营模式调查，包括流转信息、经营主体信息调查。共16个行政区划（350个行政村），约120个项目，约300个已建高标准农田行政村，期限1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450000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耕地内未建高标准农田地块调查</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270000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外业</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未建区域，以耕地地块为调查单元，根据有关分规程要求和调查摸底工具预设调查项，完成相关立地条件信息采集。约50个未建高标准农田行政村，期限0.5个月。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270000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数据质检、汇交</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485450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005"/>
        </w:trPr>
        <w:tc>
          <w:tcPr>
            <w:shd w:val="clear" w:color="auto" w:fill="ffffff"/>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调查信息自检</w:t>
            </w:r>
            <w:r/>
          </w:p>
        </w:tc>
        <w:tc>
          <w:tcPr>
            <w:shd w:val="clear" w:color="auto" w:fill="ffffff"/>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利用调查摸底工具，对内业预处理和实地调查数据的完整性、规范性、真实性和准确性进行内业自检审核，期限0.5个月。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23450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rPr>
                <w:rFonts w:ascii="宋体" w:hAnsi="宋体" w:eastAsia="宋体" w:cs="宋体"/>
                <w:color w:val="000000"/>
                <w:sz w:val="18"/>
                <w:szCs w:val="18"/>
              </w:rPr>
            </w:r>
            <w:r>
              <w:rPr>
                <w:rFonts w:ascii="宋体" w:hAnsi="宋体" w:eastAsia="宋体" w:cs="宋体"/>
                <w:color w:val="000000"/>
                <w:sz w:val="18"/>
                <w:szCs w:val="18"/>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质量检查</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技术服务单位质检部门全流程质量监督。期限6个月。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432000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成果数据汇总</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对高标准农田调查摸底上图入库工作的成果数据进行检查，保证数据完整性、空间数学基础与数据格式正确性、标准符合性、空间拓扑、图数一致性等方面的质量。汇总上报调查摸底数据成果，期限0.5个月。</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成果编制与验收评审</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140000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工作成果报告</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Style w:val="866"/>
                <w:rFonts w:hint="default"/>
                <w:sz w:val="18"/>
                <w:szCs w:val="18"/>
                <w:lang w:bidi="ar"/>
              </w:rPr>
              <w:t xml:space="preserve">编制县级高标准农田调查摸底工作</w:t>
            </w:r>
            <w:r>
              <w:rPr>
                <w:rStyle w:val="867"/>
                <w:rFonts w:hint="default"/>
                <w:sz w:val="18"/>
                <w:szCs w:val="18"/>
                <w:lang w:bidi="ar"/>
              </w:rPr>
              <w:t xml:space="preserve">报告、技术报告、质量控制报告。</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元/项</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项目验收</w:t>
            </w:r>
            <w:r/>
          </w:p>
        </w:tc>
        <w:tc>
          <w:tcPr>
            <w:shd w:val="clear" w:color="auto" w:fill="auto"/>
            <w:tcBorders>
              <w:top w:val="single" w:color="000000" w:sz="4" w:space="0"/>
              <w:left w:val="single" w:color="000000" w:sz="4" w:space="0"/>
              <w:bottom w:val="single" w:color="000000" w:sz="4" w:space="0"/>
              <w:right w:val="single" w:color="000000" w:sz="4" w:space="0"/>
            </w:tcBorders>
            <w:tcW w:w="348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组织项目验收会议及资料打印装订费用。</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元/项</w:t>
            </w:r>
            <w:r/>
          </w:p>
        </w:tc>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lang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435"/>
        </w:trPr>
        <w:tc>
          <w:tcPr>
            <w:gridSpan w:val="3"/>
            <w:shd w:val="clear" w:color="auto" w:fill="auto"/>
            <w:tcBorders>
              <w:top w:val="single" w:color="000000" w:sz="4" w:space="0"/>
              <w:left w:val="single" w:color="000000" w:sz="4" w:space="0"/>
              <w:bottom w:val="single" w:color="000000" w:sz="4" w:space="0"/>
              <w:right w:val="single" w:color="000000" w:sz="4" w:space="0"/>
            </w:tcBorders>
            <w:tcW w:w="4903"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最高总限价（元）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05" w:type="dxa"/>
            <w:vAlign w:val="center"/>
            <w:textDirection w:val="lrTb"/>
            <w:noWrap w:val="false"/>
          </w:tcPr>
          <w:p>
            <w:pPr>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6600000.00 </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bottom"/>
            <w:textDirection w:val="lrTb"/>
            <w:noWrap/>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780"/>
        </w:trPr>
        <w:tc>
          <w:tcPr>
            <w:gridSpan w:val="9"/>
            <w:shd w:val="clear" w:color="auto" w:fill="auto"/>
            <w:tcBorders>
              <w:top w:val="none" w:color="000000" w:sz="4" w:space="0"/>
              <w:left w:val="none" w:color="000000" w:sz="4" w:space="0"/>
              <w:bottom w:val="none" w:color="000000" w:sz="4" w:space="0"/>
              <w:right w:val="none" w:color="000000" w:sz="4" w:space="0"/>
            </w:tcBorders>
            <w:tcW w:w="8728" w:type="dxa"/>
            <w:vAlign w:val="bottom"/>
            <w:textDirection w:val="lrTb"/>
            <w:noWrap w:val="false"/>
          </w:tcPr>
          <w:p>
            <w:pPr>
              <w:jc w:val="left"/>
              <w:widowControl/>
              <w:rPr>
                <w:rFonts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注：投标人按灌云县高标准农田调查摸底上图入库项目报价清单分项报价表报价，如分项报价低于该项分</w:t>
            </w:r>
            <w:r>
              <w:rPr>
                <w:rFonts w:hint="eastAsia" w:ascii="宋体" w:hAnsi="宋体" w:eastAsia="宋体" w:cs="宋体"/>
                <w:b/>
                <w:bCs/>
                <w:color w:val="000000"/>
                <w:sz w:val="18"/>
                <w:szCs w:val="18"/>
                <w:lang w:bidi="ar"/>
              </w:rPr>
              <w:t xml:space="preserve">项</w:t>
            </w:r>
            <w:r>
              <w:rPr>
                <w:rFonts w:hint="eastAsia" w:ascii="宋体" w:hAnsi="宋体" w:eastAsia="宋体" w:cs="宋体"/>
                <w:b/>
                <w:bCs/>
                <w:color w:val="000000"/>
                <w:sz w:val="18"/>
                <w:szCs w:val="18"/>
                <w:lang w:bidi="ar"/>
              </w:rPr>
              <w:t xml:space="preserve">限价70%的，应提交相关证明材料，投标人不能证明其报价合理性的，将作无效投标处理（根据《政府采购货物和服务招标投标管理办法》（财政部令第18号）第六十条规定）。</w:t>
            </w:r>
            <w:r/>
          </w:p>
        </w:tc>
      </w:tr>
    </w:tbl>
    <w:p>
      <w:pPr>
        <w:jc w:val="left"/>
        <w:widowControl/>
        <w:rPr>
          <w:sz w:val="24"/>
          <w:szCs w:val="24"/>
        </w:rPr>
      </w:pPr>
      <w:r>
        <w:rPr>
          <w:sz w:val="24"/>
          <w:szCs w:val="24"/>
        </w:rPr>
        <w:br w:type="page" w:clear="all"/>
      </w:r>
      <w:r/>
    </w:p>
    <w:p>
      <w:pPr>
        <w:pStyle w:val="645"/>
        <w:jc w:val="center"/>
        <w:spacing w:before="156" w:after="156" w:line="360" w:lineRule="auto"/>
        <w:rPr>
          <w:rFonts w:ascii="黑体" w:hAnsi="黑体" w:eastAsia="黑体"/>
          <w:b w:val="0"/>
        </w:rPr>
      </w:pPr>
      <w:r/>
      <w:bookmarkStart w:id="20" w:name="_Toc155796361"/>
      <w:r>
        <w:rPr>
          <w:rFonts w:hint="eastAsia" w:ascii="黑体" w:hAnsi="黑体" w:eastAsia="黑体"/>
          <w:b w:val="0"/>
        </w:rPr>
        <w:t xml:space="preserve">第六章  投标文件格式</w:t>
      </w:r>
      <w:bookmarkEnd w:id="2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ascii="Arial" w:hAnsi="Arial" w:eastAsia="宋体" w:cs="Arial"/>
          <w:i/>
          <w:sz w:val="36"/>
          <w:u w:val="single"/>
        </w:rPr>
      </w:r>
      <w:r/>
    </w:p>
    <w:p>
      <w:pPr>
        <w:rPr>
          <w:rFonts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二、具有良好的商业信誉和健全的财务会计制度</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招标人名称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ascii="Arial" w:hAnsi="Arial" w:eastAsia="宋体" w:cs="Arial"/>
          <w:i/>
          <w:iCs/>
          <w:sz w:val="36"/>
          <w:u w:val="single"/>
        </w:rPr>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招标人名称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致：连云港市赣榆区农业农村局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b/>
          <w:bCs/>
          <w:color w:val="000000"/>
          <w:sz w:val="24"/>
          <w:szCs w:val="24"/>
          <w:u w:val="single"/>
        </w:rPr>
        <w:t xml:space="preserve">灌云县农业农村局</w:t>
      </w:r>
      <w:r>
        <w:rPr>
          <w:rFonts w:hint="eastAsia" w:ascii="宋体" w:hAnsi="宋体" w:eastAsia="宋体" w:cs="Times New Roman"/>
          <w:color w:val="000000"/>
          <w:sz w:val="24"/>
          <w:szCs w:val="24"/>
        </w:rPr>
        <w:t xml:space="preserve">的</w:t>
      </w:r>
      <w:r>
        <w:rPr>
          <w:rFonts w:hint="eastAsia" w:ascii="宋体" w:hAnsi="宋体" w:eastAsia="宋体" w:cs="Times New Roman"/>
          <w:b/>
          <w:bCs/>
          <w:color w:val="000000"/>
          <w:sz w:val="24"/>
          <w:szCs w:val="24"/>
          <w:u w:val="single"/>
        </w:rPr>
        <w:t xml:space="preserve">灌云县高标准农田调查摸底上图入库项目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b/>
          <w:bCs/>
          <w:color w:val="000000"/>
          <w:sz w:val="24"/>
          <w:szCs w:val="24"/>
          <w:u w:val="single"/>
        </w:rPr>
        <w:t xml:space="preserve">灌云县农业农村局</w:t>
      </w:r>
      <w:r>
        <w:rPr>
          <w:rFonts w:hint="eastAsia" w:ascii="宋体" w:hAnsi="宋体" w:eastAsia="宋体" w:cs="Times New Roman"/>
          <w:color w:val="000000"/>
          <w:sz w:val="24"/>
          <w:szCs w:val="24"/>
        </w:rPr>
        <w:t xml:space="preserve">的</w:t>
      </w:r>
      <w:r>
        <w:rPr>
          <w:rFonts w:hint="eastAsia" w:ascii="宋体" w:hAnsi="宋体" w:eastAsia="宋体" w:cs="Times New Roman"/>
          <w:b/>
          <w:bCs/>
          <w:color w:val="000000"/>
          <w:sz w:val="24"/>
          <w:szCs w:val="24"/>
          <w:u w:val="single"/>
        </w:rPr>
        <w:t xml:space="preserve">灌云县高标准农田调查摸底上图入库项目</w:t>
      </w:r>
      <w:r>
        <w:rPr>
          <w:rFonts w:hint="eastAsia" w:ascii="宋体" w:hAnsi="宋体" w:eastAsia="宋体" w:cs="Times New Roman"/>
          <w:color w:val="000000"/>
          <w:sz w:val="24"/>
          <w:szCs w:val="24"/>
        </w:rPr>
        <w:t xml:space="preserve">，属于</w:t>
      </w:r>
      <w:r>
        <w:rPr>
          <w:rFonts w:hint="eastAsia"/>
          <w:b/>
          <w:bCs/>
          <w:sz w:val="24"/>
          <w:szCs w:val="24"/>
          <w:u w:val="single"/>
        </w:rPr>
        <w:t xml:space="preserve">其他未列明</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连云港市公共资源招标代理机构</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十四、开标一览表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rPr>
          <w:rFonts w:ascii="宋体" w:hAnsi="宋体" w:eastAsia="宋体" w:cs="Times New Roman"/>
          <w:bCs/>
          <w:color w:val="000000" w:themeColor="text1"/>
          <w:sz w:val="24"/>
          <w:szCs w:val="24"/>
        </w:rPr>
        <w:t xml:space="preserve">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6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rPr>
          <w:rFonts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pStyle w:val="660"/>
      </w:p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sz w:val="24"/>
          <w:szCs w:val="24"/>
        </w:rPr>
      </w:pPr>
      <w:r>
        <w:rPr>
          <w:rFonts w:hint="eastAsia" w:ascii="宋体" w:hAnsi="宋体" w:eastAsia="宋体" w:cs="方正仿宋_GBK"/>
          <w:sz w:val="24"/>
          <w:szCs w:val="24"/>
        </w:rPr>
        <w:t xml:space="preserve">项目名称：      项目编号：      分包号：</w:t>
      </w:r>
      <w:r>
        <w:rPr>
          <w:rFonts w:ascii="宋体" w:hAnsi="宋体" w:eastAsia="宋体" w:cs="Times New Roman"/>
          <w:bCs/>
          <w:sz w:val="24"/>
          <w:szCs w:val="24"/>
        </w:rPr>
        <w:t xml:space="preserve"> </w:t>
      </w:r>
      <w:r/>
    </w:p>
    <w:p>
      <w:pPr>
        <w:jc w:val="right"/>
        <w:spacing w:line="360" w:lineRule="auto"/>
        <w:rPr>
          <w:rFonts w:ascii="宋体" w:hAnsi="宋体" w:eastAsia="宋体" w:cs="Times New Roman"/>
          <w:szCs w:val="24"/>
        </w:rPr>
      </w:pPr>
      <w:r>
        <w:rPr>
          <w:rFonts w:hint="eastAsia" w:ascii="宋体" w:hAnsi="宋体" w:eastAsia="宋体" w:cs="Times New Roman"/>
          <w:szCs w:val="24"/>
        </w:rPr>
        <w:t xml:space="preserve">单位：元</w:t>
      </w:r>
      <w:r/>
    </w:p>
    <w:tbl>
      <w:tblPr>
        <w:tblStyle w:val="655"/>
        <w:tblW w:w="9425" w:type="dxa"/>
        <w:tblInd w:w="93" w:type="dxa"/>
        <w:tblLayout w:type="fixed"/>
        <w:tblCellMar>
          <w:left w:w="108" w:type="dxa"/>
          <w:top w:w="0" w:type="dxa"/>
          <w:right w:w="108" w:type="dxa"/>
          <w:bottom w:w="0" w:type="dxa"/>
        </w:tblCellMar>
        <w:tblLook w:val="04A0" w:firstRow="1" w:lastRow="0" w:firstColumn="1" w:lastColumn="0" w:noHBand="0" w:noVBand="1"/>
      </w:tblPr>
      <w:tblGrid>
        <w:gridCol w:w="454"/>
        <w:gridCol w:w="952"/>
        <w:gridCol w:w="4077"/>
        <w:gridCol w:w="813"/>
        <w:gridCol w:w="471"/>
        <w:gridCol w:w="590"/>
        <w:gridCol w:w="450"/>
        <w:gridCol w:w="846"/>
        <w:gridCol w:w="772"/>
      </w:tblGrid>
      <w:tr>
        <w:trPr>
          <w:trHeight w:val="450"/>
        </w:trPr>
        <w:tc>
          <w:tcPr>
            <w:gridSpan w:val="8"/>
            <w:shd w:val="clear" w:color="auto" w:fill="auto"/>
            <w:tcBorders>
              <w:top w:val="single" w:color="000000" w:sz="4" w:space="0"/>
              <w:left w:val="single" w:color="000000" w:sz="4" w:space="0"/>
              <w:bottom w:val="single" w:color="000000" w:sz="4" w:space="0"/>
              <w:right w:val="none" w:color="000000" w:sz="4" w:space="0"/>
            </w:tcBorders>
            <w:tcW w:w="8653"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灌云县高标准农田项目调查摸底上图入库项目分项报价表</w:t>
            </w:r>
            <w:r/>
          </w:p>
        </w:tc>
        <w:tc>
          <w:tcPr>
            <w:shd w:val="clear" w:color="auto" w:fill="auto"/>
            <w:tcBorders>
              <w:top w:val="none" w:color="000000" w:sz="4" w:space="0"/>
              <w:left w:val="none" w:color="000000" w:sz="4" w:space="0"/>
              <w:bottom w:val="none" w:color="000000" w:sz="4" w:space="0"/>
              <w:right w:val="non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vMerge w:val="restart"/>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工作类别</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vMerge w:val="restart"/>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工作内容</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最高限价详细表</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备注</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vMerge w:val="continue"/>
            <w:textDirection w:val="lrTb"/>
            <w:noWrap w:val="false"/>
          </w:tcPr>
          <w:p>
            <w:pPr>
              <w:jc w:val="center"/>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vMerge w:val="continue"/>
            <w:textDirection w:val="lrTb"/>
            <w:noWrap w:val="false"/>
          </w:tcPr>
          <w:p>
            <w:pPr>
              <w:jc w:val="center"/>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分项报价汇总（元）</w:t>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center"/>
              <w:rPr>
                <w:rFonts w:ascii="宋体" w:hAnsi="宋体" w:eastAsia="宋体" w:cs="宋体"/>
                <w:b/>
                <w:bCs/>
                <w:color w:val="000000"/>
                <w:sz w:val="15"/>
                <w:szCs w:val="15"/>
              </w:rPr>
            </w:pPr>
            <w:r>
              <w:rPr>
                <w:rFonts w:ascii="宋体" w:hAnsi="宋体" w:eastAsia="宋体" w:cs="宋体"/>
                <w:b/>
                <w:bCs/>
                <w:color w:val="000000"/>
                <w:sz w:val="15"/>
                <w:szCs w:val="15"/>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工作准备</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方案编制</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调查摸底工作（含技术）方案编制</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元/份</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办公设备</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保密服务器，需配置16核CPU，32内存，1TB（固态硬盘）及以上配置，供招标人租用12年，租金费。</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元/台</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会议费用</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本次项目召开3次会议：县级项目培训1次，项目启动及进度协调会2次，每次人数不少于35人，天数不少2天。</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元/人天</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人天</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高标准农田调查摸底上图入库工作底图制作</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资料收集与处理</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对收集的资料整理需进行综合分析与初步整理，将整理分析的资料矢量化。</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位置面积复查与校核</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初步修订与划定项目基本信息与范围边界、项目补录等。共16个行政区划，约120个项目，全县耕地面积约125.98万亩耕地，期限0.5个月。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工作底图数据核对修正</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核对省级处理后的“二下”数据。共16个行政区划，约120个项目，全县耕地面积约125.98万亩耕地，期限0.5个月。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工程实施清查评估与上图</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95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工程信息内业处理</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有竣工图的高标田内业工程上图；无竣工图的高标田内业工程上图；高标田其他关联工程内业工程上图。共16个行政区划（350个行政村），约120个项目，约300个已建高标准农田行政村，全县耕地面积约125.98万亩，期限1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279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工程信息外业处理</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业调查评估内容包括各类田间工程和其他关联工作，具体涉及灌溉与排水设施、田间道路、农田防护与生态环境防护、智能科技装备、农业生产、服务设施5大类。共16个行政区划（350个行政村），约120个项目，约300个已建高标准农田行政村，全县耕地面积约125.98万亩，期限4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利用情况调查与产能评估</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785"/>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内外业结合</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结合工程信息，以项目地块为调查单元，重点采集建成高标准农田范围内耕地地块“种植情况”和“粮食综合单产信息”。共16个行政区划（350个行政村），约120个项目，约300个已建高标准农田行政村，期限1.5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经营模式（流转情况）调查</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2805"/>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内外业结合</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利用最新承包地流转调查登记和村级承包地流转备案资料，结合工程信息、种植信息、产能信息采集，以建成高标准农田范围内耕地地块为调查单元，进行种植经营模式调查，包括流转信息、经营主体信息调查。共16个行政区划（350个行政村），约120个项目，约300个已建高标准农田行政村，期限1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耕地内未建高标准农田地块调查</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外业</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未建区域，以耕地地块为调查单元，根据有关分规程要求和调查摸底工具预设调查项，完成相关立地条件信息采集。约50个未建高标准农田行政村，期限0.5个月。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数据质检、汇交</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005"/>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调查信息自检</w:t>
            </w:r>
            <w:r/>
          </w:p>
        </w:tc>
        <w:tc>
          <w:tcPr>
            <w:shd w:val="clear" w:color="auto" w:fill="ffffff"/>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利用调查摸底工具，对内业预处理和实地调查数据的完整性、规范性、真实性和准确性进行内业自检审核，期限0.5个月。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质量检查</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技术服务单位质检部门全流程质量监督。期限6个月。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成果数据汇总</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对高标准农田调查摸底上图入库工作的成果数据进行检查，保证数据完整性、空间数学基础与数据格式正确性、标准符合性、空间拓扑、图数一致性等方面的质量。汇总上报调查摸底数据成果，期限0.5个月。</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成果编制与验收评审</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工作成果报告</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编制县级高标准农田调查摸底工作报告、技术报告、质量控制报告。</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元/项</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项目验收</w:t>
            </w:r>
            <w:r/>
          </w:p>
        </w:tc>
        <w:tc>
          <w:tcPr>
            <w:shd w:val="clear" w:color="auto" w:fill="auto"/>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组织项目验收会议及资料打印装订费用。</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元/项</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ascii="宋体" w:hAnsi="宋体" w:eastAsia="宋体" w:cs="宋体"/>
                <w:color w:val="000000"/>
                <w:sz w:val="15"/>
                <w:szCs w:val="15"/>
              </w:rPr>
            </w:pPr>
            <w:r>
              <w:rPr>
                <w:rFonts w:hint="eastAsia" w:ascii="宋体" w:hAnsi="宋体" w:eastAsia="宋体" w:cs="宋体"/>
                <w:color w:val="000000"/>
                <w:sz w:val="15"/>
                <w:szCs w:val="15"/>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ascii="宋体" w:hAnsi="宋体" w:eastAsia="宋体" w:cs="宋体"/>
                <w:color w:val="000000"/>
                <w:sz w:val="15"/>
                <w:szCs w:val="15"/>
              </w:rPr>
            </w:pPr>
            <w:r>
              <w:rPr>
                <w:rFonts w:ascii="宋体" w:hAnsi="宋体" w:eastAsia="宋体" w:cs="宋体"/>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435"/>
        </w:trPr>
        <w:tc>
          <w:tcPr>
            <w:gridSpan w:val="3"/>
            <w:shd w:val="clear" w:color="auto" w:fill="auto"/>
            <w:tcBorders>
              <w:top w:val="single" w:color="000000" w:sz="4" w:space="0"/>
              <w:left w:val="single" w:color="000000" w:sz="4" w:space="0"/>
              <w:bottom w:val="single" w:color="000000" w:sz="4" w:space="0"/>
              <w:right w:val="single" w:color="000000" w:sz="4" w:space="0"/>
            </w:tcBorders>
            <w:tcW w:w="5483" w:type="dxa"/>
            <w:vAlign w:val="center"/>
            <w:textDirection w:val="lrTb"/>
            <w:noWrap w:val="false"/>
          </w:tcPr>
          <w:p>
            <w:pPr>
              <w:jc w:val="center"/>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投标总价（元）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170" w:type="dxa"/>
            <w:vAlign w:val="center"/>
            <w:textDirection w:val="lrTb"/>
            <w:noWrap w:val="false"/>
          </w:tcPr>
          <w:p>
            <w:pPr>
              <w:jc w:val="center"/>
              <w:rPr>
                <w:rFonts w:ascii="宋体" w:hAnsi="宋体" w:eastAsia="宋体" w:cs="宋体"/>
                <w:b/>
                <w:bCs/>
                <w:color w:val="000000"/>
                <w:sz w:val="15"/>
                <w:szCs w:val="15"/>
              </w:rPr>
            </w:pPr>
            <w:r>
              <w:rPr>
                <w:rFonts w:ascii="宋体" w:hAnsi="宋体" w:eastAsia="宋体" w:cs="宋体"/>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772" w:type="dxa"/>
            <w:vAlign w:val="bottom"/>
            <w:textDirection w:val="lrTb"/>
            <w:noWrap/>
          </w:tcPr>
          <w:p>
            <w:pPr>
              <w:rPr>
                <w:rFonts w:ascii="宋体" w:hAnsi="宋体" w:eastAsia="宋体" w:cs="宋体"/>
                <w:color w:val="000000"/>
                <w:sz w:val="15"/>
                <w:szCs w:val="15"/>
              </w:rPr>
            </w:pPr>
            <w:r>
              <w:rPr>
                <w:rFonts w:ascii="宋体" w:hAnsi="宋体" w:eastAsia="宋体" w:cs="宋体"/>
                <w:color w:val="000000"/>
                <w:sz w:val="15"/>
                <w:szCs w:val="15"/>
              </w:rPr>
            </w:r>
            <w:r/>
          </w:p>
        </w:tc>
      </w:tr>
      <w:tr>
        <w:trPr>
          <w:trHeight w:val="780"/>
        </w:trPr>
        <w:tc>
          <w:tcPr>
            <w:gridSpan w:val="9"/>
            <w:shd w:val="clear" w:color="auto" w:fill="auto"/>
            <w:tcBorders>
              <w:top w:val="none" w:color="000000" w:sz="4" w:space="0"/>
              <w:left w:val="none" w:color="000000" w:sz="4" w:space="0"/>
              <w:bottom w:val="none" w:color="000000" w:sz="4" w:space="0"/>
              <w:right w:val="none" w:color="000000" w:sz="4" w:space="0"/>
            </w:tcBorders>
            <w:tcW w:w="9425" w:type="dxa"/>
            <w:vAlign w:val="bottom"/>
            <w:textDirection w:val="lrTb"/>
            <w:noWrap w:val="false"/>
          </w:tcPr>
          <w:p>
            <w:pPr>
              <w:jc w:val="left"/>
              <w:widowControl/>
              <w:rPr>
                <w:rFonts w:ascii="宋体" w:hAnsi="宋体" w:eastAsia="宋体" w:cs="宋体"/>
                <w:b/>
                <w:bCs/>
                <w:color w:val="000000"/>
                <w:sz w:val="15"/>
                <w:szCs w:val="15"/>
              </w:rPr>
            </w:pPr>
            <w:r>
              <w:rPr>
                <w:rFonts w:hint="eastAsia" w:ascii="宋体" w:hAnsi="宋体" w:eastAsia="宋体" w:cs="宋体"/>
                <w:b/>
                <w:bCs/>
                <w:color w:val="000000"/>
                <w:sz w:val="15"/>
                <w:szCs w:val="15"/>
                <w:lang w:bidi="ar"/>
              </w:rPr>
              <w:t xml:space="preserve">注：投标人按灌云县高标准农田调查摸底上图入库项目报价清单分项报价表报价，如分项报价低于该项分限价70%的，应提交相关证明材料，投标人不能证明其报价合理性的，将作无效投标处理（根据《政府采购货物和服务招标投标管理办法》（财政部令第18号）第六十条规定）。</w:t>
            </w:r>
            <w:r/>
          </w:p>
        </w:tc>
      </w:tr>
    </w:tbl>
    <w:p>
      <w:pPr>
        <w:jc w:val="left"/>
        <w:spacing w:line="360" w:lineRule="auto"/>
        <w:rPr>
          <w:rFonts w:ascii="宋体" w:hAnsi="宋体" w:eastAsia="宋体" w:cs="Times New Roman"/>
          <w:color w:val="ff0000"/>
          <w:szCs w:val="24"/>
        </w:rPr>
      </w:pPr>
      <w:r>
        <w:rPr>
          <w:rFonts w:ascii="宋体" w:hAnsi="宋体" w:eastAsia="宋体" w:cs="Times New Roman"/>
          <w:color w:val="ff0000"/>
          <w:szCs w:val="24"/>
        </w:rPr>
      </w:r>
      <w:r/>
    </w:p>
    <w:p>
      <w:pPr>
        <w:ind w:firstLine="420"/>
        <w:spacing w:line="360" w:lineRule="auto"/>
        <w:rPr>
          <w:rFonts w:ascii="Times New Roman" w:hAnsi="Times New Roman" w:eastAsia="宋体" w:cs="Times New Roman"/>
          <w:color w:val="ff0000"/>
          <w:szCs w:val="24"/>
        </w:rPr>
      </w:pPr>
      <w:r>
        <w:rPr>
          <w:rFonts w:ascii="Times New Roman" w:hAnsi="Times New Roman" w:eastAsia="宋体" w:cs="Times New Roman"/>
          <w:color w:val="ff0000"/>
          <w:szCs w:val="24"/>
        </w:rPr>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投标人（盖章）：</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法定代表人</w:t>
      </w:r>
      <w:r>
        <w:rPr>
          <w:rFonts w:ascii="Times New Roman" w:hAnsi="Times New Roman" w:eastAsia="宋体" w:cs="Times New Roman"/>
          <w:szCs w:val="24"/>
        </w:rPr>
        <w:t xml:space="preserve">（单位负责人）</w:t>
      </w:r>
      <w:r>
        <w:rPr>
          <w:rFonts w:hint="eastAsia" w:ascii="Times New Roman" w:hAnsi="Times New Roman" w:eastAsia="宋体" w:cs="Times New Roman"/>
          <w:szCs w:val="24"/>
        </w:rPr>
        <w:t xml:space="preserve">或委托代理人（签字或盖章）：</w:t>
      </w:r>
      <w:r/>
    </w:p>
    <w:p>
      <w:pPr>
        <w:ind w:firstLine="420"/>
        <w:spacing w:line="360" w:lineRule="auto"/>
        <w:rPr>
          <w:rFonts w:ascii="宋体" w:hAnsi="宋体" w:eastAsia="宋体" w:cs="Times New Roman"/>
          <w:szCs w:val="24"/>
        </w:rPr>
      </w:pPr>
      <w:r>
        <w:rPr>
          <w:rFonts w:hint="eastAsia" w:ascii="Times New Roman" w:hAnsi="Times New Roman" w:eastAsia="宋体" w:cs="Times New Roman"/>
          <w:szCs w:val="24"/>
        </w:rPr>
        <w:t xml:space="preserve">日期：    年     月     日</w:t>
      </w:r>
      <w:r/>
    </w:p>
    <w:p>
      <w:pPr>
        <w:ind w:firstLine="480"/>
        <w:spacing w:line="500" w:lineRule="exact"/>
        <w:rPr>
          <w:rFonts w:ascii="宋体" w:hAnsi="宋体" w:eastAsia="宋体" w:cs="Times New Roman"/>
          <w:color w:val="ff0000"/>
          <w:sz w:val="24"/>
          <w:szCs w:val="24"/>
          <w:highlight w:val="yellow"/>
        </w:rPr>
      </w:pPr>
      <w:r>
        <w:rPr>
          <w:rFonts w:ascii="宋体" w:hAnsi="宋体" w:eastAsia="宋体" w:cs="Times New Roman"/>
          <w:color w:val="ff0000"/>
          <w:sz w:val="24"/>
          <w:szCs w:val="24"/>
          <w:highlight w:val="yellow"/>
        </w:rPr>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十六 分项投入人员表</w:t>
      </w:r>
      <w:r/>
    </w:p>
    <w:p>
      <w:pPr>
        <w:jc w:val="center"/>
        <w:rPr>
          <w:sz w:val="32"/>
          <w:szCs w:val="32"/>
        </w:rPr>
      </w:pPr>
      <w:r>
        <w:rPr>
          <w:sz w:val="32"/>
          <w:szCs w:val="32"/>
        </w:rPr>
        <w:t xml:space="preserve">投入分项工作人员表</w:t>
      </w:r>
      <w:r/>
    </w:p>
    <w:tbl>
      <w:tblPr>
        <w:tblStyle w:val="684"/>
        <w:tblW w:w="942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
        <w:gridCol w:w="1963"/>
        <w:gridCol w:w="1565"/>
        <w:gridCol w:w="771"/>
        <w:gridCol w:w="1036"/>
        <w:gridCol w:w="1009"/>
        <w:gridCol w:w="1158"/>
        <w:gridCol w:w="632"/>
        <w:gridCol w:w="847"/>
      </w:tblGrid>
      <w:tr>
        <w:trPr>
          <w:jc w:val="center"/>
          <w:trHeight w:val="156"/>
        </w:trPr>
        <w:tc>
          <w:tcPr>
            <w:tcBorders>
              <w:top w:val="single" w:color="000000" w:sz="8" w:space="0"/>
              <w:left w:val="single" w:color="000000" w:sz="8" w:space="0"/>
              <w:right w:val="single" w:color="000000" w:sz="8" w:space="0"/>
            </w:tcBorders>
            <w:tcMar>
              <w:left w:w="108" w:type="dxa"/>
              <w:top w:w="0" w:type="dxa"/>
              <w:right w:w="108" w:type="dxa"/>
              <w:bottom w:w="0" w:type="dxa"/>
            </w:tcMar>
            <w:tcW w:w="0" w:type="auto"/>
            <w:vAlign w:val="center"/>
            <w:vMerge w:val="restart"/>
            <w:textDirection w:val="lrTb"/>
            <w:noWrap w:val="false"/>
          </w:tcPr>
          <w:p>
            <w:pPr>
              <w:jc w:val="center"/>
              <w:spacing w:line="360" w:lineRule="auto"/>
              <w:widowControl/>
              <w:rPr>
                <w:rFonts w:ascii="宋体" w:hAnsi="宋体" w:eastAsia="宋体" w:cs="宋体"/>
                <w:sz w:val="13"/>
                <w:szCs w:val="13"/>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3"/>
                <w:szCs w:val="13"/>
              </w:rPr>
              <w:t xml:space="preserve">序号</w:t>
            </w:r>
            <w:r/>
          </w:p>
        </w:tc>
        <w:tc>
          <w:tcPr>
            <w:tcBorders>
              <w:top w:val="single" w:color="000000" w:sz="8" w:space="0"/>
              <w:left w:val="single" w:color="000000" w:sz="8" w:space="0"/>
              <w:right w:val="single" w:color="auto" w:sz="4" w:space="0"/>
            </w:tcBorders>
            <w:tcMar>
              <w:left w:w="108" w:type="dxa"/>
              <w:top w:w="0" w:type="dxa"/>
              <w:right w:w="108" w:type="dxa"/>
              <w:bottom w:w="0" w:type="dxa"/>
            </w:tcMar>
            <w:tcW w:w="1963" w:type="dxa"/>
            <w:vAlign w:val="center"/>
            <w:vMerge w:val="restart"/>
            <w:textDirection w:val="lrTb"/>
            <w:noWrap w:val="false"/>
          </w:tcPr>
          <w:p>
            <w:pPr>
              <w:jc w:val="center"/>
              <w:spacing w:line="360" w:lineRule="auto"/>
              <w:widowControl/>
              <w:rPr>
                <w:rFonts w:ascii="宋体" w:hAnsi="宋体" w:eastAsia="宋体" w:cs="宋体"/>
                <w:sz w:val="13"/>
                <w:szCs w:val="13"/>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3"/>
                <w:szCs w:val="13"/>
              </w:rPr>
              <w:t xml:space="preserve">分项工作内容</w:t>
            </w:r>
            <w:r/>
          </w:p>
        </w:tc>
        <w:tc>
          <w:tcPr>
            <w:gridSpan w:val="6"/>
            <w:tcBorders>
              <w:top w:val="single" w:color="000000" w:sz="8" w:space="0"/>
              <w:left w:val="single" w:color="auto" w:sz="4" w:space="0"/>
              <w:bottom w:val="single" w:color="auto" w:sz="4" w:space="0"/>
              <w:right w:val="single" w:color="000000" w:sz="8" w:space="0"/>
            </w:tcBorders>
            <w:tcW w:w="6171" w:type="dxa"/>
            <w:vAlign w:val="center"/>
            <w:textDirection w:val="lrTb"/>
            <w:noWrap w:val="false"/>
          </w:tcPr>
          <w:p>
            <w:pPr>
              <w:jc w:val="center"/>
              <w:spacing w:line="360" w:lineRule="auto"/>
              <w:rPr>
                <w:rFonts w:ascii="宋体" w:hAnsi="宋体" w:eastAsia="宋体" w:cs="宋体"/>
                <w:sz w:val="13"/>
                <w:szCs w:val="13"/>
              </w:rPr>
              <w:pBdr>
                <w:top w:val="none" w:color="000000" w:sz="0" w:space="0"/>
                <w:left w:val="none" w:color="000000" w:sz="0" w:space="0"/>
                <w:bottom w:val="none" w:color="000000" w:sz="0" w:space="0"/>
                <w:right w:val="none" w:color="000000" w:sz="0" w:space="0"/>
              </w:pBdr>
            </w:pPr>
            <w:r>
              <w:rPr>
                <w:rFonts w:ascii="宋体" w:hAnsi="宋体" w:eastAsia="宋体" w:cs="宋体"/>
                <w:sz w:val="13"/>
                <w:szCs w:val="13"/>
              </w:rPr>
              <w:t xml:space="preserve">投入人员数</w:t>
            </w:r>
            <w:r/>
          </w:p>
        </w:tc>
        <w:tc>
          <w:tcPr>
            <w:tcBorders>
              <w:top w:val="single" w:color="000000" w:sz="8" w:space="0"/>
              <w:left w:val="single" w:color="auto" w:sz="4" w:space="0"/>
              <w:bottom w:val="single" w:color="auto" w:sz="4" w:space="0"/>
              <w:right w:val="single" w:color="000000" w:sz="8" w:space="0"/>
            </w:tcBorders>
            <w:tcW w:w="847" w:type="dxa"/>
            <w:vAlign w:val="center"/>
            <w:textDirection w:val="lrTb"/>
            <w:noWrap w:val="false"/>
          </w:tcPr>
          <w:p>
            <w:pPr>
              <w:jc w:val="center"/>
              <w:spacing w:line="360" w:lineRule="auto"/>
              <w:rPr>
                <w:rFonts w:ascii="宋体" w:hAnsi="宋体" w:eastAsia="宋体" w:cs="宋体"/>
                <w:sz w:val="13"/>
                <w:szCs w:val="13"/>
              </w:rPr>
              <w:pBdr>
                <w:top w:val="none" w:color="000000" w:sz="0" w:space="0"/>
                <w:left w:val="none" w:color="000000" w:sz="0" w:space="0"/>
                <w:bottom w:val="none" w:color="000000" w:sz="0" w:space="0"/>
                <w:right w:val="none" w:color="000000" w:sz="0" w:space="0"/>
              </w:pBdr>
            </w:pPr>
            <w:r>
              <w:rPr>
                <w:rFonts w:ascii="宋体" w:hAnsi="宋体" w:eastAsia="宋体" w:cs="宋体"/>
                <w:sz w:val="13"/>
                <w:szCs w:val="13"/>
              </w:rPr>
            </w:r>
            <w:r/>
          </w:p>
        </w:tc>
      </w:tr>
      <w:tr>
        <w:trPr>
          <w:jc w:val="center"/>
          <w:trHeight w:val="90"/>
        </w:trPr>
        <w:tc>
          <w:tcPr>
            <w:tcBorders>
              <w:left w:val="single" w:color="000000" w:sz="8" w:space="0"/>
              <w:right w:val="single" w:color="000000" w:sz="8"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ascii="宋体" w:hAnsi="宋体" w:eastAsia="宋体" w:cs="宋体"/>
                <w:b/>
                <w:color w:val="000000"/>
                <w:sz w:val="13"/>
                <w:szCs w:val="13"/>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3"/>
                <w:szCs w:val="13"/>
              </w:rPr>
            </w:r>
            <w:r/>
          </w:p>
        </w:tc>
        <w:tc>
          <w:tcPr>
            <w:tcBorders>
              <w:left w:val="single" w:color="000000" w:sz="8" w:space="0"/>
              <w:right w:val="single" w:color="auto" w:sz="4" w:space="0"/>
            </w:tcBorders>
            <w:tcMar>
              <w:left w:w="108" w:type="dxa"/>
              <w:top w:w="0" w:type="dxa"/>
              <w:right w:w="108" w:type="dxa"/>
              <w:bottom w:w="0" w:type="dxa"/>
            </w:tcMar>
            <w:tcW w:w="1963" w:type="dxa"/>
            <w:vAlign w:val="center"/>
            <w:vMerge w:val="continue"/>
            <w:textDirection w:val="lrTb"/>
            <w:noWrap w:val="false"/>
          </w:tcPr>
          <w:p>
            <w:pPr>
              <w:jc w:val="center"/>
              <w:spacing w:line="360" w:lineRule="auto"/>
              <w:widowControl/>
              <w:rPr>
                <w:rFonts w:ascii="宋体" w:hAnsi="宋体" w:eastAsia="宋体" w:cs="宋体"/>
                <w:sz w:val="13"/>
                <w:szCs w:val="13"/>
              </w:rPr>
              <w:pBdr>
                <w:top w:val="none" w:color="000000" w:sz="0" w:space="0"/>
                <w:left w:val="none" w:color="000000" w:sz="0" w:space="0"/>
                <w:bottom w:val="none" w:color="000000" w:sz="0" w:space="0"/>
                <w:right w:val="none" w:color="000000" w:sz="0" w:space="0"/>
              </w:pBdr>
            </w:pPr>
            <w:r>
              <w:rPr>
                <w:rFonts w:ascii="宋体" w:hAnsi="宋体" w:eastAsia="宋体" w:cs="宋体"/>
                <w:sz w:val="13"/>
                <w:szCs w:val="13"/>
              </w:rPr>
            </w:r>
            <w:r/>
          </w:p>
        </w:tc>
        <w:tc>
          <w:tcPr>
            <w:gridSpan w:val="3"/>
            <w:tcBorders>
              <w:top w:val="single" w:color="auto" w:sz="4" w:space="0"/>
              <w:left w:val="single" w:color="auto" w:sz="4" w:space="0"/>
              <w:bottom w:val="single" w:color="auto" w:sz="4" w:space="0"/>
              <w:right w:val="single" w:color="auto" w:sz="4" w:space="0"/>
            </w:tcBorders>
            <w:tcW w:w="3372" w:type="dxa"/>
            <w:vAlign w:val="center"/>
            <w:textDirection w:val="lrTb"/>
            <w:noWrap w:val="false"/>
          </w:tcPr>
          <w:p>
            <w:pPr>
              <w:jc w:val="center"/>
              <w:spacing w:line="360" w:lineRule="auto"/>
              <w:rPr>
                <w:rFonts w:ascii="宋体" w:hAnsi="宋体" w:eastAsia="宋体" w:cs="宋体"/>
                <w:b/>
                <w:color w:val="000000"/>
                <w:sz w:val="13"/>
                <w:szCs w:val="13"/>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3"/>
                <w:szCs w:val="13"/>
              </w:rPr>
              <w:t xml:space="preserve">技术人员（个）</w:t>
            </w:r>
            <w:r/>
          </w:p>
        </w:tc>
        <w:tc>
          <w:tcPr>
            <w:gridSpan w:val="2"/>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line="360" w:lineRule="auto"/>
              <w:rPr>
                <w:rFonts w:ascii="宋体" w:hAnsi="宋体" w:eastAsia="宋体" w:cs="宋体"/>
                <w:b/>
                <w:color w:val="000000"/>
                <w:sz w:val="13"/>
                <w:szCs w:val="13"/>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3"/>
                <w:szCs w:val="13"/>
              </w:rPr>
              <w:t xml:space="preserve">工人（个）</w:t>
            </w:r>
            <w:r/>
          </w:p>
        </w:tc>
        <w:tc>
          <w:tcPr>
            <w:tcBorders>
              <w:top w:val="single" w:color="auto" w:sz="4" w:space="0"/>
              <w:left w:val="single" w:color="auto" w:sz="4" w:space="0"/>
              <w:right w:val="single" w:color="000000" w:sz="8" w:space="0"/>
            </w:tcBorders>
            <w:tcW w:w="632" w:type="dxa"/>
            <w:vAlign w:val="center"/>
            <w:vMerge w:val="restart"/>
            <w:textDirection w:val="lrTb"/>
            <w:noWrap w:val="false"/>
          </w:tcPr>
          <w:p>
            <w:pPr>
              <w:jc w:val="center"/>
              <w:spacing w:line="360" w:lineRule="auto"/>
              <w:rPr>
                <w:rFonts w:ascii="宋体" w:hAnsi="宋体" w:eastAsia="宋体" w:cs="宋体"/>
                <w:b/>
                <w:color w:val="000000"/>
                <w:sz w:val="13"/>
                <w:szCs w:val="13"/>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3"/>
                <w:szCs w:val="13"/>
              </w:rPr>
              <w:t xml:space="preserve">合计</w:t>
            </w:r>
            <w:r/>
          </w:p>
        </w:tc>
        <w:tc>
          <w:tcPr>
            <w:tcBorders>
              <w:top w:val="single" w:color="auto" w:sz="4" w:space="0"/>
              <w:left w:val="single" w:color="auto" w:sz="4" w:space="0"/>
              <w:right w:val="single" w:color="000000" w:sz="8" w:space="0"/>
            </w:tcBorders>
            <w:tcW w:w="847" w:type="dxa"/>
            <w:vAlign w:val="center"/>
            <w:vMerge w:val="restart"/>
            <w:textDirection w:val="lrTb"/>
            <w:noWrap w:val="false"/>
          </w:tcPr>
          <w:p>
            <w:pPr>
              <w:jc w:val="left"/>
              <w:spacing w:line="360" w:lineRule="auto"/>
              <w:tabs>
                <w:tab w:val="left" w:pos="368" w:leader="none"/>
              </w:tabs>
              <w:rPr>
                <w:rFonts w:ascii="宋体" w:hAnsi="宋体" w:eastAsia="宋体" w:cs="宋体"/>
                <w:b/>
                <w:color w:val="000000"/>
                <w:sz w:val="13"/>
                <w:szCs w:val="13"/>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3"/>
                <w:szCs w:val="13"/>
              </w:rPr>
              <w:tab/>
            </w:r>
            <w:r>
              <w:rPr>
                <w:rFonts w:hint="eastAsia" w:ascii="宋体" w:hAnsi="宋体" w:eastAsia="宋体" w:cs="宋体"/>
                <w:b/>
                <w:color w:val="000000"/>
                <w:sz w:val="13"/>
                <w:szCs w:val="13"/>
              </w:rPr>
              <w:t xml:space="preserve">备注</w:t>
            </w:r>
            <w:r/>
          </w:p>
        </w:tc>
      </w:tr>
      <w:tr>
        <w:trPr>
          <w:jc w:val="center"/>
          <w:trHeight w:val="374"/>
        </w:trPr>
        <w:tc>
          <w:tcPr>
            <w:tcBorders>
              <w:left w:val="single" w:color="000000" w:sz="8" w:space="0"/>
              <w:bottom w:val="single" w:color="000000" w:sz="8" w:space="0"/>
              <w:right w:val="single" w:color="000000" w:sz="8" w:space="0"/>
            </w:tcBorders>
            <w:tcMar>
              <w:left w:w="108" w:type="dxa"/>
              <w:top w:w="0" w:type="dxa"/>
              <w:right w:w="108" w:type="dxa"/>
              <w:bottom w:w="0" w:type="dxa"/>
            </w:tcMar>
            <w:tcW w:w="0" w:type="auto"/>
            <w:vAlign w:val="center"/>
            <w:vMerge w:val="continue"/>
            <w:textDirection w:val="lrTb"/>
            <w:noWrap w:val="false"/>
          </w:tcPr>
          <w:p>
            <w:pPr>
              <w:jc w:val="center"/>
              <w:spacing w:line="360" w:lineRule="auto"/>
              <w:widowControl/>
              <w:rPr>
                <w:rFonts w:ascii="宋体" w:hAnsi="宋体" w:eastAsia="宋体" w:cs="宋体"/>
                <w:b/>
                <w:color w:val="000000"/>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5"/>
                <w:szCs w:val="15"/>
              </w:rPr>
            </w:r>
            <w:r/>
          </w:p>
        </w:tc>
        <w:tc>
          <w:tcPr>
            <w:tcBorders>
              <w:left w:val="single" w:color="000000" w:sz="8" w:space="0"/>
              <w:bottom w:val="single" w:color="000000" w:sz="8" w:space="0"/>
              <w:right w:val="single" w:color="auto" w:sz="4" w:space="0"/>
            </w:tcBorders>
            <w:tcMar>
              <w:left w:w="108" w:type="dxa"/>
              <w:top w:w="0" w:type="dxa"/>
              <w:right w:w="108" w:type="dxa"/>
              <w:bottom w:w="0" w:type="dxa"/>
            </w:tcMar>
            <w:tcW w:w="1963" w:type="dxa"/>
            <w:vAlign w:val="center"/>
            <w:vMerge w:val="continue"/>
            <w:textDirection w:val="lrTb"/>
            <w:noWrap w:val="false"/>
          </w:tcPr>
          <w:p>
            <w:pPr>
              <w:jc w:val="cente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single" w:color="auto" w:sz="4" w:space="0"/>
              <w:left w:val="single" w:color="auto" w:sz="4" w:space="0"/>
              <w:bottom w:val="single" w:color="000000" w:sz="8" w:space="0"/>
              <w:right w:val="single" w:color="auto" w:sz="4" w:space="0"/>
            </w:tcBorders>
            <w:tcW w:w="1565" w:type="dxa"/>
            <w:vAlign w:val="center"/>
            <w:textDirection w:val="lrTb"/>
            <w:noWrap w:val="false"/>
          </w:tcPr>
          <w:p>
            <w:pPr>
              <w:jc w:val="center"/>
              <w:spacing w:line="360" w:lineRule="auto"/>
              <w:rPr>
                <w:rFonts w:ascii="宋体" w:hAnsi="宋体" w:eastAsia="宋体" w:cs="宋体"/>
                <w:b/>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5"/>
                <w:szCs w:val="15"/>
              </w:rPr>
              <w:t xml:space="preserve">高级工程师及以上</w:t>
            </w:r>
            <w:r/>
          </w:p>
        </w:tc>
        <w:tc>
          <w:tcPr>
            <w:tcBorders>
              <w:top w:val="single" w:color="auto" w:sz="4" w:space="0"/>
              <w:left w:val="single" w:color="auto" w:sz="4" w:space="0"/>
              <w:bottom w:val="single" w:color="000000" w:sz="8" w:space="0"/>
              <w:right w:val="single" w:color="auto" w:sz="4" w:space="0"/>
            </w:tcBorders>
            <w:tcW w:w="771" w:type="dxa"/>
            <w:vAlign w:val="center"/>
            <w:textDirection w:val="lrTb"/>
            <w:noWrap w:val="false"/>
          </w:tcPr>
          <w:p>
            <w:pPr>
              <w:jc w:val="center"/>
              <w:spacing w:line="360" w:lineRule="auto"/>
              <w:rPr>
                <w:rFonts w:ascii="宋体" w:hAnsi="宋体" w:eastAsia="宋体" w:cs="宋体"/>
                <w:b/>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5"/>
                <w:szCs w:val="15"/>
              </w:rPr>
              <w:t xml:space="preserve">工程师</w:t>
            </w:r>
            <w:r/>
          </w:p>
        </w:tc>
        <w:tc>
          <w:tcPr>
            <w:tcBorders>
              <w:top w:val="single" w:color="auto" w:sz="4" w:space="0"/>
              <w:left w:val="single" w:color="auto" w:sz="4" w:space="0"/>
              <w:bottom w:val="single" w:color="000000" w:sz="8" w:space="0"/>
              <w:right w:val="single" w:color="auto" w:sz="4" w:space="0"/>
            </w:tcBorders>
            <w:tcW w:w="1036" w:type="dxa"/>
            <w:vAlign w:val="center"/>
            <w:textDirection w:val="lrTb"/>
            <w:noWrap w:val="false"/>
          </w:tcPr>
          <w:p>
            <w:pPr>
              <w:jc w:val="center"/>
              <w:spacing w:line="360" w:lineRule="auto"/>
              <w:rPr>
                <w:rFonts w:ascii="宋体" w:hAnsi="宋体" w:eastAsia="宋体" w:cs="宋体"/>
                <w:b/>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5"/>
                <w:szCs w:val="15"/>
              </w:rPr>
              <w:t xml:space="preserve">助工及以下</w:t>
            </w:r>
            <w:r/>
          </w:p>
        </w:tc>
        <w:tc>
          <w:tcPr>
            <w:tcBorders>
              <w:top w:val="single" w:color="auto"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rPr>
                <w:rFonts w:ascii="宋体" w:hAnsi="宋体" w:eastAsia="宋体" w:cs="宋体"/>
                <w:b/>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5"/>
                <w:szCs w:val="15"/>
              </w:rPr>
              <w:t xml:space="preserve">技师及以上</w:t>
            </w:r>
            <w:r/>
          </w:p>
        </w:tc>
        <w:tc>
          <w:tcPr>
            <w:tcBorders>
              <w:top w:val="single" w:color="auto"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rPr>
                <w:rFonts w:ascii="宋体" w:hAnsi="宋体" w:eastAsia="宋体" w:cs="宋体"/>
                <w:b/>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15"/>
                <w:szCs w:val="15"/>
              </w:rPr>
              <w:t xml:space="preserve">高级工及以下</w:t>
            </w:r>
            <w:r/>
          </w:p>
        </w:tc>
        <w:tc>
          <w:tcPr>
            <w:tcBorders>
              <w:left w:val="single" w:color="auto" w:sz="4" w:space="0"/>
              <w:bottom w:val="single" w:color="000000" w:sz="8" w:space="0"/>
              <w:right w:val="single" w:color="000000" w:sz="8" w:space="0"/>
            </w:tcBorders>
            <w:tcW w:w="632" w:type="dxa"/>
            <w:vAlign w:val="center"/>
            <w:vMerge w:val="continue"/>
            <w:textDirection w:val="lrTb"/>
            <w:noWrap w:val="false"/>
          </w:tcPr>
          <w:p>
            <w:pPr>
              <w:jc w:val="center"/>
              <w:spacing w:line="360" w:lineRule="auto"/>
              <w:rPr>
                <w:rFonts w:ascii="宋体" w:hAnsi="宋体" w:eastAsia="宋体" w:cs="宋体"/>
                <w:b/>
                <w:color w:val="000000"/>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5"/>
                <w:szCs w:val="15"/>
              </w:rPr>
            </w:r>
            <w:r/>
          </w:p>
        </w:tc>
        <w:tc>
          <w:tcPr>
            <w:tcBorders>
              <w:left w:val="single" w:color="auto" w:sz="4" w:space="0"/>
              <w:bottom w:val="single" w:color="000000" w:sz="8" w:space="0"/>
              <w:right w:val="single" w:color="000000" w:sz="8" w:space="0"/>
            </w:tcBorders>
            <w:tcW w:w="847" w:type="dxa"/>
            <w:vAlign w:val="center"/>
            <w:vMerge w:val="continue"/>
            <w:textDirection w:val="lrTb"/>
            <w:noWrap w:val="false"/>
          </w:tcPr>
          <w:p>
            <w:pPr>
              <w:jc w:val="center"/>
              <w:spacing w:line="360" w:lineRule="auto"/>
              <w:rPr>
                <w:rFonts w:ascii="宋体" w:hAnsi="宋体" w:eastAsia="宋体" w:cs="宋体"/>
                <w:b/>
                <w:color w:val="000000"/>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5"/>
                <w:szCs w:val="15"/>
              </w:rPr>
            </w:r>
            <w:r/>
          </w:p>
        </w:tc>
      </w:tr>
      <w:tr>
        <w:trPr>
          <w:jc w:val="cente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方案编制</w:t>
            </w:r>
            <w:r/>
          </w:p>
        </w:tc>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single" w:color="000000" w:sz="8"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single" w:color="000000" w:sz="8"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single" w:color="000000" w:sz="8"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single" w:color="000000" w:sz="8"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single" w:color="000000" w:sz="8"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single" w:color="000000" w:sz="8"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培训与宣传</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调查工具配置</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5"/>
                <w:szCs w:val="15"/>
              </w:rPr>
              <w:t xml:space="preserve">/</w:t>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5"/>
                <w:szCs w:val="15"/>
              </w:rPr>
              <w:t xml:space="preserve">/</w:t>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5"/>
                <w:szCs w:val="15"/>
              </w:rPr>
              <w:t xml:space="preserve">/</w:t>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5"/>
                <w:szCs w:val="15"/>
              </w:rPr>
              <w:t xml:space="preserve">/</w:t>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5"/>
                <w:szCs w:val="15"/>
              </w:rPr>
              <w:t xml:space="preserve">/</w:t>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sz w:val="15"/>
                <w:szCs w:val="15"/>
              </w:rPr>
              <w:t xml:space="preserve">/</w:t>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数据资料收集整理</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位置面积复核与校核比对</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工程设施采集上图</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产量信息采集</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种植经营模式调查</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已建区域现状情况采集</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耕地范围内未建高标准农田区调查</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调查信息自检汇总</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数据成果汇总</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3" w:type="dxa"/>
            <w:vAlign w:val="center"/>
            <w:textDirection w:val="lrTb"/>
            <w:noWrap w:val="false"/>
          </w:tcPr>
          <w:p>
            <w:pPr>
              <w:spacing w:line="360" w:lineRule="auto"/>
              <w:widowControl/>
              <w:rPr>
                <w:rFonts w:ascii="宋体" w:hAnsi="宋体" w:eastAsia="宋体" w:cs="宋体"/>
                <w:color w:val="000000"/>
                <w:sz w:val="15"/>
                <w:szCs w:val="15"/>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5"/>
                <w:szCs w:val="15"/>
              </w:rPr>
              <w:t xml:space="preserve">成果编制</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1565"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771"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36"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009"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auto" w:sz="4" w:space="0"/>
            </w:tcBorders>
            <w:tcW w:w="1158"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632"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c>
          <w:tcPr>
            <w:tcBorders>
              <w:top w:val="none" w:color="000000" w:sz="4" w:space="0"/>
              <w:left w:val="single" w:color="auto" w:sz="4" w:space="0"/>
              <w:bottom w:val="single" w:color="000000" w:sz="8" w:space="0"/>
              <w:right w:val="single" w:color="000000" w:sz="8" w:space="0"/>
            </w:tcBorders>
            <w:tcW w:w="847" w:type="dxa"/>
            <w:vAlign w:val="center"/>
            <w:textDirection w:val="lrTb"/>
            <w:noWrap w:val="false"/>
          </w:tcPr>
          <w:p>
            <w:pPr>
              <w:spacing w:line="360" w:lineRule="auto"/>
              <w:widowControl/>
              <w:rPr>
                <w:rFonts w:ascii="宋体" w:hAnsi="宋体" w:eastAsia="宋体" w:cs="宋体"/>
                <w:sz w:val="15"/>
                <w:szCs w:val="15"/>
              </w:rPr>
              <w:pBdr>
                <w:top w:val="none" w:color="000000" w:sz="0" w:space="0"/>
                <w:left w:val="none" w:color="000000" w:sz="0" w:space="0"/>
                <w:bottom w:val="none" w:color="000000" w:sz="0" w:space="0"/>
                <w:right w:val="none" w:color="000000" w:sz="0" w:space="0"/>
              </w:pBdr>
            </w:pPr>
            <w:r>
              <w:rPr>
                <w:rFonts w:ascii="宋体" w:hAnsi="宋体" w:eastAsia="宋体" w:cs="宋体"/>
                <w:sz w:val="15"/>
                <w:szCs w:val="15"/>
              </w:rPr>
            </w:r>
            <w:r/>
          </w:p>
        </w:tc>
      </w:tr>
    </w:tbl>
    <w:p>
      <w:pPr>
        <w:ind w:firstLine="21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21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投标人（盖章）：</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法定代表人</w:t>
      </w:r>
      <w:r>
        <w:rPr>
          <w:rFonts w:ascii="Times New Roman" w:hAnsi="Times New Roman" w:eastAsia="宋体" w:cs="Times New Roman"/>
          <w:szCs w:val="24"/>
        </w:rPr>
        <w:t xml:space="preserve">（单位负责人）</w:t>
      </w:r>
      <w:r>
        <w:rPr>
          <w:rFonts w:hint="eastAsia" w:ascii="Times New Roman" w:hAnsi="Times New Roman" w:eastAsia="宋体" w:cs="Times New Roman"/>
          <w:szCs w:val="24"/>
        </w:rPr>
        <w:t xml:space="preserve">或委托代理人（签字或盖章）：</w:t>
      </w:r>
      <w:r/>
    </w:p>
    <w:p>
      <w:pPr>
        <w:ind w:firstLine="420"/>
        <w:spacing w:line="360" w:lineRule="auto"/>
        <w:rPr>
          <w:rFonts w:ascii="宋体" w:hAnsi="宋体" w:eastAsia="宋体" w:cs="Times New Roman"/>
          <w:szCs w:val="24"/>
        </w:rPr>
      </w:pPr>
      <w:r>
        <w:rPr>
          <w:rFonts w:hint="eastAsia" w:ascii="Times New Roman" w:hAnsi="Times New Roman" w:eastAsia="宋体" w:cs="Times New Roman"/>
          <w:szCs w:val="24"/>
        </w:rPr>
        <w:t xml:space="preserve">日期：    年     月     日</w:t>
      </w:r>
      <w:r/>
    </w:p>
    <w:p>
      <w:pPr>
        <w:rPr>
          <w:color w:val="ff0000"/>
        </w:rPr>
      </w:pPr>
      <w:r>
        <w:rPr>
          <w:color w:val="ff0000"/>
        </w:rPr>
      </w:r>
      <w:r/>
    </w:p>
    <w:p>
      <w:pPr>
        <w:rPr>
          <w:color w:val="ff0000"/>
        </w:rPr>
      </w:pPr>
      <w:r>
        <w:rPr>
          <w:color w:val="ff0000"/>
        </w:rPr>
      </w:r>
      <w:r/>
    </w:p>
    <w:p>
      <w:pPr>
        <w:pStyle w:val="660"/>
        <w:rPr>
          <w:color w:val="ff0000"/>
        </w:rPr>
      </w:pPr>
      <w:r>
        <w:rPr>
          <w:color w:val="ff0000"/>
        </w:rPr>
      </w:r>
      <w:r/>
    </w:p>
    <w:p>
      <w:pPr>
        <w:rPr>
          <w:color w:val="ff0000"/>
          <w:sz w:val="32"/>
          <w:szCs w:val="32"/>
        </w:rPr>
      </w:pPr>
      <w:r>
        <w:rPr>
          <w:rFonts w:hint="eastAsia"/>
          <w:color w:val="ff0000"/>
          <w:sz w:val="32"/>
          <w:szCs w:val="32"/>
        </w:rPr>
        <w:br w:type="page" w:clear="all"/>
      </w:r>
      <w:r/>
    </w:p>
    <w:p>
      <w:pPr>
        <w:pStyle w:val="660"/>
        <w:jc w:val="center"/>
        <w:rPr>
          <w:sz w:val="32"/>
          <w:szCs w:val="32"/>
        </w:rPr>
      </w:pPr>
      <w:r>
        <w:rPr>
          <w:rFonts w:hint="eastAsia"/>
          <w:sz w:val="32"/>
          <w:szCs w:val="32"/>
        </w:rPr>
        <w:t xml:space="preserve">投入人员工资标准表</w:t>
      </w:r>
      <w:r/>
    </w:p>
    <w:tbl>
      <w:tblPr>
        <w:tblStyle w:val="6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4"/>
        <w:gridCol w:w="1704"/>
        <w:gridCol w:w="1704"/>
        <w:gridCol w:w="1704"/>
        <w:gridCol w:w="1704"/>
      </w:tblGrid>
      <w:tr>
        <w:trPr/>
        <w:tc>
          <w:tcPr>
            <w:tcW w:w="1704" w:type="dxa"/>
            <w:vAlign w:val="center"/>
            <w:textDirection w:val="lrTb"/>
            <w:noWrap w:val="false"/>
          </w:tcPr>
          <w:p>
            <w:pPr>
              <w:pStyle w:val="660"/>
              <w:jc w:val="center"/>
            </w:pPr>
            <w:r>
              <w:rPr>
                <w:rFonts w:hint="eastAsia"/>
              </w:rPr>
              <w:t xml:space="preserve">序号</w:t>
            </w:r>
            <w:r/>
          </w:p>
        </w:tc>
        <w:tc>
          <w:tcPr>
            <w:tcW w:w="1704" w:type="dxa"/>
            <w:vAlign w:val="center"/>
            <w:textDirection w:val="lrTb"/>
            <w:noWrap w:val="false"/>
          </w:tcPr>
          <w:p>
            <w:pPr>
              <w:pStyle w:val="660"/>
              <w:jc w:val="center"/>
            </w:pPr>
            <w:r>
              <w:rPr>
                <w:rFonts w:hint="eastAsia"/>
              </w:rPr>
              <w:t xml:space="preserve">级别/职称</w:t>
            </w:r>
            <w:r/>
          </w:p>
        </w:tc>
        <w:tc>
          <w:tcPr>
            <w:tcW w:w="1704" w:type="dxa"/>
            <w:vAlign w:val="center"/>
            <w:textDirection w:val="lrTb"/>
            <w:noWrap w:val="false"/>
          </w:tcPr>
          <w:p>
            <w:pPr>
              <w:pStyle w:val="660"/>
              <w:jc w:val="center"/>
            </w:pPr>
            <w:r>
              <w:rPr>
                <w:rFonts w:hint="eastAsia"/>
              </w:rPr>
              <w:t xml:space="preserve">单位</w:t>
            </w:r>
            <w:r/>
          </w:p>
        </w:tc>
        <w:tc>
          <w:tcPr>
            <w:tcW w:w="1704" w:type="dxa"/>
            <w:vAlign w:val="center"/>
            <w:textDirection w:val="lrTb"/>
            <w:noWrap w:val="false"/>
          </w:tcPr>
          <w:p>
            <w:pPr>
              <w:pStyle w:val="660"/>
              <w:jc w:val="center"/>
            </w:pPr>
            <w:r>
              <w:rPr>
                <w:rFonts w:hint="eastAsia"/>
              </w:rPr>
              <w:t xml:space="preserve">金额</w:t>
            </w:r>
            <w:r/>
          </w:p>
        </w:tc>
        <w:tc>
          <w:tcPr>
            <w:tcW w:w="1704" w:type="dxa"/>
            <w:vAlign w:val="center"/>
            <w:textDirection w:val="lrTb"/>
            <w:noWrap w:val="false"/>
          </w:tcPr>
          <w:p>
            <w:pPr>
              <w:pStyle w:val="660"/>
              <w:jc w:val="center"/>
            </w:pPr>
            <w:r>
              <w:rPr>
                <w:rFonts w:hint="eastAsia"/>
              </w:rPr>
              <w:t xml:space="preserve">备注</w:t>
            </w:r>
            <w:r/>
          </w:p>
        </w:tc>
      </w:tr>
      <w:tr>
        <w:trPr/>
        <w:tc>
          <w:tcPr>
            <w:tcW w:w="1704" w:type="dxa"/>
            <w:vAlign w:val="center"/>
            <w:textDirection w:val="lrTb"/>
            <w:noWrap w:val="false"/>
          </w:tcPr>
          <w:p>
            <w:pPr>
              <w:pStyle w:val="660"/>
              <w:jc w:val="center"/>
            </w:pPr>
            <w:r>
              <w:rPr>
                <w:rFonts w:hint="eastAsia"/>
              </w:rPr>
              <w:t xml:space="preserve">1</w:t>
            </w:r>
            <w:r/>
          </w:p>
        </w:tc>
        <w:tc>
          <w:tcPr>
            <w:tcW w:w="1704" w:type="dxa"/>
            <w:vAlign w:val="center"/>
            <w:textDirection w:val="lrTb"/>
            <w:noWrap w:val="false"/>
          </w:tcPr>
          <w:p>
            <w:pPr>
              <w:pStyle w:val="660"/>
              <w:jc w:val="center"/>
            </w:pPr>
            <w:r>
              <w:rPr>
                <w:rFonts w:hint="eastAsia"/>
              </w:rPr>
              <w:t xml:space="preserve">高级工程师</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pPr>
            <w:r>
              <w:rPr>
                <w:rFonts w:hint="eastAsia"/>
              </w:rPr>
              <w:t xml:space="preserve">2</w:t>
            </w:r>
            <w:r/>
          </w:p>
        </w:tc>
        <w:tc>
          <w:tcPr>
            <w:tcW w:w="1704" w:type="dxa"/>
            <w:vAlign w:val="center"/>
            <w:textDirection w:val="lrTb"/>
            <w:noWrap w:val="false"/>
          </w:tcPr>
          <w:p>
            <w:pPr>
              <w:pStyle w:val="660"/>
              <w:jc w:val="center"/>
            </w:pPr>
            <w:r>
              <w:rPr>
                <w:rFonts w:hint="eastAsia"/>
              </w:rPr>
              <w:t xml:space="preserve">高级工程师</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rPr>
                <w:rFonts w:eastAsia="宋体"/>
              </w:rPr>
            </w:pPr>
            <w:r>
              <w:rPr>
                <w:rFonts w:hint="eastAsia" w:eastAsia="宋体"/>
              </w:rPr>
              <w:t xml:space="preserve">3</w:t>
            </w:r>
            <w:r/>
          </w:p>
        </w:tc>
        <w:tc>
          <w:tcPr>
            <w:tcW w:w="1704" w:type="dxa"/>
            <w:vAlign w:val="center"/>
            <w:textDirection w:val="lrTb"/>
            <w:noWrap w:val="false"/>
          </w:tcPr>
          <w:p>
            <w:pPr>
              <w:pStyle w:val="660"/>
              <w:jc w:val="center"/>
            </w:pPr>
            <w:r>
              <w:rPr>
                <w:rFonts w:hint="eastAsia"/>
              </w:rPr>
              <w:t xml:space="preserve">工程师</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rPr>
                <w:rFonts w:eastAsia="宋体"/>
              </w:rPr>
            </w:pPr>
            <w:r>
              <w:rPr>
                <w:rFonts w:hint="eastAsia" w:eastAsia="宋体"/>
              </w:rPr>
              <w:t xml:space="preserve">4</w:t>
            </w:r>
            <w:r/>
          </w:p>
        </w:tc>
        <w:tc>
          <w:tcPr>
            <w:tcW w:w="1704" w:type="dxa"/>
            <w:vAlign w:val="center"/>
            <w:textDirection w:val="lrTb"/>
            <w:noWrap w:val="false"/>
          </w:tcPr>
          <w:p>
            <w:pPr>
              <w:pStyle w:val="660"/>
              <w:jc w:val="center"/>
            </w:pPr>
            <w:r>
              <w:rPr>
                <w:rFonts w:hint="eastAsia"/>
              </w:rPr>
              <w:t xml:space="preserve">助理工程师</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rPr>
                <w:rFonts w:eastAsia="宋体"/>
              </w:rPr>
            </w:pPr>
            <w:r>
              <w:rPr>
                <w:rFonts w:hint="eastAsia" w:eastAsia="宋体"/>
              </w:rPr>
              <w:t xml:space="preserve">5</w:t>
            </w:r>
            <w:r/>
          </w:p>
        </w:tc>
        <w:tc>
          <w:tcPr>
            <w:tcW w:w="1704" w:type="dxa"/>
            <w:vAlign w:val="center"/>
            <w:textDirection w:val="lrTb"/>
            <w:noWrap w:val="false"/>
          </w:tcPr>
          <w:p>
            <w:pPr>
              <w:pStyle w:val="660"/>
              <w:jc w:val="center"/>
            </w:pPr>
            <w:r>
              <w:rPr>
                <w:rFonts w:hint="eastAsia"/>
              </w:rPr>
              <w:t xml:space="preserve">技术员</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rPr>
                <w:rFonts w:eastAsia="宋体"/>
              </w:rPr>
            </w:pPr>
            <w:r>
              <w:rPr>
                <w:rFonts w:hint="eastAsia" w:eastAsia="宋体"/>
              </w:rPr>
              <w:t xml:space="preserve">6</w:t>
            </w:r>
            <w:r/>
          </w:p>
        </w:tc>
        <w:tc>
          <w:tcPr>
            <w:tcW w:w="1704" w:type="dxa"/>
            <w:vAlign w:val="center"/>
            <w:textDirection w:val="lrTb"/>
            <w:noWrap w:val="false"/>
          </w:tcPr>
          <w:p>
            <w:pPr>
              <w:pStyle w:val="660"/>
              <w:jc w:val="center"/>
            </w:pPr>
            <w:r>
              <w:rPr>
                <w:rStyle w:val="685"/>
              </w:rPr>
              <w:t xml:space="preserve">特级技师</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rPr>
                <w:rFonts w:eastAsia="宋体"/>
              </w:rPr>
            </w:pPr>
            <w:r>
              <w:rPr>
                <w:rFonts w:hint="eastAsia" w:eastAsia="宋体"/>
              </w:rPr>
              <w:t xml:space="preserve">7</w:t>
            </w:r>
            <w:r/>
          </w:p>
        </w:tc>
        <w:tc>
          <w:tcPr>
            <w:tcW w:w="1704" w:type="dxa"/>
            <w:vAlign w:val="center"/>
            <w:textDirection w:val="lrTb"/>
            <w:noWrap w:val="false"/>
          </w:tcPr>
          <w:p>
            <w:pPr>
              <w:pStyle w:val="660"/>
              <w:jc w:val="center"/>
              <w:rPr>
                <w:rStyle w:val="685"/>
              </w:rPr>
            </w:pPr>
            <w:r>
              <w:rPr>
                <w:rStyle w:val="685"/>
              </w:rPr>
              <w:t xml:space="preserve">高级技师</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rPr>
                <w:rFonts w:eastAsia="宋体"/>
              </w:rPr>
            </w:pPr>
            <w:r>
              <w:rPr>
                <w:rFonts w:hint="eastAsia" w:eastAsia="宋体"/>
              </w:rPr>
              <w:t xml:space="preserve">8</w:t>
            </w:r>
            <w:r/>
          </w:p>
        </w:tc>
        <w:tc>
          <w:tcPr>
            <w:tcW w:w="1704" w:type="dxa"/>
            <w:vAlign w:val="center"/>
            <w:textDirection w:val="lrTb"/>
            <w:noWrap w:val="false"/>
          </w:tcPr>
          <w:p>
            <w:pPr>
              <w:pStyle w:val="660"/>
              <w:jc w:val="center"/>
              <w:rPr>
                <w:rStyle w:val="685"/>
              </w:rPr>
            </w:pPr>
            <w:r>
              <w:rPr>
                <w:rStyle w:val="685"/>
              </w:rPr>
              <w:t xml:space="preserve">技师</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rPr>
                <w:rFonts w:eastAsia="宋体"/>
              </w:rPr>
            </w:pPr>
            <w:r>
              <w:rPr>
                <w:rFonts w:hint="eastAsia" w:eastAsia="宋体"/>
              </w:rPr>
              <w:t xml:space="preserve">9</w:t>
            </w:r>
            <w:r/>
          </w:p>
        </w:tc>
        <w:tc>
          <w:tcPr>
            <w:tcW w:w="1704" w:type="dxa"/>
            <w:vAlign w:val="center"/>
            <w:textDirection w:val="lrTb"/>
            <w:noWrap w:val="false"/>
          </w:tcPr>
          <w:p>
            <w:pPr>
              <w:pStyle w:val="660"/>
              <w:jc w:val="center"/>
              <w:rPr>
                <w:rStyle w:val="685"/>
              </w:rPr>
            </w:pPr>
            <w:r>
              <w:t xml:space="preserve">‌</w:t>
            </w:r>
            <w:r>
              <w:rPr>
                <w:rStyle w:val="685"/>
              </w:rPr>
              <w:t xml:space="preserve">高级工</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rPr>
                <w:rFonts w:eastAsia="宋体"/>
              </w:rPr>
            </w:pPr>
            <w:r>
              <w:rPr>
                <w:rFonts w:hint="eastAsia" w:eastAsia="宋体"/>
              </w:rPr>
              <w:t xml:space="preserve">10</w:t>
            </w:r>
            <w:r/>
          </w:p>
        </w:tc>
        <w:tc>
          <w:tcPr>
            <w:tcW w:w="1704" w:type="dxa"/>
            <w:vAlign w:val="center"/>
            <w:textDirection w:val="lrTb"/>
            <w:noWrap w:val="false"/>
          </w:tcPr>
          <w:p>
            <w:pPr>
              <w:pStyle w:val="660"/>
              <w:jc w:val="center"/>
              <w:rPr>
                <w:rStyle w:val="685"/>
              </w:rPr>
            </w:pPr>
            <w:r>
              <w:rPr>
                <w:rStyle w:val="685"/>
              </w:rPr>
              <w:t xml:space="preserve">中级工</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r>
        <w:trPr/>
        <w:tc>
          <w:tcPr>
            <w:tcW w:w="1704" w:type="dxa"/>
            <w:vAlign w:val="center"/>
            <w:textDirection w:val="lrTb"/>
            <w:noWrap w:val="false"/>
          </w:tcPr>
          <w:p>
            <w:pPr>
              <w:pStyle w:val="660"/>
              <w:jc w:val="center"/>
              <w:rPr>
                <w:rFonts w:eastAsia="宋体"/>
              </w:rPr>
            </w:pPr>
            <w:r>
              <w:rPr>
                <w:rFonts w:hint="eastAsia" w:eastAsia="宋体"/>
              </w:rPr>
              <w:t xml:space="preserve">11</w:t>
            </w:r>
            <w:r/>
          </w:p>
        </w:tc>
        <w:tc>
          <w:tcPr>
            <w:tcW w:w="1704" w:type="dxa"/>
            <w:vAlign w:val="center"/>
            <w:textDirection w:val="lrTb"/>
            <w:noWrap w:val="false"/>
          </w:tcPr>
          <w:p>
            <w:pPr>
              <w:pStyle w:val="660"/>
              <w:jc w:val="center"/>
              <w:rPr>
                <w:rStyle w:val="685"/>
              </w:rPr>
            </w:pPr>
            <w:r>
              <w:rPr>
                <w:rStyle w:val="685"/>
              </w:rPr>
              <w:t xml:space="preserve">初级工</w:t>
            </w:r>
            <w:r/>
          </w:p>
        </w:tc>
        <w:tc>
          <w:tcPr>
            <w:tcW w:w="1704" w:type="dxa"/>
            <w:vAlign w:val="center"/>
            <w:textDirection w:val="lrTb"/>
            <w:noWrap w:val="false"/>
          </w:tcPr>
          <w:p>
            <w:pPr>
              <w:pStyle w:val="660"/>
              <w:jc w:val="center"/>
            </w:pPr>
            <w:r>
              <w:rPr>
                <w:rFonts w:hint="eastAsia"/>
              </w:rPr>
              <w:t xml:space="preserve">工日</w:t>
            </w:r>
            <w:r/>
          </w:p>
        </w:tc>
        <w:tc>
          <w:tcPr>
            <w:tcW w:w="1704" w:type="dxa"/>
            <w:vAlign w:val="center"/>
            <w:textDirection w:val="lrTb"/>
            <w:noWrap w:val="false"/>
          </w:tcPr>
          <w:p>
            <w:pPr>
              <w:pStyle w:val="660"/>
              <w:jc w:val="center"/>
            </w:pPr>
            <w:r/>
            <w:r/>
          </w:p>
        </w:tc>
        <w:tc>
          <w:tcPr>
            <w:tcW w:w="1704" w:type="dxa"/>
            <w:vAlign w:val="center"/>
            <w:textDirection w:val="lrTb"/>
            <w:noWrap w:val="false"/>
          </w:tcPr>
          <w:p>
            <w:pPr>
              <w:pStyle w:val="660"/>
              <w:jc w:val="center"/>
            </w:pPr>
            <w:r/>
            <w:r/>
          </w:p>
        </w:tc>
      </w:tr>
    </w:tbl>
    <w:p>
      <w:pPr>
        <w:pStyle w:val="660"/>
      </w:pPr>
      <w:r/>
      <w:r/>
    </w:p>
    <w:p>
      <w:pPr>
        <w:pStyle w:val="660"/>
      </w:pPr>
      <w:r/>
      <w:r/>
    </w:p>
    <w:p>
      <w:pPr>
        <w:jc w:val="right"/>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投标人（盖章）：</w:t>
      </w:r>
      <w:r/>
    </w:p>
    <w:p>
      <w:pPr>
        <w:ind w:firstLine="420"/>
        <w:jc w:val="right"/>
        <w:spacing w:line="360" w:lineRule="auto"/>
        <w:rPr>
          <w:rFonts w:ascii="Times New Roman" w:hAnsi="Times New Roman" w:eastAsia="宋体" w:cs="Times New Roman"/>
          <w:szCs w:val="24"/>
        </w:rPr>
      </w:pPr>
      <w:r>
        <w:rPr>
          <w:rFonts w:hint="eastAsia" w:ascii="Times New Roman" w:hAnsi="Times New Roman" w:eastAsia="宋体" w:cs="Times New Roman"/>
          <w:szCs w:val="24"/>
        </w:rPr>
        <w:t xml:space="preserve">法定代表人</w:t>
      </w:r>
      <w:r>
        <w:rPr>
          <w:rFonts w:ascii="Times New Roman" w:hAnsi="Times New Roman" w:eastAsia="宋体" w:cs="Times New Roman"/>
          <w:szCs w:val="24"/>
        </w:rPr>
        <w:t xml:space="preserve">（单位负责人）</w:t>
      </w:r>
      <w:r>
        <w:rPr>
          <w:rFonts w:hint="eastAsia" w:ascii="Times New Roman" w:hAnsi="Times New Roman" w:eastAsia="宋体" w:cs="Times New Roman"/>
          <w:szCs w:val="24"/>
        </w:rPr>
        <w:t xml:space="preserve">或委托代理人（签字或盖章）：</w:t>
      </w:r>
      <w:r/>
    </w:p>
    <w:p>
      <w:pPr>
        <w:ind w:firstLine="420"/>
        <w:jc w:val="right"/>
        <w:spacing w:line="360" w:lineRule="auto"/>
        <w:rPr>
          <w:rFonts w:ascii="宋体" w:hAnsi="宋体" w:eastAsia="宋体" w:cs="Times New Roman"/>
          <w:szCs w:val="24"/>
        </w:rPr>
      </w:pPr>
      <w:r>
        <w:rPr>
          <w:rFonts w:hint="eastAsia" w:ascii="Times New Roman" w:hAnsi="Times New Roman" w:eastAsia="宋体" w:cs="Times New Roman"/>
          <w:szCs w:val="24"/>
        </w:rPr>
        <w:t xml:space="preserve">日期：    年     月     日</w:t>
      </w:r>
      <w:r/>
    </w:p>
    <w:p>
      <w:pPr>
        <w:rPr>
          <w:rFonts w:ascii="Arial" w:hAnsi="Arial" w:eastAsia="宋体" w:cs="Arial"/>
          <w:i/>
          <w:iCs/>
          <w:sz w:val="36"/>
          <w:u w:val="single"/>
        </w:rPr>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十七、技术要求响应及偏离表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
          <w:iCs/>
          <w:sz w:val="36"/>
          <w:u w:val="single"/>
        </w:rPr>
      </w:pPr>
      <w:r/>
      <w:bookmarkStart w:id="21" w:name="_Hlt26955054"/>
      <w:r/>
      <w:bookmarkEnd w:id="21"/>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十八、商务要求响应及偏离表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22" w:name="_Hlt26671372"/>
            <w:r/>
            <w:bookmarkEnd w:id="22"/>
            <w:r/>
            <w:bookmarkStart w:id="23" w:name="_Hlt26671343"/>
            <w:r/>
            <w:bookmarkEnd w:id="23"/>
            <w:r/>
            <w:bookmarkStart w:id="24" w:name="_Hlt26609391"/>
            <w:r/>
            <w:bookmarkEnd w:id="24"/>
            <w:r/>
            <w:bookmarkStart w:id="25" w:name="_Hlt26782999"/>
            <w:r/>
            <w:bookmarkEnd w:id="25"/>
            <w:r/>
            <w:bookmarkStart w:id="26" w:name="_Hlt24879081"/>
            <w:r/>
            <w:bookmarkEnd w:id="26"/>
            <w:r/>
            <w:bookmarkStart w:id="27" w:name="_Hlt26955064"/>
            <w:r/>
            <w:bookmarkEnd w:id="27"/>
            <w:r/>
            <w:bookmarkStart w:id="28" w:name="_Hlt26580838"/>
            <w:r/>
            <w:bookmarkEnd w:id="28"/>
            <w:r/>
            <w:bookmarkStart w:id="29" w:name="_Hlt26955056"/>
            <w:r/>
            <w:bookmarkEnd w:id="29"/>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30" w:name="_格式2__法定代表人授权书"/>
      <w:r/>
      <w:bookmarkEnd w:id="30"/>
      <w:r/>
      <w:bookmarkStart w:id="31" w:name="_Hlt26609389"/>
      <w:r/>
      <w:bookmarkEnd w:id="31"/>
      <w:r/>
      <w:bookmarkStart w:id="32" w:name="_Hlt26671374"/>
      <w:r/>
      <w:bookmarkEnd w:id="32"/>
      <w:r/>
      <w:bookmarkStart w:id="33" w:name="_Hlt26955066"/>
      <w:r/>
      <w:bookmarkEnd w:id="33"/>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十九、类似项目业绩一览表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二十、项目团队人员一览表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ascii="Arial" w:hAnsi="Arial" w:eastAsia="宋体" w:cs="Arial"/>
          <w:i/>
          <w:sz w:val="36"/>
          <w:u w:val="single"/>
        </w:rPr>
      </w:pPr>
      <w:r>
        <w:rPr>
          <w:rFonts w:hint="eastAsia" w:ascii="Arial" w:hAnsi="Arial" w:eastAsia="宋体" w:cs="Arial"/>
          <w:i/>
          <w:sz w:val="36"/>
          <w:u w:val="single"/>
        </w:rPr>
        <w:br w:type="page" w:clear="all"/>
      </w:r>
      <w:r/>
    </w:p>
    <w:p>
      <w:pPr>
        <w:pStyle w:val="868"/>
        <w:numPr>
          <w:ilvl w:val="0"/>
          <w:numId w:val="0"/>
        </w:numPr>
        <w:rPr>
          <w:rFonts w:ascii="黑体" w:hAnsi="黑体" w:cs="黑体"/>
          <w:color w:val="000000"/>
          <w:sz w:val="24"/>
          <w:szCs w:val="24"/>
        </w:rPr>
      </w:pPr>
      <w:r>
        <w:rPr>
          <w:rFonts w:hint="eastAsia" w:ascii="Arial" w:hAnsi="Arial" w:eastAsia="宋体" w:cs="Arial"/>
          <w:iCs/>
          <w:sz w:val="36"/>
        </w:rPr>
        <w:t xml:space="preserve">二十一</w:t>
      </w:r>
      <w:r>
        <w:rPr>
          <w:rFonts w:hint="eastAsia" w:ascii="黑体" w:hAnsi="黑体" w:cs="黑体"/>
          <w:color w:val="000000"/>
          <w:sz w:val="24"/>
          <w:szCs w:val="24"/>
        </w:rPr>
        <w:t xml:space="preserve">、</w:t>
      </w:r>
      <w:r>
        <w:rPr>
          <w:rFonts w:hint="eastAsia" w:ascii="Arial" w:hAnsi="Arial" w:eastAsia="宋体" w:cs="Arial"/>
          <w:b w:val="0"/>
          <w:iCs/>
          <w:sz w:val="36"/>
          <w:szCs w:val="22"/>
        </w:rPr>
        <w:t xml:space="preserve">其他材料</w:t>
      </w:r>
      <w:r/>
    </w:p>
    <w:p>
      <w:pPr>
        <w:ind w:firstLine="720"/>
        <w:jc w:val="center"/>
        <w:rPr>
          <w:rFonts w:ascii="黑体" w:hAnsi="黑体" w:eastAsia="黑体" w:cs="宋体"/>
          <w:bCs/>
          <w:sz w:val="36"/>
          <w:szCs w:val="28"/>
        </w:rPr>
      </w:pPr>
      <w:r>
        <w:rPr>
          <w:rFonts w:hint="eastAsia" w:ascii="黑体" w:hAnsi="黑体" w:eastAsia="黑体" w:cs="宋体"/>
          <w:bCs/>
          <w:sz w:val="36"/>
          <w:szCs w:val="28"/>
        </w:rPr>
        <w:t xml:space="preserve">其它材料</w:t>
      </w:r>
      <w:r/>
    </w:p>
    <w:p>
      <w:pPr>
        <w:ind w:firstLine="480"/>
        <w:jc w:val="center"/>
        <w:spacing w:line="520" w:lineRule="exact"/>
        <w:rPr>
          <w:rFonts w:ascii="宋体" w:hAnsi="宋体"/>
          <w:color w:val="000000"/>
          <w:sz w:val="24"/>
        </w:rPr>
      </w:pPr>
      <w:r>
        <w:rPr>
          <w:rFonts w:hint="eastAsia" w:ascii="宋体" w:hAnsi="宋体"/>
          <w:color w:val="000000"/>
          <w:sz w:val="24"/>
        </w:rPr>
        <w:t xml:space="preserve">（供应商对招标文件响应有必要提供的材料或评标办法中要求提供的材料）</w:t>
      </w:r>
      <w:r/>
    </w:p>
    <w:p>
      <w:pPr>
        <w:rPr>
          <w:rFonts w:ascii="黑体" w:hAnsi="黑体" w:eastAsia="黑体" w:cs="仿宋"/>
          <w:bCs/>
          <w:color w:val="000000"/>
          <w:sz w:val="40"/>
          <w:szCs w:val="32"/>
        </w:rPr>
      </w:pPr>
      <w:r>
        <w:rPr>
          <w:rFonts w:ascii="黑体" w:hAnsi="黑体" w:eastAsia="黑体" w:cs="仿宋"/>
          <w:bCs/>
          <w:color w:val="000000"/>
          <w:sz w:val="40"/>
          <w:szCs w:val="32"/>
        </w:rPr>
      </w:r>
      <w:r/>
    </w:p>
    <w:p>
      <w:pPr>
        <w:rPr>
          <w:rFonts w:ascii="黑体" w:hAnsi="黑体" w:eastAsia="黑体" w:cs="仿宋"/>
          <w:bCs/>
          <w:color w:val="000000"/>
          <w:sz w:val="40"/>
          <w:szCs w:val="32"/>
        </w:rPr>
      </w:pPr>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招标人名称：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楷体">
    <w:panose1 w:val="02010609060101010101"/>
  </w:font>
  <w:font w:name="Symbol">
    <w:panose1 w:val="05050102010706020507"/>
  </w:font>
  <w:font w:name="Wingdings">
    <w:panose1 w:val="05000000000000000000"/>
  </w:font>
  <w:font w:name="MS Mincho">
    <w:panose1 w:val="02020603050405090304"/>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center"/>
    </w:pPr>
    <w:r/>
    <w:r/>
  </w:p>
  <w:p>
    <w:pPr>
      <w:pStyle w:val="6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69"/>
          <w:jc w:val="center"/>
        </w:pPr>
        <w:r>
          <w:fldChar w:fldCharType="begin"/>
        </w:r>
        <w:r>
          <w:instrText xml:space="preserve"> PAGE   \* MERGEFORMAT </w:instrText>
        </w:r>
        <w:r>
          <w:fldChar w:fldCharType="separate"/>
        </w:r>
        <w:r>
          <w:rPr>
            <w:lang w:val="zh-CN"/>
          </w:rPr>
          <w:t xml:space="preserve">73</w:t>
        </w:r>
        <w:r>
          <w:rPr>
            <w:lang w:val="zh-CN"/>
          </w:rPr>
          <w:fldChar w:fldCharType="end"/>
        </w:r>
        <w:r/>
      </w:p>
    </w:sdtContent>
  </w:sdt>
  <w:p>
    <w:pPr>
      <w:pStyle w:val="6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pStyle w:val="86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54"/>
    <w:link w:val="648"/>
    <w:uiPriority w:val="9"/>
    <w:rPr>
      <w:rFonts w:ascii="Arial" w:hAnsi="Arial" w:eastAsia="Arial" w:cs="Arial"/>
      <w:b/>
      <w:bCs/>
      <w:sz w:val="26"/>
      <w:szCs w:val="26"/>
    </w:rPr>
  </w:style>
  <w:style w:type="character" w:styleId="21">
    <w:name w:val="Heading 5 Char"/>
    <w:basedOn w:val="654"/>
    <w:link w:val="649"/>
    <w:uiPriority w:val="9"/>
    <w:rPr>
      <w:rFonts w:ascii="Arial" w:hAnsi="Arial" w:eastAsia="Arial" w:cs="Arial"/>
      <w:b/>
      <w:bCs/>
      <w:sz w:val="24"/>
      <w:szCs w:val="24"/>
    </w:rPr>
  </w:style>
  <w:style w:type="character" w:styleId="23">
    <w:name w:val="Heading 6 Char"/>
    <w:basedOn w:val="654"/>
    <w:link w:val="650"/>
    <w:uiPriority w:val="9"/>
    <w:rPr>
      <w:rFonts w:ascii="Arial" w:hAnsi="Arial" w:eastAsia="Arial" w:cs="Arial"/>
      <w:b/>
      <w:bCs/>
      <w:sz w:val="22"/>
      <w:szCs w:val="22"/>
    </w:rPr>
  </w:style>
  <w:style w:type="character" w:styleId="25">
    <w:name w:val="Heading 7 Char"/>
    <w:basedOn w:val="654"/>
    <w:link w:val="651"/>
    <w:uiPriority w:val="9"/>
    <w:rPr>
      <w:rFonts w:ascii="Arial" w:hAnsi="Arial" w:eastAsia="Arial" w:cs="Arial"/>
      <w:b/>
      <w:bCs/>
      <w:i/>
      <w:iCs/>
      <w:sz w:val="22"/>
      <w:szCs w:val="22"/>
    </w:rPr>
  </w:style>
  <w:style w:type="character" w:styleId="27">
    <w:name w:val="Heading 8 Char"/>
    <w:basedOn w:val="654"/>
    <w:link w:val="652"/>
    <w:uiPriority w:val="9"/>
    <w:rPr>
      <w:rFonts w:ascii="Arial" w:hAnsi="Arial" w:eastAsia="Arial" w:cs="Arial"/>
      <w:i/>
      <w:iCs/>
      <w:sz w:val="22"/>
      <w:szCs w:val="22"/>
    </w:rPr>
  </w:style>
  <w:style w:type="character" w:styleId="29">
    <w:name w:val="Heading 9 Char"/>
    <w:basedOn w:val="654"/>
    <w:link w:val="653"/>
    <w:uiPriority w:val="9"/>
    <w:rPr>
      <w:rFonts w:ascii="Arial" w:hAnsi="Arial" w:eastAsia="Arial" w:cs="Arial"/>
      <w:i/>
      <w:iCs/>
      <w:sz w:val="21"/>
      <w:szCs w:val="21"/>
    </w:rPr>
  </w:style>
  <w:style w:type="character" w:styleId="34">
    <w:name w:val="Title Char"/>
    <w:basedOn w:val="654"/>
    <w:link w:val="682"/>
    <w:uiPriority w:val="10"/>
    <w:rPr>
      <w:sz w:val="48"/>
      <w:szCs w:val="48"/>
    </w:rPr>
  </w:style>
  <w:style w:type="character" w:styleId="36">
    <w:name w:val="Subtitle Char"/>
    <w:basedOn w:val="654"/>
    <w:link w:val="675"/>
    <w:uiPriority w:val="11"/>
    <w:rPr>
      <w:sz w:val="24"/>
      <w:szCs w:val="24"/>
    </w:rPr>
  </w:style>
  <w:style w:type="character" w:styleId="38">
    <w:name w:val="Quote Char"/>
    <w:link w:val="711"/>
    <w:uiPriority w:val="29"/>
    <w:rPr>
      <w:i/>
    </w:rPr>
  </w:style>
  <w:style w:type="character" w:styleId="40">
    <w:name w:val="Intense Quote Char"/>
    <w:link w:val="713"/>
    <w:uiPriority w:val="30"/>
    <w:rPr>
      <w:i/>
    </w:rPr>
  </w:style>
  <w:style w:type="character" w:styleId="175">
    <w:name w:val="Footnote Text Char"/>
    <w:link w:val="676"/>
    <w:uiPriority w:val="99"/>
    <w:rPr>
      <w:sz w:val="18"/>
    </w:rPr>
  </w:style>
  <w:style w:type="character" w:styleId="178">
    <w:name w:val="Endnote Text Char"/>
    <w:link w:val="667"/>
    <w:uiPriority w:val="99"/>
    <w:rPr>
      <w:sz w:val="20"/>
    </w:rPr>
  </w:style>
  <w:style w:type="paragraph" w:styleId="189">
    <w:name w:val="TOC Heading"/>
    <w:uiPriority w:val="39"/>
    <w:unhideWhenUsed/>
  </w:style>
  <w:style w:type="paragraph" w:styleId="64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5">
    <w:name w:val="Heading 1"/>
    <w:basedOn w:val="644"/>
    <w:next w:val="644"/>
    <w:link w:val="848"/>
    <w:uiPriority w:val="9"/>
    <w:qFormat/>
    <w:pPr>
      <w:keepLines/>
      <w:keepNext/>
      <w:spacing w:before="340" w:after="330" w:line="578" w:lineRule="auto"/>
      <w:outlineLvl w:val="0"/>
    </w:pPr>
    <w:rPr>
      <w:b/>
      <w:bCs/>
      <w:sz w:val="44"/>
      <w:szCs w:val="44"/>
    </w:rPr>
  </w:style>
  <w:style w:type="paragraph" w:styleId="646">
    <w:name w:val="Heading 2"/>
    <w:basedOn w:val="644"/>
    <w:next w:val="644"/>
    <w:link w:val="850"/>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7">
    <w:name w:val="Heading 3"/>
    <w:basedOn w:val="644"/>
    <w:next w:val="644"/>
    <w:link w:val="851"/>
    <w:uiPriority w:val="9"/>
    <w:unhideWhenUsed/>
    <w:qFormat/>
    <w:pPr>
      <w:keepLines/>
      <w:keepNext/>
      <w:spacing w:before="260" w:after="260" w:line="416" w:lineRule="auto"/>
      <w:outlineLvl w:val="2"/>
    </w:pPr>
    <w:rPr>
      <w:b/>
      <w:bCs/>
      <w:sz w:val="32"/>
      <w:szCs w:val="32"/>
    </w:rPr>
  </w:style>
  <w:style w:type="paragraph" w:styleId="648">
    <w:name w:val="Heading 4"/>
    <w:basedOn w:val="644"/>
    <w:next w:val="644"/>
    <w:link w:val="702"/>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703"/>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704"/>
    <w:uiPriority w:val="9"/>
    <w:unhideWhenUsed/>
    <w:qFormat/>
    <w:pPr>
      <w:keepLines/>
      <w:keepNext/>
      <w:spacing w:before="320" w:after="200"/>
      <w:outlineLvl w:val="5"/>
    </w:pPr>
    <w:rPr>
      <w:rFonts w:ascii="Arial" w:hAnsi="Arial" w:eastAsia="Arial" w:cs="Arial"/>
      <w:b/>
      <w:bCs/>
      <w:sz w:val="22"/>
    </w:rPr>
  </w:style>
  <w:style w:type="paragraph" w:styleId="651">
    <w:name w:val="Heading 7"/>
    <w:basedOn w:val="644"/>
    <w:next w:val="644"/>
    <w:link w:val="705"/>
    <w:uiPriority w:val="9"/>
    <w:unhideWhenUsed/>
    <w:qFormat/>
    <w:pPr>
      <w:keepLines/>
      <w:keepNext/>
      <w:spacing w:before="320" w:after="200"/>
      <w:outlineLvl w:val="6"/>
    </w:pPr>
    <w:rPr>
      <w:rFonts w:ascii="Arial" w:hAnsi="Arial" w:eastAsia="Arial" w:cs="Arial"/>
      <w:b/>
      <w:bCs/>
      <w:i/>
      <w:iCs/>
      <w:sz w:val="22"/>
    </w:rPr>
  </w:style>
  <w:style w:type="paragraph" w:styleId="652">
    <w:name w:val="Heading 8"/>
    <w:basedOn w:val="644"/>
    <w:next w:val="644"/>
    <w:link w:val="706"/>
    <w:uiPriority w:val="9"/>
    <w:unhideWhenUsed/>
    <w:qFormat/>
    <w:pPr>
      <w:keepLines/>
      <w:keepNext/>
      <w:spacing w:before="320" w:after="200"/>
      <w:outlineLvl w:val="7"/>
    </w:pPr>
    <w:rPr>
      <w:rFonts w:ascii="Arial" w:hAnsi="Arial" w:eastAsia="Arial" w:cs="Arial"/>
      <w:i/>
      <w:iCs/>
      <w:sz w:val="22"/>
    </w:rPr>
  </w:style>
  <w:style w:type="paragraph" w:styleId="653">
    <w:name w:val="Heading 9"/>
    <w:basedOn w:val="644"/>
    <w:next w:val="644"/>
    <w:link w:val="707"/>
    <w:uiPriority w:val="9"/>
    <w:unhideWhenUsed/>
    <w:qFormat/>
    <w:pPr>
      <w:keepLines/>
      <w:keepNext/>
      <w:spacing w:before="320" w:after="200"/>
      <w:outlineLvl w:val="8"/>
    </w:pPr>
    <w:rPr>
      <w:rFonts w:ascii="Arial" w:hAnsi="Arial" w:eastAsia="Arial" w:cs="Arial"/>
      <w:i/>
      <w:iCs/>
      <w:szCs w:val="21"/>
    </w:rPr>
  </w:style>
  <w:style w:type="character" w:styleId="654" w:default="1">
    <w:name w:val="Default Paragraph Font"/>
    <w:uiPriority w:val="1"/>
    <w:semiHidden/>
    <w:unhideWhenUsed/>
    <w:qFormat/>
  </w:style>
  <w:style w:type="table" w:styleId="655" w:default="1">
    <w:name w:val="Normal Table"/>
    <w:uiPriority w:val="99"/>
    <w:semiHidden/>
    <w:unhideWhenUsed/>
    <w:tblPr>
      <w:tblCellMar>
        <w:left w:w="108" w:type="dxa"/>
        <w:top w:w="0" w:type="dxa"/>
        <w:right w:w="108" w:type="dxa"/>
        <w:bottom w:w="0" w:type="dxa"/>
      </w:tblCellMar>
    </w:tblPr>
  </w:style>
  <w:style w:type="paragraph" w:styleId="656">
    <w:name w:val="toc 7"/>
    <w:basedOn w:val="644"/>
    <w:next w:val="644"/>
    <w:uiPriority w:val="39"/>
    <w:unhideWhenUsed/>
    <w:qFormat/>
    <w:pPr>
      <w:ind w:left="1701"/>
      <w:spacing w:after="57"/>
    </w:pPr>
  </w:style>
  <w:style w:type="paragraph" w:styleId="657">
    <w:name w:val="Caption"/>
    <w:basedOn w:val="644"/>
    <w:next w:val="644"/>
    <w:uiPriority w:val="35"/>
    <w:semiHidden/>
    <w:unhideWhenUsed/>
    <w:qFormat/>
    <w:pPr>
      <w:spacing w:line="276" w:lineRule="auto"/>
    </w:pPr>
    <w:rPr>
      <w:b/>
      <w:bCs/>
      <w:color w:val="4f81bd" w:themeColor="accent1"/>
      <w:sz w:val="18"/>
      <w:szCs w:val="18"/>
    </w:rPr>
  </w:style>
  <w:style w:type="paragraph" w:styleId="658">
    <w:name w:val="Document Map"/>
    <w:basedOn w:val="644"/>
    <w:link w:val="849"/>
    <w:uiPriority w:val="99"/>
    <w:semiHidden/>
    <w:unhideWhenUsed/>
    <w:qFormat/>
    <w:rPr>
      <w:rFonts w:ascii="宋体" w:eastAsia="宋体"/>
      <w:sz w:val="18"/>
      <w:szCs w:val="18"/>
    </w:rPr>
  </w:style>
  <w:style w:type="paragraph" w:styleId="659">
    <w:name w:val="annotation text"/>
    <w:basedOn w:val="644"/>
    <w:link w:val="853"/>
    <w:uiPriority w:val="0"/>
    <w:qFormat/>
    <w:pPr>
      <w:ind w:firstLine="922"/>
      <w:jc w:val="left"/>
      <w:spacing w:line="360" w:lineRule="auto"/>
    </w:pPr>
    <w:rPr>
      <w:rFonts w:ascii="Times New Roman" w:hAnsi="Times New Roman" w:eastAsia="宋体" w:cs="Times New Roman"/>
      <w:szCs w:val="24"/>
    </w:rPr>
  </w:style>
  <w:style w:type="paragraph" w:styleId="660">
    <w:name w:val="Body Text"/>
    <w:basedOn w:val="644"/>
    <w:uiPriority w:val="99"/>
    <w:unhideWhenUsed/>
    <w:qFormat/>
    <w:pPr>
      <w:spacing w:after="120"/>
    </w:pPr>
  </w:style>
  <w:style w:type="paragraph" w:styleId="661">
    <w:name w:val="Body Text Indent"/>
    <w:uiPriority w:val="0"/>
    <w:qFormat/>
    <w:pPr>
      <w:ind w:left="420"/>
      <w:jc w:val="both"/>
      <w:spacing w:after="120"/>
      <w:widowControl w:val="off"/>
    </w:pPr>
    <w:rPr>
      <w:rFonts w:ascii="Times New Roman" w:hAnsi="Times New Roman" w:eastAsia="宋体" w:cs="Times New Roman"/>
      <w:sz w:val="22"/>
      <w:szCs w:val="22"/>
      <w:lang w:val="en-US" w:eastAsia="en-US" w:bidi="en-US"/>
    </w:rPr>
  </w:style>
  <w:style w:type="paragraph" w:styleId="662">
    <w:name w:val="toc 5"/>
    <w:basedOn w:val="644"/>
    <w:next w:val="644"/>
    <w:uiPriority w:val="39"/>
    <w:unhideWhenUsed/>
    <w:qFormat/>
    <w:pPr>
      <w:ind w:left="1134"/>
      <w:spacing w:after="57"/>
    </w:pPr>
  </w:style>
  <w:style w:type="paragraph" w:styleId="663">
    <w:name w:val="toc 3"/>
    <w:basedOn w:val="644"/>
    <w:next w:val="644"/>
    <w:uiPriority w:val="39"/>
    <w:unhideWhenUsed/>
    <w:qFormat/>
    <w:pPr>
      <w:ind w:left="567"/>
      <w:spacing w:after="57"/>
    </w:pPr>
  </w:style>
  <w:style w:type="paragraph" w:styleId="664">
    <w:name w:val="Plain Text"/>
    <w:basedOn w:val="644"/>
    <w:link w:val="857"/>
    <w:uiPriority w:val="0"/>
    <w:qFormat/>
    <w:rPr>
      <w:rFonts w:ascii="宋体" w:hAnsi="Courier New" w:eastAsia="宋体" w:cs="Times New Roman"/>
      <w:szCs w:val="20"/>
    </w:rPr>
  </w:style>
  <w:style w:type="paragraph" w:styleId="665">
    <w:name w:val="toc 8"/>
    <w:basedOn w:val="644"/>
    <w:next w:val="644"/>
    <w:uiPriority w:val="39"/>
    <w:unhideWhenUsed/>
    <w:qFormat/>
    <w:pPr>
      <w:ind w:left="1984"/>
      <w:spacing w:after="57"/>
    </w:pPr>
  </w:style>
  <w:style w:type="paragraph" w:styleId="666">
    <w:name w:val="Date"/>
    <w:basedOn w:val="644"/>
    <w:next w:val="644"/>
    <w:link w:val="852"/>
    <w:uiPriority w:val="99"/>
    <w:semiHidden/>
    <w:unhideWhenUsed/>
    <w:qFormat/>
    <w:pPr>
      <w:ind w:left="100"/>
    </w:pPr>
  </w:style>
  <w:style w:type="paragraph" w:styleId="667">
    <w:name w:val="endnote text"/>
    <w:basedOn w:val="644"/>
    <w:link w:val="844"/>
    <w:uiPriority w:val="99"/>
    <w:semiHidden/>
    <w:unhideWhenUsed/>
    <w:qFormat/>
    <w:rPr>
      <w:sz w:val="20"/>
    </w:rPr>
  </w:style>
  <w:style w:type="paragraph" w:styleId="668">
    <w:name w:val="Balloon Text"/>
    <w:basedOn w:val="644"/>
    <w:link w:val="854"/>
    <w:uiPriority w:val="99"/>
    <w:semiHidden/>
    <w:unhideWhenUsed/>
    <w:qFormat/>
    <w:rPr>
      <w:sz w:val="18"/>
      <w:szCs w:val="18"/>
    </w:rPr>
  </w:style>
  <w:style w:type="paragraph" w:styleId="669">
    <w:name w:val="Footer"/>
    <w:basedOn w:val="644"/>
    <w:link w:val="847"/>
    <w:uiPriority w:val="99"/>
    <w:unhideWhenUsed/>
    <w:qFormat/>
    <w:pPr>
      <w:jc w:val="left"/>
      <w:tabs>
        <w:tab w:val="center" w:pos="4153" w:leader="none"/>
        <w:tab w:val="right" w:pos="8306" w:leader="none"/>
      </w:tabs>
    </w:pPr>
    <w:rPr>
      <w:sz w:val="18"/>
      <w:szCs w:val="18"/>
    </w:rPr>
  </w:style>
  <w:style w:type="paragraph" w:styleId="670">
    <w:name w:val="Header"/>
    <w:basedOn w:val="644"/>
    <w:link w:val="84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1">
    <w:name w:val="toc 1"/>
    <w:basedOn w:val="644"/>
    <w:next w:val="644"/>
    <w:uiPriority w:val="39"/>
    <w:unhideWhenUsed/>
    <w:qFormat/>
  </w:style>
  <w:style w:type="paragraph" w:styleId="672">
    <w:name w:val="toc 4"/>
    <w:basedOn w:val="644"/>
    <w:next w:val="644"/>
    <w:uiPriority w:val="39"/>
    <w:unhideWhenUsed/>
    <w:qFormat/>
    <w:pPr>
      <w:ind w:left="850"/>
      <w:spacing w:after="57"/>
    </w:pPr>
  </w:style>
  <w:style w:type="paragraph" w:styleId="673">
    <w:name w:val="index heading"/>
    <w:basedOn w:val="644"/>
    <w:next w:val="674"/>
    <w:uiPriority w:val="99"/>
    <w:unhideWhenUsed/>
    <w:qFormat/>
    <w:pPr>
      <w:spacing w:line="500" w:lineRule="exact"/>
    </w:pPr>
    <w:rPr>
      <w:rFonts w:ascii="仿宋_GB2312" w:hAnsi="Calibri"/>
      <w:sz w:val="28"/>
    </w:rPr>
  </w:style>
  <w:style w:type="paragraph" w:styleId="674">
    <w:name w:val="index 1"/>
    <w:basedOn w:val="644"/>
    <w:next w:val="644"/>
    <w:uiPriority w:val="99"/>
    <w:unhideWhenUsed/>
    <w:qFormat/>
  </w:style>
  <w:style w:type="paragraph" w:styleId="675">
    <w:name w:val="Subtitle"/>
    <w:basedOn w:val="644"/>
    <w:next w:val="644"/>
    <w:link w:val="710"/>
    <w:uiPriority w:val="11"/>
    <w:qFormat/>
    <w:pPr>
      <w:spacing w:before="200" w:after="200"/>
    </w:pPr>
    <w:rPr>
      <w:sz w:val="24"/>
      <w:szCs w:val="24"/>
    </w:rPr>
  </w:style>
  <w:style w:type="paragraph" w:styleId="676">
    <w:name w:val="footnote text"/>
    <w:basedOn w:val="644"/>
    <w:link w:val="843"/>
    <w:uiPriority w:val="99"/>
    <w:semiHidden/>
    <w:unhideWhenUsed/>
    <w:qFormat/>
    <w:pPr>
      <w:spacing w:after="40"/>
    </w:pPr>
    <w:rPr>
      <w:sz w:val="18"/>
    </w:rPr>
  </w:style>
  <w:style w:type="paragraph" w:styleId="677">
    <w:name w:val="toc 6"/>
    <w:basedOn w:val="644"/>
    <w:next w:val="644"/>
    <w:uiPriority w:val="39"/>
    <w:unhideWhenUsed/>
    <w:qFormat/>
    <w:pPr>
      <w:ind w:left="1417"/>
      <w:spacing w:after="57"/>
    </w:pPr>
  </w:style>
  <w:style w:type="paragraph" w:styleId="678">
    <w:name w:val="table of figures"/>
    <w:basedOn w:val="644"/>
    <w:next w:val="644"/>
    <w:uiPriority w:val="99"/>
    <w:unhideWhenUsed/>
    <w:qFormat/>
  </w:style>
  <w:style w:type="paragraph" w:styleId="679">
    <w:name w:val="toc 2"/>
    <w:basedOn w:val="644"/>
    <w:next w:val="644"/>
    <w:uiPriority w:val="39"/>
    <w:qFormat/>
    <w:pPr>
      <w:tabs>
        <w:tab w:val="right" w:pos="9060" w:leader="dot"/>
      </w:tabs>
    </w:pPr>
    <w:rPr>
      <w:rFonts w:ascii="宋体" w:hAnsi="宋体"/>
      <w:b/>
      <w:bCs/>
    </w:rPr>
  </w:style>
  <w:style w:type="paragraph" w:styleId="680">
    <w:name w:val="toc 9"/>
    <w:basedOn w:val="644"/>
    <w:next w:val="644"/>
    <w:uiPriority w:val="39"/>
    <w:unhideWhenUsed/>
    <w:qFormat/>
    <w:pPr>
      <w:ind w:left="2268"/>
      <w:spacing w:after="57"/>
    </w:pPr>
  </w:style>
  <w:style w:type="paragraph" w:styleId="681">
    <w:name w:val="Normal (Web)"/>
    <w:basedOn w:val="644"/>
    <w:uiPriority w:val="99"/>
    <w:semiHidden/>
    <w:unhideWhenUsed/>
    <w:qFormat/>
    <w:pPr>
      <w:jc w:val="left"/>
    </w:pPr>
    <w:rPr>
      <w:rFonts w:cs="Times New Roman"/>
      <w:sz w:val="24"/>
    </w:rPr>
  </w:style>
  <w:style w:type="paragraph" w:styleId="682">
    <w:name w:val="Title"/>
    <w:basedOn w:val="644"/>
    <w:next w:val="644"/>
    <w:link w:val="709"/>
    <w:uiPriority w:val="10"/>
    <w:qFormat/>
    <w:pPr>
      <w:contextualSpacing/>
      <w:spacing w:before="300" w:after="200"/>
    </w:pPr>
    <w:rPr>
      <w:sz w:val="48"/>
      <w:szCs w:val="48"/>
    </w:rPr>
  </w:style>
  <w:style w:type="paragraph" w:styleId="683">
    <w:name w:val="Body Text First Indent 2"/>
    <w:uiPriority w:val="0"/>
    <w:qFormat/>
    <w:pPr>
      <w:ind w:left="420" w:firstLine="420"/>
      <w:jc w:val="both"/>
      <w:spacing w:after="120" w:line="380" w:lineRule="exact"/>
      <w:widowControl w:val="off"/>
    </w:pPr>
    <w:rPr>
      <w:rFonts w:ascii="Times New Roman" w:hAnsi="Times New Roman" w:eastAsia="宋体" w:cs="Times New Roman"/>
      <w:sz w:val="21"/>
      <w:szCs w:val="24"/>
      <w:lang w:val="en-US" w:eastAsia="en-US" w:bidi="en-US"/>
    </w:rPr>
  </w:style>
  <w:style w:type="table" w:styleId="684">
    <w:name w:val="Table Grid"/>
    <w:basedOn w:val="6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Strong"/>
    <w:basedOn w:val="654"/>
    <w:uiPriority w:val="22"/>
    <w:qFormat/>
    <w:rPr>
      <w:b/>
      <w:bCs/>
    </w:rPr>
  </w:style>
  <w:style w:type="character" w:styleId="686">
    <w:name w:val="endnote reference"/>
    <w:basedOn w:val="654"/>
    <w:uiPriority w:val="99"/>
    <w:semiHidden/>
    <w:unhideWhenUsed/>
    <w:qFormat/>
    <w:rPr>
      <w:vertAlign w:val="superscript"/>
    </w:rPr>
  </w:style>
  <w:style w:type="character" w:styleId="687">
    <w:name w:val="FollowedHyperlink"/>
    <w:basedOn w:val="654"/>
    <w:uiPriority w:val="99"/>
    <w:semiHidden/>
    <w:unhideWhenUsed/>
    <w:qFormat/>
    <w:rPr>
      <w:color w:val="800080"/>
      <w:u w:val="none"/>
    </w:rPr>
  </w:style>
  <w:style w:type="character" w:styleId="688">
    <w:name w:val="HTML Definition"/>
    <w:basedOn w:val="654"/>
    <w:uiPriority w:val="99"/>
    <w:semiHidden/>
    <w:unhideWhenUsed/>
    <w:qFormat/>
  </w:style>
  <w:style w:type="character" w:styleId="689">
    <w:name w:val="HTML Typewriter"/>
    <w:basedOn w:val="654"/>
    <w:uiPriority w:val="99"/>
    <w:semiHidden/>
    <w:unhideWhenUsed/>
    <w:qFormat/>
    <w:rPr>
      <w:rFonts w:ascii="monospace" w:hAnsi="monospace" w:eastAsia="monospace" w:cs="monospace"/>
      <w:sz w:val="20"/>
    </w:rPr>
  </w:style>
  <w:style w:type="character" w:styleId="690">
    <w:name w:val="HTML Acronym"/>
    <w:basedOn w:val="654"/>
    <w:uiPriority w:val="99"/>
    <w:semiHidden/>
    <w:unhideWhenUsed/>
    <w:qFormat/>
  </w:style>
  <w:style w:type="character" w:styleId="691">
    <w:name w:val="HTML Variable"/>
    <w:basedOn w:val="654"/>
    <w:uiPriority w:val="99"/>
    <w:semiHidden/>
    <w:unhideWhenUsed/>
    <w:qFormat/>
  </w:style>
  <w:style w:type="character" w:styleId="692">
    <w:name w:val="Hyperlink"/>
    <w:uiPriority w:val="99"/>
    <w:qFormat/>
    <w:rPr>
      <w:color w:val="0000ff"/>
      <w:u w:val="none"/>
    </w:rPr>
  </w:style>
  <w:style w:type="character" w:styleId="693">
    <w:name w:val="HTML Code"/>
    <w:basedOn w:val="654"/>
    <w:uiPriority w:val="99"/>
    <w:semiHidden/>
    <w:unhideWhenUsed/>
    <w:qFormat/>
    <w:rPr>
      <w:rFonts w:hint="default" w:ascii="monospace" w:hAnsi="monospace" w:eastAsia="monospace" w:cs="monospace"/>
      <w:sz w:val="20"/>
    </w:rPr>
  </w:style>
  <w:style w:type="character" w:styleId="694">
    <w:name w:val="annotation reference"/>
    <w:uiPriority w:val="0"/>
    <w:qFormat/>
    <w:rPr>
      <w:sz w:val="21"/>
      <w:szCs w:val="21"/>
    </w:rPr>
  </w:style>
  <w:style w:type="character" w:styleId="695">
    <w:name w:val="HTML Cite"/>
    <w:basedOn w:val="654"/>
    <w:uiPriority w:val="99"/>
    <w:semiHidden/>
    <w:unhideWhenUsed/>
    <w:qFormat/>
  </w:style>
  <w:style w:type="character" w:styleId="696">
    <w:name w:val="footnote reference"/>
    <w:basedOn w:val="654"/>
    <w:uiPriority w:val="99"/>
    <w:unhideWhenUsed/>
    <w:qFormat/>
    <w:rPr>
      <w:vertAlign w:val="superscript"/>
    </w:rPr>
  </w:style>
  <w:style w:type="character" w:styleId="697">
    <w:name w:val="HTML Keyboard"/>
    <w:basedOn w:val="654"/>
    <w:uiPriority w:val="99"/>
    <w:semiHidden/>
    <w:unhideWhenUsed/>
    <w:qFormat/>
    <w:rPr>
      <w:rFonts w:hint="default" w:ascii="monospace" w:hAnsi="monospace" w:eastAsia="monospace" w:cs="monospace"/>
      <w:sz w:val="20"/>
    </w:rPr>
  </w:style>
  <w:style w:type="character" w:styleId="698">
    <w:name w:val="HTML Sample"/>
    <w:basedOn w:val="654"/>
    <w:uiPriority w:val="99"/>
    <w:semiHidden/>
    <w:unhideWhenUsed/>
    <w:qFormat/>
    <w:rPr>
      <w:rFonts w:hint="default" w:ascii="monospace" w:hAnsi="monospace" w:eastAsia="monospace" w:cs="monospace"/>
    </w:rPr>
  </w:style>
  <w:style w:type="character" w:styleId="699" w:customStyle="1">
    <w:name w:val="Heading 1 Char"/>
    <w:basedOn w:val="654"/>
    <w:uiPriority w:val="9"/>
    <w:qFormat/>
    <w:rPr>
      <w:rFonts w:ascii="Arial" w:hAnsi="Arial" w:eastAsia="Arial" w:cs="Arial"/>
      <w:sz w:val="40"/>
      <w:szCs w:val="40"/>
    </w:rPr>
  </w:style>
  <w:style w:type="character" w:styleId="700" w:customStyle="1">
    <w:name w:val="Heading 2 Char"/>
    <w:basedOn w:val="654"/>
    <w:uiPriority w:val="9"/>
    <w:rPr>
      <w:rFonts w:ascii="Arial" w:hAnsi="Arial" w:eastAsia="Arial" w:cs="Arial"/>
      <w:sz w:val="34"/>
    </w:rPr>
  </w:style>
  <w:style w:type="character" w:styleId="701" w:customStyle="1">
    <w:name w:val="Heading 3 Char"/>
    <w:basedOn w:val="654"/>
    <w:uiPriority w:val="9"/>
    <w:rPr>
      <w:rFonts w:ascii="Arial" w:hAnsi="Arial" w:eastAsia="Arial" w:cs="Arial"/>
      <w:sz w:val="30"/>
      <w:szCs w:val="30"/>
    </w:rPr>
  </w:style>
  <w:style w:type="character" w:styleId="702" w:customStyle="1">
    <w:name w:val="标题 4 Char"/>
    <w:basedOn w:val="654"/>
    <w:link w:val="648"/>
    <w:uiPriority w:val="9"/>
    <w:rPr>
      <w:rFonts w:ascii="Arial" w:hAnsi="Arial" w:eastAsia="Arial" w:cs="Arial"/>
      <w:b/>
      <w:bCs/>
      <w:sz w:val="26"/>
      <w:szCs w:val="26"/>
    </w:rPr>
  </w:style>
  <w:style w:type="character" w:styleId="703" w:customStyle="1">
    <w:name w:val="标题 5 Char"/>
    <w:basedOn w:val="654"/>
    <w:link w:val="649"/>
    <w:uiPriority w:val="9"/>
    <w:qFormat/>
    <w:rPr>
      <w:rFonts w:ascii="Arial" w:hAnsi="Arial" w:eastAsia="Arial" w:cs="Arial"/>
      <w:b/>
      <w:bCs/>
      <w:sz w:val="24"/>
      <w:szCs w:val="24"/>
    </w:rPr>
  </w:style>
  <w:style w:type="character" w:styleId="704" w:customStyle="1">
    <w:name w:val="标题 6 Char"/>
    <w:basedOn w:val="654"/>
    <w:link w:val="650"/>
    <w:uiPriority w:val="9"/>
    <w:qFormat/>
    <w:rPr>
      <w:rFonts w:ascii="Arial" w:hAnsi="Arial" w:eastAsia="Arial" w:cs="Arial"/>
      <w:b/>
      <w:bCs/>
      <w:sz w:val="22"/>
      <w:szCs w:val="22"/>
    </w:rPr>
  </w:style>
  <w:style w:type="character" w:styleId="705" w:customStyle="1">
    <w:name w:val="标题 7 Char"/>
    <w:basedOn w:val="654"/>
    <w:link w:val="651"/>
    <w:uiPriority w:val="9"/>
    <w:qFormat/>
    <w:rPr>
      <w:rFonts w:ascii="Arial" w:hAnsi="Arial" w:eastAsia="Arial" w:cs="Arial"/>
      <w:b/>
      <w:bCs/>
      <w:i/>
      <w:iCs/>
      <w:sz w:val="22"/>
      <w:szCs w:val="22"/>
    </w:rPr>
  </w:style>
  <w:style w:type="character" w:styleId="706" w:customStyle="1">
    <w:name w:val="标题 8 Char"/>
    <w:basedOn w:val="654"/>
    <w:link w:val="652"/>
    <w:uiPriority w:val="9"/>
    <w:rPr>
      <w:rFonts w:ascii="Arial" w:hAnsi="Arial" w:eastAsia="Arial" w:cs="Arial"/>
      <w:i/>
      <w:iCs/>
      <w:sz w:val="22"/>
      <w:szCs w:val="22"/>
    </w:rPr>
  </w:style>
  <w:style w:type="character" w:styleId="707" w:customStyle="1">
    <w:name w:val="标题 9 Char"/>
    <w:basedOn w:val="654"/>
    <w:link w:val="653"/>
    <w:uiPriority w:val="9"/>
    <w:rPr>
      <w:rFonts w:ascii="Arial" w:hAnsi="Arial" w:eastAsia="Arial" w:cs="Arial"/>
      <w:i/>
      <w:iCs/>
      <w:sz w:val="21"/>
      <w:szCs w:val="21"/>
    </w:rPr>
  </w:style>
  <w:style w:type="paragraph" w:styleId="708">
    <w:name w:val="No Spacing"/>
    <w:uiPriority w:val="1"/>
    <w:qFormat/>
    <w:rPr>
      <w:rFonts w:ascii="Times New Roman" w:hAnsi="Times New Roman" w:eastAsia="宋体" w:cs="Times New Roman"/>
      <w:lang w:val="en-US" w:eastAsia="zh-CN" w:bidi="ar-SA"/>
    </w:rPr>
  </w:style>
  <w:style w:type="character" w:styleId="709" w:customStyle="1">
    <w:name w:val="标题 Char"/>
    <w:basedOn w:val="654"/>
    <w:link w:val="682"/>
    <w:uiPriority w:val="10"/>
    <w:rPr>
      <w:sz w:val="48"/>
      <w:szCs w:val="48"/>
    </w:rPr>
  </w:style>
  <w:style w:type="character" w:styleId="710" w:customStyle="1">
    <w:name w:val="副标题 Char"/>
    <w:basedOn w:val="654"/>
    <w:link w:val="675"/>
    <w:uiPriority w:val="11"/>
    <w:qFormat/>
    <w:rPr>
      <w:sz w:val="24"/>
      <w:szCs w:val="24"/>
    </w:rPr>
  </w:style>
  <w:style w:type="paragraph" w:styleId="711">
    <w:name w:val="Quote"/>
    <w:basedOn w:val="644"/>
    <w:next w:val="644"/>
    <w:link w:val="712"/>
    <w:uiPriority w:val="29"/>
    <w:qFormat/>
    <w:pPr>
      <w:ind w:left="720" w:right="720"/>
    </w:pPr>
    <w:rPr>
      <w:i/>
    </w:rPr>
  </w:style>
  <w:style w:type="character" w:styleId="712" w:customStyle="1">
    <w:name w:val="引用 Char"/>
    <w:link w:val="711"/>
    <w:uiPriority w:val="29"/>
    <w:qFormat/>
    <w:rPr>
      <w:i/>
    </w:rPr>
  </w:style>
  <w:style w:type="paragraph" w:styleId="713">
    <w:name w:val="Intense Quote"/>
    <w:basedOn w:val="644"/>
    <w:next w:val="644"/>
    <w:link w:val="7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明显引用 Char"/>
    <w:link w:val="713"/>
    <w:uiPriority w:val="30"/>
    <w:rPr>
      <w:i/>
    </w:rPr>
  </w:style>
  <w:style w:type="character" w:styleId="715" w:customStyle="1">
    <w:name w:val="Header Char"/>
    <w:basedOn w:val="654"/>
    <w:uiPriority w:val="99"/>
    <w:qFormat/>
  </w:style>
  <w:style w:type="character" w:styleId="716" w:customStyle="1">
    <w:name w:val="Footer Char"/>
    <w:basedOn w:val="654"/>
    <w:uiPriority w:val="99"/>
    <w:qFormat/>
  </w:style>
  <w:style w:type="character" w:styleId="717" w:customStyle="1">
    <w:name w:val="Caption Char"/>
    <w:uiPriority w:val="99"/>
    <w:qFormat/>
  </w:style>
  <w:style w:type="table" w:styleId="718" w:customStyle="1">
    <w:name w:val="Table Grid Light"/>
    <w:basedOn w:val="6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5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5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5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basedOn w:val="6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5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5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5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basedOn w:val="65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basedOn w:val="65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basedOn w:val="65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basedOn w:val="65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basedOn w:val="65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basedOn w:val="6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basedOn w:val="6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0" w:customStyle="1">
    <w:name w:val="Grid Table 6 Colorful - Accent 1"/>
    <w:basedOn w:val="65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1" w:customStyle="1">
    <w:name w:val="Grid Table 6 Colorful - Accent 2"/>
    <w:basedOn w:val="6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2" w:customStyle="1">
    <w:name w:val="Grid Table 6 Colorful - Accent 3"/>
    <w:basedOn w:val="65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3" w:customStyle="1">
    <w:name w:val="Grid Table 6 Colorful - Accent 4"/>
    <w:basedOn w:val="6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4" w:customStyle="1">
    <w:name w:val="Grid Table 6 Colorful - Accent 5"/>
    <w:basedOn w:val="65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5" w:customStyle="1">
    <w:name w:val="Grid Table 6 Colorful - Accent 6"/>
    <w:basedOn w:val="65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6" w:customStyle="1">
    <w:name w:val="Grid Table 7 Colorful"/>
    <w:basedOn w:val="6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5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5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5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5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5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5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5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5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5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5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5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5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5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basedOn w:val="6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5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basedOn w:val="65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basedOn w:val="65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basedOn w:val="65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basedOn w:val="65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basedOn w:val="65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basedOn w:val="6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5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basedOn w:val="6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5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5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5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basedOn w:val="6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5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basedOn w:val="65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basedOn w:val="65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basedOn w:val="65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basedOn w:val="65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basedOn w:val="65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basedOn w:val="6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2" w:customStyle="1">
    <w:name w:val="List Table 5 Dark - Accent 1"/>
    <w:basedOn w:val="65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3" w:customStyle="1">
    <w:name w:val="List Table 5 Dark - Accent 2"/>
    <w:basedOn w:val="65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4" w:customStyle="1">
    <w:name w:val="List Table 5 Dark - Accent 3"/>
    <w:basedOn w:val="65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5" w:customStyle="1">
    <w:name w:val="List Table 5 Dark - Accent 4"/>
    <w:basedOn w:val="65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6" w:customStyle="1">
    <w:name w:val="List Table 5 Dark - Accent 5"/>
    <w:basedOn w:val="65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7" w:customStyle="1">
    <w:name w:val="List Table 5 Dark - Accent 6"/>
    <w:basedOn w:val="65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8" w:customStyle="1">
    <w:name w:val="List Table 6 Colorful"/>
    <w:basedOn w:val="65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9" w:customStyle="1">
    <w:name w:val="List Table 6 Colorful - Accent 1"/>
    <w:basedOn w:val="65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0" w:customStyle="1">
    <w:name w:val="List Table 6 Colorful - Accent 2"/>
    <w:basedOn w:val="65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1" w:customStyle="1">
    <w:name w:val="List Table 6 Colorful - Accent 3"/>
    <w:basedOn w:val="65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2" w:customStyle="1">
    <w:name w:val="List Table 6 Colorful - Accent 4"/>
    <w:basedOn w:val="65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3" w:customStyle="1">
    <w:name w:val="List Table 6 Colorful - Accent 5"/>
    <w:basedOn w:val="65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4" w:customStyle="1">
    <w:name w:val="List Table 6 Colorful - Accent 6"/>
    <w:basedOn w:val="65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5" w:customStyle="1">
    <w:name w:val="List Table 7 Colorful"/>
    <w:basedOn w:val="65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5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5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5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5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5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5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basedOn w:val="65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basedOn w:val="6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5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basedOn w:val="65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basedOn w:val="65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basedOn w:val="65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basedOn w:val="65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basedOn w:val="65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basedOn w:val="6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basedOn w:val="6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basedOn w:val="6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basedOn w:val="6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basedOn w:val="6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basedOn w:val="6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脚注文本 Char"/>
    <w:link w:val="676"/>
    <w:uiPriority w:val="99"/>
    <w:qFormat/>
    <w:rPr>
      <w:sz w:val="18"/>
    </w:rPr>
  </w:style>
  <w:style w:type="character" w:styleId="844" w:customStyle="1">
    <w:name w:val="尾注文本 Char"/>
    <w:link w:val="667"/>
    <w:uiPriority w:val="99"/>
    <w:qFormat/>
    <w:rPr>
      <w:sz w:val="20"/>
    </w:rPr>
  </w:style>
  <w:style w:type="paragraph" w:styleId="845" w:customStyle="1">
    <w:name w:val="TOC 标题1"/>
    <w:uiPriority w:val="39"/>
    <w:unhideWhenUsed/>
    <w:qFormat/>
    <w:rPr>
      <w:rFonts w:ascii="Times New Roman" w:hAnsi="Times New Roman" w:eastAsia="宋体" w:cs="Times New Roman"/>
      <w:lang w:val="en-US" w:eastAsia="zh-CN" w:bidi="ar-SA"/>
    </w:rPr>
  </w:style>
  <w:style w:type="character" w:styleId="846" w:customStyle="1">
    <w:name w:val="页眉 Char"/>
    <w:basedOn w:val="654"/>
    <w:link w:val="670"/>
    <w:uiPriority w:val="99"/>
    <w:qFormat/>
    <w:rPr>
      <w:sz w:val="18"/>
      <w:szCs w:val="18"/>
    </w:rPr>
  </w:style>
  <w:style w:type="character" w:styleId="847" w:customStyle="1">
    <w:name w:val="页脚 Char"/>
    <w:basedOn w:val="654"/>
    <w:link w:val="669"/>
    <w:uiPriority w:val="99"/>
    <w:qFormat/>
    <w:rPr>
      <w:sz w:val="18"/>
      <w:szCs w:val="18"/>
    </w:rPr>
  </w:style>
  <w:style w:type="character" w:styleId="848" w:customStyle="1">
    <w:name w:val="标题 1 Char"/>
    <w:basedOn w:val="654"/>
    <w:link w:val="645"/>
    <w:uiPriority w:val="9"/>
    <w:qFormat/>
    <w:rPr>
      <w:b/>
      <w:bCs/>
      <w:sz w:val="44"/>
      <w:szCs w:val="44"/>
    </w:rPr>
  </w:style>
  <w:style w:type="character" w:styleId="849" w:customStyle="1">
    <w:name w:val="文档结构图 Char"/>
    <w:basedOn w:val="654"/>
    <w:link w:val="658"/>
    <w:uiPriority w:val="99"/>
    <w:semiHidden/>
    <w:qFormat/>
    <w:rPr>
      <w:rFonts w:ascii="宋体" w:eastAsia="宋体"/>
      <w:sz w:val="18"/>
      <w:szCs w:val="18"/>
    </w:rPr>
  </w:style>
  <w:style w:type="character" w:styleId="850" w:customStyle="1">
    <w:name w:val="标题 2 Char"/>
    <w:basedOn w:val="654"/>
    <w:link w:val="646"/>
    <w:uiPriority w:val="9"/>
    <w:qFormat/>
    <w:rPr>
      <w:rFonts w:asciiTheme="majorHAnsi" w:hAnsiTheme="majorHAnsi" w:eastAsiaTheme="majorEastAsia" w:cstheme="majorBidi"/>
      <w:b/>
      <w:bCs/>
      <w:sz w:val="32"/>
      <w:szCs w:val="32"/>
    </w:rPr>
  </w:style>
  <w:style w:type="character" w:styleId="851" w:customStyle="1">
    <w:name w:val="标题 3 Char"/>
    <w:basedOn w:val="654"/>
    <w:link w:val="647"/>
    <w:uiPriority w:val="9"/>
    <w:qFormat/>
    <w:rPr>
      <w:b/>
      <w:bCs/>
      <w:sz w:val="32"/>
      <w:szCs w:val="32"/>
    </w:rPr>
  </w:style>
  <w:style w:type="character" w:styleId="852" w:customStyle="1">
    <w:name w:val="日期 Char"/>
    <w:basedOn w:val="654"/>
    <w:link w:val="666"/>
    <w:uiPriority w:val="99"/>
    <w:semiHidden/>
    <w:qFormat/>
  </w:style>
  <w:style w:type="character" w:styleId="853" w:customStyle="1">
    <w:name w:val="批注文字 Char"/>
    <w:basedOn w:val="654"/>
    <w:link w:val="659"/>
    <w:uiPriority w:val="0"/>
    <w:qFormat/>
    <w:rPr>
      <w:rFonts w:ascii="Times New Roman" w:hAnsi="Times New Roman" w:eastAsia="宋体" w:cs="Times New Roman"/>
      <w:szCs w:val="24"/>
    </w:rPr>
  </w:style>
  <w:style w:type="character" w:styleId="854" w:customStyle="1">
    <w:name w:val="批注框文本 Char"/>
    <w:basedOn w:val="654"/>
    <w:link w:val="668"/>
    <w:uiPriority w:val="99"/>
    <w:semiHidden/>
    <w:qFormat/>
    <w:rPr>
      <w:sz w:val="18"/>
      <w:szCs w:val="18"/>
    </w:rPr>
  </w:style>
  <w:style w:type="paragraph" w:styleId="855" w:customStyle="1">
    <w:name w:val="Default"/>
    <w:link w:val="856"/>
    <w:uiPriority w:val="99"/>
    <w:qFormat/>
    <w:pPr>
      <w:widowControl w:val="off"/>
    </w:pPr>
    <w:rPr>
      <w:rFonts w:ascii="MS Mincho" w:hAnsi="Calibri" w:eastAsia="宋体" w:cs="Times New Roman"/>
      <w:color w:val="000000"/>
      <w:sz w:val="21"/>
      <w:szCs w:val="24"/>
      <w:lang w:val="en-US" w:eastAsia="zh-CN" w:bidi="ar-SA"/>
    </w:rPr>
  </w:style>
  <w:style w:type="character" w:styleId="856" w:customStyle="1">
    <w:name w:val="Default Char"/>
    <w:link w:val="855"/>
    <w:uiPriority w:val="99"/>
    <w:qFormat/>
    <w:rPr>
      <w:rFonts w:ascii="MS Mincho" w:hAnsi="Calibri" w:eastAsia="宋体" w:cs="Times New Roman"/>
      <w:color w:val="000000"/>
      <w:szCs w:val="24"/>
    </w:rPr>
  </w:style>
  <w:style w:type="character" w:styleId="857" w:customStyle="1">
    <w:name w:val="纯文本 Char"/>
    <w:basedOn w:val="654"/>
    <w:link w:val="664"/>
    <w:uiPriority w:val="0"/>
    <w:qFormat/>
    <w:rPr>
      <w:rFonts w:ascii="宋体" w:hAnsi="Courier New" w:eastAsia="宋体" w:cs="Times New Roman"/>
      <w:szCs w:val="20"/>
    </w:rPr>
  </w:style>
  <w:style w:type="character" w:styleId="858" w:customStyle="1">
    <w:name w:val="hover"/>
    <w:basedOn w:val="654"/>
    <w:uiPriority w:val="0"/>
    <w:qFormat/>
    <w:rPr>
      <w:color w:val="5fb878"/>
    </w:rPr>
  </w:style>
  <w:style w:type="character" w:styleId="859" w:customStyle="1">
    <w:name w:val="hover1"/>
    <w:basedOn w:val="654"/>
    <w:uiPriority w:val="0"/>
    <w:qFormat/>
    <w:rPr>
      <w:color w:val="5fb878"/>
    </w:rPr>
  </w:style>
  <w:style w:type="character" w:styleId="860" w:customStyle="1">
    <w:name w:val="hover2"/>
    <w:basedOn w:val="654"/>
    <w:uiPriority w:val="0"/>
    <w:qFormat/>
    <w:rPr>
      <w:color w:val="ffffff"/>
    </w:rPr>
  </w:style>
  <w:style w:type="character" w:styleId="861" w:customStyle="1">
    <w:name w:val="NormalCharacter"/>
    <w:uiPriority w:val="0"/>
    <w:semiHidden/>
    <w:qFormat/>
  </w:style>
  <w:style w:type="paragraph" w:styleId="862" w:customStyle="1">
    <w:name w:val="正文1"/>
    <w:uiPriority w:val="99"/>
    <w:qFormat/>
    <w:pPr>
      <w:jc w:val="both"/>
    </w:pPr>
    <w:rPr>
      <w:rFonts w:ascii="Times New Roman" w:hAnsi="Times New Roman" w:eastAsia="宋体" w:cs="Times New Roman"/>
      <w:sz w:val="21"/>
      <w:szCs w:val="21"/>
      <w:lang w:val="en-US" w:eastAsia="zh-CN" w:bidi="ar-SA"/>
    </w:rPr>
  </w:style>
  <w:style w:type="paragraph" w:styleId="863">
    <w:name w:val="List Paragraph"/>
    <w:uiPriority w:val="34"/>
    <w:qFormat/>
    <w:pPr>
      <w:ind w:firstLine="420"/>
      <w:jc w:val="both"/>
      <w:widowControl w:val="off"/>
    </w:pPr>
    <w:rPr>
      <w:rFonts w:ascii="Times New Roman" w:hAnsi="Times New Roman" w:eastAsia="宋体" w:cs="Times New Roman"/>
      <w:sz w:val="21"/>
      <w:szCs w:val="24"/>
      <w:lang w:val="en-US" w:eastAsia="zh-CN" w:bidi="ar-SA"/>
    </w:rPr>
  </w:style>
  <w:style w:type="character" w:styleId="864" w:customStyle="1">
    <w:name w:val="apple-style-span"/>
    <w:uiPriority w:val="99"/>
    <w:qFormat/>
    <w:rPr>
      <w:rFonts w:cs="Times New Roman"/>
    </w:rPr>
  </w:style>
  <w:style w:type="paragraph" w:styleId="865" w:customStyle="1">
    <w:name w:val="文本块12"/>
    <w:basedOn w:val="644"/>
    <w:uiPriority w:val="6"/>
    <w:qFormat/>
    <w:pPr>
      <w:ind w:left="256" w:right="6" w:firstLine="624"/>
      <w:spacing w:after="160" w:line="259" w:lineRule="auto"/>
    </w:pPr>
    <w:rPr>
      <w:rFonts w:ascii="Times New Roman" w:hAnsi="Times New Roman" w:eastAsia="仿宋_GB2312"/>
      <w:sz w:val="28"/>
      <w:szCs w:val="20"/>
    </w:rPr>
  </w:style>
  <w:style w:type="character" w:styleId="866" w:customStyle="1">
    <w:name w:val="font01"/>
    <w:basedOn w:val="654"/>
    <w:uiPriority w:val="0"/>
    <w:qFormat/>
    <w:rPr>
      <w:rFonts w:hint="eastAsia" w:ascii="宋体" w:hAnsi="宋体" w:eastAsia="宋体" w:cs="宋体"/>
      <w:color w:val="000000"/>
      <w:sz w:val="22"/>
      <w:szCs w:val="22"/>
      <w:u w:val="none"/>
    </w:rPr>
  </w:style>
  <w:style w:type="character" w:styleId="867" w:customStyle="1">
    <w:name w:val="font51"/>
    <w:basedOn w:val="654"/>
    <w:uiPriority w:val="0"/>
    <w:qFormat/>
    <w:rPr>
      <w:rFonts w:hint="eastAsia" w:ascii="宋体" w:hAnsi="宋体" w:eastAsia="宋体" w:cs="宋体"/>
      <w:color w:val="000000"/>
      <w:sz w:val="21"/>
      <w:szCs w:val="21"/>
      <w:u w:val="none"/>
    </w:rPr>
  </w:style>
  <w:style w:type="paragraph" w:styleId="868" w:customStyle="1">
    <w:name w:val="标题 21"/>
    <w:basedOn w:val="644"/>
    <w:next w:val="644"/>
    <w:uiPriority w:val="99"/>
    <w:qFormat/>
    <w:pPr>
      <w:numPr>
        <w:ilvl w:val="1"/>
        <w:numId w:val="1"/>
      </w:numPr>
      <w:keepNext/>
      <w:outlineLvl w:val="1"/>
    </w:pPr>
    <w:rPr>
      <w:rFonts w:eastAsia="黑体"/>
      <w:b/>
      <w:sz w:val="28"/>
      <w:szCs w:val="20"/>
    </w:rPr>
  </w:style>
  <w:style w:type="numbering" w:styleId="13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刘阳生</cp:lastModifiedBy>
  <cp:revision>33</cp:revision>
  <dcterms:created xsi:type="dcterms:W3CDTF">2024-01-04T03:50:00Z</dcterms:created>
  <dcterms:modified xsi:type="dcterms:W3CDTF">2024-12-26T03:34:18Z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8441C7F7D0334572BB549E57CE04B749_12</vt:lpwstr>
  </property>
  <property fmtid="{D5CDD505-2E9C-101B-9397-08002B2CF9AE}" pid="4" name="KSOTemplateDocerSaveRecord">
    <vt:lpwstr>eyJoZGlkIjoiMDBiMjEyZDRiNjNjZGQ3ZWJhYmUxNWU5MzAzMmU0ODQiLCJ1c2VySWQiOiI0NTczMTA1ODEifQ==</vt:lpwstr>
  </property>
</Properties>
</file>