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4C8B3">
      <w:pPr>
        <w:jc w:val="center"/>
        <w:rPr>
          <w:rFonts w:asciiTheme="majorEastAsia" w:hAnsiTheme="majorEastAsia" w:eastAsiaTheme="majorEastAsia" w:cstheme="majorEastAsia"/>
          <w:b/>
          <w:bCs/>
          <w:color w:val="auto"/>
          <w:sz w:val="36"/>
          <w:szCs w:val="36"/>
          <w:highlight w:val="none"/>
        </w:rPr>
      </w:pPr>
      <w:bookmarkStart w:id="0" w:name="_GoBack"/>
      <w:r>
        <w:rPr>
          <w:rFonts w:hint="eastAsia" w:asciiTheme="majorEastAsia" w:hAnsiTheme="majorEastAsia" w:eastAsiaTheme="majorEastAsia" w:cstheme="majorEastAsia"/>
          <w:b/>
          <w:bCs/>
          <w:color w:val="auto"/>
          <w:sz w:val="36"/>
          <w:szCs w:val="36"/>
          <w:highlight w:val="none"/>
        </w:rPr>
        <w:t>苏州工业园区</w:t>
      </w:r>
    </w:p>
    <w:p w14:paraId="29AC95C4">
      <w:pP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城维项目人员工资专用账户协议</w:t>
      </w:r>
    </w:p>
    <w:p w14:paraId="287D355A">
      <w:pPr>
        <w:spacing w:line="560" w:lineRule="exact"/>
        <w:rPr>
          <w:rFonts w:asciiTheme="majorEastAsia" w:hAnsiTheme="majorEastAsia" w:eastAsiaTheme="majorEastAsia" w:cstheme="majorEastAsia"/>
          <w:color w:val="auto"/>
          <w:sz w:val="24"/>
          <w:highlight w:val="none"/>
        </w:rPr>
      </w:pPr>
    </w:p>
    <w:p w14:paraId="4CBA4751">
      <w:pPr>
        <w:adjustRightInd w:val="0"/>
        <w:snapToGrid w:val="0"/>
        <w:spacing w:line="56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甲方1：苏州工业园区综合行政执法局</w:t>
      </w:r>
    </w:p>
    <w:p w14:paraId="0F1CE0FA">
      <w:pPr>
        <w:adjustRightInd w:val="0"/>
        <w:snapToGrid w:val="0"/>
        <w:spacing w:line="56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甲方2：苏州工业园区市政服务集团有限公司</w:t>
      </w:r>
    </w:p>
    <w:p w14:paraId="05027D49">
      <w:pPr>
        <w:adjustRightInd w:val="0"/>
        <w:snapToGrid w:val="0"/>
        <w:spacing w:line="56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乙方（承包单位）：</w:t>
      </w:r>
    </w:p>
    <w:p w14:paraId="7334673E">
      <w:pPr>
        <w:adjustRightInd w:val="0"/>
        <w:snapToGrid w:val="0"/>
        <w:spacing w:line="56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丙方（监管银行）：</w:t>
      </w:r>
    </w:p>
    <w:p w14:paraId="08619785">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为按时足额支付苏州工业园区城维项目人员工资，维护企业生产经营秩序和社会稳定，根据有关规定，各方在协商一致、平等自愿的基础上，就苏州工业园区城维项目人员工资专用账户（以下简称专用账户）相关事宜签订本协议，并共同遵守。</w:t>
      </w:r>
    </w:p>
    <w:p w14:paraId="55EFC652">
      <w:pPr>
        <w:adjustRightInd w:val="0"/>
        <w:snapToGrid w:val="0"/>
        <w:spacing w:after="290" w:afterLines="100" w:line="56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一、定义</w:t>
      </w:r>
    </w:p>
    <w:tbl>
      <w:tblPr>
        <w:tblStyle w:val="7"/>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205"/>
      </w:tblGrid>
      <w:tr w14:paraId="2289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494A969B">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甲方1</w:t>
            </w:r>
          </w:p>
        </w:tc>
        <w:tc>
          <w:tcPr>
            <w:tcW w:w="7205" w:type="dxa"/>
            <w:vAlign w:val="center"/>
          </w:tcPr>
          <w:p w14:paraId="3BC34E27">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苏州工业园区城维项目主管部门</w:t>
            </w:r>
          </w:p>
        </w:tc>
      </w:tr>
      <w:tr w14:paraId="5B86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5979FCD">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甲方2</w:t>
            </w:r>
          </w:p>
        </w:tc>
        <w:tc>
          <w:tcPr>
            <w:tcW w:w="7205" w:type="dxa"/>
            <w:vAlign w:val="center"/>
          </w:tcPr>
          <w:p w14:paraId="5E1EF689">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受甲方委托，代表甲方对城维项目进行管理</w:t>
            </w:r>
          </w:p>
        </w:tc>
      </w:tr>
      <w:tr w14:paraId="1F8F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74D838C5">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乙方</w:t>
            </w:r>
          </w:p>
        </w:tc>
        <w:tc>
          <w:tcPr>
            <w:tcW w:w="7205" w:type="dxa"/>
            <w:vAlign w:val="center"/>
          </w:tcPr>
          <w:p w14:paraId="5A555D44">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承担苏州工业园区城维项目具体实施的单位</w:t>
            </w:r>
          </w:p>
        </w:tc>
      </w:tr>
      <w:tr w14:paraId="42AE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70" w:type="dxa"/>
            <w:vAlign w:val="center"/>
          </w:tcPr>
          <w:p w14:paraId="43CC4C0C">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丙方</w:t>
            </w:r>
          </w:p>
        </w:tc>
        <w:tc>
          <w:tcPr>
            <w:tcW w:w="7205" w:type="dxa"/>
            <w:vAlign w:val="center"/>
          </w:tcPr>
          <w:p w14:paraId="572EBB51">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受甲乙委托，设立专用账户，提供相关服务并实施资金监管的银行</w:t>
            </w:r>
          </w:p>
        </w:tc>
      </w:tr>
      <w:tr w14:paraId="617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7F479F0">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专用账户</w:t>
            </w:r>
          </w:p>
        </w:tc>
        <w:tc>
          <w:tcPr>
            <w:tcW w:w="7205" w:type="dxa"/>
            <w:vAlign w:val="center"/>
          </w:tcPr>
          <w:p w14:paraId="2E9565B2">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用于支付项目人员工资</w:t>
            </w:r>
          </w:p>
        </w:tc>
      </w:tr>
      <w:tr w14:paraId="676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2539E878">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城维项目</w:t>
            </w:r>
          </w:p>
        </w:tc>
        <w:tc>
          <w:tcPr>
            <w:tcW w:w="7205" w:type="dxa"/>
            <w:vAlign w:val="center"/>
          </w:tcPr>
          <w:p w14:paraId="15624C22">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城市公用事业、公共设施维护与建设项目。范围包括城市的道路、桥梁、排水、城市交通管理、路灯等公共设施；园林、苗圃、公共绿化地等绿化设施；公共厕所、清扫垃圾、街道洒水、扫雪等公共环境卫生等</w:t>
            </w:r>
          </w:p>
        </w:tc>
      </w:tr>
      <w:tr w14:paraId="661B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5F9179D9">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监管平台</w:t>
            </w:r>
          </w:p>
        </w:tc>
        <w:tc>
          <w:tcPr>
            <w:tcW w:w="7205" w:type="dxa"/>
            <w:vAlign w:val="center"/>
          </w:tcPr>
          <w:p w14:paraId="06ED4E23">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丙方为提供优质服务而开发的，用以监管专用账户，向甲乙区别公开账户信息的平台，本协议中统称为“苏州工业园区城维项目工资监管平台”，具体名称由丙方自行拟定</w:t>
            </w:r>
          </w:p>
        </w:tc>
      </w:tr>
      <w:tr w14:paraId="5EE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4DBC6386">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阻止类指标</w:t>
            </w:r>
          </w:p>
        </w:tc>
        <w:tc>
          <w:tcPr>
            <w:tcW w:w="7205" w:type="dxa"/>
            <w:vAlign w:val="center"/>
          </w:tcPr>
          <w:p w14:paraId="548EA735">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包含专用账户向其他对公账户转账、发薪金额过高等</w:t>
            </w:r>
          </w:p>
        </w:tc>
      </w:tr>
      <w:tr w14:paraId="446A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70" w:type="dxa"/>
            <w:vAlign w:val="center"/>
          </w:tcPr>
          <w:p w14:paraId="079AC261">
            <w:pPr>
              <w:adjustRightInd w:val="0"/>
              <w:snapToGrid w:val="0"/>
              <w:jc w:val="left"/>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警示类指标</w:t>
            </w:r>
          </w:p>
        </w:tc>
        <w:tc>
          <w:tcPr>
            <w:tcW w:w="7205" w:type="dxa"/>
            <w:vAlign w:val="center"/>
          </w:tcPr>
          <w:p w14:paraId="26099E35">
            <w:pPr>
              <w:adjustRightInd w:val="0"/>
              <w:snapToGrid w:val="0"/>
              <w:rPr>
                <w:rFonts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包含每月发薪次数、发薪逾期、资金不足、账户冻结</w:t>
            </w:r>
            <w:r>
              <w:rPr>
                <w:rFonts w:hint="eastAsia" w:asciiTheme="majorEastAsia" w:hAnsiTheme="majorEastAsia" w:eastAsiaTheme="majorEastAsia" w:cstheme="majorEastAsia"/>
                <w:color w:val="auto"/>
                <w:sz w:val="18"/>
                <w:szCs w:val="18"/>
                <w:highlight w:val="none"/>
                <w:lang w:eastAsia="zh-CN"/>
              </w:rPr>
              <w:t>、</w:t>
            </w:r>
            <w:r>
              <w:rPr>
                <w:rFonts w:hint="eastAsia" w:asciiTheme="majorEastAsia" w:hAnsiTheme="majorEastAsia" w:eastAsiaTheme="majorEastAsia" w:cstheme="majorEastAsia"/>
                <w:color w:val="auto"/>
                <w:sz w:val="18"/>
                <w:szCs w:val="18"/>
                <w:highlight w:val="none"/>
                <w:lang w:val="en-US" w:eastAsia="zh-CN"/>
              </w:rPr>
              <w:t>职工发薪金额限制</w:t>
            </w:r>
            <w:r>
              <w:rPr>
                <w:rFonts w:hint="eastAsia" w:asciiTheme="majorEastAsia" w:hAnsiTheme="majorEastAsia" w:eastAsiaTheme="majorEastAsia" w:cstheme="majorEastAsia"/>
                <w:color w:val="auto"/>
                <w:sz w:val="18"/>
                <w:szCs w:val="18"/>
                <w:highlight w:val="none"/>
              </w:rPr>
              <w:t>等</w:t>
            </w:r>
          </w:p>
        </w:tc>
      </w:tr>
    </w:tbl>
    <w:p w14:paraId="6D472598">
      <w:pPr>
        <w:adjustRightInd w:val="0"/>
        <w:snapToGrid w:val="0"/>
        <w:spacing w:before="290" w:beforeLines="100"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二、设立</w:t>
      </w:r>
    </w:p>
    <w:p w14:paraId="7EB85197">
      <w:pPr>
        <w:adjustRightInd w:val="0"/>
        <w:snapToGrid w:val="0"/>
        <w:spacing w:after="290" w:afterLines="100"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1.乙方在丙方开立专用账户。乙方应当根据丙方业务操作要求，提供相应资料。专用账户名称为：乙方名称+城维项目名称+“工资账户”。乙方名称和城维项目名称可使用规范化简称。开户信息如下：</w:t>
      </w:r>
    </w:p>
    <w:p w14:paraId="21F5615F">
      <w:pPr>
        <w:adjustRightInd w:val="0"/>
        <w:snapToGrid w:val="0"/>
        <w:spacing w:after="290" w:afterLines="100" w:line="560" w:lineRule="exact"/>
        <w:ind w:firstLine="480" w:firstLineChars="200"/>
        <w:rPr>
          <w:rFonts w:asciiTheme="majorEastAsia" w:hAnsiTheme="majorEastAsia" w:eastAsiaTheme="majorEastAsia" w:cstheme="majorEastAsia"/>
          <w:color w:val="auto"/>
          <w:sz w:val="24"/>
          <w:highlight w:val="none"/>
        </w:rPr>
      </w:pPr>
    </w:p>
    <w:p w14:paraId="52BEFA99">
      <w:pPr>
        <w:adjustRightInd w:val="0"/>
        <w:snapToGrid w:val="0"/>
        <w:spacing w:after="290" w:afterLines="100" w:line="560" w:lineRule="exact"/>
        <w:ind w:firstLine="480" w:firstLineChars="200"/>
        <w:rPr>
          <w:rFonts w:asciiTheme="majorEastAsia" w:hAnsiTheme="majorEastAsia" w:eastAsiaTheme="majorEastAsia" w:cstheme="majorEastAsia"/>
          <w:color w:val="auto"/>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799A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68" w:type="dxa"/>
          </w:tcPr>
          <w:p w14:paraId="68414715">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项目名称</w:t>
            </w:r>
          </w:p>
        </w:tc>
        <w:tc>
          <w:tcPr>
            <w:tcW w:w="6804" w:type="dxa"/>
          </w:tcPr>
          <w:p w14:paraId="74BDA575">
            <w:pPr>
              <w:adjustRightInd w:val="0"/>
              <w:snapToGrid w:val="0"/>
              <w:jc w:val="left"/>
              <w:rPr>
                <w:rFonts w:asciiTheme="majorEastAsia" w:hAnsiTheme="majorEastAsia" w:eastAsiaTheme="majorEastAsia" w:cstheme="majorEastAsia"/>
                <w:color w:val="auto"/>
                <w:sz w:val="18"/>
                <w:szCs w:val="18"/>
                <w:highlight w:val="none"/>
              </w:rPr>
            </w:pPr>
          </w:p>
        </w:tc>
      </w:tr>
      <w:tr w14:paraId="35D6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68" w:type="dxa"/>
          </w:tcPr>
          <w:p w14:paraId="1058DAD5">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乙方名称</w:t>
            </w:r>
          </w:p>
        </w:tc>
        <w:tc>
          <w:tcPr>
            <w:tcW w:w="6804" w:type="dxa"/>
          </w:tcPr>
          <w:p w14:paraId="5D4E5E6F">
            <w:pPr>
              <w:adjustRightInd w:val="0"/>
              <w:snapToGrid w:val="0"/>
              <w:jc w:val="left"/>
              <w:rPr>
                <w:rFonts w:asciiTheme="majorEastAsia" w:hAnsiTheme="majorEastAsia" w:eastAsiaTheme="majorEastAsia" w:cstheme="majorEastAsia"/>
                <w:color w:val="auto"/>
                <w:sz w:val="18"/>
                <w:szCs w:val="18"/>
                <w:highlight w:val="none"/>
              </w:rPr>
            </w:pPr>
          </w:p>
        </w:tc>
      </w:tr>
      <w:tr w14:paraId="1132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797817C">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开户银行名称</w:t>
            </w:r>
          </w:p>
        </w:tc>
        <w:tc>
          <w:tcPr>
            <w:tcW w:w="6804" w:type="dxa"/>
          </w:tcPr>
          <w:p w14:paraId="6F95DF03">
            <w:pPr>
              <w:adjustRightInd w:val="0"/>
              <w:snapToGrid w:val="0"/>
              <w:jc w:val="left"/>
              <w:rPr>
                <w:rFonts w:asciiTheme="majorEastAsia" w:hAnsiTheme="majorEastAsia" w:eastAsiaTheme="majorEastAsia" w:cstheme="majorEastAsia"/>
                <w:color w:val="auto"/>
                <w:sz w:val="18"/>
                <w:szCs w:val="18"/>
                <w:highlight w:val="none"/>
              </w:rPr>
            </w:pPr>
          </w:p>
        </w:tc>
      </w:tr>
      <w:tr w14:paraId="1AA5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6DE4E1FB">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专用账户名称</w:t>
            </w:r>
          </w:p>
        </w:tc>
        <w:tc>
          <w:tcPr>
            <w:tcW w:w="6804" w:type="dxa"/>
          </w:tcPr>
          <w:p w14:paraId="028E3243">
            <w:pPr>
              <w:adjustRightInd w:val="0"/>
              <w:snapToGrid w:val="0"/>
              <w:jc w:val="left"/>
              <w:rPr>
                <w:rFonts w:asciiTheme="majorEastAsia" w:hAnsiTheme="majorEastAsia" w:eastAsiaTheme="majorEastAsia" w:cstheme="majorEastAsia"/>
                <w:color w:val="auto"/>
                <w:sz w:val="18"/>
                <w:szCs w:val="18"/>
                <w:highlight w:val="none"/>
              </w:rPr>
            </w:pPr>
          </w:p>
        </w:tc>
      </w:tr>
      <w:tr w14:paraId="12F6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5278EC34">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专用账户账号</w:t>
            </w:r>
          </w:p>
        </w:tc>
        <w:tc>
          <w:tcPr>
            <w:tcW w:w="6804" w:type="dxa"/>
          </w:tcPr>
          <w:p w14:paraId="57011208">
            <w:pPr>
              <w:adjustRightInd w:val="0"/>
              <w:snapToGrid w:val="0"/>
              <w:jc w:val="left"/>
              <w:rPr>
                <w:rFonts w:asciiTheme="majorEastAsia" w:hAnsiTheme="majorEastAsia" w:eastAsiaTheme="majorEastAsia" w:cstheme="majorEastAsia"/>
                <w:color w:val="auto"/>
                <w:sz w:val="18"/>
                <w:szCs w:val="18"/>
                <w:highlight w:val="none"/>
              </w:rPr>
            </w:pPr>
          </w:p>
        </w:tc>
      </w:tr>
    </w:tbl>
    <w:p w14:paraId="251F18FB">
      <w:pPr>
        <w:adjustRightInd w:val="0"/>
        <w:snapToGrid w:val="0"/>
        <w:spacing w:before="290" w:beforeLines="100"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2.专用账户不得有提取现金、出售银行票据和商业票据等自主支付功能。</w:t>
      </w:r>
    </w:p>
    <w:p w14:paraId="0B6F5DB9">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3.响应支持数字人民币政策要求，专用账户开设后应设立数字人民币账户，数字人民币账户可提现至专用账户，账户功能不得超过专用账户限制。</w:t>
      </w:r>
    </w:p>
    <w:p w14:paraId="36A1A143">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4.具体银行业务约定由乙丙方另行约定。</w:t>
      </w:r>
    </w:p>
    <w:p w14:paraId="29323075">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三、使用</w:t>
      </w:r>
    </w:p>
    <w:p w14:paraId="3579111B">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1.乙方及时将工资支付表上传监管平台，丙方对工资支付表进行形式审核后完成支付。</w:t>
      </w:r>
    </w:p>
    <w:p w14:paraId="0CD39F6D">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2.丙方支持城维项目人员使用本人具有金融功能的社会保障卡或现有银行卡领取工资。</w:t>
      </w:r>
    </w:p>
    <w:p w14:paraId="25821666">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四、监管</w:t>
      </w:r>
    </w:p>
    <w:p w14:paraId="4ABD099F">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1.丙方负责对工资专户进行监管、确保资金安全；丙方负责监管平台的日常维护与升级；丙方授权甲方人员登录使用监管平台。 </w:t>
      </w:r>
    </w:p>
    <w:p w14:paraId="3DA32948">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2.丙方应在专用账户开立之日起5个工作日内，将专用账户信息、项目名称、项目联系人及联系方式等开户资料上传监管平台。</w:t>
      </w:r>
    </w:p>
    <w:p w14:paraId="76CB26C0">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丙方对上传的工资支付表进行自动对比分析，做出合规性判断，对有明显转移资金的不合理支付款项予以阻止（阻止类指标），对其他不合理现象发送警示信息但不阻止支付款项（警示类指标）。丙方应及时向甲方发送阻止类和警示类指标信息。</w:t>
      </w:r>
    </w:p>
    <w:p w14:paraId="05AD2B0F">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4.丙方根据甲方实际业务监管需求，及时调整预警指标数量和数值设置。</w:t>
      </w:r>
    </w:p>
    <w:p w14:paraId="0EFFD7C1">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5.丙方负责统计专用账户中资金变动情况，在资金变动当日将信息及相关资料上传至监管平台，备案保存，供各方查阅。</w:t>
      </w:r>
    </w:p>
    <w:p w14:paraId="302276D8">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6.甲方进行城维项目、专用账户的审计和检查，乙丙方应予配合。</w:t>
      </w:r>
    </w:p>
    <w:p w14:paraId="5E593893">
      <w:pPr>
        <w:adjustRightInd w:val="0"/>
        <w:snapToGrid w:val="0"/>
        <w:spacing w:line="56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五、销户</w:t>
      </w:r>
    </w:p>
    <w:p w14:paraId="2387E374">
      <w:pPr>
        <w:adjustRightInd w:val="0"/>
        <w:snapToGrid w:val="0"/>
        <w:spacing w:after="290" w:afterLines="100"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项目履行完毕并已足额支付项目人员工资后，乙方凭甲方开具的项目履约完毕证明和乙方已足额支付项目人员工资承诺，向丙方申请撤销专用账户，丙方为其办理销户。撤销后如有余额，划转至乙方账户，账户信息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230A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3132BED8">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乙方名称</w:t>
            </w:r>
          </w:p>
        </w:tc>
        <w:tc>
          <w:tcPr>
            <w:tcW w:w="6804" w:type="dxa"/>
          </w:tcPr>
          <w:p w14:paraId="6C981842">
            <w:pPr>
              <w:adjustRightInd w:val="0"/>
              <w:snapToGrid w:val="0"/>
              <w:jc w:val="left"/>
              <w:rPr>
                <w:rFonts w:asciiTheme="majorEastAsia" w:hAnsiTheme="majorEastAsia" w:eastAsiaTheme="majorEastAsia" w:cstheme="majorEastAsia"/>
                <w:color w:val="auto"/>
                <w:sz w:val="18"/>
                <w:szCs w:val="18"/>
                <w:highlight w:val="none"/>
              </w:rPr>
            </w:pPr>
          </w:p>
        </w:tc>
      </w:tr>
      <w:tr w14:paraId="690C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2E3132E9">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开户银行名称</w:t>
            </w:r>
          </w:p>
        </w:tc>
        <w:tc>
          <w:tcPr>
            <w:tcW w:w="6804" w:type="dxa"/>
          </w:tcPr>
          <w:p w14:paraId="10CC7FD6">
            <w:pPr>
              <w:adjustRightInd w:val="0"/>
              <w:snapToGrid w:val="0"/>
              <w:jc w:val="left"/>
              <w:rPr>
                <w:rFonts w:asciiTheme="majorEastAsia" w:hAnsiTheme="majorEastAsia" w:eastAsiaTheme="majorEastAsia" w:cstheme="majorEastAsia"/>
                <w:color w:val="auto"/>
                <w:sz w:val="18"/>
                <w:szCs w:val="18"/>
                <w:highlight w:val="none"/>
              </w:rPr>
            </w:pPr>
          </w:p>
        </w:tc>
      </w:tr>
      <w:tr w14:paraId="4FB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9CA4424">
            <w:pPr>
              <w:adjustRightInd w:val="0"/>
              <w:snapToGrid w:val="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开户银行账号</w:t>
            </w:r>
          </w:p>
        </w:tc>
        <w:tc>
          <w:tcPr>
            <w:tcW w:w="6804" w:type="dxa"/>
          </w:tcPr>
          <w:p w14:paraId="5297B966">
            <w:pPr>
              <w:adjustRightInd w:val="0"/>
              <w:snapToGrid w:val="0"/>
              <w:jc w:val="left"/>
              <w:rPr>
                <w:rFonts w:asciiTheme="majorEastAsia" w:hAnsiTheme="majorEastAsia" w:eastAsiaTheme="majorEastAsia" w:cstheme="majorEastAsia"/>
                <w:color w:val="auto"/>
                <w:sz w:val="18"/>
                <w:szCs w:val="18"/>
                <w:highlight w:val="none"/>
              </w:rPr>
            </w:pPr>
          </w:p>
        </w:tc>
      </w:tr>
    </w:tbl>
    <w:p w14:paraId="293E857A">
      <w:pPr>
        <w:adjustRightInd w:val="0"/>
        <w:snapToGrid w:val="0"/>
        <w:spacing w:before="290" w:beforeLines="100"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2.专用账户撤销后，丙方应将相关资料及时上传监管平台，专用账户撤销，丙方全额解付资金后，终止丙方对专用账户的监管责任。</w:t>
      </w:r>
    </w:p>
    <w:p w14:paraId="55520D3E">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六、责任</w:t>
      </w:r>
    </w:p>
    <w:p w14:paraId="51A8520F">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在项目履行过程中，乙方对工资支付表信息内容真实性、有效性、完整性、及时性负责。乙方因用工量增加、服务费支付时间与工资发放时间有差异等原因，导致专用账户余额不足以足额支付当月工资时，应及时向专用账户补足差额。乙方挪用、套用资金的，按相关规定追究责任。</w:t>
      </w:r>
    </w:p>
    <w:p w14:paraId="26F284FC">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因丙方故意或重大过失导致丙方未按约定的条件办理支付，造成甲方或乙方损失的，丙方应承担赔偿责任；上述情况每年度累计发生三次及以上的，甲方有权终止协议，丙方应配合乙方办理销户。因丙方重大过错未能及时发放工资，造成群体性事件，导致甲方或乙方损失的，丙方应承担赔偿责任，甲方有权终止部分或全部合作。非因丙方过错导致无法办理支付的，丙方免责。</w:t>
      </w:r>
    </w:p>
    <w:p w14:paraId="133E12D1">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若任何一方因不可抗力不能履行本协议，应根据不可抗力的影响程度，部分或全部免除该方的责任。任何一方遭到不可抗力时，应及时通知其他方，并在合理期限内提供遭到不可抗力影响的证明，同时采取适当措施防止损失的扩大和保护资金的完整。</w:t>
      </w:r>
    </w:p>
    <w:p w14:paraId="52EAD58C">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4.除法律、法规规定或专户资金监管特殊需要外，未经全体同意，任一方不得泄露涉及其他方的商业秘密。</w:t>
      </w:r>
    </w:p>
    <w:p w14:paraId="2E9855FC">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七、其他</w:t>
      </w:r>
    </w:p>
    <w:p w14:paraId="2119AB3F">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1.本协议经各方法定代表人/负责人或其授权代理人签字，并加盖公章之日起生效，自专用账户撤销之日起终止。</w:t>
      </w:r>
    </w:p>
    <w:p w14:paraId="751585C5">
      <w:pPr>
        <w:adjustRightInd w:val="0"/>
        <w:snapToGrid w:val="0"/>
        <w:spacing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2.本协议一式四份，各方各执一份。变更协议需经协商一致，并签订书面补充协议。补充协议对本协议作变更的，以补充协议为准；存在多份补充协议的，以生成在后的补充协议为准。</w:t>
      </w:r>
    </w:p>
    <w:p w14:paraId="17EB1A76">
      <w:pPr>
        <w:adjustRightInd w:val="0"/>
        <w:snapToGrid w:val="0"/>
        <w:spacing w:after="290" w:afterLines="100" w:line="560" w:lineRule="exact"/>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3.为便于日常联系监管平台工作，各方各指定联络人一名，见如下：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452"/>
        <w:gridCol w:w="3044"/>
        <w:gridCol w:w="2974"/>
      </w:tblGrid>
      <w:tr w14:paraId="0AF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tcPr>
          <w:p w14:paraId="14CA5B63">
            <w:pPr>
              <w:tabs>
                <w:tab w:val="left" w:pos="3113"/>
              </w:tabs>
              <w:adjustRightInd w:val="0"/>
              <w:snapToGrid w:val="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联络人</w:t>
            </w:r>
          </w:p>
        </w:tc>
      </w:tr>
      <w:tr w14:paraId="0CC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69F9F58C">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合同方</w:t>
            </w:r>
          </w:p>
        </w:tc>
        <w:tc>
          <w:tcPr>
            <w:tcW w:w="1452" w:type="dxa"/>
          </w:tcPr>
          <w:p w14:paraId="6E172EAE">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姓名</w:t>
            </w:r>
          </w:p>
        </w:tc>
        <w:tc>
          <w:tcPr>
            <w:tcW w:w="3044" w:type="dxa"/>
          </w:tcPr>
          <w:p w14:paraId="42530B1A">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联系电话（手机）</w:t>
            </w:r>
          </w:p>
        </w:tc>
        <w:tc>
          <w:tcPr>
            <w:tcW w:w="2974" w:type="dxa"/>
          </w:tcPr>
          <w:p w14:paraId="71AE1119">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邮箱</w:t>
            </w:r>
          </w:p>
        </w:tc>
      </w:tr>
      <w:tr w14:paraId="1BAD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62600500">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甲方1</w:t>
            </w:r>
          </w:p>
        </w:tc>
        <w:tc>
          <w:tcPr>
            <w:tcW w:w="1452" w:type="dxa"/>
          </w:tcPr>
          <w:p w14:paraId="07CE47F1">
            <w:pPr>
              <w:adjustRightInd w:val="0"/>
              <w:snapToGrid w:val="0"/>
              <w:rPr>
                <w:rFonts w:asciiTheme="majorEastAsia" w:hAnsiTheme="majorEastAsia" w:eastAsiaTheme="majorEastAsia" w:cstheme="majorEastAsia"/>
                <w:color w:val="auto"/>
                <w:szCs w:val="21"/>
                <w:highlight w:val="none"/>
              </w:rPr>
            </w:pPr>
          </w:p>
        </w:tc>
        <w:tc>
          <w:tcPr>
            <w:tcW w:w="3044" w:type="dxa"/>
          </w:tcPr>
          <w:p w14:paraId="1629F6DD">
            <w:pPr>
              <w:adjustRightInd w:val="0"/>
              <w:snapToGrid w:val="0"/>
              <w:rPr>
                <w:rFonts w:asciiTheme="majorEastAsia" w:hAnsiTheme="majorEastAsia" w:eastAsiaTheme="majorEastAsia" w:cstheme="majorEastAsia"/>
                <w:color w:val="auto"/>
                <w:szCs w:val="21"/>
                <w:highlight w:val="none"/>
              </w:rPr>
            </w:pPr>
          </w:p>
        </w:tc>
        <w:tc>
          <w:tcPr>
            <w:tcW w:w="2974" w:type="dxa"/>
          </w:tcPr>
          <w:p w14:paraId="765EBABC">
            <w:pPr>
              <w:adjustRightInd w:val="0"/>
              <w:snapToGrid w:val="0"/>
              <w:rPr>
                <w:rFonts w:asciiTheme="majorEastAsia" w:hAnsiTheme="majorEastAsia" w:eastAsiaTheme="majorEastAsia" w:cstheme="majorEastAsia"/>
                <w:color w:val="auto"/>
                <w:szCs w:val="21"/>
                <w:highlight w:val="none"/>
              </w:rPr>
            </w:pPr>
          </w:p>
        </w:tc>
      </w:tr>
      <w:tr w14:paraId="226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A2E20B0">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甲方2</w:t>
            </w:r>
          </w:p>
        </w:tc>
        <w:tc>
          <w:tcPr>
            <w:tcW w:w="1452" w:type="dxa"/>
          </w:tcPr>
          <w:p w14:paraId="27C46DEC">
            <w:pPr>
              <w:adjustRightInd w:val="0"/>
              <w:snapToGrid w:val="0"/>
              <w:rPr>
                <w:rFonts w:asciiTheme="majorEastAsia" w:hAnsiTheme="majorEastAsia" w:eastAsiaTheme="majorEastAsia" w:cstheme="majorEastAsia"/>
                <w:color w:val="auto"/>
                <w:szCs w:val="21"/>
                <w:highlight w:val="none"/>
              </w:rPr>
            </w:pPr>
          </w:p>
        </w:tc>
        <w:tc>
          <w:tcPr>
            <w:tcW w:w="3044" w:type="dxa"/>
          </w:tcPr>
          <w:p w14:paraId="127151B4">
            <w:pPr>
              <w:adjustRightInd w:val="0"/>
              <w:snapToGrid w:val="0"/>
              <w:rPr>
                <w:rFonts w:asciiTheme="majorEastAsia" w:hAnsiTheme="majorEastAsia" w:eastAsiaTheme="majorEastAsia" w:cstheme="majorEastAsia"/>
                <w:color w:val="auto"/>
                <w:szCs w:val="21"/>
                <w:highlight w:val="none"/>
              </w:rPr>
            </w:pPr>
          </w:p>
        </w:tc>
        <w:tc>
          <w:tcPr>
            <w:tcW w:w="2974" w:type="dxa"/>
          </w:tcPr>
          <w:p w14:paraId="48AB8E6B">
            <w:pPr>
              <w:adjustRightInd w:val="0"/>
              <w:snapToGrid w:val="0"/>
              <w:rPr>
                <w:rFonts w:asciiTheme="majorEastAsia" w:hAnsiTheme="majorEastAsia" w:eastAsiaTheme="majorEastAsia" w:cstheme="majorEastAsia"/>
                <w:color w:val="auto"/>
                <w:szCs w:val="21"/>
                <w:highlight w:val="none"/>
              </w:rPr>
            </w:pPr>
          </w:p>
        </w:tc>
      </w:tr>
      <w:tr w14:paraId="21FA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9750220">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乙方</w:t>
            </w:r>
          </w:p>
        </w:tc>
        <w:tc>
          <w:tcPr>
            <w:tcW w:w="1452" w:type="dxa"/>
          </w:tcPr>
          <w:p w14:paraId="2FED062B">
            <w:pPr>
              <w:adjustRightInd w:val="0"/>
              <w:snapToGrid w:val="0"/>
              <w:rPr>
                <w:rFonts w:asciiTheme="majorEastAsia" w:hAnsiTheme="majorEastAsia" w:eastAsiaTheme="majorEastAsia" w:cstheme="majorEastAsia"/>
                <w:color w:val="auto"/>
                <w:szCs w:val="21"/>
                <w:highlight w:val="none"/>
              </w:rPr>
            </w:pPr>
          </w:p>
        </w:tc>
        <w:tc>
          <w:tcPr>
            <w:tcW w:w="3044" w:type="dxa"/>
          </w:tcPr>
          <w:p w14:paraId="01E923A9">
            <w:pPr>
              <w:adjustRightInd w:val="0"/>
              <w:snapToGrid w:val="0"/>
              <w:rPr>
                <w:rFonts w:asciiTheme="majorEastAsia" w:hAnsiTheme="majorEastAsia" w:eastAsiaTheme="majorEastAsia" w:cstheme="majorEastAsia"/>
                <w:color w:val="auto"/>
                <w:szCs w:val="21"/>
                <w:highlight w:val="none"/>
              </w:rPr>
            </w:pPr>
          </w:p>
        </w:tc>
        <w:tc>
          <w:tcPr>
            <w:tcW w:w="2974" w:type="dxa"/>
          </w:tcPr>
          <w:p w14:paraId="65FDEAC0">
            <w:pPr>
              <w:adjustRightInd w:val="0"/>
              <w:snapToGrid w:val="0"/>
              <w:rPr>
                <w:rFonts w:asciiTheme="majorEastAsia" w:hAnsiTheme="majorEastAsia" w:eastAsiaTheme="majorEastAsia" w:cstheme="majorEastAsia"/>
                <w:color w:val="auto"/>
                <w:szCs w:val="21"/>
                <w:highlight w:val="none"/>
              </w:rPr>
            </w:pPr>
          </w:p>
        </w:tc>
      </w:tr>
      <w:tr w14:paraId="6243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2A476CB6">
            <w:pPr>
              <w:adjustRightInd w:val="0"/>
              <w:snapToGrid w:val="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丙方</w:t>
            </w:r>
          </w:p>
        </w:tc>
        <w:tc>
          <w:tcPr>
            <w:tcW w:w="1452" w:type="dxa"/>
          </w:tcPr>
          <w:p w14:paraId="46B7F476">
            <w:pPr>
              <w:adjustRightInd w:val="0"/>
              <w:snapToGrid w:val="0"/>
              <w:rPr>
                <w:rFonts w:asciiTheme="majorEastAsia" w:hAnsiTheme="majorEastAsia" w:eastAsiaTheme="majorEastAsia" w:cstheme="majorEastAsia"/>
                <w:color w:val="auto"/>
                <w:szCs w:val="21"/>
                <w:highlight w:val="none"/>
              </w:rPr>
            </w:pPr>
          </w:p>
        </w:tc>
        <w:tc>
          <w:tcPr>
            <w:tcW w:w="3044" w:type="dxa"/>
          </w:tcPr>
          <w:p w14:paraId="00ABEEC6">
            <w:pPr>
              <w:adjustRightInd w:val="0"/>
              <w:snapToGrid w:val="0"/>
              <w:rPr>
                <w:rFonts w:asciiTheme="majorEastAsia" w:hAnsiTheme="majorEastAsia" w:eastAsiaTheme="majorEastAsia" w:cstheme="majorEastAsia"/>
                <w:color w:val="auto"/>
                <w:szCs w:val="21"/>
                <w:highlight w:val="none"/>
              </w:rPr>
            </w:pPr>
          </w:p>
        </w:tc>
        <w:tc>
          <w:tcPr>
            <w:tcW w:w="2974" w:type="dxa"/>
          </w:tcPr>
          <w:p w14:paraId="7FD988BF">
            <w:pPr>
              <w:adjustRightInd w:val="0"/>
              <w:snapToGrid w:val="0"/>
              <w:rPr>
                <w:rFonts w:asciiTheme="majorEastAsia" w:hAnsiTheme="majorEastAsia" w:eastAsiaTheme="majorEastAsia" w:cstheme="majorEastAsia"/>
                <w:color w:val="auto"/>
                <w:szCs w:val="21"/>
                <w:highlight w:val="none"/>
              </w:rPr>
            </w:pPr>
          </w:p>
        </w:tc>
      </w:tr>
    </w:tbl>
    <w:p w14:paraId="662BAEE2">
      <w:pPr>
        <w:adjustRightInd w:val="0"/>
        <w:snapToGrid w:val="0"/>
        <w:rPr>
          <w:rFonts w:asciiTheme="majorEastAsia" w:hAnsiTheme="majorEastAsia" w:eastAsiaTheme="majorEastAsia" w:cstheme="majorEastAsia"/>
          <w:color w:val="auto"/>
          <w:sz w:val="24"/>
          <w:highlight w:val="none"/>
        </w:rPr>
      </w:pPr>
    </w:p>
    <w:p w14:paraId="5AB12689">
      <w:pPr>
        <w:adjustRightInd w:val="0"/>
        <w:snapToGrid w:val="0"/>
        <w:rPr>
          <w:rFonts w:asciiTheme="majorEastAsia" w:hAnsiTheme="majorEastAsia" w:eastAsiaTheme="majorEastAsia" w:cstheme="majorEastAsia"/>
          <w:color w:val="auto"/>
          <w:sz w:val="24"/>
          <w:highlight w:val="none"/>
        </w:rPr>
      </w:pPr>
    </w:p>
    <w:p w14:paraId="237D2EDA">
      <w:pPr>
        <w:adjustRightInd w:val="0"/>
        <w:snapToGrid w:val="0"/>
        <w:rPr>
          <w:rFonts w:asciiTheme="majorEastAsia" w:hAnsiTheme="majorEastAsia" w:eastAsiaTheme="majorEastAsia" w:cstheme="majorEastAsia"/>
          <w:color w:val="auto"/>
          <w:sz w:val="24"/>
          <w:highlight w:val="none"/>
        </w:rPr>
      </w:pPr>
    </w:p>
    <w:p w14:paraId="6C4622F6">
      <w:pPr>
        <w:adjustRightInd w:val="0"/>
        <w:snapToGrid w:val="0"/>
        <w:rPr>
          <w:rFonts w:asciiTheme="majorEastAsia" w:hAnsiTheme="majorEastAsia" w:eastAsiaTheme="majorEastAsia" w:cstheme="majorEastAsia"/>
          <w:color w:val="auto"/>
          <w:sz w:val="24"/>
          <w:highlight w:val="none"/>
        </w:rPr>
      </w:pPr>
    </w:p>
    <w:p w14:paraId="149C791B">
      <w:pPr>
        <w:adjustRightInd w:val="0"/>
        <w:snapToGrid w:val="0"/>
        <w:rPr>
          <w:rFonts w:asciiTheme="majorEastAsia" w:hAnsiTheme="majorEastAsia" w:eastAsiaTheme="majorEastAsia" w:cstheme="majorEastAsia"/>
          <w:color w:val="auto"/>
          <w:sz w:val="24"/>
          <w:highlight w:val="none"/>
        </w:rPr>
      </w:pPr>
    </w:p>
    <w:p w14:paraId="49E2A228">
      <w:pPr>
        <w:adjustRightInd w:val="0"/>
        <w:snapToGrid w:val="0"/>
        <w:rPr>
          <w:rFonts w:asciiTheme="majorEastAsia" w:hAnsiTheme="majorEastAsia" w:eastAsiaTheme="majorEastAsia" w:cstheme="majorEastAsia"/>
          <w:color w:val="auto"/>
          <w:sz w:val="24"/>
          <w:highlight w:val="none"/>
        </w:rPr>
      </w:pPr>
    </w:p>
    <w:p w14:paraId="7B1F162B">
      <w:pPr>
        <w:adjustRightInd w:val="0"/>
        <w:snapToGrid w:val="0"/>
        <w:rPr>
          <w:rFonts w:asciiTheme="majorEastAsia" w:hAnsiTheme="majorEastAsia" w:eastAsiaTheme="majorEastAsia" w:cstheme="majorEastAsia"/>
          <w:color w:val="auto"/>
          <w:sz w:val="24"/>
          <w:highlight w:val="none"/>
        </w:rPr>
      </w:pPr>
    </w:p>
    <w:p w14:paraId="0D8B0D88">
      <w:pPr>
        <w:adjustRightInd w:val="0"/>
        <w:snapToGrid w:val="0"/>
        <w:rPr>
          <w:rFonts w:asciiTheme="majorEastAsia" w:hAnsiTheme="majorEastAsia" w:eastAsiaTheme="majorEastAsia" w:cstheme="majorEastAsia"/>
          <w:color w:val="auto"/>
          <w:sz w:val="24"/>
          <w:highlight w:val="none"/>
        </w:rPr>
      </w:pPr>
    </w:p>
    <w:p w14:paraId="7E1D8AD2">
      <w:pPr>
        <w:adjustRightInd w:val="0"/>
        <w:snapToGrid w:val="0"/>
        <w:rPr>
          <w:rFonts w:asciiTheme="majorEastAsia" w:hAnsiTheme="majorEastAsia" w:eastAsiaTheme="majorEastAsia" w:cstheme="majorEastAsia"/>
          <w:color w:val="auto"/>
          <w:sz w:val="24"/>
          <w:highlight w:val="none"/>
        </w:rPr>
      </w:pPr>
    </w:p>
    <w:p w14:paraId="7CCFAB04">
      <w:pPr>
        <w:adjustRightInd w:val="0"/>
        <w:snapToGrid w:val="0"/>
        <w:rPr>
          <w:rFonts w:asciiTheme="majorEastAsia" w:hAnsiTheme="majorEastAsia" w:eastAsiaTheme="majorEastAsia" w:cstheme="majorEastAsia"/>
          <w:color w:val="auto"/>
          <w:sz w:val="24"/>
          <w:highlight w:val="none"/>
        </w:rPr>
      </w:pPr>
    </w:p>
    <w:p w14:paraId="337E4461">
      <w:pPr>
        <w:adjustRightInd w:val="0"/>
        <w:snapToGrid w:val="0"/>
        <w:rPr>
          <w:rFonts w:asciiTheme="majorEastAsia" w:hAnsiTheme="majorEastAsia" w:eastAsiaTheme="majorEastAsia" w:cstheme="majorEastAsia"/>
          <w:color w:val="auto"/>
          <w:sz w:val="24"/>
          <w:highlight w:val="none"/>
        </w:rPr>
      </w:pPr>
    </w:p>
    <w:p w14:paraId="4C95B0E9">
      <w:pPr>
        <w:adjustRightInd w:val="0"/>
        <w:snapToGrid w:val="0"/>
        <w:rPr>
          <w:rFonts w:asciiTheme="majorEastAsia" w:hAnsiTheme="majorEastAsia" w:eastAsiaTheme="majorEastAsia" w:cstheme="majorEastAsia"/>
          <w:color w:val="auto"/>
          <w:sz w:val="24"/>
          <w:highlight w:val="none"/>
        </w:rPr>
      </w:pPr>
    </w:p>
    <w:p w14:paraId="154E433C">
      <w:pPr>
        <w:adjustRightInd w:val="0"/>
        <w:snapToGrid w:val="0"/>
        <w:rPr>
          <w:rFonts w:asciiTheme="majorEastAsia" w:hAnsiTheme="majorEastAsia" w:eastAsiaTheme="majorEastAsia" w:cstheme="majorEastAsia"/>
          <w:color w:val="auto"/>
          <w:sz w:val="24"/>
          <w:highlight w:val="none"/>
        </w:rPr>
      </w:pPr>
    </w:p>
    <w:p w14:paraId="20428722">
      <w:pPr>
        <w:adjustRightInd w:val="0"/>
        <w:snapToGrid w:val="0"/>
        <w:rPr>
          <w:rFonts w:asciiTheme="majorEastAsia" w:hAnsiTheme="majorEastAsia" w:eastAsiaTheme="majorEastAsia" w:cstheme="majorEastAsia"/>
          <w:color w:val="auto"/>
          <w:sz w:val="24"/>
          <w:highlight w:val="none"/>
        </w:rPr>
      </w:pPr>
    </w:p>
    <w:p w14:paraId="553AACAE">
      <w:pPr>
        <w:adjustRightInd w:val="0"/>
        <w:snapToGrid w:val="0"/>
        <w:rPr>
          <w:rFonts w:asciiTheme="majorEastAsia" w:hAnsiTheme="majorEastAsia" w:eastAsiaTheme="majorEastAsia" w:cstheme="majorEastAsia"/>
          <w:color w:val="auto"/>
          <w:sz w:val="24"/>
          <w:highlight w:val="none"/>
        </w:rPr>
      </w:pPr>
    </w:p>
    <w:p w14:paraId="57730B5B">
      <w:pPr>
        <w:adjustRightInd w:val="0"/>
        <w:snapToGrid w:val="0"/>
        <w:rPr>
          <w:rFonts w:asciiTheme="majorEastAsia" w:hAnsiTheme="majorEastAsia" w:eastAsiaTheme="majorEastAsia" w:cstheme="majorEastAsia"/>
          <w:color w:val="auto"/>
          <w:sz w:val="24"/>
          <w:highlight w:val="none"/>
        </w:rPr>
      </w:pPr>
    </w:p>
    <w:p w14:paraId="41A485B6">
      <w:pPr>
        <w:adjustRightInd w:val="0"/>
        <w:snapToGrid w:val="0"/>
        <w:rPr>
          <w:rFonts w:asciiTheme="majorEastAsia" w:hAnsiTheme="majorEastAsia" w:eastAsiaTheme="majorEastAsia" w:cstheme="majorEastAsia"/>
          <w:color w:val="auto"/>
          <w:sz w:val="24"/>
          <w:highlight w:val="none"/>
        </w:rPr>
      </w:pPr>
    </w:p>
    <w:p w14:paraId="3C8A7B5A">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（签字页）</w:t>
      </w:r>
    </w:p>
    <w:p w14:paraId="6B9BC8E4">
      <w:pPr>
        <w:adjustRightInd w:val="0"/>
        <w:snapToGrid w:val="0"/>
        <w:rPr>
          <w:rFonts w:asciiTheme="majorEastAsia" w:hAnsiTheme="majorEastAsia" w:eastAsiaTheme="majorEastAsia" w:cstheme="majorEastAsia"/>
          <w:color w:val="auto"/>
          <w:sz w:val="24"/>
          <w:highlight w:val="none"/>
        </w:rPr>
      </w:pPr>
    </w:p>
    <w:p w14:paraId="7F041053">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甲方1（盖章）：                      法定代表人/负责人（签字或盖章）：</w:t>
      </w:r>
    </w:p>
    <w:p w14:paraId="037717B6">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授权代理人（签字或盖章）：</w:t>
      </w:r>
    </w:p>
    <w:p w14:paraId="70E04548">
      <w:pPr>
        <w:adjustRightInd w:val="0"/>
        <w:snapToGrid w:val="0"/>
        <w:jc w:val="righ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协议签订日期：       年    月    日</w:t>
      </w:r>
    </w:p>
    <w:p w14:paraId="6ADA72D9">
      <w:pPr>
        <w:adjustRightInd w:val="0"/>
        <w:snapToGrid w:val="0"/>
        <w:ind w:firstLine="1200" w:firstLineChars="500"/>
        <w:rPr>
          <w:rFonts w:asciiTheme="majorEastAsia" w:hAnsiTheme="majorEastAsia" w:eastAsiaTheme="majorEastAsia" w:cstheme="majorEastAsia"/>
          <w:color w:val="auto"/>
          <w:sz w:val="24"/>
          <w:highlight w:val="none"/>
        </w:rPr>
      </w:pPr>
    </w:p>
    <w:p w14:paraId="2E7B86E5">
      <w:pPr>
        <w:adjustRightInd w:val="0"/>
        <w:snapToGrid w:val="0"/>
        <w:ind w:firstLine="1200" w:firstLineChars="500"/>
        <w:rPr>
          <w:rFonts w:asciiTheme="majorEastAsia" w:hAnsiTheme="majorEastAsia" w:eastAsiaTheme="majorEastAsia" w:cstheme="majorEastAsia"/>
          <w:color w:val="auto"/>
          <w:sz w:val="24"/>
          <w:highlight w:val="none"/>
        </w:rPr>
      </w:pPr>
    </w:p>
    <w:p w14:paraId="78E3DCFE">
      <w:pPr>
        <w:adjustRightInd w:val="0"/>
        <w:snapToGrid w:val="0"/>
        <w:ind w:firstLine="1200" w:firstLineChars="500"/>
        <w:rPr>
          <w:rFonts w:asciiTheme="majorEastAsia" w:hAnsiTheme="majorEastAsia" w:eastAsiaTheme="majorEastAsia" w:cstheme="majorEastAsia"/>
          <w:color w:val="auto"/>
          <w:sz w:val="24"/>
          <w:highlight w:val="none"/>
        </w:rPr>
      </w:pPr>
    </w:p>
    <w:p w14:paraId="3CE047C8">
      <w:pPr>
        <w:adjustRightInd w:val="0"/>
        <w:snapToGrid w:val="0"/>
        <w:ind w:firstLine="1200" w:firstLineChars="500"/>
        <w:rPr>
          <w:rFonts w:asciiTheme="majorEastAsia" w:hAnsiTheme="majorEastAsia" w:eastAsiaTheme="majorEastAsia" w:cstheme="majorEastAsia"/>
          <w:color w:val="auto"/>
          <w:sz w:val="24"/>
          <w:highlight w:val="none"/>
        </w:rPr>
      </w:pPr>
    </w:p>
    <w:p w14:paraId="5D8237E8">
      <w:pPr>
        <w:adjustRightInd w:val="0"/>
        <w:snapToGrid w:val="0"/>
        <w:ind w:firstLine="1200" w:firstLineChars="500"/>
        <w:rPr>
          <w:rFonts w:asciiTheme="majorEastAsia" w:hAnsiTheme="majorEastAsia" w:eastAsiaTheme="majorEastAsia" w:cstheme="majorEastAsia"/>
          <w:color w:val="auto"/>
          <w:sz w:val="24"/>
          <w:highlight w:val="none"/>
        </w:rPr>
      </w:pPr>
    </w:p>
    <w:p w14:paraId="4395216B">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甲方2（盖章）：                      法定代表人/负责人（签字或盖章）：</w:t>
      </w:r>
    </w:p>
    <w:p w14:paraId="20A873E3">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 w:val="24"/>
          <w:highlight w:val="none"/>
        </w:rPr>
        <w:t>授权代理人（签字或盖章）：</w:t>
      </w:r>
    </w:p>
    <w:p w14:paraId="4FF5B154">
      <w:pPr>
        <w:adjustRightInd w:val="0"/>
        <w:snapToGrid w:val="0"/>
        <w:ind w:firstLine="4080" w:firstLineChars="17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协议签订日期：       年    月    日</w:t>
      </w:r>
    </w:p>
    <w:p w14:paraId="03DD7199">
      <w:pPr>
        <w:adjustRightInd w:val="0"/>
        <w:snapToGrid w:val="0"/>
        <w:rPr>
          <w:rFonts w:asciiTheme="majorEastAsia" w:hAnsiTheme="majorEastAsia" w:eastAsiaTheme="majorEastAsia" w:cstheme="majorEastAsia"/>
          <w:color w:val="auto"/>
          <w:sz w:val="24"/>
          <w:highlight w:val="none"/>
        </w:rPr>
      </w:pPr>
    </w:p>
    <w:p w14:paraId="1B4BF452">
      <w:pPr>
        <w:adjustRightInd w:val="0"/>
        <w:snapToGrid w:val="0"/>
        <w:rPr>
          <w:rFonts w:asciiTheme="majorEastAsia" w:hAnsiTheme="majorEastAsia" w:eastAsiaTheme="majorEastAsia" w:cstheme="majorEastAsia"/>
          <w:color w:val="auto"/>
          <w:sz w:val="24"/>
          <w:highlight w:val="none"/>
        </w:rPr>
      </w:pPr>
    </w:p>
    <w:p w14:paraId="058E829A">
      <w:pPr>
        <w:adjustRightInd w:val="0"/>
        <w:snapToGrid w:val="0"/>
        <w:rPr>
          <w:rFonts w:asciiTheme="majorEastAsia" w:hAnsiTheme="majorEastAsia" w:eastAsiaTheme="majorEastAsia" w:cstheme="majorEastAsia"/>
          <w:color w:val="auto"/>
          <w:sz w:val="24"/>
          <w:highlight w:val="none"/>
        </w:rPr>
      </w:pPr>
    </w:p>
    <w:p w14:paraId="20D1103E">
      <w:pPr>
        <w:adjustRightInd w:val="0"/>
        <w:snapToGrid w:val="0"/>
        <w:rPr>
          <w:rFonts w:asciiTheme="majorEastAsia" w:hAnsiTheme="majorEastAsia" w:eastAsiaTheme="majorEastAsia" w:cstheme="majorEastAsia"/>
          <w:color w:val="auto"/>
          <w:sz w:val="24"/>
          <w:highlight w:val="none"/>
        </w:rPr>
      </w:pPr>
    </w:p>
    <w:p w14:paraId="07FC2A61">
      <w:pPr>
        <w:adjustRightInd w:val="0"/>
        <w:snapToGrid w:val="0"/>
        <w:rPr>
          <w:rFonts w:asciiTheme="majorEastAsia" w:hAnsiTheme="majorEastAsia" w:eastAsiaTheme="majorEastAsia" w:cstheme="majorEastAsia"/>
          <w:color w:val="auto"/>
          <w:sz w:val="24"/>
          <w:highlight w:val="none"/>
        </w:rPr>
      </w:pPr>
    </w:p>
    <w:p w14:paraId="1F5A94D3">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乙方（盖章）：                      法定代表人/负责人（签字或盖章）：</w:t>
      </w:r>
    </w:p>
    <w:p w14:paraId="64A6052E">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授权代理人（签字或盖章）：</w:t>
      </w:r>
    </w:p>
    <w:p w14:paraId="7536930A">
      <w:pPr>
        <w:adjustRightInd w:val="0"/>
        <w:snapToGrid w:val="0"/>
        <w:ind w:firstLine="4080" w:firstLineChars="17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协议签订日期：       年    月    日</w:t>
      </w:r>
    </w:p>
    <w:p w14:paraId="0CA59D4E">
      <w:pPr>
        <w:adjustRightInd w:val="0"/>
        <w:snapToGrid w:val="0"/>
        <w:jc w:val="right"/>
        <w:rPr>
          <w:rFonts w:asciiTheme="majorEastAsia" w:hAnsiTheme="majorEastAsia" w:eastAsiaTheme="majorEastAsia" w:cstheme="majorEastAsia"/>
          <w:color w:val="auto"/>
          <w:sz w:val="24"/>
          <w:highlight w:val="none"/>
        </w:rPr>
      </w:pPr>
    </w:p>
    <w:p w14:paraId="5550847C">
      <w:pPr>
        <w:adjustRightInd w:val="0"/>
        <w:snapToGrid w:val="0"/>
        <w:jc w:val="right"/>
        <w:rPr>
          <w:rFonts w:asciiTheme="majorEastAsia" w:hAnsiTheme="majorEastAsia" w:eastAsiaTheme="majorEastAsia" w:cstheme="majorEastAsia"/>
          <w:color w:val="auto"/>
          <w:sz w:val="24"/>
          <w:highlight w:val="none"/>
        </w:rPr>
      </w:pPr>
    </w:p>
    <w:p w14:paraId="6B781C22">
      <w:pPr>
        <w:adjustRightInd w:val="0"/>
        <w:snapToGrid w:val="0"/>
        <w:jc w:val="right"/>
        <w:rPr>
          <w:rFonts w:asciiTheme="majorEastAsia" w:hAnsiTheme="majorEastAsia" w:eastAsiaTheme="majorEastAsia" w:cstheme="majorEastAsia"/>
          <w:color w:val="auto"/>
          <w:sz w:val="24"/>
          <w:highlight w:val="none"/>
        </w:rPr>
      </w:pPr>
    </w:p>
    <w:p w14:paraId="037291FE">
      <w:pPr>
        <w:adjustRightInd w:val="0"/>
        <w:snapToGrid w:val="0"/>
        <w:jc w:val="right"/>
        <w:rPr>
          <w:rFonts w:asciiTheme="majorEastAsia" w:hAnsiTheme="majorEastAsia" w:eastAsiaTheme="majorEastAsia" w:cstheme="majorEastAsia"/>
          <w:color w:val="auto"/>
          <w:sz w:val="24"/>
          <w:highlight w:val="none"/>
        </w:rPr>
      </w:pPr>
    </w:p>
    <w:p w14:paraId="055A83A8">
      <w:pPr>
        <w:adjustRightInd w:val="0"/>
        <w:snapToGrid w:val="0"/>
        <w:rPr>
          <w:rFonts w:asciiTheme="majorEastAsia" w:hAnsiTheme="majorEastAsia" w:eastAsiaTheme="majorEastAsia" w:cstheme="majorEastAsia"/>
          <w:color w:val="auto"/>
          <w:sz w:val="24"/>
          <w:highlight w:val="none"/>
        </w:rPr>
      </w:pPr>
    </w:p>
    <w:p w14:paraId="24F5DFCD">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丙方（盖章）：                      法定代表人/负责人（签字或盖章）：</w:t>
      </w:r>
    </w:p>
    <w:p w14:paraId="3C34F825">
      <w:pPr>
        <w:adjustRightInd w:val="0"/>
        <w:snapToGrid w:val="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授权代理人（签字或盖章）：</w:t>
      </w:r>
    </w:p>
    <w:p w14:paraId="5CF5F9DF">
      <w:pPr>
        <w:adjustRightInd w:val="0"/>
        <w:snapToGrid w:val="0"/>
        <w:ind w:firstLine="4080" w:firstLineChars="17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协议签订日期：       年    月    日</w:t>
      </w:r>
    </w:p>
    <w:p w14:paraId="403AC1A4">
      <w:pPr>
        <w:adjustRightInd w:val="0"/>
        <w:snapToGrid w:val="0"/>
        <w:jc w:val="left"/>
        <w:rPr>
          <w:rFonts w:asciiTheme="majorEastAsia" w:hAnsiTheme="majorEastAsia" w:eastAsiaTheme="majorEastAsia" w:cstheme="majorEastAsia"/>
          <w:color w:val="auto"/>
          <w:sz w:val="28"/>
          <w:szCs w:val="28"/>
          <w:highlight w:val="none"/>
        </w:rPr>
      </w:pPr>
    </w:p>
    <w:p w14:paraId="60A59277">
      <w:pPr>
        <w:adjustRightInd w:val="0"/>
        <w:snapToGrid w:val="0"/>
        <w:ind w:firstLine="1400" w:firstLineChars="500"/>
        <w:rPr>
          <w:rFonts w:asciiTheme="majorEastAsia" w:hAnsiTheme="majorEastAsia" w:eastAsiaTheme="majorEastAsia" w:cstheme="majorEastAsia"/>
          <w:color w:val="auto"/>
          <w:sz w:val="28"/>
          <w:szCs w:val="28"/>
          <w:highlight w:val="none"/>
        </w:rPr>
      </w:pPr>
    </w:p>
    <w:p w14:paraId="0CF2ED48">
      <w:pPr>
        <w:adjustRightInd w:val="0"/>
        <w:snapToGrid w:val="0"/>
        <w:rPr>
          <w:rFonts w:asciiTheme="majorEastAsia" w:hAnsiTheme="majorEastAsia" w:eastAsiaTheme="majorEastAsia" w:cstheme="majorEastAsia"/>
          <w:color w:val="auto"/>
          <w:sz w:val="28"/>
          <w:szCs w:val="28"/>
          <w:highlight w:val="none"/>
        </w:rPr>
      </w:pPr>
    </w:p>
    <w:bookmarkEnd w:id="0"/>
    <w:sectPr>
      <w:footerReference r:id="rId3" w:type="default"/>
      <w:pgSz w:w="11906" w:h="16838"/>
      <w:pgMar w:top="1440" w:right="1800" w:bottom="1440" w:left="1800" w:header="851" w:footer="992" w:gutter="0"/>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375144"/>
    </w:sdtPr>
    <w:sdtContent>
      <w:p w14:paraId="49D3C4E9">
        <w:pPr>
          <w:pStyle w:val="4"/>
          <w:jc w:val="center"/>
        </w:pPr>
        <w:r>
          <w:fldChar w:fldCharType="begin"/>
        </w:r>
        <w:r>
          <w:instrText xml:space="preserve">PAGE   \* MERGEFORMAT</w:instrText>
        </w:r>
        <w:r>
          <w:fldChar w:fldCharType="separate"/>
        </w:r>
        <w:r>
          <w:rPr>
            <w:lang w:val="zh-CN"/>
          </w:rPr>
          <w:t>3</w:t>
        </w:r>
        <w:r>
          <w:fldChar w:fldCharType="end"/>
        </w:r>
      </w:p>
    </w:sdtContent>
  </w:sdt>
  <w:p w14:paraId="658A40B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YjY2ZjI4ODg5MGZjMjk5NjlmNjMzM2Q0MDE5ZTUifQ=="/>
  </w:docVars>
  <w:rsids>
    <w:rsidRoot w:val="54ED471E"/>
    <w:rsid w:val="00054510"/>
    <w:rsid w:val="00065F29"/>
    <w:rsid w:val="00082F6E"/>
    <w:rsid w:val="00091676"/>
    <w:rsid w:val="000A1223"/>
    <w:rsid w:val="000F2FF8"/>
    <w:rsid w:val="000F301D"/>
    <w:rsid w:val="000F3E25"/>
    <w:rsid w:val="0010117D"/>
    <w:rsid w:val="0010687E"/>
    <w:rsid w:val="001325DC"/>
    <w:rsid w:val="001737C0"/>
    <w:rsid w:val="0018256D"/>
    <w:rsid w:val="00185406"/>
    <w:rsid w:val="00192CDB"/>
    <w:rsid w:val="00196306"/>
    <w:rsid w:val="001B4527"/>
    <w:rsid w:val="001D4B3D"/>
    <w:rsid w:val="001D642C"/>
    <w:rsid w:val="00223764"/>
    <w:rsid w:val="00230A72"/>
    <w:rsid w:val="002456B5"/>
    <w:rsid w:val="00253652"/>
    <w:rsid w:val="0026504B"/>
    <w:rsid w:val="002718F4"/>
    <w:rsid w:val="00273BA7"/>
    <w:rsid w:val="002752BC"/>
    <w:rsid w:val="002A2D24"/>
    <w:rsid w:val="002D613F"/>
    <w:rsid w:val="00303804"/>
    <w:rsid w:val="003348BB"/>
    <w:rsid w:val="0035469B"/>
    <w:rsid w:val="003832BD"/>
    <w:rsid w:val="0038436D"/>
    <w:rsid w:val="00385E58"/>
    <w:rsid w:val="003878B0"/>
    <w:rsid w:val="00392593"/>
    <w:rsid w:val="003A3993"/>
    <w:rsid w:val="003B1130"/>
    <w:rsid w:val="003E48EA"/>
    <w:rsid w:val="00437670"/>
    <w:rsid w:val="00490ACC"/>
    <w:rsid w:val="004E00EC"/>
    <w:rsid w:val="004F1B07"/>
    <w:rsid w:val="004F7E45"/>
    <w:rsid w:val="00526896"/>
    <w:rsid w:val="0054059F"/>
    <w:rsid w:val="00545F6E"/>
    <w:rsid w:val="00570F06"/>
    <w:rsid w:val="005D728F"/>
    <w:rsid w:val="005E25A7"/>
    <w:rsid w:val="005E3728"/>
    <w:rsid w:val="005F3DCC"/>
    <w:rsid w:val="00610F9D"/>
    <w:rsid w:val="00615F79"/>
    <w:rsid w:val="00632C50"/>
    <w:rsid w:val="006603C8"/>
    <w:rsid w:val="00694A95"/>
    <w:rsid w:val="006A1D60"/>
    <w:rsid w:val="006F1D98"/>
    <w:rsid w:val="006F2AE3"/>
    <w:rsid w:val="007202CC"/>
    <w:rsid w:val="00736B8B"/>
    <w:rsid w:val="007457BE"/>
    <w:rsid w:val="007557BF"/>
    <w:rsid w:val="007629FC"/>
    <w:rsid w:val="00767745"/>
    <w:rsid w:val="007703CE"/>
    <w:rsid w:val="0079247B"/>
    <w:rsid w:val="00795B63"/>
    <w:rsid w:val="007B0EB1"/>
    <w:rsid w:val="007B7F61"/>
    <w:rsid w:val="007C2086"/>
    <w:rsid w:val="007F3E5A"/>
    <w:rsid w:val="00805C16"/>
    <w:rsid w:val="0081108C"/>
    <w:rsid w:val="00811456"/>
    <w:rsid w:val="008116DF"/>
    <w:rsid w:val="008147BE"/>
    <w:rsid w:val="008237E3"/>
    <w:rsid w:val="00824D7E"/>
    <w:rsid w:val="00837635"/>
    <w:rsid w:val="0084346B"/>
    <w:rsid w:val="008569A7"/>
    <w:rsid w:val="00861F86"/>
    <w:rsid w:val="008632C3"/>
    <w:rsid w:val="008813DE"/>
    <w:rsid w:val="008E3E9B"/>
    <w:rsid w:val="008E5719"/>
    <w:rsid w:val="008E74DB"/>
    <w:rsid w:val="008F494D"/>
    <w:rsid w:val="008F6874"/>
    <w:rsid w:val="00946FAF"/>
    <w:rsid w:val="0096121E"/>
    <w:rsid w:val="00962788"/>
    <w:rsid w:val="0097289E"/>
    <w:rsid w:val="00983DA3"/>
    <w:rsid w:val="009C78BA"/>
    <w:rsid w:val="00A07889"/>
    <w:rsid w:val="00A57AEA"/>
    <w:rsid w:val="00A63233"/>
    <w:rsid w:val="00AC2270"/>
    <w:rsid w:val="00AD226E"/>
    <w:rsid w:val="00AE1BCB"/>
    <w:rsid w:val="00AF481F"/>
    <w:rsid w:val="00B14B2E"/>
    <w:rsid w:val="00B46D0E"/>
    <w:rsid w:val="00B740A1"/>
    <w:rsid w:val="00B80FDB"/>
    <w:rsid w:val="00BA0E81"/>
    <w:rsid w:val="00BA1BEF"/>
    <w:rsid w:val="00BC2E9E"/>
    <w:rsid w:val="00BD6FC2"/>
    <w:rsid w:val="00BF506F"/>
    <w:rsid w:val="00C01D00"/>
    <w:rsid w:val="00C14068"/>
    <w:rsid w:val="00C25B78"/>
    <w:rsid w:val="00C2661F"/>
    <w:rsid w:val="00C43284"/>
    <w:rsid w:val="00C73F9E"/>
    <w:rsid w:val="00C848CE"/>
    <w:rsid w:val="00C87347"/>
    <w:rsid w:val="00CA4FBC"/>
    <w:rsid w:val="00CB02FA"/>
    <w:rsid w:val="00CB71EF"/>
    <w:rsid w:val="00CC1816"/>
    <w:rsid w:val="00CF525F"/>
    <w:rsid w:val="00CF7DD3"/>
    <w:rsid w:val="00D00429"/>
    <w:rsid w:val="00D01143"/>
    <w:rsid w:val="00D136A2"/>
    <w:rsid w:val="00D16089"/>
    <w:rsid w:val="00D20159"/>
    <w:rsid w:val="00D50E22"/>
    <w:rsid w:val="00D54701"/>
    <w:rsid w:val="00D766CC"/>
    <w:rsid w:val="00D909A3"/>
    <w:rsid w:val="00DA20DF"/>
    <w:rsid w:val="00DA3DF9"/>
    <w:rsid w:val="00DA6544"/>
    <w:rsid w:val="00DB035A"/>
    <w:rsid w:val="00DC056E"/>
    <w:rsid w:val="00DD36F5"/>
    <w:rsid w:val="00DD4343"/>
    <w:rsid w:val="00DF7D6F"/>
    <w:rsid w:val="00E0129A"/>
    <w:rsid w:val="00E20DCA"/>
    <w:rsid w:val="00E26568"/>
    <w:rsid w:val="00E3050D"/>
    <w:rsid w:val="00E31759"/>
    <w:rsid w:val="00E859D7"/>
    <w:rsid w:val="00EA0006"/>
    <w:rsid w:val="00EA5FFA"/>
    <w:rsid w:val="00EB3748"/>
    <w:rsid w:val="00ED0158"/>
    <w:rsid w:val="00ED12D3"/>
    <w:rsid w:val="00F2580C"/>
    <w:rsid w:val="00F61BBC"/>
    <w:rsid w:val="00F831CA"/>
    <w:rsid w:val="00F853BD"/>
    <w:rsid w:val="00F95F8B"/>
    <w:rsid w:val="00FF476A"/>
    <w:rsid w:val="023A777F"/>
    <w:rsid w:val="025739FF"/>
    <w:rsid w:val="0402799B"/>
    <w:rsid w:val="05850883"/>
    <w:rsid w:val="062260D2"/>
    <w:rsid w:val="067A4160"/>
    <w:rsid w:val="08EE4992"/>
    <w:rsid w:val="0A124DEA"/>
    <w:rsid w:val="0A456833"/>
    <w:rsid w:val="0A486323"/>
    <w:rsid w:val="0A4E0E8A"/>
    <w:rsid w:val="0A682522"/>
    <w:rsid w:val="0AB62126"/>
    <w:rsid w:val="0AC91212"/>
    <w:rsid w:val="0B02316B"/>
    <w:rsid w:val="0B0E05DE"/>
    <w:rsid w:val="0BCB0FBA"/>
    <w:rsid w:val="0CDE5E6B"/>
    <w:rsid w:val="0CFE68C1"/>
    <w:rsid w:val="0D0522AA"/>
    <w:rsid w:val="0D553231"/>
    <w:rsid w:val="0E994B03"/>
    <w:rsid w:val="0F256C33"/>
    <w:rsid w:val="0FA944DF"/>
    <w:rsid w:val="10417A9D"/>
    <w:rsid w:val="11F27D13"/>
    <w:rsid w:val="122E5DFF"/>
    <w:rsid w:val="129156AF"/>
    <w:rsid w:val="12B24C82"/>
    <w:rsid w:val="12E27C00"/>
    <w:rsid w:val="12F72695"/>
    <w:rsid w:val="13054DB2"/>
    <w:rsid w:val="135D4BEE"/>
    <w:rsid w:val="14D94748"/>
    <w:rsid w:val="16307B58"/>
    <w:rsid w:val="16AA30CE"/>
    <w:rsid w:val="17152702"/>
    <w:rsid w:val="17767219"/>
    <w:rsid w:val="17C074F9"/>
    <w:rsid w:val="19251B7E"/>
    <w:rsid w:val="1A385A31"/>
    <w:rsid w:val="1A6E148E"/>
    <w:rsid w:val="1C7D7329"/>
    <w:rsid w:val="1CDE7049"/>
    <w:rsid w:val="1CE1479D"/>
    <w:rsid w:val="1D9E4D0F"/>
    <w:rsid w:val="1F040613"/>
    <w:rsid w:val="1F52137F"/>
    <w:rsid w:val="20481DE0"/>
    <w:rsid w:val="20914128"/>
    <w:rsid w:val="21000617"/>
    <w:rsid w:val="21DC7625"/>
    <w:rsid w:val="21FE13B0"/>
    <w:rsid w:val="251224A0"/>
    <w:rsid w:val="25452C61"/>
    <w:rsid w:val="25837047"/>
    <w:rsid w:val="25861774"/>
    <w:rsid w:val="26287E6D"/>
    <w:rsid w:val="267D3C02"/>
    <w:rsid w:val="26CF59AB"/>
    <w:rsid w:val="270F5DA7"/>
    <w:rsid w:val="283662C0"/>
    <w:rsid w:val="286F11F3"/>
    <w:rsid w:val="28B210E0"/>
    <w:rsid w:val="29695805"/>
    <w:rsid w:val="2A0E2346"/>
    <w:rsid w:val="2A1B7C62"/>
    <w:rsid w:val="2A564F1C"/>
    <w:rsid w:val="2B0C0F7B"/>
    <w:rsid w:val="2B5B780D"/>
    <w:rsid w:val="2CCC3EDE"/>
    <w:rsid w:val="2CE34FC7"/>
    <w:rsid w:val="2D0637A8"/>
    <w:rsid w:val="2D7921CC"/>
    <w:rsid w:val="2DE81100"/>
    <w:rsid w:val="2E556795"/>
    <w:rsid w:val="2EA03D9F"/>
    <w:rsid w:val="2EAD4823"/>
    <w:rsid w:val="2F455AF8"/>
    <w:rsid w:val="300A7A53"/>
    <w:rsid w:val="3098505F"/>
    <w:rsid w:val="320104FF"/>
    <w:rsid w:val="32070E04"/>
    <w:rsid w:val="32747406"/>
    <w:rsid w:val="3284589B"/>
    <w:rsid w:val="32A73338"/>
    <w:rsid w:val="32BF4419"/>
    <w:rsid w:val="32CC7242"/>
    <w:rsid w:val="3328091C"/>
    <w:rsid w:val="33490893"/>
    <w:rsid w:val="33A1247D"/>
    <w:rsid w:val="352C522B"/>
    <w:rsid w:val="35507CB7"/>
    <w:rsid w:val="35800DC0"/>
    <w:rsid w:val="35F93D1E"/>
    <w:rsid w:val="3658280C"/>
    <w:rsid w:val="36DF64CC"/>
    <w:rsid w:val="3810197F"/>
    <w:rsid w:val="39FB0B42"/>
    <w:rsid w:val="3A922B1F"/>
    <w:rsid w:val="3ADE5D64"/>
    <w:rsid w:val="3B5D4EDB"/>
    <w:rsid w:val="3BD827B4"/>
    <w:rsid w:val="3C4A3100"/>
    <w:rsid w:val="3DFF6660"/>
    <w:rsid w:val="3ECB4852"/>
    <w:rsid w:val="3EE55332"/>
    <w:rsid w:val="3EEB0824"/>
    <w:rsid w:val="3F316243"/>
    <w:rsid w:val="3F732F1F"/>
    <w:rsid w:val="40AF3CC5"/>
    <w:rsid w:val="40D55514"/>
    <w:rsid w:val="40E67721"/>
    <w:rsid w:val="410F0F6B"/>
    <w:rsid w:val="41803457"/>
    <w:rsid w:val="42772D26"/>
    <w:rsid w:val="43727992"/>
    <w:rsid w:val="4456437F"/>
    <w:rsid w:val="452F78E8"/>
    <w:rsid w:val="45886FF9"/>
    <w:rsid w:val="45AE0D6B"/>
    <w:rsid w:val="46303A7D"/>
    <w:rsid w:val="46BA1434"/>
    <w:rsid w:val="475945BE"/>
    <w:rsid w:val="48DC2475"/>
    <w:rsid w:val="4AD625B4"/>
    <w:rsid w:val="4B7940D7"/>
    <w:rsid w:val="4CB80585"/>
    <w:rsid w:val="4DF94F37"/>
    <w:rsid w:val="4E943167"/>
    <w:rsid w:val="4E994781"/>
    <w:rsid w:val="4EF96DD3"/>
    <w:rsid w:val="501716A5"/>
    <w:rsid w:val="50DB45DF"/>
    <w:rsid w:val="51E25CE3"/>
    <w:rsid w:val="528F7C18"/>
    <w:rsid w:val="53A3031B"/>
    <w:rsid w:val="54D44008"/>
    <w:rsid w:val="54ED471E"/>
    <w:rsid w:val="554A42CB"/>
    <w:rsid w:val="55833339"/>
    <w:rsid w:val="55A34781"/>
    <w:rsid w:val="56A75625"/>
    <w:rsid w:val="56E235EF"/>
    <w:rsid w:val="570606C5"/>
    <w:rsid w:val="57122F8A"/>
    <w:rsid w:val="58DC7930"/>
    <w:rsid w:val="58E97957"/>
    <w:rsid w:val="58F44C79"/>
    <w:rsid w:val="591D76D3"/>
    <w:rsid w:val="599757D5"/>
    <w:rsid w:val="59C53F20"/>
    <w:rsid w:val="5C292E8C"/>
    <w:rsid w:val="5C814A76"/>
    <w:rsid w:val="5CCA2F91"/>
    <w:rsid w:val="5CD56B70"/>
    <w:rsid w:val="5D1D7381"/>
    <w:rsid w:val="5D747BFB"/>
    <w:rsid w:val="5E0C5F77"/>
    <w:rsid w:val="5E79177D"/>
    <w:rsid w:val="5EF332DD"/>
    <w:rsid w:val="61A30FEA"/>
    <w:rsid w:val="626B7D0D"/>
    <w:rsid w:val="62D653F0"/>
    <w:rsid w:val="633B16F7"/>
    <w:rsid w:val="63666773"/>
    <w:rsid w:val="63780255"/>
    <w:rsid w:val="641C6E32"/>
    <w:rsid w:val="64713622"/>
    <w:rsid w:val="64CB46B6"/>
    <w:rsid w:val="652A31DB"/>
    <w:rsid w:val="659C6963"/>
    <w:rsid w:val="65C07C91"/>
    <w:rsid w:val="66E04A8F"/>
    <w:rsid w:val="670F72F4"/>
    <w:rsid w:val="68B65AA7"/>
    <w:rsid w:val="68C33D20"/>
    <w:rsid w:val="69676D99"/>
    <w:rsid w:val="69821E2D"/>
    <w:rsid w:val="6B12521B"/>
    <w:rsid w:val="6B340F05"/>
    <w:rsid w:val="6B855C05"/>
    <w:rsid w:val="6B99520C"/>
    <w:rsid w:val="6CD40BF2"/>
    <w:rsid w:val="6CDE381E"/>
    <w:rsid w:val="6D19441E"/>
    <w:rsid w:val="6E396D28"/>
    <w:rsid w:val="6E815C55"/>
    <w:rsid w:val="6F0B6421"/>
    <w:rsid w:val="708741CD"/>
    <w:rsid w:val="718524BB"/>
    <w:rsid w:val="71C05959"/>
    <w:rsid w:val="72141A90"/>
    <w:rsid w:val="72AC0017"/>
    <w:rsid w:val="72D10CA1"/>
    <w:rsid w:val="73352058"/>
    <w:rsid w:val="744C5512"/>
    <w:rsid w:val="74C74B98"/>
    <w:rsid w:val="74D86DA5"/>
    <w:rsid w:val="75A47D7D"/>
    <w:rsid w:val="7608485E"/>
    <w:rsid w:val="76465F91"/>
    <w:rsid w:val="767C2DB3"/>
    <w:rsid w:val="76AC04E9"/>
    <w:rsid w:val="76CF41D8"/>
    <w:rsid w:val="770B2505"/>
    <w:rsid w:val="77324E93"/>
    <w:rsid w:val="77B21B30"/>
    <w:rsid w:val="780B7929"/>
    <w:rsid w:val="797519BC"/>
    <w:rsid w:val="7A4E77B2"/>
    <w:rsid w:val="7B874722"/>
    <w:rsid w:val="7C150324"/>
    <w:rsid w:val="7C645B4E"/>
    <w:rsid w:val="7EE5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99"/>
    <w:rPr>
      <w:kern w:val="2"/>
      <w:sz w:val="18"/>
      <w:szCs w:val="18"/>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8599-D9E4-4DE9-BB16-BB8FC7C4F5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2202</Words>
  <Characters>2223</Characters>
  <Lines>19</Lines>
  <Paragraphs>5</Paragraphs>
  <TotalTime>25</TotalTime>
  <ScaleCrop>false</ScaleCrop>
  <LinksUpToDate>false</LinksUpToDate>
  <CharactersWithSpaces>2541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2022-01-11T02:27:00Z</dcterms:created>
  <dc:creator>user1</dc:creator>
  <cp:lastModifiedBy>招标代理公司</cp:lastModifiedBy>
  <cp:lastPrinted>2022-01-11T07:39:00Z</cp:lastPrinted>
  <dcterms:modified xsi:type="dcterms:W3CDTF">2025-10-30T11:54:42Z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A71A839A187E49E9AA77B02C124F43AD_13</vt:lpwstr>
  </property>
  <property fmtid="{D5CDD505-2E9C-101B-9397-08002B2CF9AE}" pid="4" name="KSOTemplateDocerSaveRecord">
    <vt:lpwstr>eyJoZGlkIjoiNWU2MjdmNzMxNTRjYTIxYmY0ZDMzNjkwYmVmNGExOTUiLCJ1c2VySWQiOiI1ODU3MzI4MTEifQ==</vt:lpwstr>
  </property>
</Properties>
</file>