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3049E">
      <w:pPr>
        <w:spacing w:line="600" w:lineRule="exact"/>
        <w:rPr>
          <w:rFonts w:hint="eastAsia" w:ascii="宋体" w:hAnsi="宋体" w:cs="宋体"/>
          <w:b/>
          <w:bCs/>
          <w:sz w:val="52"/>
          <w:szCs w:val="52"/>
        </w:rPr>
      </w:pPr>
      <w:r>
        <w:rPr>
          <w:rFonts w:hint="eastAsia" w:ascii="宋体" w:hAnsi="宋体" w:cs="宋体"/>
          <w:b/>
          <w:bCs/>
          <w:sz w:val="52"/>
          <w:szCs w:val="52"/>
        </w:rPr>
        <w:t xml:space="preserve"> </w:t>
      </w:r>
    </w:p>
    <w:p w14:paraId="6E611F02">
      <w:pPr>
        <w:pStyle w:val="17"/>
        <w:rPr>
          <w:rFonts w:hint="eastAsia" w:eastAsia="宋体"/>
          <w:lang w:eastAsia="zh-CN"/>
        </w:rPr>
      </w:pPr>
    </w:p>
    <w:p w14:paraId="72C6CDAF">
      <w:pPr>
        <w:spacing w:line="360" w:lineRule="auto"/>
        <w:jc w:val="center"/>
        <w:rPr>
          <w:rFonts w:ascii="宋体" w:hAnsi="宋体" w:eastAsia="宋体" w:cs="Times New Roman"/>
          <w:b/>
          <w:sz w:val="40"/>
          <w:szCs w:val="36"/>
        </w:rPr>
      </w:pPr>
      <w:r>
        <w:rPr>
          <w:rFonts w:hint="eastAsia" w:ascii="宋体" w:hAnsi="宋体" w:eastAsia="宋体" w:cs="Times New Roman"/>
          <w:b/>
          <w:sz w:val="40"/>
          <w:szCs w:val="36"/>
        </w:rPr>
        <w:t>国家骨干冷链物流基地建设申报方案编制服务</w:t>
      </w:r>
    </w:p>
    <w:p w14:paraId="4D744C2B">
      <w:pPr>
        <w:spacing w:line="360" w:lineRule="auto"/>
        <w:jc w:val="center"/>
        <w:rPr>
          <w:rFonts w:hint="eastAsia" w:ascii="宋体" w:hAnsi="宋体" w:eastAsia="宋体" w:cs="Times New Roman"/>
          <w:b/>
          <w:sz w:val="96"/>
          <w:szCs w:val="72"/>
        </w:rPr>
      </w:pPr>
    </w:p>
    <w:p w14:paraId="3F3998F9">
      <w:pPr>
        <w:pStyle w:val="40"/>
        <w:rPr>
          <w:rFonts w:hint="eastAsia" w:ascii="宋体" w:hAnsi="宋体" w:eastAsia="宋体" w:cs="Times New Roman"/>
          <w:b/>
          <w:sz w:val="96"/>
          <w:szCs w:val="72"/>
        </w:rPr>
      </w:pPr>
    </w:p>
    <w:p w14:paraId="6F07F7E0">
      <w:pPr>
        <w:pStyle w:val="41"/>
        <w:rPr>
          <w:rFonts w:hint="eastAsia"/>
        </w:rPr>
      </w:pPr>
    </w:p>
    <w:p w14:paraId="2ECD2DF9">
      <w:pPr>
        <w:spacing w:line="360" w:lineRule="auto"/>
        <w:jc w:val="center"/>
        <w:rPr>
          <w:rFonts w:ascii="宋体" w:hAnsi="宋体" w:eastAsia="宋体" w:cs="Times New Roman"/>
          <w:b/>
          <w:sz w:val="96"/>
          <w:szCs w:val="72"/>
        </w:rPr>
      </w:pPr>
      <w:r>
        <w:rPr>
          <w:rFonts w:hint="eastAsia" w:ascii="宋体" w:hAnsi="宋体" w:eastAsia="宋体" w:cs="Times New Roman"/>
          <w:b/>
          <w:sz w:val="96"/>
          <w:szCs w:val="72"/>
        </w:rPr>
        <w:t>招 标 文 件</w:t>
      </w:r>
    </w:p>
    <w:p w14:paraId="5046A605">
      <w:pPr>
        <w:widowControl/>
        <w:spacing w:line="360" w:lineRule="auto"/>
        <w:ind w:right="-2"/>
        <w:jc w:val="center"/>
        <w:rPr>
          <w:rFonts w:ascii="宋体" w:hAnsi="宋体" w:eastAsia="宋体" w:cs="Times New Roman"/>
          <w:b/>
          <w:sz w:val="36"/>
          <w:szCs w:val="24"/>
        </w:rPr>
      </w:pPr>
    </w:p>
    <w:p w14:paraId="3E8FF879">
      <w:pPr>
        <w:pStyle w:val="40"/>
        <w:ind w:firstLine="210"/>
      </w:pPr>
    </w:p>
    <w:p w14:paraId="43F56FC0">
      <w:pPr>
        <w:spacing w:line="360" w:lineRule="auto"/>
        <w:jc w:val="center"/>
        <w:rPr>
          <w:rFonts w:ascii="宋体" w:hAnsi="宋体" w:eastAsia="宋体" w:cs="Times New Roman"/>
          <w:sz w:val="44"/>
          <w:szCs w:val="44"/>
        </w:rPr>
      </w:pPr>
    </w:p>
    <w:p w14:paraId="78E529F0">
      <w:pPr>
        <w:pStyle w:val="2"/>
      </w:pPr>
    </w:p>
    <w:p w14:paraId="1F3970F0"/>
    <w:p w14:paraId="037F2503">
      <w:pPr>
        <w:ind w:left="630" w:leftChars="300"/>
      </w:pPr>
    </w:p>
    <w:p w14:paraId="38812794">
      <w:pPr>
        <w:spacing w:line="360" w:lineRule="auto"/>
        <w:ind w:left="1197" w:leftChars="570"/>
        <w:rPr>
          <w:rFonts w:ascii="宋体" w:hAnsi="宋体" w:eastAsia="宋体" w:cs="Times New Roman"/>
          <w:b/>
          <w:sz w:val="30"/>
          <w:szCs w:val="30"/>
        </w:rPr>
      </w:pPr>
    </w:p>
    <w:p w14:paraId="485A2B6C">
      <w:pPr>
        <w:spacing w:line="360" w:lineRule="auto"/>
        <w:ind w:left="1197" w:leftChars="570"/>
        <w:rPr>
          <w:rFonts w:hint="eastAsia" w:ascii="宋体" w:hAnsi="宋体" w:eastAsia="宋体" w:cs="Times New Roman"/>
          <w:b/>
          <w:sz w:val="30"/>
          <w:szCs w:val="30"/>
        </w:rPr>
      </w:pPr>
    </w:p>
    <w:p w14:paraId="38029F7D">
      <w:pPr>
        <w:spacing w:line="360" w:lineRule="auto"/>
        <w:ind w:left="1197" w:leftChars="570"/>
        <w:rPr>
          <w:rFonts w:hint="default" w:ascii="宋体" w:hAnsi="宋体" w:eastAsia="宋体" w:cs="Times New Roman"/>
          <w:b/>
          <w:sz w:val="30"/>
          <w:szCs w:val="30"/>
          <w:lang w:val="en-US" w:eastAsia="zh-CN"/>
        </w:rPr>
      </w:pPr>
      <w:r>
        <w:rPr>
          <w:rFonts w:hint="eastAsia" w:ascii="宋体" w:hAnsi="宋体" w:eastAsia="宋体" w:cs="Times New Roman"/>
          <w:b/>
          <w:sz w:val="30"/>
          <w:szCs w:val="30"/>
          <w:lang w:val="en-US" w:eastAsia="zh-CN"/>
        </w:rPr>
        <w:t>项目编号：JSZC-320904-SZXH-G2024-0001</w:t>
      </w:r>
    </w:p>
    <w:p w14:paraId="6D5F6328">
      <w:pPr>
        <w:spacing w:line="360" w:lineRule="auto"/>
        <w:ind w:left="1197" w:leftChars="570"/>
        <w:rPr>
          <w:rFonts w:ascii="宋体" w:hAnsi="宋体" w:eastAsia="宋体" w:cs="Times New Roman"/>
          <w:b/>
          <w:sz w:val="30"/>
          <w:szCs w:val="30"/>
        </w:rPr>
      </w:pPr>
      <w:r>
        <w:rPr>
          <w:rFonts w:hint="eastAsia" w:ascii="宋体" w:hAnsi="宋体" w:eastAsia="宋体" w:cs="Times New Roman"/>
          <w:b/>
          <w:sz w:val="30"/>
          <w:szCs w:val="30"/>
        </w:rPr>
        <w:t>采购人：江苏大丰港经济开发区管理委员会</w:t>
      </w:r>
      <w:r>
        <w:rPr>
          <w:rFonts w:ascii="宋体" w:hAnsi="宋体" w:eastAsia="宋体" w:cs="Times New Roman"/>
          <w:b/>
          <w:sz w:val="30"/>
          <w:szCs w:val="30"/>
        </w:rPr>
        <w:t xml:space="preserve"> </w:t>
      </w:r>
    </w:p>
    <w:p w14:paraId="4B27146F">
      <w:pPr>
        <w:spacing w:line="360" w:lineRule="auto"/>
        <w:ind w:left="1197" w:leftChars="570"/>
        <w:rPr>
          <w:rFonts w:hint="default" w:ascii="宋体" w:hAnsi="宋体" w:eastAsia="宋体" w:cs="Times New Roman"/>
          <w:b/>
          <w:sz w:val="30"/>
          <w:szCs w:val="30"/>
          <w:lang w:val="en-US" w:eastAsia="zh-CN"/>
        </w:rPr>
      </w:pPr>
      <w:r>
        <w:rPr>
          <w:rFonts w:hint="eastAsia" w:ascii="宋体" w:hAnsi="宋体" w:eastAsia="宋体" w:cs="Times New Roman"/>
          <w:b/>
          <w:sz w:val="30"/>
          <w:szCs w:val="30"/>
        </w:rPr>
        <w:t>采购代理机构：江苏中线行项目管理有限公司</w:t>
      </w:r>
      <w:r>
        <w:rPr>
          <w:rFonts w:hint="eastAsia" w:ascii="宋体" w:hAnsi="宋体" w:cs="Times New Roman"/>
          <w:b/>
          <w:sz w:val="30"/>
          <w:szCs w:val="30"/>
          <w:lang w:val="en-US" w:eastAsia="zh-CN"/>
        </w:rPr>
        <w:t xml:space="preserve">  </w:t>
      </w:r>
    </w:p>
    <w:p w14:paraId="11A60E83">
      <w:pPr>
        <w:jc w:val="center"/>
      </w:pPr>
      <w:r>
        <w:rPr>
          <w:rFonts w:hint="eastAsia" w:ascii="宋体" w:hAnsi="宋体" w:eastAsia="宋体" w:cs="Times New Roman"/>
          <w:b/>
          <w:sz w:val="30"/>
          <w:szCs w:val="30"/>
        </w:rPr>
        <w:t>日  期：二〇二四年</w:t>
      </w:r>
      <w:r>
        <w:rPr>
          <w:rFonts w:hint="eastAsia" w:ascii="宋体" w:hAnsi="宋体" w:eastAsia="宋体" w:cs="Times New Roman"/>
          <w:b/>
          <w:sz w:val="30"/>
          <w:szCs w:val="30"/>
          <w:lang w:val="en-US" w:eastAsia="zh-CN"/>
        </w:rPr>
        <w:t>七</w:t>
      </w:r>
      <w:r>
        <w:rPr>
          <w:rFonts w:hint="eastAsia" w:ascii="宋体" w:hAnsi="宋体" w:eastAsia="宋体" w:cs="Times New Roman"/>
          <w:b/>
          <w:sz w:val="30"/>
          <w:szCs w:val="30"/>
        </w:rPr>
        <w:t>月</w:t>
      </w:r>
    </w:p>
    <w:p w14:paraId="28F22A79">
      <w:pPr>
        <w:spacing w:line="240" w:lineRule="auto"/>
        <w:jc w:val="both"/>
        <w:rPr>
          <w:rFonts w:hint="eastAsia" w:ascii="宋体" w:hAnsi="宋体" w:eastAsia="宋体"/>
          <w:b/>
          <w:sz w:val="48"/>
          <w:lang w:eastAsia="zh-CN"/>
        </w:rPr>
      </w:pPr>
    </w:p>
    <w:p w14:paraId="1DA14988">
      <w:pPr>
        <w:pStyle w:val="17"/>
        <w:rPr>
          <w:rFonts w:hint="eastAsia" w:eastAsia="宋体"/>
          <w:lang w:eastAsia="zh-CN"/>
        </w:rPr>
      </w:pPr>
    </w:p>
    <w:p w14:paraId="7DD4C2B3">
      <w:pPr>
        <w:spacing w:line="480" w:lineRule="exact"/>
        <w:jc w:val="center"/>
        <w:rPr>
          <w:rFonts w:ascii="宋体" w:hAnsi="宋体" w:cs="宋体"/>
          <w:b/>
          <w:sz w:val="44"/>
          <w:szCs w:val="48"/>
          <w:highlight w:val="none"/>
        </w:rPr>
      </w:pPr>
      <w:r>
        <w:rPr>
          <w:rFonts w:hint="eastAsia"/>
          <w:b/>
          <w:sz w:val="32"/>
          <w:szCs w:val="32"/>
          <w:highlight w:val="none"/>
        </w:rPr>
        <w:t>目  录</w:t>
      </w:r>
    </w:p>
    <w:p w14:paraId="7CC7E10E">
      <w:pPr>
        <w:pStyle w:val="28"/>
        <w:tabs>
          <w:tab w:val="right" w:leader="dot" w:pos="9214"/>
          <w:tab w:val="clear" w:pos="9638"/>
        </w:tabs>
      </w:pPr>
      <w:bookmarkStart w:id="0" w:name="_Hlk132704898"/>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_Toc22708 </w:instrText>
      </w:r>
      <w:r>
        <w:rPr>
          <w:highlight w:val="none"/>
        </w:rPr>
        <w:fldChar w:fldCharType="separate"/>
      </w:r>
      <w:r>
        <w:rPr>
          <w:rFonts w:hint="eastAsia" w:hAnsi="宋体" w:cs="宋体"/>
          <w:szCs w:val="32"/>
          <w:highlight w:val="none"/>
        </w:rPr>
        <w:t>第一章 招标公告</w:t>
      </w:r>
      <w:r>
        <w:tab/>
      </w:r>
      <w:r>
        <w:fldChar w:fldCharType="begin"/>
      </w:r>
      <w:r>
        <w:instrText xml:space="preserve"> PAGEREF _Toc22708 \h </w:instrText>
      </w:r>
      <w:r>
        <w:fldChar w:fldCharType="separate"/>
      </w:r>
      <w:r>
        <w:t>1</w:t>
      </w:r>
      <w:r>
        <w:fldChar w:fldCharType="end"/>
      </w:r>
      <w:r>
        <w:rPr>
          <w:highlight w:val="none"/>
        </w:rPr>
        <w:fldChar w:fldCharType="end"/>
      </w:r>
    </w:p>
    <w:p w14:paraId="791A15DC">
      <w:pPr>
        <w:pStyle w:val="28"/>
        <w:tabs>
          <w:tab w:val="right" w:leader="dot" w:pos="9214"/>
          <w:tab w:val="clear" w:pos="9638"/>
        </w:tabs>
      </w:pPr>
      <w:r>
        <w:rPr>
          <w:highlight w:val="none"/>
        </w:rPr>
        <w:fldChar w:fldCharType="begin"/>
      </w:r>
      <w:r>
        <w:rPr>
          <w:highlight w:val="none"/>
        </w:rPr>
        <w:instrText xml:space="preserve"> HYPERLINK \l _Toc27253 </w:instrText>
      </w:r>
      <w:r>
        <w:rPr>
          <w:highlight w:val="none"/>
        </w:rPr>
        <w:fldChar w:fldCharType="separate"/>
      </w:r>
      <w:r>
        <w:rPr>
          <w:rFonts w:hint="eastAsia" w:ascii="宋体" w:hAnsi="宋体" w:cs="宋体"/>
          <w:szCs w:val="32"/>
          <w:highlight w:val="none"/>
        </w:rPr>
        <w:t>第二章  投标须知</w:t>
      </w:r>
      <w:r>
        <w:tab/>
      </w:r>
      <w:r>
        <w:fldChar w:fldCharType="begin"/>
      </w:r>
      <w:r>
        <w:instrText xml:space="preserve"> PAGEREF _Toc27253 \h </w:instrText>
      </w:r>
      <w:r>
        <w:fldChar w:fldCharType="separate"/>
      </w:r>
      <w:r>
        <w:t>5</w:t>
      </w:r>
      <w:r>
        <w:fldChar w:fldCharType="end"/>
      </w:r>
      <w:r>
        <w:rPr>
          <w:highlight w:val="none"/>
        </w:rPr>
        <w:fldChar w:fldCharType="end"/>
      </w:r>
    </w:p>
    <w:p w14:paraId="7CC96390">
      <w:pPr>
        <w:pStyle w:val="28"/>
        <w:tabs>
          <w:tab w:val="right" w:leader="dot" w:pos="9214"/>
          <w:tab w:val="clear" w:pos="9638"/>
        </w:tabs>
      </w:pPr>
      <w:r>
        <w:rPr>
          <w:highlight w:val="none"/>
        </w:rPr>
        <w:fldChar w:fldCharType="begin"/>
      </w:r>
      <w:r>
        <w:rPr>
          <w:highlight w:val="none"/>
        </w:rPr>
        <w:instrText xml:space="preserve"> HYPERLINK \l _Toc2935 </w:instrText>
      </w:r>
      <w:r>
        <w:rPr>
          <w:highlight w:val="none"/>
        </w:rPr>
        <w:fldChar w:fldCharType="separate"/>
      </w:r>
      <w:r>
        <w:rPr>
          <w:rFonts w:hint="eastAsia" w:ascii="宋体" w:hAnsi="宋体" w:cs="宋体"/>
          <w:szCs w:val="32"/>
          <w:highlight w:val="none"/>
        </w:rPr>
        <w:t>第三章  招标内容及</w:t>
      </w:r>
      <w:r>
        <w:rPr>
          <w:rFonts w:hint="eastAsia" w:ascii="宋体" w:hAnsi="宋体" w:cs="宋体"/>
          <w:szCs w:val="32"/>
          <w:highlight w:val="none"/>
          <w:lang w:val="en-US" w:eastAsia="zh-CN"/>
        </w:rPr>
        <w:t>采购需求</w:t>
      </w:r>
      <w:r>
        <w:tab/>
      </w:r>
      <w:r>
        <w:fldChar w:fldCharType="begin"/>
      </w:r>
      <w:r>
        <w:instrText xml:space="preserve"> PAGEREF _Toc2935 \h </w:instrText>
      </w:r>
      <w:r>
        <w:fldChar w:fldCharType="separate"/>
      </w:r>
      <w:r>
        <w:t>21</w:t>
      </w:r>
      <w:r>
        <w:fldChar w:fldCharType="end"/>
      </w:r>
      <w:r>
        <w:rPr>
          <w:highlight w:val="none"/>
        </w:rPr>
        <w:fldChar w:fldCharType="end"/>
      </w:r>
    </w:p>
    <w:p w14:paraId="3DBD8B1C">
      <w:pPr>
        <w:pStyle w:val="28"/>
        <w:tabs>
          <w:tab w:val="right" w:leader="dot" w:pos="9214"/>
          <w:tab w:val="clear" w:pos="9638"/>
        </w:tabs>
      </w:pPr>
      <w:r>
        <w:rPr>
          <w:highlight w:val="none"/>
        </w:rPr>
        <w:fldChar w:fldCharType="begin"/>
      </w:r>
      <w:r>
        <w:rPr>
          <w:highlight w:val="none"/>
        </w:rPr>
        <w:instrText xml:space="preserve"> HYPERLINK \l _Toc696 </w:instrText>
      </w:r>
      <w:r>
        <w:rPr>
          <w:highlight w:val="none"/>
        </w:rPr>
        <w:fldChar w:fldCharType="separate"/>
      </w:r>
      <w:r>
        <w:rPr>
          <w:rFonts w:hint="eastAsia" w:ascii="宋体" w:hAnsi="宋体" w:cs="宋体"/>
          <w:szCs w:val="32"/>
          <w:highlight w:val="none"/>
        </w:rPr>
        <w:t>第四章  评标办法及评分标准</w:t>
      </w:r>
      <w:r>
        <w:tab/>
      </w:r>
      <w:r>
        <w:fldChar w:fldCharType="begin"/>
      </w:r>
      <w:r>
        <w:instrText xml:space="preserve"> PAGEREF _Toc696 \h </w:instrText>
      </w:r>
      <w:r>
        <w:fldChar w:fldCharType="separate"/>
      </w:r>
      <w:r>
        <w:t>23</w:t>
      </w:r>
      <w:r>
        <w:fldChar w:fldCharType="end"/>
      </w:r>
      <w:r>
        <w:rPr>
          <w:highlight w:val="none"/>
        </w:rPr>
        <w:fldChar w:fldCharType="end"/>
      </w:r>
    </w:p>
    <w:p w14:paraId="054A1E7F">
      <w:pPr>
        <w:pStyle w:val="28"/>
        <w:tabs>
          <w:tab w:val="right" w:leader="dot" w:pos="9214"/>
          <w:tab w:val="clear" w:pos="9638"/>
        </w:tabs>
      </w:pPr>
      <w:r>
        <w:rPr>
          <w:highlight w:val="none"/>
        </w:rPr>
        <w:fldChar w:fldCharType="begin"/>
      </w:r>
      <w:r>
        <w:rPr>
          <w:highlight w:val="none"/>
        </w:rPr>
        <w:instrText xml:space="preserve"> HYPERLINK \l _Toc12422 </w:instrText>
      </w:r>
      <w:r>
        <w:rPr>
          <w:highlight w:val="none"/>
        </w:rPr>
        <w:fldChar w:fldCharType="separate"/>
      </w:r>
      <w:r>
        <w:rPr>
          <w:rFonts w:hint="eastAsia" w:ascii="宋体" w:hAnsi="宋体" w:cs="宋体"/>
          <w:szCs w:val="32"/>
          <w:highlight w:val="none"/>
        </w:rPr>
        <w:t>第五章 合同主要条款</w:t>
      </w:r>
      <w:r>
        <w:tab/>
      </w:r>
      <w:r>
        <w:fldChar w:fldCharType="begin"/>
      </w:r>
      <w:r>
        <w:instrText xml:space="preserve"> PAGEREF _Toc12422 \h </w:instrText>
      </w:r>
      <w:r>
        <w:fldChar w:fldCharType="separate"/>
      </w:r>
      <w:r>
        <w:t>28</w:t>
      </w:r>
      <w:r>
        <w:fldChar w:fldCharType="end"/>
      </w:r>
      <w:r>
        <w:rPr>
          <w:highlight w:val="none"/>
        </w:rPr>
        <w:fldChar w:fldCharType="end"/>
      </w:r>
    </w:p>
    <w:p w14:paraId="1A0B77C2">
      <w:pPr>
        <w:pStyle w:val="28"/>
        <w:tabs>
          <w:tab w:val="right" w:leader="dot" w:pos="9214"/>
          <w:tab w:val="clear" w:pos="9638"/>
        </w:tabs>
        <w:rPr>
          <w:rFonts w:hint="eastAsia" w:eastAsia="宋体"/>
          <w:lang w:val="en-US" w:eastAsia="zh-CN"/>
        </w:rPr>
      </w:pPr>
      <w:r>
        <w:rPr>
          <w:highlight w:val="none"/>
        </w:rPr>
        <w:fldChar w:fldCharType="begin"/>
      </w:r>
      <w:r>
        <w:rPr>
          <w:highlight w:val="none"/>
        </w:rPr>
        <w:instrText xml:space="preserve"> HYPERLINK \l _Toc16291 </w:instrText>
      </w:r>
      <w:r>
        <w:rPr>
          <w:highlight w:val="none"/>
        </w:rPr>
        <w:fldChar w:fldCharType="separate"/>
      </w:r>
      <w:r>
        <w:rPr>
          <w:rFonts w:hint="eastAsia" w:hAnsi="宋体" w:cs="宋体"/>
          <w:szCs w:val="32"/>
          <w:highlight w:val="none"/>
        </w:rPr>
        <w:t>第六章 投标文件及格式</w:t>
      </w:r>
      <w:r>
        <w:tab/>
      </w:r>
      <w:r>
        <w:rPr>
          <w:rFonts w:hint="eastAsia"/>
          <w:lang w:val="en-US" w:eastAsia="zh-CN"/>
        </w:rPr>
        <w:t>3</w:t>
      </w:r>
      <w:r>
        <w:rPr>
          <w:highlight w:val="none"/>
        </w:rPr>
        <w:fldChar w:fldCharType="end"/>
      </w:r>
      <w:r>
        <w:rPr>
          <w:rFonts w:hint="eastAsia"/>
          <w:highlight w:val="none"/>
          <w:lang w:val="en-US" w:eastAsia="zh-CN"/>
        </w:rPr>
        <w:t>5</w:t>
      </w:r>
    </w:p>
    <w:p w14:paraId="7A576406">
      <w:pPr>
        <w:pStyle w:val="28"/>
        <w:tabs>
          <w:tab w:val="right" w:leader="dot" w:pos="9214"/>
          <w:tab w:val="clear" w:pos="9638"/>
        </w:tabs>
      </w:pPr>
    </w:p>
    <w:p w14:paraId="0F136E24">
      <w:pPr>
        <w:pStyle w:val="21"/>
        <w:tabs>
          <w:tab w:val="center" w:pos="4718"/>
        </w:tabs>
        <w:spacing w:line="400" w:lineRule="exact"/>
        <w:jc w:val="center"/>
        <w:outlineLvl w:val="0"/>
        <w:rPr>
          <w:highlight w:val="none"/>
        </w:rPr>
        <w:sectPr>
          <w:footerReference r:id="rId3" w:type="default"/>
          <w:pgSz w:w="11906" w:h="16838"/>
          <w:pgMar w:top="1134" w:right="1274" w:bottom="1134" w:left="1305" w:header="624" w:footer="624" w:gutter="113"/>
          <w:pgNumType w:start="1"/>
          <w:cols w:space="720" w:num="1"/>
          <w:docGrid w:linePitch="360" w:charSpace="0"/>
        </w:sectPr>
      </w:pPr>
      <w:r>
        <w:rPr>
          <w:highlight w:val="none"/>
        </w:rPr>
        <w:fldChar w:fldCharType="end"/>
      </w:r>
      <w:bookmarkEnd w:id="0"/>
      <w:bookmarkStart w:id="1" w:name="_Toc120519608"/>
    </w:p>
    <w:p w14:paraId="63A6C1C1">
      <w:pPr>
        <w:pStyle w:val="21"/>
        <w:tabs>
          <w:tab w:val="center" w:pos="4718"/>
        </w:tabs>
        <w:spacing w:line="400" w:lineRule="exact"/>
        <w:jc w:val="center"/>
        <w:outlineLvl w:val="0"/>
        <w:rPr>
          <w:highlight w:val="none"/>
        </w:rPr>
      </w:pPr>
      <w:bookmarkStart w:id="2" w:name="_Toc22708"/>
      <w:r>
        <w:rPr>
          <w:rFonts w:hint="eastAsia" w:hAnsi="宋体" w:cs="宋体"/>
          <w:b/>
          <w:sz w:val="32"/>
          <w:szCs w:val="32"/>
          <w:highlight w:val="none"/>
        </w:rPr>
        <w:t>第一章 招标公告</w:t>
      </w:r>
      <w:bookmarkEnd w:id="1"/>
      <w:bookmarkEnd w:id="2"/>
    </w:p>
    <w:p w14:paraId="253AD241">
      <w:pPr>
        <w:pStyle w:val="21"/>
        <w:tabs>
          <w:tab w:val="center" w:pos="4718"/>
        </w:tabs>
        <w:spacing w:line="400" w:lineRule="exact"/>
        <w:jc w:val="center"/>
        <w:outlineLvl w:val="0"/>
        <w:rPr>
          <w:rFonts w:hAnsi="宋体" w:cs="宋体"/>
          <w:b/>
          <w:sz w:val="32"/>
          <w:szCs w:val="32"/>
          <w:highlight w:val="none"/>
        </w:rPr>
      </w:pP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28"/>
      </w:tblGrid>
      <w:tr w14:paraId="5BA50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28" w:type="dxa"/>
            <w:noWrap w:val="0"/>
          </w:tcPr>
          <w:p w14:paraId="0DBAE3AC">
            <w:pPr>
              <w:widowControl/>
              <w:spacing w:line="480" w:lineRule="exact"/>
              <w:ind w:firstLine="482"/>
              <w:jc w:val="left"/>
              <w:rPr>
                <w:rFonts w:ascii="宋体" w:hAnsi="宋体" w:cs="Arial"/>
                <w:b/>
                <w:sz w:val="24"/>
                <w:szCs w:val="24"/>
                <w:highlight w:val="none"/>
              </w:rPr>
            </w:pPr>
            <w:r>
              <w:rPr>
                <w:rFonts w:ascii="宋体" w:hAnsi="宋体" w:cs="Arial"/>
                <w:b/>
                <w:sz w:val="24"/>
                <w:szCs w:val="24"/>
                <w:highlight w:val="none"/>
              </w:rPr>
              <w:t>项目概况</w:t>
            </w:r>
          </w:p>
          <w:p w14:paraId="0A423043">
            <w:pPr>
              <w:widowControl/>
              <w:spacing w:line="480" w:lineRule="exact"/>
              <w:ind w:right="-105" w:firstLine="480"/>
              <w:jc w:val="left"/>
              <w:rPr>
                <w:rFonts w:ascii="宋体" w:hAnsi="宋体"/>
                <w:b/>
                <w:bCs/>
                <w:sz w:val="30"/>
                <w:szCs w:val="30"/>
                <w:highlight w:val="none"/>
              </w:rPr>
            </w:pPr>
            <w:r>
              <w:rPr>
                <w:rFonts w:hint="eastAsia" w:ascii="宋体" w:hAnsi="宋体" w:cs="Arial"/>
                <w:bCs/>
                <w:sz w:val="24"/>
                <w:szCs w:val="24"/>
                <w:highlight w:val="none"/>
                <w:u w:val="single"/>
                <w:lang w:eastAsia="zh-CN"/>
              </w:rPr>
              <w:t>国家骨干冷链物流基地建设申报方案编制服务</w:t>
            </w:r>
            <w:r>
              <w:rPr>
                <w:rFonts w:ascii="宋体" w:hAnsi="宋体" w:cs="Arial"/>
                <w:bCs/>
                <w:sz w:val="24"/>
                <w:szCs w:val="24"/>
                <w:highlight w:val="none"/>
              </w:rPr>
              <w:t>的潜在投标人应在</w:t>
            </w:r>
            <w:r>
              <w:rPr>
                <w:rFonts w:hint="eastAsia" w:ascii="宋体" w:hAnsi="宋体" w:cs="Arial"/>
                <w:bCs/>
                <w:sz w:val="24"/>
                <w:szCs w:val="24"/>
                <w:highlight w:val="none"/>
              </w:rPr>
              <w:t>“政府采购一体化平台（苏采云）”</w:t>
            </w:r>
            <w:r>
              <w:rPr>
                <w:rFonts w:ascii="宋体" w:hAnsi="宋体" w:cs="Arial"/>
                <w:bCs/>
                <w:sz w:val="24"/>
                <w:szCs w:val="24"/>
                <w:highlight w:val="none"/>
              </w:rPr>
              <w:t>获取招标文件，并于</w:t>
            </w:r>
            <w:r>
              <w:rPr>
                <w:rFonts w:ascii="宋体" w:hAnsi="宋体" w:cs="Arial"/>
                <w:bCs/>
                <w:sz w:val="24"/>
                <w:szCs w:val="24"/>
                <w:highlight w:val="none"/>
                <w:u w:val="single"/>
              </w:rPr>
              <w:t>2024年</w:t>
            </w:r>
            <w:bookmarkStart w:id="3" w:name="_Hlk128673662"/>
            <w:r>
              <w:rPr>
                <w:rFonts w:hint="eastAsia" w:ascii="宋体" w:hAnsi="宋体" w:cs="Arial"/>
                <w:bCs/>
                <w:sz w:val="24"/>
                <w:szCs w:val="24"/>
                <w:highlight w:val="none"/>
                <w:u w:val="single"/>
                <w:lang w:val="en-US" w:eastAsia="zh-CN"/>
              </w:rPr>
              <w:t>8月23日10时</w:t>
            </w:r>
            <w:r>
              <w:rPr>
                <w:rFonts w:ascii="宋体" w:hAnsi="宋体" w:cs="Arial"/>
                <w:bCs/>
                <w:sz w:val="24"/>
                <w:szCs w:val="24"/>
                <w:highlight w:val="none"/>
              </w:rPr>
              <w:t>（北京时间）前</w:t>
            </w:r>
            <w:bookmarkEnd w:id="3"/>
            <w:r>
              <w:rPr>
                <w:rFonts w:hint="eastAsia" w:ascii="宋体" w:hAnsi="宋体" w:cs="Arial"/>
                <w:bCs/>
                <w:sz w:val="24"/>
                <w:szCs w:val="24"/>
                <w:highlight w:val="none"/>
              </w:rPr>
              <w:t>递交</w:t>
            </w:r>
            <w:r>
              <w:rPr>
                <w:rFonts w:ascii="宋体" w:hAnsi="宋体" w:cs="Arial"/>
                <w:bCs/>
                <w:sz w:val="24"/>
                <w:szCs w:val="24"/>
                <w:highlight w:val="none"/>
              </w:rPr>
              <w:t>投标文件。</w:t>
            </w:r>
          </w:p>
        </w:tc>
      </w:tr>
    </w:tbl>
    <w:p w14:paraId="39458346">
      <w:pPr>
        <w:widowControl/>
        <w:spacing w:line="480" w:lineRule="exact"/>
        <w:ind w:firstLine="482"/>
        <w:jc w:val="left"/>
        <w:rPr>
          <w:rFonts w:ascii="宋体" w:hAnsi="宋体" w:cs="Arial"/>
          <w:b/>
          <w:sz w:val="24"/>
          <w:szCs w:val="24"/>
          <w:highlight w:val="none"/>
        </w:rPr>
      </w:pPr>
      <w:r>
        <w:rPr>
          <w:rFonts w:hint="eastAsia" w:ascii="宋体" w:hAnsi="宋体" w:cs="Arial"/>
          <w:b/>
          <w:sz w:val="24"/>
          <w:szCs w:val="24"/>
          <w:highlight w:val="none"/>
        </w:rPr>
        <w:t>一、项目基本</w:t>
      </w:r>
      <w:r>
        <w:rPr>
          <w:rFonts w:ascii="宋体" w:hAnsi="宋体" w:cs="Arial"/>
          <w:b/>
          <w:sz w:val="24"/>
          <w:szCs w:val="24"/>
          <w:highlight w:val="none"/>
        </w:rPr>
        <w:t>情况</w:t>
      </w:r>
    </w:p>
    <w:p w14:paraId="14328018">
      <w:pPr>
        <w:widowControl/>
        <w:spacing w:line="480" w:lineRule="exact"/>
        <w:ind w:firstLine="480"/>
        <w:jc w:val="left"/>
        <w:rPr>
          <w:rFonts w:hint="eastAsia" w:ascii="宋体" w:hAnsi="宋体" w:cs="Arial"/>
          <w:bCs/>
          <w:sz w:val="24"/>
          <w:szCs w:val="24"/>
          <w:highlight w:val="none"/>
        </w:rPr>
      </w:pPr>
      <w:r>
        <w:rPr>
          <w:rFonts w:hint="eastAsia" w:ascii="宋体" w:hAnsi="宋体" w:cs="Arial"/>
          <w:bCs/>
          <w:sz w:val="24"/>
          <w:szCs w:val="24"/>
          <w:highlight w:val="none"/>
        </w:rPr>
        <w:t>1.项目编号：JSZC-320904-SZXH-G2024-0001</w:t>
      </w:r>
    </w:p>
    <w:p w14:paraId="570E0DFF">
      <w:pPr>
        <w:widowControl/>
        <w:spacing w:line="480" w:lineRule="exact"/>
        <w:ind w:firstLine="480"/>
        <w:jc w:val="left"/>
        <w:rPr>
          <w:rFonts w:hint="eastAsia" w:ascii="宋体" w:hAnsi="宋体" w:eastAsia="宋体" w:cs="Arial"/>
          <w:bCs/>
          <w:sz w:val="24"/>
          <w:szCs w:val="24"/>
          <w:highlight w:val="none"/>
          <w:lang w:eastAsia="zh-CN"/>
        </w:rPr>
      </w:pPr>
      <w:r>
        <w:rPr>
          <w:rFonts w:hint="eastAsia" w:ascii="宋体" w:hAnsi="宋体" w:cs="Arial"/>
          <w:bCs/>
          <w:sz w:val="24"/>
          <w:szCs w:val="24"/>
          <w:highlight w:val="none"/>
        </w:rPr>
        <w:t>2.项目名称：</w:t>
      </w:r>
      <w:r>
        <w:rPr>
          <w:rFonts w:hint="eastAsia" w:ascii="宋体" w:hAnsi="宋体" w:cs="Arial"/>
          <w:bCs/>
          <w:spacing w:val="-4"/>
          <w:sz w:val="24"/>
          <w:szCs w:val="24"/>
          <w:highlight w:val="none"/>
          <w:lang w:eastAsia="zh-CN"/>
        </w:rPr>
        <w:t>国家骨干冷链物流基地建设申报方案编制服务</w:t>
      </w:r>
    </w:p>
    <w:p w14:paraId="23A398F1">
      <w:pPr>
        <w:widowControl/>
        <w:spacing w:line="480" w:lineRule="exact"/>
        <w:ind w:firstLine="480"/>
        <w:jc w:val="left"/>
        <w:rPr>
          <w:rFonts w:hint="eastAsia" w:ascii="宋体" w:hAnsi="宋体" w:cs="Arial"/>
          <w:bCs/>
          <w:sz w:val="24"/>
          <w:szCs w:val="24"/>
          <w:highlight w:val="none"/>
          <w:lang w:eastAsia="zh-CN"/>
        </w:rPr>
      </w:pPr>
      <w:r>
        <w:rPr>
          <w:rFonts w:hint="eastAsia" w:ascii="宋体" w:hAnsi="宋体" w:cs="Arial"/>
          <w:bCs/>
          <w:sz w:val="24"/>
          <w:szCs w:val="24"/>
          <w:highlight w:val="none"/>
        </w:rPr>
        <w:t>3.</w:t>
      </w:r>
      <w:r>
        <w:rPr>
          <w:rFonts w:hint="eastAsia" w:ascii="宋体" w:hAnsi="宋体" w:cs="Arial"/>
          <w:bCs/>
          <w:sz w:val="24"/>
          <w:szCs w:val="24"/>
          <w:highlight w:val="none"/>
          <w:lang w:val="en-US" w:eastAsia="zh-CN"/>
        </w:rPr>
        <w:t>本项目</w:t>
      </w:r>
      <w:r>
        <w:rPr>
          <w:rFonts w:hint="eastAsia" w:ascii="宋体" w:hAnsi="宋体" w:cs="Arial"/>
          <w:bCs/>
          <w:sz w:val="24"/>
          <w:szCs w:val="24"/>
          <w:highlight w:val="none"/>
        </w:rPr>
        <w:t>预算金额：</w:t>
      </w:r>
      <w:r>
        <w:rPr>
          <w:rFonts w:hint="eastAsia" w:ascii="宋体" w:hAnsi="宋体" w:cs="Arial"/>
          <w:bCs/>
          <w:sz w:val="24"/>
          <w:szCs w:val="24"/>
          <w:highlight w:val="none"/>
          <w:lang w:val="en-US" w:eastAsia="zh-CN"/>
        </w:rPr>
        <w:t>人民币120</w:t>
      </w:r>
      <w:r>
        <w:rPr>
          <w:rFonts w:hint="eastAsia" w:ascii="宋体" w:hAnsi="宋体" w:cs="Arial"/>
          <w:bCs/>
          <w:sz w:val="24"/>
          <w:szCs w:val="24"/>
          <w:highlight w:val="none"/>
          <w:lang w:eastAsia="zh-CN"/>
        </w:rPr>
        <w:t>万元</w:t>
      </w:r>
      <w:r>
        <w:rPr>
          <w:rFonts w:hint="eastAsia" w:ascii="宋体" w:hAnsi="宋体" w:cs="Arial"/>
          <w:bCs/>
          <w:sz w:val="24"/>
          <w:szCs w:val="24"/>
          <w:highlight w:val="none"/>
          <w:lang w:val="en-US" w:eastAsia="zh-CN"/>
        </w:rPr>
        <w:t xml:space="preserve">  </w:t>
      </w:r>
    </w:p>
    <w:p w14:paraId="024C0E86">
      <w:pPr>
        <w:widowControl/>
        <w:spacing w:line="480" w:lineRule="exact"/>
        <w:ind w:firstLine="480"/>
        <w:jc w:val="left"/>
        <w:rPr>
          <w:rFonts w:hint="eastAsia" w:ascii="宋体" w:hAnsi="宋体" w:eastAsia="宋体" w:cs="Arial"/>
          <w:bCs/>
          <w:sz w:val="24"/>
          <w:szCs w:val="24"/>
          <w:highlight w:val="none"/>
          <w:lang w:eastAsia="zh-CN"/>
        </w:rPr>
      </w:pPr>
      <w:r>
        <w:rPr>
          <w:rFonts w:hint="eastAsia" w:ascii="宋体" w:hAnsi="宋体" w:cs="Arial"/>
          <w:bCs/>
          <w:sz w:val="24"/>
          <w:szCs w:val="24"/>
          <w:highlight w:val="none"/>
          <w:lang w:val="en-US" w:eastAsia="zh-CN"/>
        </w:rPr>
        <w:t>4.最高限价：人民币120万元，</w:t>
      </w:r>
      <w:r>
        <w:rPr>
          <w:rFonts w:hint="eastAsia" w:ascii="宋体" w:hAnsi="宋体" w:cs="Arial"/>
          <w:bCs/>
          <w:sz w:val="24"/>
          <w:szCs w:val="24"/>
          <w:highlight w:val="none"/>
          <w:lang w:eastAsia="zh-CN"/>
        </w:rPr>
        <w:t>投标报价高于</w:t>
      </w:r>
      <w:r>
        <w:rPr>
          <w:rFonts w:hint="eastAsia" w:ascii="宋体" w:hAnsi="宋体" w:cs="Arial"/>
          <w:bCs/>
          <w:sz w:val="24"/>
          <w:szCs w:val="24"/>
          <w:highlight w:val="none"/>
          <w:lang w:val="en-US" w:eastAsia="zh-CN"/>
        </w:rPr>
        <w:t>最高限价</w:t>
      </w:r>
      <w:r>
        <w:rPr>
          <w:rFonts w:hint="eastAsia" w:ascii="宋体" w:hAnsi="宋体" w:cs="Arial"/>
          <w:bCs/>
          <w:sz w:val="24"/>
          <w:szCs w:val="24"/>
          <w:highlight w:val="none"/>
          <w:lang w:eastAsia="zh-CN"/>
        </w:rPr>
        <w:t>的作无效标</w:t>
      </w:r>
      <w:r>
        <w:rPr>
          <w:rFonts w:hint="eastAsia" w:ascii="宋体" w:hAnsi="宋体" w:cs="Arial"/>
          <w:bCs/>
          <w:sz w:val="24"/>
          <w:szCs w:val="24"/>
          <w:highlight w:val="none"/>
          <w:lang w:val="en-US" w:eastAsia="zh-CN"/>
        </w:rPr>
        <w:t>处理</w:t>
      </w:r>
      <w:r>
        <w:rPr>
          <w:rFonts w:hint="eastAsia" w:ascii="宋体" w:hAnsi="宋体" w:cs="Arial"/>
          <w:bCs/>
          <w:sz w:val="24"/>
          <w:szCs w:val="24"/>
          <w:highlight w:val="none"/>
          <w:lang w:eastAsia="zh-CN"/>
        </w:rPr>
        <w:t>。</w:t>
      </w:r>
    </w:p>
    <w:p w14:paraId="1ED84A1B">
      <w:pPr>
        <w:widowControl/>
        <w:spacing w:line="480" w:lineRule="exact"/>
        <w:ind w:firstLine="480"/>
        <w:jc w:val="left"/>
        <w:rPr>
          <w:rFonts w:hint="eastAsia" w:ascii="宋体" w:hAnsi="宋体" w:cs="Arial"/>
          <w:bCs/>
          <w:color w:val="FF0000"/>
          <w:sz w:val="24"/>
          <w:szCs w:val="24"/>
          <w:highlight w:val="none"/>
          <w:lang w:val="en-US" w:eastAsia="zh-CN"/>
        </w:rPr>
      </w:pPr>
      <w:r>
        <w:rPr>
          <w:rFonts w:hint="eastAsia" w:ascii="宋体" w:hAnsi="宋体" w:cs="Arial"/>
          <w:bCs/>
          <w:color w:val="FF0000"/>
          <w:sz w:val="24"/>
          <w:szCs w:val="24"/>
          <w:highlight w:val="none"/>
          <w:lang w:val="en-US" w:eastAsia="zh-CN"/>
        </w:rPr>
        <w:t>5</w:t>
      </w:r>
      <w:r>
        <w:rPr>
          <w:rFonts w:hint="eastAsia" w:ascii="宋体" w:hAnsi="宋体" w:cs="Arial"/>
          <w:bCs/>
          <w:color w:val="FF0000"/>
          <w:sz w:val="24"/>
          <w:szCs w:val="24"/>
          <w:highlight w:val="none"/>
        </w:rPr>
        <w:t>.采购需求：</w:t>
      </w:r>
      <w:r>
        <w:rPr>
          <w:rFonts w:hint="eastAsia" w:ascii="宋体" w:hAnsi="宋体" w:cs="Arial"/>
          <w:bCs/>
          <w:color w:val="FF0000"/>
          <w:sz w:val="24"/>
          <w:szCs w:val="24"/>
          <w:highlight w:val="none"/>
          <w:lang w:val="en-US" w:eastAsia="zh-CN"/>
        </w:rPr>
        <w:t>根据《国家骨干冷链物流基地建设实施方案》，以“生鲜农产品产地区+区域集散型”进行统筹考虑，以大丰区盐城港保税物流中心食品及冷链加工中心、亭湖区盐城农副产品加工交易园区两个片区进行国家骨干冷链物流基地申报，编制建设方案并通过省级主管部门评审，具体详见采购需求。</w:t>
      </w:r>
    </w:p>
    <w:p w14:paraId="0130B908">
      <w:pPr>
        <w:widowControl/>
        <w:spacing w:line="480" w:lineRule="exact"/>
        <w:ind w:firstLine="480"/>
        <w:jc w:val="left"/>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6</w:t>
      </w:r>
      <w:r>
        <w:rPr>
          <w:rFonts w:hint="eastAsia" w:ascii="宋体" w:hAnsi="宋体" w:cs="Arial"/>
          <w:bCs/>
          <w:sz w:val="24"/>
          <w:szCs w:val="24"/>
          <w:highlight w:val="none"/>
        </w:rPr>
        <w:t>.合同履行期限</w:t>
      </w:r>
      <w:r>
        <w:rPr>
          <w:rFonts w:hint="eastAsia" w:ascii="宋体" w:hAnsi="宋体" w:cs="Arial"/>
          <w:bCs/>
          <w:sz w:val="24"/>
          <w:szCs w:val="24"/>
          <w:highlight w:val="none"/>
          <w:lang w:eastAsia="zh-CN"/>
        </w:rPr>
        <w:t>：</w:t>
      </w:r>
      <w:r>
        <w:rPr>
          <w:rFonts w:hint="eastAsia" w:ascii="宋体" w:hAnsi="宋体" w:cs="Arial"/>
          <w:bCs/>
          <w:sz w:val="24"/>
          <w:szCs w:val="24"/>
          <w:highlight w:val="none"/>
          <w:lang w:val="en-US" w:eastAsia="zh-CN"/>
        </w:rPr>
        <w:t>签订合同后20日历天完成建设方案编制。</w:t>
      </w:r>
    </w:p>
    <w:p w14:paraId="0AC3FC15">
      <w:pPr>
        <w:widowControl/>
        <w:spacing w:line="480" w:lineRule="exact"/>
        <w:ind w:firstLine="480"/>
        <w:jc w:val="left"/>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7</w:t>
      </w:r>
      <w:r>
        <w:rPr>
          <w:rFonts w:hint="eastAsia" w:ascii="宋体" w:hAnsi="宋体" w:cs="Arial"/>
          <w:bCs/>
          <w:sz w:val="24"/>
          <w:szCs w:val="24"/>
          <w:highlight w:val="none"/>
        </w:rPr>
        <w:t>.质量要求：</w:t>
      </w:r>
      <w:r>
        <w:rPr>
          <w:rFonts w:hint="eastAsia" w:ascii="宋体" w:hAnsi="宋体" w:cs="Arial"/>
          <w:bCs/>
          <w:sz w:val="24"/>
          <w:szCs w:val="24"/>
          <w:highlight w:val="none"/>
          <w:lang w:val="en-US" w:eastAsia="zh-CN"/>
        </w:rPr>
        <w:t>符合国家骨干冷链物流基地申报要求和建设方案编制要求。</w:t>
      </w:r>
    </w:p>
    <w:p w14:paraId="5DB51417">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lang w:val="en-US" w:eastAsia="zh-CN"/>
        </w:rPr>
        <w:t>8</w:t>
      </w:r>
      <w:r>
        <w:rPr>
          <w:rFonts w:hint="eastAsia" w:ascii="宋体" w:hAnsi="宋体" w:cs="Arial"/>
          <w:bCs/>
          <w:sz w:val="24"/>
          <w:szCs w:val="24"/>
          <w:highlight w:val="none"/>
        </w:rPr>
        <w:t>.本</w:t>
      </w:r>
      <w:r>
        <w:rPr>
          <w:rFonts w:ascii="宋体" w:hAnsi="宋体" w:cs="Arial"/>
          <w:bCs/>
          <w:sz w:val="24"/>
          <w:szCs w:val="24"/>
          <w:highlight w:val="none"/>
        </w:rPr>
        <w:t>项目</w:t>
      </w:r>
      <w:r>
        <w:rPr>
          <w:rFonts w:hint="eastAsia" w:ascii="宋体" w:hAnsi="宋体" w:cs="Arial"/>
          <w:bCs/>
          <w:sz w:val="24"/>
          <w:szCs w:val="24"/>
          <w:highlight w:val="none"/>
        </w:rPr>
        <w:t>不</w:t>
      </w:r>
      <w:r>
        <w:rPr>
          <w:rFonts w:ascii="宋体" w:hAnsi="宋体" w:cs="Arial"/>
          <w:bCs/>
          <w:sz w:val="24"/>
          <w:szCs w:val="24"/>
          <w:highlight w:val="none"/>
        </w:rPr>
        <w:t>接受联合体投标。</w:t>
      </w:r>
    </w:p>
    <w:p w14:paraId="7A367FC1">
      <w:pPr>
        <w:widowControl/>
        <w:spacing w:line="480" w:lineRule="exact"/>
        <w:ind w:firstLine="482"/>
        <w:jc w:val="left"/>
        <w:rPr>
          <w:rFonts w:ascii="宋体" w:hAnsi="宋体" w:cs="Arial"/>
          <w:b/>
          <w:sz w:val="24"/>
          <w:szCs w:val="24"/>
          <w:highlight w:val="none"/>
        </w:rPr>
      </w:pPr>
      <w:r>
        <w:rPr>
          <w:rFonts w:hint="eastAsia" w:ascii="宋体" w:hAnsi="宋体" w:cs="Arial"/>
          <w:b/>
          <w:sz w:val="24"/>
          <w:szCs w:val="24"/>
          <w:highlight w:val="none"/>
        </w:rPr>
        <w:t>二、投标申请人资格要求</w:t>
      </w:r>
    </w:p>
    <w:p w14:paraId="42BE2D7D">
      <w:pPr>
        <w:widowControl/>
        <w:spacing w:line="480" w:lineRule="exact"/>
        <w:ind w:firstLine="480"/>
        <w:jc w:val="left"/>
        <w:rPr>
          <w:rFonts w:ascii="宋体" w:hAnsi="宋体" w:cs="Arial"/>
          <w:bCs/>
          <w:sz w:val="24"/>
          <w:szCs w:val="24"/>
          <w:highlight w:val="none"/>
        </w:rPr>
      </w:pPr>
      <w:r>
        <w:rPr>
          <w:rFonts w:ascii="宋体" w:hAnsi="宋体" w:cs="Arial"/>
          <w:bCs/>
          <w:sz w:val="24"/>
          <w:szCs w:val="24"/>
          <w:highlight w:val="none"/>
        </w:rPr>
        <w:t>1.</w:t>
      </w:r>
      <w:r>
        <w:rPr>
          <w:rFonts w:hint="eastAsia" w:ascii="宋体" w:hAnsi="宋体" w:cs="Arial"/>
          <w:bCs/>
          <w:sz w:val="24"/>
          <w:szCs w:val="24"/>
          <w:highlight w:val="none"/>
        </w:rPr>
        <w:t>满足《中华人民共和国政府采购法》第二十二条规定：</w:t>
      </w:r>
    </w:p>
    <w:p w14:paraId="5BFA16FF">
      <w:pPr>
        <w:widowControl/>
        <w:spacing w:line="460" w:lineRule="exact"/>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1.</w:t>
      </w:r>
      <w:r>
        <w:rPr>
          <w:rFonts w:hint="eastAsia" w:ascii="宋体" w:hAnsi="宋体" w:cs="宋体"/>
          <w:bCs/>
          <w:color w:val="000000"/>
          <w:sz w:val="24"/>
          <w:highlight w:val="none"/>
        </w:rPr>
        <w:t>1.法人或者其他组织的营业执照等证明文件，自然人的身份证明；</w:t>
      </w:r>
    </w:p>
    <w:p w14:paraId="220DAE5D">
      <w:pPr>
        <w:widowControl/>
        <w:spacing w:line="460" w:lineRule="exact"/>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1.</w:t>
      </w:r>
      <w:r>
        <w:rPr>
          <w:rFonts w:hint="eastAsia" w:ascii="宋体" w:hAnsi="宋体" w:cs="宋体"/>
          <w:bCs/>
          <w:color w:val="000000"/>
          <w:sz w:val="24"/>
          <w:highlight w:val="none"/>
        </w:rPr>
        <w:t>2.上一年度的财务状况报</w:t>
      </w:r>
      <w:r>
        <w:rPr>
          <w:rFonts w:hint="eastAsia" w:ascii="宋体" w:hAnsi="宋体" w:cs="宋体"/>
          <w:bCs/>
          <w:color w:val="000000"/>
          <w:sz w:val="24"/>
          <w:highlight w:val="none"/>
          <w:lang w:val="en-US" w:eastAsia="zh-CN"/>
        </w:rPr>
        <w:t>表</w:t>
      </w:r>
      <w:r>
        <w:rPr>
          <w:rFonts w:hint="eastAsia" w:ascii="宋体" w:hAnsi="宋体" w:cs="宋体"/>
          <w:bCs/>
          <w:color w:val="000000"/>
          <w:sz w:val="24"/>
          <w:highlight w:val="none"/>
        </w:rPr>
        <w:t>（成立不满一年无需提供）；</w:t>
      </w:r>
    </w:p>
    <w:p w14:paraId="07538425">
      <w:pPr>
        <w:widowControl/>
        <w:spacing w:line="460" w:lineRule="exact"/>
        <w:ind w:firstLine="480"/>
        <w:jc w:val="lef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1.3</w:t>
      </w:r>
      <w:r>
        <w:rPr>
          <w:rFonts w:hint="eastAsia" w:ascii="宋体" w:hAnsi="宋体" w:cs="宋体"/>
          <w:bCs/>
          <w:color w:val="000000"/>
          <w:sz w:val="24"/>
          <w:highlight w:val="none"/>
        </w:rPr>
        <w:t>.具备履行合同所必需的设备和专业技术能力的书面声明</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lang w:val="en-US" w:eastAsia="zh-CN"/>
        </w:rPr>
        <w:t>格式附后</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rPr>
        <w:t>；</w:t>
      </w:r>
    </w:p>
    <w:p w14:paraId="32078A28">
      <w:pPr>
        <w:widowControl/>
        <w:spacing w:line="460" w:lineRule="exact"/>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1.4</w:t>
      </w:r>
      <w:r>
        <w:rPr>
          <w:rFonts w:hint="eastAsia" w:ascii="宋体" w:hAnsi="宋体" w:cs="宋体"/>
          <w:bCs/>
          <w:color w:val="000000"/>
          <w:sz w:val="24"/>
          <w:highlight w:val="none"/>
        </w:rPr>
        <w:t>.有依法缴纳税收和社会保障资金的相关材料（提供提交投标文件截止时间前一年内至少一个月依法缴纳税收及缴纳社会保障资金的证明材料。供应商依法享受缓缴、免缴税收、社会保障资金的提供证明材料）；</w:t>
      </w:r>
    </w:p>
    <w:p w14:paraId="487DBFE8">
      <w:pPr>
        <w:widowControl/>
        <w:spacing w:line="460" w:lineRule="exact"/>
        <w:ind w:firstLine="480"/>
        <w:jc w:val="lef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1.</w:t>
      </w:r>
      <w:r>
        <w:rPr>
          <w:rFonts w:hint="eastAsia" w:ascii="宋体" w:hAnsi="宋体" w:cs="宋体"/>
          <w:bCs/>
          <w:color w:val="000000"/>
          <w:sz w:val="24"/>
          <w:highlight w:val="none"/>
        </w:rPr>
        <w:t>5.参加政府采购活动前3年内在经营活动中没有重大违法记录的书面声明</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lang w:val="en-US" w:eastAsia="zh-CN"/>
        </w:rPr>
        <w:t>格式附后</w:t>
      </w:r>
      <w:r>
        <w:rPr>
          <w:rFonts w:hint="eastAsia" w:ascii="宋体" w:hAnsi="宋体" w:cs="宋体"/>
          <w:bCs/>
          <w:color w:val="000000"/>
          <w:sz w:val="24"/>
          <w:highlight w:val="none"/>
          <w:lang w:eastAsia="zh-CN"/>
        </w:rPr>
        <w:t>）；</w:t>
      </w:r>
    </w:p>
    <w:p w14:paraId="622079D6">
      <w:pPr>
        <w:widowControl/>
        <w:spacing w:line="480" w:lineRule="exact"/>
        <w:ind w:firstLine="480"/>
        <w:jc w:val="left"/>
        <w:rPr>
          <w:rFonts w:hint="eastAsia" w:ascii="宋体" w:hAnsi="宋体" w:cs="Arial"/>
          <w:b w:val="0"/>
          <w:bCs/>
          <w:sz w:val="24"/>
          <w:szCs w:val="24"/>
          <w:highlight w:val="none"/>
          <w:lang w:val="en-US" w:eastAsia="zh-CN"/>
        </w:rPr>
      </w:pPr>
      <w:r>
        <w:rPr>
          <w:rFonts w:hint="eastAsia" w:ascii="宋体" w:hAnsi="宋体" w:cs="Arial"/>
          <w:b w:val="0"/>
          <w:bCs/>
          <w:sz w:val="24"/>
          <w:szCs w:val="24"/>
          <w:highlight w:val="none"/>
          <w:lang w:val="en-US" w:eastAsia="zh-CN"/>
        </w:rPr>
        <w:t>1.6.法律、行政法规规定的其他条件。</w:t>
      </w:r>
    </w:p>
    <w:p w14:paraId="0A2A8F12">
      <w:pPr>
        <w:widowControl/>
        <w:spacing w:line="480" w:lineRule="exact"/>
        <w:ind w:firstLine="480"/>
        <w:jc w:val="left"/>
        <w:rPr>
          <w:rFonts w:hint="eastAsia" w:ascii="宋体" w:hAnsi="宋体" w:cs="Arial"/>
          <w:bCs/>
          <w:sz w:val="24"/>
          <w:szCs w:val="24"/>
          <w:highlight w:val="none"/>
        </w:rPr>
      </w:pPr>
      <w:r>
        <w:rPr>
          <w:rFonts w:hint="eastAsia" w:ascii="宋体" w:hAnsi="宋体" w:cs="Arial"/>
          <w:b/>
          <w:bCs w:val="0"/>
          <w:sz w:val="24"/>
          <w:szCs w:val="24"/>
          <w:highlight w:val="none"/>
        </w:rPr>
        <w:t>2.</w:t>
      </w:r>
      <w:r>
        <w:rPr>
          <w:rFonts w:hint="eastAsia" w:ascii="宋体" w:hAnsi="宋体" w:cs="Arial"/>
          <w:b/>
          <w:bCs w:val="0"/>
          <w:sz w:val="24"/>
          <w:szCs w:val="24"/>
          <w:highlight w:val="none"/>
          <w:lang w:val="en-US" w:eastAsia="zh-CN"/>
        </w:rPr>
        <w:t>落实政府采购政策需满足的资格要求：</w:t>
      </w:r>
    </w:p>
    <w:p w14:paraId="3154EB00">
      <w:pPr>
        <w:widowControl/>
        <w:spacing w:line="480" w:lineRule="exact"/>
        <w:ind w:firstLine="480"/>
        <w:jc w:val="left"/>
        <w:rPr>
          <w:rFonts w:hint="eastAsia" w:ascii="宋体" w:hAnsi="宋体" w:cs="Arial"/>
          <w:bCs/>
          <w:sz w:val="24"/>
          <w:szCs w:val="24"/>
          <w:highlight w:val="none"/>
        </w:rPr>
      </w:pPr>
      <w:r>
        <w:rPr>
          <w:rFonts w:hint="eastAsia" w:ascii="宋体" w:hAnsi="宋体" w:cs="Arial"/>
          <w:bCs/>
          <w:sz w:val="24"/>
          <w:szCs w:val="24"/>
          <w:highlight w:val="none"/>
          <w:lang w:val="en-US" w:eastAsia="zh-CN"/>
        </w:rPr>
        <w:t>2.1政策采购促进中小企业发展；</w:t>
      </w:r>
    </w:p>
    <w:p w14:paraId="543FB812">
      <w:pPr>
        <w:widowControl/>
        <w:spacing w:line="480" w:lineRule="exact"/>
        <w:ind w:firstLine="480"/>
        <w:jc w:val="left"/>
        <w:rPr>
          <w:rFonts w:hint="eastAsia" w:ascii="宋体" w:hAnsi="宋体" w:cs="Arial"/>
          <w:bCs/>
          <w:sz w:val="24"/>
          <w:szCs w:val="24"/>
          <w:highlight w:val="none"/>
        </w:rPr>
      </w:pPr>
      <w:r>
        <w:rPr>
          <w:rFonts w:hint="eastAsia" w:ascii="宋体" w:hAnsi="宋体" w:cs="Arial"/>
          <w:bCs/>
          <w:sz w:val="24"/>
          <w:szCs w:val="24"/>
          <w:highlight w:val="none"/>
          <w:lang w:val="en-US" w:eastAsia="zh-CN"/>
        </w:rPr>
        <w:t>2.2政府采购促进残疾人福利单位发展；</w:t>
      </w:r>
    </w:p>
    <w:p w14:paraId="24A86F8C">
      <w:pPr>
        <w:widowControl/>
        <w:spacing w:line="480" w:lineRule="exact"/>
        <w:ind w:firstLine="480"/>
        <w:jc w:val="left"/>
        <w:rPr>
          <w:rFonts w:hint="eastAsia" w:ascii="宋体" w:hAnsi="宋体" w:cs="Arial"/>
          <w:bCs/>
          <w:sz w:val="24"/>
          <w:szCs w:val="24"/>
          <w:highlight w:val="none"/>
        </w:rPr>
      </w:pPr>
      <w:r>
        <w:rPr>
          <w:rFonts w:hint="eastAsia" w:ascii="宋体" w:hAnsi="宋体" w:cs="Arial"/>
          <w:bCs/>
          <w:sz w:val="24"/>
          <w:szCs w:val="24"/>
          <w:highlight w:val="none"/>
          <w:lang w:val="en-US" w:eastAsia="zh-CN"/>
        </w:rPr>
        <w:t>2.3政府采购促进监狱和戒毒企业发展；</w:t>
      </w:r>
    </w:p>
    <w:p w14:paraId="6F412810">
      <w:pPr>
        <w:widowControl/>
        <w:spacing w:line="480" w:lineRule="exact"/>
        <w:ind w:firstLine="480"/>
        <w:jc w:val="left"/>
        <w:rPr>
          <w:rFonts w:hint="eastAsia" w:ascii="宋体" w:hAnsi="宋体" w:cs="Arial"/>
          <w:bCs/>
          <w:sz w:val="24"/>
          <w:szCs w:val="24"/>
          <w:highlight w:val="none"/>
          <w:lang w:val="en-US" w:eastAsia="zh-CN"/>
        </w:rPr>
      </w:pPr>
      <w:r>
        <w:rPr>
          <w:rFonts w:hint="eastAsia" w:ascii="宋体" w:hAnsi="宋体" w:cs="Arial"/>
          <w:bCs/>
          <w:sz w:val="24"/>
          <w:szCs w:val="24"/>
          <w:highlight w:val="none"/>
        </w:rPr>
        <w:t>3.本项目的特定</w:t>
      </w:r>
      <w:r>
        <w:rPr>
          <w:rFonts w:ascii="宋体" w:hAnsi="宋体" w:cs="Arial"/>
          <w:bCs/>
          <w:sz w:val="24"/>
          <w:szCs w:val="24"/>
          <w:highlight w:val="none"/>
        </w:rPr>
        <w:t>资格要求</w:t>
      </w:r>
    </w:p>
    <w:p w14:paraId="3A22C245">
      <w:pPr>
        <w:widowControl/>
        <w:spacing w:line="480" w:lineRule="exact"/>
        <w:ind w:firstLine="480"/>
        <w:jc w:val="left"/>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3.1投标申请人应是中华人民共和国境内注册的供应商；</w:t>
      </w:r>
    </w:p>
    <w:p w14:paraId="4DEA94E4">
      <w:pPr>
        <w:widowControl/>
        <w:spacing w:line="480" w:lineRule="exact"/>
        <w:ind w:firstLine="482"/>
        <w:jc w:val="left"/>
        <w:rPr>
          <w:rFonts w:hint="default" w:ascii="宋体" w:hAnsi="宋体" w:eastAsia="宋体" w:cs="Arial"/>
          <w:b/>
          <w:sz w:val="24"/>
          <w:szCs w:val="24"/>
          <w:highlight w:val="none"/>
          <w:lang w:val="en-US" w:eastAsia="zh-CN"/>
        </w:rPr>
      </w:pPr>
      <w:r>
        <w:rPr>
          <w:rFonts w:hint="eastAsia" w:ascii="宋体" w:hAnsi="宋体" w:cs="Arial"/>
          <w:b w:val="0"/>
          <w:bCs/>
          <w:sz w:val="24"/>
          <w:szCs w:val="24"/>
          <w:highlight w:val="none"/>
          <w:lang w:val="en-US" w:eastAsia="zh-CN"/>
        </w:rPr>
        <w:t>3.2未被“信用中国”网站（www.creditchina.gov.cn）列入失信被执行人、重大税收违法案件当事人名单、政府采购严重失信行为记录名单。</w:t>
      </w:r>
    </w:p>
    <w:p w14:paraId="641EA996">
      <w:pPr>
        <w:widowControl/>
        <w:spacing w:line="480" w:lineRule="exact"/>
        <w:ind w:firstLine="480"/>
        <w:jc w:val="left"/>
        <w:rPr>
          <w:rFonts w:hint="eastAsia" w:ascii="宋体" w:hAnsi="宋体" w:cs="Arial"/>
          <w:bCs/>
          <w:sz w:val="24"/>
          <w:szCs w:val="24"/>
          <w:highlight w:val="none"/>
          <w:lang w:val="en-US" w:eastAsia="zh-CN"/>
        </w:rPr>
      </w:pPr>
      <w:r>
        <w:rPr>
          <w:rFonts w:hint="eastAsia" w:ascii="宋体" w:hAnsi="宋体" w:cs="Arial"/>
          <w:b w:val="0"/>
          <w:bCs/>
          <w:sz w:val="24"/>
          <w:szCs w:val="24"/>
          <w:highlight w:val="none"/>
          <w:lang w:val="en-US" w:eastAsia="zh-CN"/>
        </w:rPr>
        <w:t>3.3</w:t>
      </w:r>
      <w:r>
        <w:rPr>
          <w:rFonts w:hint="eastAsia" w:ascii="宋体" w:hAnsi="宋体" w:cs="Arial"/>
          <w:bCs/>
          <w:sz w:val="24"/>
          <w:szCs w:val="24"/>
          <w:highlight w:val="none"/>
          <w:lang w:val="en-US" w:eastAsia="zh-CN"/>
        </w:rPr>
        <w:t>单位负责人为同一人或者存在直接控股、管理关系的不同供应商，不得参加同一合同项下的政府采购活动。</w:t>
      </w:r>
    </w:p>
    <w:p w14:paraId="2D7F44D1">
      <w:pPr>
        <w:widowControl/>
        <w:spacing w:line="480" w:lineRule="exact"/>
        <w:ind w:firstLine="482"/>
        <w:jc w:val="left"/>
        <w:rPr>
          <w:rFonts w:ascii="宋体" w:hAnsi="宋体" w:cs="Arial"/>
          <w:b/>
          <w:sz w:val="24"/>
          <w:szCs w:val="24"/>
          <w:highlight w:val="none"/>
        </w:rPr>
      </w:pPr>
      <w:r>
        <w:rPr>
          <w:rFonts w:hint="eastAsia" w:ascii="宋体" w:hAnsi="宋体" w:cs="Arial"/>
          <w:b/>
          <w:sz w:val="24"/>
          <w:szCs w:val="24"/>
          <w:highlight w:val="none"/>
        </w:rPr>
        <w:t>三、获取招标文件</w:t>
      </w:r>
    </w:p>
    <w:p w14:paraId="7F454125">
      <w:pPr>
        <w:widowControl/>
        <w:spacing w:line="480" w:lineRule="exact"/>
        <w:ind w:firstLine="480"/>
        <w:jc w:val="left"/>
        <w:rPr>
          <w:rFonts w:hint="eastAsia" w:ascii="宋体" w:hAnsi="宋体" w:cs="Arial"/>
          <w:bCs/>
          <w:sz w:val="24"/>
          <w:szCs w:val="24"/>
          <w:highlight w:val="none"/>
        </w:rPr>
      </w:pPr>
      <w:bookmarkStart w:id="4" w:name="_Toc42249797"/>
      <w:bookmarkStart w:id="5" w:name="_Toc42249844"/>
      <w:bookmarkStart w:id="6" w:name="QLCZYSX_1"/>
      <w:r>
        <w:rPr>
          <w:rFonts w:hint="eastAsia" w:ascii="宋体" w:hAnsi="宋体" w:cs="Arial"/>
          <w:bCs/>
          <w:sz w:val="24"/>
          <w:szCs w:val="24"/>
          <w:highlight w:val="none"/>
        </w:rPr>
        <w:t>1. 招标文件获取截止时间：自招标文件公告发布之日至投标文件提交截止之日。</w:t>
      </w:r>
    </w:p>
    <w:p w14:paraId="4132577A">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2.地点：“江苏政府采购网”、“盐城市政府采购网”</w:t>
      </w:r>
      <w:r>
        <w:rPr>
          <w:rFonts w:hint="eastAsia" w:ascii="宋体" w:hAnsi="宋体" w:cs="Arial"/>
          <w:bCs/>
          <w:sz w:val="24"/>
          <w:szCs w:val="24"/>
          <w:highlight w:val="none"/>
          <w:lang w:eastAsia="zh-CN"/>
        </w:rPr>
        <w:t>，</w:t>
      </w:r>
      <w:r>
        <w:rPr>
          <w:rFonts w:hint="eastAsia" w:ascii="宋体" w:hAnsi="宋体" w:cs="Arial"/>
          <w:bCs/>
          <w:sz w:val="24"/>
          <w:szCs w:val="24"/>
          <w:highlight w:val="none"/>
        </w:rPr>
        <w:t>网上注册登记成功后系统内免费下载；</w:t>
      </w:r>
    </w:p>
    <w:p w14:paraId="1EC876A1">
      <w:pPr>
        <w:widowControl/>
        <w:spacing w:line="480" w:lineRule="exact"/>
        <w:ind w:firstLine="480"/>
        <w:jc w:val="left"/>
        <w:rPr>
          <w:rFonts w:hint="eastAsia" w:ascii="宋体" w:hAnsi="宋体" w:cs="Arial"/>
          <w:bCs/>
          <w:sz w:val="24"/>
          <w:szCs w:val="24"/>
          <w:highlight w:val="none"/>
        </w:rPr>
      </w:pPr>
      <w:r>
        <w:rPr>
          <w:rFonts w:hint="eastAsia" w:ascii="宋体" w:hAnsi="宋体" w:cs="Arial"/>
          <w:bCs/>
          <w:sz w:val="24"/>
          <w:szCs w:val="24"/>
          <w:highlight w:val="none"/>
        </w:rPr>
        <w:t>3获取方式：在 “江苏政府采购网”、“盐城市政府采购网”自行免费下载招标文件。</w:t>
      </w:r>
    </w:p>
    <w:p w14:paraId="2F2557D1">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3.1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p>
    <w:p w14:paraId="553800E5">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具体见《江苏省政府采购管理交易系统（苏采云）供应商操作手册》（手册下载地址：</w:t>
      </w:r>
      <w:bookmarkStart w:id="7" w:name="_Hlk153782741"/>
      <w:r>
        <w:rPr>
          <w:rFonts w:hint="eastAsia" w:ascii="宋体" w:hAnsi="宋体" w:cs="宋体"/>
          <w:sz w:val="24"/>
          <w:szCs w:val="24"/>
          <w:highlight w:val="none"/>
          <w:shd w:val="clear" w:color="auto" w:fill="FFFFFF"/>
          <w:lang w:bidi="ar"/>
        </w:rPr>
        <w:t>盐城市政府采购网http://czj.yancheng.gov.cn/col/col2383-办事指南</w:t>
      </w:r>
      <w:bookmarkEnd w:id="7"/>
      <w:r>
        <w:rPr>
          <w:rFonts w:hint="eastAsia" w:ascii="宋体" w:hAnsi="宋体" w:cs="Arial"/>
          <w:bCs/>
          <w:sz w:val="24"/>
          <w:szCs w:val="24"/>
          <w:highlight w:val="none"/>
        </w:rPr>
        <w:t>）；</w:t>
      </w:r>
    </w:p>
    <w:p w14:paraId="49399C3E">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3.2潜在投标人访问“苏采云”系统的网络地址和方法：“苏采云”系统的网址：http://jszfcg.jsczt.cn/；</w:t>
      </w:r>
    </w:p>
    <w:p w14:paraId="5840ED63">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3.3“CA数字证书”的获取：供应商需办理CA锁，“苏采云”系统目前仅支持意源CA，省内各地区办理的用于“苏采云”平台的意源CA全省通用。“CA数字证书”的办理方法详见《江苏省政府采购（供应商）意源CA数字证书及电子签章办理指南》；</w:t>
      </w:r>
    </w:p>
    <w:p w14:paraId="45007CE0">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3.4采购文件（后缀名为“.kedt”）、供应商操作手册及政府采购客户端工具可通过“苏采云”系统--已报名项目--报名详情页面内相应链接进行下载；</w:t>
      </w:r>
    </w:p>
    <w:p w14:paraId="47153A68">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3.5招标代理机构（采购代理机构）将数据电文形式的招标文件加载至“苏采云”系统，供潜在供应商下载或者查阅；</w:t>
      </w:r>
    </w:p>
    <w:p w14:paraId="6BDC7C3E">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3.6请潜在投标单位提前安装相应的控件（详见《江苏省政府采购管理交易系统（苏采云）供应商操作手册》）并使用谷歌浏览器登录“苏采云”系统参与不见面开评标。</w:t>
      </w:r>
    </w:p>
    <w:p w14:paraId="36600750">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4.文件售价：</w:t>
      </w:r>
      <w:r>
        <w:rPr>
          <w:rFonts w:hint="eastAsia" w:ascii="宋体" w:hAnsi="宋体" w:cs="Arial"/>
          <w:bCs/>
          <w:sz w:val="24"/>
          <w:szCs w:val="24"/>
          <w:highlight w:val="none"/>
          <w:u w:val="single"/>
        </w:rPr>
        <w:t>免费</w:t>
      </w:r>
      <w:r>
        <w:rPr>
          <w:rFonts w:hint="eastAsia" w:ascii="宋体" w:hAnsi="宋体" w:cs="Arial"/>
          <w:bCs/>
          <w:sz w:val="24"/>
          <w:szCs w:val="24"/>
          <w:highlight w:val="none"/>
        </w:rPr>
        <w:t>。</w:t>
      </w:r>
    </w:p>
    <w:p w14:paraId="199C44B9">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如潜在投标人未按上述要求操作，将自行承担所产生的风险。</w:t>
      </w:r>
      <w:bookmarkEnd w:id="4"/>
      <w:bookmarkEnd w:id="5"/>
      <w:bookmarkEnd w:id="6"/>
    </w:p>
    <w:p w14:paraId="3C578680">
      <w:pPr>
        <w:widowControl/>
        <w:spacing w:line="480" w:lineRule="exact"/>
        <w:ind w:firstLine="482"/>
        <w:jc w:val="left"/>
        <w:rPr>
          <w:rFonts w:ascii="宋体" w:hAnsi="宋体" w:cs="Arial"/>
          <w:b/>
          <w:sz w:val="24"/>
          <w:szCs w:val="24"/>
          <w:highlight w:val="none"/>
        </w:rPr>
      </w:pPr>
      <w:r>
        <w:rPr>
          <w:rFonts w:hint="eastAsia" w:ascii="宋体" w:hAnsi="宋体" w:cs="Arial"/>
          <w:b/>
          <w:sz w:val="24"/>
          <w:szCs w:val="24"/>
          <w:highlight w:val="none"/>
        </w:rPr>
        <w:t>四、提交投标</w:t>
      </w:r>
      <w:r>
        <w:rPr>
          <w:rFonts w:ascii="宋体" w:hAnsi="宋体" w:cs="Arial"/>
          <w:b/>
          <w:sz w:val="24"/>
          <w:szCs w:val="24"/>
          <w:highlight w:val="none"/>
        </w:rPr>
        <w:t>文件截止时间、开标时间和地点</w:t>
      </w:r>
    </w:p>
    <w:p w14:paraId="15502051">
      <w:pPr>
        <w:widowControl/>
        <w:spacing w:line="480" w:lineRule="exact"/>
        <w:ind w:firstLine="480"/>
        <w:jc w:val="left"/>
        <w:rPr>
          <w:rFonts w:ascii="宋体" w:hAnsi="宋体" w:cs="Arial"/>
          <w:bCs/>
          <w:sz w:val="24"/>
          <w:szCs w:val="24"/>
          <w:highlight w:val="none"/>
          <w:u w:val="single"/>
        </w:rPr>
      </w:pPr>
      <w:r>
        <w:rPr>
          <w:rFonts w:hint="eastAsia" w:ascii="宋体" w:hAnsi="宋体" w:cs="Arial"/>
          <w:bCs/>
          <w:sz w:val="24"/>
          <w:szCs w:val="24"/>
          <w:highlight w:val="none"/>
        </w:rPr>
        <w:t>1.线上提交投标文件截止时间：</w:t>
      </w:r>
      <w:r>
        <w:rPr>
          <w:rFonts w:ascii="宋体" w:hAnsi="宋体" w:cs="Arial"/>
          <w:b/>
          <w:bCs/>
          <w:sz w:val="24"/>
          <w:szCs w:val="24"/>
          <w:highlight w:val="none"/>
          <w:u w:val="single"/>
        </w:rPr>
        <w:t>202</w:t>
      </w:r>
      <w:r>
        <w:rPr>
          <w:rFonts w:hint="eastAsia" w:ascii="宋体" w:hAnsi="宋体" w:cs="Arial"/>
          <w:b/>
          <w:bCs/>
          <w:sz w:val="24"/>
          <w:szCs w:val="24"/>
          <w:highlight w:val="none"/>
          <w:u w:val="single"/>
        </w:rPr>
        <w:t>4</w:t>
      </w:r>
      <w:r>
        <w:rPr>
          <w:rFonts w:ascii="宋体" w:hAnsi="宋体" w:cs="Arial"/>
          <w:b/>
          <w:bCs/>
          <w:sz w:val="24"/>
          <w:szCs w:val="24"/>
          <w:highlight w:val="none"/>
          <w:u w:val="single"/>
        </w:rPr>
        <w:t>年</w:t>
      </w:r>
      <w:r>
        <w:rPr>
          <w:rFonts w:hint="eastAsia" w:ascii="宋体" w:hAnsi="宋体" w:cs="Arial"/>
          <w:b/>
          <w:bCs/>
          <w:sz w:val="24"/>
          <w:szCs w:val="24"/>
          <w:highlight w:val="none"/>
          <w:u w:val="single"/>
          <w:lang w:val="en-US" w:eastAsia="zh-CN"/>
        </w:rPr>
        <w:t>8月23日10时</w:t>
      </w:r>
      <w:r>
        <w:rPr>
          <w:rFonts w:hint="eastAsia" w:ascii="宋体" w:hAnsi="宋体" w:cs="Arial"/>
          <w:bCs/>
          <w:sz w:val="24"/>
          <w:szCs w:val="24"/>
          <w:highlight w:val="none"/>
        </w:rPr>
        <w:t>；</w:t>
      </w:r>
    </w:p>
    <w:p w14:paraId="57D32E1C">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2.线上开标时间：</w:t>
      </w:r>
      <w:r>
        <w:rPr>
          <w:rFonts w:ascii="宋体" w:hAnsi="宋体" w:cs="Arial"/>
          <w:b/>
          <w:bCs/>
          <w:sz w:val="24"/>
          <w:szCs w:val="24"/>
          <w:highlight w:val="none"/>
          <w:u w:val="single"/>
        </w:rPr>
        <w:t>202</w:t>
      </w:r>
      <w:r>
        <w:rPr>
          <w:rFonts w:hint="eastAsia" w:ascii="宋体" w:hAnsi="宋体" w:cs="Arial"/>
          <w:b/>
          <w:bCs/>
          <w:sz w:val="24"/>
          <w:szCs w:val="24"/>
          <w:highlight w:val="none"/>
          <w:u w:val="single"/>
        </w:rPr>
        <w:t>4</w:t>
      </w:r>
      <w:r>
        <w:rPr>
          <w:rFonts w:ascii="宋体" w:hAnsi="宋体" w:cs="Arial"/>
          <w:b/>
          <w:bCs/>
          <w:sz w:val="24"/>
          <w:szCs w:val="24"/>
          <w:highlight w:val="none"/>
          <w:u w:val="single"/>
        </w:rPr>
        <w:t>年</w:t>
      </w:r>
      <w:r>
        <w:rPr>
          <w:rFonts w:hint="eastAsia" w:ascii="宋体" w:hAnsi="宋体" w:cs="Arial"/>
          <w:b/>
          <w:bCs/>
          <w:sz w:val="24"/>
          <w:szCs w:val="24"/>
          <w:highlight w:val="none"/>
          <w:u w:val="single"/>
          <w:lang w:val="en-US" w:eastAsia="zh-CN"/>
        </w:rPr>
        <w:t>8月23日10时</w:t>
      </w:r>
      <w:r>
        <w:rPr>
          <w:rFonts w:hint="eastAsia" w:ascii="宋体" w:hAnsi="宋体" w:cs="Arial"/>
          <w:bCs/>
          <w:sz w:val="24"/>
          <w:szCs w:val="24"/>
          <w:highlight w:val="none"/>
        </w:rPr>
        <w:t>；</w:t>
      </w:r>
    </w:p>
    <w:p w14:paraId="7DC7E4D4">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3.线上开标地点：</w:t>
      </w:r>
      <w:r>
        <w:rPr>
          <w:rFonts w:hint="eastAsia" w:ascii="宋体" w:hAnsi="宋体" w:cs="Arial"/>
          <w:bCs/>
          <w:sz w:val="24"/>
          <w:szCs w:val="24"/>
          <w:highlight w:val="none"/>
          <w:u w:val="single"/>
        </w:rPr>
        <w:t>“苏采云”系统（网址：http://jszfcg.jsczt.cn/）“开标大厅”</w:t>
      </w:r>
      <w:r>
        <w:rPr>
          <w:rFonts w:hint="eastAsia" w:ascii="宋体" w:hAnsi="宋体" w:cs="Arial"/>
          <w:bCs/>
          <w:sz w:val="24"/>
          <w:szCs w:val="24"/>
          <w:highlight w:val="none"/>
        </w:rPr>
        <w:t>。</w:t>
      </w:r>
    </w:p>
    <w:p w14:paraId="34759D8F">
      <w:pPr>
        <w:widowControl/>
        <w:spacing w:line="480" w:lineRule="exact"/>
        <w:ind w:firstLine="482"/>
        <w:jc w:val="left"/>
        <w:rPr>
          <w:rFonts w:ascii="宋体" w:hAnsi="宋体" w:cs="Arial"/>
          <w:b/>
          <w:sz w:val="24"/>
          <w:szCs w:val="24"/>
          <w:highlight w:val="none"/>
        </w:rPr>
      </w:pPr>
      <w:r>
        <w:rPr>
          <w:rFonts w:hint="eastAsia" w:ascii="宋体" w:hAnsi="宋体" w:cs="Arial"/>
          <w:b/>
          <w:sz w:val="24"/>
          <w:szCs w:val="24"/>
          <w:highlight w:val="none"/>
        </w:rPr>
        <w:t>五</w:t>
      </w:r>
      <w:r>
        <w:rPr>
          <w:rFonts w:ascii="宋体" w:hAnsi="宋体" w:cs="Arial"/>
          <w:b/>
          <w:sz w:val="24"/>
          <w:szCs w:val="24"/>
          <w:highlight w:val="none"/>
        </w:rPr>
        <w:t>、公告期限</w:t>
      </w:r>
    </w:p>
    <w:p w14:paraId="1D14783E">
      <w:pPr>
        <w:widowControl/>
        <w:spacing w:line="480" w:lineRule="exact"/>
        <w:ind w:firstLine="480"/>
        <w:jc w:val="left"/>
        <w:rPr>
          <w:rFonts w:ascii="宋体" w:hAnsi="宋体" w:cs="Arial"/>
          <w:bCs/>
          <w:color w:val="C00000"/>
          <w:sz w:val="24"/>
          <w:szCs w:val="24"/>
          <w:highlight w:val="none"/>
        </w:rPr>
      </w:pPr>
      <w:r>
        <w:rPr>
          <w:rFonts w:hint="eastAsia" w:ascii="宋体" w:hAnsi="宋体" w:cs="Arial"/>
          <w:bCs/>
          <w:color w:val="C00000"/>
          <w:sz w:val="24"/>
          <w:szCs w:val="24"/>
          <w:highlight w:val="none"/>
        </w:rPr>
        <w:t>自</w:t>
      </w:r>
      <w:r>
        <w:rPr>
          <w:rFonts w:ascii="宋体" w:hAnsi="宋体" w:cs="Arial"/>
          <w:bCs/>
          <w:color w:val="C00000"/>
          <w:sz w:val="24"/>
          <w:szCs w:val="24"/>
          <w:highlight w:val="none"/>
        </w:rPr>
        <w:t>本公告发布之日起</w:t>
      </w:r>
      <w:r>
        <w:rPr>
          <w:rFonts w:hint="eastAsia" w:ascii="宋体" w:hAnsi="宋体" w:cs="Arial"/>
          <w:bCs/>
          <w:color w:val="C00000"/>
          <w:sz w:val="24"/>
          <w:szCs w:val="24"/>
          <w:highlight w:val="none"/>
        </w:rPr>
        <w:t>5个</w:t>
      </w:r>
      <w:r>
        <w:rPr>
          <w:rFonts w:ascii="宋体" w:hAnsi="宋体" w:cs="Arial"/>
          <w:bCs/>
          <w:color w:val="C00000"/>
          <w:sz w:val="24"/>
          <w:szCs w:val="24"/>
          <w:highlight w:val="none"/>
        </w:rPr>
        <w:t>工作日</w:t>
      </w:r>
      <w:r>
        <w:rPr>
          <w:rFonts w:hint="eastAsia" w:ascii="宋体" w:hAnsi="宋体" w:cs="Arial"/>
          <w:bCs/>
          <w:color w:val="C00000"/>
          <w:sz w:val="24"/>
          <w:szCs w:val="24"/>
          <w:highlight w:val="none"/>
        </w:rPr>
        <w:t>。</w:t>
      </w:r>
    </w:p>
    <w:p w14:paraId="26C8E3AB">
      <w:pPr>
        <w:widowControl/>
        <w:spacing w:line="480" w:lineRule="exact"/>
        <w:ind w:firstLine="482"/>
        <w:jc w:val="left"/>
        <w:rPr>
          <w:rFonts w:ascii="宋体" w:hAnsi="宋体" w:cs="Arial"/>
          <w:b/>
          <w:sz w:val="24"/>
          <w:szCs w:val="24"/>
          <w:highlight w:val="none"/>
        </w:rPr>
      </w:pPr>
      <w:r>
        <w:rPr>
          <w:rFonts w:hint="eastAsia" w:ascii="宋体" w:hAnsi="宋体" w:cs="Arial"/>
          <w:b/>
          <w:sz w:val="24"/>
          <w:szCs w:val="24"/>
          <w:highlight w:val="none"/>
        </w:rPr>
        <w:t>六</w:t>
      </w:r>
      <w:r>
        <w:rPr>
          <w:rFonts w:ascii="宋体" w:hAnsi="宋体" w:cs="Arial"/>
          <w:b/>
          <w:sz w:val="24"/>
          <w:szCs w:val="24"/>
          <w:highlight w:val="none"/>
        </w:rPr>
        <w:t>、其他补充事宜</w:t>
      </w:r>
    </w:p>
    <w:p w14:paraId="7E14FB2E">
      <w:pPr>
        <w:widowControl/>
        <w:spacing w:line="480" w:lineRule="exact"/>
        <w:ind w:firstLine="480"/>
        <w:jc w:val="left"/>
        <w:rPr>
          <w:rFonts w:ascii="宋体" w:hAnsi="宋体" w:cs="Arial"/>
          <w:bCs/>
          <w:sz w:val="24"/>
          <w:szCs w:val="24"/>
          <w:highlight w:val="none"/>
        </w:rPr>
      </w:pPr>
      <w:r>
        <w:rPr>
          <w:rFonts w:ascii="宋体" w:hAnsi="宋体" w:cs="Arial"/>
          <w:bCs/>
          <w:sz w:val="24"/>
          <w:szCs w:val="24"/>
          <w:highlight w:val="none"/>
        </w:rPr>
        <w:t>1.各投标人在投标截止时间前应当每天都上网查询，以便获取更新的澄清、修改、补充内容。凡涉及到该项目的补充说明和修改，均以江苏政府采购网上的更正或补充通知为准。</w:t>
      </w:r>
    </w:p>
    <w:p w14:paraId="073CAB84">
      <w:pPr>
        <w:widowControl/>
        <w:spacing w:line="480" w:lineRule="exact"/>
        <w:ind w:firstLine="480"/>
        <w:jc w:val="left"/>
        <w:rPr>
          <w:rFonts w:ascii="宋体" w:hAnsi="宋体" w:cs="Arial"/>
          <w:bCs/>
          <w:sz w:val="24"/>
          <w:szCs w:val="24"/>
          <w:highlight w:val="none"/>
        </w:rPr>
      </w:pPr>
      <w:r>
        <w:rPr>
          <w:rFonts w:ascii="宋体" w:hAnsi="宋体" w:cs="Arial"/>
          <w:bCs/>
          <w:sz w:val="24"/>
          <w:szCs w:val="24"/>
          <w:highlight w:val="none"/>
        </w:rPr>
        <w:t>2.投标人如在投标过程中存在以下行为，将被列入不良行为记录名单。</w:t>
      </w:r>
    </w:p>
    <w:p w14:paraId="47B80E7E">
      <w:pPr>
        <w:widowControl/>
        <w:spacing w:line="480" w:lineRule="exact"/>
        <w:ind w:firstLine="480"/>
        <w:jc w:val="left"/>
        <w:rPr>
          <w:rFonts w:ascii="宋体" w:hAnsi="宋体" w:cs="Arial"/>
          <w:bCs/>
          <w:sz w:val="24"/>
          <w:szCs w:val="24"/>
          <w:highlight w:val="none"/>
        </w:rPr>
      </w:pPr>
      <w:r>
        <w:rPr>
          <w:rFonts w:ascii="宋体" w:hAnsi="宋体" w:cs="Arial"/>
          <w:bCs/>
          <w:sz w:val="24"/>
          <w:szCs w:val="24"/>
          <w:highlight w:val="none"/>
        </w:rPr>
        <w:t>2.1提供虚假材料谋取中标成交的或采取不正当手段诋毁、排挤其他供应商的；</w:t>
      </w:r>
    </w:p>
    <w:p w14:paraId="0043A682">
      <w:pPr>
        <w:widowControl/>
        <w:spacing w:line="480" w:lineRule="exact"/>
        <w:ind w:firstLine="480"/>
        <w:jc w:val="left"/>
        <w:rPr>
          <w:rFonts w:ascii="宋体" w:hAnsi="宋体" w:cs="Arial"/>
          <w:bCs/>
          <w:sz w:val="24"/>
          <w:szCs w:val="24"/>
          <w:highlight w:val="none"/>
        </w:rPr>
      </w:pPr>
      <w:r>
        <w:rPr>
          <w:rFonts w:ascii="宋体" w:hAnsi="宋体" w:cs="Arial"/>
          <w:bCs/>
          <w:sz w:val="24"/>
          <w:szCs w:val="24"/>
          <w:highlight w:val="none"/>
        </w:rPr>
        <w:t>2.2投标人递交无竞争力投标文件的。</w:t>
      </w:r>
    </w:p>
    <w:p w14:paraId="1B248567">
      <w:pPr>
        <w:widowControl/>
        <w:spacing w:line="480" w:lineRule="exact"/>
        <w:ind w:firstLine="480"/>
        <w:jc w:val="left"/>
        <w:rPr>
          <w:rFonts w:ascii="宋体" w:hAnsi="宋体" w:cs="Arial"/>
          <w:bCs/>
          <w:sz w:val="24"/>
          <w:szCs w:val="24"/>
          <w:highlight w:val="none"/>
        </w:rPr>
      </w:pPr>
      <w:r>
        <w:rPr>
          <w:rFonts w:ascii="宋体" w:hAnsi="宋体" w:cs="Arial"/>
          <w:bCs/>
          <w:sz w:val="24"/>
          <w:szCs w:val="24"/>
          <w:highlight w:val="none"/>
        </w:rPr>
        <w:t>3.投标人存在串通投标、以他人名义投标、弄虚作假等违法违规行为，或者无正当理由放弃投标、中标资格，造成项目招标失败的，不得参加该项目重新招标的投标。</w:t>
      </w:r>
    </w:p>
    <w:p w14:paraId="5F067192">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rPr>
        <w:t>4</w:t>
      </w:r>
      <w:r>
        <w:rPr>
          <w:rFonts w:ascii="宋体" w:hAnsi="宋体" w:cs="Arial"/>
          <w:bCs/>
          <w:sz w:val="24"/>
          <w:szCs w:val="24"/>
          <w:highlight w:val="none"/>
        </w:rPr>
        <w:t>.</w:t>
      </w:r>
      <w:r>
        <w:rPr>
          <w:rFonts w:hint="eastAsia" w:ascii="宋体" w:hAnsi="宋体" w:cs="Arial"/>
          <w:bCs/>
          <w:sz w:val="24"/>
          <w:szCs w:val="24"/>
          <w:highlight w:val="none"/>
        </w:rPr>
        <w:t>因供应商的系统环境、操作等原因导致报名、开评标过程中出现问题由供应商自行承担负责。</w:t>
      </w:r>
    </w:p>
    <w:p w14:paraId="41FE38CE">
      <w:pPr>
        <w:widowControl/>
        <w:spacing w:line="480" w:lineRule="exact"/>
        <w:ind w:firstLine="482"/>
        <w:jc w:val="left"/>
        <w:rPr>
          <w:rFonts w:ascii="宋体" w:hAnsi="宋体" w:cs="Arial"/>
          <w:b/>
          <w:sz w:val="24"/>
          <w:szCs w:val="24"/>
          <w:highlight w:val="none"/>
        </w:rPr>
      </w:pPr>
      <w:r>
        <w:rPr>
          <w:rFonts w:hint="eastAsia" w:ascii="宋体" w:hAnsi="宋体" w:cs="Arial"/>
          <w:b/>
          <w:sz w:val="24"/>
          <w:szCs w:val="24"/>
          <w:highlight w:val="none"/>
        </w:rPr>
        <w:t>七</w:t>
      </w:r>
      <w:r>
        <w:rPr>
          <w:rFonts w:ascii="宋体" w:hAnsi="宋体" w:cs="Arial"/>
          <w:b/>
          <w:sz w:val="24"/>
          <w:szCs w:val="24"/>
          <w:highlight w:val="none"/>
        </w:rPr>
        <w:t>、对本次招标提出询问，请按以下方式联系</w:t>
      </w:r>
    </w:p>
    <w:p w14:paraId="48778EF8">
      <w:pPr>
        <w:widowControl/>
        <w:spacing w:line="480" w:lineRule="exact"/>
        <w:ind w:firstLine="480"/>
        <w:jc w:val="left"/>
        <w:rPr>
          <w:rFonts w:ascii="宋体" w:hAnsi="宋体" w:cs="Arial"/>
          <w:bCs/>
          <w:sz w:val="24"/>
          <w:szCs w:val="24"/>
          <w:highlight w:val="none"/>
        </w:rPr>
      </w:pPr>
      <w:r>
        <w:rPr>
          <w:rFonts w:ascii="宋体" w:hAnsi="宋体" w:cs="Arial"/>
          <w:bCs/>
          <w:sz w:val="24"/>
          <w:szCs w:val="24"/>
          <w:highlight w:val="none"/>
        </w:rPr>
        <w:t>1.</w:t>
      </w:r>
      <w:r>
        <w:rPr>
          <w:rFonts w:hint="eastAsia" w:ascii="宋体" w:hAnsi="宋体" w:cs="Arial"/>
          <w:bCs/>
          <w:sz w:val="24"/>
          <w:szCs w:val="24"/>
          <w:highlight w:val="none"/>
        </w:rPr>
        <w:t>采购人</w:t>
      </w:r>
      <w:r>
        <w:rPr>
          <w:rFonts w:ascii="宋体" w:hAnsi="宋体" w:cs="Arial"/>
          <w:bCs/>
          <w:sz w:val="24"/>
          <w:szCs w:val="24"/>
          <w:highlight w:val="none"/>
        </w:rPr>
        <w:t>信息</w:t>
      </w:r>
    </w:p>
    <w:p w14:paraId="21F4F061">
      <w:pPr>
        <w:widowControl/>
        <w:spacing w:line="480" w:lineRule="exact"/>
        <w:ind w:firstLine="480"/>
        <w:jc w:val="left"/>
        <w:rPr>
          <w:rFonts w:hint="eastAsia" w:ascii="宋体" w:hAnsi="宋体" w:eastAsia="宋体" w:cs="Arial"/>
          <w:bCs/>
          <w:sz w:val="24"/>
          <w:szCs w:val="24"/>
          <w:highlight w:val="none"/>
          <w:lang w:eastAsia="zh-CN"/>
        </w:rPr>
      </w:pPr>
      <w:r>
        <w:rPr>
          <w:rFonts w:hint="eastAsia" w:ascii="宋体" w:hAnsi="宋体" w:cs="Arial"/>
          <w:bCs/>
          <w:sz w:val="24"/>
          <w:szCs w:val="24"/>
          <w:highlight w:val="none"/>
        </w:rPr>
        <w:t>名称：</w:t>
      </w:r>
      <w:r>
        <w:rPr>
          <w:rFonts w:hint="eastAsia" w:ascii="宋体" w:hAnsi="宋体" w:cs="Arial"/>
          <w:bCs/>
          <w:sz w:val="24"/>
          <w:szCs w:val="24"/>
          <w:highlight w:val="none"/>
          <w:lang w:eastAsia="zh-CN"/>
        </w:rPr>
        <w:t>江苏大丰港经济开发区管理委员会</w:t>
      </w:r>
    </w:p>
    <w:p w14:paraId="097FBCE0">
      <w:pPr>
        <w:widowControl/>
        <w:spacing w:line="480" w:lineRule="exact"/>
        <w:ind w:firstLine="480"/>
        <w:jc w:val="left"/>
        <w:rPr>
          <w:rFonts w:hint="eastAsia" w:ascii="宋体" w:hAnsi="宋体" w:cs="宋体"/>
          <w:sz w:val="24"/>
          <w:highlight w:val="none"/>
          <w:shd w:val="clear" w:color="auto" w:fill="FFFFFF"/>
          <w:lang w:val="en-US" w:eastAsia="zh-CN"/>
        </w:rPr>
      </w:pPr>
      <w:r>
        <w:rPr>
          <w:rFonts w:hint="eastAsia" w:ascii="宋体" w:hAnsi="宋体" w:cs="Arial"/>
          <w:bCs/>
          <w:sz w:val="24"/>
          <w:szCs w:val="24"/>
          <w:highlight w:val="none"/>
        </w:rPr>
        <w:t>地址：</w:t>
      </w:r>
      <w:r>
        <w:rPr>
          <w:rFonts w:hint="eastAsia" w:ascii="宋体" w:hAnsi="宋体" w:cs="宋体"/>
          <w:sz w:val="24"/>
          <w:highlight w:val="none"/>
          <w:shd w:val="clear" w:color="auto" w:fill="FFFFFF"/>
          <w:lang w:val="en-US" w:eastAsia="zh-CN"/>
        </w:rPr>
        <w:t>盐城市大丰区大丰港经济开发区中港大道1号</w:t>
      </w:r>
    </w:p>
    <w:p w14:paraId="191B8FAE">
      <w:pPr>
        <w:widowControl/>
        <w:spacing w:line="480" w:lineRule="exact"/>
        <w:ind w:firstLine="480"/>
        <w:jc w:val="left"/>
        <w:rPr>
          <w:rFonts w:hint="eastAsia" w:ascii="宋体" w:hAnsi="宋体" w:eastAsia="宋体" w:cs="Arial"/>
          <w:bCs/>
          <w:sz w:val="24"/>
          <w:szCs w:val="24"/>
          <w:highlight w:val="none"/>
          <w:lang w:eastAsia="zh-CN"/>
        </w:rPr>
      </w:pPr>
      <w:r>
        <w:rPr>
          <w:rFonts w:hint="eastAsia" w:ascii="宋体" w:hAnsi="宋体" w:cs="Arial"/>
          <w:bCs/>
          <w:sz w:val="24"/>
          <w:szCs w:val="24"/>
          <w:highlight w:val="none"/>
        </w:rPr>
        <w:t>联系电话：</w:t>
      </w:r>
      <w:r>
        <w:rPr>
          <w:rFonts w:hint="eastAsia" w:ascii="宋体" w:hAnsi="宋体" w:cs="Arial"/>
          <w:bCs/>
          <w:sz w:val="24"/>
          <w:szCs w:val="24"/>
          <w:highlight w:val="none"/>
          <w:lang w:val="en-US" w:eastAsia="zh-CN"/>
        </w:rPr>
        <w:t>15251179957</w:t>
      </w:r>
    </w:p>
    <w:p w14:paraId="0F166B03">
      <w:pPr>
        <w:widowControl/>
        <w:spacing w:line="480" w:lineRule="exact"/>
        <w:ind w:firstLine="480"/>
        <w:jc w:val="left"/>
        <w:rPr>
          <w:rFonts w:ascii="宋体" w:hAnsi="宋体" w:cs="Arial"/>
          <w:bCs/>
          <w:sz w:val="24"/>
          <w:szCs w:val="24"/>
          <w:highlight w:val="none"/>
        </w:rPr>
      </w:pPr>
      <w:r>
        <w:rPr>
          <w:rFonts w:ascii="宋体" w:hAnsi="宋体" w:cs="Arial"/>
          <w:bCs/>
          <w:sz w:val="24"/>
          <w:szCs w:val="24"/>
          <w:highlight w:val="none"/>
        </w:rPr>
        <w:t>2.</w:t>
      </w:r>
      <w:r>
        <w:rPr>
          <w:rFonts w:hint="eastAsia" w:ascii="宋体" w:hAnsi="宋体" w:cs="Arial"/>
          <w:bCs/>
          <w:sz w:val="24"/>
          <w:szCs w:val="24"/>
          <w:highlight w:val="none"/>
        </w:rPr>
        <w:t>采购代理机构信息</w:t>
      </w:r>
    </w:p>
    <w:p w14:paraId="2B5B173D">
      <w:pPr>
        <w:widowControl/>
        <w:spacing w:line="480" w:lineRule="exact"/>
        <w:ind w:firstLine="480"/>
        <w:jc w:val="left"/>
        <w:rPr>
          <w:rFonts w:hint="eastAsia" w:ascii="宋体" w:hAnsi="宋体" w:eastAsia="宋体" w:cs="Arial"/>
          <w:bCs/>
          <w:sz w:val="24"/>
          <w:szCs w:val="24"/>
          <w:highlight w:val="none"/>
          <w:lang w:eastAsia="zh-CN"/>
        </w:rPr>
      </w:pPr>
      <w:r>
        <w:rPr>
          <w:rFonts w:hint="eastAsia" w:ascii="宋体" w:hAnsi="宋体" w:cs="Arial"/>
          <w:bCs/>
          <w:sz w:val="24"/>
          <w:szCs w:val="24"/>
          <w:highlight w:val="none"/>
        </w:rPr>
        <w:t>名称：</w:t>
      </w:r>
      <w:r>
        <w:rPr>
          <w:rFonts w:hint="eastAsia" w:ascii="宋体" w:hAnsi="宋体" w:cs="Arial"/>
          <w:bCs/>
          <w:sz w:val="24"/>
          <w:szCs w:val="24"/>
          <w:highlight w:val="none"/>
          <w:lang w:eastAsia="zh-CN"/>
        </w:rPr>
        <w:t>江苏中线行项目管理有限公司</w:t>
      </w:r>
    </w:p>
    <w:p w14:paraId="2130DBDA">
      <w:pPr>
        <w:widowControl/>
        <w:spacing w:line="480" w:lineRule="exact"/>
        <w:ind w:firstLine="480"/>
        <w:jc w:val="left"/>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rPr>
        <w:t>地址：</w:t>
      </w:r>
      <w:r>
        <w:rPr>
          <w:rFonts w:hint="eastAsia" w:ascii="宋体" w:hAnsi="宋体" w:cs="Arial"/>
          <w:bCs/>
          <w:sz w:val="24"/>
          <w:szCs w:val="24"/>
          <w:highlight w:val="none"/>
          <w:lang w:val="en-US" w:eastAsia="zh-CN"/>
        </w:rPr>
        <w:t>盐城市大丰区东方1号创意小镇9-1号楼409室</w:t>
      </w:r>
    </w:p>
    <w:p w14:paraId="5E90DA5A">
      <w:pPr>
        <w:widowControl/>
        <w:spacing w:line="480" w:lineRule="exact"/>
        <w:ind w:firstLine="480"/>
        <w:jc w:val="left"/>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rPr>
        <w:t>联系电话：</w:t>
      </w:r>
      <w:r>
        <w:rPr>
          <w:rFonts w:hint="eastAsia" w:ascii="宋体" w:hAnsi="宋体" w:cs="Arial"/>
          <w:bCs/>
          <w:sz w:val="24"/>
          <w:szCs w:val="24"/>
          <w:highlight w:val="none"/>
          <w:lang w:val="en-US" w:eastAsia="zh-CN"/>
        </w:rPr>
        <w:t>0515-66882258-9-821</w:t>
      </w:r>
    </w:p>
    <w:p w14:paraId="1063C799">
      <w:pPr>
        <w:widowControl/>
        <w:spacing w:line="480" w:lineRule="exact"/>
        <w:ind w:firstLine="480"/>
        <w:jc w:val="left"/>
        <w:rPr>
          <w:rFonts w:ascii="宋体" w:hAnsi="宋体" w:cs="Arial"/>
          <w:bCs/>
          <w:sz w:val="24"/>
          <w:szCs w:val="24"/>
          <w:highlight w:val="none"/>
        </w:rPr>
      </w:pPr>
      <w:r>
        <w:rPr>
          <w:rFonts w:ascii="宋体" w:hAnsi="宋体" w:cs="Arial"/>
          <w:bCs/>
          <w:sz w:val="24"/>
          <w:szCs w:val="24"/>
          <w:highlight w:val="none"/>
        </w:rPr>
        <w:t>3.</w:t>
      </w:r>
      <w:r>
        <w:rPr>
          <w:rFonts w:hint="eastAsia" w:ascii="宋体" w:hAnsi="宋体" w:cs="Arial"/>
          <w:bCs/>
          <w:sz w:val="24"/>
          <w:szCs w:val="24"/>
          <w:highlight w:val="none"/>
        </w:rPr>
        <w:t>项目联系方式</w:t>
      </w:r>
    </w:p>
    <w:p w14:paraId="7FF750B8">
      <w:pPr>
        <w:widowControl/>
        <w:spacing w:line="480" w:lineRule="exact"/>
        <w:ind w:firstLine="480"/>
        <w:jc w:val="left"/>
        <w:rPr>
          <w:rFonts w:hint="eastAsia" w:ascii="宋体" w:hAnsi="宋体" w:eastAsia="宋体" w:cs="Arial"/>
          <w:bCs/>
          <w:sz w:val="24"/>
          <w:szCs w:val="24"/>
          <w:highlight w:val="none"/>
          <w:lang w:eastAsia="zh-CN"/>
        </w:rPr>
      </w:pPr>
      <w:r>
        <w:rPr>
          <w:rFonts w:hint="eastAsia" w:ascii="宋体" w:hAnsi="宋体" w:cs="Arial"/>
          <w:bCs/>
          <w:sz w:val="24"/>
          <w:szCs w:val="24"/>
          <w:highlight w:val="none"/>
        </w:rPr>
        <w:t>项目联系人：</w:t>
      </w:r>
      <w:r>
        <w:rPr>
          <w:rFonts w:hint="eastAsia" w:ascii="宋体" w:hAnsi="宋体" w:cs="Arial"/>
          <w:bCs/>
          <w:sz w:val="24"/>
          <w:szCs w:val="24"/>
          <w:highlight w:val="none"/>
          <w:lang w:val="en-US" w:eastAsia="zh-CN"/>
        </w:rPr>
        <w:t>顾萍萍</w:t>
      </w:r>
    </w:p>
    <w:p w14:paraId="51C606CD">
      <w:pPr>
        <w:widowControl/>
        <w:spacing w:line="480" w:lineRule="exact"/>
        <w:ind w:firstLine="480"/>
        <w:jc w:val="left"/>
        <w:rPr>
          <w:rFonts w:hint="eastAsia" w:ascii="宋体" w:hAnsi="宋体" w:eastAsia="宋体" w:cs="Arial"/>
          <w:bCs/>
          <w:sz w:val="24"/>
          <w:szCs w:val="24"/>
          <w:highlight w:val="none"/>
          <w:lang w:eastAsia="zh-CN"/>
        </w:rPr>
      </w:pPr>
      <w:r>
        <w:rPr>
          <w:rFonts w:hint="eastAsia" w:ascii="宋体" w:hAnsi="宋体" w:cs="Arial"/>
          <w:bCs/>
          <w:sz w:val="24"/>
          <w:szCs w:val="24"/>
          <w:highlight w:val="none"/>
        </w:rPr>
        <w:t>电话：</w:t>
      </w:r>
      <w:r>
        <w:rPr>
          <w:rFonts w:hint="eastAsia" w:ascii="宋体" w:hAnsi="宋体" w:cs="Arial"/>
          <w:bCs/>
          <w:sz w:val="24"/>
          <w:szCs w:val="24"/>
          <w:highlight w:val="none"/>
          <w:lang w:val="en-US" w:eastAsia="zh-CN"/>
        </w:rPr>
        <w:t>0515-66882258-9-821</w:t>
      </w:r>
    </w:p>
    <w:p w14:paraId="2BA2DA32">
      <w:pPr>
        <w:widowControl/>
        <w:spacing w:line="480" w:lineRule="exact"/>
        <w:ind w:firstLine="480"/>
        <w:jc w:val="left"/>
        <w:rPr>
          <w:rFonts w:ascii="宋体" w:hAnsi="宋体" w:cs="Arial"/>
          <w:bCs/>
          <w:sz w:val="24"/>
          <w:szCs w:val="24"/>
          <w:highlight w:val="none"/>
        </w:rPr>
      </w:pPr>
      <w:r>
        <w:rPr>
          <w:rFonts w:hint="eastAsia" w:ascii="宋体" w:hAnsi="宋体" w:cs="Arial"/>
          <w:bCs/>
          <w:sz w:val="24"/>
          <w:szCs w:val="24"/>
          <w:highlight w:val="none"/>
          <w:lang w:val="en-US" w:eastAsia="zh-CN"/>
        </w:rPr>
        <w:t>4.</w:t>
      </w:r>
      <w:r>
        <w:rPr>
          <w:rFonts w:hint="eastAsia" w:ascii="宋体" w:hAnsi="宋体" w:cs="Arial"/>
          <w:bCs/>
          <w:sz w:val="24"/>
          <w:szCs w:val="24"/>
          <w:highlight w:val="none"/>
        </w:rPr>
        <w:t>软件技术支持：</w:t>
      </w:r>
      <w:r>
        <w:rPr>
          <w:rFonts w:ascii="宋体" w:hAnsi="宋体" w:cs="Arial"/>
          <w:bCs/>
          <w:sz w:val="24"/>
          <w:szCs w:val="24"/>
          <w:highlight w:val="none"/>
        </w:rPr>
        <w:t>0519-86722805</w:t>
      </w:r>
    </w:p>
    <w:p w14:paraId="6FD93204">
      <w:pPr>
        <w:spacing w:line="460" w:lineRule="exact"/>
        <w:ind w:left="2" w:firstLine="475"/>
        <w:jc w:val="right"/>
        <w:rPr>
          <w:rFonts w:hint="eastAsia" w:ascii="宋体" w:hAnsi="宋体" w:eastAsia="宋体"/>
          <w:sz w:val="24"/>
          <w:szCs w:val="24"/>
          <w:highlight w:val="none"/>
          <w:lang w:eastAsia="zh-CN"/>
        </w:rPr>
      </w:pPr>
    </w:p>
    <w:p w14:paraId="654A33DD">
      <w:pPr>
        <w:spacing w:before="156" w:after="156" w:line="400" w:lineRule="exact"/>
        <w:jc w:val="right"/>
        <w:outlineLvl w:val="1"/>
        <w:rPr>
          <w:rFonts w:ascii="宋体" w:hAnsi="宋体"/>
          <w:b/>
          <w:sz w:val="24"/>
          <w:szCs w:val="24"/>
          <w:highlight w:val="none"/>
        </w:rPr>
      </w:pPr>
    </w:p>
    <w:p w14:paraId="6B9C855D">
      <w:pPr>
        <w:rPr>
          <w:rFonts w:hint="eastAsia" w:ascii="宋体" w:hAnsi="宋体" w:cs="宋体"/>
          <w:b/>
          <w:sz w:val="32"/>
          <w:szCs w:val="32"/>
          <w:highlight w:val="none"/>
        </w:rPr>
      </w:pPr>
      <w:r>
        <w:rPr>
          <w:rFonts w:hint="eastAsia" w:ascii="宋体" w:hAnsi="宋体" w:cs="宋体"/>
          <w:b/>
          <w:sz w:val="32"/>
          <w:szCs w:val="32"/>
          <w:highlight w:val="none"/>
        </w:rPr>
        <w:br w:type="page" w:clear="all"/>
      </w:r>
    </w:p>
    <w:p w14:paraId="5FE339C6">
      <w:pPr>
        <w:tabs>
          <w:tab w:val="center" w:pos="4718"/>
        </w:tabs>
        <w:spacing w:line="480" w:lineRule="exact"/>
        <w:jc w:val="center"/>
        <w:outlineLvl w:val="0"/>
        <w:rPr>
          <w:rFonts w:ascii="宋体" w:hAnsi="宋体" w:cs="宋体"/>
          <w:b/>
          <w:sz w:val="32"/>
          <w:szCs w:val="32"/>
          <w:highlight w:val="none"/>
        </w:rPr>
      </w:pPr>
      <w:bookmarkStart w:id="8" w:name="_Toc27253"/>
      <w:r>
        <w:rPr>
          <w:rFonts w:hint="eastAsia" w:ascii="宋体" w:hAnsi="宋体" w:cs="宋体"/>
          <w:b/>
          <w:sz w:val="32"/>
          <w:szCs w:val="32"/>
          <w:highlight w:val="none"/>
        </w:rPr>
        <w:t>第二章  投标须知</w:t>
      </w:r>
      <w:bookmarkEnd w:id="8"/>
    </w:p>
    <w:p w14:paraId="57F6DE83">
      <w:pPr>
        <w:spacing w:before="156" w:after="156" w:line="400" w:lineRule="exact"/>
        <w:ind w:left="238"/>
        <w:jc w:val="center"/>
        <w:outlineLvl w:val="1"/>
        <w:rPr>
          <w:rFonts w:ascii="宋体" w:hAnsi="宋体"/>
          <w:b/>
          <w:sz w:val="24"/>
          <w:szCs w:val="24"/>
          <w:highlight w:val="none"/>
        </w:rPr>
      </w:pPr>
      <w:bookmarkStart w:id="9" w:name="_Toc120519610"/>
      <w:bookmarkStart w:id="10" w:name="_Toc14805"/>
      <w:bookmarkStart w:id="11" w:name="_Toc1009"/>
      <w:r>
        <w:rPr>
          <w:rFonts w:hint="eastAsia" w:ascii="宋体" w:hAnsi="宋体"/>
          <w:b/>
          <w:sz w:val="24"/>
          <w:szCs w:val="24"/>
          <w:highlight w:val="none"/>
        </w:rPr>
        <w:t>一、投标须知前附表</w:t>
      </w:r>
      <w:bookmarkEnd w:id="9"/>
      <w:bookmarkEnd w:id="10"/>
      <w:bookmarkEnd w:id="11"/>
    </w:p>
    <w:tbl>
      <w:tblPr>
        <w:tblStyle w:val="42"/>
        <w:tblW w:w="93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24"/>
        <w:gridCol w:w="2712"/>
        <w:gridCol w:w="2449"/>
        <w:gridCol w:w="2454"/>
      </w:tblGrid>
      <w:tr w14:paraId="66630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1724" w:type="dxa"/>
            <w:noWrap w:val="0"/>
            <w:vAlign w:val="center"/>
          </w:tcPr>
          <w:p w14:paraId="198FB29F">
            <w:pPr>
              <w:spacing w:line="240" w:lineRule="exact"/>
              <w:jc w:val="center"/>
              <w:rPr>
                <w:rFonts w:ascii="宋体" w:hAnsi="宋体"/>
                <w:bCs/>
                <w:sz w:val="20"/>
                <w:szCs w:val="21"/>
                <w:highlight w:val="none"/>
              </w:rPr>
            </w:pPr>
            <w:r>
              <w:rPr>
                <w:rFonts w:hint="eastAsia" w:ascii="宋体" w:hAnsi="宋体"/>
                <w:bCs/>
                <w:sz w:val="20"/>
                <w:szCs w:val="21"/>
                <w:highlight w:val="none"/>
              </w:rPr>
              <w:t>项目名称</w:t>
            </w:r>
          </w:p>
        </w:tc>
        <w:tc>
          <w:tcPr>
            <w:tcW w:w="7615" w:type="dxa"/>
            <w:gridSpan w:val="3"/>
            <w:noWrap w:val="0"/>
            <w:vAlign w:val="center"/>
          </w:tcPr>
          <w:p w14:paraId="0B278802">
            <w:pPr>
              <w:widowControl/>
              <w:spacing w:line="240" w:lineRule="exact"/>
              <w:jc w:val="center"/>
              <w:rPr>
                <w:rFonts w:hint="eastAsia" w:ascii="宋体" w:hAnsi="宋体" w:eastAsia="宋体" w:cs="Arial"/>
                <w:bCs/>
                <w:sz w:val="20"/>
                <w:szCs w:val="21"/>
                <w:highlight w:val="none"/>
                <w:lang w:eastAsia="zh-CN"/>
              </w:rPr>
            </w:pPr>
            <w:r>
              <w:rPr>
                <w:rFonts w:hint="eastAsia" w:ascii="宋体" w:hAnsi="宋体" w:cs="Arial"/>
                <w:bCs/>
                <w:sz w:val="20"/>
                <w:szCs w:val="21"/>
                <w:highlight w:val="none"/>
                <w:lang w:eastAsia="zh-CN"/>
              </w:rPr>
              <w:t>国家骨干冷链物流基地建设申报方案编制服务</w:t>
            </w:r>
          </w:p>
        </w:tc>
      </w:tr>
      <w:tr w14:paraId="48459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1724" w:type="dxa"/>
            <w:noWrap w:val="0"/>
            <w:vAlign w:val="center"/>
          </w:tcPr>
          <w:p w14:paraId="006704C5">
            <w:pPr>
              <w:spacing w:line="240" w:lineRule="exact"/>
              <w:jc w:val="center"/>
              <w:rPr>
                <w:rFonts w:ascii="宋体" w:hAnsi="宋体"/>
                <w:bCs/>
                <w:sz w:val="20"/>
                <w:szCs w:val="21"/>
                <w:highlight w:val="none"/>
              </w:rPr>
            </w:pPr>
            <w:r>
              <w:rPr>
                <w:rFonts w:hint="eastAsia" w:ascii="宋体" w:hAnsi="宋体"/>
                <w:bCs/>
                <w:sz w:val="20"/>
                <w:szCs w:val="21"/>
                <w:highlight w:val="none"/>
              </w:rPr>
              <w:t>采购需求</w:t>
            </w:r>
          </w:p>
        </w:tc>
        <w:tc>
          <w:tcPr>
            <w:tcW w:w="7615" w:type="dxa"/>
            <w:gridSpan w:val="3"/>
            <w:noWrap w:val="0"/>
            <w:vAlign w:val="center"/>
          </w:tcPr>
          <w:p w14:paraId="196BF75B">
            <w:pPr>
              <w:widowControl/>
              <w:spacing w:line="240" w:lineRule="exact"/>
              <w:jc w:val="center"/>
              <w:rPr>
                <w:rFonts w:hint="default" w:ascii="宋体" w:hAnsi="宋体" w:eastAsia="宋体" w:cs="宋体"/>
                <w:sz w:val="20"/>
                <w:szCs w:val="21"/>
                <w:highlight w:val="none"/>
                <w:lang w:val="en-US" w:eastAsia="zh-CN"/>
              </w:rPr>
            </w:pPr>
            <w:r>
              <w:rPr>
                <w:rFonts w:hint="eastAsia" w:ascii="宋体" w:hAnsi="宋体" w:cs="宋体"/>
                <w:sz w:val="20"/>
                <w:szCs w:val="21"/>
                <w:highlight w:val="none"/>
              </w:rPr>
              <w:t>具体内容详见</w:t>
            </w:r>
            <w:r>
              <w:rPr>
                <w:rFonts w:hint="eastAsia" w:ascii="宋体" w:hAnsi="宋体" w:cs="宋体"/>
                <w:sz w:val="20"/>
                <w:szCs w:val="21"/>
                <w:highlight w:val="none"/>
                <w:lang w:val="en-US" w:eastAsia="zh-CN"/>
              </w:rPr>
              <w:t>采购需求</w:t>
            </w:r>
          </w:p>
        </w:tc>
      </w:tr>
      <w:tr w14:paraId="080C4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1724" w:type="dxa"/>
            <w:noWrap w:val="0"/>
            <w:vAlign w:val="center"/>
          </w:tcPr>
          <w:p w14:paraId="3E4BC668">
            <w:pPr>
              <w:spacing w:line="240" w:lineRule="exact"/>
              <w:jc w:val="center"/>
              <w:rPr>
                <w:rFonts w:ascii="宋体" w:hAnsi="宋体"/>
                <w:bCs/>
                <w:sz w:val="20"/>
                <w:szCs w:val="21"/>
                <w:highlight w:val="none"/>
              </w:rPr>
            </w:pPr>
            <w:r>
              <w:rPr>
                <w:rFonts w:hint="eastAsia" w:ascii="宋体" w:hAnsi="宋体"/>
                <w:bCs/>
                <w:sz w:val="20"/>
                <w:szCs w:val="21"/>
                <w:highlight w:val="none"/>
              </w:rPr>
              <w:t>项目地点</w:t>
            </w:r>
          </w:p>
        </w:tc>
        <w:tc>
          <w:tcPr>
            <w:tcW w:w="7615" w:type="dxa"/>
            <w:gridSpan w:val="3"/>
            <w:noWrap w:val="0"/>
            <w:vAlign w:val="center"/>
          </w:tcPr>
          <w:p w14:paraId="35173188">
            <w:pPr>
              <w:spacing w:line="240" w:lineRule="exact"/>
              <w:jc w:val="center"/>
              <w:rPr>
                <w:rFonts w:ascii="宋体" w:hAnsi="宋体"/>
                <w:spacing w:val="14"/>
                <w:sz w:val="20"/>
                <w:szCs w:val="21"/>
                <w:highlight w:val="none"/>
                <w:shd w:val="clear" w:color="auto" w:fill="FFFFFF"/>
              </w:rPr>
            </w:pPr>
            <w:r>
              <w:rPr>
                <w:rFonts w:hint="eastAsia" w:ascii="宋体" w:hAnsi="宋体"/>
                <w:bCs/>
                <w:spacing w:val="14"/>
                <w:sz w:val="20"/>
                <w:szCs w:val="21"/>
                <w:highlight w:val="none"/>
                <w:shd w:val="clear" w:color="auto" w:fill="FFFFFF"/>
              </w:rPr>
              <w:t>采购人指定地点</w:t>
            </w:r>
          </w:p>
        </w:tc>
      </w:tr>
      <w:tr w14:paraId="2A476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1724" w:type="dxa"/>
            <w:noWrap w:val="0"/>
            <w:vAlign w:val="center"/>
          </w:tcPr>
          <w:p w14:paraId="4EE0F15E">
            <w:pPr>
              <w:spacing w:line="240" w:lineRule="exact"/>
              <w:jc w:val="center"/>
              <w:rPr>
                <w:rFonts w:ascii="宋体" w:hAnsi="宋体"/>
                <w:bCs/>
                <w:sz w:val="20"/>
                <w:szCs w:val="21"/>
                <w:highlight w:val="none"/>
              </w:rPr>
            </w:pPr>
            <w:r>
              <w:rPr>
                <w:rFonts w:hint="eastAsia" w:ascii="宋体" w:hAnsi="宋体"/>
                <w:bCs/>
                <w:sz w:val="20"/>
                <w:szCs w:val="21"/>
                <w:highlight w:val="none"/>
              </w:rPr>
              <w:t>标段划分</w:t>
            </w:r>
          </w:p>
        </w:tc>
        <w:tc>
          <w:tcPr>
            <w:tcW w:w="7615" w:type="dxa"/>
            <w:gridSpan w:val="3"/>
            <w:noWrap w:val="0"/>
            <w:vAlign w:val="center"/>
          </w:tcPr>
          <w:p w14:paraId="112D33DC">
            <w:pPr>
              <w:spacing w:line="240" w:lineRule="exact"/>
              <w:jc w:val="center"/>
              <w:rPr>
                <w:rFonts w:hint="eastAsia" w:ascii="宋体" w:hAnsi="宋体" w:eastAsia="宋体"/>
                <w:bCs/>
                <w:sz w:val="20"/>
                <w:szCs w:val="21"/>
                <w:highlight w:val="none"/>
                <w:lang w:val="en-US" w:eastAsia="zh-CN"/>
              </w:rPr>
            </w:pPr>
            <w:r>
              <w:rPr>
                <w:rFonts w:hint="eastAsia" w:ascii="宋体" w:hAnsi="宋体" w:cs="Arial"/>
                <w:bCs/>
                <w:color w:val="C00000"/>
                <w:sz w:val="20"/>
                <w:szCs w:val="21"/>
                <w:highlight w:val="none"/>
              </w:rPr>
              <w:t>一个</w:t>
            </w:r>
            <w:r>
              <w:rPr>
                <w:rFonts w:hint="eastAsia" w:ascii="宋体" w:hAnsi="宋体" w:cs="Arial"/>
                <w:bCs/>
                <w:color w:val="C00000"/>
                <w:sz w:val="20"/>
                <w:szCs w:val="21"/>
                <w:highlight w:val="none"/>
                <w:lang w:val="en-US" w:eastAsia="zh-CN"/>
              </w:rPr>
              <w:t>分包</w:t>
            </w:r>
          </w:p>
        </w:tc>
      </w:tr>
      <w:tr w14:paraId="22D71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1724" w:type="dxa"/>
            <w:noWrap w:val="0"/>
            <w:vAlign w:val="center"/>
          </w:tcPr>
          <w:p w14:paraId="2F0A4DA8">
            <w:pPr>
              <w:spacing w:line="240" w:lineRule="exact"/>
              <w:jc w:val="center"/>
              <w:rPr>
                <w:rFonts w:ascii="宋体" w:hAnsi="宋体"/>
                <w:bCs/>
                <w:sz w:val="20"/>
                <w:szCs w:val="21"/>
                <w:highlight w:val="none"/>
              </w:rPr>
            </w:pPr>
            <w:r>
              <w:rPr>
                <w:rFonts w:hint="eastAsia" w:ascii="宋体" w:hAnsi="宋体"/>
                <w:bCs/>
                <w:sz w:val="20"/>
                <w:szCs w:val="21"/>
                <w:highlight w:val="none"/>
              </w:rPr>
              <w:t>采购单位联系人</w:t>
            </w:r>
          </w:p>
        </w:tc>
        <w:tc>
          <w:tcPr>
            <w:tcW w:w="2712" w:type="dxa"/>
            <w:noWrap w:val="0"/>
            <w:vAlign w:val="center"/>
          </w:tcPr>
          <w:p w14:paraId="0578933A">
            <w:pPr>
              <w:spacing w:line="240" w:lineRule="exact"/>
              <w:jc w:val="center"/>
              <w:rPr>
                <w:rFonts w:hint="default" w:ascii="宋体" w:hAnsi="宋体" w:eastAsia="宋体"/>
                <w:bCs/>
                <w:sz w:val="20"/>
                <w:szCs w:val="21"/>
                <w:highlight w:val="none"/>
                <w:lang w:val="en-US" w:eastAsia="zh-CN"/>
              </w:rPr>
            </w:pPr>
            <w:r>
              <w:rPr>
                <w:rFonts w:hint="eastAsia" w:ascii="宋体" w:hAnsi="宋体"/>
                <w:bCs/>
                <w:sz w:val="20"/>
                <w:szCs w:val="21"/>
                <w:highlight w:val="none"/>
                <w:lang w:val="en-US" w:eastAsia="zh-CN"/>
              </w:rPr>
              <w:t>姚先生</w:t>
            </w:r>
          </w:p>
        </w:tc>
        <w:tc>
          <w:tcPr>
            <w:tcW w:w="2449" w:type="dxa"/>
            <w:noWrap w:val="0"/>
            <w:vAlign w:val="center"/>
          </w:tcPr>
          <w:p w14:paraId="6075B095">
            <w:pPr>
              <w:spacing w:line="240" w:lineRule="exact"/>
              <w:jc w:val="center"/>
              <w:rPr>
                <w:rFonts w:ascii="宋体" w:hAnsi="宋体"/>
                <w:bCs/>
                <w:sz w:val="20"/>
                <w:szCs w:val="21"/>
                <w:highlight w:val="none"/>
              </w:rPr>
            </w:pPr>
            <w:r>
              <w:rPr>
                <w:rFonts w:hint="eastAsia" w:ascii="宋体" w:hAnsi="宋体"/>
                <w:bCs/>
                <w:sz w:val="20"/>
                <w:szCs w:val="21"/>
                <w:highlight w:val="none"/>
              </w:rPr>
              <w:t>电  话</w:t>
            </w:r>
          </w:p>
        </w:tc>
        <w:tc>
          <w:tcPr>
            <w:tcW w:w="2454" w:type="dxa"/>
            <w:noWrap w:val="0"/>
            <w:vAlign w:val="center"/>
          </w:tcPr>
          <w:p w14:paraId="427E3D05">
            <w:pPr>
              <w:spacing w:line="240" w:lineRule="exact"/>
              <w:jc w:val="center"/>
              <w:rPr>
                <w:rFonts w:hint="eastAsia" w:ascii="宋体" w:hAnsi="宋体" w:eastAsia="宋体"/>
                <w:bCs/>
                <w:sz w:val="20"/>
                <w:szCs w:val="21"/>
                <w:highlight w:val="none"/>
                <w:lang w:eastAsia="zh-CN"/>
              </w:rPr>
            </w:pPr>
            <w:r>
              <w:rPr>
                <w:rFonts w:hint="eastAsia" w:ascii="宋体" w:hAnsi="宋体" w:eastAsia="宋体"/>
                <w:bCs/>
                <w:sz w:val="20"/>
                <w:szCs w:val="21"/>
                <w:highlight w:val="none"/>
                <w:lang w:val="en-US" w:eastAsia="zh-CN"/>
              </w:rPr>
              <w:t>15251179957</w:t>
            </w:r>
          </w:p>
        </w:tc>
      </w:tr>
      <w:tr w14:paraId="098EB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1724" w:type="dxa"/>
            <w:noWrap w:val="0"/>
            <w:vAlign w:val="center"/>
          </w:tcPr>
          <w:p w14:paraId="5E95E140">
            <w:pPr>
              <w:spacing w:line="240" w:lineRule="exact"/>
              <w:jc w:val="center"/>
              <w:rPr>
                <w:rFonts w:ascii="宋体" w:hAnsi="宋体"/>
                <w:bCs/>
                <w:sz w:val="20"/>
                <w:szCs w:val="21"/>
                <w:highlight w:val="none"/>
              </w:rPr>
            </w:pPr>
            <w:r>
              <w:rPr>
                <w:rFonts w:hint="eastAsia" w:ascii="宋体" w:hAnsi="宋体"/>
                <w:bCs/>
                <w:sz w:val="20"/>
                <w:szCs w:val="21"/>
                <w:highlight w:val="none"/>
              </w:rPr>
              <w:t>代理机构联系人</w:t>
            </w:r>
          </w:p>
        </w:tc>
        <w:tc>
          <w:tcPr>
            <w:tcW w:w="2712" w:type="dxa"/>
            <w:noWrap w:val="0"/>
            <w:vAlign w:val="center"/>
          </w:tcPr>
          <w:p w14:paraId="6BDC4B45">
            <w:pPr>
              <w:spacing w:line="240" w:lineRule="exact"/>
              <w:jc w:val="center"/>
              <w:rPr>
                <w:rFonts w:hint="default" w:ascii="宋体" w:hAnsi="宋体" w:eastAsia="宋体"/>
                <w:bCs/>
                <w:sz w:val="20"/>
                <w:szCs w:val="21"/>
                <w:highlight w:val="none"/>
                <w:lang w:val="en-US" w:eastAsia="zh-CN"/>
              </w:rPr>
            </w:pPr>
            <w:r>
              <w:rPr>
                <w:rFonts w:hint="eastAsia" w:ascii="宋体" w:hAnsi="宋体"/>
                <w:bCs/>
                <w:sz w:val="20"/>
                <w:szCs w:val="21"/>
                <w:highlight w:val="none"/>
                <w:lang w:val="en-US" w:eastAsia="zh-CN"/>
              </w:rPr>
              <w:t>顾萍萍</w:t>
            </w:r>
          </w:p>
        </w:tc>
        <w:tc>
          <w:tcPr>
            <w:tcW w:w="2449" w:type="dxa"/>
            <w:noWrap w:val="0"/>
            <w:vAlign w:val="center"/>
          </w:tcPr>
          <w:p w14:paraId="023C8683">
            <w:pPr>
              <w:spacing w:line="240" w:lineRule="exact"/>
              <w:jc w:val="center"/>
              <w:rPr>
                <w:rFonts w:ascii="宋体" w:hAnsi="宋体"/>
                <w:bCs/>
                <w:sz w:val="20"/>
                <w:szCs w:val="21"/>
                <w:highlight w:val="none"/>
              </w:rPr>
            </w:pPr>
            <w:r>
              <w:rPr>
                <w:rFonts w:hint="eastAsia" w:ascii="宋体" w:hAnsi="宋体"/>
                <w:bCs/>
                <w:sz w:val="20"/>
                <w:szCs w:val="21"/>
                <w:highlight w:val="none"/>
              </w:rPr>
              <w:t>电  话</w:t>
            </w:r>
          </w:p>
        </w:tc>
        <w:tc>
          <w:tcPr>
            <w:tcW w:w="2454" w:type="dxa"/>
            <w:noWrap w:val="0"/>
            <w:vAlign w:val="center"/>
          </w:tcPr>
          <w:p w14:paraId="0670C115">
            <w:pPr>
              <w:spacing w:line="240" w:lineRule="exact"/>
              <w:jc w:val="center"/>
              <w:rPr>
                <w:rFonts w:hint="default" w:ascii="宋体" w:hAnsi="宋体" w:eastAsia="宋体"/>
                <w:bCs/>
                <w:sz w:val="20"/>
                <w:szCs w:val="21"/>
                <w:highlight w:val="none"/>
                <w:lang w:val="en-US" w:eastAsia="zh-CN"/>
              </w:rPr>
            </w:pPr>
            <w:r>
              <w:rPr>
                <w:rFonts w:hint="eastAsia" w:ascii="宋体" w:hAnsi="宋体"/>
                <w:bCs/>
                <w:sz w:val="20"/>
                <w:szCs w:val="21"/>
                <w:highlight w:val="none"/>
                <w:lang w:val="en-US" w:eastAsia="zh-CN"/>
              </w:rPr>
              <w:t>0515-66882258-9-821</w:t>
            </w:r>
          </w:p>
        </w:tc>
      </w:tr>
      <w:tr w14:paraId="4A297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1724" w:type="dxa"/>
            <w:noWrap w:val="0"/>
            <w:vAlign w:val="center"/>
          </w:tcPr>
          <w:p w14:paraId="4A12EC80">
            <w:pPr>
              <w:spacing w:line="240" w:lineRule="exact"/>
              <w:jc w:val="center"/>
              <w:rPr>
                <w:rFonts w:ascii="宋体" w:hAnsi="宋体"/>
                <w:bCs/>
                <w:sz w:val="20"/>
                <w:szCs w:val="21"/>
                <w:highlight w:val="none"/>
              </w:rPr>
            </w:pPr>
            <w:r>
              <w:rPr>
                <w:rFonts w:hint="eastAsia" w:ascii="宋体" w:hAnsi="宋体"/>
                <w:bCs/>
                <w:sz w:val="20"/>
                <w:szCs w:val="21"/>
                <w:highlight w:val="none"/>
              </w:rPr>
              <w:t>投标保证金</w:t>
            </w:r>
          </w:p>
        </w:tc>
        <w:tc>
          <w:tcPr>
            <w:tcW w:w="7615" w:type="dxa"/>
            <w:gridSpan w:val="3"/>
            <w:noWrap w:val="0"/>
            <w:vAlign w:val="center"/>
          </w:tcPr>
          <w:p w14:paraId="26044667">
            <w:pPr>
              <w:spacing w:line="240" w:lineRule="exact"/>
              <w:rPr>
                <w:rFonts w:ascii="宋体" w:hAnsi="宋体"/>
                <w:bCs/>
                <w:sz w:val="20"/>
                <w:szCs w:val="21"/>
                <w:highlight w:val="none"/>
              </w:rPr>
            </w:pPr>
            <w:r>
              <w:rPr>
                <w:rFonts w:hint="eastAsia" w:ascii="宋体" w:hAnsi="宋体"/>
                <w:bCs/>
                <w:sz w:val="20"/>
                <w:szCs w:val="21"/>
                <w:highlight w:val="none"/>
              </w:rPr>
              <w:t>为贯彻落实苏财购[2020]52号文件精神，该项目投标人可</w:t>
            </w:r>
            <w:r>
              <w:rPr>
                <w:rFonts w:hint="eastAsia" w:ascii="宋体" w:hAnsi="宋体"/>
                <w:bCs/>
                <w:sz w:val="20"/>
                <w:szCs w:val="21"/>
                <w:highlight w:val="none"/>
                <w:lang w:eastAsia="zh-CN"/>
              </w:rPr>
              <w:t>免缴</w:t>
            </w:r>
            <w:r>
              <w:rPr>
                <w:rFonts w:hint="eastAsia" w:ascii="宋体" w:hAnsi="宋体"/>
                <w:bCs/>
                <w:sz w:val="20"/>
                <w:szCs w:val="21"/>
                <w:highlight w:val="none"/>
              </w:rPr>
              <w:t>投标保证金。</w:t>
            </w:r>
          </w:p>
        </w:tc>
      </w:tr>
      <w:tr w14:paraId="030E8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28" w:hRule="atLeast"/>
          <w:jc w:val="center"/>
        </w:trPr>
        <w:tc>
          <w:tcPr>
            <w:tcW w:w="1724" w:type="dxa"/>
            <w:noWrap w:val="0"/>
            <w:vAlign w:val="center"/>
          </w:tcPr>
          <w:p w14:paraId="7E1AF231">
            <w:pPr>
              <w:spacing w:line="240" w:lineRule="exact"/>
              <w:jc w:val="center"/>
              <w:rPr>
                <w:rFonts w:ascii="宋体" w:hAnsi="宋体"/>
                <w:bCs/>
                <w:sz w:val="20"/>
                <w:szCs w:val="21"/>
                <w:highlight w:val="none"/>
              </w:rPr>
            </w:pPr>
            <w:r>
              <w:rPr>
                <w:rFonts w:hint="eastAsia" w:ascii="宋体" w:hAnsi="宋体"/>
                <w:bCs/>
                <w:sz w:val="20"/>
                <w:szCs w:val="21"/>
                <w:highlight w:val="none"/>
              </w:rPr>
              <w:t>履约保证金</w:t>
            </w:r>
          </w:p>
        </w:tc>
        <w:tc>
          <w:tcPr>
            <w:tcW w:w="7615" w:type="dxa"/>
            <w:gridSpan w:val="3"/>
            <w:noWrap w:val="0"/>
            <w:vAlign w:val="center"/>
          </w:tcPr>
          <w:p w14:paraId="547943D9">
            <w:pPr>
              <w:widowControl/>
              <w:spacing w:line="300" w:lineRule="exact"/>
              <w:jc w:val="left"/>
              <w:rPr>
                <w:rFonts w:hint="eastAsia" w:ascii="宋体" w:hAnsi="宋体" w:cs="宋体"/>
                <w:sz w:val="20"/>
                <w:szCs w:val="21"/>
                <w:highlight w:val="none"/>
              </w:rPr>
            </w:pPr>
            <w:r>
              <w:rPr>
                <w:rFonts w:hint="eastAsia" w:ascii="宋体" w:hAnsi="宋体" w:cs="宋体"/>
                <w:sz w:val="20"/>
                <w:szCs w:val="21"/>
                <w:highlight w:val="none"/>
              </w:rPr>
              <w:t>中标单位在签订合同前，须向采购人交纳中标价10%的履约保证金，</w:t>
            </w:r>
            <w:r>
              <w:rPr>
                <w:rFonts w:hint="eastAsia" w:ascii="宋体" w:hAnsi="宋体" w:cs="宋体"/>
                <w:sz w:val="20"/>
                <w:szCs w:val="21"/>
                <w:highlight w:val="none"/>
                <w:lang w:val="en-US" w:eastAsia="zh-CN"/>
              </w:rPr>
              <w:t>提交建设方案终稿后且采购人收到发票后30日内</w:t>
            </w:r>
            <w:r>
              <w:rPr>
                <w:rFonts w:hint="eastAsia" w:ascii="宋体" w:hAnsi="宋体" w:cs="宋体"/>
                <w:sz w:val="20"/>
                <w:szCs w:val="21"/>
                <w:highlight w:val="none"/>
              </w:rPr>
              <w:t>。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向采购人交纳中标价</w:t>
            </w:r>
            <w:r>
              <w:rPr>
                <w:rFonts w:hint="eastAsia" w:ascii="宋体" w:hAnsi="宋体" w:cs="宋体"/>
                <w:sz w:val="20"/>
                <w:szCs w:val="21"/>
                <w:highlight w:val="none"/>
                <w:lang w:val="en-US" w:eastAsia="zh-CN"/>
              </w:rPr>
              <w:t>5</w:t>
            </w:r>
            <w:r>
              <w:rPr>
                <w:rFonts w:hint="eastAsia" w:ascii="宋体" w:hAnsi="宋体" w:cs="宋体"/>
                <w:sz w:val="20"/>
                <w:szCs w:val="21"/>
                <w:highlight w:val="none"/>
              </w:rPr>
              <w:t>%的履约保证金</w:t>
            </w:r>
          </w:p>
          <w:p w14:paraId="46AC9F8F">
            <w:pPr>
              <w:widowControl/>
              <w:spacing w:line="300" w:lineRule="exact"/>
              <w:jc w:val="left"/>
              <w:rPr>
                <w:rFonts w:hint="eastAsia" w:ascii="宋体" w:hAnsi="宋体" w:cs="宋体"/>
                <w:sz w:val="20"/>
                <w:szCs w:val="21"/>
                <w:highlight w:val="none"/>
              </w:rPr>
            </w:pPr>
            <w:r>
              <w:rPr>
                <w:rFonts w:hint="eastAsia" w:ascii="宋体" w:hAnsi="宋体" w:cs="宋体"/>
                <w:sz w:val="20"/>
                <w:szCs w:val="21"/>
                <w:highlight w:val="none"/>
              </w:rPr>
              <w:t>履约保证金形式：投标人应当以支票、汇票、本票或者金融机构、担保机构出具的保函等非现金形式提交。</w:t>
            </w:r>
          </w:p>
          <w:p w14:paraId="4C8D653D">
            <w:pPr>
              <w:widowControl/>
              <w:spacing w:line="300" w:lineRule="exact"/>
              <w:jc w:val="left"/>
              <w:rPr>
                <w:rFonts w:ascii="宋体" w:hAnsi="宋体" w:cs="宋体"/>
                <w:sz w:val="20"/>
                <w:szCs w:val="21"/>
                <w:highlight w:val="none"/>
              </w:rPr>
            </w:pPr>
            <w:r>
              <w:rPr>
                <w:rFonts w:hint="eastAsia" w:ascii="宋体" w:hAnsi="宋体" w:cs="宋体"/>
                <w:sz w:val="20"/>
                <w:szCs w:val="21"/>
                <w:highlight w:val="none"/>
              </w:rPr>
              <w:t>依据《关于在全省政府采购领域推行电子约保函(保险)的通知》，鼓励供应商自愿使用履约保函(保险)代替缴纳履约保证金)，可以通过政府采购电子履约保函（保险）平台（www.jsdzbh.com）在线申请履约保函（保险）。</w:t>
            </w:r>
          </w:p>
        </w:tc>
      </w:tr>
      <w:tr w14:paraId="0BBB6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1724" w:type="dxa"/>
            <w:noWrap w:val="0"/>
            <w:vAlign w:val="center"/>
          </w:tcPr>
          <w:p w14:paraId="772C62DE">
            <w:pPr>
              <w:spacing w:line="240" w:lineRule="exact"/>
              <w:jc w:val="center"/>
              <w:rPr>
                <w:rFonts w:ascii="宋体" w:hAnsi="宋体" w:cs="Arial"/>
                <w:bCs/>
                <w:sz w:val="20"/>
                <w:szCs w:val="21"/>
                <w:highlight w:val="none"/>
              </w:rPr>
            </w:pPr>
            <w:r>
              <w:rPr>
                <w:rFonts w:hint="eastAsia" w:ascii="宋体" w:hAnsi="宋体" w:cs="Arial"/>
                <w:bCs/>
                <w:sz w:val="20"/>
                <w:szCs w:val="21"/>
                <w:highlight w:val="none"/>
              </w:rPr>
              <w:t>合同履行</w:t>
            </w:r>
            <w:r>
              <w:rPr>
                <w:rFonts w:ascii="宋体" w:hAnsi="宋体" w:cs="Arial"/>
                <w:bCs/>
                <w:sz w:val="20"/>
                <w:szCs w:val="21"/>
                <w:highlight w:val="none"/>
              </w:rPr>
              <w:t>期限</w:t>
            </w:r>
          </w:p>
        </w:tc>
        <w:tc>
          <w:tcPr>
            <w:tcW w:w="7615" w:type="dxa"/>
            <w:gridSpan w:val="3"/>
            <w:noWrap w:val="0"/>
            <w:vAlign w:val="center"/>
          </w:tcPr>
          <w:p w14:paraId="46131905">
            <w:pPr>
              <w:spacing w:line="240" w:lineRule="exact"/>
              <w:jc w:val="left"/>
              <w:rPr>
                <w:rFonts w:ascii="宋体" w:hAnsi="宋体" w:cs="Arial"/>
                <w:sz w:val="20"/>
                <w:szCs w:val="21"/>
                <w:highlight w:val="none"/>
              </w:rPr>
            </w:pPr>
            <w:r>
              <w:rPr>
                <w:rFonts w:hint="eastAsia" w:ascii="宋体" w:hAnsi="宋体"/>
                <w:bCs/>
                <w:sz w:val="20"/>
                <w:szCs w:val="21"/>
                <w:highlight w:val="none"/>
              </w:rPr>
              <w:t>详见招标公告</w:t>
            </w:r>
          </w:p>
        </w:tc>
      </w:tr>
      <w:tr w14:paraId="3A790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1724" w:type="dxa"/>
            <w:noWrap w:val="0"/>
            <w:vAlign w:val="center"/>
          </w:tcPr>
          <w:p w14:paraId="3311F97A">
            <w:pPr>
              <w:spacing w:line="240" w:lineRule="exact"/>
              <w:jc w:val="center"/>
              <w:rPr>
                <w:rFonts w:ascii="宋体" w:hAnsi="宋体"/>
                <w:bCs/>
                <w:sz w:val="20"/>
                <w:szCs w:val="21"/>
                <w:highlight w:val="none"/>
              </w:rPr>
            </w:pPr>
            <w:r>
              <w:rPr>
                <w:rFonts w:hint="eastAsia" w:ascii="宋体" w:hAnsi="宋体"/>
                <w:bCs/>
                <w:sz w:val="20"/>
                <w:szCs w:val="21"/>
                <w:highlight w:val="none"/>
              </w:rPr>
              <w:t>投标有效期</w:t>
            </w:r>
          </w:p>
        </w:tc>
        <w:tc>
          <w:tcPr>
            <w:tcW w:w="7615" w:type="dxa"/>
            <w:gridSpan w:val="3"/>
            <w:noWrap w:val="0"/>
            <w:vAlign w:val="center"/>
          </w:tcPr>
          <w:p w14:paraId="7310157C">
            <w:pPr>
              <w:spacing w:line="240" w:lineRule="exact"/>
              <w:jc w:val="left"/>
              <w:rPr>
                <w:rFonts w:ascii="宋体" w:hAnsi="宋体"/>
                <w:sz w:val="20"/>
                <w:szCs w:val="21"/>
                <w:highlight w:val="none"/>
              </w:rPr>
            </w:pPr>
            <w:r>
              <w:rPr>
                <w:rFonts w:hint="eastAsia" w:ascii="宋体" w:hAnsi="宋体"/>
                <w:b/>
                <w:bCs/>
                <w:color w:val="C00000"/>
                <w:sz w:val="20"/>
                <w:szCs w:val="21"/>
                <w:highlight w:val="none"/>
              </w:rPr>
              <w:t>投标截止日起</w:t>
            </w:r>
            <w:r>
              <w:rPr>
                <w:rFonts w:ascii="宋体" w:hAnsi="宋体"/>
                <w:b/>
                <w:bCs/>
                <w:color w:val="C00000"/>
                <w:sz w:val="20"/>
                <w:szCs w:val="21"/>
                <w:highlight w:val="none"/>
              </w:rPr>
              <w:t>60</w:t>
            </w:r>
            <w:r>
              <w:rPr>
                <w:rFonts w:hint="eastAsia" w:ascii="宋体" w:hAnsi="宋体"/>
                <w:b/>
                <w:bCs/>
                <w:color w:val="C00000"/>
                <w:sz w:val="20"/>
                <w:szCs w:val="21"/>
                <w:highlight w:val="none"/>
              </w:rPr>
              <w:t>天（日历天）</w:t>
            </w:r>
          </w:p>
        </w:tc>
      </w:tr>
      <w:tr w14:paraId="629C8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724" w:type="dxa"/>
            <w:noWrap w:val="0"/>
            <w:vAlign w:val="center"/>
          </w:tcPr>
          <w:p w14:paraId="68F436B6">
            <w:pPr>
              <w:spacing w:line="240" w:lineRule="exact"/>
              <w:jc w:val="center"/>
              <w:rPr>
                <w:rFonts w:ascii="宋体" w:hAnsi="宋体"/>
                <w:bCs/>
                <w:sz w:val="20"/>
                <w:szCs w:val="21"/>
                <w:highlight w:val="none"/>
              </w:rPr>
            </w:pPr>
            <w:r>
              <w:rPr>
                <w:rFonts w:hint="eastAsia" w:ascii="宋体" w:hAnsi="宋体"/>
                <w:bCs/>
                <w:sz w:val="20"/>
                <w:szCs w:val="21"/>
                <w:highlight w:val="none"/>
              </w:rPr>
              <w:t>投标截止时间</w:t>
            </w:r>
          </w:p>
        </w:tc>
        <w:tc>
          <w:tcPr>
            <w:tcW w:w="7615" w:type="dxa"/>
            <w:gridSpan w:val="3"/>
            <w:noWrap w:val="0"/>
            <w:vAlign w:val="center"/>
          </w:tcPr>
          <w:p w14:paraId="1AE28302">
            <w:pPr>
              <w:spacing w:line="400" w:lineRule="exact"/>
              <w:jc w:val="left"/>
              <w:rPr>
                <w:rFonts w:ascii="宋体" w:hAnsi="宋体"/>
                <w:b/>
                <w:bCs/>
                <w:sz w:val="20"/>
                <w:szCs w:val="21"/>
                <w:highlight w:val="none"/>
              </w:rPr>
            </w:pPr>
            <w:r>
              <w:rPr>
                <w:rFonts w:hint="eastAsia" w:ascii="宋体" w:hAnsi="宋体" w:cs="宋体"/>
                <w:b/>
                <w:sz w:val="20"/>
                <w:szCs w:val="21"/>
                <w:highlight w:val="none"/>
              </w:rPr>
              <w:t>时间:</w:t>
            </w:r>
            <w:r>
              <w:rPr>
                <w:rFonts w:ascii="宋体" w:hAnsi="宋体"/>
                <w:b/>
                <w:bCs/>
                <w:sz w:val="20"/>
                <w:szCs w:val="21"/>
                <w:highlight w:val="none"/>
                <w:u w:val="single"/>
              </w:rPr>
              <w:t>202</w:t>
            </w:r>
            <w:r>
              <w:rPr>
                <w:rFonts w:hint="eastAsia" w:ascii="宋体" w:hAnsi="宋体"/>
                <w:b/>
                <w:bCs/>
                <w:sz w:val="20"/>
                <w:szCs w:val="21"/>
                <w:highlight w:val="none"/>
                <w:u w:val="single"/>
              </w:rPr>
              <w:t>4</w:t>
            </w:r>
            <w:r>
              <w:rPr>
                <w:rFonts w:ascii="宋体" w:hAnsi="宋体"/>
                <w:b/>
                <w:bCs/>
                <w:sz w:val="20"/>
                <w:szCs w:val="21"/>
                <w:highlight w:val="none"/>
                <w:u w:val="single"/>
              </w:rPr>
              <w:t>年</w:t>
            </w:r>
            <w:r>
              <w:rPr>
                <w:rFonts w:hint="eastAsia" w:ascii="宋体" w:hAnsi="宋体"/>
                <w:b/>
                <w:bCs/>
                <w:sz w:val="20"/>
                <w:szCs w:val="21"/>
                <w:highlight w:val="none"/>
                <w:u w:val="single"/>
                <w:lang w:val="en-US" w:eastAsia="zh-CN"/>
              </w:rPr>
              <w:t>8月23日10时</w:t>
            </w:r>
          </w:p>
        </w:tc>
      </w:tr>
      <w:tr w14:paraId="0A771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 w:hRule="atLeast"/>
          <w:jc w:val="center"/>
        </w:trPr>
        <w:tc>
          <w:tcPr>
            <w:tcW w:w="1724" w:type="dxa"/>
            <w:noWrap w:val="0"/>
            <w:vAlign w:val="center"/>
          </w:tcPr>
          <w:p w14:paraId="05A8226A">
            <w:pPr>
              <w:spacing w:line="240" w:lineRule="exact"/>
              <w:jc w:val="center"/>
              <w:rPr>
                <w:rFonts w:ascii="宋体" w:hAnsi="宋体"/>
                <w:bCs/>
                <w:sz w:val="20"/>
                <w:szCs w:val="21"/>
                <w:highlight w:val="none"/>
              </w:rPr>
            </w:pPr>
            <w:r>
              <w:rPr>
                <w:rFonts w:hint="eastAsia" w:ascii="宋体" w:hAnsi="宋体"/>
                <w:bCs/>
                <w:sz w:val="20"/>
                <w:szCs w:val="21"/>
                <w:highlight w:val="none"/>
              </w:rPr>
              <w:t>开标时间及地点</w:t>
            </w:r>
          </w:p>
        </w:tc>
        <w:tc>
          <w:tcPr>
            <w:tcW w:w="7615" w:type="dxa"/>
            <w:gridSpan w:val="3"/>
            <w:noWrap w:val="0"/>
            <w:vAlign w:val="center"/>
          </w:tcPr>
          <w:p w14:paraId="0A27328D">
            <w:pPr>
              <w:spacing w:line="400" w:lineRule="exact"/>
              <w:jc w:val="left"/>
              <w:rPr>
                <w:rFonts w:ascii="宋体" w:hAnsi="宋体"/>
                <w:b/>
                <w:bCs/>
                <w:sz w:val="20"/>
                <w:szCs w:val="21"/>
                <w:highlight w:val="none"/>
                <w:u w:val="single"/>
              </w:rPr>
            </w:pPr>
            <w:r>
              <w:rPr>
                <w:rFonts w:hint="eastAsia" w:ascii="宋体" w:hAnsi="宋体" w:cs="宋体"/>
                <w:b/>
                <w:sz w:val="20"/>
                <w:szCs w:val="21"/>
                <w:highlight w:val="none"/>
              </w:rPr>
              <w:t>时间:</w:t>
            </w:r>
            <w:r>
              <w:rPr>
                <w:rFonts w:ascii="宋体" w:hAnsi="宋体"/>
                <w:b/>
                <w:bCs/>
                <w:sz w:val="20"/>
                <w:szCs w:val="21"/>
                <w:highlight w:val="none"/>
                <w:u w:val="single"/>
              </w:rPr>
              <w:t>202</w:t>
            </w:r>
            <w:r>
              <w:rPr>
                <w:rFonts w:hint="eastAsia" w:ascii="宋体" w:hAnsi="宋体"/>
                <w:b/>
                <w:bCs/>
                <w:sz w:val="20"/>
                <w:szCs w:val="21"/>
                <w:highlight w:val="none"/>
                <w:u w:val="single"/>
              </w:rPr>
              <w:t>4</w:t>
            </w:r>
            <w:r>
              <w:rPr>
                <w:rFonts w:ascii="宋体" w:hAnsi="宋体"/>
                <w:b/>
                <w:bCs/>
                <w:sz w:val="20"/>
                <w:szCs w:val="21"/>
                <w:highlight w:val="none"/>
                <w:u w:val="single"/>
              </w:rPr>
              <w:t>年</w:t>
            </w:r>
            <w:r>
              <w:rPr>
                <w:rFonts w:hint="eastAsia" w:ascii="宋体" w:hAnsi="宋体"/>
                <w:b/>
                <w:bCs/>
                <w:sz w:val="20"/>
                <w:szCs w:val="21"/>
                <w:highlight w:val="none"/>
                <w:u w:val="single"/>
                <w:lang w:val="en-US" w:eastAsia="zh-CN"/>
              </w:rPr>
              <w:t>8月23日10时</w:t>
            </w:r>
          </w:p>
          <w:p w14:paraId="6F8040D2">
            <w:pPr>
              <w:spacing w:line="400" w:lineRule="exact"/>
              <w:jc w:val="left"/>
              <w:rPr>
                <w:rFonts w:ascii="宋体" w:hAnsi="宋体" w:cs="宋体"/>
                <w:b/>
                <w:sz w:val="20"/>
                <w:szCs w:val="21"/>
                <w:highlight w:val="none"/>
              </w:rPr>
            </w:pPr>
            <w:r>
              <w:rPr>
                <w:rFonts w:hint="eastAsia" w:ascii="宋体" w:hAnsi="宋体" w:cs="宋体"/>
                <w:b/>
                <w:sz w:val="20"/>
                <w:szCs w:val="21"/>
                <w:highlight w:val="none"/>
              </w:rPr>
              <w:t>地点:“苏采云”系统（网址：http://jszfcg.jsczt.cn/）“开标大厅”。</w:t>
            </w:r>
          </w:p>
        </w:tc>
      </w:tr>
      <w:tr w14:paraId="288EF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6" w:hRule="atLeast"/>
          <w:jc w:val="center"/>
        </w:trPr>
        <w:tc>
          <w:tcPr>
            <w:tcW w:w="1724" w:type="dxa"/>
            <w:noWrap w:val="0"/>
            <w:vAlign w:val="center"/>
          </w:tcPr>
          <w:p w14:paraId="5324DC53">
            <w:pPr>
              <w:spacing w:line="240" w:lineRule="exact"/>
              <w:jc w:val="center"/>
              <w:rPr>
                <w:rFonts w:ascii="宋体" w:hAnsi="宋体"/>
                <w:bCs/>
                <w:sz w:val="24"/>
                <w:highlight w:val="none"/>
              </w:rPr>
            </w:pPr>
            <w:r>
              <w:rPr>
                <w:rFonts w:hint="eastAsia" w:ascii="宋体" w:hAnsi="宋体"/>
                <w:bCs/>
                <w:sz w:val="20"/>
                <w:szCs w:val="21"/>
                <w:highlight w:val="none"/>
              </w:rPr>
              <w:t>投标文件</w:t>
            </w:r>
          </w:p>
        </w:tc>
        <w:tc>
          <w:tcPr>
            <w:tcW w:w="7615" w:type="dxa"/>
            <w:gridSpan w:val="3"/>
            <w:noWrap w:val="0"/>
            <w:vAlign w:val="center"/>
          </w:tcPr>
          <w:p w14:paraId="529982A5">
            <w:pPr>
              <w:spacing w:line="400" w:lineRule="exact"/>
              <w:jc w:val="left"/>
              <w:rPr>
                <w:rFonts w:ascii="宋体" w:hAnsi="宋体"/>
                <w:b/>
                <w:bCs/>
                <w:sz w:val="24"/>
                <w:highlight w:val="none"/>
              </w:rPr>
            </w:pPr>
            <w:r>
              <w:rPr>
                <w:rFonts w:hint="eastAsia" w:ascii="宋体" w:hAnsi="宋体" w:cs="Arial"/>
                <w:color w:val="C00000"/>
                <w:sz w:val="20"/>
                <w:szCs w:val="21"/>
                <w:highlight w:val="none"/>
              </w:rPr>
              <w:t>电子投标文件一份</w:t>
            </w:r>
            <w:r>
              <w:rPr>
                <w:rFonts w:ascii="宋体" w:hAnsi="宋体" w:cs="Arial"/>
                <w:color w:val="C00000"/>
                <w:sz w:val="20"/>
                <w:szCs w:val="21"/>
                <w:highlight w:val="none"/>
              </w:rPr>
              <w:t>(通过系统提交)</w:t>
            </w:r>
            <w:r>
              <w:rPr>
                <w:rFonts w:hint="eastAsia" w:ascii="宋体" w:hAnsi="宋体" w:cs="Arial"/>
                <w:color w:val="C00000"/>
                <w:sz w:val="20"/>
                <w:szCs w:val="21"/>
                <w:highlight w:val="none"/>
              </w:rPr>
              <w:t>，</w:t>
            </w:r>
            <w:r>
              <w:rPr>
                <w:rFonts w:ascii="宋体" w:hAnsi="宋体" w:cs="Arial"/>
                <w:color w:val="C00000"/>
                <w:sz w:val="20"/>
                <w:szCs w:val="21"/>
                <w:highlight w:val="none"/>
              </w:rPr>
              <w:t>纸质投标文件正本一份，副本</w:t>
            </w:r>
            <w:r>
              <w:rPr>
                <w:rFonts w:hint="eastAsia" w:ascii="宋体" w:hAnsi="宋体" w:cs="Arial"/>
                <w:color w:val="C00000"/>
                <w:sz w:val="20"/>
                <w:szCs w:val="21"/>
                <w:highlight w:val="none"/>
                <w:lang w:val="en-US" w:eastAsia="zh-CN"/>
              </w:rPr>
              <w:t>三</w:t>
            </w:r>
            <w:r>
              <w:rPr>
                <w:rFonts w:ascii="宋体" w:hAnsi="宋体" w:cs="Arial"/>
                <w:color w:val="C00000"/>
                <w:sz w:val="20"/>
                <w:szCs w:val="21"/>
                <w:highlight w:val="none"/>
              </w:rPr>
              <w:t>份（</w:t>
            </w:r>
            <w:r>
              <w:rPr>
                <w:rFonts w:hint="eastAsia" w:ascii="宋体" w:hAnsi="宋体" w:cs="Arial"/>
                <w:color w:val="C00000"/>
                <w:sz w:val="20"/>
                <w:szCs w:val="21"/>
                <w:highlight w:val="none"/>
              </w:rPr>
              <w:t>中标公告</w:t>
            </w:r>
            <w:r>
              <w:rPr>
                <w:rFonts w:hint="eastAsia" w:ascii="宋体" w:hAnsi="宋体" w:cs="Arial"/>
                <w:color w:val="C00000"/>
                <w:sz w:val="20"/>
                <w:szCs w:val="21"/>
                <w:highlight w:val="none"/>
                <w:lang w:val="en-US" w:eastAsia="zh-CN"/>
              </w:rPr>
              <w:t>发布后</w:t>
            </w:r>
            <w:r>
              <w:rPr>
                <w:rFonts w:ascii="宋体" w:hAnsi="宋体" w:cs="Arial"/>
                <w:color w:val="C00000"/>
                <w:sz w:val="20"/>
                <w:szCs w:val="21"/>
                <w:highlight w:val="none"/>
              </w:rPr>
              <w:t>由中标候选人邮寄至</w:t>
            </w:r>
            <w:r>
              <w:rPr>
                <w:rFonts w:hint="eastAsia" w:ascii="宋体" w:hAnsi="宋体" w:cs="Arial"/>
                <w:color w:val="C00000"/>
                <w:sz w:val="20"/>
                <w:szCs w:val="21"/>
                <w:highlight w:val="none"/>
                <w:lang w:eastAsia="zh-CN"/>
              </w:rPr>
              <w:t>江苏中线行项目管理有限公司（</w:t>
            </w:r>
            <w:r>
              <w:rPr>
                <w:rFonts w:hint="eastAsia" w:ascii="宋体" w:hAnsi="宋体" w:cs="Arial"/>
                <w:color w:val="C00000"/>
                <w:sz w:val="20"/>
                <w:szCs w:val="21"/>
                <w:highlight w:val="none"/>
                <w:lang w:val="en-US" w:eastAsia="zh-CN"/>
              </w:rPr>
              <w:t>盐城市大丰区东方1号创意小镇9-1号楼409是</w:t>
            </w:r>
            <w:r>
              <w:rPr>
                <w:rFonts w:hint="eastAsia" w:ascii="宋体" w:hAnsi="宋体" w:cs="Arial"/>
                <w:color w:val="C00000"/>
                <w:sz w:val="20"/>
                <w:szCs w:val="21"/>
                <w:highlight w:val="none"/>
                <w:lang w:eastAsia="zh-CN"/>
              </w:rPr>
              <w:t>）</w:t>
            </w:r>
            <w:r>
              <w:rPr>
                <w:rFonts w:ascii="宋体" w:hAnsi="宋体" w:cs="Arial"/>
                <w:color w:val="C00000"/>
                <w:sz w:val="20"/>
                <w:szCs w:val="21"/>
                <w:highlight w:val="none"/>
              </w:rPr>
              <w:t>，未中标单位不需要提供。</w:t>
            </w:r>
          </w:p>
        </w:tc>
      </w:tr>
      <w:tr w14:paraId="5CBCD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jc w:val="center"/>
        </w:trPr>
        <w:tc>
          <w:tcPr>
            <w:tcW w:w="1724" w:type="dxa"/>
            <w:noWrap w:val="0"/>
            <w:vAlign w:val="center"/>
          </w:tcPr>
          <w:p w14:paraId="30E463AE">
            <w:pPr>
              <w:spacing w:line="240" w:lineRule="exact"/>
              <w:jc w:val="center"/>
              <w:rPr>
                <w:rFonts w:hint="default" w:ascii="宋体" w:hAnsi="宋体" w:eastAsia="宋体"/>
                <w:bCs/>
                <w:sz w:val="20"/>
                <w:szCs w:val="21"/>
                <w:highlight w:val="none"/>
                <w:lang w:val="en-US" w:eastAsia="zh-CN"/>
              </w:rPr>
            </w:pPr>
            <w:r>
              <w:rPr>
                <w:rFonts w:hint="eastAsia" w:ascii="宋体" w:hAnsi="宋体"/>
                <w:bCs/>
                <w:sz w:val="20"/>
                <w:szCs w:val="21"/>
                <w:highlight w:val="none"/>
                <w:lang w:val="en-US" w:eastAsia="zh-CN"/>
              </w:rPr>
              <w:t>最高限价</w:t>
            </w:r>
          </w:p>
        </w:tc>
        <w:tc>
          <w:tcPr>
            <w:tcW w:w="7615" w:type="dxa"/>
            <w:gridSpan w:val="3"/>
            <w:noWrap w:val="0"/>
            <w:vAlign w:val="center"/>
          </w:tcPr>
          <w:p w14:paraId="431D6841">
            <w:pPr>
              <w:spacing w:line="240" w:lineRule="exact"/>
              <w:jc w:val="left"/>
              <w:rPr>
                <w:rFonts w:hint="default" w:ascii="宋体" w:hAnsi="宋体" w:eastAsia="宋体"/>
                <w:bCs/>
                <w:sz w:val="20"/>
                <w:szCs w:val="21"/>
                <w:highlight w:val="none"/>
                <w:lang w:val="en-US" w:eastAsia="zh-CN"/>
              </w:rPr>
            </w:pPr>
            <w:r>
              <w:rPr>
                <w:rFonts w:hint="eastAsia" w:ascii="宋体" w:hAnsi="宋体"/>
                <w:bCs/>
                <w:sz w:val="20"/>
                <w:szCs w:val="21"/>
                <w:highlight w:val="none"/>
                <w:lang w:val="en-US" w:eastAsia="zh-CN"/>
              </w:rPr>
              <w:t>120万元</w:t>
            </w:r>
          </w:p>
        </w:tc>
      </w:tr>
      <w:tr w14:paraId="19EE5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jc w:val="center"/>
        </w:trPr>
        <w:tc>
          <w:tcPr>
            <w:tcW w:w="1724" w:type="dxa"/>
            <w:noWrap w:val="0"/>
            <w:vAlign w:val="center"/>
          </w:tcPr>
          <w:p w14:paraId="4A957A14">
            <w:pPr>
              <w:spacing w:line="240" w:lineRule="exact"/>
              <w:jc w:val="center"/>
              <w:rPr>
                <w:rFonts w:ascii="宋体" w:hAnsi="宋体"/>
                <w:bCs/>
                <w:sz w:val="20"/>
                <w:szCs w:val="21"/>
                <w:highlight w:val="none"/>
              </w:rPr>
            </w:pPr>
            <w:r>
              <w:rPr>
                <w:rFonts w:hint="eastAsia" w:ascii="宋体" w:hAnsi="宋体"/>
                <w:bCs/>
                <w:sz w:val="20"/>
                <w:szCs w:val="21"/>
                <w:highlight w:val="none"/>
              </w:rPr>
              <w:t>评标办法</w:t>
            </w:r>
          </w:p>
        </w:tc>
        <w:tc>
          <w:tcPr>
            <w:tcW w:w="7615" w:type="dxa"/>
            <w:gridSpan w:val="3"/>
            <w:noWrap w:val="0"/>
            <w:vAlign w:val="center"/>
          </w:tcPr>
          <w:p w14:paraId="2A8CBC99">
            <w:pPr>
              <w:spacing w:line="240" w:lineRule="exact"/>
              <w:jc w:val="left"/>
              <w:rPr>
                <w:rFonts w:ascii="宋体" w:hAnsi="宋体"/>
                <w:bCs/>
                <w:sz w:val="20"/>
                <w:szCs w:val="21"/>
                <w:highlight w:val="none"/>
              </w:rPr>
            </w:pPr>
            <w:r>
              <w:rPr>
                <w:rFonts w:hint="eastAsia" w:ascii="宋体" w:hAnsi="宋体"/>
                <w:bCs/>
                <w:sz w:val="20"/>
                <w:szCs w:val="21"/>
                <w:highlight w:val="none"/>
              </w:rPr>
              <w:t>综合评分法</w:t>
            </w:r>
          </w:p>
        </w:tc>
      </w:tr>
      <w:tr w14:paraId="22798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6" w:hRule="atLeast"/>
          <w:jc w:val="center"/>
        </w:trPr>
        <w:tc>
          <w:tcPr>
            <w:tcW w:w="1724" w:type="dxa"/>
            <w:noWrap w:val="0"/>
            <w:vAlign w:val="center"/>
          </w:tcPr>
          <w:p w14:paraId="2B4D3983">
            <w:pPr>
              <w:spacing w:line="240" w:lineRule="exact"/>
              <w:jc w:val="center"/>
              <w:rPr>
                <w:rFonts w:ascii="宋体" w:hAnsi="宋体"/>
                <w:bCs/>
                <w:sz w:val="20"/>
                <w:szCs w:val="21"/>
                <w:highlight w:val="none"/>
              </w:rPr>
            </w:pPr>
            <w:r>
              <w:rPr>
                <w:rFonts w:hint="eastAsia" w:ascii="宋体" w:hAnsi="宋体"/>
                <w:bCs/>
                <w:sz w:val="20"/>
                <w:szCs w:val="21"/>
                <w:highlight w:val="none"/>
              </w:rPr>
              <w:t>质疑</w:t>
            </w:r>
            <w:r>
              <w:rPr>
                <w:rFonts w:ascii="宋体" w:hAnsi="宋体"/>
                <w:bCs/>
                <w:sz w:val="20"/>
                <w:szCs w:val="21"/>
                <w:highlight w:val="none"/>
              </w:rPr>
              <w:t>受理部门</w:t>
            </w:r>
          </w:p>
        </w:tc>
        <w:tc>
          <w:tcPr>
            <w:tcW w:w="7615" w:type="dxa"/>
            <w:gridSpan w:val="3"/>
            <w:noWrap w:val="0"/>
            <w:vAlign w:val="center"/>
          </w:tcPr>
          <w:p w14:paraId="4E91C886">
            <w:pPr>
              <w:spacing w:line="400" w:lineRule="exact"/>
              <w:jc w:val="left"/>
              <w:rPr>
                <w:rFonts w:hint="eastAsia" w:ascii="宋体" w:hAnsi="宋体" w:cs="Arial"/>
                <w:sz w:val="20"/>
                <w:szCs w:val="21"/>
                <w:highlight w:val="none"/>
                <w:lang w:eastAsia="zh-CN"/>
              </w:rPr>
            </w:pPr>
            <w:r>
              <w:rPr>
                <w:rFonts w:hint="eastAsia" w:ascii="宋体" w:hAnsi="宋体" w:cs="Arial"/>
                <w:sz w:val="20"/>
                <w:szCs w:val="21"/>
                <w:highlight w:val="none"/>
              </w:rPr>
              <w:t>联系部门：</w:t>
            </w:r>
            <w:r>
              <w:rPr>
                <w:rFonts w:hint="eastAsia" w:ascii="宋体" w:hAnsi="宋体" w:cs="Arial"/>
                <w:sz w:val="20"/>
                <w:szCs w:val="21"/>
                <w:highlight w:val="none"/>
                <w:lang w:eastAsia="zh-CN"/>
              </w:rPr>
              <w:t>江苏大丰港经济开发区管理委员会</w:t>
            </w:r>
            <w:r>
              <w:rPr>
                <w:rFonts w:hint="eastAsia" w:ascii="宋体" w:hAnsi="宋体" w:cs="Arial"/>
                <w:sz w:val="20"/>
                <w:szCs w:val="21"/>
                <w:highlight w:val="none"/>
              </w:rPr>
              <w:t>/</w:t>
            </w:r>
            <w:r>
              <w:rPr>
                <w:rFonts w:hint="eastAsia" w:ascii="宋体" w:hAnsi="宋体" w:cs="Arial"/>
                <w:sz w:val="20"/>
                <w:szCs w:val="21"/>
                <w:highlight w:val="none"/>
                <w:lang w:eastAsia="zh-CN"/>
              </w:rPr>
              <w:t>江苏中线行项目管理有限公司</w:t>
            </w:r>
          </w:p>
          <w:p w14:paraId="5608F0C4">
            <w:pPr>
              <w:spacing w:line="400" w:lineRule="exact"/>
              <w:jc w:val="left"/>
              <w:rPr>
                <w:rFonts w:hint="default" w:ascii="宋体" w:hAnsi="宋体" w:cs="Arial"/>
                <w:sz w:val="20"/>
                <w:szCs w:val="21"/>
                <w:highlight w:val="none"/>
                <w:lang w:val="en-US" w:eastAsia="zh-CN"/>
              </w:rPr>
            </w:pPr>
            <w:r>
              <w:rPr>
                <w:rFonts w:hint="eastAsia" w:ascii="宋体" w:hAnsi="宋体" w:cs="Arial"/>
                <w:sz w:val="20"/>
                <w:szCs w:val="21"/>
                <w:highlight w:val="none"/>
              </w:rPr>
              <w:t>联系电话：</w:t>
            </w:r>
            <w:r>
              <w:rPr>
                <w:rFonts w:hint="eastAsia" w:ascii="宋体" w:hAnsi="宋体" w:cs="Arial"/>
                <w:sz w:val="20"/>
                <w:szCs w:val="21"/>
                <w:highlight w:val="none"/>
                <w:lang w:val="en-US" w:eastAsia="zh-CN"/>
              </w:rPr>
              <w:t>15251179957</w:t>
            </w:r>
            <w:r>
              <w:rPr>
                <w:rFonts w:hint="eastAsia" w:ascii="宋体" w:hAnsi="宋体" w:cs="Arial"/>
                <w:sz w:val="20"/>
                <w:szCs w:val="21"/>
                <w:highlight w:val="none"/>
              </w:rPr>
              <w:t>/</w:t>
            </w:r>
            <w:r>
              <w:rPr>
                <w:rFonts w:hint="eastAsia" w:ascii="宋体" w:hAnsi="宋体" w:cs="Arial"/>
                <w:sz w:val="20"/>
                <w:szCs w:val="21"/>
                <w:highlight w:val="none"/>
                <w:lang w:val="en-US" w:eastAsia="zh-CN"/>
              </w:rPr>
              <w:t>0515-66882258-9-821</w:t>
            </w:r>
          </w:p>
          <w:p w14:paraId="4850B6BA">
            <w:pPr>
              <w:spacing w:line="400" w:lineRule="exact"/>
              <w:jc w:val="left"/>
              <w:rPr>
                <w:rFonts w:hint="default" w:ascii="宋体" w:hAnsi="宋体" w:eastAsia="宋体"/>
                <w:bCs/>
                <w:sz w:val="20"/>
                <w:szCs w:val="21"/>
                <w:highlight w:val="none"/>
                <w:lang w:val="en-US" w:eastAsia="zh-CN"/>
              </w:rPr>
            </w:pPr>
            <w:r>
              <w:rPr>
                <w:rFonts w:hint="eastAsia" w:ascii="宋体" w:hAnsi="宋体" w:cs="Arial"/>
                <w:sz w:val="20"/>
                <w:szCs w:val="21"/>
                <w:highlight w:val="none"/>
              </w:rPr>
              <w:t>通讯地址：</w:t>
            </w:r>
            <w:r>
              <w:rPr>
                <w:rFonts w:hint="eastAsia" w:ascii="宋体" w:hAnsi="宋体" w:cs="Arial"/>
                <w:sz w:val="20"/>
                <w:szCs w:val="21"/>
                <w:highlight w:val="none"/>
                <w:lang w:val="en-US" w:eastAsia="zh-CN"/>
              </w:rPr>
              <w:t>盐城市大丰区大丰港经济开发区中港大道1号/</w:t>
            </w:r>
            <w:r>
              <w:rPr>
                <w:rFonts w:hint="eastAsia" w:ascii="宋体" w:hAnsi="宋体" w:cs="Arial"/>
                <w:sz w:val="20"/>
                <w:szCs w:val="21"/>
                <w:highlight w:val="none"/>
              </w:rPr>
              <w:t>：</w:t>
            </w:r>
            <w:r>
              <w:rPr>
                <w:rFonts w:hint="eastAsia" w:ascii="宋体" w:hAnsi="宋体" w:cs="Arial"/>
                <w:sz w:val="20"/>
                <w:szCs w:val="21"/>
                <w:highlight w:val="none"/>
                <w:lang w:val="en-US" w:eastAsia="zh-CN"/>
              </w:rPr>
              <w:t>盐城市大丰区东方1号创意小镇9-1号楼409室</w:t>
            </w:r>
          </w:p>
        </w:tc>
      </w:tr>
      <w:tr w14:paraId="308FF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4" w:hRule="atLeast"/>
          <w:jc w:val="center"/>
        </w:trPr>
        <w:tc>
          <w:tcPr>
            <w:tcW w:w="1724" w:type="dxa"/>
            <w:noWrap w:val="0"/>
            <w:vAlign w:val="center"/>
          </w:tcPr>
          <w:p w14:paraId="60F8EF30">
            <w:pPr>
              <w:spacing w:line="240" w:lineRule="exact"/>
              <w:jc w:val="center"/>
              <w:rPr>
                <w:rFonts w:ascii="宋体" w:hAnsi="宋体"/>
                <w:bCs/>
                <w:sz w:val="20"/>
                <w:szCs w:val="21"/>
                <w:highlight w:val="none"/>
              </w:rPr>
            </w:pPr>
            <w:r>
              <w:rPr>
                <w:rFonts w:hint="eastAsia" w:ascii="宋体" w:hAnsi="宋体"/>
                <w:bCs/>
                <w:sz w:val="20"/>
                <w:szCs w:val="21"/>
                <w:highlight w:val="none"/>
              </w:rPr>
              <w:t>投诉</w:t>
            </w:r>
            <w:r>
              <w:rPr>
                <w:rFonts w:ascii="宋体" w:hAnsi="宋体"/>
                <w:bCs/>
                <w:sz w:val="20"/>
                <w:szCs w:val="21"/>
                <w:highlight w:val="none"/>
              </w:rPr>
              <w:t>受理部门</w:t>
            </w:r>
          </w:p>
        </w:tc>
        <w:tc>
          <w:tcPr>
            <w:tcW w:w="7615" w:type="dxa"/>
            <w:gridSpan w:val="3"/>
            <w:noWrap w:val="0"/>
            <w:vAlign w:val="center"/>
          </w:tcPr>
          <w:p w14:paraId="24F10EE5">
            <w:pPr>
              <w:spacing w:line="400" w:lineRule="exact"/>
              <w:jc w:val="left"/>
              <w:rPr>
                <w:rFonts w:ascii="宋体" w:hAnsi="宋体" w:cs="Arial"/>
                <w:sz w:val="20"/>
                <w:szCs w:val="21"/>
                <w:highlight w:val="none"/>
              </w:rPr>
            </w:pPr>
            <w:r>
              <w:rPr>
                <w:rFonts w:hint="eastAsia" w:ascii="宋体" w:hAnsi="宋体" w:cs="Arial"/>
                <w:sz w:val="20"/>
                <w:szCs w:val="21"/>
                <w:highlight w:val="none"/>
              </w:rPr>
              <w:t>联系部门：盐城市大丰区财政局</w:t>
            </w:r>
          </w:p>
          <w:p w14:paraId="2233F44E">
            <w:pPr>
              <w:spacing w:line="400" w:lineRule="exact"/>
              <w:jc w:val="left"/>
              <w:rPr>
                <w:rFonts w:ascii="宋体" w:hAnsi="宋体"/>
                <w:sz w:val="20"/>
                <w:szCs w:val="21"/>
                <w:highlight w:val="none"/>
              </w:rPr>
            </w:pPr>
            <w:r>
              <w:rPr>
                <w:rFonts w:hint="eastAsia" w:ascii="宋体" w:hAnsi="宋体" w:cs="Arial"/>
                <w:sz w:val="20"/>
                <w:szCs w:val="21"/>
                <w:highlight w:val="none"/>
              </w:rPr>
              <w:t>通讯</w:t>
            </w:r>
            <w:r>
              <w:rPr>
                <w:rFonts w:ascii="宋体" w:hAnsi="宋体" w:cs="Arial"/>
                <w:sz w:val="20"/>
                <w:szCs w:val="21"/>
                <w:highlight w:val="none"/>
              </w:rPr>
              <w:t>地址：</w:t>
            </w:r>
            <w:r>
              <w:rPr>
                <w:rFonts w:hint="eastAsia" w:ascii="宋体" w:hAnsi="宋体" w:cs="Arial"/>
                <w:sz w:val="20"/>
                <w:szCs w:val="21"/>
                <w:highlight w:val="none"/>
              </w:rPr>
              <w:t>江苏省盐城市大丰区飞达东路100号丰华大厦</w:t>
            </w:r>
            <w:r>
              <w:rPr>
                <w:rFonts w:ascii="宋体" w:hAnsi="宋体" w:cs="Arial"/>
                <w:sz w:val="20"/>
                <w:szCs w:val="21"/>
                <w:highlight w:val="none"/>
              </w:rPr>
              <w:t>5</w:t>
            </w:r>
            <w:r>
              <w:rPr>
                <w:rFonts w:hint="eastAsia" w:ascii="宋体" w:hAnsi="宋体" w:cs="Arial"/>
                <w:sz w:val="20"/>
                <w:szCs w:val="21"/>
                <w:highlight w:val="none"/>
              </w:rPr>
              <w:t>楼</w:t>
            </w:r>
          </w:p>
        </w:tc>
      </w:tr>
      <w:tr w14:paraId="72E1C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1724" w:type="dxa"/>
            <w:noWrap w:val="0"/>
            <w:vAlign w:val="center"/>
          </w:tcPr>
          <w:p w14:paraId="3B23A307">
            <w:pPr>
              <w:spacing w:line="280" w:lineRule="exact"/>
              <w:jc w:val="center"/>
              <w:rPr>
                <w:rFonts w:ascii="宋体" w:hAnsi="宋体"/>
                <w:bCs/>
                <w:sz w:val="20"/>
                <w:szCs w:val="21"/>
                <w:highlight w:val="none"/>
              </w:rPr>
            </w:pPr>
            <w:r>
              <w:rPr>
                <w:rFonts w:hint="eastAsia" w:ascii="宋体" w:hAnsi="宋体"/>
                <w:bCs/>
                <w:sz w:val="20"/>
                <w:szCs w:val="21"/>
                <w:highlight w:val="none"/>
              </w:rPr>
              <w:t>其他要求</w:t>
            </w:r>
          </w:p>
        </w:tc>
        <w:tc>
          <w:tcPr>
            <w:tcW w:w="7615" w:type="dxa"/>
            <w:gridSpan w:val="3"/>
            <w:noWrap w:val="0"/>
            <w:vAlign w:val="center"/>
          </w:tcPr>
          <w:p w14:paraId="4494373C">
            <w:pPr>
              <w:spacing w:line="320" w:lineRule="exact"/>
              <w:jc w:val="left"/>
              <w:rPr>
                <w:rFonts w:ascii="宋体" w:hAnsi="宋体" w:cs="宋体"/>
                <w:spacing w:val="-2"/>
                <w:sz w:val="20"/>
                <w:szCs w:val="21"/>
                <w:highlight w:val="none"/>
              </w:rPr>
            </w:pPr>
            <w:r>
              <w:rPr>
                <w:rFonts w:hint="eastAsia" w:ascii="宋体" w:hAnsi="宋体" w:cs="宋体"/>
                <w:bCs/>
                <w:sz w:val="20"/>
                <w:szCs w:val="21"/>
                <w:highlight w:val="none"/>
              </w:rPr>
              <w:t>投标人如在投标过程中提供虚假材料谋取中标成交的或采取不正当手段诋毁、排挤其他供应商的,列入不良行为记录名单。</w:t>
            </w:r>
          </w:p>
        </w:tc>
      </w:tr>
      <w:tr w14:paraId="58ABD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1724" w:type="dxa"/>
            <w:noWrap w:val="0"/>
            <w:vAlign w:val="center"/>
          </w:tcPr>
          <w:p w14:paraId="2BCEE0F7">
            <w:pPr>
              <w:spacing w:line="280" w:lineRule="exact"/>
              <w:jc w:val="center"/>
              <w:rPr>
                <w:rFonts w:hint="default" w:ascii="宋体" w:hAnsi="宋体" w:eastAsia="宋体"/>
                <w:bCs/>
                <w:sz w:val="20"/>
                <w:szCs w:val="21"/>
                <w:highlight w:val="none"/>
                <w:lang w:val="en-US" w:eastAsia="zh-CN"/>
              </w:rPr>
            </w:pPr>
            <w:r>
              <w:rPr>
                <w:rFonts w:hint="eastAsia" w:ascii="宋体" w:hAnsi="宋体"/>
                <w:bCs/>
                <w:sz w:val="20"/>
                <w:szCs w:val="21"/>
                <w:highlight w:val="none"/>
                <w:lang w:val="en-US" w:eastAsia="zh-CN"/>
              </w:rPr>
              <w:t>本项目行业类别</w:t>
            </w:r>
          </w:p>
        </w:tc>
        <w:tc>
          <w:tcPr>
            <w:tcW w:w="7615" w:type="dxa"/>
            <w:gridSpan w:val="3"/>
            <w:noWrap w:val="0"/>
            <w:vAlign w:val="center"/>
          </w:tcPr>
          <w:p w14:paraId="6B00FE16">
            <w:pPr>
              <w:spacing w:line="320" w:lineRule="exact"/>
              <w:jc w:val="left"/>
              <w:rPr>
                <w:rFonts w:hint="default" w:ascii="宋体" w:hAnsi="宋体" w:eastAsia="宋体" w:cs="宋体"/>
                <w:bCs/>
                <w:sz w:val="20"/>
                <w:szCs w:val="21"/>
                <w:highlight w:val="none"/>
                <w:lang w:val="en-US" w:eastAsia="zh-CN"/>
              </w:rPr>
            </w:pPr>
            <w:r>
              <w:rPr>
                <w:rFonts w:hint="eastAsia" w:ascii="宋体" w:hAnsi="宋体" w:cs="宋体"/>
                <w:bCs/>
                <w:sz w:val="20"/>
                <w:szCs w:val="21"/>
                <w:highlight w:val="none"/>
                <w:lang w:val="en-US" w:eastAsia="zh-CN"/>
              </w:rPr>
              <w:t>其他未列明行业</w:t>
            </w:r>
          </w:p>
        </w:tc>
      </w:tr>
      <w:tr w14:paraId="78C36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1724" w:type="dxa"/>
            <w:noWrap w:val="0"/>
            <w:vAlign w:val="center"/>
          </w:tcPr>
          <w:p w14:paraId="7E0FD9E1">
            <w:pPr>
              <w:spacing w:line="240" w:lineRule="exact"/>
              <w:jc w:val="center"/>
              <w:rPr>
                <w:rFonts w:ascii="宋体" w:hAnsi="宋体"/>
                <w:bCs/>
                <w:sz w:val="20"/>
                <w:szCs w:val="21"/>
                <w:highlight w:val="none"/>
              </w:rPr>
            </w:pPr>
            <w:r>
              <w:rPr>
                <w:rFonts w:hint="eastAsia" w:ascii="宋体" w:hAnsi="宋体"/>
                <w:bCs/>
                <w:sz w:val="20"/>
                <w:szCs w:val="21"/>
                <w:highlight w:val="none"/>
              </w:rPr>
              <w:t>解释权</w:t>
            </w:r>
          </w:p>
        </w:tc>
        <w:tc>
          <w:tcPr>
            <w:tcW w:w="7615" w:type="dxa"/>
            <w:gridSpan w:val="3"/>
            <w:noWrap w:val="0"/>
            <w:vAlign w:val="center"/>
          </w:tcPr>
          <w:p w14:paraId="574A2EB6">
            <w:pPr>
              <w:spacing w:line="400" w:lineRule="exact"/>
              <w:jc w:val="left"/>
              <w:rPr>
                <w:rFonts w:ascii="宋体" w:hAnsi="宋体"/>
                <w:bCs/>
                <w:sz w:val="20"/>
                <w:szCs w:val="21"/>
                <w:highlight w:val="none"/>
              </w:rPr>
            </w:pPr>
            <w:r>
              <w:rPr>
                <w:rFonts w:hint="eastAsia" w:ascii="宋体" w:hAnsi="宋体"/>
                <w:bCs/>
                <w:sz w:val="20"/>
                <w:szCs w:val="21"/>
                <w:highlight w:val="none"/>
              </w:rPr>
              <w:t>本采购文件的最终解释权归采购单位所有。</w:t>
            </w:r>
          </w:p>
        </w:tc>
      </w:tr>
    </w:tbl>
    <w:p w14:paraId="1AEEA43F">
      <w:pPr>
        <w:rPr>
          <w:rFonts w:hint="eastAsia" w:ascii="宋体" w:hAnsi="宋体"/>
          <w:b/>
          <w:sz w:val="24"/>
          <w:szCs w:val="24"/>
          <w:highlight w:val="none"/>
        </w:rPr>
      </w:pPr>
      <w:r>
        <w:rPr>
          <w:rFonts w:hint="eastAsia" w:ascii="宋体" w:hAnsi="宋体"/>
          <w:b/>
          <w:sz w:val="24"/>
          <w:szCs w:val="24"/>
          <w:highlight w:val="none"/>
        </w:rPr>
        <w:br w:type="page"/>
      </w:r>
    </w:p>
    <w:p w14:paraId="0669188C">
      <w:pPr>
        <w:spacing w:before="156" w:after="156" w:line="400" w:lineRule="exact"/>
        <w:jc w:val="center"/>
        <w:outlineLvl w:val="1"/>
        <w:rPr>
          <w:rFonts w:ascii="宋体" w:hAnsi="宋体"/>
          <w:b/>
          <w:sz w:val="24"/>
          <w:szCs w:val="24"/>
          <w:highlight w:val="none"/>
        </w:rPr>
      </w:pPr>
      <w:bookmarkStart w:id="12" w:name="_Toc18557"/>
      <w:bookmarkStart w:id="13" w:name="_Toc13599"/>
      <w:r>
        <w:rPr>
          <w:rFonts w:hint="eastAsia" w:ascii="宋体" w:hAnsi="宋体"/>
          <w:b/>
          <w:sz w:val="24"/>
          <w:szCs w:val="24"/>
          <w:highlight w:val="none"/>
        </w:rPr>
        <w:t>二、总  则</w:t>
      </w:r>
      <w:bookmarkEnd w:id="12"/>
      <w:bookmarkEnd w:id="13"/>
    </w:p>
    <w:p w14:paraId="77E5F42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1.适用范围</w:t>
      </w:r>
    </w:p>
    <w:p w14:paraId="4F869E9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1.1本次项目仅适用于招标文件中所叙述项目的服务采购。</w:t>
      </w:r>
    </w:p>
    <w:p w14:paraId="57E8FD8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2.定义</w:t>
      </w:r>
    </w:p>
    <w:p w14:paraId="7DC9E520">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2.1“采购人”、“采购单位”系指本次采购项目的业主方；</w:t>
      </w:r>
    </w:p>
    <w:p w14:paraId="6ECD686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2.2“采购代理机构”系指本次招标采购项目活动组织方；</w:t>
      </w:r>
    </w:p>
    <w:p w14:paraId="03AEA4D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2.3“投标人”系指获取了本招标文件，且已经提交或者准备提交本次投标文件的制造商或供货商；</w:t>
      </w:r>
    </w:p>
    <w:p w14:paraId="356D50A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color w:val="C00000"/>
          <w:sz w:val="21"/>
          <w:szCs w:val="21"/>
          <w:highlight w:val="none"/>
        </w:rPr>
      </w:pPr>
      <w:r>
        <w:rPr>
          <w:rFonts w:hint="eastAsia" w:ascii="宋体" w:hAnsi="宋体" w:cs="Arial"/>
          <w:bCs/>
          <w:color w:val="C00000"/>
          <w:sz w:val="21"/>
          <w:szCs w:val="21"/>
          <w:highlight w:val="none"/>
        </w:rPr>
        <w:t>2.4“投标文件有效期”系指投标截止日起60天（日历天）；</w:t>
      </w:r>
    </w:p>
    <w:p w14:paraId="7FBCE6A3">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2.5不可抗力：不可预见、不能避免并且不能克服的客观情况。</w:t>
      </w:r>
    </w:p>
    <w:p w14:paraId="78673D5F">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3.申请人的资格要求：详见招标公告。</w:t>
      </w:r>
    </w:p>
    <w:p w14:paraId="6769F76E">
      <w:pPr>
        <w:keepNext w:val="0"/>
        <w:keepLines w:val="0"/>
        <w:pageBreakBefore w:val="0"/>
        <w:kinsoku/>
        <w:wordWrap/>
        <w:overflowPunct/>
        <w:topLinePunct w:val="0"/>
        <w:autoSpaceDE/>
        <w:autoSpaceDN/>
        <w:bidi w:val="0"/>
        <w:adjustRightInd w:val="0"/>
        <w:snapToGrid w:val="0"/>
        <w:spacing w:line="500" w:lineRule="exact"/>
        <w:ind w:left="238"/>
        <w:jc w:val="center"/>
        <w:textAlignment w:val="auto"/>
        <w:outlineLvl w:val="1"/>
        <w:rPr>
          <w:rFonts w:ascii="宋体" w:hAnsi="宋体"/>
          <w:b/>
          <w:sz w:val="21"/>
          <w:szCs w:val="21"/>
          <w:highlight w:val="none"/>
        </w:rPr>
      </w:pPr>
      <w:bookmarkStart w:id="14" w:name="_Toc17951"/>
      <w:bookmarkStart w:id="15" w:name="_Toc29222"/>
      <w:r>
        <w:rPr>
          <w:rFonts w:hint="eastAsia" w:ascii="宋体" w:hAnsi="宋体"/>
          <w:b/>
          <w:sz w:val="21"/>
          <w:szCs w:val="21"/>
          <w:highlight w:val="none"/>
        </w:rPr>
        <w:t>三、招标文件</w:t>
      </w:r>
      <w:bookmarkEnd w:id="14"/>
      <w:bookmarkEnd w:id="15"/>
    </w:p>
    <w:p w14:paraId="65BAF78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4.招标文件的构成</w:t>
      </w:r>
    </w:p>
    <w:p w14:paraId="24F1B8E5">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4.1招标文件用以阐明招标项目所需的资质、技术、服务及报价等要求、招标投标程序、有关规定和注意事项以及合同主要条款等。本招标文件包括以下内容：</w:t>
      </w:r>
    </w:p>
    <w:p w14:paraId="453CF401">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4.1.1 招标公告；</w:t>
      </w:r>
    </w:p>
    <w:p w14:paraId="1595503F">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4.1.2 投标人须知；</w:t>
      </w:r>
    </w:p>
    <w:p w14:paraId="1A32CEE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4.1.3 招标内容及要求；</w:t>
      </w:r>
    </w:p>
    <w:p w14:paraId="2287295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4.1.4 评标办法及评分标准；</w:t>
      </w:r>
    </w:p>
    <w:p w14:paraId="1E9B9CC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4.1.5 合同主要条款；</w:t>
      </w:r>
    </w:p>
    <w:p w14:paraId="7B8BA53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4.1.6 投标文件格式。</w:t>
      </w:r>
    </w:p>
    <w:p w14:paraId="1ADD5BA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4.2 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p>
    <w:p w14:paraId="7150E2E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4.3 勘察现场</w:t>
      </w:r>
    </w:p>
    <w:p w14:paraId="1DE8CB9C">
      <w:pPr>
        <w:keepNext w:val="0"/>
        <w:keepLines w:val="0"/>
        <w:pageBreakBefore w:val="0"/>
        <w:kinsoku/>
        <w:wordWrap/>
        <w:overflowPunct/>
        <w:topLinePunct w:val="0"/>
        <w:autoSpaceDE/>
        <w:autoSpaceDN/>
        <w:bidi w:val="0"/>
        <w:adjustRightInd w:val="0"/>
        <w:snapToGrid w:val="0"/>
        <w:spacing w:line="500" w:lineRule="exact"/>
        <w:ind w:firstLine="480"/>
        <w:textAlignment w:val="auto"/>
        <w:rPr>
          <w:rFonts w:ascii="宋体" w:hAnsi="宋体" w:cs="宋体"/>
          <w:sz w:val="21"/>
          <w:szCs w:val="21"/>
        </w:rPr>
      </w:pPr>
      <w:r>
        <w:rPr>
          <w:rFonts w:hint="eastAsia" w:ascii="宋体" w:hAnsi="宋体" w:cs="宋体"/>
          <w:sz w:val="21"/>
          <w:szCs w:val="21"/>
        </w:rPr>
        <w:t>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p>
    <w:p w14:paraId="1D6004B0">
      <w:pPr>
        <w:keepNext w:val="0"/>
        <w:keepLines w:val="0"/>
        <w:pageBreakBefore w:val="0"/>
        <w:kinsoku/>
        <w:wordWrap/>
        <w:overflowPunct/>
        <w:topLinePunct w:val="0"/>
        <w:autoSpaceDE/>
        <w:autoSpaceDN/>
        <w:bidi w:val="0"/>
        <w:adjustRightInd w:val="0"/>
        <w:snapToGrid w:val="0"/>
        <w:spacing w:line="500" w:lineRule="exact"/>
        <w:ind w:firstLine="480"/>
        <w:textAlignment w:val="auto"/>
        <w:rPr>
          <w:rFonts w:ascii="宋体" w:hAnsi="宋体" w:cs="宋体"/>
          <w:sz w:val="21"/>
          <w:szCs w:val="21"/>
        </w:rPr>
      </w:pPr>
      <w:r>
        <w:rPr>
          <w:rFonts w:hint="eastAsia" w:ascii="宋体" w:hAnsi="宋体" w:cs="宋体"/>
          <w:sz w:val="21"/>
          <w:szCs w:val="21"/>
        </w:rPr>
        <w:t>4.3.2 无论投标人踏勘与否，都将被视为熟悉履行该项目有关的一切情况，并承担一切与投标有关的风险、责任和义务。</w:t>
      </w:r>
    </w:p>
    <w:p w14:paraId="3A0BCC87">
      <w:pPr>
        <w:keepNext w:val="0"/>
        <w:keepLines w:val="0"/>
        <w:pageBreakBefore w:val="0"/>
        <w:kinsoku/>
        <w:wordWrap/>
        <w:overflowPunct/>
        <w:topLinePunct w:val="0"/>
        <w:autoSpaceDE/>
        <w:autoSpaceDN/>
        <w:bidi w:val="0"/>
        <w:adjustRightInd w:val="0"/>
        <w:snapToGrid w:val="0"/>
        <w:spacing w:line="500" w:lineRule="exact"/>
        <w:ind w:firstLine="480"/>
        <w:textAlignment w:val="auto"/>
        <w:rPr>
          <w:rFonts w:ascii="宋体" w:hAnsi="宋体" w:cs="宋体"/>
          <w:sz w:val="21"/>
          <w:szCs w:val="21"/>
        </w:rPr>
      </w:pPr>
      <w:r>
        <w:rPr>
          <w:rFonts w:hint="eastAsia" w:ascii="宋体" w:hAnsi="宋体" w:cs="宋体"/>
          <w:sz w:val="21"/>
          <w:szCs w:val="21"/>
        </w:rPr>
        <w:t>4.3.3 现场踏勘由各投标人自行实施，采购人不统一组织现场踏勘。</w:t>
      </w:r>
    </w:p>
    <w:p w14:paraId="43FA6D7D">
      <w:pPr>
        <w:pStyle w:val="13"/>
        <w:keepNext w:val="0"/>
        <w:keepLines w:val="0"/>
        <w:pageBreakBefore w:val="0"/>
        <w:kinsoku/>
        <w:wordWrap/>
        <w:overflowPunct/>
        <w:topLinePunct w:val="0"/>
        <w:autoSpaceDE/>
        <w:autoSpaceDN/>
        <w:bidi w:val="0"/>
        <w:adjustRightInd w:val="0"/>
        <w:snapToGrid w:val="0"/>
        <w:spacing w:line="500" w:lineRule="exact"/>
        <w:ind w:firstLine="480"/>
        <w:textAlignment w:val="auto"/>
        <w:rPr>
          <w:sz w:val="21"/>
          <w:szCs w:val="21"/>
        </w:rPr>
      </w:pPr>
      <w:r>
        <w:rPr>
          <w:rFonts w:hint="eastAsia" w:ascii="宋体" w:hAnsi="宋体" w:cs="宋体"/>
          <w:sz w:val="21"/>
          <w:szCs w:val="21"/>
        </w:rPr>
        <w:t>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p>
    <w:p w14:paraId="7648CD93">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5.招标文件的澄清、修改及补充</w:t>
      </w:r>
    </w:p>
    <w:p w14:paraId="115FB7E0">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5.1投标人在收到招标文件后，如有疑问需要澄清，</w:t>
      </w:r>
      <w:r>
        <w:rPr>
          <w:rFonts w:hint="eastAsia" w:ascii="宋体" w:hAnsi="宋体" w:cs="Arial"/>
          <w:bCs/>
          <w:color w:val="C00000"/>
          <w:sz w:val="21"/>
          <w:szCs w:val="21"/>
          <w:highlight w:val="none"/>
        </w:rPr>
        <w:t>应以规定的时间和方式（</w:t>
      </w:r>
      <w:r>
        <w:rPr>
          <w:rFonts w:hint="eastAsia" w:ascii="宋体" w:hAnsi="宋体" w:cs="Arial"/>
          <w:bCs/>
          <w:color w:val="C00000"/>
          <w:sz w:val="21"/>
          <w:szCs w:val="21"/>
          <w:highlight w:val="none"/>
          <w:u w:val="single"/>
        </w:rPr>
        <w:t>202</w:t>
      </w:r>
      <w:r>
        <w:rPr>
          <w:rFonts w:ascii="宋体" w:hAnsi="宋体" w:cs="Arial"/>
          <w:bCs/>
          <w:color w:val="C00000"/>
          <w:sz w:val="21"/>
          <w:szCs w:val="21"/>
          <w:highlight w:val="none"/>
          <w:u w:val="single"/>
        </w:rPr>
        <w:t>4</w:t>
      </w:r>
      <w:r>
        <w:rPr>
          <w:rFonts w:hint="eastAsia" w:ascii="宋体" w:hAnsi="宋体" w:cs="Arial"/>
          <w:bCs/>
          <w:color w:val="C00000"/>
          <w:sz w:val="21"/>
          <w:szCs w:val="21"/>
          <w:highlight w:val="none"/>
          <w:u w:val="single"/>
        </w:rPr>
        <w:t>年</w:t>
      </w:r>
      <w:r>
        <w:rPr>
          <w:rFonts w:hint="eastAsia" w:ascii="宋体" w:hAnsi="宋体" w:cs="Arial"/>
          <w:bCs/>
          <w:color w:val="C00000"/>
          <w:sz w:val="21"/>
          <w:szCs w:val="21"/>
          <w:highlight w:val="none"/>
          <w:u w:val="single"/>
          <w:lang w:val="en-US" w:eastAsia="zh-CN"/>
        </w:rPr>
        <w:t>8</w:t>
      </w:r>
      <w:r>
        <w:rPr>
          <w:rFonts w:hint="eastAsia" w:ascii="宋体" w:hAnsi="宋体" w:cs="Arial"/>
          <w:bCs/>
          <w:color w:val="C00000"/>
          <w:sz w:val="21"/>
          <w:szCs w:val="21"/>
          <w:highlight w:val="none"/>
          <w:u w:val="single"/>
        </w:rPr>
        <w:t>月</w:t>
      </w:r>
      <w:r>
        <w:rPr>
          <w:rFonts w:hint="eastAsia" w:ascii="宋体" w:hAnsi="宋体" w:cs="Arial"/>
          <w:bCs/>
          <w:color w:val="C00000"/>
          <w:sz w:val="21"/>
          <w:szCs w:val="21"/>
          <w:highlight w:val="none"/>
          <w:u w:val="single"/>
          <w:lang w:val="en-US" w:eastAsia="zh-CN"/>
        </w:rPr>
        <w:t>8</w:t>
      </w:r>
      <w:bookmarkStart w:id="119" w:name="_GoBack"/>
      <w:bookmarkEnd w:id="119"/>
      <w:r>
        <w:rPr>
          <w:rFonts w:hint="eastAsia" w:ascii="宋体" w:hAnsi="宋体" w:cs="Arial"/>
          <w:bCs/>
          <w:color w:val="C00000"/>
          <w:sz w:val="21"/>
          <w:szCs w:val="21"/>
          <w:highlight w:val="none"/>
          <w:u w:val="single"/>
        </w:rPr>
        <w:t>日17:00前</w:t>
      </w:r>
      <w:r>
        <w:rPr>
          <w:rFonts w:hint="eastAsia" w:ascii="宋体" w:hAnsi="宋体" w:cs="Arial"/>
          <w:bCs/>
          <w:color w:val="C00000"/>
          <w:sz w:val="21"/>
          <w:szCs w:val="21"/>
          <w:highlight w:val="none"/>
        </w:rPr>
        <w:t>）向采购人或代理机构提出，</w:t>
      </w:r>
      <w:r>
        <w:rPr>
          <w:rFonts w:hint="eastAsia" w:ascii="宋体" w:hAnsi="宋体" w:cs="Arial"/>
          <w:bCs/>
          <w:sz w:val="21"/>
          <w:szCs w:val="21"/>
          <w:highlight w:val="none"/>
        </w:rPr>
        <w:t>如在规定期限内未递交疑问或未按规定提交投标疑问的，则视为该投标人无疑问；</w:t>
      </w:r>
    </w:p>
    <w:p w14:paraId="11D8ADF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5.2 在投标截止日期前，采购单位</w:t>
      </w:r>
      <w:r>
        <w:rPr>
          <w:rFonts w:hint="eastAsia" w:ascii="宋体" w:hAnsi="宋体" w:cs="Arial"/>
          <w:bCs/>
          <w:sz w:val="21"/>
          <w:szCs w:val="21"/>
          <w:highlight w:val="none"/>
        </w:rPr>
        <w:t>对招标文件进行澄清或者修改的，通过“苏采云”系统</w:t>
      </w:r>
      <w:r>
        <w:rPr>
          <w:rFonts w:hint="eastAsia" w:ascii="宋体" w:hAnsi="宋体" w:cs="Arial"/>
          <w:bCs/>
          <w:sz w:val="21"/>
          <w:szCs w:val="21"/>
          <w:highlight w:val="none"/>
          <w:lang w:eastAsia="zh-CN"/>
        </w:rPr>
        <w:t>、</w:t>
      </w:r>
      <w:r>
        <w:rPr>
          <w:rFonts w:hint="eastAsia" w:ascii="宋体" w:hAnsi="宋体" w:cs="Arial"/>
          <w:bCs/>
          <w:sz w:val="21"/>
          <w:szCs w:val="21"/>
          <w:highlight w:val="none"/>
        </w:rPr>
        <w:t>江苏</w:t>
      </w:r>
      <w:r>
        <w:rPr>
          <w:rFonts w:ascii="宋体" w:hAnsi="宋体" w:cs="Arial"/>
          <w:bCs/>
          <w:sz w:val="21"/>
          <w:szCs w:val="21"/>
          <w:highlight w:val="none"/>
        </w:rPr>
        <w:t>政府采购网</w:t>
      </w:r>
      <w:r>
        <w:rPr>
          <w:rFonts w:hint="eastAsia" w:ascii="宋体" w:hAnsi="宋体" w:cs="Arial"/>
          <w:bCs/>
          <w:sz w:val="21"/>
          <w:szCs w:val="21"/>
          <w:highlight w:val="none"/>
        </w:rPr>
        <w:t>、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p w14:paraId="53B90C6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5.3标书以外的内容，一律拒绝答复；</w:t>
      </w:r>
    </w:p>
    <w:p w14:paraId="418CBD5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5.4投标人对采购人提供的采购文件所做出的推论、解释和结论，采购人概不负责。投标人由于对招标文件的任何推论和误解以及采购人对有关问题的口头解释所造成的后果，均由投标人自负；</w:t>
      </w:r>
    </w:p>
    <w:p w14:paraId="2BBA231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5.5本采购文件的最终解释权归采购单位所有。</w:t>
      </w:r>
    </w:p>
    <w:p w14:paraId="2FFB6D3E">
      <w:pPr>
        <w:keepNext w:val="0"/>
        <w:keepLines w:val="0"/>
        <w:pageBreakBefore w:val="0"/>
        <w:kinsoku/>
        <w:wordWrap/>
        <w:overflowPunct/>
        <w:topLinePunct w:val="0"/>
        <w:autoSpaceDE/>
        <w:autoSpaceDN/>
        <w:bidi w:val="0"/>
        <w:adjustRightInd w:val="0"/>
        <w:snapToGrid w:val="0"/>
        <w:spacing w:line="500" w:lineRule="exact"/>
        <w:ind w:left="238"/>
        <w:jc w:val="center"/>
        <w:textAlignment w:val="auto"/>
        <w:outlineLvl w:val="1"/>
        <w:rPr>
          <w:rFonts w:ascii="宋体" w:hAnsi="宋体"/>
          <w:b/>
          <w:sz w:val="21"/>
          <w:szCs w:val="21"/>
          <w:highlight w:val="none"/>
        </w:rPr>
      </w:pPr>
      <w:bookmarkStart w:id="16" w:name="_Toc7758"/>
      <w:bookmarkStart w:id="17" w:name="_Toc12442"/>
      <w:r>
        <w:rPr>
          <w:rFonts w:hint="eastAsia" w:ascii="宋体" w:hAnsi="宋体"/>
          <w:b/>
          <w:sz w:val="21"/>
          <w:szCs w:val="21"/>
          <w:highlight w:val="none"/>
        </w:rPr>
        <w:t>四、投标文件</w:t>
      </w:r>
      <w:bookmarkEnd w:id="16"/>
      <w:bookmarkEnd w:id="17"/>
    </w:p>
    <w:p w14:paraId="5067EA1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6.投标文件的编制</w:t>
      </w:r>
    </w:p>
    <w:p w14:paraId="496EA200">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6.1 要求</w:t>
      </w:r>
    </w:p>
    <w:p w14:paraId="620C2DF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6.1.1 投标人应仔细阅读招标文件的所有内容，按招标文件的要求提供投标文件，并保证所提供的全部资料的真实性，以使其投标对招标文件作出实质性响应，否则，其投标可能被拒绝；</w:t>
      </w:r>
    </w:p>
    <w:p w14:paraId="3DB25F9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6.1.2 无论投标过程中的做法和结果如何，投标人自行承担所有与参加投标有关的全部费用。</w:t>
      </w:r>
    </w:p>
    <w:p w14:paraId="379A678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 xml:space="preserve">6.2 投标语言及计量单位  </w:t>
      </w:r>
    </w:p>
    <w:p w14:paraId="436DCE8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6.2.1 投标文件以及投标人与采购单位就有关投标事宜的所有来往函电均应使用简体中文书写；</w:t>
      </w:r>
    </w:p>
    <w:p w14:paraId="49A7217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6.2.2 关于投标计量单位，招标文件已有明确规定的，使用招标文件规定的计量单位；招标文件没有规定的，应采用中华人民共和国法定计量单位；</w:t>
      </w:r>
    </w:p>
    <w:p w14:paraId="323B82F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6.2.3 原版为外文的证书类文件，但应当提供中文翻译文件并加盖投标单位公章。必要时评标委员会可以要求投标人提供附有公证书的中文翻译文件或者与原版文件签章相一致的中文翻译文件，否则，投标人的投标文件将作无效投标处理；</w:t>
      </w:r>
    </w:p>
    <w:p w14:paraId="74209A7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6.2.4 翻译的中文文件与外文文件如果出现差异和矛盾时，以中文为准。但不能故意错误翻译，否则，投标人的投标文件将作为无效投标处理。</w:t>
      </w:r>
    </w:p>
    <w:p w14:paraId="23D491F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6.3电子投标文件其他要求</w:t>
      </w:r>
    </w:p>
    <w:p w14:paraId="1A8E7200">
      <w:pPr>
        <w:keepNext w:val="0"/>
        <w:keepLines w:val="0"/>
        <w:pageBreakBefore w:val="0"/>
        <w:widowControl/>
        <w:kinsoku/>
        <w:wordWrap/>
        <w:overflowPunct/>
        <w:topLinePunct w:val="0"/>
        <w:autoSpaceDE/>
        <w:autoSpaceDN/>
        <w:bidi w:val="0"/>
        <w:adjustRightInd w:val="0"/>
        <w:snapToGrid w:val="0"/>
        <w:spacing w:line="500" w:lineRule="exact"/>
        <w:ind w:firstLine="464"/>
        <w:jc w:val="left"/>
        <w:textAlignment w:val="auto"/>
        <w:rPr>
          <w:rFonts w:ascii="宋体" w:hAnsi="宋体" w:cs="Arial"/>
          <w:bCs/>
          <w:sz w:val="21"/>
          <w:szCs w:val="21"/>
          <w:highlight w:val="none"/>
        </w:rPr>
      </w:pPr>
      <w:r>
        <w:rPr>
          <w:rFonts w:hint="eastAsia" w:ascii="宋体" w:hAnsi="宋体" w:cs="Arial"/>
          <w:bCs/>
          <w:spacing w:val="-4"/>
          <w:sz w:val="21"/>
          <w:szCs w:val="21"/>
          <w:highlight w:val="none"/>
        </w:rPr>
        <w:t>6</w:t>
      </w:r>
      <w:r>
        <w:rPr>
          <w:rFonts w:ascii="宋体" w:hAnsi="宋体" w:cs="Arial"/>
          <w:bCs/>
          <w:spacing w:val="-4"/>
          <w:sz w:val="21"/>
          <w:szCs w:val="21"/>
          <w:highlight w:val="none"/>
        </w:rPr>
        <w:t>.3.1电子招标投标交易平台（即“苏采云”系统）相关要求是本招标文件的组成部分</w:t>
      </w:r>
      <w:r>
        <w:rPr>
          <w:rFonts w:hint="eastAsia" w:ascii="宋体" w:hAnsi="宋体" w:cs="Arial"/>
          <w:bCs/>
          <w:sz w:val="21"/>
          <w:szCs w:val="21"/>
          <w:highlight w:val="none"/>
        </w:rPr>
        <w:t>；</w:t>
      </w:r>
    </w:p>
    <w:p w14:paraId="632547A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6.3.2投标人应对CA证书妥善保管，如被他人盗用投标，因此带来的</w:t>
      </w:r>
      <w:r>
        <w:rPr>
          <w:rFonts w:hint="eastAsia" w:ascii="宋体" w:hAnsi="宋体" w:cs="Arial"/>
          <w:bCs/>
          <w:sz w:val="21"/>
          <w:szCs w:val="21"/>
          <w:highlight w:val="none"/>
          <w:lang w:eastAsia="zh-CN"/>
        </w:rPr>
        <w:t>后果</w:t>
      </w:r>
      <w:r>
        <w:rPr>
          <w:rFonts w:ascii="宋体" w:hAnsi="宋体" w:cs="Arial"/>
          <w:bCs/>
          <w:sz w:val="21"/>
          <w:szCs w:val="21"/>
          <w:highlight w:val="none"/>
        </w:rPr>
        <w:t>均由投标人自行承担</w:t>
      </w:r>
      <w:r>
        <w:rPr>
          <w:rFonts w:hint="eastAsia" w:ascii="宋体" w:hAnsi="宋体" w:cs="Arial"/>
          <w:bCs/>
          <w:sz w:val="21"/>
          <w:szCs w:val="21"/>
          <w:highlight w:val="none"/>
        </w:rPr>
        <w:t>；</w:t>
      </w:r>
    </w:p>
    <w:p w14:paraId="14DC5CF0">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w:t>
      </w:r>
      <w:r>
        <w:rPr>
          <w:rFonts w:ascii="宋体" w:hAnsi="宋体" w:cs="Arial"/>
          <w:bCs/>
          <w:sz w:val="21"/>
          <w:szCs w:val="21"/>
          <w:highlight w:val="none"/>
        </w:rPr>
        <w:t>.3.3投标人应当对招标文件提出的实质性要求和条件作出实质性响应，并在电子投标系统逐条应答</w:t>
      </w:r>
      <w:r>
        <w:rPr>
          <w:rFonts w:hint="eastAsia" w:ascii="宋体" w:hAnsi="宋体" w:cs="Arial"/>
          <w:bCs/>
          <w:sz w:val="21"/>
          <w:szCs w:val="21"/>
          <w:highlight w:val="none"/>
        </w:rPr>
        <w:t>；</w:t>
      </w:r>
    </w:p>
    <w:p w14:paraId="235DF05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w:t>
      </w:r>
      <w:r>
        <w:rPr>
          <w:rFonts w:ascii="宋体" w:hAnsi="宋体" w:cs="Arial"/>
          <w:bCs/>
          <w:sz w:val="21"/>
          <w:szCs w:val="21"/>
          <w:highlight w:val="none"/>
        </w:rPr>
        <w:t>.3.4投标人应对要求提供的资格证明文件（如</w:t>
      </w:r>
      <w:r>
        <w:rPr>
          <w:rFonts w:hint="eastAsia" w:ascii="宋体" w:hAnsi="宋体" w:cs="Arial"/>
          <w:bCs/>
          <w:sz w:val="21"/>
          <w:szCs w:val="21"/>
          <w:highlight w:val="none"/>
          <w:lang w:val="en-US" w:eastAsia="zh-CN"/>
        </w:rPr>
        <w:t>营业执照</w:t>
      </w:r>
      <w:r>
        <w:rPr>
          <w:rFonts w:ascii="宋体" w:hAnsi="宋体" w:cs="Arial"/>
          <w:bCs/>
          <w:sz w:val="21"/>
          <w:szCs w:val="21"/>
          <w:highlight w:val="none"/>
        </w:rPr>
        <w:t>）、技术资料（如</w:t>
      </w:r>
      <w:r>
        <w:rPr>
          <w:rFonts w:hint="eastAsia" w:ascii="宋体" w:hAnsi="宋体" w:cs="Arial"/>
          <w:bCs/>
          <w:sz w:val="21"/>
          <w:szCs w:val="21"/>
          <w:highlight w:val="none"/>
          <w:lang w:val="en-US" w:eastAsia="zh-CN"/>
        </w:rPr>
        <w:t>服务方案、人员配备证明材料</w:t>
      </w:r>
      <w:r>
        <w:rPr>
          <w:rFonts w:ascii="宋体" w:hAnsi="宋体" w:cs="Arial"/>
          <w:bCs/>
          <w:sz w:val="21"/>
          <w:szCs w:val="21"/>
          <w:highlight w:val="none"/>
        </w:rPr>
        <w:t>等）扫描上传至投标系统</w:t>
      </w:r>
      <w:r>
        <w:rPr>
          <w:rFonts w:hint="eastAsia" w:ascii="宋体" w:hAnsi="宋体" w:cs="Arial"/>
          <w:bCs/>
          <w:sz w:val="21"/>
          <w:szCs w:val="21"/>
          <w:highlight w:val="none"/>
        </w:rPr>
        <w:t>。</w:t>
      </w:r>
    </w:p>
    <w:p w14:paraId="50D88A1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6.4投标人应当在招标文件要求提交投标文件的截止时间前，将投标文件提交至“苏采云”系统，逾期提交的投标文件，“苏采云”系统将自动拒收。各投标人应在规定时间内凭CA证书进行网上解密。</w:t>
      </w:r>
    </w:p>
    <w:p w14:paraId="2CE0C0A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Arial"/>
          <w:bCs/>
          <w:sz w:val="21"/>
          <w:szCs w:val="21"/>
          <w:highlight w:val="none"/>
        </w:rPr>
        <w:t>。</w:t>
      </w:r>
    </w:p>
    <w:p w14:paraId="62AD935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7.本项目为贯彻落实江苏省财政厅《关于做好政府采购支持企业发展有关事项的通知》(苏财购(2020)52号)文件精神，不收取投标保证金。</w:t>
      </w:r>
    </w:p>
    <w:p w14:paraId="647A27A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8.投标报价</w:t>
      </w:r>
    </w:p>
    <w:p w14:paraId="0A350ED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8.1 投标方应在招标文件所附的投标报价表上写明投标服务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p>
    <w:p w14:paraId="0B05702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color w:val="FF0000"/>
          <w:sz w:val="21"/>
          <w:szCs w:val="21"/>
          <w:highlight w:val="none"/>
        </w:rPr>
      </w:pPr>
      <w:r>
        <w:rPr>
          <w:rFonts w:hint="eastAsia" w:ascii="宋体" w:hAnsi="宋体" w:cs="Arial"/>
          <w:b/>
          <w:bCs w:val="0"/>
          <w:color w:val="FF0000"/>
          <w:sz w:val="21"/>
          <w:szCs w:val="21"/>
          <w:highlight w:val="none"/>
        </w:rPr>
        <w:t>8.2本项目</w:t>
      </w:r>
      <w:r>
        <w:rPr>
          <w:rFonts w:hint="eastAsia" w:ascii="宋体" w:hAnsi="宋体" w:cs="Arial"/>
          <w:b/>
          <w:bCs w:val="0"/>
          <w:color w:val="FF0000"/>
          <w:sz w:val="21"/>
          <w:szCs w:val="21"/>
          <w:highlight w:val="none"/>
          <w:lang w:val="en-US" w:eastAsia="zh-CN"/>
        </w:rPr>
        <w:t>最高限价</w:t>
      </w:r>
      <w:r>
        <w:rPr>
          <w:rFonts w:hint="eastAsia" w:ascii="宋体" w:hAnsi="宋体" w:cs="Arial"/>
          <w:b/>
          <w:bCs w:val="0"/>
          <w:color w:val="FF0000"/>
          <w:sz w:val="21"/>
          <w:szCs w:val="21"/>
          <w:highlight w:val="none"/>
          <w:lang w:eastAsia="zh-CN"/>
        </w:rPr>
        <w:t>为</w:t>
      </w:r>
      <w:r>
        <w:rPr>
          <w:rFonts w:hint="eastAsia" w:ascii="宋体" w:hAnsi="宋体" w:cs="Arial"/>
          <w:b/>
          <w:bCs w:val="0"/>
          <w:color w:val="FF0000"/>
          <w:sz w:val="21"/>
          <w:szCs w:val="21"/>
          <w:highlight w:val="none"/>
          <w:lang w:val="en-US" w:eastAsia="zh-CN"/>
        </w:rPr>
        <w:t>120</w:t>
      </w:r>
      <w:r>
        <w:rPr>
          <w:rFonts w:hint="eastAsia" w:ascii="宋体" w:hAnsi="宋体" w:cs="Arial"/>
          <w:b/>
          <w:bCs w:val="0"/>
          <w:color w:val="FF0000"/>
          <w:sz w:val="21"/>
          <w:szCs w:val="21"/>
          <w:highlight w:val="none"/>
          <w:lang w:eastAsia="zh-CN"/>
        </w:rPr>
        <w:t>万元</w:t>
      </w:r>
      <w:r>
        <w:rPr>
          <w:rFonts w:hint="eastAsia" w:ascii="宋体" w:hAnsi="宋体" w:cs="Arial"/>
          <w:b/>
          <w:bCs w:val="0"/>
          <w:color w:val="FF0000"/>
          <w:sz w:val="21"/>
          <w:szCs w:val="21"/>
          <w:highlight w:val="none"/>
        </w:rPr>
        <w:t>，投标报价高于</w:t>
      </w:r>
      <w:r>
        <w:rPr>
          <w:rFonts w:hint="eastAsia" w:ascii="宋体" w:hAnsi="宋体" w:cs="Arial"/>
          <w:b/>
          <w:bCs w:val="0"/>
          <w:color w:val="FF0000"/>
          <w:sz w:val="21"/>
          <w:szCs w:val="21"/>
          <w:highlight w:val="none"/>
          <w:lang w:val="en-US" w:eastAsia="zh-CN"/>
        </w:rPr>
        <w:t>最高限价</w:t>
      </w:r>
      <w:r>
        <w:rPr>
          <w:rFonts w:hint="eastAsia" w:ascii="宋体" w:hAnsi="宋体" w:cs="Arial"/>
          <w:b/>
          <w:bCs w:val="0"/>
          <w:color w:val="FF0000"/>
          <w:sz w:val="21"/>
          <w:szCs w:val="21"/>
          <w:highlight w:val="none"/>
        </w:rPr>
        <w:t>的作无效标</w:t>
      </w:r>
      <w:r>
        <w:rPr>
          <w:rFonts w:hint="eastAsia" w:ascii="宋体" w:hAnsi="宋体" w:cs="Arial"/>
          <w:b/>
          <w:bCs w:val="0"/>
          <w:color w:val="FF0000"/>
          <w:sz w:val="21"/>
          <w:szCs w:val="21"/>
          <w:highlight w:val="none"/>
          <w:lang w:val="en-US" w:eastAsia="zh-CN"/>
        </w:rPr>
        <w:t>处理</w:t>
      </w:r>
      <w:r>
        <w:rPr>
          <w:rFonts w:hint="eastAsia" w:ascii="宋体" w:hAnsi="宋体" w:cs="Arial"/>
          <w:b/>
          <w:bCs w:val="0"/>
          <w:color w:val="FF0000"/>
          <w:sz w:val="21"/>
          <w:szCs w:val="21"/>
          <w:highlight w:val="none"/>
        </w:rPr>
        <w:t>。</w:t>
      </w:r>
    </w:p>
    <w:p w14:paraId="690B326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8.3 投标报价</w:t>
      </w:r>
    </w:p>
    <w:p w14:paraId="66D39F0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8.3.1</w:t>
      </w:r>
      <w:r>
        <w:rPr>
          <w:rFonts w:hint="eastAsia" w:ascii="宋体" w:hAnsi="宋体" w:cs="Arial"/>
          <w:bCs/>
          <w:sz w:val="21"/>
          <w:szCs w:val="21"/>
          <w:highlight w:val="none"/>
          <w:lang w:eastAsia="zh-CN"/>
        </w:rPr>
        <w:t>投标人应根据自己的实力和条件报价，投标报价应是招标文件所确定招标范围内全部工作内容的价格体现，以及为完成上述内容所必须的各种工作经费（调查费、</w:t>
      </w:r>
      <w:r>
        <w:rPr>
          <w:rFonts w:hint="eastAsia" w:ascii="宋体" w:hAnsi="宋体" w:cs="Arial"/>
          <w:bCs/>
          <w:sz w:val="21"/>
          <w:szCs w:val="21"/>
          <w:highlight w:val="none"/>
          <w:lang w:val="en-US" w:eastAsia="zh-CN"/>
        </w:rPr>
        <w:t>调研费、</w:t>
      </w:r>
      <w:r>
        <w:rPr>
          <w:rFonts w:hint="eastAsia" w:ascii="宋体" w:hAnsi="宋体" w:cs="Arial"/>
          <w:bCs/>
          <w:sz w:val="21"/>
          <w:szCs w:val="21"/>
          <w:highlight w:val="none"/>
          <w:lang w:eastAsia="zh-CN"/>
        </w:rPr>
        <w:t>劳务费、咨询费、审查费、会务费、</w:t>
      </w:r>
      <w:r>
        <w:rPr>
          <w:rFonts w:hint="eastAsia" w:ascii="宋体" w:hAnsi="宋体" w:cs="Arial"/>
          <w:bCs/>
          <w:sz w:val="21"/>
          <w:szCs w:val="21"/>
          <w:highlight w:val="none"/>
          <w:lang w:val="en-US" w:eastAsia="zh-CN"/>
        </w:rPr>
        <w:t>风险费、</w:t>
      </w:r>
      <w:r>
        <w:rPr>
          <w:rFonts w:hint="eastAsia" w:ascii="宋体" w:hAnsi="宋体"/>
          <w:sz w:val="21"/>
          <w:szCs w:val="21"/>
        </w:rPr>
        <w:t>资料收集、数据整理、相关图表制作打印、纸张等耗材，以及后续服务、</w:t>
      </w:r>
      <w:r>
        <w:rPr>
          <w:rFonts w:hint="eastAsia" w:ascii="宋体" w:hAnsi="宋体" w:cs="Arial"/>
          <w:bCs/>
          <w:sz w:val="21"/>
          <w:szCs w:val="21"/>
          <w:highlight w:val="none"/>
          <w:lang w:eastAsia="zh-CN"/>
        </w:rPr>
        <w:t>管理费、利润、税金等全部费用）。对投标人认为没有考虑到的费用采购人将不予支付，并认为此项费用已包含在投标报价中；</w:t>
      </w:r>
    </w:p>
    <w:p w14:paraId="4D36DAE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8.3.2 投标承诺书、投标价格表的报价一律用人民币（单位：元）填报。</w:t>
      </w:r>
    </w:p>
    <w:p w14:paraId="717387E5">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default" w:ascii="宋体" w:hAnsi="宋体" w:eastAsia="宋体" w:cs="Arial"/>
          <w:bCs/>
          <w:sz w:val="21"/>
          <w:szCs w:val="21"/>
          <w:highlight w:val="none"/>
          <w:lang w:val="en-US" w:eastAsia="zh-CN"/>
        </w:rPr>
      </w:pPr>
      <w:r>
        <w:rPr>
          <w:rFonts w:hint="eastAsia" w:ascii="宋体" w:hAnsi="宋体"/>
          <w:sz w:val="21"/>
          <w:szCs w:val="21"/>
          <w:highlight w:val="none"/>
        </w:rPr>
        <w:t>8.4 招标代理服务费：</w:t>
      </w:r>
      <w:r>
        <w:rPr>
          <w:rFonts w:hint="eastAsia" w:ascii="宋体" w:hAnsi="宋体"/>
          <w:sz w:val="21"/>
          <w:szCs w:val="21"/>
          <w:highlight w:val="none"/>
          <w:lang w:val="en-US" w:eastAsia="zh-CN"/>
        </w:rPr>
        <w:t>本项目招标代理费由采购人支付</w:t>
      </w:r>
    </w:p>
    <w:p w14:paraId="0EA6503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lang w:eastAsia="zh-CN"/>
        </w:rPr>
        <w:t>2.8</w:t>
      </w:r>
      <w:r>
        <w:rPr>
          <w:rFonts w:hint="eastAsia" w:ascii="宋体" w:hAnsi="宋体" w:cs="Arial"/>
          <w:bCs/>
          <w:sz w:val="21"/>
          <w:szCs w:val="21"/>
          <w:highlight w:val="none"/>
        </w:rPr>
        <w:t xml:space="preserve"> 投标人在投标文件中应按照本招标文件所附的投标报价单样式进行报价，并计算总价。报价表必须由法定代表人或委托代理人签署。</w:t>
      </w:r>
    </w:p>
    <w:p w14:paraId="1C73E0C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9</w:t>
      </w:r>
      <w:r>
        <w:rPr>
          <w:rFonts w:hint="eastAsia" w:ascii="宋体" w:hAnsi="宋体" w:cs="Arial"/>
          <w:bCs/>
          <w:sz w:val="21"/>
          <w:szCs w:val="21"/>
          <w:highlight w:val="none"/>
        </w:rPr>
        <w:t>.线上投标文件编制要求，请按照以下要求（包括但不限于以下要求）制作：</w:t>
      </w:r>
    </w:p>
    <w:p w14:paraId="18863A00">
      <w:pPr>
        <w:keepNext w:val="0"/>
        <w:keepLines w:val="0"/>
        <w:pageBreakBefore w:val="0"/>
        <w:widowControl/>
        <w:kinsoku/>
        <w:wordWrap/>
        <w:overflowPunct/>
        <w:topLinePunct w:val="0"/>
        <w:autoSpaceDE/>
        <w:autoSpaceDN/>
        <w:bidi w:val="0"/>
        <w:adjustRightInd w:val="0"/>
        <w:snapToGrid w:val="0"/>
        <w:spacing w:line="500" w:lineRule="exact"/>
        <w:ind w:firstLine="482"/>
        <w:jc w:val="left"/>
        <w:textAlignment w:val="auto"/>
        <w:rPr>
          <w:rFonts w:ascii="宋体" w:hAnsi="宋体" w:cs="Arial"/>
          <w:b/>
          <w:bCs/>
          <w:sz w:val="21"/>
          <w:szCs w:val="21"/>
          <w:highlight w:val="none"/>
        </w:rPr>
      </w:pPr>
      <w:r>
        <w:rPr>
          <w:rFonts w:hint="eastAsia" w:ascii="宋体" w:hAnsi="宋体" w:cs="Arial"/>
          <w:b/>
          <w:bCs/>
          <w:sz w:val="21"/>
          <w:szCs w:val="21"/>
          <w:highlight w:val="none"/>
        </w:rPr>
        <w:t>9</w:t>
      </w:r>
      <w:r>
        <w:rPr>
          <w:rFonts w:ascii="宋体" w:hAnsi="宋体" w:cs="Arial"/>
          <w:b/>
          <w:bCs/>
          <w:sz w:val="21"/>
          <w:szCs w:val="21"/>
          <w:highlight w:val="none"/>
        </w:rPr>
        <w:t>.1</w:t>
      </w:r>
      <w:r>
        <w:rPr>
          <w:rFonts w:hint="eastAsia" w:ascii="宋体" w:hAnsi="宋体" w:cs="Arial"/>
          <w:b/>
          <w:bCs/>
          <w:sz w:val="21"/>
          <w:szCs w:val="21"/>
          <w:highlight w:val="none"/>
        </w:rPr>
        <w:t>基本目录</w:t>
      </w:r>
    </w:p>
    <w:p w14:paraId="4ED6B68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9</w:t>
      </w:r>
      <w:r>
        <w:rPr>
          <w:rFonts w:ascii="宋体" w:hAnsi="宋体" w:cs="Arial"/>
          <w:bCs/>
          <w:sz w:val="21"/>
          <w:szCs w:val="21"/>
          <w:highlight w:val="none"/>
        </w:rPr>
        <w:t>.1.</w:t>
      </w:r>
      <w:r>
        <w:rPr>
          <w:rFonts w:hint="eastAsia" w:ascii="宋体" w:hAnsi="宋体" w:cs="Arial"/>
          <w:bCs/>
          <w:sz w:val="21"/>
          <w:szCs w:val="21"/>
          <w:highlight w:val="none"/>
        </w:rPr>
        <w:t>1《开标一览表》（加盖电子签章，政府采购客户端工具输入报价自动生成）；</w:t>
      </w:r>
    </w:p>
    <w:p w14:paraId="7003B86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9</w:t>
      </w:r>
      <w:r>
        <w:rPr>
          <w:rFonts w:ascii="宋体" w:hAnsi="宋体" w:cs="Arial"/>
          <w:bCs/>
          <w:sz w:val="21"/>
          <w:szCs w:val="21"/>
          <w:highlight w:val="none"/>
        </w:rPr>
        <w:t>.1.</w:t>
      </w:r>
      <w:r>
        <w:rPr>
          <w:rFonts w:hint="eastAsia" w:ascii="宋体" w:hAnsi="宋体" w:cs="Arial"/>
          <w:bCs/>
          <w:sz w:val="21"/>
          <w:szCs w:val="21"/>
          <w:highlight w:val="none"/>
        </w:rPr>
        <w:t>2《</w:t>
      </w:r>
      <w:r>
        <w:rPr>
          <w:rFonts w:ascii="宋体" w:hAnsi="宋体" w:cs="Arial"/>
          <w:bCs/>
          <w:sz w:val="21"/>
          <w:szCs w:val="21"/>
          <w:highlight w:val="none"/>
        </w:rPr>
        <w:t>法定代表人身份证明书</w:t>
      </w:r>
      <w:r>
        <w:rPr>
          <w:rFonts w:hint="eastAsia" w:ascii="宋体" w:hAnsi="宋体" w:cs="Arial"/>
          <w:bCs/>
          <w:sz w:val="21"/>
          <w:szCs w:val="21"/>
          <w:highlight w:val="none"/>
        </w:rPr>
        <w:t>》及《授权委托书》（加盖电子签章，格式见招标文件第六章《投标文件相关格式》）。</w:t>
      </w:r>
    </w:p>
    <w:p w14:paraId="065D6289">
      <w:pPr>
        <w:keepNext w:val="0"/>
        <w:keepLines w:val="0"/>
        <w:pageBreakBefore w:val="0"/>
        <w:widowControl/>
        <w:kinsoku/>
        <w:wordWrap/>
        <w:overflowPunct/>
        <w:topLinePunct w:val="0"/>
        <w:autoSpaceDE/>
        <w:autoSpaceDN/>
        <w:bidi w:val="0"/>
        <w:adjustRightInd w:val="0"/>
        <w:snapToGrid w:val="0"/>
        <w:spacing w:line="500" w:lineRule="exact"/>
        <w:ind w:firstLine="482"/>
        <w:jc w:val="left"/>
        <w:textAlignment w:val="auto"/>
        <w:rPr>
          <w:rFonts w:ascii="宋体" w:hAnsi="宋体" w:cs="Arial"/>
          <w:b/>
          <w:bCs/>
          <w:sz w:val="21"/>
          <w:szCs w:val="21"/>
          <w:highlight w:val="none"/>
        </w:rPr>
      </w:pPr>
      <w:r>
        <w:rPr>
          <w:rFonts w:hint="eastAsia" w:ascii="宋体" w:hAnsi="宋体" w:cs="Arial"/>
          <w:b/>
          <w:bCs/>
          <w:sz w:val="21"/>
          <w:szCs w:val="21"/>
          <w:highlight w:val="none"/>
        </w:rPr>
        <w:t>9</w:t>
      </w:r>
      <w:r>
        <w:rPr>
          <w:rFonts w:ascii="宋体" w:hAnsi="宋体" w:cs="Arial"/>
          <w:b/>
          <w:bCs/>
          <w:sz w:val="21"/>
          <w:szCs w:val="21"/>
          <w:highlight w:val="none"/>
        </w:rPr>
        <w:t>.2</w:t>
      </w:r>
      <w:r>
        <w:rPr>
          <w:rFonts w:hint="eastAsia" w:ascii="宋体" w:hAnsi="宋体" w:cs="Arial"/>
          <w:b/>
          <w:bCs/>
          <w:sz w:val="21"/>
          <w:szCs w:val="21"/>
          <w:highlight w:val="none"/>
        </w:rPr>
        <w:t>资格条件</w:t>
      </w:r>
    </w:p>
    <w:p w14:paraId="1767438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（1）有效的营业执照（副本）；</w:t>
      </w:r>
    </w:p>
    <w:p w14:paraId="6753B0E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（2）</w:t>
      </w:r>
      <w:r>
        <w:rPr>
          <w:rFonts w:hint="eastAsia" w:ascii="宋体" w:hAnsi="宋体" w:cs="宋体"/>
          <w:bCs/>
          <w:color w:val="000000"/>
          <w:sz w:val="21"/>
          <w:szCs w:val="21"/>
          <w:highlight w:val="none"/>
        </w:rPr>
        <w:t>上一年度的财务状况报</w:t>
      </w:r>
      <w:r>
        <w:rPr>
          <w:rFonts w:hint="eastAsia" w:ascii="宋体" w:hAnsi="宋体" w:cs="宋体"/>
          <w:bCs/>
          <w:color w:val="000000"/>
          <w:sz w:val="21"/>
          <w:szCs w:val="21"/>
          <w:highlight w:val="none"/>
          <w:lang w:val="en-US" w:eastAsia="zh-CN"/>
        </w:rPr>
        <w:t>表</w:t>
      </w:r>
      <w:r>
        <w:rPr>
          <w:rFonts w:hint="eastAsia" w:ascii="宋体" w:hAnsi="宋体" w:cs="宋体"/>
          <w:bCs/>
          <w:color w:val="000000"/>
          <w:sz w:val="21"/>
          <w:szCs w:val="21"/>
          <w:highlight w:val="none"/>
        </w:rPr>
        <w:t>（成立不满一年无需提供）</w:t>
      </w:r>
      <w:r>
        <w:rPr>
          <w:rFonts w:ascii="宋体" w:hAnsi="宋体" w:cs="Arial"/>
          <w:bCs/>
          <w:sz w:val="21"/>
          <w:szCs w:val="21"/>
          <w:highlight w:val="none"/>
        </w:rPr>
        <w:t>；</w:t>
      </w:r>
    </w:p>
    <w:p w14:paraId="7FC250F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w:t>
      </w:r>
      <w:r>
        <w:rPr>
          <w:rFonts w:hint="eastAsia" w:ascii="宋体" w:hAnsi="宋体" w:cs="Arial"/>
          <w:bCs/>
          <w:sz w:val="21"/>
          <w:szCs w:val="21"/>
          <w:highlight w:val="none"/>
          <w:lang w:val="en-US" w:eastAsia="zh-CN"/>
        </w:rPr>
        <w:t>3</w:t>
      </w:r>
      <w:r>
        <w:rPr>
          <w:rFonts w:ascii="宋体" w:hAnsi="宋体" w:cs="Arial"/>
          <w:bCs/>
          <w:sz w:val="21"/>
          <w:szCs w:val="21"/>
          <w:highlight w:val="none"/>
        </w:rPr>
        <w:t>）具有履行合同所需的设备和专业技术能力的书面声明</w:t>
      </w:r>
      <w:r>
        <w:rPr>
          <w:rFonts w:hint="eastAsia" w:ascii="宋体" w:hAnsi="宋体" w:cs="Arial"/>
          <w:bCs/>
          <w:sz w:val="21"/>
          <w:szCs w:val="21"/>
          <w:highlight w:val="none"/>
          <w:lang w:eastAsia="zh-CN"/>
        </w:rPr>
        <w:t>（</w:t>
      </w:r>
      <w:r>
        <w:rPr>
          <w:rFonts w:hint="eastAsia" w:ascii="宋体" w:hAnsi="宋体" w:cs="Arial"/>
          <w:bCs/>
          <w:sz w:val="21"/>
          <w:szCs w:val="21"/>
          <w:highlight w:val="none"/>
          <w:lang w:val="en-US" w:eastAsia="zh-CN"/>
        </w:rPr>
        <w:t>格式附后</w:t>
      </w:r>
      <w:r>
        <w:rPr>
          <w:rFonts w:hint="eastAsia" w:ascii="宋体" w:hAnsi="宋体" w:cs="Arial"/>
          <w:bCs/>
          <w:sz w:val="21"/>
          <w:szCs w:val="21"/>
          <w:highlight w:val="none"/>
          <w:lang w:eastAsia="zh-CN"/>
        </w:rPr>
        <w:t>）</w:t>
      </w:r>
      <w:r>
        <w:rPr>
          <w:rFonts w:hint="eastAsia" w:ascii="宋体" w:hAnsi="宋体" w:cs="Arial"/>
          <w:bCs/>
          <w:sz w:val="21"/>
          <w:szCs w:val="21"/>
          <w:highlight w:val="none"/>
        </w:rPr>
        <w:t>；</w:t>
      </w:r>
    </w:p>
    <w:p w14:paraId="2D5C06A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w:t>
      </w:r>
      <w:r>
        <w:rPr>
          <w:rFonts w:hint="eastAsia" w:ascii="宋体" w:hAnsi="宋体" w:cs="Arial"/>
          <w:bCs/>
          <w:sz w:val="21"/>
          <w:szCs w:val="21"/>
          <w:highlight w:val="none"/>
          <w:lang w:val="en-US" w:eastAsia="zh-CN"/>
        </w:rPr>
        <w:t>4</w:t>
      </w:r>
      <w:r>
        <w:rPr>
          <w:rFonts w:ascii="宋体" w:hAnsi="宋体" w:cs="Arial"/>
          <w:bCs/>
          <w:sz w:val="21"/>
          <w:szCs w:val="21"/>
          <w:highlight w:val="none"/>
        </w:rPr>
        <w:t>）</w:t>
      </w:r>
      <w:r>
        <w:rPr>
          <w:rFonts w:hint="eastAsia" w:ascii="宋体" w:hAnsi="宋体" w:cs="Arial"/>
          <w:bCs/>
          <w:sz w:val="21"/>
          <w:szCs w:val="21"/>
          <w:highlight w:val="none"/>
        </w:rPr>
        <w:t>投标人的依法缴纳税收和社会保障资金的相关材料（提供提交投标文件截止时间前一年内至少一个月依法缴纳税收及缴纳社会保障资金的证明材料。供应商依法享受缓缴、免缴税收、社会保障资金的提供证明材料）；</w:t>
      </w:r>
    </w:p>
    <w:p w14:paraId="702B313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w:t>
      </w:r>
      <w:r>
        <w:rPr>
          <w:rFonts w:ascii="宋体" w:hAnsi="宋体" w:cs="Arial"/>
          <w:bCs/>
          <w:sz w:val="21"/>
          <w:szCs w:val="21"/>
          <w:highlight w:val="none"/>
        </w:rPr>
        <w:t>5</w:t>
      </w:r>
      <w:r>
        <w:rPr>
          <w:rFonts w:hint="eastAsia" w:ascii="宋体" w:hAnsi="宋体" w:cs="Arial"/>
          <w:bCs/>
          <w:sz w:val="21"/>
          <w:szCs w:val="21"/>
          <w:highlight w:val="none"/>
        </w:rPr>
        <w:t>）参加政府采购活动前 3 年内在经营活动中没有重大违法记录的书面声明</w:t>
      </w:r>
      <w:r>
        <w:rPr>
          <w:rFonts w:hint="eastAsia" w:ascii="宋体" w:hAnsi="宋体" w:cs="Arial"/>
          <w:bCs/>
          <w:sz w:val="21"/>
          <w:szCs w:val="21"/>
          <w:highlight w:val="none"/>
          <w:lang w:eastAsia="zh-CN"/>
        </w:rPr>
        <w:t>（</w:t>
      </w:r>
      <w:r>
        <w:rPr>
          <w:rFonts w:hint="eastAsia" w:ascii="宋体" w:hAnsi="宋体" w:cs="Arial"/>
          <w:bCs/>
          <w:sz w:val="21"/>
          <w:szCs w:val="21"/>
          <w:highlight w:val="none"/>
          <w:lang w:val="en-US" w:eastAsia="zh-CN"/>
        </w:rPr>
        <w:t>格式附后</w:t>
      </w:r>
      <w:r>
        <w:rPr>
          <w:rFonts w:hint="eastAsia" w:ascii="宋体" w:hAnsi="宋体" w:cs="Arial"/>
          <w:bCs/>
          <w:sz w:val="21"/>
          <w:szCs w:val="21"/>
          <w:highlight w:val="none"/>
          <w:lang w:eastAsia="zh-CN"/>
        </w:rPr>
        <w:t>）</w:t>
      </w:r>
      <w:r>
        <w:rPr>
          <w:rFonts w:hint="eastAsia" w:ascii="宋体" w:hAnsi="宋体" w:cs="Arial"/>
          <w:bCs/>
          <w:sz w:val="21"/>
          <w:szCs w:val="21"/>
          <w:highlight w:val="none"/>
        </w:rPr>
        <w:t>；</w:t>
      </w:r>
    </w:p>
    <w:p w14:paraId="7CD91F83">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上述（1）-（</w:t>
      </w:r>
      <w:r>
        <w:rPr>
          <w:rFonts w:hint="eastAsia" w:ascii="宋体" w:hAnsi="宋体" w:cs="Arial"/>
          <w:bCs/>
          <w:sz w:val="21"/>
          <w:szCs w:val="21"/>
          <w:highlight w:val="none"/>
          <w:lang w:val="en-US" w:eastAsia="zh-CN"/>
        </w:rPr>
        <w:t>5</w:t>
      </w:r>
      <w:r>
        <w:rPr>
          <w:rFonts w:hint="eastAsia" w:ascii="宋体" w:hAnsi="宋体" w:cs="Arial"/>
          <w:bCs/>
          <w:sz w:val="21"/>
          <w:szCs w:val="21"/>
          <w:highlight w:val="none"/>
        </w:rPr>
        <w:t>）必须提供，且须加盖电子签章，否则投标无效。</w:t>
      </w:r>
    </w:p>
    <w:p w14:paraId="5C09F3A0">
      <w:pPr>
        <w:keepNext w:val="0"/>
        <w:keepLines w:val="0"/>
        <w:pageBreakBefore w:val="0"/>
        <w:widowControl/>
        <w:kinsoku/>
        <w:wordWrap/>
        <w:overflowPunct/>
        <w:topLinePunct w:val="0"/>
        <w:autoSpaceDE/>
        <w:autoSpaceDN/>
        <w:bidi w:val="0"/>
        <w:adjustRightInd w:val="0"/>
        <w:snapToGrid w:val="0"/>
        <w:spacing w:line="500" w:lineRule="exact"/>
        <w:ind w:firstLine="482"/>
        <w:jc w:val="left"/>
        <w:textAlignment w:val="auto"/>
        <w:rPr>
          <w:rFonts w:hint="eastAsia" w:ascii="宋体" w:hAnsi="宋体" w:cs="Arial"/>
          <w:b/>
          <w:bCs/>
          <w:sz w:val="21"/>
          <w:szCs w:val="21"/>
          <w:highlight w:val="none"/>
        </w:rPr>
      </w:pPr>
      <w:r>
        <w:rPr>
          <w:rFonts w:hint="eastAsia" w:ascii="宋体" w:hAnsi="宋体" w:cs="Arial"/>
          <w:b/>
          <w:bCs/>
          <w:sz w:val="21"/>
          <w:szCs w:val="21"/>
          <w:highlight w:val="none"/>
        </w:rPr>
        <w:t>9</w:t>
      </w:r>
      <w:r>
        <w:rPr>
          <w:rFonts w:ascii="宋体" w:hAnsi="宋体" w:cs="Arial"/>
          <w:b/>
          <w:bCs/>
          <w:sz w:val="21"/>
          <w:szCs w:val="21"/>
          <w:highlight w:val="none"/>
        </w:rPr>
        <w:t>.3</w:t>
      </w:r>
      <w:r>
        <w:rPr>
          <w:rFonts w:hint="eastAsia" w:ascii="宋体" w:hAnsi="宋体" w:cs="Arial"/>
          <w:b/>
          <w:bCs/>
          <w:sz w:val="21"/>
          <w:szCs w:val="21"/>
          <w:highlight w:val="none"/>
        </w:rPr>
        <w:t>符合条件</w:t>
      </w:r>
      <w:r>
        <w:rPr>
          <w:rFonts w:hint="eastAsia" w:ascii="宋体" w:hAnsi="宋体"/>
          <w:b/>
          <w:sz w:val="21"/>
          <w:szCs w:val="21"/>
        </w:rPr>
        <w:t>（符合条件要求内容必须提供，且须加盖电子签章，格式见招标文件第六章《投标文件相关格式》，否则投标无效</w:t>
      </w:r>
    </w:p>
    <w:p w14:paraId="41E633E3">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（1）报价：</w:t>
      </w:r>
      <w:r>
        <w:rPr>
          <w:rFonts w:hint="eastAsia" w:ascii="宋体" w:hAnsi="宋体" w:cs="Arial"/>
          <w:bCs/>
          <w:sz w:val="21"/>
          <w:szCs w:val="21"/>
          <w:highlight w:val="none"/>
          <w:u w:val="single"/>
        </w:rPr>
        <w:t>①《投标函》；②清单报价表</w:t>
      </w:r>
      <w:r>
        <w:rPr>
          <w:rFonts w:hint="eastAsia" w:ascii="宋体" w:hAnsi="宋体" w:cs="Arial"/>
          <w:bCs/>
          <w:sz w:val="21"/>
          <w:szCs w:val="21"/>
          <w:highlight w:val="none"/>
        </w:rPr>
        <w:t>。</w:t>
      </w:r>
    </w:p>
    <w:p w14:paraId="206B9BB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u w:val="single"/>
        </w:rPr>
      </w:pPr>
      <w:r>
        <w:rPr>
          <w:rFonts w:hint="eastAsia" w:ascii="宋体" w:hAnsi="宋体" w:cs="Arial"/>
          <w:bCs/>
          <w:sz w:val="21"/>
          <w:szCs w:val="21"/>
          <w:highlight w:val="none"/>
        </w:rPr>
        <w:t>（2）商务资</w:t>
      </w:r>
      <w:r>
        <w:rPr>
          <w:rFonts w:hint="eastAsia" w:ascii="宋体" w:hAnsi="宋体" w:cs="Arial"/>
          <w:bCs/>
          <w:sz w:val="21"/>
          <w:szCs w:val="21"/>
          <w:highlight w:val="none"/>
          <w:u w:val="single"/>
        </w:rPr>
        <w:t>信：</w:t>
      </w:r>
      <w:r>
        <w:rPr>
          <w:rFonts w:ascii="宋体" w:hAnsi="宋体" w:cs="Arial"/>
          <w:bCs/>
          <w:sz w:val="21"/>
          <w:szCs w:val="21"/>
          <w:highlight w:val="none"/>
          <w:u w:val="single"/>
        </w:rPr>
        <w:t>①供应商登记表</w:t>
      </w:r>
      <w:r>
        <w:rPr>
          <w:rFonts w:hint="eastAsia" w:ascii="宋体" w:hAnsi="宋体" w:cs="Arial"/>
          <w:bCs/>
          <w:sz w:val="21"/>
          <w:szCs w:val="21"/>
          <w:highlight w:val="none"/>
          <w:u w:val="single"/>
        </w:rPr>
        <w:t>；②《法定代表人身份证明书》③《授权委托书》</w:t>
      </w:r>
      <w:r>
        <w:rPr>
          <w:rFonts w:hint="eastAsia" w:ascii="宋体" w:hAnsi="宋体" w:cs="Arial"/>
          <w:bCs/>
          <w:sz w:val="21"/>
          <w:szCs w:val="21"/>
          <w:highlight w:val="none"/>
          <w:u w:val="single"/>
          <w:lang w:eastAsia="zh-CN"/>
        </w:rPr>
        <w:t>（</w:t>
      </w:r>
      <w:r>
        <w:rPr>
          <w:rFonts w:hint="eastAsia" w:ascii="宋体" w:hAnsi="宋体" w:cs="Arial"/>
          <w:bCs/>
          <w:sz w:val="21"/>
          <w:szCs w:val="21"/>
          <w:highlight w:val="none"/>
          <w:u w:val="single"/>
          <w:lang w:val="en-US" w:eastAsia="zh-CN"/>
        </w:rPr>
        <w:t>如有）</w:t>
      </w:r>
      <w:r>
        <w:rPr>
          <w:rFonts w:hint="eastAsia" w:ascii="宋体" w:hAnsi="宋体" w:cs="Arial"/>
          <w:bCs/>
          <w:sz w:val="21"/>
          <w:szCs w:val="21"/>
          <w:highlight w:val="none"/>
          <w:u w:val="single"/>
        </w:rPr>
        <w:t>④盐城市政府采购事前信用承诺书</w:t>
      </w:r>
      <w:r>
        <w:rPr>
          <w:rFonts w:hint="eastAsia" w:ascii="宋体" w:hAnsi="宋体" w:cs="Arial"/>
          <w:bCs/>
          <w:sz w:val="21"/>
          <w:szCs w:val="21"/>
          <w:highlight w:val="none"/>
          <w:u w:val="single"/>
          <w:lang w:val="en-US" w:eastAsia="zh-CN"/>
        </w:rPr>
        <w:t>⑤项目配备人员一览表</w:t>
      </w:r>
      <w:r>
        <w:rPr>
          <w:rFonts w:hint="eastAsia" w:ascii="宋体" w:hAnsi="宋体" w:cs="Arial"/>
          <w:bCs/>
          <w:sz w:val="21"/>
          <w:szCs w:val="21"/>
          <w:highlight w:val="none"/>
          <w:u w:val="single"/>
        </w:rPr>
        <w:t>。</w:t>
      </w:r>
    </w:p>
    <w:p w14:paraId="054A5BF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（3）</w:t>
      </w:r>
      <w:r>
        <w:rPr>
          <w:rFonts w:hint="eastAsia" w:ascii="宋体" w:hAnsi="宋体" w:cs="Arial"/>
          <w:bCs/>
          <w:sz w:val="21"/>
          <w:szCs w:val="21"/>
          <w:highlight w:val="none"/>
          <w:lang w:val="en-US" w:eastAsia="zh-CN"/>
        </w:rPr>
        <w:t>服务内容</w:t>
      </w:r>
      <w:r>
        <w:rPr>
          <w:rFonts w:hint="eastAsia" w:ascii="宋体" w:hAnsi="宋体" w:cs="Arial"/>
          <w:bCs/>
          <w:sz w:val="21"/>
          <w:szCs w:val="21"/>
          <w:highlight w:val="none"/>
        </w:rPr>
        <w:t>响应：</w:t>
      </w:r>
      <w:r>
        <w:rPr>
          <w:rFonts w:hint="eastAsia" w:ascii="宋体" w:hAnsi="宋体" w:cs="Arial"/>
          <w:bCs/>
          <w:sz w:val="21"/>
          <w:szCs w:val="21"/>
          <w:highlight w:val="none"/>
          <w:u w:val="single"/>
        </w:rPr>
        <w:t>《服务内容应表》</w:t>
      </w:r>
      <w:r>
        <w:rPr>
          <w:rFonts w:hint="eastAsia" w:ascii="宋体" w:hAnsi="宋体" w:cs="Arial"/>
          <w:bCs/>
          <w:sz w:val="21"/>
          <w:szCs w:val="21"/>
          <w:highlight w:val="none"/>
        </w:rPr>
        <w:t>。</w:t>
      </w:r>
    </w:p>
    <w:p w14:paraId="7AED4B2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上述（1）-（</w:t>
      </w:r>
      <w:r>
        <w:rPr>
          <w:rFonts w:ascii="宋体" w:hAnsi="宋体" w:cs="Arial"/>
          <w:bCs/>
          <w:sz w:val="21"/>
          <w:szCs w:val="21"/>
          <w:highlight w:val="none"/>
        </w:rPr>
        <w:t>3</w:t>
      </w:r>
      <w:r>
        <w:rPr>
          <w:rFonts w:hint="eastAsia" w:ascii="宋体" w:hAnsi="宋体" w:cs="Arial"/>
          <w:bCs/>
          <w:sz w:val="21"/>
          <w:szCs w:val="21"/>
          <w:highlight w:val="none"/>
        </w:rPr>
        <w:t>）符合条件要求内容必须提供，且须加盖电子签章，格式见招标文件第六章《投标文件相关格式》，否则投标无效。</w:t>
      </w:r>
    </w:p>
    <w:p w14:paraId="4E4350AC">
      <w:pPr>
        <w:keepNext w:val="0"/>
        <w:keepLines w:val="0"/>
        <w:pageBreakBefore w:val="0"/>
        <w:widowControl/>
        <w:kinsoku/>
        <w:wordWrap/>
        <w:overflowPunct/>
        <w:topLinePunct w:val="0"/>
        <w:autoSpaceDE/>
        <w:autoSpaceDN/>
        <w:bidi w:val="0"/>
        <w:adjustRightInd w:val="0"/>
        <w:snapToGrid w:val="0"/>
        <w:spacing w:line="500" w:lineRule="exact"/>
        <w:ind w:firstLine="482"/>
        <w:jc w:val="left"/>
        <w:textAlignment w:val="auto"/>
        <w:rPr>
          <w:rFonts w:hint="default" w:ascii="宋体" w:hAnsi="宋体" w:eastAsia="宋体" w:cs="Arial"/>
          <w:b/>
          <w:bCs/>
          <w:sz w:val="21"/>
          <w:szCs w:val="21"/>
          <w:highlight w:val="none"/>
          <w:lang w:val="en-US" w:eastAsia="zh-CN"/>
        </w:rPr>
      </w:pPr>
      <w:r>
        <w:rPr>
          <w:rFonts w:hint="eastAsia" w:ascii="宋体" w:hAnsi="宋体" w:cs="Arial"/>
          <w:b/>
          <w:bCs/>
          <w:sz w:val="21"/>
          <w:szCs w:val="21"/>
          <w:highlight w:val="none"/>
        </w:rPr>
        <w:t>9</w:t>
      </w:r>
      <w:r>
        <w:rPr>
          <w:rFonts w:ascii="宋体" w:hAnsi="宋体" w:cs="Arial"/>
          <w:b/>
          <w:bCs/>
          <w:sz w:val="21"/>
          <w:szCs w:val="21"/>
          <w:highlight w:val="none"/>
        </w:rPr>
        <w:t>.4</w:t>
      </w:r>
      <w:r>
        <w:rPr>
          <w:rFonts w:hint="eastAsia" w:ascii="宋体" w:hAnsi="宋体" w:cs="Arial"/>
          <w:b/>
          <w:bCs/>
          <w:sz w:val="21"/>
          <w:szCs w:val="21"/>
          <w:highlight w:val="none"/>
        </w:rPr>
        <w:t>企业报价折扣证明</w:t>
      </w:r>
      <w:r>
        <w:rPr>
          <w:rFonts w:hint="eastAsia" w:ascii="宋体" w:hAnsi="宋体" w:cs="Arial"/>
          <w:b/>
          <w:bCs/>
          <w:sz w:val="21"/>
          <w:szCs w:val="21"/>
          <w:highlight w:val="none"/>
          <w:lang w:eastAsia="zh-CN"/>
        </w:rPr>
        <w:t>（</w:t>
      </w:r>
      <w:r>
        <w:rPr>
          <w:rFonts w:hint="eastAsia" w:ascii="宋体" w:hAnsi="宋体" w:cs="Arial"/>
          <w:b/>
          <w:bCs/>
          <w:sz w:val="21"/>
          <w:szCs w:val="21"/>
          <w:highlight w:val="none"/>
          <w:lang w:val="en-US" w:eastAsia="zh-CN"/>
        </w:rPr>
        <w:t>企业声明函</w:t>
      </w:r>
      <w:r>
        <w:rPr>
          <w:rFonts w:hint="eastAsia" w:ascii="宋体" w:hAnsi="宋体" w:cs="Arial"/>
          <w:b/>
          <w:bCs/>
          <w:sz w:val="21"/>
          <w:szCs w:val="21"/>
          <w:highlight w:val="none"/>
          <w:lang w:eastAsia="zh-CN"/>
        </w:rPr>
        <w:t>）</w:t>
      </w:r>
      <w:r>
        <w:rPr>
          <w:rFonts w:hint="eastAsia" w:ascii="宋体" w:hAnsi="宋体" w:cs="Arial"/>
          <w:b/>
          <w:bCs/>
          <w:sz w:val="21"/>
          <w:szCs w:val="21"/>
          <w:highlight w:val="none"/>
          <w:lang w:val="en-US" w:eastAsia="zh-CN"/>
        </w:rPr>
        <w:t>如有</w:t>
      </w:r>
    </w:p>
    <w:p w14:paraId="1E29479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pacing w:val="-4"/>
          <w:sz w:val="21"/>
          <w:szCs w:val="21"/>
          <w:highlight w:val="none"/>
        </w:rPr>
      </w:pPr>
      <w:r>
        <w:rPr>
          <w:rFonts w:hint="eastAsia" w:ascii="宋体" w:hAnsi="宋体" w:cs="Arial"/>
          <w:bCs/>
          <w:spacing w:val="-4"/>
          <w:sz w:val="21"/>
          <w:szCs w:val="21"/>
          <w:highlight w:val="none"/>
        </w:rPr>
        <w:t>（1）投标人为中小企业（含中型、小型、微型企业，下同）的，提供《中小企业声明函》（加盖电子签章，填写完整，格式见招标文件第六章《投标文件相关格式》）；</w:t>
      </w:r>
    </w:p>
    <w:p w14:paraId="1261816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pacing w:val="-4"/>
          <w:sz w:val="21"/>
          <w:szCs w:val="21"/>
          <w:highlight w:val="none"/>
        </w:rPr>
      </w:pPr>
      <w:r>
        <w:rPr>
          <w:rFonts w:hint="eastAsia" w:ascii="宋体" w:hAnsi="宋体" w:cs="Arial"/>
          <w:bCs/>
          <w:spacing w:val="-4"/>
          <w:sz w:val="21"/>
          <w:szCs w:val="21"/>
          <w:highlight w:val="none"/>
        </w:rPr>
        <w:t>（2）投标人为监狱企业的等同于小微企业，提供省级以上监狱管理局、戒毒管理局（含新疆生产建设兵团）出具的属于监狱企业的证明文件；</w:t>
      </w:r>
    </w:p>
    <w:p w14:paraId="617C004F">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pacing w:val="-4"/>
          <w:sz w:val="21"/>
          <w:szCs w:val="21"/>
          <w:highlight w:val="none"/>
        </w:rPr>
      </w:pPr>
      <w:r>
        <w:rPr>
          <w:rFonts w:hint="eastAsia" w:ascii="宋体" w:hAnsi="宋体" w:cs="Arial"/>
          <w:bCs/>
          <w:spacing w:val="-4"/>
          <w:sz w:val="21"/>
          <w:szCs w:val="21"/>
          <w:highlight w:val="none"/>
        </w:rPr>
        <w:t>（3）投标人为享受政府采购支持政策的残疾人福利性单位的等同于小微企业，提供《残疾人福利性单位声明函》（加盖电子签章，格式见招标文件第六章《投标文件相关格式》）；</w:t>
      </w:r>
    </w:p>
    <w:p w14:paraId="7011103E">
      <w:pPr>
        <w:keepNext w:val="0"/>
        <w:keepLines w:val="0"/>
        <w:pageBreakBefore w:val="0"/>
        <w:widowControl/>
        <w:kinsoku/>
        <w:wordWrap/>
        <w:overflowPunct/>
        <w:topLinePunct w:val="0"/>
        <w:autoSpaceDE/>
        <w:autoSpaceDN/>
        <w:bidi w:val="0"/>
        <w:adjustRightInd w:val="0"/>
        <w:snapToGrid w:val="0"/>
        <w:spacing w:line="500" w:lineRule="exact"/>
        <w:ind w:firstLine="482"/>
        <w:jc w:val="left"/>
        <w:textAlignment w:val="auto"/>
        <w:rPr>
          <w:rFonts w:ascii="宋体" w:hAnsi="宋体" w:cs="Arial"/>
          <w:b/>
          <w:bCs/>
          <w:sz w:val="21"/>
          <w:szCs w:val="21"/>
          <w:highlight w:val="none"/>
        </w:rPr>
      </w:pPr>
      <w:r>
        <w:rPr>
          <w:rFonts w:hint="eastAsia" w:ascii="宋体" w:hAnsi="宋体" w:cs="Arial"/>
          <w:b/>
          <w:bCs/>
          <w:sz w:val="21"/>
          <w:szCs w:val="21"/>
          <w:highlight w:val="none"/>
        </w:rPr>
        <w:t>9.5招标文件要求的其他证明资料和评标细则要求提供证明材料。</w:t>
      </w:r>
    </w:p>
    <w:p w14:paraId="48B544B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注：</w:t>
      </w:r>
    </w:p>
    <w:p w14:paraId="1C4084E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hint="eastAsia" w:ascii="宋体" w:hAnsi="宋体" w:cs="Arial"/>
          <w:b/>
          <w:bCs/>
          <w:sz w:val="21"/>
          <w:szCs w:val="21"/>
          <w:highlight w:val="none"/>
          <w:u w:val="single"/>
        </w:rPr>
        <w:t>投标人应对以上文件的合法性、真实性负责，</w:t>
      </w:r>
      <w:r>
        <w:rPr>
          <w:rFonts w:ascii="宋体" w:hAnsi="宋体" w:cs="Arial"/>
          <w:b/>
          <w:bCs/>
          <w:sz w:val="21"/>
          <w:szCs w:val="21"/>
          <w:highlight w:val="none"/>
          <w:u w:val="single"/>
        </w:rPr>
        <w:t>投标人提供的材料如有虚假，视为提供虚假材料谋取中标资格，将被列入不良行为记录名单</w:t>
      </w:r>
      <w:r>
        <w:rPr>
          <w:rFonts w:hint="eastAsia" w:ascii="宋体" w:hAnsi="宋体" w:cs="Arial"/>
          <w:bCs/>
          <w:sz w:val="21"/>
          <w:szCs w:val="21"/>
          <w:highlight w:val="none"/>
        </w:rPr>
        <w:t>。</w:t>
      </w:r>
    </w:p>
    <w:p w14:paraId="56DC8B6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
          <w:bCs/>
          <w:sz w:val="21"/>
          <w:szCs w:val="21"/>
          <w:highlight w:val="none"/>
          <w:u w:val="single"/>
        </w:rPr>
        <w:t>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Arial"/>
          <w:bCs/>
          <w:sz w:val="21"/>
          <w:szCs w:val="21"/>
          <w:highlight w:val="none"/>
        </w:rPr>
        <w:t>。</w:t>
      </w:r>
    </w:p>
    <w:p w14:paraId="7D6E0483">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10．投标文件线上格式要求</w:t>
      </w:r>
    </w:p>
    <w:p w14:paraId="1E963DF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0.1</w:t>
      </w:r>
      <w:r>
        <w:rPr>
          <w:rFonts w:hint="eastAsia" w:ascii="宋体" w:hAnsi="宋体" w:cs="Arial"/>
          <w:bCs/>
          <w:sz w:val="21"/>
          <w:szCs w:val="21"/>
          <w:highlight w:val="none"/>
        </w:rPr>
        <w:t>投标人应当通过“苏采云”系统提交数据电文形式的投标文件（即电子投标）；</w:t>
      </w:r>
    </w:p>
    <w:p w14:paraId="434EA4E5">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 xml:space="preserve">0.2 </w:t>
      </w:r>
      <w:r>
        <w:rPr>
          <w:rFonts w:hint="eastAsia" w:ascii="宋体" w:hAnsi="宋体" w:cs="Arial"/>
          <w:bCs/>
          <w:sz w:val="21"/>
          <w:szCs w:val="21"/>
          <w:highlight w:val="none"/>
        </w:rPr>
        <w:t>通过“苏采云”系统提交政府采购客户端工具导出加密的投标文件（后缀名为zip），投标文件不得超过</w:t>
      </w:r>
      <w:r>
        <w:rPr>
          <w:rFonts w:ascii="宋体" w:hAnsi="宋体" w:cs="Arial"/>
          <w:bCs/>
          <w:sz w:val="21"/>
          <w:szCs w:val="21"/>
          <w:highlight w:val="none"/>
        </w:rPr>
        <w:t>1</w:t>
      </w:r>
      <w:r>
        <w:rPr>
          <w:rFonts w:hint="eastAsia" w:ascii="宋体" w:hAnsi="宋体" w:cs="Arial"/>
          <w:bCs/>
          <w:sz w:val="21"/>
          <w:szCs w:val="21"/>
          <w:highlight w:val="none"/>
        </w:rPr>
        <w:t>50M；</w:t>
      </w:r>
    </w:p>
    <w:p w14:paraId="0FB68EC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0.3</w:t>
      </w:r>
      <w:r>
        <w:rPr>
          <w:rFonts w:hint="eastAsia" w:ascii="宋体" w:hAnsi="宋体" w:cs="Arial"/>
          <w:b/>
          <w:bCs/>
          <w:sz w:val="21"/>
          <w:szCs w:val="21"/>
          <w:highlight w:val="none"/>
          <w:u w:val="single"/>
        </w:rPr>
        <w:t>本项目采用线上投标，即供应商投标文件从政府采购客户端工具制作通过“苏采云”系统提交，未提供线上投标文件的，投标无效</w:t>
      </w:r>
      <w:r>
        <w:rPr>
          <w:rFonts w:hint="eastAsia" w:ascii="宋体" w:hAnsi="宋体" w:cs="Arial"/>
          <w:bCs/>
          <w:sz w:val="21"/>
          <w:szCs w:val="21"/>
          <w:highlight w:val="none"/>
        </w:rPr>
        <w:t>。</w:t>
      </w:r>
    </w:p>
    <w:p w14:paraId="2D7D4815">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11．</w:t>
      </w:r>
      <w:r>
        <w:rPr>
          <w:rFonts w:hint="eastAsia" w:ascii="宋体" w:hAnsi="宋体" w:cs="Arial"/>
          <w:b/>
          <w:bCs/>
          <w:sz w:val="21"/>
          <w:szCs w:val="21"/>
          <w:highlight w:val="none"/>
          <w:u w:val="single"/>
        </w:rPr>
        <w:t>线上</w:t>
      </w:r>
      <w:r>
        <w:rPr>
          <w:rFonts w:ascii="宋体" w:hAnsi="宋体" w:cs="Arial"/>
          <w:b/>
          <w:bCs/>
          <w:sz w:val="21"/>
          <w:szCs w:val="21"/>
          <w:highlight w:val="none"/>
          <w:u w:val="single"/>
        </w:rPr>
        <w:t>投标文件的密封</w:t>
      </w:r>
      <w:r>
        <w:rPr>
          <w:rFonts w:hint="eastAsia" w:ascii="宋体" w:hAnsi="宋体" w:cs="Arial"/>
          <w:b/>
          <w:bCs/>
          <w:sz w:val="21"/>
          <w:szCs w:val="21"/>
          <w:highlight w:val="none"/>
          <w:u w:val="single"/>
        </w:rPr>
        <w:t>、签署、盖章要求</w:t>
      </w:r>
    </w:p>
    <w:p w14:paraId="4CADA50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1.1</w:t>
      </w:r>
      <w:r>
        <w:rPr>
          <w:rFonts w:hint="eastAsia" w:ascii="宋体" w:hAnsi="宋体" w:cs="Arial"/>
          <w:bCs/>
          <w:sz w:val="21"/>
          <w:szCs w:val="21"/>
          <w:highlight w:val="none"/>
        </w:rPr>
        <w:t>投标文件的密封（加密）要求：</w:t>
      </w:r>
    </w:p>
    <w:p w14:paraId="33617CC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投标人应当按照招标文件和“苏采云”系统的要求编制并加密投标文件。本项目投标人须通过“苏采云”系统提供的政府采购客户端工具（使用“CA数字证书”）对其数据电文形式的投标文件加密；</w:t>
      </w:r>
    </w:p>
    <w:p w14:paraId="0F726EEF">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1.2</w:t>
      </w:r>
      <w:r>
        <w:rPr>
          <w:rFonts w:hint="eastAsia" w:ascii="宋体" w:hAnsi="宋体" w:cs="Arial"/>
          <w:bCs/>
          <w:sz w:val="21"/>
          <w:szCs w:val="21"/>
          <w:highlight w:val="none"/>
        </w:rPr>
        <w:t>投标文件的签署要求：见招标文件第六章《投标文件相关格式》；</w:t>
      </w:r>
    </w:p>
    <w:p w14:paraId="0A0AB56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1.3</w:t>
      </w:r>
      <w:r>
        <w:rPr>
          <w:rFonts w:hint="eastAsia" w:ascii="宋体" w:hAnsi="宋体" w:cs="Arial"/>
          <w:bCs/>
          <w:sz w:val="21"/>
          <w:szCs w:val="21"/>
          <w:highlight w:val="none"/>
        </w:rPr>
        <w:t>投标文件的盖章要求：见招标文件第二章《线上投标文件编制要求》和招标文件第六章《投标文件相关格式》。投标人须通过“苏采云”系统提供的政府采购客户端工具（使用“CA数字证书”）加盖电子签章；</w:t>
      </w:r>
    </w:p>
    <w:p w14:paraId="7B17B97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说明：投标人应在用CA数字证书以及自备的能够登录“苏采云”系统的笔记本电脑，在达到开标时间后，使用CA数字证书解密各自投标文件。</w:t>
      </w:r>
    </w:p>
    <w:p w14:paraId="79ACD850">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1.4</w:t>
      </w:r>
      <w:r>
        <w:rPr>
          <w:rFonts w:hint="eastAsia" w:ascii="宋体" w:hAnsi="宋体" w:cs="Arial"/>
          <w:bCs/>
          <w:sz w:val="21"/>
          <w:szCs w:val="21"/>
          <w:highlight w:val="none"/>
        </w:rPr>
        <w:t>投标人未按规定加密的投标文件，“苏采云”系统应当拒收并提示。</w:t>
      </w:r>
    </w:p>
    <w:p w14:paraId="35BB09B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 xml:space="preserve">2. </w:t>
      </w:r>
      <w:r>
        <w:rPr>
          <w:rFonts w:hint="eastAsia" w:ascii="宋体" w:hAnsi="宋体" w:cs="Arial"/>
          <w:bCs/>
          <w:sz w:val="21"/>
          <w:szCs w:val="21"/>
          <w:highlight w:val="none"/>
        </w:rPr>
        <w:t>投标文件的提交与接收</w:t>
      </w:r>
    </w:p>
    <w:p w14:paraId="4D8B195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 xml:space="preserve">12.1 </w:t>
      </w:r>
      <w:r>
        <w:rPr>
          <w:rFonts w:hint="eastAsia" w:ascii="宋体" w:hAnsi="宋体" w:cs="Arial"/>
          <w:bCs/>
          <w:sz w:val="21"/>
          <w:szCs w:val="21"/>
          <w:highlight w:val="none"/>
        </w:rPr>
        <w:t>投标文件提交与接收时间：</w:t>
      </w:r>
    </w:p>
    <w:p w14:paraId="2032EBF5">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eastAsia="宋体" w:cs="Arial"/>
          <w:bCs/>
          <w:sz w:val="21"/>
          <w:szCs w:val="21"/>
          <w:highlight w:val="none"/>
          <w:lang w:eastAsia="zh-CN"/>
        </w:rPr>
      </w:pPr>
      <w:r>
        <w:rPr>
          <w:rFonts w:hint="eastAsia" w:ascii="宋体" w:hAnsi="宋体" w:cs="Arial"/>
          <w:bCs/>
          <w:sz w:val="21"/>
          <w:szCs w:val="21"/>
          <w:highlight w:val="none"/>
        </w:rPr>
        <w:t>线上提交与接收时间：</w:t>
      </w:r>
      <w:r>
        <w:rPr>
          <w:rFonts w:hint="eastAsia" w:ascii="宋体" w:hAnsi="宋体" w:cs="Arial"/>
          <w:bCs/>
          <w:sz w:val="21"/>
          <w:szCs w:val="21"/>
          <w:highlight w:val="none"/>
          <w:u w:val="single"/>
        </w:rPr>
        <w:t>提交投标文件截止时间</w:t>
      </w:r>
      <w:r>
        <w:rPr>
          <w:rFonts w:hint="eastAsia" w:ascii="宋体" w:hAnsi="宋体" w:cs="Arial"/>
          <w:bCs/>
          <w:sz w:val="21"/>
          <w:szCs w:val="21"/>
          <w:highlight w:val="yellow"/>
          <w:u w:val="single"/>
          <w:lang w:eastAsia="zh-CN"/>
        </w:rPr>
        <w:t>（2024年8月</w:t>
      </w:r>
      <w:r>
        <w:rPr>
          <w:rFonts w:hint="eastAsia" w:ascii="宋体" w:hAnsi="宋体" w:cs="Arial"/>
          <w:bCs/>
          <w:sz w:val="21"/>
          <w:szCs w:val="21"/>
          <w:highlight w:val="yellow"/>
          <w:u w:val="single"/>
          <w:lang w:val="en-US" w:eastAsia="zh-CN"/>
        </w:rPr>
        <w:t>23</w:t>
      </w:r>
      <w:r>
        <w:rPr>
          <w:rFonts w:hint="eastAsia" w:ascii="宋体" w:hAnsi="宋体" w:cs="Arial"/>
          <w:bCs/>
          <w:sz w:val="21"/>
          <w:szCs w:val="21"/>
          <w:highlight w:val="yellow"/>
          <w:u w:val="single"/>
          <w:lang w:eastAsia="zh-CN"/>
        </w:rPr>
        <w:t>日</w:t>
      </w:r>
      <w:r>
        <w:rPr>
          <w:rFonts w:hint="eastAsia" w:ascii="宋体" w:hAnsi="宋体" w:cs="Arial"/>
          <w:bCs/>
          <w:sz w:val="21"/>
          <w:szCs w:val="21"/>
          <w:highlight w:val="yellow"/>
          <w:u w:val="single"/>
          <w:lang w:val="en-US" w:eastAsia="zh-CN"/>
        </w:rPr>
        <w:t>10</w:t>
      </w:r>
      <w:r>
        <w:rPr>
          <w:rFonts w:hint="eastAsia" w:ascii="宋体" w:hAnsi="宋体" w:cs="Arial"/>
          <w:bCs/>
          <w:sz w:val="21"/>
          <w:szCs w:val="21"/>
          <w:highlight w:val="yellow"/>
          <w:u w:val="single"/>
          <w:lang w:eastAsia="zh-CN"/>
        </w:rPr>
        <w:t>：00时）</w:t>
      </w:r>
    </w:p>
    <w:p w14:paraId="79E8909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12.2</w:t>
      </w:r>
      <w:r>
        <w:rPr>
          <w:rFonts w:hint="eastAsia" w:ascii="宋体" w:hAnsi="宋体" w:cs="Arial"/>
          <w:bCs/>
          <w:sz w:val="21"/>
          <w:szCs w:val="21"/>
          <w:highlight w:val="none"/>
        </w:rPr>
        <w:t>投标文件提交与接收地点：</w:t>
      </w:r>
    </w:p>
    <w:p w14:paraId="2AEF7F7F">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线上提交与接收地点：</w:t>
      </w:r>
      <w:r>
        <w:rPr>
          <w:rFonts w:hint="eastAsia" w:ascii="宋体" w:hAnsi="宋体" w:cs="Arial"/>
          <w:b/>
          <w:bCs/>
          <w:sz w:val="21"/>
          <w:szCs w:val="21"/>
          <w:highlight w:val="none"/>
          <w:u w:val="single"/>
        </w:rPr>
        <w:t>投标人应当通过“苏采云”系统提交数据电文形式的投标文件（即电子投标），“苏采云”系统自动接收</w:t>
      </w:r>
      <w:r>
        <w:rPr>
          <w:rFonts w:hint="eastAsia" w:ascii="宋体" w:hAnsi="宋体" w:cs="Arial"/>
          <w:bCs/>
          <w:sz w:val="21"/>
          <w:szCs w:val="21"/>
          <w:highlight w:val="none"/>
        </w:rPr>
        <w:t>。</w:t>
      </w:r>
    </w:p>
    <w:p w14:paraId="677E282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说明：</w:t>
      </w:r>
      <w:r>
        <w:rPr>
          <w:rFonts w:hint="eastAsia" w:ascii="宋体" w:hAnsi="宋体" w:cs="Arial"/>
          <w:b/>
          <w:bCs/>
          <w:spacing w:val="-2"/>
          <w:sz w:val="21"/>
          <w:szCs w:val="21"/>
          <w:highlight w:val="none"/>
          <w:u w:val="single"/>
        </w:rPr>
        <w:t>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Arial"/>
          <w:bCs/>
          <w:sz w:val="21"/>
          <w:szCs w:val="21"/>
          <w:highlight w:val="none"/>
        </w:rPr>
        <w:t>。</w:t>
      </w:r>
    </w:p>
    <w:p w14:paraId="6EACBCC1">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投标人应充分考虑到网络环境、网络带宽等风险因素，如因投标人自身原因造成的电子投标文件上传不成功的按照本招标文件规定做无效投标处理。</w:t>
      </w:r>
    </w:p>
    <w:p w14:paraId="084B82E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13．投标文件的撤回与修改</w:t>
      </w:r>
    </w:p>
    <w:p w14:paraId="2687D6F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13.1投标文件的撤回</w:t>
      </w:r>
    </w:p>
    <w:p w14:paraId="5E88941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13.1.1电子投标文件的撤回</w:t>
      </w:r>
    </w:p>
    <w:p w14:paraId="6090F5F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投标人可在投标截止时间前，撤回其电子投标文件，具体操作方法见《江苏省政府采购（供应商）意源CA数字证书及电子签章办理指南》；</w:t>
      </w:r>
    </w:p>
    <w:p w14:paraId="3C2397E1">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13.1.2投标人撤回电子投标文件，则认为其不再参与本项目投标活动。</w:t>
      </w:r>
    </w:p>
    <w:p w14:paraId="520DEAD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13.2 投标文件的修改</w:t>
      </w:r>
      <w:r>
        <w:rPr>
          <w:rFonts w:hint="eastAsia" w:ascii="宋体" w:hAnsi="宋体" w:cs="Arial"/>
          <w:bCs/>
          <w:sz w:val="21"/>
          <w:szCs w:val="21"/>
          <w:highlight w:val="none"/>
        </w:rPr>
        <w:t>，投标人可在投标截止时间前，对其电子投标文件进行修改，具体操作方法见《江苏省政府采购（供应商）意源CA数字证书及电子签章办理指南》；</w:t>
      </w:r>
    </w:p>
    <w:p w14:paraId="542EC7B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13.3 在投标截止时间之后，投标人不得对其电子投标文件作任何修改</w:t>
      </w:r>
      <w:r>
        <w:rPr>
          <w:rFonts w:hint="eastAsia" w:ascii="宋体" w:hAnsi="宋体" w:cs="Arial"/>
          <w:bCs/>
          <w:sz w:val="21"/>
          <w:szCs w:val="21"/>
          <w:highlight w:val="none"/>
        </w:rPr>
        <w:t>；</w:t>
      </w:r>
    </w:p>
    <w:p w14:paraId="4A19489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13.4 在投标截止时间至招标文件中规定的投标有效期满之间的这段时间内，投标人不得撤回其投标。</w:t>
      </w:r>
    </w:p>
    <w:p w14:paraId="5E923E9B">
      <w:pPr>
        <w:keepNext w:val="0"/>
        <w:keepLines w:val="0"/>
        <w:pageBreakBefore w:val="0"/>
        <w:kinsoku/>
        <w:wordWrap/>
        <w:overflowPunct/>
        <w:topLinePunct w:val="0"/>
        <w:autoSpaceDE/>
        <w:autoSpaceDN/>
        <w:bidi w:val="0"/>
        <w:adjustRightInd w:val="0"/>
        <w:snapToGrid w:val="0"/>
        <w:spacing w:line="500" w:lineRule="exact"/>
        <w:ind w:left="238"/>
        <w:jc w:val="center"/>
        <w:textAlignment w:val="auto"/>
        <w:outlineLvl w:val="1"/>
        <w:rPr>
          <w:rFonts w:ascii="宋体" w:hAnsi="宋体"/>
          <w:b/>
          <w:sz w:val="21"/>
          <w:szCs w:val="21"/>
          <w:highlight w:val="none"/>
        </w:rPr>
      </w:pPr>
      <w:bookmarkStart w:id="18" w:name="_Toc26228"/>
      <w:bookmarkStart w:id="19" w:name="_Toc12620"/>
      <w:r>
        <w:rPr>
          <w:rFonts w:hint="eastAsia" w:ascii="宋体" w:hAnsi="宋体"/>
          <w:b/>
          <w:sz w:val="21"/>
          <w:szCs w:val="21"/>
          <w:highlight w:val="none"/>
        </w:rPr>
        <w:t>五、开标及资格审查</w:t>
      </w:r>
      <w:bookmarkEnd w:id="18"/>
      <w:bookmarkEnd w:id="19"/>
    </w:p>
    <w:p w14:paraId="0B918D2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4．开标、唱标、资格审查</w:t>
      </w:r>
    </w:p>
    <w:p w14:paraId="1307ED7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 xml:space="preserve">14.1 </w:t>
      </w:r>
      <w:r>
        <w:rPr>
          <w:rFonts w:hint="eastAsia" w:ascii="宋体" w:hAnsi="宋体" w:cs="Arial"/>
          <w:bCs/>
          <w:sz w:val="21"/>
          <w:szCs w:val="21"/>
          <w:highlight w:val="none"/>
        </w:rPr>
        <w:t>线上开标时，“苏采云”系统自动提取所有投标文件，投标人按招标文件规定方式按时在线解密。本项目招标文件规定的投标人按时在线解密方式：通过“苏采云”系统（使用“CA数字证书”）解密；</w:t>
      </w:r>
    </w:p>
    <w:p w14:paraId="51BC3FC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4.2</w:t>
      </w:r>
      <w:r>
        <w:rPr>
          <w:rFonts w:hint="eastAsia" w:ascii="宋体" w:hAnsi="宋体" w:cs="Arial"/>
          <w:bCs/>
          <w:sz w:val="21"/>
          <w:szCs w:val="21"/>
          <w:highlight w:val="none"/>
        </w:rPr>
        <w:t>所有投标人解密（或解密时间）结束后，“苏采云”系统生成开标记录并向社会公众公布，但依法应当保密的除外；</w:t>
      </w:r>
    </w:p>
    <w:p w14:paraId="013DACA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14.3开标时，《开标一览表》（报价表）内容与投标文件中相应内容不一致的，以《开标一览表》（报价表）为准</w:t>
      </w:r>
      <w:r>
        <w:rPr>
          <w:rFonts w:hint="eastAsia" w:ascii="宋体" w:hAnsi="宋体" w:cs="Arial"/>
          <w:bCs/>
          <w:sz w:val="21"/>
          <w:szCs w:val="21"/>
          <w:highlight w:val="none"/>
        </w:rPr>
        <w:t>；</w:t>
      </w:r>
    </w:p>
    <w:p w14:paraId="5CDE032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14.4 投标文件、《开标一览表》（报价表）中报价的大写金额与小写金额不一致的，以大写金额为准</w:t>
      </w:r>
      <w:r>
        <w:rPr>
          <w:rFonts w:hint="eastAsia" w:ascii="宋体" w:hAnsi="宋体" w:cs="Arial"/>
          <w:bCs/>
          <w:sz w:val="21"/>
          <w:szCs w:val="21"/>
          <w:highlight w:val="none"/>
        </w:rPr>
        <w:t>；</w:t>
      </w:r>
    </w:p>
    <w:p w14:paraId="4622488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14.5 单价金额小数点或者百分比有明显错位的，以《开标一览表》（报价表）的总价为准，并修改单价</w:t>
      </w:r>
      <w:r>
        <w:rPr>
          <w:rFonts w:hint="eastAsia" w:ascii="宋体" w:hAnsi="宋体" w:cs="Arial"/>
          <w:bCs/>
          <w:sz w:val="21"/>
          <w:szCs w:val="21"/>
          <w:highlight w:val="none"/>
        </w:rPr>
        <w:t>；</w:t>
      </w:r>
    </w:p>
    <w:p w14:paraId="45BBE155">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14.6 总价金额与按单价汇总金额不一致的，以单价金额计算结果为准；</w:t>
      </w:r>
    </w:p>
    <w:p w14:paraId="35F195E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14.7同时出现14.3-14.6中两种以上不一致的,按照14.3-14.6的顺序修正。修正后的报价由法定代表人/单位负责人或其授权的代表签字确认后产生约束力，投标人不确认的，投标无效</w:t>
      </w:r>
      <w:r>
        <w:rPr>
          <w:rFonts w:hint="eastAsia" w:ascii="宋体" w:hAnsi="宋体" w:cs="Arial"/>
          <w:bCs/>
          <w:sz w:val="21"/>
          <w:szCs w:val="21"/>
          <w:highlight w:val="none"/>
        </w:rPr>
        <w:t>；</w:t>
      </w:r>
    </w:p>
    <w:p w14:paraId="29DD81F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14.8 对不同文字文本投标文件的解释发生异议的，以中文文本为准</w:t>
      </w:r>
      <w:r>
        <w:rPr>
          <w:rFonts w:hint="eastAsia" w:ascii="宋体" w:hAnsi="宋体" w:cs="Arial"/>
          <w:bCs/>
          <w:sz w:val="21"/>
          <w:szCs w:val="21"/>
          <w:highlight w:val="none"/>
        </w:rPr>
        <w:t>；</w:t>
      </w:r>
    </w:p>
    <w:p w14:paraId="0EB3A60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14.9</w:t>
      </w:r>
      <w:r>
        <w:rPr>
          <w:rFonts w:ascii="宋体" w:hAnsi="宋体" w:cs="Arial"/>
          <w:b/>
          <w:bCs w:val="0"/>
          <w:sz w:val="21"/>
          <w:szCs w:val="21"/>
          <w:highlight w:val="none"/>
        </w:rPr>
        <w:t>资格审查：</w:t>
      </w:r>
      <w:r>
        <w:rPr>
          <w:rFonts w:ascii="宋体" w:hAnsi="宋体" w:cs="Arial"/>
          <w:bCs/>
          <w:sz w:val="21"/>
          <w:szCs w:val="21"/>
          <w:highlight w:val="none"/>
        </w:rPr>
        <w:t>开标结束后，依据法规政策和招标文件的规定，在对投标文件详细评估之前，采购人或采购代理机构将依据投标人提交的投标文件按招标公告第</w:t>
      </w:r>
      <w:r>
        <w:rPr>
          <w:rFonts w:hint="eastAsia" w:ascii="宋体" w:hAnsi="宋体" w:cs="Arial"/>
          <w:bCs/>
          <w:sz w:val="21"/>
          <w:szCs w:val="21"/>
          <w:highlight w:val="none"/>
        </w:rPr>
        <w:t>二</w:t>
      </w:r>
      <w:r>
        <w:rPr>
          <w:rFonts w:ascii="宋体" w:hAnsi="宋体" w:cs="Arial"/>
          <w:bCs/>
          <w:sz w:val="21"/>
          <w:szCs w:val="21"/>
          <w:highlight w:val="none"/>
        </w:rPr>
        <w:t>项所述的资格标准对投标人进行资格审查, 以确定其是否具备投标资格。如果投标人不具备投标资格、不满足招标文件所规定的资格标准或提供资格证明文件不全, 其投标将被作为无效投标，不得参与下一环节的评审。</w:t>
      </w:r>
    </w:p>
    <w:p w14:paraId="19CA5F83">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采购人及采购代理机构在进行资格性审查的同时，将在“信用中国”网站</w:t>
      </w:r>
    </w:p>
    <w:p w14:paraId="17166211">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6FE969B7">
      <w:pPr>
        <w:keepNext w:val="0"/>
        <w:keepLines w:val="0"/>
        <w:pageBreakBefore w:val="0"/>
        <w:kinsoku/>
        <w:wordWrap/>
        <w:overflowPunct/>
        <w:topLinePunct w:val="0"/>
        <w:autoSpaceDE/>
        <w:autoSpaceDN/>
        <w:bidi w:val="0"/>
        <w:adjustRightInd w:val="0"/>
        <w:snapToGrid w:val="0"/>
        <w:spacing w:line="500" w:lineRule="exact"/>
        <w:jc w:val="center"/>
        <w:textAlignment w:val="auto"/>
        <w:outlineLvl w:val="1"/>
        <w:rPr>
          <w:rFonts w:ascii="宋体" w:hAnsi="宋体"/>
          <w:b/>
          <w:sz w:val="21"/>
          <w:szCs w:val="21"/>
          <w:highlight w:val="none"/>
        </w:rPr>
      </w:pPr>
      <w:bookmarkStart w:id="20" w:name="_Toc11875"/>
      <w:bookmarkStart w:id="21" w:name="_Toc18097"/>
      <w:r>
        <w:rPr>
          <w:rFonts w:hint="eastAsia" w:ascii="宋体" w:hAnsi="宋体"/>
          <w:b/>
          <w:sz w:val="21"/>
          <w:szCs w:val="21"/>
          <w:highlight w:val="none"/>
        </w:rPr>
        <w:t>六、评  标</w:t>
      </w:r>
      <w:bookmarkEnd w:id="20"/>
      <w:bookmarkEnd w:id="21"/>
    </w:p>
    <w:p w14:paraId="2EB112B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ascii="宋体" w:hAnsi="宋体" w:cs="Arial"/>
          <w:b/>
          <w:bCs w:val="0"/>
          <w:sz w:val="21"/>
          <w:szCs w:val="21"/>
          <w:highlight w:val="none"/>
        </w:rPr>
        <w:t>15．组建评标委员会</w:t>
      </w:r>
    </w:p>
    <w:p w14:paraId="2BF77E00">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采购单位根据项目的特点依法组建评标委员会。评标委员会由采购人代表和有关评审专家组成。开标后由评标委员会对投标文件进行审查、质疑、评估和比较。评标委员会完成评标后，应当向采购人提出书面评标报告，推荐1名合格的中标候选人。</w:t>
      </w:r>
    </w:p>
    <w:p w14:paraId="069C6F5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ascii="宋体" w:hAnsi="宋体" w:cs="Arial"/>
          <w:b/>
          <w:bCs w:val="0"/>
          <w:sz w:val="21"/>
          <w:szCs w:val="21"/>
          <w:highlight w:val="none"/>
        </w:rPr>
        <w:t>16</w:t>
      </w:r>
      <w:r>
        <w:rPr>
          <w:rFonts w:hint="eastAsia" w:ascii="宋体" w:hAnsi="宋体" w:cs="Arial"/>
          <w:b/>
          <w:bCs w:val="0"/>
          <w:sz w:val="21"/>
          <w:szCs w:val="21"/>
          <w:highlight w:val="none"/>
        </w:rPr>
        <w:t>.</w:t>
      </w:r>
      <w:r>
        <w:rPr>
          <w:rFonts w:ascii="宋体" w:hAnsi="宋体" w:cs="Arial"/>
          <w:b/>
          <w:bCs w:val="0"/>
          <w:sz w:val="21"/>
          <w:szCs w:val="21"/>
          <w:highlight w:val="none"/>
        </w:rPr>
        <w:t>投标文件的审查</w:t>
      </w:r>
    </w:p>
    <w:p w14:paraId="0BAC217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16.1对所有投标人的评估，都采用相同的程序和标准。评标过程将严格按照招标文件的要求和条件进行</w:t>
      </w:r>
      <w:r>
        <w:rPr>
          <w:rFonts w:hint="eastAsia" w:ascii="宋体" w:hAnsi="宋体" w:cs="Arial"/>
          <w:bCs/>
          <w:sz w:val="21"/>
          <w:szCs w:val="21"/>
          <w:highlight w:val="none"/>
        </w:rPr>
        <w:t>；</w:t>
      </w:r>
    </w:p>
    <w:p w14:paraId="311A2030">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16.2评标委员会将对投标文件进行检查，以确定投标文件是否完整、有无计算上的错误、文件是否已正确签署等</w:t>
      </w:r>
      <w:r>
        <w:rPr>
          <w:rFonts w:hint="eastAsia" w:ascii="宋体" w:hAnsi="宋体" w:cs="Arial"/>
          <w:bCs/>
          <w:sz w:val="21"/>
          <w:szCs w:val="21"/>
          <w:highlight w:val="none"/>
        </w:rPr>
        <w:t>；</w:t>
      </w:r>
    </w:p>
    <w:p w14:paraId="0E73DF45">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ascii="宋体" w:hAnsi="宋体" w:cs="Arial"/>
          <w:b/>
          <w:bCs w:val="0"/>
          <w:sz w:val="21"/>
          <w:szCs w:val="21"/>
          <w:highlight w:val="none"/>
        </w:rPr>
        <w:t>16.3评标委员会将对确定为实质性响应的投标文件进行进一步评审，看其是否有计算上或累加上的算术错误，修正错误的原则如下：</w:t>
      </w:r>
    </w:p>
    <w:p w14:paraId="742451A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16.3.1如果用数字表示的金额和用文字表示的金额不一致时，应以文字表示的金额为准进行修正；</w:t>
      </w:r>
    </w:p>
    <w:p w14:paraId="1A7E608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16.3.2当单价与数量的乘积和总价不一致时，以单价为准进行修正。只有在评委会认为单价有明显的小数点错误时，才能以标出的总价为准，并修改单价；</w:t>
      </w:r>
    </w:p>
    <w:p w14:paraId="2DE3B17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16.3.3评标委员会将按上述修正错误的方法调整投标文件中的投标价，调整后的价格应对投标人具有约束力。如果投标人不接受修正后的价格，则其投标将被拒绝；</w:t>
      </w:r>
    </w:p>
    <w:p w14:paraId="3BEE563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16.3.4评委会将允许修正投标文件中不构成重大偏离的、微小的、非正规的、不一致的或不规则的地方，但这些修改不能影响任何投标人相应的名次排列。</w:t>
      </w:r>
    </w:p>
    <w:p w14:paraId="26F6E66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ascii="宋体" w:hAnsi="宋体" w:cs="Arial"/>
          <w:b/>
          <w:bCs w:val="0"/>
          <w:sz w:val="21"/>
          <w:szCs w:val="21"/>
          <w:highlight w:val="none"/>
        </w:rPr>
        <w:t>16.4符合性检查</w:t>
      </w:r>
    </w:p>
    <w:p w14:paraId="413C33C3">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p>
    <w:p w14:paraId="19F8856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投标人未按照招标文件要求上传电子投标文件的；</w:t>
      </w:r>
    </w:p>
    <w:p w14:paraId="2E52CD4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w:t>
      </w:r>
      <w:r>
        <w:rPr>
          <w:rFonts w:ascii="宋体" w:hAnsi="宋体" w:cs="Arial"/>
          <w:bCs/>
          <w:sz w:val="21"/>
          <w:szCs w:val="21"/>
          <w:highlight w:val="none"/>
        </w:rPr>
        <w:t>投标人未在规定解密时间内进行解密；</w:t>
      </w:r>
    </w:p>
    <w:p w14:paraId="059EF40F">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（3）</w:t>
      </w:r>
      <w:r>
        <w:rPr>
          <w:rFonts w:ascii="宋体" w:hAnsi="宋体" w:cs="Arial"/>
          <w:bCs/>
          <w:sz w:val="21"/>
          <w:szCs w:val="21"/>
          <w:highlight w:val="none"/>
        </w:rPr>
        <w:t>投标人在报价时采用选择性报价；</w:t>
      </w:r>
    </w:p>
    <w:p w14:paraId="09CDD281">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（4）</w:t>
      </w:r>
      <w:r>
        <w:rPr>
          <w:rFonts w:ascii="宋体" w:hAnsi="宋体" w:cs="Arial"/>
          <w:bCs/>
          <w:sz w:val="21"/>
          <w:szCs w:val="21"/>
          <w:highlight w:val="none"/>
        </w:rPr>
        <w:t>投标人不具备招标文件中规定资格要求的；</w:t>
      </w:r>
    </w:p>
    <w:p w14:paraId="001F308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（5）</w:t>
      </w:r>
      <w:r>
        <w:rPr>
          <w:rFonts w:ascii="宋体" w:hAnsi="宋体" w:cs="Arial"/>
          <w:bCs/>
          <w:sz w:val="21"/>
          <w:szCs w:val="21"/>
          <w:highlight w:val="none"/>
        </w:rPr>
        <w:t>投标人的报价超过了采购预算或最高限价的；</w:t>
      </w:r>
    </w:p>
    <w:p w14:paraId="13ABC63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w:t>
      </w:r>
      <w:r>
        <w:rPr>
          <w:rFonts w:ascii="宋体" w:hAnsi="宋体" w:cs="Arial"/>
          <w:bCs/>
          <w:sz w:val="21"/>
          <w:szCs w:val="21"/>
          <w:highlight w:val="none"/>
        </w:rPr>
        <w:t>未通过符合性检查的；</w:t>
      </w:r>
    </w:p>
    <w:p w14:paraId="2776268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（7）</w:t>
      </w:r>
      <w:r>
        <w:rPr>
          <w:rFonts w:ascii="宋体" w:hAnsi="宋体" w:cs="Arial"/>
          <w:bCs/>
          <w:sz w:val="21"/>
          <w:szCs w:val="21"/>
          <w:highlight w:val="none"/>
        </w:rPr>
        <w:t>不符合招标文件中规定的其他实质性要求和条件的；</w:t>
      </w:r>
    </w:p>
    <w:p w14:paraId="30AE474F">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w:t>
      </w:r>
      <w:r>
        <w:rPr>
          <w:rFonts w:ascii="宋体" w:hAnsi="宋体" w:cs="Arial"/>
          <w:bCs/>
          <w:sz w:val="21"/>
          <w:szCs w:val="21"/>
          <w:highlight w:val="none"/>
        </w:rPr>
        <w:t>8</w:t>
      </w:r>
      <w:r>
        <w:rPr>
          <w:rFonts w:hint="eastAsia" w:ascii="宋体" w:hAnsi="宋体" w:cs="Arial"/>
          <w:bCs/>
          <w:sz w:val="21"/>
          <w:szCs w:val="21"/>
          <w:highlight w:val="none"/>
        </w:rPr>
        <w:t>）</w:t>
      </w:r>
      <w:r>
        <w:rPr>
          <w:rFonts w:ascii="宋体" w:hAnsi="宋体" w:cs="Arial"/>
          <w:bCs/>
          <w:sz w:val="21"/>
          <w:szCs w:val="21"/>
          <w:highlight w:val="none"/>
        </w:rPr>
        <w:t>投标人串通投标；</w:t>
      </w:r>
    </w:p>
    <w:p w14:paraId="7AD0012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（9）</w:t>
      </w:r>
      <w:r>
        <w:rPr>
          <w:rFonts w:ascii="宋体" w:hAnsi="宋体" w:cs="Arial"/>
          <w:bCs/>
          <w:sz w:val="21"/>
          <w:szCs w:val="21"/>
          <w:highlight w:val="none"/>
        </w:rPr>
        <w:t>投标文件含有采购人不能接受的附加条件的。</w:t>
      </w:r>
    </w:p>
    <w:p w14:paraId="7F3E0183">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0</w:t>
      </w:r>
      <w:r>
        <w:rPr>
          <w:rFonts w:hint="eastAsia" w:ascii="宋体" w:hAnsi="宋体" w:cs="Arial"/>
          <w:bCs/>
          <w:sz w:val="21"/>
          <w:szCs w:val="21"/>
          <w:highlight w:val="none"/>
        </w:rPr>
        <w:t>）</w:t>
      </w:r>
      <w:r>
        <w:rPr>
          <w:rFonts w:ascii="宋体" w:hAnsi="宋体" w:cs="Arial"/>
          <w:bCs/>
          <w:sz w:val="21"/>
          <w:szCs w:val="21"/>
          <w:highlight w:val="none"/>
        </w:rPr>
        <w:t>不符合招标文件中规定的其它实质性条款以及法律法规规定的其他情形（如低于当地最低工资标准）</w:t>
      </w:r>
    </w:p>
    <w:p w14:paraId="397818A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1</w:t>
      </w:r>
      <w:r>
        <w:rPr>
          <w:rFonts w:hint="eastAsia" w:ascii="宋体" w:hAnsi="宋体" w:cs="Arial"/>
          <w:bCs/>
          <w:sz w:val="21"/>
          <w:szCs w:val="21"/>
          <w:highlight w:val="none"/>
        </w:rPr>
        <w:t>）</w:t>
      </w:r>
      <w:r>
        <w:rPr>
          <w:rFonts w:ascii="宋体" w:hAnsi="宋体" w:cs="Arial"/>
          <w:bCs/>
          <w:sz w:val="21"/>
          <w:szCs w:val="21"/>
          <w:highlight w:val="none"/>
        </w:rPr>
        <w:t>被“信用中国”网站（www.creditchina.gov.cn）列入失信被执行人、重大税收违法案件当事人名单、政府采购严重失信行为记录名单</w:t>
      </w:r>
    </w:p>
    <w:p w14:paraId="0C90CFD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2</w:t>
      </w:r>
      <w:r>
        <w:rPr>
          <w:rFonts w:hint="eastAsia" w:ascii="宋体" w:hAnsi="宋体" w:cs="Arial"/>
          <w:bCs/>
          <w:sz w:val="21"/>
          <w:szCs w:val="21"/>
          <w:highlight w:val="none"/>
        </w:rPr>
        <w:t>）</w:t>
      </w:r>
      <w:r>
        <w:rPr>
          <w:rFonts w:ascii="宋体" w:hAnsi="宋体" w:cs="Arial"/>
          <w:bCs/>
          <w:sz w:val="21"/>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D38DB1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3</w:t>
      </w:r>
      <w:r>
        <w:rPr>
          <w:rFonts w:hint="eastAsia" w:ascii="宋体" w:hAnsi="宋体" w:cs="Arial"/>
          <w:bCs/>
          <w:sz w:val="21"/>
          <w:szCs w:val="21"/>
          <w:highlight w:val="none"/>
        </w:rPr>
        <w:t>）</w:t>
      </w:r>
      <w:r>
        <w:rPr>
          <w:rFonts w:ascii="宋体" w:hAnsi="宋体" w:cs="Arial"/>
          <w:bCs/>
          <w:sz w:val="21"/>
          <w:szCs w:val="21"/>
          <w:highlight w:val="none"/>
        </w:rPr>
        <w:t>投标文件未按照招标文件要求加盖电子签章。</w:t>
      </w:r>
    </w:p>
    <w:p w14:paraId="182F0F2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w:t>
      </w:r>
      <w:r>
        <w:rPr>
          <w:rFonts w:ascii="宋体" w:hAnsi="宋体" w:cs="Arial"/>
          <w:bCs/>
          <w:sz w:val="21"/>
          <w:szCs w:val="21"/>
          <w:highlight w:val="none"/>
        </w:rPr>
        <w:t>4</w:t>
      </w:r>
      <w:r>
        <w:rPr>
          <w:rFonts w:hint="eastAsia" w:ascii="宋体" w:hAnsi="宋体" w:cs="Arial"/>
          <w:bCs/>
          <w:sz w:val="21"/>
          <w:szCs w:val="21"/>
          <w:highlight w:val="none"/>
        </w:rPr>
        <w:t>）</w:t>
      </w:r>
      <w:r>
        <w:rPr>
          <w:rFonts w:ascii="宋体" w:hAnsi="宋体" w:cs="Arial"/>
          <w:bCs/>
          <w:sz w:val="21"/>
          <w:szCs w:val="21"/>
          <w:highlight w:val="none"/>
        </w:rPr>
        <w:t>其他法律、法规及本招标文件规定的属无效投标的情形。</w:t>
      </w:r>
    </w:p>
    <w:p w14:paraId="5DE3CB9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评标委员会决定投标响应性只根据投标文件本身的内容，而不寻求其他的外部证据。</w:t>
      </w:r>
    </w:p>
    <w:p w14:paraId="7B29CD11">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16.5在评审过程中，评标委员会发现投标人有下列情形之一的，可以认定属于串标、围标的行为。具体表现形式如下：</w:t>
      </w:r>
    </w:p>
    <w:p w14:paraId="140B5B91">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16.5.1不同投标人的投标文件异常一致或者投标报价呈规律性差异的</w:t>
      </w:r>
      <w:r>
        <w:rPr>
          <w:rFonts w:hint="eastAsia" w:ascii="宋体" w:hAnsi="宋体" w:cs="Arial"/>
          <w:bCs/>
          <w:sz w:val="21"/>
          <w:szCs w:val="21"/>
          <w:highlight w:val="none"/>
        </w:rPr>
        <w:t>；</w:t>
      </w:r>
    </w:p>
    <w:p w14:paraId="0563727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16.5.2不同投标人的投标文件由同一单位或个人编制的</w:t>
      </w:r>
      <w:r>
        <w:rPr>
          <w:rFonts w:hint="eastAsia" w:ascii="宋体" w:hAnsi="宋体" w:cs="Arial"/>
          <w:bCs/>
          <w:sz w:val="21"/>
          <w:szCs w:val="21"/>
          <w:highlight w:val="none"/>
        </w:rPr>
        <w:t>；</w:t>
      </w:r>
    </w:p>
    <w:p w14:paraId="05A346E3">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16.5.3不同投标人的投标文件载明的项目管理成员为同一人的</w:t>
      </w:r>
      <w:r>
        <w:rPr>
          <w:rFonts w:hint="eastAsia" w:ascii="宋体" w:hAnsi="宋体" w:cs="Arial"/>
          <w:bCs/>
          <w:sz w:val="21"/>
          <w:szCs w:val="21"/>
          <w:highlight w:val="none"/>
        </w:rPr>
        <w:t>；</w:t>
      </w:r>
    </w:p>
    <w:p w14:paraId="10AC40C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16.5.4不同投标人的投标文件相互混装的</w:t>
      </w:r>
      <w:r>
        <w:rPr>
          <w:rFonts w:hint="eastAsia" w:ascii="宋体" w:hAnsi="宋体" w:cs="Arial"/>
          <w:bCs/>
          <w:sz w:val="21"/>
          <w:szCs w:val="21"/>
          <w:highlight w:val="none"/>
        </w:rPr>
        <w:t>；</w:t>
      </w:r>
    </w:p>
    <w:p w14:paraId="7C5E535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16.5.5不同投标人授权同一人作为投标人代表的</w:t>
      </w:r>
      <w:r>
        <w:rPr>
          <w:rFonts w:hint="eastAsia" w:ascii="宋体" w:hAnsi="宋体" w:cs="Arial"/>
          <w:bCs/>
          <w:sz w:val="21"/>
          <w:szCs w:val="21"/>
          <w:highlight w:val="none"/>
        </w:rPr>
        <w:t>；</w:t>
      </w:r>
    </w:p>
    <w:p w14:paraId="4BF72E6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16.5.6不同投标人的投标保证金从同一单位或者个人的账户转出的</w:t>
      </w:r>
      <w:r>
        <w:rPr>
          <w:rFonts w:hint="eastAsia" w:ascii="宋体" w:hAnsi="宋体" w:cs="Arial"/>
          <w:bCs/>
          <w:sz w:val="21"/>
          <w:szCs w:val="21"/>
          <w:highlight w:val="none"/>
        </w:rPr>
        <w:t>；</w:t>
      </w:r>
    </w:p>
    <w:p w14:paraId="1F736B9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16.5.7</w:t>
      </w:r>
      <w:r>
        <w:rPr>
          <w:rFonts w:ascii="宋体" w:hAnsi="宋体" w:cs="Arial"/>
          <w:bCs/>
          <w:spacing w:val="-4"/>
          <w:sz w:val="21"/>
          <w:szCs w:val="21"/>
          <w:highlight w:val="none"/>
        </w:rPr>
        <w:t>有证据证明投标人与采购单位、采购代理机构或其他投标人串通的其他情形的</w:t>
      </w:r>
      <w:r>
        <w:rPr>
          <w:rFonts w:hint="eastAsia" w:ascii="宋体" w:hAnsi="宋体" w:cs="Arial"/>
          <w:bCs/>
          <w:sz w:val="21"/>
          <w:szCs w:val="21"/>
          <w:highlight w:val="none"/>
        </w:rPr>
        <w:t>；</w:t>
      </w:r>
    </w:p>
    <w:p w14:paraId="5E9415B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16.5.8评标委员会认定的其他串标、围标情形</w:t>
      </w:r>
      <w:r>
        <w:rPr>
          <w:rFonts w:hint="eastAsia" w:ascii="宋体" w:hAnsi="宋体" w:cs="Arial"/>
          <w:bCs/>
          <w:sz w:val="21"/>
          <w:szCs w:val="21"/>
          <w:highlight w:val="none"/>
        </w:rPr>
        <w:t>。</w:t>
      </w:r>
    </w:p>
    <w:p w14:paraId="3DF204A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16.6有下列情形之一的予以废标，同时将废标理由通知所有服务单位：</w:t>
      </w:r>
    </w:p>
    <w:p w14:paraId="3F4481A5">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w:t>
      </w:r>
      <w:r>
        <w:rPr>
          <w:rFonts w:ascii="宋体" w:hAnsi="宋体" w:cs="Arial"/>
          <w:bCs/>
          <w:spacing w:val="-4"/>
          <w:sz w:val="21"/>
          <w:szCs w:val="21"/>
          <w:highlight w:val="none"/>
        </w:rPr>
        <w:t>符合专业条件的服务单位或者对招标文件作实质性响应的服务单位不足三家的</w:t>
      </w:r>
      <w:r>
        <w:rPr>
          <w:rFonts w:ascii="宋体" w:hAnsi="宋体" w:cs="Arial"/>
          <w:bCs/>
          <w:sz w:val="21"/>
          <w:szCs w:val="21"/>
          <w:highlight w:val="none"/>
        </w:rPr>
        <w:t>；</w:t>
      </w:r>
    </w:p>
    <w:p w14:paraId="06612DF3">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（2）出现影响采购公正的违法、违规行为的；</w:t>
      </w:r>
    </w:p>
    <w:p w14:paraId="1240863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（3）服务单位的报价均超过了采购预算或最高限价的，采购人不能支付的；</w:t>
      </w:r>
    </w:p>
    <w:p w14:paraId="0AE71C1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（4）因重大变故，采购任务取消的；</w:t>
      </w:r>
    </w:p>
    <w:p w14:paraId="7F0EF713">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（5）投标文件存在歧义、重大缺陷，或者招标文件内容违反国家有关强制性规定的。</w:t>
      </w:r>
    </w:p>
    <w:p w14:paraId="5714E73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lang w:val="en-US" w:eastAsia="zh-CN"/>
        </w:rPr>
      </w:pPr>
      <w:r>
        <w:rPr>
          <w:rFonts w:hint="eastAsia" w:ascii="宋体" w:hAnsi="宋体" w:cs="Arial"/>
          <w:bCs/>
          <w:sz w:val="21"/>
          <w:szCs w:val="21"/>
          <w:highlight w:val="none"/>
          <w:lang w:eastAsia="zh-CN"/>
        </w:rPr>
        <w:t>（</w:t>
      </w:r>
      <w:r>
        <w:rPr>
          <w:rFonts w:hint="eastAsia" w:ascii="宋体" w:hAnsi="宋体" w:cs="Arial"/>
          <w:bCs/>
          <w:sz w:val="21"/>
          <w:szCs w:val="21"/>
          <w:highlight w:val="none"/>
          <w:lang w:val="en-US" w:eastAsia="zh-CN"/>
        </w:rPr>
        <w:t>6</w:t>
      </w:r>
      <w:r>
        <w:rPr>
          <w:rFonts w:hint="eastAsia" w:ascii="宋体" w:hAnsi="宋体" w:cs="Arial"/>
          <w:bCs/>
          <w:sz w:val="21"/>
          <w:szCs w:val="21"/>
          <w:highlight w:val="none"/>
          <w:lang w:eastAsia="zh-CN"/>
        </w:rPr>
        <w:t>）</w:t>
      </w:r>
      <w:r>
        <w:rPr>
          <w:rFonts w:hint="eastAsia" w:ascii="宋体" w:hAnsi="宋体" w:cs="Arial"/>
          <w:bCs/>
          <w:sz w:val="21"/>
          <w:szCs w:val="21"/>
          <w:highlight w:val="none"/>
          <w:lang w:val="en-US" w:eastAsia="zh-CN"/>
        </w:rPr>
        <w:t>因系统故障原因造成开标不成功的。</w:t>
      </w:r>
    </w:p>
    <w:p w14:paraId="10FEBD2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ascii="宋体" w:hAnsi="宋体" w:cs="Arial"/>
          <w:b/>
          <w:bCs w:val="0"/>
          <w:sz w:val="21"/>
          <w:szCs w:val="21"/>
          <w:highlight w:val="none"/>
        </w:rPr>
        <w:t>17</w:t>
      </w:r>
      <w:r>
        <w:rPr>
          <w:rFonts w:hint="eastAsia" w:ascii="宋体" w:hAnsi="宋体" w:cs="Arial"/>
          <w:b/>
          <w:bCs w:val="0"/>
          <w:sz w:val="21"/>
          <w:szCs w:val="21"/>
          <w:highlight w:val="none"/>
        </w:rPr>
        <w:t xml:space="preserve">. </w:t>
      </w:r>
      <w:r>
        <w:rPr>
          <w:rFonts w:ascii="宋体" w:hAnsi="宋体" w:cs="Arial"/>
          <w:b/>
          <w:bCs w:val="0"/>
          <w:sz w:val="21"/>
          <w:szCs w:val="21"/>
          <w:highlight w:val="none"/>
        </w:rPr>
        <w:t>比较与评价</w:t>
      </w:r>
    </w:p>
    <w:p w14:paraId="2497329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17.1评标委员会将按本招标文件规定的评标方法与标准，对资格性检查和符合性检查合格的投标文件进行商务和技术评估，综合比较与评价</w:t>
      </w:r>
      <w:r>
        <w:rPr>
          <w:rFonts w:hint="eastAsia" w:ascii="宋体" w:hAnsi="宋体" w:cs="Arial"/>
          <w:bCs/>
          <w:sz w:val="21"/>
          <w:szCs w:val="21"/>
          <w:highlight w:val="none"/>
        </w:rPr>
        <w:t>；</w:t>
      </w:r>
    </w:p>
    <w:p w14:paraId="51E629E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17.2对漏（缺）报项的处理：招标文件中要求列入报价的费用（含配置、功能），漏（缺）报的视同已含在投标总价中。对多报项及赠送项的价格评标时不予核减，全部进入评标评议。</w:t>
      </w:r>
    </w:p>
    <w:p w14:paraId="2B386FC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ascii="宋体" w:hAnsi="宋体" w:cs="Arial"/>
          <w:b/>
          <w:bCs w:val="0"/>
          <w:sz w:val="21"/>
          <w:szCs w:val="21"/>
          <w:highlight w:val="none"/>
        </w:rPr>
        <w:t>18．评标过程及保密原则</w:t>
      </w:r>
    </w:p>
    <w:p w14:paraId="3DA7DFD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18.1凡与本次招标有关人员对属于审查、澄清、评价和比较投标的有关资料以及定标意向等，均不得向投标人或其他人员透露。否则,将按有关规定追究相关人员的责任</w:t>
      </w:r>
      <w:r>
        <w:rPr>
          <w:rFonts w:hint="eastAsia" w:ascii="宋体" w:hAnsi="宋体" w:cs="Arial"/>
          <w:bCs/>
          <w:sz w:val="21"/>
          <w:szCs w:val="21"/>
          <w:highlight w:val="none"/>
        </w:rPr>
        <w:t>；</w:t>
      </w:r>
    </w:p>
    <w:p w14:paraId="226DCD4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18.2在评标期间，投标人试图影响或干预评审的任何行为，将导致其投标被作为无效投标，并承担相应的法律责任</w:t>
      </w:r>
      <w:r>
        <w:rPr>
          <w:rFonts w:hint="eastAsia" w:ascii="宋体" w:hAnsi="宋体" w:cs="Arial"/>
          <w:bCs/>
          <w:sz w:val="21"/>
          <w:szCs w:val="21"/>
          <w:highlight w:val="none"/>
        </w:rPr>
        <w:t>。</w:t>
      </w:r>
    </w:p>
    <w:p w14:paraId="017D4799">
      <w:pPr>
        <w:keepNext w:val="0"/>
        <w:keepLines w:val="0"/>
        <w:pageBreakBefore w:val="0"/>
        <w:kinsoku/>
        <w:wordWrap/>
        <w:overflowPunct/>
        <w:topLinePunct w:val="0"/>
        <w:autoSpaceDE/>
        <w:autoSpaceDN/>
        <w:bidi w:val="0"/>
        <w:adjustRightInd w:val="0"/>
        <w:snapToGrid w:val="0"/>
        <w:spacing w:line="500" w:lineRule="exact"/>
        <w:jc w:val="center"/>
        <w:textAlignment w:val="auto"/>
        <w:outlineLvl w:val="1"/>
        <w:rPr>
          <w:rFonts w:ascii="宋体" w:hAnsi="宋体"/>
          <w:b/>
          <w:sz w:val="21"/>
          <w:szCs w:val="21"/>
          <w:highlight w:val="none"/>
        </w:rPr>
      </w:pPr>
      <w:bookmarkStart w:id="22" w:name="_Toc24470"/>
      <w:bookmarkStart w:id="23" w:name="_Toc15244"/>
      <w:r>
        <w:rPr>
          <w:rFonts w:hint="eastAsia" w:ascii="宋体" w:hAnsi="宋体"/>
          <w:b/>
          <w:sz w:val="21"/>
          <w:szCs w:val="21"/>
          <w:highlight w:val="none"/>
        </w:rPr>
        <w:t>七、定  标</w:t>
      </w:r>
      <w:bookmarkEnd w:id="22"/>
      <w:bookmarkEnd w:id="23"/>
    </w:p>
    <w:p w14:paraId="0E5C247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hint="eastAsia" w:ascii="宋体" w:hAnsi="宋体" w:cs="Arial"/>
          <w:b/>
          <w:bCs w:val="0"/>
          <w:sz w:val="21"/>
          <w:szCs w:val="21"/>
          <w:highlight w:val="none"/>
        </w:rPr>
        <w:t>19.定标原则</w:t>
      </w:r>
    </w:p>
    <w:p w14:paraId="6F37CC9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19.1最低投标价不作为中标的保证；</w:t>
      </w:r>
    </w:p>
    <w:p w14:paraId="75045E4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19.2本次招标评标方法为综合评分法；</w:t>
      </w:r>
    </w:p>
    <w:p w14:paraId="07D50A75">
      <w:pPr>
        <w:keepNext w:val="0"/>
        <w:keepLines w:val="0"/>
        <w:pageBreakBefore w:val="0"/>
        <w:widowControl/>
        <w:kinsoku/>
        <w:wordWrap/>
        <w:overflowPunct/>
        <w:topLinePunct w:val="0"/>
        <w:autoSpaceDE/>
        <w:autoSpaceDN/>
        <w:bidi w:val="0"/>
        <w:adjustRightInd w:val="0"/>
        <w:snapToGrid w:val="0"/>
        <w:spacing w:line="500" w:lineRule="exact"/>
        <w:ind w:firstLine="472"/>
        <w:jc w:val="left"/>
        <w:textAlignment w:val="auto"/>
        <w:rPr>
          <w:rFonts w:ascii="宋体" w:hAnsi="宋体" w:cs="Arial"/>
          <w:bCs/>
          <w:sz w:val="21"/>
          <w:szCs w:val="21"/>
          <w:highlight w:val="none"/>
        </w:rPr>
      </w:pPr>
      <w:r>
        <w:rPr>
          <w:rFonts w:hint="eastAsia" w:ascii="宋体" w:hAnsi="宋体" w:cs="Arial"/>
          <w:bCs/>
          <w:spacing w:val="-2"/>
          <w:sz w:val="21"/>
          <w:szCs w:val="21"/>
          <w:highlight w:val="none"/>
        </w:rPr>
        <w:t>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Arial"/>
          <w:bCs/>
          <w:sz w:val="21"/>
          <w:szCs w:val="21"/>
          <w:highlight w:val="none"/>
        </w:rPr>
        <w:t>；</w:t>
      </w:r>
    </w:p>
    <w:p w14:paraId="5C32374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color w:val="C00000"/>
          <w:sz w:val="21"/>
          <w:szCs w:val="21"/>
          <w:highlight w:val="none"/>
          <w:lang w:val="en-US" w:eastAsia="zh-CN"/>
        </w:rPr>
      </w:pPr>
      <w:r>
        <w:rPr>
          <w:rFonts w:hint="eastAsia" w:ascii="宋体" w:hAnsi="宋体" w:cs="Arial"/>
          <w:bCs/>
          <w:color w:val="C00000"/>
          <w:sz w:val="21"/>
          <w:szCs w:val="21"/>
          <w:highlight w:val="none"/>
        </w:rPr>
        <w:t>19.3 推荐的中标候选人数：1名。排名第一的中标候选人放弃中标，或因不可抗力提出不能履行合同，或者被查实存在影响中标结果的违法行为等情形，不符合中标条件的，</w:t>
      </w:r>
      <w:r>
        <w:rPr>
          <w:rFonts w:hint="eastAsia" w:ascii="宋体" w:hAnsi="宋体" w:cs="Arial"/>
          <w:bCs/>
          <w:color w:val="C00000"/>
          <w:sz w:val="21"/>
          <w:szCs w:val="21"/>
          <w:highlight w:val="none"/>
          <w:lang w:val="en-US" w:eastAsia="zh-CN"/>
        </w:rPr>
        <w:t>采购人可以按照评审报告推荐的中标人名单排序，确定下一候选人为中标供应商，也可以重新开展政府采购活动。</w:t>
      </w:r>
    </w:p>
    <w:p w14:paraId="7742082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hint="eastAsia" w:ascii="宋体" w:hAnsi="宋体" w:cs="Arial"/>
          <w:b/>
          <w:bCs w:val="0"/>
          <w:sz w:val="21"/>
          <w:szCs w:val="21"/>
          <w:highlight w:val="none"/>
        </w:rPr>
        <w:t>20. 确定中标供应商</w:t>
      </w:r>
    </w:p>
    <w:p w14:paraId="3910FF45">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采购人将根据评标委员会的书面评标报告，依据法律法规确定中标人。采购人不得在评标委员会推荐的中标候选人之外确定中标人，否则中标结果无效。</w:t>
      </w:r>
    </w:p>
    <w:p w14:paraId="7860DC6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hint="eastAsia" w:ascii="宋体" w:hAnsi="宋体" w:cs="Arial"/>
          <w:b/>
          <w:bCs w:val="0"/>
          <w:sz w:val="21"/>
          <w:szCs w:val="21"/>
          <w:highlight w:val="none"/>
        </w:rPr>
        <w:t>21.中标通知书和签订合同</w:t>
      </w:r>
    </w:p>
    <w:p w14:paraId="04CE4D2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w:t>
      </w:r>
      <w:r>
        <w:rPr>
          <w:rFonts w:ascii="宋体" w:hAnsi="宋体" w:cs="Arial"/>
          <w:bCs/>
          <w:sz w:val="21"/>
          <w:szCs w:val="21"/>
          <w:highlight w:val="none"/>
        </w:rPr>
        <w:t>1</w:t>
      </w:r>
      <w:r>
        <w:rPr>
          <w:rFonts w:hint="eastAsia" w:ascii="宋体" w:hAnsi="宋体" w:cs="Arial"/>
          <w:bCs/>
          <w:sz w:val="21"/>
          <w:szCs w:val="21"/>
          <w:highlight w:val="none"/>
        </w:rPr>
        <w:t>.1评审结束后，中标公告在江苏</w:t>
      </w:r>
      <w:r>
        <w:rPr>
          <w:rFonts w:ascii="宋体" w:hAnsi="宋体" w:cs="Arial"/>
          <w:bCs/>
          <w:sz w:val="21"/>
          <w:szCs w:val="21"/>
          <w:highlight w:val="none"/>
        </w:rPr>
        <w:t>政府采购网</w:t>
      </w:r>
      <w:r>
        <w:rPr>
          <w:rFonts w:hint="eastAsia" w:ascii="宋体" w:hAnsi="宋体" w:cs="Arial"/>
          <w:bCs/>
          <w:sz w:val="21"/>
          <w:szCs w:val="21"/>
          <w:highlight w:val="none"/>
        </w:rPr>
        <w:t>、盐城市政府采购网等相关媒体发布；公示结束向中标供应商发出中标通知书。中标通知书成为合同文件的组成部分，具有法律效力；</w:t>
      </w:r>
    </w:p>
    <w:p w14:paraId="586E47E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w:t>
      </w:r>
      <w:r>
        <w:rPr>
          <w:rFonts w:ascii="宋体" w:hAnsi="宋体" w:cs="Arial"/>
          <w:bCs/>
          <w:sz w:val="21"/>
          <w:szCs w:val="21"/>
          <w:highlight w:val="none"/>
        </w:rPr>
        <w:t>1</w:t>
      </w:r>
      <w:r>
        <w:rPr>
          <w:rFonts w:hint="eastAsia" w:ascii="宋体" w:hAnsi="宋体" w:cs="Arial"/>
          <w:bCs/>
          <w:sz w:val="21"/>
          <w:szCs w:val="21"/>
          <w:highlight w:val="none"/>
        </w:rPr>
        <w:t>.2中标供应商在规定的时间内不领取中标通知书的，视为中标后自动放弃中标资格，承担由此引起的一切后果；</w:t>
      </w:r>
    </w:p>
    <w:p w14:paraId="1F95956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lang w:val="en-US" w:eastAsia="zh-CN"/>
        </w:rPr>
        <w:t>21.3</w:t>
      </w:r>
      <w:r>
        <w:rPr>
          <w:rFonts w:hint="eastAsia" w:ascii="宋体" w:hAnsi="宋体" w:cs="Arial"/>
          <w:bCs/>
          <w:sz w:val="21"/>
          <w:szCs w:val="21"/>
          <w:highlight w:val="none"/>
        </w:rPr>
        <w:t>若有充分证据证明，中标人出现下列情况之一的，一经查实，将被取消中标资格：</w:t>
      </w:r>
    </w:p>
    <w:p w14:paraId="44F8F7D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Cs/>
          <w:sz w:val="21"/>
          <w:szCs w:val="21"/>
          <w:highlight w:val="none"/>
          <w:lang w:val="en-US" w:eastAsia="zh-CN"/>
        </w:rPr>
        <w:t>1</w:t>
      </w:r>
      <w:r>
        <w:rPr>
          <w:rFonts w:hint="eastAsia" w:ascii="宋体" w:hAnsi="宋体" w:cs="Arial"/>
          <w:bCs/>
          <w:sz w:val="21"/>
          <w:szCs w:val="21"/>
          <w:highlight w:val="none"/>
        </w:rPr>
        <w:t>.</w:t>
      </w:r>
      <w:r>
        <w:rPr>
          <w:rFonts w:hint="eastAsia" w:ascii="宋体" w:hAnsi="宋体" w:cs="Arial"/>
          <w:bCs/>
          <w:sz w:val="21"/>
          <w:szCs w:val="21"/>
          <w:highlight w:val="none"/>
          <w:lang w:val="en-US" w:eastAsia="zh-CN"/>
        </w:rPr>
        <w:t>3</w:t>
      </w:r>
      <w:r>
        <w:rPr>
          <w:rFonts w:hint="eastAsia" w:ascii="宋体" w:hAnsi="宋体" w:cs="Arial"/>
          <w:bCs/>
          <w:sz w:val="21"/>
          <w:szCs w:val="21"/>
          <w:highlight w:val="none"/>
        </w:rPr>
        <w:t>.1提供虚假材料谋取中标的。</w:t>
      </w:r>
    </w:p>
    <w:p w14:paraId="003AD868">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Cs/>
          <w:sz w:val="21"/>
          <w:szCs w:val="21"/>
          <w:highlight w:val="none"/>
          <w:lang w:val="en-US" w:eastAsia="zh-CN"/>
        </w:rPr>
        <w:t>1</w:t>
      </w:r>
      <w:r>
        <w:rPr>
          <w:rFonts w:hint="eastAsia" w:ascii="宋体" w:hAnsi="宋体" w:cs="Arial"/>
          <w:bCs/>
          <w:sz w:val="21"/>
          <w:szCs w:val="21"/>
          <w:highlight w:val="none"/>
        </w:rPr>
        <w:t>.</w:t>
      </w:r>
      <w:r>
        <w:rPr>
          <w:rFonts w:hint="eastAsia" w:ascii="宋体" w:hAnsi="宋体" w:cs="Arial"/>
          <w:bCs/>
          <w:sz w:val="21"/>
          <w:szCs w:val="21"/>
          <w:highlight w:val="none"/>
          <w:lang w:val="en-US" w:eastAsia="zh-CN"/>
        </w:rPr>
        <w:t>3</w:t>
      </w:r>
      <w:r>
        <w:rPr>
          <w:rFonts w:hint="eastAsia" w:ascii="宋体" w:hAnsi="宋体" w:cs="Arial"/>
          <w:bCs/>
          <w:sz w:val="21"/>
          <w:szCs w:val="21"/>
          <w:highlight w:val="none"/>
        </w:rPr>
        <w:t>.2向采购人行贿或者提供其他不正当利益的。</w:t>
      </w:r>
    </w:p>
    <w:p w14:paraId="1AC9A6F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Cs/>
          <w:sz w:val="21"/>
          <w:szCs w:val="21"/>
          <w:highlight w:val="none"/>
          <w:lang w:val="en-US" w:eastAsia="zh-CN"/>
        </w:rPr>
        <w:t>1</w:t>
      </w:r>
      <w:r>
        <w:rPr>
          <w:rFonts w:hint="eastAsia" w:ascii="宋体" w:hAnsi="宋体" w:cs="Arial"/>
          <w:bCs/>
          <w:sz w:val="21"/>
          <w:szCs w:val="21"/>
          <w:highlight w:val="none"/>
        </w:rPr>
        <w:t>.</w:t>
      </w:r>
      <w:r>
        <w:rPr>
          <w:rFonts w:hint="eastAsia" w:ascii="宋体" w:hAnsi="宋体" w:cs="Arial"/>
          <w:bCs/>
          <w:sz w:val="21"/>
          <w:szCs w:val="21"/>
          <w:highlight w:val="none"/>
          <w:lang w:val="en-US" w:eastAsia="zh-CN"/>
        </w:rPr>
        <w:t>3</w:t>
      </w:r>
      <w:r>
        <w:rPr>
          <w:rFonts w:hint="eastAsia" w:ascii="宋体" w:hAnsi="宋体" w:cs="Arial"/>
          <w:bCs/>
          <w:sz w:val="21"/>
          <w:szCs w:val="21"/>
          <w:highlight w:val="none"/>
        </w:rPr>
        <w:t>.3属于本文件规定的无效条件，但在评标过程中又未被评委会发现的。</w:t>
      </w:r>
    </w:p>
    <w:p w14:paraId="630E419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Cs/>
          <w:sz w:val="21"/>
          <w:szCs w:val="21"/>
          <w:highlight w:val="none"/>
          <w:lang w:val="en-US" w:eastAsia="zh-CN"/>
        </w:rPr>
        <w:t>1</w:t>
      </w:r>
      <w:r>
        <w:rPr>
          <w:rFonts w:hint="eastAsia" w:ascii="宋体" w:hAnsi="宋体" w:cs="Arial"/>
          <w:bCs/>
          <w:sz w:val="21"/>
          <w:szCs w:val="21"/>
          <w:highlight w:val="none"/>
        </w:rPr>
        <w:t>.</w:t>
      </w:r>
      <w:r>
        <w:rPr>
          <w:rFonts w:hint="eastAsia" w:ascii="宋体" w:hAnsi="宋体" w:cs="Arial"/>
          <w:bCs/>
          <w:sz w:val="21"/>
          <w:szCs w:val="21"/>
          <w:highlight w:val="none"/>
          <w:lang w:val="en-US" w:eastAsia="zh-CN"/>
        </w:rPr>
        <w:t>3</w:t>
      </w:r>
      <w:r>
        <w:rPr>
          <w:rFonts w:hint="eastAsia" w:ascii="宋体" w:hAnsi="宋体" w:cs="Arial"/>
          <w:bCs/>
          <w:sz w:val="21"/>
          <w:szCs w:val="21"/>
          <w:highlight w:val="none"/>
        </w:rPr>
        <w:t>.4与采购人或者其他供应商恶意串通的。</w:t>
      </w:r>
    </w:p>
    <w:p w14:paraId="13E369B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Cs/>
          <w:sz w:val="21"/>
          <w:szCs w:val="21"/>
          <w:highlight w:val="none"/>
          <w:lang w:val="en-US" w:eastAsia="zh-CN"/>
        </w:rPr>
        <w:t>1</w:t>
      </w:r>
      <w:r>
        <w:rPr>
          <w:rFonts w:hint="eastAsia" w:ascii="宋体" w:hAnsi="宋体" w:cs="Arial"/>
          <w:bCs/>
          <w:sz w:val="21"/>
          <w:szCs w:val="21"/>
          <w:highlight w:val="none"/>
        </w:rPr>
        <w:t>.</w:t>
      </w:r>
      <w:r>
        <w:rPr>
          <w:rFonts w:hint="eastAsia" w:ascii="宋体" w:hAnsi="宋体" w:cs="Arial"/>
          <w:bCs/>
          <w:sz w:val="21"/>
          <w:szCs w:val="21"/>
          <w:highlight w:val="none"/>
          <w:lang w:val="en-US" w:eastAsia="zh-CN"/>
        </w:rPr>
        <w:t>3</w:t>
      </w:r>
      <w:r>
        <w:rPr>
          <w:rFonts w:hint="eastAsia" w:ascii="宋体" w:hAnsi="宋体" w:cs="Arial"/>
          <w:bCs/>
          <w:sz w:val="21"/>
          <w:szCs w:val="21"/>
          <w:highlight w:val="none"/>
        </w:rPr>
        <w:t>.5采取不正当手段诋毁、排挤其他供应商的。</w:t>
      </w:r>
    </w:p>
    <w:p w14:paraId="0CD8720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w:t>
      </w:r>
      <w:r>
        <w:rPr>
          <w:rFonts w:ascii="宋体" w:hAnsi="宋体" w:cs="Arial"/>
          <w:bCs/>
          <w:sz w:val="21"/>
          <w:szCs w:val="21"/>
          <w:highlight w:val="none"/>
        </w:rPr>
        <w:t>1</w:t>
      </w:r>
      <w:r>
        <w:rPr>
          <w:rFonts w:hint="eastAsia" w:ascii="宋体" w:hAnsi="宋体" w:cs="Arial"/>
          <w:bCs/>
          <w:sz w:val="21"/>
          <w:szCs w:val="21"/>
          <w:highlight w:val="none"/>
        </w:rPr>
        <w:t>.</w:t>
      </w:r>
      <w:r>
        <w:rPr>
          <w:rFonts w:hint="eastAsia" w:ascii="宋体" w:hAnsi="宋体" w:cs="Arial"/>
          <w:bCs/>
          <w:sz w:val="21"/>
          <w:szCs w:val="21"/>
          <w:highlight w:val="none"/>
          <w:lang w:val="en-US" w:eastAsia="zh-CN"/>
        </w:rPr>
        <w:t>4</w:t>
      </w:r>
      <w:r>
        <w:rPr>
          <w:rFonts w:hint="eastAsia" w:ascii="宋体" w:hAnsi="宋体" w:cs="Arial"/>
          <w:bCs/>
          <w:sz w:val="21"/>
          <w:szCs w:val="21"/>
          <w:highlight w:val="none"/>
        </w:rPr>
        <w:t>政府采购项目的采购合同自签订之日起七个工作日内，采购人应当将合同副本报同级政府采购监督管理部门和有关部门备案；</w:t>
      </w:r>
    </w:p>
    <w:p w14:paraId="239E1D3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21.</w:t>
      </w:r>
      <w:r>
        <w:rPr>
          <w:rFonts w:hint="eastAsia" w:ascii="宋体" w:hAnsi="宋体" w:cs="Arial"/>
          <w:bCs/>
          <w:sz w:val="21"/>
          <w:szCs w:val="21"/>
          <w:highlight w:val="none"/>
          <w:lang w:val="en-US" w:eastAsia="zh-CN"/>
        </w:rPr>
        <w:t>5</w:t>
      </w:r>
      <w:r>
        <w:rPr>
          <w:rFonts w:ascii="宋体" w:hAnsi="宋体" w:cs="Arial"/>
          <w:bCs/>
          <w:sz w:val="21"/>
          <w:szCs w:val="21"/>
          <w:highlight w:val="none"/>
        </w:rPr>
        <w:t xml:space="preserve"> </w:t>
      </w:r>
      <w:r>
        <w:rPr>
          <w:rFonts w:hint="eastAsia" w:ascii="宋体" w:hAnsi="宋体" w:cs="Arial"/>
          <w:bCs/>
          <w:sz w:val="21"/>
          <w:szCs w:val="21"/>
          <w:highlight w:val="none"/>
        </w:rPr>
        <w:t>采购单位与中标供应商应当在《中标通知书》发出之日起三十日内，按采购文件确定的事情签订政府采购合同，合同在签订之日2个工作日内在盐城市政府采购网http://czj.yancheng.gov.cn/col/col2383/index.html上公示；</w:t>
      </w:r>
    </w:p>
    <w:p w14:paraId="30147B15">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w:t>
      </w:r>
      <w:r>
        <w:rPr>
          <w:rFonts w:ascii="宋体" w:hAnsi="宋体" w:cs="Arial"/>
          <w:bCs/>
          <w:sz w:val="21"/>
          <w:szCs w:val="21"/>
          <w:highlight w:val="none"/>
        </w:rPr>
        <w:t>1</w:t>
      </w:r>
      <w:r>
        <w:rPr>
          <w:rFonts w:hint="eastAsia" w:ascii="宋体" w:hAnsi="宋体" w:cs="Arial"/>
          <w:bCs/>
          <w:sz w:val="21"/>
          <w:szCs w:val="21"/>
          <w:highlight w:val="none"/>
        </w:rPr>
        <w:t>.</w:t>
      </w:r>
      <w:r>
        <w:rPr>
          <w:rFonts w:hint="eastAsia" w:ascii="宋体" w:hAnsi="宋体" w:cs="Arial"/>
          <w:bCs/>
          <w:sz w:val="21"/>
          <w:szCs w:val="21"/>
          <w:highlight w:val="none"/>
          <w:lang w:val="en-US" w:eastAsia="zh-CN"/>
        </w:rPr>
        <w:t>6</w:t>
      </w:r>
      <w:r>
        <w:rPr>
          <w:rFonts w:hint="eastAsia" w:ascii="宋体" w:hAnsi="宋体" w:cs="Arial"/>
          <w:bCs/>
          <w:sz w:val="21"/>
          <w:szCs w:val="21"/>
          <w:highlight w:val="none"/>
        </w:rPr>
        <w:t>中标单位如果未按中标通知书规定日期与采购单位签订合同，或要求更改招标文件内容而拖延合同签订，按照政府采购法相关法律法规执行。</w:t>
      </w:r>
    </w:p>
    <w:p w14:paraId="2BAE934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hint="eastAsia" w:ascii="宋体" w:hAnsi="宋体" w:cs="Arial"/>
          <w:b/>
          <w:bCs w:val="0"/>
          <w:sz w:val="21"/>
          <w:szCs w:val="21"/>
          <w:highlight w:val="none"/>
        </w:rPr>
        <w:t>22. 质疑和投诉</w:t>
      </w:r>
    </w:p>
    <w:p w14:paraId="7B9C9C8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22.1 质疑供应商是指直接参加本次投标活动的供应商，未参加投标活动的供应商或在投标活动中自身权益未受到损害的供应商所提出的质疑不予受理；</w:t>
      </w:r>
    </w:p>
    <w:p w14:paraId="79D7D65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22.2 质疑供应商必须以书面形式向采购人、采购代理机构提出质疑。；</w:t>
      </w:r>
    </w:p>
    <w:p w14:paraId="0515E41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lang w:val="en-US" w:eastAsia="zh-CN"/>
        </w:rPr>
      </w:pPr>
      <w:r>
        <w:rPr>
          <w:rFonts w:hint="eastAsia" w:ascii="宋体" w:hAnsi="宋体" w:cs="Arial"/>
          <w:bCs/>
          <w:sz w:val="21"/>
          <w:szCs w:val="21"/>
          <w:highlight w:val="none"/>
          <w:lang w:val="en-US" w:eastAsia="zh-CN"/>
        </w:rPr>
        <w:t>22.3供应商应当在法定质疑期内一次性提出针对同一采购程序环节的质疑。供应商如在法定期限内对同一采购程序环节提出多次质疑的，采购人将只对供应商第一次质疑作出答复。</w:t>
      </w:r>
    </w:p>
    <w:p w14:paraId="200A817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22.</w:t>
      </w:r>
      <w:r>
        <w:rPr>
          <w:rFonts w:hint="eastAsia" w:ascii="宋体" w:hAnsi="宋体" w:cs="Arial"/>
          <w:bCs/>
          <w:sz w:val="21"/>
          <w:szCs w:val="21"/>
          <w:highlight w:val="none"/>
          <w:lang w:val="en-US" w:eastAsia="zh-CN"/>
        </w:rPr>
        <w:t>4</w:t>
      </w:r>
      <w:r>
        <w:rPr>
          <w:rFonts w:hint="eastAsia" w:ascii="宋体" w:hAnsi="宋体" w:cs="Arial"/>
          <w:bCs/>
          <w:sz w:val="21"/>
          <w:szCs w:val="21"/>
          <w:highlight w:val="none"/>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p>
    <w:p w14:paraId="3B4ED44F">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（1）供应商的姓名或者名称、地址、邮编、联系人及联系电话；</w:t>
      </w:r>
    </w:p>
    <w:p w14:paraId="0608A2E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（2）质疑项目的名称、编号；</w:t>
      </w:r>
    </w:p>
    <w:p w14:paraId="4DC3EC9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（3）具体、明确的质疑事项和与质疑事项相关的请求；</w:t>
      </w:r>
    </w:p>
    <w:p w14:paraId="5026AC9F">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（4）事实依据；</w:t>
      </w:r>
    </w:p>
    <w:p w14:paraId="4A7FB82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（5）必要的法律依据；</w:t>
      </w:r>
    </w:p>
    <w:p w14:paraId="2403E59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（6）提出质疑的日期。</w:t>
      </w:r>
    </w:p>
    <w:p w14:paraId="39DD31F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lang w:val="en-US" w:eastAsia="zh-CN"/>
        </w:rPr>
      </w:pPr>
      <w:r>
        <w:rPr>
          <w:rFonts w:hint="eastAsia" w:ascii="宋体" w:hAnsi="宋体" w:cs="Arial"/>
          <w:bCs/>
          <w:sz w:val="21"/>
          <w:szCs w:val="21"/>
          <w:highlight w:val="none"/>
          <w:lang w:val="en-US" w:eastAsia="zh-CN"/>
        </w:rPr>
        <w:t>22.5采购人或采购代理机构只接收以纸质原件形式送达的质疑,采购人或采购代理机构不接受未填写快递运单的快件。</w:t>
      </w:r>
    </w:p>
    <w:p w14:paraId="11D7909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22.</w:t>
      </w:r>
      <w:r>
        <w:rPr>
          <w:rFonts w:hint="eastAsia" w:ascii="宋体" w:hAnsi="宋体" w:cs="Arial"/>
          <w:bCs/>
          <w:sz w:val="21"/>
          <w:szCs w:val="21"/>
          <w:highlight w:val="none"/>
          <w:lang w:val="en-US" w:eastAsia="zh-CN"/>
        </w:rPr>
        <w:t>6</w:t>
      </w:r>
      <w:r>
        <w:rPr>
          <w:rFonts w:hint="eastAsia" w:ascii="宋体" w:hAnsi="宋体" w:cs="Arial"/>
          <w:bCs/>
          <w:sz w:val="21"/>
          <w:szCs w:val="21"/>
          <w:highlight w:val="none"/>
        </w:rPr>
        <w:t xml:space="preserve"> 采购人或代理机构在收到供应商的书面质疑后将及时组织调查核实，在七个工作日内作出答复，并以书面形式通知质疑供应商，答复的内容不涉及商业秘密；</w:t>
      </w:r>
    </w:p>
    <w:p w14:paraId="6176461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22.</w:t>
      </w:r>
      <w:r>
        <w:rPr>
          <w:rFonts w:hint="eastAsia" w:ascii="宋体" w:hAnsi="宋体" w:cs="Arial"/>
          <w:bCs/>
          <w:sz w:val="21"/>
          <w:szCs w:val="21"/>
          <w:highlight w:val="none"/>
          <w:lang w:val="en-US" w:eastAsia="zh-CN"/>
        </w:rPr>
        <w:t>7</w:t>
      </w:r>
      <w:r>
        <w:rPr>
          <w:rFonts w:hint="eastAsia" w:ascii="宋体" w:hAnsi="宋体" w:cs="Arial"/>
          <w:bCs/>
          <w:sz w:val="21"/>
          <w:szCs w:val="21"/>
          <w:highlight w:val="none"/>
        </w:rPr>
        <w:t xml:space="preserve">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sz w:val="21"/>
          <w:szCs w:val="21"/>
          <w:highlight w:val="none"/>
          <w:lang w:val="en-US" w:eastAsia="zh-CN"/>
        </w:rPr>
        <w:t>盐城市大丰区</w:t>
      </w:r>
      <w:r>
        <w:rPr>
          <w:rFonts w:hint="eastAsia" w:ascii="宋体" w:hAnsi="宋体" w:cs="Arial"/>
          <w:bCs/>
          <w:sz w:val="21"/>
          <w:szCs w:val="21"/>
          <w:highlight w:val="none"/>
        </w:rPr>
        <w:t>财政局投诉。</w:t>
      </w:r>
    </w:p>
    <w:p w14:paraId="5C44E0F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Cs/>
          <w:sz w:val="21"/>
          <w:szCs w:val="21"/>
          <w:highlight w:val="none"/>
          <w:lang w:val="en-US" w:eastAsia="zh-CN"/>
        </w:rPr>
        <w:t>2</w:t>
      </w:r>
      <w:r>
        <w:rPr>
          <w:rFonts w:hint="eastAsia" w:ascii="宋体" w:hAnsi="宋体" w:cs="Arial"/>
          <w:bCs/>
          <w:sz w:val="21"/>
          <w:szCs w:val="21"/>
          <w:highlight w:val="none"/>
        </w:rPr>
        <w:t>.</w:t>
      </w:r>
      <w:r>
        <w:rPr>
          <w:rFonts w:hint="eastAsia" w:ascii="宋体" w:hAnsi="宋体" w:cs="Arial"/>
          <w:bCs/>
          <w:sz w:val="21"/>
          <w:szCs w:val="21"/>
          <w:highlight w:val="none"/>
          <w:lang w:val="en-US" w:eastAsia="zh-CN"/>
        </w:rPr>
        <w:t>8</w:t>
      </w:r>
      <w:r>
        <w:rPr>
          <w:rFonts w:hint="eastAsia" w:ascii="宋体" w:hAnsi="宋体" w:cs="Arial"/>
          <w:bCs/>
          <w:sz w:val="21"/>
          <w:szCs w:val="21"/>
          <w:highlight w:val="none"/>
        </w:rPr>
        <w:t xml:space="preserve"> 以下情形的质疑不予受理</w:t>
      </w:r>
    </w:p>
    <w:p w14:paraId="59449A9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Cs/>
          <w:sz w:val="21"/>
          <w:szCs w:val="21"/>
          <w:highlight w:val="none"/>
          <w:lang w:eastAsia="zh-CN"/>
        </w:rPr>
        <w:t>2.8</w:t>
      </w:r>
      <w:r>
        <w:rPr>
          <w:rFonts w:hint="eastAsia" w:ascii="宋体" w:hAnsi="宋体" w:cs="Arial"/>
          <w:bCs/>
          <w:sz w:val="21"/>
          <w:szCs w:val="21"/>
          <w:highlight w:val="none"/>
        </w:rPr>
        <w:t>.1内容不符合《政府采购质疑和投诉办法》第十二条规定的质疑。</w:t>
      </w:r>
    </w:p>
    <w:p w14:paraId="1C839C3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Cs/>
          <w:sz w:val="21"/>
          <w:szCs w:val="21"/>
          <w:highlight w:val="none"/>
          <w:lang w:eastAsia="zh-CN"/>
        </w:rPr>
        <w:t>2.8</w:t>
      </w:r>
      <w:r>
        <w:rPr>
          <w:rFonts w:hint="eastAsia" w:ascii="宋体" w:hAnsi="宋体" w:cs="Arial"/>
          <w:bCs/>
          <w:sz w:val="21"/>
          <w:szCs w:val="21"/>
          <w:highlight w:val="none"/>
        </w:rPr>
        <w:t>.2超出政府采购法定期限的质疑。</w:t>
      </w:r>
    </w:p>
    <w:p w14:paraId="133DBB0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Cs/>
          <w:sz w:val="21"/>
          <w:szCs w:val="21"/>
          <w:highlight w:val="none"/>
          <w:lang w:eastAsia="zh-CN"/>
        </w:rPr>
        <w:t>2.8</w:t>
      </w:r>
      <w:r>
        <w:rPr>
          <w:rFonts w:hint="eastAsia" w:ascii="宋体" w:hAnsi="宋体" w:cs="Arial"/>
          <w:bCs/>
          <w:sz w:val="21"/>
          <w:szCs w:val="21"/>
          <w:highlight w:val="none"/>
        </w:rPr>
        <w:t>.3以传真、电子邮件等方式递交的非原件形式的质疑。</w:t>
      </w:r>
    </w:p>
    <w:p w14:paraId="5DC0742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Cs/>
          <w:sz w:val="21"/>
          <w:szCs w:val="21"/>
          <w:highlight w:val="none"/>
          <w:lang w:eastAsia="zh-CN"/>
        </w:rPr>
        <w:t>2.8</w:t>
      </w:r>
      <w:r>
        <w:rPr>
          <w:rFonts w:hint="eastAsia" w:ascii="宋体" w:hAnsi="宋体" w:cs="Arial"/>
          <w:bCs/>
          <w:sz w:val="21"/>
          <w:szCs w:val="21"/>
          <w:highlight w:val="none"/>
        </w:rPr>
        <w:t>.4未参加投标活动的供应商或在投标活动中自身权益未受到损害的供应商所提出的质疑。</w:t>
      </w:r>
    </w:p>
    <w:p w14:paraId="2D3F3BD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eastAsia" w:ascii="宋体" w:hAnsi="宋体" w:cs="Arial"/>
          <w:bCs/>
          <w:sz w:val="21"/>
          <w:szCs w:val="21"/>
          <w:highlight w:val="none"/>
        </w:rPr>
      </w:pPr>
      <w:r>
        <w:rPr>
          <w:rFonts w:hint="eastAsia" w:ascii="宋体" w:hAnsi="宋体" w:cs="Arial"/>
          <w:bCs/>
          <w:sz w:val="21"/>
          <w:szCs w:val="21"/>
          <w:highlight w:val="none"/>
        </w:rPr>
        <w:t>2</w:t>
      </w:r>
      <w:r>
        <w:rPr>
          <w:rFonts w:hint="eastAsia" w:ascii="宋体" w:hAnsi="宋体" w:cs="Arial"/>
          <w:bCs/>
          <w:sz w:val="21"/>
          <w:szCs w:val="21"/>
          <w:highlight w:val="none"/>
          <w:lang w:eastAsia="zh-CN"/>
        </w:rPr>
        <w:t>2.8</w:t>
      </w:r>
      <w:r>
        <w:rPr>
          <w:rFonts w:hint="eastAsia" w:ascii="宋体" w:hAnsi="宋体" w:cs="Arial"/>
          <w:bCs/>
          <w:sz w:val="21"/>
          <w:szCs w:val="21"/>
          <w:highlight w:val="none"/>
        </w:rPr>
        <w:t>.5供应商组成联合体参加投标，联合体中任何一方或多方未按要求签字、盖章、加盖公章的质疑。</w:t>
      </w:r>
    </w:p>
    <w:p w14:paraId="61B8B45F">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22.</w:t>
      </w:r>
      <w:r>
        <w:rPr>
          <w:rFonts w:hint="eastAsia" w:ascii="宋体" w:hAnsi="宋体" w:cs="Arial"/>
          <w:bCs/>
          <w:sz w:val="21"/>
          <w:szCs w:val="21"/>
          <w:highlight w:val="none"/>
          <w:lang w:val="en-US" w:eastAsia="zh-CN"/>
        </w:rPr>
        <w:t>9</w:t>
      </w:r>
      <w:r>
        <w:rPr>
          <w:rFonts w:hint="eastAsia" w:ascii="宋体" w:hAnsi="宋体" w:cs="Arial"/>
          <w:bCs/>
          <w:sz w:val="21"/>
          <w:szCs w:val="21"/>
          <w:highlight w:val="none"/>
        </w:rPr>
        <w:t xml:space="preserve"> 质疑或投诉程序</w:t>
      </w:r>
    </w:p>
    <w:p w14:paraId="209CED85">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sz w:val="21"/>
          <w:szCs w:val="21"/>
          <w:highlight w:val="none"/>
          <w:lang w:eastAsia="zh-CN"/>
        </w:rPr>
        <w:t>盐城市大丰区财政局</w:t>
      </w:r>
      <w:r>
        <w:rPr>
          <w:rFonts w:hint="eastAsia" w:ascii="宋体" w:hAnsi="宋体" w:cs="Arial"/>
          <w:bCs/>
          <w:sz w:val="21"/>
          <w:szCs w:val="21"/>
          <w:highlight w:val="none"/>
        </w:rPr>
        <w:t>提出投诉。投标人或者其他利害关系人不按规定投诉或通过捏造事实、伪造证明材料等方式提出异议或投诉，影响招投标活动正常进行的，招投标行政监督部门不予受理，并给予警告。</w:t>
      </w:r>
    </w:p>
    <w:p w14:paraId="0A50B1D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22.</w:t>
      </w:r>
      <w:r>
        <w:rPr>
          <w:rFonts w:hint="eastAsia" w:ascii="宋体" w:hAnsi="宋体" w:cs="Arial"/>
          <w:bCs/>
          <w:sz w:val="21"/>
          <w:szCs w:val="21"/>
          <w:highlight w:val="none"/>
          <w:lang w:val="en-US" w:eastAsia="zh-CN"/>
        </w:rPr>
        <w:t>10</w:t>
      </w:r>
      <w:r>
        <w:rPr>
          <w:rFonts w:hint="eastAsia" w:ascii="宋体" w:hAnsi="宋体" w:cs="Arial"/>
          <w:bCs/>
          <w:sz w:val="21"/>
          <w:szCs w:val="21"/>
          <w:highlight w:val="none"/>
        </w:rPr>
        <w:t xml:space="preserve"> 恶意投诉情形</w:t>
      </w:r>
    </w:p>
    <w:p w14:paraId="63698FE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下列情况之一，投标人的投诉将被界定为恶意投诉，监管机构将对投诉人按有关规定列入不良记录名单并上网公示，投标人今后参与政府项目将受到影响：</w:t>
      </w:r>
    </w:p>
    <w:p w14:paraId="0DD4CDE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（1）未按规定向投诉处理部门投诉或向不同部门多方投诉的；</w:t>
      </w:r>
    </w:p>
    <w:p w14:paraId="2E9F820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（2）不符合投诉受理条件，被告知后仍进行投诉的；</w:t>
      </w:r>
    </w:p>
    <w:p w14:paraId="741C1F5E">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（3）投诉处理部门受理投诉后，投诉人仍就同一内容向其他部门进行投诉的；</w:t>
      </w:r>
    </w:p>
    <w:p w14:paraId="0F5E3F4A">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（4）捏造事实、伪造材料进行投诉或在网络等媒体上进行失实报道的；</w:t>
      </w:r>
    </w:p>
    <w:p w14:paraId="025BD53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（5）投诉经查失实，被告知后，仍然恶意缠诉的；</w:t>
      </w:r>
    </w:p>
    <w:p w14:paraId="001CEA0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（6）一年内三次以上失实投诉的；</w:t>
      </w:r>
    </w:p>
    <w:p w14:paraId="484EAD1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（7）直接向领导、纪委、检察部门写匿名信等。</w:t>
      </w:r>
    </w:p>
    <w:p w14:paraId="0D4D7BC6">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宋体"/>
          <w:b/>
          <w:sz w:val="21"/>
          <w:szCs w:val="21"/>
          <w:highlight w:val="none"/>
        </w:rPr>
      </w:pPr>
      <w:bookmarkStart w:id="24" w:name="_Hlk153783081"/>
      <w:r>
        <w:rPr>
          <w:rFonts w:hint="eastAsia" w:ascii="宋体" w:hAnsi="宋体" w:cs="Arial"/>
          <w:b/>
          <w:sz w:val="21"/>
          <w:szCs w:val="21"/>
          <w:highlight w:val="none"/>
        </w:rPr>
        <w:t>23.</w:t>
      </w:r>
      <w:r>
        <w:rPr>
          <w:rFonts w:hint="eastAsia" w:ascii="宋体" w:hAnsi="宋体" w:cs="宋体"/>
          <w:b/>
          <w:sz w:val="21"/>
          <w:szCs w:val="21"/>
          <w:highlight w:val="none"/>
        </w:rPr>
        <w:t>投标人有下列行为之一造成招标人重新招标的，招标人重新招标时可以拒绝其参加投标：</w:t>
      </w:r>
    </w:p>
    <w:p w14:paraId="2F5D0932">
      <w:pPr>
        <w:keepNext w:val="0"/>
        <w:keepLines w:val="0"/>
        <w:pageBreakBefore w:val="0"/>
        <w:kinsoku/>
        <w:wordWrap/>
        <w:overflowPunct/>
        <w:topLinePunct w:val="0"/>
        <w:autoSpaceDE/>
        <w:autoSpaceDN/>
        <w:bidi w:val="0"/>
        <w:adjustRightInd w:val="0"/>
        <w:snapToGrid w:val="0"/>
        <w:spacing w:line="500" w:lineRule="exact"/>
        <w:ind w:firstLine="482"/>
        <w:textAlignment w:val="auto"/>
        <w:rPr>
          <w:rFonts w:ascii="宋体" w:hAnsi="宋体" w:cs="宋体"/>
          <w:b/>
          <w:sz w:val="21"/>
          <w:szCs w:val="21"/>
          <w:highlight w:val="none"/>
        </w:rPr>
      </w:pPr>
      <w:r>
        <w:rPr>
          <w:rFonts w:hint="eastAsia" w:ascii="宋体" w:hAnsi="宋体" w:cs="宋体"/>
          <w:b/>
          <w:sz w:val="21"/>
          <w:szCs w:val="21"/>
          <w:highlight w:val="none"/>
        </w:rPr>
        <w:t>（1）无故放弃中标；</w:t>
      </w:r>
    </w:p>
    <w:p w14:paraId="65109779">
      <w:pPr>
        <w:keepNext w:val="0"/>
        <w:keepLines w:val="0"/>
        <w:pageBreakBefore w:val="0"/>
        <w:kinsoku/>
        <w:wordWrap/>
        <w:overflowPunct/>
        <w:topLinePunct w:val="0"/>
        <w:autoSpaceDE/>
        <w:autoSpaceDN/>
        <w:bidi w:val="0"/>
        <w:adjustRightInd w:val="0"/>
        <w:snapToGrid w:val="0"/>
        <w:spacing w:line="500" w:lineRule="exact"/>
        <w:ind w:firstLine="482"/>
        <w:textAlignment w:val="auto"/>
        <w:rPr>
          <w:rFonts w:ascii="宋体" w:hAnsi="宋体" w:cs="宋体"/>
          <w:b/>
          <w:sz w:val="21"/>
          <w:szCs w:val="21"/>
          <w:highlight w:val="none"/>
        </w:rPr>
      </w:pPr>
      <w:r>
        <w:rPr>
          <w:rFonts w:hint="eastAsia" w:ascii="宋体" w:hAnsi="宋体" w:cs="宋体"/>
          <w:b/>
          <w:sz w:val="21"/>
          <w:szCs w:val="21"/>
          <w:highlight w:val="none"/>
        </w:rPr>
        <w:t>（2）串通投标；</w:t>
      </w:r>
    </w:p>
    <w:p w14:paraId="6DBAA4B3">
      <w:pPr>
        <w:keepNext w:val="0"/>
        <w:keepLines w:val="0"/>
        <w:pageBreakBefore w:val="0"/>
        <w:kinsoku/>
        <w:wordWrap/>
        <w:overflowPunct/>
        <w:topLinePunct w:val="0"/>
        <w:autoSpaceDE/>
        <w:autoSpaceDN/>
        <w:bidi w:val="0"/>
        <w:adjustRightInd w:val="0"/>
        <w:snapToGrid w:val="0"/>
        <w:spacing w:line="500" w:lineRule="exact"/>
        <w:ind w:firstLine="482"/>
        <w:textAlignment w:val="auto"/>
        <w:rPr>
          <w:rFonts w:ascii="宋体" w:hAnsi="宋体" w:cs="宋体"/>
          <w:b/>
          <w:sz w:val="21"/>
          <w:szCs w:val="21"/>
          <w:highlight w:val="none"/>
        </w:rPr>
      </w:pPr>
      <w:r>
        <w:rPr>
          <w:rFonts w:hint="eastAsia" w:ascii="宋体" w:hAnsi="宋体" w:cs="宋体"/>
          <w:b/>
          <w:sz w:val="21"/>
          <w:szCs w:val="21"/>
          <w:highlight w:val="none"/>
        </w:rPr>
        <w:t>（3）存在弄虚作假行为；</w:t>
      </w:r>
    </w:p>
    <w:p w14:paraId="29E2CE0B">
      <w:pPr>
        <w:keepNext w:val="0"/>
        <w:keepLines w:val="0"/>
        <w:pageBreakBefore w:val="0"/>
        <w:kinsoku/>
        <w:wordWrap/>
        <w:overflowPunct/>
        <w:topLinePunct w:val="0"/>
        <w:autoSpaceDE/>
        <w:autoSpaceDN/>
        <w:bidi w:val="0"/>
        <w:adjustRightInd w:val="0"/>
        <w:snapToGrid w:val="0"/>
        <w:spacing w:line="500" w:lineRule="exact"/>
        <w:ind w:firstLine="482"/>
        <w:textAlignment w:val="auto"/>
        <w:rPr>
          <w:rFonts w:ascii="宋体" w:hAnsi="宋体" w:cs="宋体"/>
          <w:b/>
          <w:sz w:val="21"/>
          <w:szCs w:val="21"/>
          <w:highlight w:val="none"/>
        </w:rPr>
      </w:pPr>
      <w:r>
        <w:rPr>
          <w:rFonts w:hint="eastAsia" w:ascii="宋体" w:hAnsi="宋体" w:cs="宋体"/>
          <w:b/>
          <w:sz w:val="21"/>
          <w:szCs w:val="21"/>
          <w:highlight w:val="none"/>
        </w:rPr>
        <w:t>（4）以可能影响履约的异常低价参加投标；</w:t>
      </w:r>
    </w:p>
    <w:p w14:paraId="40D24F6C">
      <w:pPr>
        <w:keepNext w:val="0"/>
        <w:keepLines w:val="0"/>
        <w:pageBreakBefore w:val="0"/>
        <w:kinsoku/>
        <w:wordWrap/>
        <w:overflowPunct/>
        <w:topLinePunct w:val="0"/>
        <w:autoSpaceDE/>
        <w:autoSpaceDN/>
        <w:bidi w:val="0"/>
        <w:adjustRightInd w:val="0"/>
        <w:snapToGrid w:val="0"/>
        <w:spacing w:line="500" w:lineRule="exact"/>
        <w:ind w:firstLine="482"/>
        <w:textAlignment w:val="auto"/>
        <w:rPr>
          <w:rFonts w:ascii="宋体" w:hAnsi="宋体" w:cs="宋体"/>
          <w:b/>
          <w:sz w:val="21"/>
          <w:szCs w:val="21"/>
          <w:highlight w:val="none"/>
        </w:rPr>
      </w:pPr>
      <w:r>
        <w:rPr>
          <w:rFonts w:hint="eastAsia" w:ascii="宋体" w:hAnsi="宋体" w:cs="宋体"/>
          <w:b/>
          <w:sz w:val="21"/>
          <w:szCs w:val="21"/>
          <w:highlight w:val="none"/>
        </w:rPr>
        <w:t>（5）其他违反法律、法规的行为。</w:t>
      </w:r>
    </w:p>
    <w:p w14:paraId="646BA9FC">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sz w:val="21"/>
          <w:szCs w:val="21"/>
          <w:highlight w:val="none"/>
        </w:rPr>
      </w:pPr>
      <w:r>
        <w:rPr>
          <w:rFonts w:hint="eastAsia" w:ascii="宋体" w:hAnsi="宋体" w:cs="宋体"/>
          <w:b/>
          <w:sz w:val="21"/>
          <w:szCs w:val="21"/>
          <w:highlight w:val="none"/>
        </w:rPr>
        <w:t>对三年内在与招标人合同履行过程中被依法判定存在违约行为导致招标人重大损失或者被列入严重失信主体名单的法人、非法人组织或者自然人，招标人可以拒绝其参加投标。</w:t>
      </w:r>
      <w:bookmarkEnd w:id="24"/>
    </w:p>
    <w:p w14:paraId="56DF5002">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hint="eastAsia" w:ascii="宋体" w:hAnsi="宋体" w:cs="Arial"/>
          <w:b/>
          <w:bCs w:val="0"/>
          <w:sz w:val="21"/>
          <w:szCs w:val="21"/>
          <w:highlight w:val="none"/>
        </w:rPr>
        <w:t>2</w:t>
      </w:r>
      <w:r>
        <w:rPr>
          <w:rFonts w:ascii="宋体" w:hAnsi="宋体" w:cs="Arial"/>
          <w:b/>
          <w:bCs w:val="0"/>
          <w:sz w:val="21"/>
          <w:szCs w:val="21"/>
          <w:highlight w:val="none"/>
        </w:rPr>
        <w:t>4</w:t>
      </w:r>
      <w:r>
        <w:rPr>
          <w:rFonts w:hint="eastAsia" w:ascii="宋体" w:hAnsi="宋体" w:cs="Arial"/>
          <w:b/>
          <w:bCs w:val="0"/>
          <w:sz w:val="21"/>
          <w:szCs w:val="21"/>
          <w:highlight w:val="none"/>
        </w:rPr>
        <w:t>.电子招标投标交易平台</w:t>
      </w:r>
    </w:p>
    <w:p w14:paraId="3591F8A9">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ascii="宋体" w:hAnsi="宋体" w:cs="Arial"/>
          <w:bCs/>
          <w:sz w:val="21"/>
          <w:szCs w:val="21"/>
          <w:highlight w:val="none"/>
        </w:rPr>
        <w:t>电子招标投标交易平台（即“苏采云”系统，网址：</w:t>
      </w:r>
      <w:r>
        <w:rPr>
          <w:sz w:val="21"/>
          <w:szCs w:val="21"/>
          <w:highlight w:val="none"/>
        </w:rPr>
        <w:fldChar w:fldCharType="begin"/>
      </w:r>
      <w:r>
        <w:rPr>
          <w:sz w:val="21"/>
          <w:szCs w:val="21"/>
          <w:highlight w:val="none"/>
        </w:rPr>
        <w:instrText xml:space="preserve"> HYPERLINK "http://jszfcg.jsczt.cn/" \o "http://jszfcg.jsczt.cn/" </w:instrText>
      </w:r>
      <w:r>
        <w:rPr>
          <w:sz w:val="21"/>
          <w:szCs w:val="21"/>
          <w:highlight w:val="none"/>
        </w:rPr>
        <w:fldChar w:fldCharType="separate"/>
      </w:r>
      <w:r>
        <w:rPr>
          <w:rFonts w:ascii="宋体" w:hAnsi="宋体" w:cs="Arial"/>
          <w:bCs/>
          <w:sz w:val="21"/>
          <w:szCs w:val="21"/>
          <w:highlight w:val="none"/>
        </w:rPr>
        <w:t>http://jszfcg.jsczt.cn/</w:t>
      </w:r>
      <w:r>
        <w:rPr>
          <w:rFonts w:ascii="宋体" w:hAnsi="宋体" w:cs="Arial"/>
          <w:bCs/>
          <w:sz w:val="21"/>
          <w:szCs w:val="21"/>
          <w:highlight w:val="none"/>
        </w:rPr>
        <w:fldChar w:fldCharType="end"/>
      </w:r>
      <w:r>
        <w:rPr>
          <w:rFonts w:ascii="宋体" w:hAnsi="宋体" w:cs="Arial"/>
          <w:bCs/>
          <w:sz w:val="21"/>
          <w:szCs w:val="21"/>
          <w:highlight w:val="none"/>
        </w:rPr>
        <w:t>）相关要求是本招标文件的组成部分。</w:t>
      </w:r>
    </w:p>
    <w:p w14:paraId="7874CE8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
          <w:bCs w:val="0"/>
          <w:sz w:val="21"/>
          <w:szCs w:val="21"/>
          <w:highlight w:val="none"/>
        </w:rPr>
      </w:pPr>
      <w:r>
        <w:rPr>
          <w:rFonts w:hint="eastAsia" w:ascii="宋体" w:hAnsi="宋体" w:cs="Arial"/>
          <w:b/>
          <w:bCs w:val="0"/>
          <w:sz w:val="21"/>
          <w:szCs w:val="21"/>
          <w:highlight w:val="none"/>
        </w:rPr>
        <w:t>2</w:t>
      </w:r>
      <w:r>
        <w:rPr>
          <w:rFonts w:ascii="宋体" w:hAnsi="宋体" w:cs="Arial"/>
          <w:b/>
          <w:bCs w:val="0"/>
          <w:sz w:val="21"/>
          <w:szCs w:val="21"/>
          <w:highlight w:val="none"/>
        </w:rPr>
        <w:t>5.</w:t>
      </w:r>
      <w:r>
        <w:rPr>
          <w:rFonts w:hint="eastAsia" w:ascii="宋体" w:hAnsi="宋体" w:cs="Arial"/>
          <w:b/>
          <w:bCs w:val="0"/>
          <w:sz w:val="21"/>
          <w:szCs w:val="21"/>
          <w:highlight w:val="none"/>
        </w:rPr>
        <w:t>政府采购履约资金扶持政策</w:t>
      </w:r>
    </w:p>
    <w:p w14:paraId="6071E254">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p>
    <w:p w14:paraId="29462C67">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p>
    <w:p w14:paraId="1651DACE">
      <w:pPr>
        <w:keepNext w:val="0"/>
        <w:keepLines w:val="0"/>
        <w:pageBreakBefore w:val="0"/>
        <w:tabs>
          <w:tab w:val="left" w:pos="900"/>
        </w:tabs>
        <w:kinsoku/>
        <w:wordWrap/>
        <w:overflowPunct/>
        <w:topLinePunct w:val="0"/>
        <w:autoSpaceDE/>
        <w:autoSpaceDN/>
        <w:bidi w:val="0"/>
        <w:adjustRightInd w:val="0"/>
        <w:snapToGrid w:val="0"/>
        <w:spacing w:line="500" w:lineRule="exact"/>
        <w:ind w:firstLine="420" w:firstLineChars="200"/>
        <w:textAlignment w:val="auto"/>
        <w:rPr>
          <w:rFonts w:ascii="宋体" w:hAnsi="宋体" w:cs="宋体"/>
          <w:sz w:val="21"/>
          <w:szCs w:val="21"/>
        </w:rPr>
      </w:pPr>
      <w:bookmarkStart w:id="25" w:name="_Toc120519611"/>
      <w:r>
        <w:rPr>
          <w:rFonts w:hint="eastAsia" w:ascii="宋体" w:hAnsi="宋体" w:cs="宋体"/>
          <w:sz w:val="21"/>
          <w:szCs w:val="21"/>
        </w:rPr>
        <w:t>投标人可登录江苏政府采购网“资料下载”栏目（网址：www.ccgp-jiangsu.gov.cn/jiangsu/zlxz）下载“政府采购电子履约保函（保险）操作手册”</w:t>
      </w:r>
    </w:p>
    <w:p w14:paraId="2D61A42E">
      <w:pPr>
        <w:keepNext w:val="0"/>
        <w:keepLines w:val="0"/>
        <w:pageBreakBefore w:val="0"/>
        <w:kinsoku/>
        <w:wordWrap/>
        <w:overflowPunct/>
        <w:topLinePunct w:val="0"/>
        <w:autoSpaceDE/>
        <w:autoSpaceDN/>
        <w:bidi w:val="0"/>
        <w:adjustRightInd w:val="0"/>
        <w:snapToGrid w:val="0"/>
        <w:spacing w:line="500" w:lineRule="exact"/>
        <w:textAlignment w:val="auto"/>
        <w:rPr>
          <w:rFonts w:hint="eastAsia" w:hAnsi="宋体" w:cs="宋体"/>
          <w:b/>
          <w:sz w:val="21"/>
          <w:szCs w:val="21"/>
          <w:highlight w:val="none"/>
        </w:rPr>
      </w:pPr>
      <w:r>
        <w:rPr>
          <w:rFonts w:hint="eastAsia" w:hAnsi="宋体" w:cs="宋体"/>
          <w:b/>
          <w:sz w:val="21"/>
          <w:szCs w:val="21"/>
          <w:highlight w:val="none"/>
        </w:rPr>
        <w:br w:type="page"/>
      </w:r>
    </w:p>
    <w:p w14:paraId="281F3A77">
      <w:pPr>
        <w:tabs>
          <w:tab w:val="center" w:pos="4718"/>
        </w:tabs>
        <w:spacing w:line="480" w:lineRule="exact"/>
        <w:jc w:val="center"/>
        <w:outlineLvl w:val="0"/>
        <w:rPr>
          <w:rFonts w:hint="eastAsia" w:ascii="宋体" w:hAnsi="宋体" w:cs="宋体"/>
          <w:b/>
          <w:sz w:val="32"/>
          <w:szCs w:val="32"/>
          <w:highlight w:val="none"/>
        </w:rPr>
      </w:pPr>
      <w:bookmarkStart w:id="26" w:name="_Toc2935"/>
      <w:r>
        <w:rPr>
          <w:rFonts w:hint="eastAsia" w:ascii="宋体" w:hAnsi="宋体" w:cs="宋体"/>
          <w:b/>
          <w:sz w:val="32"/>
          <w:szCs w:val="32"/>
          <w:highlight w:val="none"/>
        </w:rPr>
        <w:t>第三章  招标内容及</w:t>
      </w:r>
      <w:r>
        <w:rPr>
          <w:rFonts w:hint="eastAsia" w:ascii="宋体" w:hAnsi="宋体" w:cs="宋体"/>
          <w:b/>
          <w:sz w:val="32"/>
          <w:szCs w:val="32"/>
          <w:highlight w:val="none"/>
          <w:lang w:val="en-US" w:eastAsia="zh-CN"/>
        </w:rPr>
        <w:t>采购需求</w:t>
      </w:r>
      <w:bookmarkEnd w:id="25"/>
      <w:bookmarkEnd w:id="26"/>
    </w:p>
    <w:p w14:paraId="4F59A5CD">
      <w:pPr>
        <w:keepNext w:val="0"/>
        <w:keepLines w:val="0"/>
        <w:pageBreakBefore w:val="0"/>
        <w:widowControl/>
        <w:kinsoku/>
        <w:wordWrap/>
        <w:overflowPunct/>
        <w:topLinePunct w:val="0"/>
        <w:autoSpaceDE/>
        <w:autoSpaceDN/>
        <w:bidi w:val="0"/>
        <w:adjustRightInd/>
        <w:snapToGrid/>
        <w:spacing w:line="520" w:lineRule="exact"/>
        <w:ind w:firstLine="482"/>
        <w:jc w:val="left"/>
        <w:textAlignment w:val="auto"/>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一、项目概况</w:t>
      </w:r>
    </w:p>
    <w:p w14:paraId="13ABB0EF">
      <w:pPr>
        <w:keepNext w:val="0"/>
        <w:keepLines w:val="0"/>
        <w:pageBreakBefore w:val="0"/>
        <w:widowControl/>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Arial"/>
          <w:bCs/>
          <w:sz w:val="21"/>
          <w:szCs w:val="21"/>
          <w:highlight w:val="none"/>
          <w:lang w:eastAsia="zh-CN"/>
        </w:rPr>
      </w:pPr>
      <w:bookmarkStart w:id="27" w:name="_Toc120519615"/>
      <w:r>
        <w:rPr>
          <w:rFonts w:hint="eastAsia" w:ascii="宋体" w:hAnsi="宋体" w:cs="Arial"/>
          <w:bCs/>
          <w:sz w:val="21"/>
          <w:szCs w:val="21"/>
          <w:highlight w:val="none"/>
          <w:lang w:val="en-US" w:eastAsia="zh-CN"/>
        </w:rPr>
        <w:t>1</w:t>
      </w:r>
      <w:r>
        <w:rPr>
          <w:rFonts w:hint="eastAsia" w:ascii="宋体" w:hAnsi="宋体" w:cs="Arial"/>
          <w:bCs/>
          <w:sz w:val="21"/>
          <w:szCs w:val="21"/>
          <w:highlight w:val="none"/>
        </w:rPr>
        <w:t>.项目名称：</w:t>
      </w:r>
      <w:r>
        <w:rPr>
          <w:rFonts w:hint="eastAsia" w:ascii="宋体" w:hAnsi="宋体" w:cs="Arial"/>
          <w:bCs/>
          <w:spacing w:val="-4"/>
          <w:sz w:val="21"/>
          <w:szCs w:val="21"/>
          <w:highlight w:val="none"/>
          <w:lang w:eastAsia="zh-CN"/>
        </w:rPr>
        <w:t>国家骨干冷链物流基地建设申报方案编制服务</w:t>
      </w:r>
    </w:p>
    <w:p w14:paraId="1EE197C4">
      <w:pPr>
        <w:keepNext w:val="0"/>
        <w:keepLines w:val="0"/>
        <w:pageBreakBefore w:val="0"/>
        <w:widowControl/>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Arial"/>
          <w:bCs/>
          <w:sz w:val="21"/>
          <w:szCs w:val="21"/>
          <w:highlight w:val="none"/>
          <w:lang w:eastAsia="zh-CN"/>
        </w:rPr>
      </w:pPr>
      <w:r>
        <w:rPr>
          <w:rFonts w:hint="eastAsia" w:ascii="宋体" w:hAnsi="宋体" w:cs="Arial"/>
          <w:bCs/>
          <w:sz w:val="21"/>
          <w:szCs w:val="21"/>
          <w:highlight w:val="none"/>
          <w:lang w:val="en-US" w:eastAsia="zh-CN"/>
        </w:rPr>
        <w:t>2</w:t>
      </w:r>
      <w:r>
        <w:rPr>
          <w:rFonts w:hint="eastAsia" w:ascii="宋体" w:hAnsi="宋体" w:cs="Arial"/>
          <w:bCs/>
          <w:sz w:val="21"/>
          <w:szCs w:val="21"/>
          <w:highlight w:val="none"/>
        </w:rPr>
        <w:t>.预算金额：</w:t>
      </w:r>
      <w:r>
        <w:rPr>
          <w:rFonts w:hint="eastAsia" w:ascii="宋体" w:hAnsi="宋体" w:cs="Arial"/>
          <w:bCs/>
          <w:sz w:val="21"/>
          <w:szCs w:val="21"/>
          <w:highlight w:val="none"/>
          <w:lang w:eastAsia="zh-CN"/>
        </w:rPr>
        <w:t>采购预算为</w:t>
      </w:r>
      <w:r>
        <w:rPr>
          <w:rFonts w:hint="eastAsia" w:ascii="宋体" w:hAnsi="宋体" w:cs="Arial"/>
          <w:bCs/>
          <w:sz w:val="21"/>
          <w:szCs w:val="21"/>
          <w:highlight w:val="none"/>
          <w:lang w:val="en-US" w:eastAsia="zh-CN"/>
        </w:rPr>
        <w:t>120</w:t>
      </w:r>
      <w:r>
        <w:rPr>
          <w:rFonts w:hint="eastAsia" w:ascii="宋体" w:hAnsi="宋体" w:cs="Arial"/>
          <w:bCs/>
          <w:sz w:val="21"/>
          <w:szCs w:val="21"/>
          <w:highlight w:val="none"/>
          <w:lang w:eastAsia="zh-CN"/>
        </w:rPr>
        <w:t>万元，投标报价高于</w:t>
      </w:r>
      <w:r>
        <w:rPr>
          <w:rFonts w:hint="eastAsia" w:ascii="宋体" w:hAnsi="宋体" w:cs="Arial"/>
          <w:bCs/>
          <w:sz w:val="21"/>
          <w:szCs w:val="21"/>
          <w:highlight w:val="none"/>
          <w:lang w:val="en-US" w:eastAsia="zh-CN"/>
        </w:rPr>
        <w:t>最高投标限价</w:t>
      </w:r>
      <w:r>
        <w:rPr>
          <w:rFonts w:hint="eastAsia" w:ascii="宋体" w:hAnsi="宋体" w:cs="Arial"/>
          <w:bCs/>
          <w:sz w:val="21"/>
          <w:szCs w:val="21"/>
          <w:highlight w:val="none"/>
          <w:lang w:eastAsia="zh-CN"/>
        </w:rPr>
        <w:t>的作无效标</w:t>
      </w:r>
      <w:r>
        <w:rPr>
          <w:rFonts w:hint="eastAsia" w:ascii="宋体" w:hAnsi="宋体" w:cs="Arial"/>
          <w:bCs/>
          <w:sz w:val="21"/>
          <w:szCs w:val="21"/>
          <w:highlight w:val="none"/>
          <w:lang w:val="en-US" w:eastAsia="zh-CN"/>
        </w:rPr>
        <w:t>处理</w:t>
      </w:r>
      <w:r>
        <w:rPr>
          <w:rFonts w:hint="eastAsia" w:ascii="宋体" w:hAnsi="宋体" w:cs="Arial"/>
          <w:bCs/>
          <w:sz w:val="21"/>
          <w:szCs w:val="21"/>
          <w:highlight w:val="none"/>
          <w:lang w:eastAsia="zh-CN"/>
        </w:rPr>
        <w:t>。</w:t>
      </w:r>
    </w:p>
    <w:p w14:paraId="57253EE0">
      <w:pPr>
        <w:keepNext w:val="0"/>
        <w:keepLines w:val="0"/>
        <w:pageBreakBefore w:val="0"/>
        <w:widowControl/>
        <w:kinsoku/>
        <w:wordWrap/>
        <w:overflowPunct/>
        <w:topLinePunct w:val="0"/>
        <w:autoSpaceDE/>
        <w:autoSpaceDN/>
        <w:bidi w:val="0"/>
        <w:adjustRightInd/>
        <w:snapToGrid/>
        <w:spacing w:line="520" w:lineRule="exact"/>
        <w:ind w:firstLine="480"/>
        <w:jc w:val="left"/>
        <w:textAlignment w:val="auto"/>
        <w:rPr>
          <w:rFonts w:hint="default" w:ascii="宋体" w:hAnsi="宋体" w:eastAsia="宋体" w:cs="Arial"/>
          <w:bCs/>
          <w:sz w:val="21"/>
          <w:szCs w:val="21"/>
          <w:highlight w:val="none"/>
          <w:lang w:val="en-US" w:eastAsia="zh-CN"/>
        </w:rPr>
      </w:pPr>
      <w:r>
        <w:rPr>
          <w:rFonts w:hint="eastAsia" w:ascii="宋体" w:hAnsi="宋体" w:cs="Arial"/>
          <w:bCs/>
          <w:sz w:val="21"/>
          <w:szCs w:val="21"/>
          <w:highlight w:val="none"/>
          <w:lang w:val="en-US" w:eastAsia="zh-CN"/>
        </w:rPr>
        <w:t>3</w:t>
      </w:r>
      <w:r>
        <w:rPr>
          <w:rFonts w:hint="eastAsia" w:ascii="宋体" w:hAnsi="宋体" w:cs="Arial"/>
          <w:bCs/>
          <w:sz w:val="21"/>
          <w:szCs w:val="21"/>
          <w:highlight w:val="none"/>
        </w:rPr>
        <w:t>.合同履行期限</w:t>
      </w:r>
      <w:r>
        <w:rPr>
          <w:rFonts w:hint="eastAsia" w:ascii="宋体" w:hAnsi="宋体" w:cs="Arial"/>
          <w:bCs/>
          <w:sz w:val="21"/>
          <w:szCs w:val="21"/>
          <w:highlight w:val="none"/>
          <w:lang w:eastAsia="zh-CN"/>
        </w:rPr>
        <w:t>：</w:t>
      </w:r>
      <w:r>
        <w:rPr>
          <w:rFonts w:hint="eastAsia" w:ascii="宋体" w:hAnsi="宋体" w:cs="Arial"/>
          <w:bCs/>
          <w:sz w:val="21"/>
          <w:szCs w:val="21"/>
          <w:highlight w:val="none"/>
          <w:lang w:val="en-US" w:eastAsia="zh-CN"/>
        </w:rPr>
        <w:t xml:space="preserve">合同签订后20日历天完成建设方案编制。  </w:t>
      </w:r>
    </w:p>
    <w:p w14:paraId="7E0937AD">
      <w:pPr>
        <w:keepNext w:val="0"/>
        <w:keepLines w:val="0"/>
        <w:pageBreakBefore w:val="0"/>
        <w:widowControl/>
        <w:kinsoku/>
        <w:wordWrap/>
        <w:overflowPunct/>
        <w:topLinePunct w:val="0"/>
        <w:autoSpaceDE/>
        <w:autoSpaceDN/>
        <w:bidi w:val="0"/>
        <w:adjustRightInd/>
        <w:snapToGrid/>
        <w:spacing w:line="520" w:lineRule="exact"/>
        <w:ind w:firstLine="480"/>
        <w:jc w:val="left"/>
        <w:textAlignment w:val="auto"/>
        <w:rPr>
          <w:rFonts w:hint="eastAsia" w:ascii="宋体" w:hAnsi="宋体" w:cs="Arial"/>
          <w:bCs/>
          <w:sz w:val="21"/>
          <w:szCs w:val="21"/>
          <w:highlight w:val="none"/>
          <w:lang w:val="en-US" w:eastAsia="zh-CN"/>
        </w:rPr>
      </w:pPr>
      <w:r>
        <w:rPr>
          <w:rFonts w:hint="eastAsia" w:ascii="宋体" w:hAnsi="宋体" w:cs="Arial"/>
          <w:bCs/>
          <w:sz w:val="21"/>
          <w:szCs w:val="21"/>
          <w:highlight w:val="none"/>
          <w:lang w:val="en-US" w:eastAsia="zh-CN"/>
        </w:rPr>
        <w:t>4.质量要求：符合国家骨干冷链物流基地申报要求和建设方案编制要求</w:t>
      </w:r>
    </w:p>
    <w:p w14:paraId="525AF435">
      <w:pPr>
        <w:keepNext w:val="0"/>
        <w:keepLines w:val="0"/>
        <w:pageBreakBefore w:val="0"/>
        <w:widowControl/>
        <w:kinsoku/>
        <w:wordWrap/>
        <w:overflowPunct/>
        <w:topLinePunct w:val="0"/>
        <w:autoSpaceDE/>
        <w:autoSpaceDN/>
        <w:bidi w:val="0"/>
        <w:adjustRightInd/>
        <w:snapToGrid/>
        <w:spacing w:line="520" w:lineRule="exact"/>
        <w:ind w:firstLine="480"/>
        <w:jc w:val="left"/>
        <w:textAlignment w:val="auto"/>
        <w:rPr>
          <w:rFonts w:ascii="宋体" w:hAnsi="宋体" w:cs="Arial"/>
          <w:bCs/>
          <w:sz w:val="21"/>
          <w:szCs w:val="21"/>
          <w:highlight w:val="none"/>
        </w:rPr>
      </w:pPr>
      <w:r>
        <w:rPr>
          <w:rFonts w:hint="eastAsia" w:ascii="宋体" w:hAnsi="宋体" w:cs="Arial"/>
          <w:bCs/>
          <w:sz w:val="21"/>
          <w:szCs w:val="21"/>
          <w:highlight w:val="none"/>
          <w:lang w:val="en-US" w:eastAsia="zh-CN"/>
        </w:rPr>
        <w:t>5</w:t>
      </w:r>
      <w:r>
        <w:rPr>
          <w:rFonts w:hint="eastAsia" w:ascii="宋体" w:hAnsi="宋体" w:cs="Arial"/>
          <w:bCs/>
          <w:sz w:val="21"/>
          <w:szCs w:val="21"/>
          <w:highlight w:val="none"/>
        </w:rPr>
        <w:t>.本</w:t>
      </w:r>
      <w:r>
        <w:rPr>
          <w:rFonts w:ascii="宋体" w:hAnsi="宋体" w:cs="Arial"/>
          <w:bCs/>
          <w:sz w:val="21"/>
          <w:szCs w:val="21"/>
          <w:highlight w:val="none"/>
        </w:rPr>
        <w:t>项目</w:t>
      </w:r>
      <w:r>
        <w:rPr>
          <w:rFonts w:hint="eastAsia" w:ascii="宋体" w:hAnsi="宋体" w:cs="Arial"/>
          <w:bCs/>
          <w:sz w:val="21"/>
          <w:szCs w:val="21"/>
          <w:highlight w:val="none"/>
        </w:rPr>
        <w:t>不</w:t>
      </w:r>
      <w:r>
        <w:rPr>
          <w:rFonts w:ascii="宋体" w:hAnsi="宋体" w:cs="Arial"/>
          <w:bCs/>
          <w:sz w:val="21"/>
          <w:szCs w:val="21"/>
          <w:highlight w:val="none"/>
        </w:rPr>
        <w:t>接受联合体投标。</w:t>
      </w:r>
    </w:p>
    <w:p w14:paraId="6712DD4C">
      <w:pPr>
        <w:keepNext w:val="0"/>
        <w:keepLines w:val="0"/>
        <w:pageBreakBefore w:val="0"/>
        <w:widowControl/>
        <w:kinsoku/>
        <w:wordWrap/>
        <w:overflowPunct/>
        <w:topLinePunct w:val="0"/>
        <w:autoSpaceDE/>
        <w:autoSpaceDN/>
        <w:bidi w:val="0"/>
        <w:adjustRightInd/>
        <w:snapToGrid/>
        <w:spacing w:line="520" w:lineRule="exact"/>
        <w:ind w:firstLine="482"/>
        <w:jc w:val="left"/>
        <w:textAlignment w:val="auto"/>
        <w:rPr>
          <w:rFonts w:hint="eastAsia"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lang w:val="en-US" w:eastAsia="zh-CN"/>
        </w:rPr>
        <w:t>二、</w:t>
      </w:r>
      <w:r>
        <w:rPr>
          <w:rFonts w:hint="eastAsia" w:cs="宋体" w:asciiTheme="minorEastAsia" w:hAnsiTheme="minorEastAsia" w:eastAsiaTheme="minorEastAsia"/>
          <w:b/>
          <w:sz w:val="21"/>
          <w:szCs w:val="21"/>
          <w:highlight w:val="none"/>
        </w:rPr>
        <w:t>项目背景</w:t>
      </w:r>
    </w:p>
    <w:p w14:paraId="08345960">
      <w:pPr>
        <w:pStyle w:val="273"/>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Arial"/>
          <w:bCs/>
          <w:kern w:val="0"/>
          <w:sz w:val="21"/>
          <w:szCs w:val="21"/>
          <w:highlight w:val="none"/>
        </w:rPr>
      </w:pPr>
      <w:r>
        <w:rPr>
          <w:rFonts w:hint="eastAsia" w:ascii="宋体" w:hAnsi="宋体" w:eastAsia="宋体" w:cs="Arial"/>
          <w:bCs/>
          <w:kern w:val="0"/>
          <w:sz w:val="21"/>
          <w:szCs w:val="21"/>
          <w:highlight w:val="none"/>
        </w:rPr>
        <w:t>按照“十四五”规划《纲要》《“十四五”冷链物流发展规划》和国家发展改革委印发的《国家骨干冷链物流基地建设实施方案》，到2025年，布局建设100个左右国家骨干冷链物流基地，基本建成以国家骨干冷链物流基地为核心、产销冷链集配中心和两端冷链物流设施为支撑的三级冷链物流节点设施网络，带动提升冷链物流规模化、集约化、组织化、网络化运行水平，推动农产品产运销一体化运作、全程“不断链”水平明显提高，有效发挥冷链物流在支撑农产品规模化生产、调节跨季节供需、减少流通环节损耗浪费、平抑市场价格波动、扩大优质供给等方面的重要作用。</w:t>
      </w:r>
    </w:p>
    <w:p w14:paraId="6911A7D3">
      <w:pPr>
        <w:pStyle w:val="273"/>
        <w:keepNext w:val="0"/>
        <w:keepLines w:val="0"/>
        <w:pageBreakBefore w:val="0"/>
        <w:kinsoku/>
        <w:wordWrap/>
        <w:overflowPunct/>
        <w:topLinePunct w:val="0"/>
        <w:autoSpaceDE/>
        <w:autoSpaceDN/>
        <w:bidi w:val="0"/>
        <w:adjustRightInd/>
        <w:snapToGrid/>
        <w:spacing w:line="520" w:lineRule="exact"/>
        <w:textAlignment w:val="auto"/>
        <w:rPr>
          <w:rFonts w:hint="eastAsia" w:ascii="仿宋" w:hAnsi="仿宋" w:eastAsia="仿宋" w:cs="仿宋"/>
          <w:sz w:val="21"/>
          <w:szCs w:val="21"/>
        </w:rPr>
      </w:pPr>
      <w:r>
        <w:rPr>
          <w:rFonts w:hint="eastAsia" w:ascii="宋体" w:hAnsi="宋体" w:eastAsia="宋体" w:cs="Arial"/>
          <w:bCs/>
          <w:kern w:val="0"/>
          <w:sz w:val="21"/>
          <w:szCs w:val="21"/>
          <w:highlight w:val="none"/>
        </w:rPr>
        <w:t>盐城属于国家骨干冷链物流基地承载城市布局中的东部沿海大通道承载城市。根据国家相关要求，拟申报国家骨骨干冷链物流基地的地级市人民政府要需编制国家骨干冷链物流基地建设方案，报省级或计划单列市发展改革部门，最后由国家发展改革委组织建设方案综合评审，确定国家骨干冷链物流基地建设名单。</w:t>
      </w:r>
    </w:p>
    <w:p w14:paraId="7271EF0B">
      <w:pPr>
        <w:keepNext w:val="0"/>
        <w:keepLines w:val="0"/>
        <w:pageBreakBefore w:val="0"/>
        <w:kinsoku/>
        <w:wordWrap/>
        <w:overflowPunct/>
        <w:topLinePunct w:val="0"/>
        <w:autoSpaceDE/>
        <w:autoSpaceDN/>
        <w:bidi w:val="0"/>
        <w:adjustRightInd/>
        <w:snapToGrid/>
        <w:spacing w:line="520" w:lineRule="exact"/>
        <w:ind w:firstLine="482"/>
        <w:textAlignment w:val="auto"/>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三</w:t>
      </w:r>
      <w:r>
        <w:rPr>
          <w:rFonts w:hint="eastAsia" w:ascii="宋体" w:hAnsi="宋体" w:cs="宋体"/>
          <w:b/>
          <w:sz w:val="21"/>
          <w:szCs w:val="21"/>
          <w:highlight w:val="none"/>
        </w:rPr>
        <w:t>、</w:t>
      </w:r>
      <w:r>
        <w:rPr>
          <w:rFonts w:hint="eastAsia" w:ascii="宋体" w:hAnsi="宋体" w:cs="宋体"/>
          <w:b/>
          <w:sz w:val="21"/>
          <w:szCs w:val="21"/>
          <w:highlight w:val="none"/>
          <w:lang w:val="en-US" w:eastAsia="zh-CN"/>
        </w:rPr>
        <w:t>服务内容</w:t>
      </w:r>
    </w:p>
    <w:p w14:paraId="49F5549D">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val="0"/>
          <w:bCs/>
          <w:sz w:val="21"/>
          <w:szCs w:val="21"/>
          <w:highlight w:val="none"/>
        </w:rPr>
      </w:pPr>
      <w:r>
        <w:rPr>
          <w:rFonts w:hint="eastAsia" w:ascii="宋体" w:hAnsi="宋体" w:cs="宋体"/>
          <w:b w:val="0"/>
          <w:bCs/>
          <w:sz w:val="21"/>
          <w:szCs w:val="21"/>
          <w:highlight w:val="none"/>
        </w:rPr>
        <w:t>要求</w:t>
      </w:r>
      <w:r>
        <w:rPr>
          <w:rFonts w:hint="eastAsia" w:ascii="宋体" w:hAnsi="宋体" w:cs="宋体"/>
          <w:b w:val="0"/>
          <w:bCs/>
          <w:sz w:val="21"/>
          <w:szCs w:val="21"/>
          <w:highlight w:val="none"/>
          <w:lang w:val="en-US" w:eastAsia="zh-CN"/>
        </w:rPr>
        <w:t>供应商</w:t>
      </w:r>
      <w:r>
        <w:rPr>
          <w:rFonts w:hint="eastAsia" w:ascii="宋体" w:hAnsi="宋体" w:cs="宋体"/>
          <w:b w:val="0"/>
          <w:bCs/>
          <w:sz w:val="21"/>
          <w:szCs w:val="21"/>
          <w:highlight w:val="none"/>
        </w:rPr>
        <w:t>熟悉国家骨干冷链物流基地申报要求和建设方案编制要求，提供盐城国家骨干冷链物流基地建设方案的编制服务，以及申报配套服务。</w:t>
      </w:r>
    </w:p>
    <w:p w14:paraId="1E35548E">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bCs w:val="0"/>
          <w:sz w:val="21"/>
          <w:szCs w:val="21"/>
          <w:highlight w:val="none"/>
        </w:rPr>
      </w:pPr>
      <w:r>
        <w:rPr>
          <w:rFonts w:hint="eastAsia" w:ascii="宋体" w:hAnsi="宋体" w:cs="宋体"/>
          <w:b/>
          <w:bCs w:val="0"/>
          <w:sz w:val="21"/>
          <w:szCs w:val="21"/>
          <w:highlight w:val="none"/>
        </w:rPr>
        <w:t>——盐城国家骨干冷链物流基地建设方案的内容应包括但不限于：</w:t>
      </w:r>
    </w:p>
    <w:p w14:paraId="16FA961D">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val="0"/>
          <w:bCs/>
          <w:sz w:val="21"/>
          <w:szCs w:val="21"/>
          <w:highlight w:val="none"/>
        </w:rPr>
      </w:pPr>
      <w:r>
        <w:rPr>
          <w:rFonts w:hint="eastAsia" w:ascii="宋体" w:hAnsi="宋体" w:cs="宋体"/>
          <w:b w:val="0"/>
          <w:bCs/>
          <w:sz w:val="21"/>
          <w:szCs w:val="21"/>
          <w:highlight w:val="none"/>
        </w:rPr>
        <w:t>1、盐城市经济社会发展总体情况</w:t>
      </w:r>
    </w:p>
    <w:p w14:paraId="66787673">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val="0"/>
          <w:bCs/>
          <w:sz w:val="21"/>
          <w:szCs w:val="21"/>
          <w:highlight w:val="none"/>
        </w:rPr>
      </w:pPr>
      <w:r>
        <w:rPr>
          <w:rFonts w:hint="eastAsia" w:ascii="宋体" w:hAnsi="宋体" w:cs="宋体"/>
          <w:b w:val="0"/>
          <w:bCs/>
          <w:sz w:val="21"/>
          <w:szCs w:val="21"/>
          <w:highlight w:val="none"/>
        </w:rPr>
        <w:t>2、盐城市冷链物流业发展总体情况</w:t>
      </w:r>
    </w:p>
    <w:p w14:paraId="2C8AD398">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val="0"/>
          <w:bCs/>
          <w:sz w:val="21"/>
          <w:szCs w:val="21"/>
          <w:highlight w:val="none"/>
        </w:rPr>
      </w:pPr>
      <w:r>
        <w:rPr>
          <w:rFonts w:hint="eastAsia" w:ascii="宋体" w:hAnsi="宋体" w:cs="宋体"/>
          <w:b w:val="0"/>
          <w:bCs/>
          <w:sz w:val="21"/>
          <w:szCs w:val="21"/>
          <w:highlight w:val="none"/>
        </w:rPr>
        <w:t>3、盐城国家骨干冷链物流基地基本情况</w:t>
      </w:r>
    </w:p>
    <w:p w14:paraId="248296BF">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val="0"/>
          <w:bCs/>
          <w:sz w:val="21"/>
          <w:szCs w:val="21"/>
          <w:highlight w:val="none"/>
        </w:rPr>
      </w:pPr>
      <w:r>
        <w:rPr>
          <w:rFonts w:hint="eastAsia" w:ascii="宋体" w:hAnsi="宋体" w:cs="宋体"/>
          <w:b w:val="0"/>
          <w:bCs/>
          <w:sz w:val="21"/>
          <w:szCs w:val="21"/>
          <w:highlight w:val="none"/>
        </w:rPr>
        <w:t>4、国家骨干冷链物流基地建设的总体思路</w:t>
      </w:r>
    </w:p>
    <w:p w14:paraId="2BA5814B">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val="0"/>
          <w:bCs/>
          <w:sz w:val="21"/>
          <w:szCs w:val="21"/>
          <w:highlight w:val="none"/>
        </w:rPr>
      </w:pPr>
      <w:r>
        <w:rPr>
          <w:rFonts w:hint="eastAsia" w:ascii="宋体" w:hAnsi="宋体" w:cs="宋体"/>
          <w:b w:val="0"/>
          <w:bCs/>
          <w:sz w:val="21"/>
          <w:szCs w:val="21"/>
          <w:highlight w:val="none"/>
        </w:rPr>
        <w:t>5、国家骨干冷链物流基地建设的预期成效</w:t>
      </w:r>
    </w:p>
    <w:p w14:paraId="1E0172F2">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bCs w:val="0"/>
          <w:sz w:val="21"/>
          <w:szCs w:val="21"/>
          <w:highlight w:val="none"/>
        </w:rPr>
      </w:pPr>
      <w:r>
        <w:rPr>
          <w:rFonts w:hint="eastAsia" w:ascii="宋体" w:hAnsi="宋体" w:cs="宋体"/>
          <w:b/>
          <w:bCs w:val="0"/>
          <w:sz w:val="21"/>
          <w:szCs w:val="21"/>
          <w:highlight w:val="none"/>
        </w:rPr>
        <w:t>——盐城国家骨干冷链物流基地申报配套服务包括：</w:t>
      </w:r>
    </w:p>
    <w:p w14:paraId="2876F545">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val="0"/>
          <w:bCs/>
          <w:sz w:val="21"/>
          <w:szCs w:val="21"/>
          <w:highlight w:val="none"/>
        </w:rPr>
      </w:pPr>
      <w:r>
        <w:rPr>
          <w:rFonts w:hint="eastAsia" w:ascii="宋体" w:hAnsi="宋体" w:cs="宋体"/>
          <w:b w:val="0"/>
          <w:bCs/>
          <w:sz w:val="21"/>
          <w:szCs w:val="21"/>
          <w:highlight w:val="none"/>
        </w:rPr>
        <w:t>汇报评审PPT制作、项目申报答辩培训、专家论证研讨等服务。</w:t>
      </w:r>
    </w:p>
    <w:p w14:paraId="00AED2A8">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bCs w:val="0"/>
          <w:sz w:val="21"/>
          <w:szCs w:val="21"/>
          <w:highlight w:val="none"/>
        </w:rPr>
      </w:pPr>
      <w:r>
        <w:rPr>
          <w:rFonts w:hint="eastAsia" w:ascii="宋体" w:hAnsi="宋体" w:cs="宋体"/>
          <w:b/>
          <w:bCs w:val="0"/>
          <w:sz w:val="21"/>
          <w:szCs w:val="21"/>
          <w:highlight w:val="none"/>
        </w:rPr>
        <w:t>——其他工作要求包括：</w:t>
      </w:r>
    </w:p>
    <w:p w14:paraId="6BF3BD37">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val="0"/>
          <w:bCs/>
          <w:sz w:val="21"/>
          <w:szCs w:val="21"/>
          <w:highlight w:val="none"/>
        </w:rPr>
      </w:pPr>
      <w:r>
        <w:rPr>
          <w:rFonts w:hint="eastAsia" w:ascii="宋体" w:hAnsi="宋体" w:cs="宋体"/>
          <w:b w:val="0"/>
          <w:bCs/>
          <w:sz w:val="21"/>
          <w:szCs w:val="21"/>
          <w:highlight w:val="none"/>
        </w:rPr>
        <w:t>投标人应制定详细工作计划，开展市场调研、实地考察、案例对标分析等相关工作。</w:t>
      </w:r>
    </w:p>
    <w:p w14:paraId="7D2C1ECA">
      <w:pPr>
        <w:keepNext w:val="0"/>
        <w:keepLines w:val="0"/>
        <w:pageBreakBefore w:val="0"/>
        <w:kinsoku/>
        <w:wordWrap/>
        <w:overflowPunct/>
        <w:topLinePunct w:val="0"/>
        <w:autoSpaceDE/>
        <w:autoSpaceDN/>
        <w:bidi w:val="0"/>
        <w:adjustRightInd/>
        <w:snapToGrid/>
        <w:spacing w:line="520" w:lineRule="exact"/>
        <w:ind w:firstLine="482"/>
        <w:textAlignment w:val="auto"/>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四、项目成果</w:t>
      </w:r>
    </w:p>
    <w:p w14:paraId="34961839">
      <w:pPr>
        <w:pStyle w:val="273"/>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rPr>
        <w:t>1、《盐城国家骨干冷链物流基地建设方案》文本</w:t>
      </w:r>
    </w:p>
    <w:p w14:paraId="5D505D8A">
      <w:pPr>
        <w:pStyle w:val="273"/>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rPr>
        <w:t>2、项目申报相关的汇报、评审及答辩PPT</w:t>
      </w:r>
    </w:p>
    <w:p w14:paraId="02C38371">
      <w:pPr>
        <w:keepNext w:val="0"/>
        <w:keepLines w:val="0"/>
        <w:pageBreakBefore w:val="0"/>
        <w:kinsoku/>
        <w:wordWrap/>
        <w:overflowPunct/>
        <w:topLinePunct w:val="0"/>
        <w:autoSpaceDE/>
        <w:autoSpaceDN/>
        <w:bidi w:val="0"/>
        <w:adjustRightInd/>
        <w:snapToGrid/>
        <w:spacing w:line="520" w:lineRule="exact"/>
        <w:ind w:firstLine="482"/>
        <w:textAlignment w:val="auto"/>
        <w:rPr>
          <w:rFonts w:hint="default" w:ascii="宋体" w:hAnsi="宋体" w:cs="宋体"/>
          <w:b/>
          <w:sz w:val="21"/>
          <w:szCs w:val="21"/>
          <w:highlight w:val="none"/>
          <w:lang w:val="en-US" w:eastAsia="zh-CN"/>
        </w:rPr>
      </w:pPr>
      <w:r>
        <w:rPr>
          <w:rFonts w:hint="eastAsia" w:ascii="宋体" w:hAnsi="宋体" w:cs="宋体"/>
          <w:b/>
          <w:sz w:val="21"/>
          <w:szCs w:val="21"/>
          <w:highlight w:val="none"/>
          <w:lang w:val="en-US" w:eastAsia="zh-CN"/>
        </w:rPr>
        <w:t>五、其他要求</w:t>
      </w:r>
    </w:p>
    <w:p w14:paraId="0FD36809">
      <w:pPr>
        <w:keepNext w:val="0"/>
        <w:keepLines w:val="0"/>
        <w:pageBreakBefore w:val="0"/>
        <w:kinsoku/>
        <w:wordWrap/>
        <w:overflowPunct/>
        <w:topLinePunct w:val="0"/>
        <w:autoSpaceDE/>
        <w:autoSpaceDN/>
        <w:bidi w:val="0"/>
        <w:adjustRightInd/>
        <w:snapToGrid/>
        <w:spacing w:line="520" w:lineRule="exact"/>
        <w:ind w:firstLine="480"/>
        <w:textAlignment w:val="auto"/>
        <w:rPr>
          <w:rFonts w:hint="eastAsia" w:ascii="宋体" w:hAnsi="宋体" w:cs="宋体"/>
          <w:bCs/>
          <w:sz w:val="21"/>
          <w:szCs w:val="21"/>
          <w:highlight w:val="none"/>
        </w:rPr>
      </w:pPr>
      <w:r>
        <w:rPr>
          <w:rFonts w:hint="eastAsia" w:ascii="宋体" w:hAnsi="宋体" w:cs="宋体"/>
          <w:bCs/>
          <w:sz w:val="21"/>
          <w:szCs w:val="21"/>
          <w:highlight w:val="none"/>
        </w:rPr>
        <w:t>1.供应商必须严格按照本次招标</w:t>
      </w:r>
      <w:r>
        <w:rPr>
          <w:rFonts w:hint="eastAsia" w:ascii="宋体" w:hAnsi="宋体" w:cs="宋体"/>
          <w:bCs/>
          <w:sz w:val="21"/>
          <w:szCs w:val="21"/>
          <w:highlight w:val="none"/>
          <w:lang w:val="en-US" w:eastAsia="zh-CN"/>
        </w:rPr>
        <w:t>服务</w:t>
      </w:r>
      <w:r>
        <w:rPr>
          <w:rFonts w:hint="eastAsia" w:ascii="宋体" w:hAnsi="宋体" w:cs="宋体"/>
          <w:bCs/>
          <w:sz w:val="21"/>
          <w:szCs w:val="21"/>
          <w:highlight w:val="none"/>
        </w:rPr>
        <w:t>要求进行合理报价，如后期出现</w:t>
      </w:r>
      <w:r>
        <w:rPr>
          <w:rFonts w:hint="eastAsia" w:ascii="宋体" w:hAnsi="宋体" w:cs="宋体"/>
          <w:bCs/>
          <w:sz w:val="21"/>
          <w:szCs w:val="21"/>
          <w:highlight w:val="none"/>
          <w:lang w:val="en-US" w:eastAsia="zh-CN"/>
        </w:rPr>
        <w:t>审查不合格的</w:t>
      </w:r>
      <w:r>
        <w:rPr>
          <w:rFonts w:hint="eastAsia" w:ascii="宋体" w:hAnsi="宋体" w:cs="宋体"/>
          <w:bCs/>
          <w:sz w:val="21"/>
          <w:szCs w:val="21"/>
          <w:highlight w:val="none"/>
        </w:rPr>
        <w:t>情形视同虚假承诺谋取中标成交，将被列入不良行为记录名单；</w:t>
      </w:r>
    </w:p>
    <w:p w14:paraId="652C3D71">
      <w:pPr>
        <w:keepNext w:val="0"/>
        <w:keepLines w:val="0"/>
        <w:pageBreakBefore w:val="0"/>
        <w:kinsoku/>
        <w:wordWrap/>
        <w:overflowPunct/>
        <w:topLinePunct w:val="0"/>
        <w:autoSpaceDE/>
        <w:autoSpaceDN/>
        <w:bidi w:val="0"/>
        <w:adjustRightInd/>
        <w:snapToGrid/>
        <w:spacing w:line="520" w:lineRule="exact"/>
        <w:ind w:firstLine="480"/>
        <w:textAlignment w:val="auto"/>
        <w:rPr>
          <w:rFonts w:hint="eastAsia" w:ascii="宋体" w:hAnsi="宋体" w:cs="宋体"/>
          <w:bCs/>
          <w:sz w:val="21"/>
          <w:szCs w:val="21"/>
          <w:highlight w:val="none"/>
        </w:rPr>
      </w:pPr>
      <w:r>
        <w:rPr>
          <w:rFonts w:hint="eastAsia" w:ascii="宋体" w:hAnsi="宋体" w:cs="宋体"/>
          <w:bCs/>
          <w:sz w:val="21"/>
          <w:szCs w:val="21"/>
          <w:highlight w:val="none"/>
        </w:rPr>
        <w:t>2.项目服务期间，供应商的所有的工作人员的人身安全以及供应商在服务期间产生的各类安全责任事故均由承包方自行承担；</w:t>
      </w:r>
      <w:r>
        <w:rPr>
          <w:rFonts w:hint="eastAsia" w:ascii="宋体" w:hAnsi="宋体" w:cs="宋体"/>
          <w:bCs/>
          <w:sz w:val="21"/>
          <w:szCs w:val="21"/>
          <w:highlight w:val="none"/>
          <w:lang w:val="en-US" w:eastAsia="zh-CN"/>
        </w:rPr>
        <w:t>供应商</w:t>
      </w:r>
      <w:r>
        <w:rPr>
          <w:rFonts w:hint="eastAsia" w:ascii="宋体" w:hAnsi="宋体" w:cs="宋体"/>
          <w:bCs/>
          <w:sz w:val="21"/>
          <w:szCs w:val="21"/>
          <w:highlight w:val="none"/>
        </w:rPr>
        <w:t>必须保证项目服务过程中人员及设备的安全。如因服务质量不合理、不规范，以及一切自然损坏而造成的人身伤害事故（不包括不可抗力因素），由</w:t>
      </w:r>
      <w:r>
        <w:rPr>
          <w:rFonts w:hint="eastAsia" w:ascii="宋体" w:hAnsi="宋体" w:cs="宋体"/>
          <w:bCs/>
          <w:sz w:val="21"/>
          <w:szCs w:val="21"/>
          <w:highlight w:val="none"/>
          <w:lang w:val="en-US" w:eastAsia="zh-CN"/>
        </w:rPr>
        <w:t>供应商</w:t>
      </w:r>
      <w:r>
        <w:rPr>
          <w:rFonts w:hint="eastAsia" w:ascii="宋体" w:hAnsi="宋体" w:cs="宋体"/>
          <w:bCs/>
          <w:sz w:val="21"/>
          <w:szCs w:val="21"/>
          <w:highlight w:val="none"/>
        </w:rPr>
        <w:t>承担全部责任。</w:t>
      </w:r>
    </w:p>
    <w:p w14:paraId="1F01B673">
      <w:pPr>
        <w:keepNext w:val="0"/>
        <w:keepLines w:val="0"/>
        <w:pageBreakBefore w:val="0"/>
        <w:kinsoku/>
        <w:wordWrap/>
        <w:overflowPunct/>
        <w:topLinePunct w:val="0"/>
        <w:autoSpaceDE/>
        <w:autoSpaceDN/>
        <w:bidi w:val="0"/>
        <w:adjustRightInd/>
        <w:snapToGrid/>
        <w:spacing w:line="520" w:lineRule="exact"/>
        <w:ind w:firstLine="480"/>
        <w:textAlignment w:val="auto"/>
        <w:rPr>
          <w:rFonts w:hint="eastAsia" w:ascii="宋体" w:hAnsi="宋体" w:cs="宋体"/>
          <w:bCs/>
          <w:sz w:val="21"/>
          <w:szCs w:val="21"/>
          <w:highlight w:val="none"/>
        </w:rPr>
      </w:pPr>
      <w:r>
        <w:rPr>
          <w:rFonts w:hint="eastAsia" w:ascii="宋体" w:hAnsi="宋体" w:cs="宋体"/>
          <w:bCs/>
          <w:sz w:val="21"/>
          <w:szCs w:val="21"/>
          <w:highlight w:val="none"/>
          <w:lang w:val="en-US" w:eastAsia="zh-CN"/>
        </w:rPr>
        <w:t>3</w:t>
      </w:r>
      <w:r>
        <w:rPr>
          <w:rFonts w:hint="eastAsia" w:ascii="宋体" w:hAnsi="宋体" w:cs="宋体"/>
          <w:bCs/>
          <w:sz w:val="21"/>
          <w:szCs w:val="21"/>
          <w:highlight w:val="none"/>
        </w:rPr>
        <w:t>.供应商在服务过程中涉及第三方产品知识产权情况，若出现技术、经济或法律上的纠纷，应由承包方全面承担并全权解决，并确保不影响项目的进度。</w:t>
      </w:r>
    </w:p>
    <w:p w14:paraId="15230383">
      <w:pPr>
        <w:keepNext w:val="0"/>
        <w:keepLines w:val="0"/>
        <w:pageBreakBefore w:val="0"/>
        <w:kinsoku/>
        <w:wordWrap/>
        <w:overflowPunct/>
        <w:topLinePunct w:val="0"/>
        <w:autoSpaceDE/>
        <w:autoSpaceDN/>
        <w:bidi w:val="0"/>
        <w:adjustRightInd/>
        <w:snapToGrid/>
        <w:spacing w:line="520" w:lineRule="exact"/>
        <w:ind w:firstLine="480"/>
        <w:textAlignment w:val="auto"/>
        <w:rPr>
          <w:rFonts w:hint="eastAsia" w:ascii="宋体" w:hAnsi="宋体" w:cs="宋体"/>
          <w:bCs/>
          <w:sz w:val="21"/>
          <w:szCs w:val="21"/>
          <w:highlight w:val="none"/>
        </w:rPr>
      </w:pPr>
      <w:r>
        <w:rPr>
          <w:rFonts w:hint="eastAsia" w:ascii="宋体" w:hAnsi="宋体" w:cs="宋体"/>
          <w:bCs/>
          <w:sz w:val="21"/>
          <w:szCs w:val="21"/>
          <w:highlight w:val="none"/>
        </w:rPr>
        <w:br w:type="page"/>
      </w:r>
    </w:p>
    <w:p w14:paraId="273E84B2">
      <w:pPr>
        <w:tabs>
          <w:tab w:val="center" w:pos="4718"/>
        </w:tabs>
        <w:spacing w:line="480" w:lineRule="exact"/>
        <w:jc w:val="center"/>
        <w:outlineLvl w:val="0"/>
        <w:rPr>
          <w:rFonts w:hint="eastAsia" w:ascii="宋体" w:hAnsi="宋体" w:cs="宋体"/>
          <w:b/>
          <w:sz w:val="32"/>
          <w:szCs w:val="32"/>
          <w:highlight w:val="none"/>
        </w:rPr>
      </w:pPr>
      <w:bookmarkStart w:id="28" w:name="_Toc696"/>
      <w:r>
        <w:rPr>
          <w:rFonts w:hint="eastAsia" w:ascii="宋体" w:hAnsi="宋体" w:cs="宋体"/>
          <w:b/>
          <w:sz w:val="32"/>
          <w:szCs w:val="32"/>
          <w:highlight w:val="none"/>
        </w:rPr>
        <w:t>第四章  评标办法及评分标准</w:t>
      </w:r>
      <w:bookmarkEnd w:id="27"/>
      <w:bookmarkEnd w:id="28"/>
    </w:p>
    <w:p w14:paraId="549DAE3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一、</w:t>
      </w:r>
      <w:r>
        <w:rPr>
          <w:rFonts w:hint="eastAsia" w:ascii="宋体" w:hAnsi="宋体" w:eastAsia="宋体" w:cs="宋体"/>
          <w:b/>
          <w:bCs/>
          <w:color w:val="000000"/>
          <w:sz w:val="21"/>
          <w:szCs w:val="21"/>
          <w:highlight w:val="none"/>
        </w:rPr>
        <w:t>评标办法：综合评分法。</w:t>
      </w:r>
    </w:p>
    <w:p w14:paraId="61E161C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p>
    <w:p w14:paraId="24F4C1A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p>
    <w:p w14:paraId="5388983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3. 总得分最高的即为中标候选人。</w:t>
      </w:r>
    </w:p>
    <w:p w14:paraId="2C75554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4. 推荐的中标候选人数：1名。</w:t>
      </w:r>
    </w:p>
    <w:p w14:paraId="2F4BC637">
      <w:pPr>
        <w:keepNext w:val="0"/>
        <w:keepLines w:val="0"/>
        <w:pageBreakBefore w:val="0"/>
        <w:widowControl w:val="0"/>
        <w:kinsoku/>
        <w:wordWrap/>
        <w:overflowPunct/>
        <w:topLinePunct w:val="0"/>
        <w:autoSpaceDE/>
        <w:autoSpaceDN/>
        <w:bidi w:val="0"/>
        <w:adjustRightInd/>
        <w:snapToGrid/>
        <w:spacing w:line="520" w:lineRule="exact"/>
        <w:ind w:firstLine="470"/>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二、小微企业优惠情况：</w:t>
      </w:r>
    </w:p>
    <w:p w14:paraId="1A361E92">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政府采购政策功能落实</w:t>
      </w:r>
    </w:p>
    <w:p w14:paraId="728950A0">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1、小微型企业价格扣除</w:t>
      </w:r>
    </w:p>
    <w:p w14:paraId="2E494CD0">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（1）本项目对小型和微型企业产品给予20%的扣除价格，用扣除后的价格参与评审。</w:t>
      </w:r>
    </w:p>
    <w:p w14:paraId="6E7DBAF2">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（2）供应商需按照采购文件的要求提供相应的《小微企业声明函》。</w:t>
      </w:r>
    </w:p>
    <w:p w14:paraId="5EC8E2E4">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（3）企业标准请参照《关于印发中小企业划型标准规定的通知》（工信部联企业[2011]300号）文件规定自行填写。</w:t>
      </w:r>
    </w:p>
    <w:p w14:paraId="2A59EAD5">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2、残疾人福利单位价格扣除</w:t>
      </w:r>
    </w:p>
    <w:p w14:paraId="57D39D39">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（1）本项目对残疾人福利性单位视同小型、微型企业，给予20%</w:t>
      </w:r>
    </w:p>
    <w:p w14:paraId="4AABE96B">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（2）残疾人福利单位需按照采购文件的要求提供《残疾人福利性单位声明函》。</w:t>
      </w:r>
    </w:p>
    <w:p w14:paraId="4C9362AC">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（3）残疾人福利单位标准请参照《关于促进残疾人就业政府采购政策的通知》（财库〔2017〕141号）。</w:t>
      </w:r>
    </w:p>
    <w:p w14:paraId="7EE60AB7">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3、监狱和戒毒企业价格扣除</w:t>
      </w:r>
    </w:p>
    <w:p w14:paraId="0CABE574">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（1）本项目对监狱和戒毒企业（简称监狱企业）视同小型、微型企业，给予20%</w:t>
      </w:r>
    </w:p>
    <w:p w14:paraId="1DA868EA">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6F6DBE7C">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（3）监狱企业标准请参照《关于政府采购支持监狱企业发展有关问题的通知》（财库[2014]68号）。</w:t>
      </w:r>
    </w:p>
    <w:p w14:paraId="701EBEAE">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4、残疾人福利单位、监狱企业属于小型、微型企业的，不重复享受政策。</w:t>
      </w:r>
    </w:p>
    <w:p w14:paraId="5DAD1E5D">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22189C23">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6、联合体各方均为小型、微型企业（残疾人福利单位、监狱企业）的，联合体享受20%。</w:t>
      </w:r>
    </w:p>
    <w:p w14:paraId="63B39B14">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1D6D463">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8、供应商对于投标产品的商品包装、快递包装应按照《关于印发《商品包装政府采购需求标准（试行）》、《快递包装政府采购需求标准（试行）》的通知》（财办库〔2020〕123号）执行。</w:t>
      </w:r>
    </w:p>
    <w:p w14:paraId="68C2BB02">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9、本文件中若涉及到数据中心采购，应按照《&lt;绿色数据中心政府采购需求标准（试行）&gt;的通知》（财库〔2023〕7号）执行。</w:t>
      </w:r>
    </w:p>
    <w:p w14:paraId="5548E550">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val="0"/>
          <w:bCs/>
          <w:color w:val="auto"/>
          <w:sz w:val="22"/>
          <w:szCs w:val="18"/>
          <w:highlight w:val="none"/>
        </w:rPr>
      </w:pPr>
      <w:r>
        <w:rPr>
          <w:rFonts w:hint="eastAsia" w:ascii="宋体" w:hAnsi="宋体" w:eastAsia="宋体" w:cs="宋体"/>
          <w:b/>
          <w:bCs w:val="0"/>
          <w:color w:val="auto"/>
          <w:sz w:val="22"/>
          <w:szCs w:val="18"/>
          <w:highlight w:val="none"/>
          <w:lang w:val="en-US" w:eastAsia="zh-CN"/>
        </w:rPr>
        <w:t>三</w:t>
      </w:r>
      <w:r>
        <w:rPr>
          <w:rFonts w:hint="eastAsia" w:ascii="宋体" w:hAnsi="宋体" w:eastAsia="宋体" w:cs="宋体"/>
          <w:b/>
          <w:bCs w:val="0"/>
          <w:color w:val="auto"/>
          <w:sz w:val="22"/>
          <w:szCs w:val="18"/>
          <w:highlight w:val="none"/>
        </w:rPr>
        <w:t>、评分标准</w:t>
      </w:r>
      <w:r>
        <w:rPr>
          <w:rFonts w:hint="eastAsia" w:ascii="宋体" w:hAnsi="宋体" w:eastAsia="宋体" w:cs="宋体"/>
          <w:b w:val="0"/>
          <w:bCs/>
          <w:color w:val="auto"/>
          <w:sz w:val="22"/>
          <w:szCs w:val="18"/>
          <w:highlight w:val="none"/>
        </w:rPr>
        <w:t>（总分值为100分）</w:t>
      </w:r>
    </w:p>
    <w:p w14:paraId="6663879B">
      <w:pPr>
        <w:bidi w:val="0"/>
        <w:rPr>
          <w:rFonts w:hint="eastAsia" w:ascii="Calibri" w:hAnsi="Calibri" w:eastAsia="宋体" w:cs="Times New Roman"/>
          <w:sz w:val="21"/>
          <w:szCs w:val="22"/>
        </w:rPr>
      </w:pPr>
    </w:p>
    <w:tbl>
      <w:tblPr>
        <w:tblStyle w:val="42"/>
        <w:tblpPr w:leftFromText="180" w:rightFromText="180" w:vertAnchor="text" w:horzAnchor="page" w:tblpX="1297" w:tblpY="513"/>
        <w:tblOverlap w:val="never"/>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813"/>
        <w:gridCol w:w="1125"/>
        <w:gridCol w:w="6772"/>
      </w:tblGrid>
      <w:tr w14:paraId="3F71B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67" w:type="dxa"/>
            <w:tcBorders>
              <w:top w:val="single" w:color="auto" w:sz="4" w:space="0"/>
              <w:left w:val="single" w:color="auto" w:sz="4" w:space="0"/>
              <w:bottom w:val="single" w:color="auto" w:sz="4" w:space="0"/>
              <w:right w:val="single" w:color="auto" w:sz="4" w:space="0"/>
            </w:tcBorders>
            <w:noWrap/>
            <w:vAlign w:val="center"/>
          </w:tcPr>
          <w:p w14:paraId="045AFB8A">
            <w:pPr>
              <w:tabs>
                <w:tab w:val="left" w:pos="2475"/>
              </w:tabs>
              <w:bidi w:val="0"/>
              <w:jc w:val="left"/>
              <w:rPr>
                <w:rFonts w:ascii="宋体" w:hAnsi="宋体" w:cs="宋体"/>
                <w:b/>
                <w:szCs w:val="24"/>
                <w:highlight w:val="none"/>
              </w:rPr>
            </w:pPr>
            <w:r>
              <w:rPr>
                <w:rFonts w:hint="eastAsia" w:ascii="宋体" w:hAnsi="宋体" w:cs="宋体"/>
                <w:b/>
                <w:szCs w:val="24"/>
                <w:highlight w:val="none"/>
              </w:rPr>
              <w:t>序号</w:t>
            </w:r>
          </w:p>
        </w:tc>
        <w:tc>
          <w:tcPr>
            <w:tcW w:w="813" w:type="dxa"/>
            <w:tcBorders>
              <w:top w:val="single" w:color="auto" w:sz="4" w:space="0"/>
              <w:left w:val="single" w:color="auto" w:sz="4" w:space="0"/>
              <w:bottom w:val="single" w:color="auto" w:sz="4" w:space="0"/>
              <w:right w:val="single" w:color="auto" w:sz="4" w:space="0"/>
            </w:tcBorders>
            <w:noWrap/>
            <w:vAlign w:val="center"/>
          </w:tcPr>
          <w:p w14:paraId="2D1E6D3A">
            <w:pPr>
              <w:widowControl/>
              <w:spacing w:line="280" w:lineRule="exact"/>
              <w:jc w:val="center"/>
              <w:rPr>
                <w:rFonts w:ascii="宋体" w:hAnsi="宋体" w:cs="宋体"/>
                <w:b/>
                <w:szCs w:val="24"/>
                <w:highlight w:val="none"/>
              </w:rPr>
            </w:pPr>
            <w:r>
              <w:rPr>
                <w:rFonts w:hint="eastAsia" w:ascii="宋体" w:hAnsi="宋体" w:cs="宋体"/>
                <w:b/>
                <w:szCs w:val="24"/>
                <w:highlight w:val="none"/>
              </w:rPr>
              <w:t>评分</w:t>
            </w:r>
          </w:p>
          <w:p w14:paraId="1617C4ED">
            <w:pPr>
              <w:widowControl/>
              <w:spacing w:line="280" w:lineRule="exact"/>
              <w:jc w:val="center"/>
              <w:rPr>
                <w:rFonts w:ascii="宋体" w:hAnsi="宋体" w:cs="宋体"/>
                <w:b/>
                <w:szCs w:val="24"/>
                <w:highlight w:val="none"/>
              </w:rPr>
            </w:pPr>
            <w:r>
              <w:rPr>
                <w:rFonts w:hint="eastAsia" w:ascii="宋体" w:hAnsi="宋体" w:cs="宋体"/>
                <w:b/>
                <w:szCs w:val="24"/>
                <w:highlight w:val="none"/>
              </w:rPr>
              <w:t>项目</w:t>
            </w:r>
          </w:p>
        </w:tc>
        <w:tc>
          <w:tcPr>
            <w:tcW w:w="1125" w:type="dxa"/>
            <w:tcBorders>
              <w:top w:val="single" w:color="auto" w:sz="4" w:space="0"/>
              <w:left w:val="single" w:color="auto" w:sz="4" w:space="0"/>
              <w:bottom w:val="single" w:color="auto" w:sz="4" w:space="0"/>
              <w:right w:val="single" w:color="auto" w:sz="4" w:space="0"/>
            </w:tcBorders>
            <w:noWrap/>
            <w:vAlign w:val="center"/>
          </w:tcPr>
          <w:p w14:paraId="0A3CE41F">
            <w:pPr>
              <w:widowControl/>
              <w:spacing w:line="280" w:lineRule="exact"/>
              <w:jc w:val="center"/>
              <w:rPr>
                <w:rFonts w:ascii="宋体" w:hAnsi="宋体" w:cs="宋体"/>
                <w:b/>
                <w:szCs w:val="24"/>
                <w:highlight w:val="none"/>
              </w:rPr>
            </w:pPr>
            <w:r>
              <w:rPr>
                <w:rFonts w:hint="eastAsia" w:ascii="宋体" w:hAnsi="宋体" w:cs="宋体"/>
                <w:b/>
                <w:szCs w:val="24"/>
                <w:highlight w:val="none"/>
              </w:rPr>
              <w:t>满分</w:t>
            </w:r>
          </w:p>
          <w:p w14:paraId="630EB84C">
            <w:pPr>
              <w:widowControl/>
              <w:spacing w:line="280" w:lineRule="exact"/>
              <w:jc w:val="center"/>
              <w:rPr>
                <w:rFonts w:ascii="宋体" w:hAnsi="宋体" w:cs="宋体"/>
                <w:b/>
                <w:szCs w:val="24"/>
                <w:highlight w:val="none"/>
              </w:rPr>
            </w:pPr>
            <w:r>
              <w:rPr>
                <w:rFonts w:hint="eastAsia" w:ascii="宋体" w:hAnsi="宋体" w:cs="宋体"/>
                <w:b/>
                <w:szCs w:val="24"/>
                <w:highlight w:val="none"/>
              </w:rPr>
              <w:t>分值</w:t>
            </w:r>
          </w:p>
        </w:tc>
        <w:tc>
          <w:tcPr>
            <w:tcW w:w="6772" w:type="dxa"/>
            <w:tcBorders>
              <w:top w:val="single" w:color="auto" w:sz="4" w:space="0"/>
              <w:left w:val="single" w:color="auto" w:sz="4" w:space="0"/>
              <w:bottom w:val="single" w:color="auto" w:sz="4" w:space="0"/>
              <w:right w:val="single" w:color="auto" w:sz="4" w:space="0"/>
            </w:tcBorders>
            <w:noWrap/>
            <w:vAlign w:val="center"/>
          </w:tcPr>
          <w:p w14:paraId="27AEE802">
            <w:pPr>
              <w:widowControl/>
              <w:spacing w:line="420" w:lineRule="exact"/>
              <w:jc w:val="center"/>
              <w:rPr>
                <w:rFonts w:ascii="宋体" w:hAnsi="Times New Roman" w:cs="宋体"/>
                <w:b/>
                <w:sz w:val="22"/>
                <w:szCs w:val="24"/>
                <w:highlight w:val="none"/>
              </w:rPr>
            </w:pPr>
            <w:r>
              <w:rPr>
                <w:rFonts w:hint="eastAsia" w:ascii="宋体" w:hAnsi="宋体" w:cs="宋体"/>
                <w:b/>
                <w:sz w:val="22"/>
                <w:szCs w:val="24"/>
                <w:highlight w:val="none"/>
              </w:rPr>
              <w:t>评分细则</w:t>
            </w:r>
          </w:p>
        </w:tc>
      </w:tr>
      <w:tr w14:paraId="29DE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trPr>
        <w:tc>
          <w:tcPr>
            <w:tcW w:w="567" w:type="dxa"/>
            <w:tcBorders>
              <w:top w:val="single" w:color="auto" w:sz="4" w:space="0"/>
              <w:left w:val="single" w:color="auto" w:sz="4" w:space="0"/>
              <w:bottom w:val="single" w:color="auto" w:sz="4" w:space="0"/>
              <w:right w:val="single" w:color="auto" w:sz="4" w:space="0"/>
            </w:tcBorders>
            <w:noWrap/>
            <w:vAlign w:val="center"/>
          </w:tcPr>
          <w:p w14:paraId="132C075F">
            <w:pPr>
              <w:widowControl/>
              <w:spacing w:line="400" w:lineRule="exact"/>
              <w:jc w:val="center"/>
              <w:rPr>
                <w:rFonts w:ascii="宋体" w:hAnsi="宋体" w:cs="宋体"/>
                <w:szCs w:val="24"/>
                <w:highlight w:val="none"/>
              </w:rPr>
            </w:pPr>
            <w:r>
              <w:rPr>
                <w:rFonts w:hint="eastAsia" w:ascii="宋体" w:hAnsi="宋体" w:cs="宋体"/>
                <w:szCs w:val="24"/>
                <w:highlight w:val="none"/>
              </w:rPr>
              <w:t>一</w:t>
            </w:r>
          </w:p>
        </w:tc>
        <w:tc>
          <w:tcPr>
            <w:tcW w:w="813" w:type="dxa"/>
            <w:tcBorders>
              <w:top w:val="single" w:color="auto" w:sz="4" w:space="0"/>
              <w:left w:val="single" w:color="auto" w:sz="4" w:space="0"/>
              <w:bottom w:val="single" w:color="auto" w:sz="4" w:space="0"/>
              <w:right w:val="single" w:color="auto" w:sz="4" w:space="0"/>
            </w:tcBorders>
            <w:noWrap/>
            <w:vAlign w:val="center"/>
          </w:tcPr>
          <w:p w14:paraId="51FCCA77">
            <w:pPr>
              <w:widowControl/>
              <w:spacing w:line="400" w:lineRule="exact"/>
              <w:jc w:val="center"/>
              <w:rPr>
                <w:rFonts w:ascii="宋体" w:hAnsi="宋体" w:cs="宋体"/>
                <w:szCs w:val="24"/>
                <w:highlight w:val="none"/>
              </w:rPr>
            </w:pPr>
            <w:r>
              <w:rPr>
                <w:rFonts w:hint="eastAsia" w:ascii="宋体" w:hAnsi="宋体" w:cs="宋体"/>
                <w:szCs w:val="24"/>
                <w:highlight w:val="none"/>
              </w:rPr>
              <w:t>报价</w:t>
            </w:r>
          </w:p>
          <w:p w14:paraId="23AC64AC">
            <w:pPr>
              <w:widowControl/>
              <w:spacing w:line="400" w:lineRule="exact"/>
              <w:jc w:val="center"/>
              <w:rPr>
                <w:rFonts w:ascii="宋体" w:hAnsi="宋体" w:cs="宋体"/>
                <w:szCs w:val="24"/>
                <w:highlight w:val="none"/>
              </w:rPr>
            </w:pPr>
            <w:r>
              <w:rPr>
                <w:rFonts w:hint="eastAsia" w:ascii="宋体" w:hAnsi="宋体" w:cs="宋体"/>
                <w:szCs w:val="24"/>
                <w:highlight w:val="none"/>
              </w:rPr>
              <w:t>部分</w:t>
            </w:r>
          </w:p>
        </w:tc>
        <w:tc>
          <w:tcPr>
            <w:tcW w:w="1125" w:type="dxa"/>
            <w:tcBorders>
              <w:top w:val="single" w:color="auto" w:sz="4" w:space="0"/>
              <w:left w:val="single" w:color="auto" w:sz="4" w:space="0"/>
              <w:bottom w:val="single" w:color="auto" w:sz="4" w:space="0"/>
              <w:right w:val="single" w:color="auto" w:sz="4" w:space="0"/>
            </w:tcBorders>
            <w:noWrap/>
            <w:vAlign w:val="center"/>
          </w:tcPr>
          <w:p w14:paraId="2F47E095">
            <w:pPr>
              <w:widowControl/>
              <w:spacing w:line="400" w:lineRule="exact"/>
              <w:jc w:val="center"/>
              <w:rPr>
                <w:rFonts w:ascii="宋体" w:hAnsi="宋体" w:cs="宋体"/>
                <w:szCs w:val="24"/>
                <w:highlight w:val="none"/>
              </w:rPr>
            </w:pPr>
            <w:r>
              <w:rPr>
                <w:rFonts w:hint="eastAsia" w:ascii="宋体" w:hAnsi="宋体" w:cs="宋体"/>
                <w:szCs w:val="24"/>
                <w:highlight w:val="none"/>
                <w:lang w:val="en-US" w:eastAsia="zh-CN"/>
              </w:rPr>
              <w:t>20</w:t>
            </w:r>
            <w:r>
              <w:rPr>
                <w:rFonts w:hint="eastAsia" w:ascii="宋体" w:hAnsi="宋体" w:cs="宋体"/>
                <w:szCs w:val="24"/>
                <w:highlight w:val="none"/>
              </w:rPr>
              <w:t>分</w:t>
            </w:r>
          </w:p>
        </w:tc>
        <w:tc>
          <w:tcPr>
            <w:tcW w:w="6772" w:type="dxa"/>
            <w:tcBorders>
              <w:top w:val="single" w:color="auto" w:sz="4" w:space="0"/>
              <w:left w:val="single" w:color="auto" w:sz="4" w:space="0"/>
              <w:bottom w:val="single" w:color="auto" w:sz="4" w:space="0"/>
              <w:right w:val="single" w:color="auto" w:sz="4" w:space="0"/>
            </w:tcBorders>
            <w:noWrap/>
            <w:vAlign w:val="center"/>
          </w:tcPr>
          <w:p w14:paraId="09534897">
            <w:pPr>
              <w:widowControl/>
              <w:spacing w:line="400" w:lineRule="exact"/>
              <w:jc w:val="left"/>
              <w:rPr>
                <w:rFonts w:ascii="宋体" w:hAnsi="宋体" w:cs="宋体"/>
                <w:szCs w:val="24"/>
                <w:highlight w:val="none"/>
              </w:rPr>
            </w:pPr>
            <w:r>
              <w:rPr>
                <w:rFonts w:hint="eastAsia" w:ascii="宋体" w:hAnsi="宋体" w:cs="宋体"/>
                <w:szCs w:val="24"/>
                <w:highlight w:val="none"/>
              </w:rPr>
              <w:t>满足招标文件要求且投标价格最低的有效投标报价为评标基准价，其价格分为满分</w:t>
            </w:r>
            <w:r>
              <w:rPr>
                <w:rFonts w:hint="eastAsia" w:ascii="宋体" w:hAnsi="宋体" w:cs="宋体"/>
                <w:szCs w:val="24"/>
                <w:highlight w:val="none"/>
                <w:lang w:val="en-US" w:eastAsia="zh-CN"/>
              </w:rPr>
              <w:t>20</w:t>
            </w:r>
            <w:r>
              <w:rPr>
                <w:rFonts w:hint="eastAsia" w:ascii="宋体" w:hAnsi="宋体" w:cs="宋体"/>
                <w:szCs w:val="24"/>
                <w:highlight w:val="none"/>
              </w:rPr>
              <w:t>分。其他投标人的价格分统一按照下列公式计算：投标报价得分=（评标基准价/投标报价）×</w:t>
            </w:r>
            <w:r>
              <w:rPr>
                <w:rFonts w:hint="eastAsia" w:ascii="宋体" w:hAnsi="宋体" w:cs="宋体"/>
                <w:szCs w:val="24"/>
                <w:highlight w:val="none"/>
                <w:lang w:val="en-US" w:eastAsia="zh-CN"/>
              </w:rPr>
              <w:t>20</w:t>
            </w:r>
            <w:r>
              <w:rPr>
                <w:rFonts w:hint="eastAsia" w:ascii="宋体" w:hAnsi="宋体" w:cs="宋体"/>
                <w:szCs w:val="24"/>
                <w:highlight w:val="none"/>
              </w:rPr>
              <w:t>，结果保留两位小数。</w:t>
            </w:r>
          </w:p>
          <w:p w14:paraId="170ABBAE">
            <w:pPr>
              <w:widowControl/>
              <w:spacing w:line="400" w:lineRule="exact"/>
              <w:jc w:val="left"/>
              <w:rPr>
                <w:rFonts w:ascii="宋体" w:hAnsi="宋体" w:cs="宋体"/>
                <w:szCs w:val="24"/>
                <w:highlight w:val="none"/>
              </w:rPr>
            </w:pPr>
            <w:r>
              <w:rPr>
                <w:rFonts w:hint="eastAsia" w:ascii="宋体" w:hAnsi="宋体" w:cs="宋体"/>
                <w:szCs w:val="24"/>
                <w:highlight w:val="none"/>
              </w:rPr>
              <w:t>（有效投标文件是指未被评标委员会判定为无效标的投标文件）。</w:t>
            </w:r>
          </w:p>
        </w:tc>
      </w:tr>
      <w:tr w14:paraId="1C837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trPr>
        <w:tc>
          <w:tcPr>
            <w:tcW w:w="567" w:type="dxa"/>
            <w:vMerge w:val="restart"/>
            <w:tcBorders>
              <w:top w:val="single" w:color="auto" w:sz="4" w:space="0"/>
              <w:left w:val="single" w:color="auto" w:sz="4" w:space="0"/>
              <w:right w:val="single" w:color="auto" w:sz="4" w:space="0"/>
            </w:tcBorders>
            <w:noWrap/>
            <w:vAlign w:val="center"/>
          </w:tcPr>
          <w:p w14:paraId="0964EF65">
            <w:pPr>
              <w:widowControl/>
              <w:spacing w:line="400" w:lineRule="exact"/>
              <w:jc w:val="center"/>
              <w:rPr>
                <w:rFonts w:ascii="宋体" w:hAnsi="宋体" w:cs="宋体"/>
                <w:szCs w:val="24"/>
                <w:highlight w:val="none"/>
              </w:rPr>
            </w:pPr>
            <w:r>
              <w:rPr>
                <w:rFonts w:hint="eastAsia" w:ascii="宋体" w:hAnsi="宋体" w:cs="宋体"/>
                <w:szCs w:val="24"/>
                <w:highlight w:val="none"/>
              </w:rPr>
              <w:t>二</w:t>
            </w:r>
          </w:p>
        </w:tc>
        <w:tc>
          <w:tcPr>
            <w:tcW w:w="813" w:type="dxa"/>
            <w:vMerge w:val="restart"/>
            <w:tcBorders>
              <w:top w:val="single" w:color="auto" w:sz="4" w:space="0"/>
              <w:left w:val="single" w:color="auto" w:sz="4" w:space="0"/>
              <w:right w:val="single" w:color="auto" w:sz="4" w:space="0"/>
            </w:tcBorders>
            <w:noWrap/>
            <w:vAlign w:val="center"/>
          </w:tcPr>
          <w:p w14:paraId="67CB4FB9">
            <w:pPr>
              <w:widowControl/>
              <w:spacing w:line="400" w:lineRule="exact"/>
              <w:jc w:val="center"/>
              <w:rPr>
                <w:rFonts w:ascii="宋体" w:hAnsi="宋体" w:cs="宋体"/>
                <w:szCs w:val="24"/>
                <w:highlight w:val="none"/>
              </w:rPr>
            </w:pPr>
            <w:r>
              <w:rPr>
                <w:rFonts w:hint="eastAsia" w:ascii="宋体" w:hAnsi="宋体" w:cs="宋体"/>
                <w:szCs w:val="24"/>
                <w:highlight w:val="none"/>
              </w:rPr>
              <w:t>商务部分</w:t>
            </w:r>
          </w:p>
        </w:tc>
        <w:tc>
          <w:tcPr>
            <w:tcW w:w="1125" w:type="dxa"/>
            <w:tcBorders>
              <w:top w:val="single" w:color="auto" w:sz="4" w:space="0"/>
              <w:left w:val="single" w:color="auto" w:sz="4" w:space="0"/>
              <w:bottom w:val="single" w:color="auto" w:sz="4" w:space="0"/>
              <w:right w:val="single" w:color="auto" w:sz="4" w:space="0"/>
            </w:tcBorders>
            <w:noWrap/>
            <w:vAlign w:val="center"/>
          </w:tcPr>
          <w:p w14:paraId="1B7A0BED">
            <w:pPr>
              <w:widowControl/>
              <w:spacing w:line="400" w:lineRule="exact"/>
              <w:jc w:val="center"/>
              <w:rPr>
                <w:rFonts w:hint="eastAsia" w:ascii="宋体" w:hAnsi="宋体" w:cs="宋体"/>
                <w:szCs w:val="24"/>
                <w:highlight w:val="none"/>
                <w:lang w:val="en-US" w:eastAsia="zh-CN"/>
              </w:rPr>
            </w:pPr>
            <w:r>
              <w:rPr>
                <w:rFonts w:hint="eastAsia" w:ascii="宋体" w:hAnsi="宋体" w:cs="宋体"/>
                <w:szCs w:val="24"/>
                <w:highlight w:val="none"/>
                <w:lang w:val="en-US" w:eastAsia="zh-CN"/>
              </w:rPr>
              <w:t>企业综合实力</w:t>
            </w:r>
          </w:p>
          <w:p w14:paraId="765D20DB">
            <w:pPr>
              <w:widowControl/>
              <w:spacing w:line="400" w:lineRule="exact"/>
              <w:jc w:val="center"/>
              <w:rPr>
                <w:rFonts w:hint="default" w:ascii="宋体" w:hAnsi="宋体" w:cs="宋体"/>
                <w:szCs w:val="24"/>
                <w:highlight w:val="none"/>
                <w:lang w:val="en-US" w:eastAsia="zh-CN"/>
              </w:rPr>
            </w:pPr>
            <w:r>
              <w:rPr>
                <w:rFonts w:hint="eastAsia" w:ascii="宋体" w:hAnsi="宋体" w:cs="宋体"/>
                <w:szCs w:val="24"/>
                <w:highlight w:val="none"/>
                <w:lang w:val="en-US" w:eastAsia="zh-CN"/>
              </w:rPr>
              <w:t>（5分）</w:t>
            </w:r>
          </w:p>
        </w:tc>
        <w:tc>
          <w:tcPr>
            <w:tcW w:w="6772" w:type="dxa"/>
            <w:tcBorders>
              <w:top w:val="single" w:color="auto" w:sz="4" w:space="0"/>
              <w:left w:val="single" w:color="auto" w:sz="4" w:space="0"/>
              <w:bottom w:val="single" w:color="auto" w:sz="4" w:space="0"/>
              <w:right w:val="single" w:color="auto" w:sz="4" w:space="0"/>
            </w:tcBorders>
            <w:noWrap/>
            <w:vAlign w:val="center"/>
          </w:tcPr>
          <w:p w14:paraId="7E259AD7">
            <w:pPr>
              <w:widowControl/>
              <w:spacing w:line="400" w:lineRule="exact"/>
              <w:jc w:val="left"/>
              <w:rPr>
                <w:rFonts w:hint="eastAsia" w:ascii="宋体" w:hAnsi="宋体" w:cs="宋体"/>
                <w:szCs w:val="24"/>
                <w:highlight w:val="none"/>
              </w:rPr>
            </w:pPr>
            <w:r>
              <w:rPr>
                <w:rFonts w:hint="eastAsia" w:ascii="宋体" w:hAnsi="宋体" w:cs="宋体"/>
                <w:szCs w:val="24"/>
                <w:highlight w:val="none"/>
              </w:rPr>
              <w:t>投标人具有省级以上物流相关的工程技术中心、研究中心或产学研基地等部门或机构，每提供1个得2</w:t>
            </w:r>
            <w:r>
              <w:rPr>
                <w:rFonts w:hint="eastAsia" w:ascii="宋体" w:hAnsi="宋体" w:cs="宋体"/>
                <w:szCs w:val="24"/>
                <w:highlight w:val="none"/>
                <w:lang w:val="en-US" w:eastAsia="zh-CN"/>
              </w:rPr>
              <w:t>.5</w:t>
            </w:r>
            <w:r>
              <w:rPr>
                <w:rFonts w:hint="eastAsia" w:ascii="宋体" w:hAnsi="宋体" w:cs="宋体"/>
                <w:szCs w:val="24"/>
                <w:highlight w:val="none"/>
              </w:rPr>
              <w:t>分，最多</w:t>
            </w:r>
            <w:r>
              <w:rPr>
                <w:rFonts w:hint="eastAsia" w:ascii="宋体" w:hAnsi="宋体" w:cs="宋体"/>
                <w:szCs w:val="24"/>
                <w:highlight w:val="none"/>
                <w:lang w:val="en-US" w:eastAsia="zh-CN"/>
              </w:rPr>
              <w:t>5</w:t>
            </w:r>
            <w:r>
              <w:rPr>
                <w:rFonts w:hint="eastAsia" w:ascii="宋体" w:hAnsi="宋体" w:cs="宋体"/>
                <w:szCs w:val="24"/>
                <w:highlight w:val="none"/>
              </w:rPr>
              <w:t>分。（提供相关证明文件扫描件，否则不予认可。）</w:t>
            </w:r>
          </w:p>
        </w:tc>
      </w:tr>
      <w:tr w14:paraId="60B2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4" w:hRule="atLeast"/>
        </w:trPr>
        <w:tc>
          <w:tcPr>
            <w:tcW w:w="567" w:type="dxa"/>
            <w:vMerge w:val="continue"/>
            <w:tcBorders>
              <w:left w:val="single" w:color="auto" w:sz="4" w:space="0"/>
              <w:right w:val="single" w:color="auto" w:sz="4" w:space="0"/>
            </w:tcBorders>
            <w:noWrap/>
            <w:vAlign w:val="center"/>
          </w:tcPr>
          <w:p w14:paraId="00EB696C">
            <w:pPr>
              <w:widowControl/>
              <w:spacing w:line="400" w:lineRule="exact"/>
              <w:jc w:val="center"/>
              <w:rPr>
                <w:rFonts w:ascii="宋体" w:hAnsi="宋体" w:cs="宋体"/>
                <w:szCs w:val="24"/>
                <w:highlight w:val="none"/>
              </w:rPr>
            </w:pPr>
          </w:p>
        </w:tc>
        <w:tc>
          <w:tcPr>
            <w:tcW w:w="813" w:type="dxa"/>
            <w:vMerge w:val="continue"/>
            <w:tcBorders>
              <w:left w:val="single" w:color="auto" w:sz="4" w:space="0"/>
              <w:right w:val="single" w:color="auto" w:sz="4" w:space="0"/>
            </w:tcBorders>
            <w:noWrap/>
            <w:vAlign w:val="center"/>
          </w:tcPr>
          <w:p w14:paraId="759F8B11">
            <w:pPr>
              <w:widowControl/>
              <w:spacing w:line="400" w:lineRule="exact"/>
              <w:jc w:val="center"/>
              <w:rPr>
                <w:rFonts w:ascii="宋体" w:hAnsi="宋体" w:cs="宋体"/>
                <w:szCs w:val="24"/>
                <w:highlight w:val="none"/>
              </w:rPr>
            </w:pPr>
          </w:p>
        </w:tc>
        <w:tc>
          <w:tcPr>
            <w:tcW w:w="1125" w:type="dxa"/>
            <w:tcBorders>
              <w:top w:val="single" w:color="auto" w:sz="4" w:space="0"/>
              <w:left w:val="single" w:color="auto" w:sz="4" w:space="0"/>
              <w:bottom w:val="single" w:color="auto" w:sz="4" w:space="0"/>
              <w:right w:val="single" w:color="auto" w:sz="4" w:space="0"/>
            </w:tcBorders>
            <w:noWrap/>
            <w:vAlign w:val="center"/>
          </w:tcPr>
          <w:p w14:paraId="5E460E68">
            <w:pPr>
              <w:widowControl/>
              <w:spacing w:line="400" w:lineRule="exact"/>
              <w:ind w:left="-105" w:right="-105"/>
              <w:jc w:val="center"/>
              <w:rPr>
                <w:rFonts w:ascii="宋体" w:hAnsi="宋体" w:cs="宋体"/>
                <w:szCs w:val="24"/>
                <w:highlight w:val="none"/>
              </w:rPr>
            </w:pPr>
            <w:r>
              <w:rPr>
                <w:rFonts w:hint="eastAsia" w:ascii="宋体" w:hAnsi="宋体" w:cs="宋体"/>
                <w:szCs w:val="24"/>
                <w:highlight w:val="none"/>
                <w:lang w:val="en-US" w:eastAsia="zh-CN"/>
              </w:rPr>
              <w:t>成功案例</w:t>
            </w:r>
            <w:r>
              <w:rPr>
                <w:rFonts w:hint="eastAsia" w:ascii="宋体" w:hAnsi="宋体" w:cs="宋体"/>
                <w:szCs w:val="24"/>
                <w:highlight w:val="none"/>
              </w:rPr>
              <w:t>（</w:t>
            </w:r>
            <w:r>
              <w:rPr>
                <w:rFonts w:hint="eastAsia" w:ascii="宋体" w:hAnsi="宋体" w:cs="宋体"/>
                <w:szCs w:val="24"/>
                <w:highlight w:val="none"/>
                <w:lang w:val="en-US" w:eastAsia="zh-CN"/>
              </w:rPr>
              <w:t>6</w:t>
            </w:r>
            <w:r>
              <w:rPr>
                <w:rFonts w:hint="eastAsia" w:ascii="宋体" w:hAnsi="宋体" w:cs="宋体"/>
                <w:szCs w:val="24"/>
                <w:highlight w:val="none"/>
              </w:rPr>
              <w:t>分）</w:t>
            </w:r>
          </w:p>
        </w:tc>
        <w:tc>
          <w:tcPr>
            <w:tcW w:w="6772" w:type="dxa"/>
            <w:tcBorders>
              <w:top w:val="single" w:color="auto" w:sz="4" w:space="0"/>
              <w:left w:val="single" w:color="auto" w:sz="4" w:space="0"/>
              <w:bottom w:val="single" w:color="auto" w:sz="4" w:space="0"/>
              <w:right w:val="single" w:color="auto" w:sz="4" w:space="0"/>
            </w:tcBorders>
            <w:noWrap/>
            <w:vAlign w:val="center"/>
          </w:tcPr>
          <w:p w14:paraId="2AC1FA67">
            <w:pPr>
              <w:widowControl/>
              <w:spacing w:line="400" w:lineRule="exact"/>
              <w:jc w:val="left"/>
              <w:rPr>
                <w:rFonts w:hint="eastAsia" w:ascii="宋体" w:hAnsi="宋体" w:cs="宋体"/>
                <w:szCs w:val="24"/>
                <w:highlight w:val="none"/>
              </w:rPr>
            </w:pPr>
            <w:r>
              <w:rPr>
                <w:rFonts w:hint="eastAsia" w:ascii="宋体" w:hAnsi="宋体" w:cs="宋体"/>
                <w:color w:val="C00000"/>
                <w:szCs w:val="24"/>
                <w:highlight w:val="none"/>
              </w:rPr>
              <w:t>自2018年1月1日以来（以合同签订日期为准）投标人拥有</w:t>
            </w:r>
            <w:r>
              <w:rPr>
                <w:rFonts w:hint="eastAsia" w:ascii="宋体" w:hAnsi="宋体" w:cs="宋体"/>
                <w:color w:val="C00000"/>
                <w:szCs w:val="24"/>
                <w:highlight w:val="none"/>
                <w:lang w:val="en-US" w:eastAsia="zh-CN"/>
              </w:rPr>
              <w:t>类似</w:t>
            </w:r>
            <w:r>
              <w:rPr>
                <w:rFonts w:hint="eastAsia" w:ascii="宋体" w:hAnsi="宋体" w:cs="宋体"/>
                <w:color w:val="C00000"/>
                <w:szCs w:val="24"/>
                <w:highlight w:val="none"/>
              </w:rPr>
              <w:t>相关业绩，</w:t>
            </w:r>
            <w:r>
              <w:rPr>
                <w:rFonts w:hint="eastAsia" w:ascii="宋体" w:hAnsi="宋体" w:cs="宋体"/>
                <w:szCs w:val="24"/>
                <w:highlight w:val="none"/>
              </w:rPr>
              <w:t>每提供一个项目业绩得2分，本项最多得</w:t>
            </w:r>
            <w:r>
              <w:rPr>
                <w:rFonts w:hint="eastAsia" w:ascii="宋体" w:hAnsi="宋体" w:cs="宋体"/>
                <w:szCs w:val="24"/>
                <w:highlight w:val="none"/>
                <w:lang w:val="en-US" w:eastAsia="zh-CN"/>
              </w:rPr>
              <w:t>6</w:t>
            </w:r>
            <w:r>
              <w:rPr>
                <w:rFonts w:hint="eastAsia" w:ascii="宋体" w:hAnsi="宋体" w:cs="宋体"/>
                <w:szCs w:val="24"/>
                <w:highlight w:val="none"/>
              </w:rPr>
              <w:t>分（提供合同原件扫描件，否则不予认可。）</w:t>
            </w:r>
          </w:p>
          <w:p w14:paraId="1D49365C">
            <w:pPr>
              <w:widowControl/>
              <w:spacing w:line="400" w:lineRule="exact"/>
              <w:jc w:val="left"/>
              <w:rPr>
                <w:rFonts w:ascii="宋体" w:hAnsi="宋体" w:cs="宋体"/>
                <w:szCs w:val="24"/>
                <w:highlight w:val="none"/>
              </w:rPr>
            </w:pPr>
            <w:r>
              <w:rPr>
                <w:rFonts w:hint="eastAsia" w:ascii="宋体" w:hAnsi="宋体" w:cs="宋体"/>
                <w:szCs w:val="24"/>
                <w:highlight w:val="none"/>
              </w:rPr>
              <w:t>注：上述类似项目业绩是指投标人所提供的业绩需与本项目采购内容类似的项目业绩</w:t>
            </w:r>
            <w:r>
              <w:rPr>
                <w:rFonts w:hint="eastAsia" w:ascii="宋体" w:hAnsi="宋体" w:cs="宋体"/>
                <w:spacing w:val="-2"/>
                <w:szCs w:val="24"/>
                <w:highlight w:val="none"/>
              </w:rPr>
              <w:t>。</w:t>
            </w:r>
          </w:p>
        </w:tc>
      </w:tr>
      <w:tr w14:paraId="0CD8E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5" w:hRule="atLeast"/>
        </w:trPr>
        <w:tc>
          <w:tcPr>
            <w:tcW w:w="567" w:type="dxa"/>
            <w:vMerge w:val="continue"/>
            <w:tcBorders>
              <w:left w:val="single" w:color="auto" w:sz="4" w:space="0"/>
              <w:bottom w:val="single" w:color="auto" w:sz="4" w:space="0"/>
              <w:right w:val="single" w:color="auto" w:sz="4" w:space="0"/>
            </w:tcBorders>
            <w:noWrap/>
            <w:vAlign w:val="center"/>
          </w:tcPr>
          <w:p w14:paraId="01AE1A0F">
            <w:pPr>
              <w:widowControl/>
              <w:spacing w:line="400" w:lineRule="exact"/>
              <w:jc w:val="center"/>
              <w:rPr>
                <w:rFonts w:ascii="宋体" w:hAnsi="Times New Roman" w:cs="宋体"/>
                <w:szCs w:val="24"/>
                <w:highlight w:val="yellow"/>
              </w:rPr>
            </w:pPr>
          </w:p>
        </w:tc>
        <w:tc>
          <w:tcPr>
            <w:tcW w:w="813" w:type="dxa"/>
            <w:vMerge w:val="continue"/>
            <w:tcBorders>
              <w:left w:val="single" w:color="auto" w:sz="4" w:space="0"/>
              <w:bottom w:val="single" w:color="auto" w:sz="4" w:space="0"/>
              <w:right w:val="single" w:color="auto" w:sz="4" w:space="0"/>
            </w:tcBorders>
            <w:noWrap/>
            <w:vAlign w:val="center"/>
          </w:tcPr>
          <w:p w14:paraId="4B637664">
            <w:pPr>
              <w:widowControl/>
              <w:spacing w:line="400" w:lineRule="exact"/>
              <w:jc w:val="center"/>
              <w:rPr>
                <w:rFonts w:ascii="宋体" w:hAnsi="Times New Roman" w:cs="宋体"/>
                <w:b/>
                <w:bCs/>
                <w:szCs w:val="24"/>
                <w:highlight w:val="yellow"/>
              </w:rPr>
            </w:pPr>
          </w:p>
        </w:tc>
        <w:tc>
          <w:tcPr>
            <w:tcW w:w="1125" w:type="dxa"/>
            <w:tcBorders>
              <w:top w:val="single" w:color="auto" w:sz="4" w:space="0"/>
              <w:left w:val="single" w:color="auto" w:sz="4" w:space="0"/>
              <w:bottom w:val="single" w:color="auto" w:sz="4" w:space="0"/>
              <w:right w:val="single" w:color="auto" w:sz="4" w:space="0"/>
            </w:tcBorders>
            <w:noWrap/>
            <w:vAlign w:val="center"/>
          </w:tcPr>
          <w:p w14:paraId="51CD5E01">
            <w:pPr>
              <w:widowControl/>
              <w:spacing w:line="400" w:lineRule="exact"/>
              <w:jc w:val="center"/>
              <w:rPr>
                <w:rFonts w:ascii="宋体" w:hAnsi="Times New Roman" w:cs="宋体"/>
                <w:color w:val="000000"/>
                <w:szCs w:val="24"/>
                <w:highlight w:val="none"/>
              </w:rPr>
            </w:pPr>
            <w:r>
              <w:rPr>
                <w:rFonts w:hint="eastAsia" w:ascii="宋体" w:hAnsi="宋体" w:cs="宋体"/>
                <w:color w:val="000000"/>
                <w:szCs w:val="24"/>
                <w:highlight w:val="none"/>
              </w:rPr>
              <w:t>人员</w:t>
            </w:r>
          </w:p>
          <w:p w14:paraId="7D9B8CD0">
            <w:pPr>
              <w:widowControl/>
              <w:spacing w:line="400" w:lineRule="exact"/>
              <w:jc w:val="center"/>
              <w:rPr>
                <w:rFonts w:ascii="宋体" w:hAnsi="宋体" w:cs="宋体"/>
                <w:color w:val="000000"/>
                <w:szCs w:val="24"/>
                <w:highlight w:val="none"/>
              </w:rPr>
            </w:pPr>
            <w:r>
              <w:rPr>
                <w:rFonts w:hint="eastAsia" w:ascii="宋体" w:hAnsi="宋体" w:cs="宋体"/>
                <w:color w:val="000000"/>
                <w:szCs w:val="24"/>
                <w:highlight w:val="none"/>
              </w:rPr>
              <w:t>配备</w:t>
            </w:r>
          </w:p>
          <w:p w14:paraId="350A1791">
            <w:pPr>
              <w:widowControl/>
              <w:spacing w:line="400" w:lineRule="exact"/>
              <w:jc w:val="center"/>
              <w:rPr>
                <w:rFonts w:ascii="宋体" w:hAnsi="Times New Roman" w:cs="宋体"/>
                <w:color w:val="000000"/>
                <w:szCs w:val="24"/>
                <w:highlight w:val="none"/>
              </w:rPr>
            </w:pPr>
            <w:r>
              <w:rPr>
                <w:rFonts w:hint="eastAsia" w:ascii="宋体" w:hAnsi="宋体" w:cs="宋体"/>
                <w:color w:val="000000"/>
                <w:szCs w:val="24"/>
                <w:highlight w:val="none"/>
              </w:rPr>
              <w:t>（</w:t>
            </w:r>
            <w:r>
              <w:rPr>
                <w:rFonts w:hint="eastAsia" w:ascii="宋体" w:hAnsi="宋体" w:cs="宋体"/>
                <w:color w:val="000000"/>
                <w:szCs w:val="24"/>
                <w:highlight w:val="none"/>
                <w:lang w:val="en-US" w:eastAsia="zh-CN"/>
              </w:rPr>
              <w:t>6</w:t>
            </w:r>
            <w:r>
              <w:rPr>
                <w:rFonts w:hint="eastAsia" w:ascii="宋体" w:hAnsi="宋体" w:cs="宋体"/>
                <w:color w:val="000000"/>
                <w:szCs w:val="24"/>
                <w:highlight w:val="none"/>
              </w:rPr>
              <w:t>分）</w:t>
            </w:r>
          </w:p>
        </w:tc>
        <w:tc>
          <w:tcPr>
            <w:tcW w:w="6772" w:type="dxa"/>
            <w:tcBorders>
              <w:top w:val="single" w:color="auto" w:sz="4" w:space="0"/>
              <w:left w:val="single" w:color="auto" w:sz="4" w:space="0"/>
              <w:bottom w:val="single" w:color="auto" w:sz="4" w:space="0"/>
              <w:right w:val="single" w:color="auto" w:sz="4" w:space="0"/>
            </w:tcBorders>
            <w:noWrap/>
            <w:vAlign w:val="center"/>
          </w:tcPr>
          <w:p w14:paraId="3D6FA915">
            <w:pPr>
              <w:widowControl/>
              <w:spacing w:line="360" w:lineRule="exact"/>
              <w:jc w:val="left"/>
              <w:rPr>
                <w:rFonts w:hint="default" w:ascii="宋体" w:hAnsi="宋体" w:eastAsia="宋体" w:cs="宋体"/>
                <w:color w:val="000000"/>
                <w:szCs w:val="24"/>
                <w:highlight w:val="none"/>
                <w:lang w:val="en-US" w:eastAsia="zh-CN"/>
              </w:rPr>
            </w:pPr>
            <w:r>
              <w:rPr>
                <w:rFonts w:hint="eastAsia" w:ascii="宋体" w:hAnsi="宋体" w:eastAsia="宋体" w:cs="宋体"/>
                <w:color w:val="000000"/>
                <w:szCs w:val="24"/>
                <w:highlight w:val="none"/>
              </w:rPr>
              <w:t>1、拟派的项目负责人具有高级职称（</w:t>
            </w:r>
            <w:r>
              <w:rPr>
                <w:rFonts w:hint="eastAsia" w:ascii="宋体" w:hAnsi="宋体" w:cs="宋体"/>
                <w:color w:val="000000"/>
                <w:szCs w:val="24"/>
                <w:highlight w:val="none"/>
                <w:lang w:val="en-US" w:eastAsia="zh-CN"/>
              </w:rPr>
              <w:t>副高及以上职称</w:t>
            </w:r>
            <w:r>
              <w:rPr>
                <w:rFonts w:hint="eastAsia" w:ascii="宋体" w:hAnsi="宋体" w:eastAsia="宋体" w:cs="宋体"/>
                <w:color w:val="000000"/>
                <w:szCs w:val="24"/>
                <w:highlight w:val="none"/>
              </w:rPr>
              <w:t>）得</w:t>
            </w:r>
            <w:r>
              <w:rPr>
                <w:rFonts w:hint="eastAsia" w:ascii="宋体" w:hAnsi="宋体" w:cs="宋体"/>
                <w:color w:val="000000"/>
                <w:szCs w:val="24"/>
                <w:highlight w:val="none"/>
                <w:lang w:val="en-US" w:eastAsia="zh-CN"/>
              </w:rPr>
              <w:t>1</w:t>
            </w:r>
            <w:r>
              <w:rPr>
                <w:rFonts w:hint="eastAsia" w:ascii="宋体" w:hAnsi="宋体" w:eastAsia="宋体" w:cs="宋体"/>
                <w:color w:val="000000"/>
                <w:szCs w:val="24"/>
                <w:highlight w:val="none"/>
              </w:rPr>
              <w:t>分；本项最高得</w:t>
            </w:r>
            <w:r>
              <w:rPr>
                <w:rFonts w:hint="eastAsia" w:ascii="宋体" w:hAnsi="宋体" w:cs="宋体"/>
                <w:color w:val="000000"/>
                <w:szCs w:val="24"/>
                <w:highlight w:val="none"/>
                <w:lang w:val="en-US" w:eastAsia="zh-CN"/>
              </w:rPr>
              <w:t>1</w:t>
            </w:r>
            <w:r>
              <w:rPr>
                <w:rFonts w:hint="eastAsia" w:ascii="宋体" w:hAnsi="宋体" w:eastAsia="宋体" w:cs="宋体"/>
                <w:color w:val="000000"/>
                <w:szCs w:val="24"/>
                <w:highlight w:val="none"/>
              </w:rPr>
              <w:t>分。（注：提供项目负责人证书原件扫描件，否则不加分。）</w:t>
            </w:r>
            <w:r>
              <w:rPr>
                <w:rFonts w:hint="eastAsia" w:ascii="宋体" w:hAnsi="宋体" w:cs="宋体"/>
                <w:color w:val="000000"/>
                <w:szCs w:val="24"/>
                <w:highlight w:val="none"/>
                <w:lang w:val="en-US" w:eastAsia="zh-CN"/>
              </w:rPr>
              <w:t>乡镇高级工程师不加分</w:t>
            </w:r>
          </w:p>
          <w:p w14:paraId="476C29E0">
            <w:pPr>
              <w:widowControl/>
              <w:spacing w:line="360" w:lineRule="exact"/>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2、拟派的项目负责人具有国家注册咨询工程师资格的</w:t>
            </w:r>
            <w:r>
              <w:rPr>
                <w:rFonts w:hint="eastAsia" w:ascii="宋体" w:hAnsi="宋体" w:cs="宋体"/>
                <w:color w:val="000000"/>
                <w:szCs w:val="24"/>
                <w:highlight w:val="none"/>
                <w:lang w:eastAsia="zh-CN"/>
              </w:rPr>
              <w:t>，</w:t>
            </w:r>
            <w:r>
              <w:rPr>
                <w:rFonts w:hint="eastAsia" w:ascii="宋体" w:hAnsi="宋体" w:eastAsia="宋体" w:cs="宋体"/>
                <w:color w:val="000000"/>
                <w:szCs w:val="24"/>
                <w:highlight w:val="none"/>
              </w:rPr>
              <w:t>得</w:t>
            </w:r>
            <w:r>
              <w:rPr>
                <w:rFonts w:hint="eastAsia" w:ascii="宋体" w:hAnsi="宋体" w:cs="宋体"/>
                <w:color w:val="000000"/>
                <w:szCs w:val="24"/>
                <w:highlight w:val="none"/>
                <w:lang w:val="en-US" w:eastAsia="zh-CN"/>
              </w:rPr>
              <w:t>1</w:t>
            </w:r>
            <w:r>
              <w:rPr>
                <w:rFonts w:hint="eastAsia" w:ascii="宋体" w:hAnsi="宋体" w:eastAsia="宋体" w:cs="宋体"/>
                <w:color w:val="000000"/>
                <w:szCs w:val="24"/>
                <w:highlight w:val="none"/>
              </w:rPr>
              <w:t>分，最高得</w:t>
            </w:r>
            <w:r>
              <w:rPr>
                <w:rFonts w:hint="eastAsia" w:ascii="宋体" w:hAnsi="宋体" w:cs="宋体"/>
                <w:color w:val="000000"/>
                <w:szCs w:val="24"/>
                <w:highlight w:val="none"/>
                <w:lang w:val="en-US" w:eastAsia="zh-CN"/>
              </w:rPr>
              <w:t>1</w:t>
            </w:r>
            <w:r>
              <w:rPr>
                <w:rFonts w:hint="eastAsia" w:ascii="宋体" w:hAnsi="宋体" w:eastAsia="宋体" w:cs="宋体"/>
                <w:color w:val="000000"/>
                <w:szCs w:val="24"/>
                <w:highlight w:val="none"/>
              </w:rPr>
              <w:t>分。</w:t>
            </w:r>
          </w:p>
          <w:p w14:paraId="53031F11">
            <w:pPr>
              <w:widowControl/>
              <w:spacing w:line="360" w:lineRule="exact"/>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3、拟配备项目人员中（项目负责人除外），每有一名中级职称得1分，每有一名高级职称得2分，本项最多得</w:t>
            </w:r>
            <w:r>
              <w:rPr>
                <w:rFonts w:hint="eastAsia" w:ascii="宋体" w:hAnsi="宋体" w:cs="宋体"/>
                <w:color w:val="000000"/>
                <w:szCs w:val="24"/>
                <w:highlight w:val="none"/>
                <w:lang w:val="en-US" w:eastAsia="zh-CN"/>
              </w:rPr>
              <w:t>4</w:t>
            </w:r>
            <w:r>
              <w:rPr>
                <w:rFonts w:hint="eastAsia" w:ascii="宋体" w:hAnsi="宋体" w:eastAsia="宋体" w:cs="宋体"/>
                <w:color w:val="000000"/>
                <w:szCs w:val="24"/>
                <w:highlight w:val="none"/>
              </w:rPr>
              <w:t>分（提供项目人员职称证书原件扫描件，否则不加分。）</w:t>
            </w:r>
          </w:p>
          <w:p w14:paraId="14E38D6E">
            <w:pPr>
              <w:widowControl/>
              <w:spacing w:line="360" w:lineRule="exact"/>
              <w:jc w:val="left"/>
              <w:rPr>
                <w:rFonts w:ascii="宋体" w:hAnsi="Times New Roman" w:cs="宋体"/>
                <w:color w:val="000000"/>
                <w:szCs w:val="24"/>
                <w:highlight w:val="none"/>
              </w:rPr>
            </w:pPr>
            <w:r>
              <w:rPr>
                <w:rFonts w:hint="eastAsia" w:ascii="宋体" w:hAnsi="宋体" w:eastAsia="宋体" w:cs="宋体"/>
                <w:color w:val="000000"/>
                <w:szCs w:val="24"/>
                <w:highlight w:val="none"/>
              </w:rPr>
              <w:t>注：投标文件中需提供上述人员一览表、相关证书原件扫描件及供应商为其缴纳的社保证明材料</w:t>
            </w:r>
            <w:r>
              <w:rPr>
                <w:rFonts w:hint="eastAsia" w:ascii="宋体" w:hAnsi="宋体" w:cs="宋体"/>
                <w:color w:val="000000"/>
                <w:szCs w:val="24"/>
                <w:highlight w:val="none"/>
                <w:lang w:eastAsia="zh-CN"/>
              </w:rPr>
              <w:t>（</w:t>
            </w:r>
            <w:r>
              <w:rPr>
                <w:rFonts w:hint="eastAsia" w:ascii="宋体" w:hAnsi="宋体" w:cs="宋体"/>
                <w:color w:val="000000"/>
                <w:szCs w:val="24"/>
                <w:highlight w:val="none"/>
                <w:lang w:val="en-US" w:eastAsia="zh-CN"/>
              </w:rPr>
              <w:t>社保证明材料须提供投标截止时间前六个月中任意一个月的社保证明</w:t>
            </w:r>
            <w:r>
              <w:rPr>
                <w:rFonts w:hint="eastAsia" w:ascii="宋体" w:hAnsi="宋体" w:cs="宋体"/>
                <w:color w:val="000000"/>
                <w:szCs w:val="24"/>
                <w:highlight w:val="none"/>
                <w:lang w:eastAsia="zh-CN"/>
              </w:rPr>
              <w:t>）</w:t>
            </w:r>
            <w:r>
              <w:rPr>
                <w:rFonts w:hint="eastAsia" w:ascii="宋体" w:hAnsi="宋体" w:eastAsia="宋体" w:cs="宋体"/>
                <w:color w:val="000000"/>
                <w:szCs w:val="24"/>
                <w:highlight w:val="none"/>
              </w:rPr>
              <w:t>，未提供相关资料或提供不全的不得分。</w:t>
            </w:r>
            <w:r>
              <w:rPr>
                <w:rFonts w:hint="eastAsia" w:ascii="宋体" w:hAnsi="宋体" w:cs="宋体"/>
                <w:color w:val="000000"/>
                <w:szCs w:val="24"/>
                <w:highlight w:val="none"/>
              </w:rPr>
              <w:t>在该项目中标公示上网之日起</w:t>
            </w:r>
            <w:r>
              <w:rPr>
                <w:rFonts w:hint="eastAsia" w:ascii="宋体" w:hAnsi="宋体" w:cs="宋体"/>
                <w:color w:val="000000"/>
                <w:szCs w:val="24"/>
                <w:highlight w:val="none"/>
                <w:lang w:eastAsia="zh-CN"/>
              </w:rPr>
              <w:t>一</w:t>
            </w:r>
            <w:r>
              <w:rPr>
                <w:rFonts w:hint="eastAsia" w:ascii="宋体" w:hAnsi="宋体" w:cs="宋体"/>
                <w:color w:val="000000"/>
                <w:szCs w:val="24"/>
                <w:highlight w:val="none"/>
              </w:rPr>
              <w:t>个工作日内，向招标人提供社保证明原件及官方网站查询路径核查。如未提供或提供的原件与投标时提供的证明材料不一致，将被视为在投标过程中提供虚假材料谋取中标成交，列入不良行为记录名单。</w:t>
            </w:r>
          </w:p>
        </w:tc>
      </w:tr>
      <w:tr w14:paraId="0B4D6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6" w:hRule="atLeast"/>
        </w:trPr>
        <w:tc>
          <w:tcPr>
            <w:tcW w:w="567" w:type="dxa"/>
            <w:vMerge w:val="restart"/>
            <w:tcBorders>
              <w:top w:val="single" w:color="auto" w:sz="4" w:space="0"/>
              <w:left w:val="single" w:color="auto" w:sz="4" w:space="0"/>
              <w:bottom w:val="single" w:color="auto" w:sz="4" w:space="0"/>
              <w:right w:val="single" w:color="auto" w:sz="4" w:space="0"/>
            </w:tcBorders>
            <w:noWrap/>
            <w:vAlign w:val="center"/>
          </w:tcPr>
          <w:p w14:paraId="4A525258">
            <w:pPr>
              <w:widowControl/>
              <w:spacing w:line="320" w:lineRule="exact"/>
              <w:jc w:val="center"/>
              <w:rPr>
                <w:rFonts w:ascii="宋体" w:hAnsi="Times New Roman" w:cs="宋体"/>
                <w:szCs w:val="24"/>
                <w:highlight w:val="none"/>
              </w:rPr>
            </w:pPr>
            <w:r>
              <w:rPr>
                <w:rFonts w:hint="eastAsia" w:ascii="宋体" w:hAnsi="Times New Roman" w:cs="宋体"/>
                <w:szCs w:val="24"/>
                <w:highlight w:val="none"/>
              </w:rPr>
              <w:t>三</w:t>
            </w:r>
          </w:p>
        </w:tc>
        <w:tc>
          <w:tcPr>
            <w:tcW w:w="813" w:type="dxa"/>
            <w:vMerge w:val="restart"/>
            <w:tcBorders>
              <w:top w:val="single" w:color="auto" w:sz="4" w:space="0"/>
              <w:left w:val="single" w:color="auto" w:sz="4" w:space="0"/>
              <w:bottom w:val="single" w:color="auto" w:sz="4" w:space="0"/>
              <w:right w:val="single" w:color="auto" w:sz="4" w:space="0"/>
            </w:tcBorders>
            <w:noWrap/>
            <w:vAlign w:val="center"/>
          </w:tcPr>
          <w:p w14:paraId="7939488F">
            <w:pPr>
              <w:widowControl/>
              <w:spacing w:line="320" w:lineRule="exact"/>
              <w:jc w:val="center"/>
              <w:rPr>
                <w:rFonts w:hint="eastAsia" w:ascii="宋体" w:hAnsi="宋体" w:eastAsia="宋体" w:cs="宋体"/>
                <w:color w:val="000000"/>
                <w:szCs w:val="24"/>
                <w:highlight w:val="none"/>
                <w:lang w:eastAsia="zh-CN"/>
              </w:rPr>
            </w:pPr>
            <w:r>
              <w:rPr>
                <w:rFonts w:hint="eastAsia" w:ascii="宋体" w:hAnsi="宋体" w:cs="宋体"/>
                <w:color w:val="000000"/>
                <w:szCs w:val="24"/>
                <w:highlight w:val="none"/>
              </w:rPr>
              <w:t>技术</w:t>
            </w:r>
            <w:r>
              <w:rPr>
                <w:rFonts w:hint="eastAsia" w:ascii="宋体" w:hAnsi="宋体" w:cs="宋体"/>
                <w:color w:val="000000"/>
                <w:szCs w:val="24"/>
                <w:highlight w:val="none"/>
                <w:lang w:eastAsia="zh-CN"/>
              </w:rPr>
              <w:t>方案</w:t>
            </w:r>
          </w:p>
          <w:p w14:paraId="5A73F975">
            <w:pPr>
              <w:widowControl/>
              <w:spacing w:line="320" w:lineRule="exact"/>
              <w:jc w:val="center"/>
              <w:rPr>
                <w:rFonts w:ascii="宋体" w:hAnsi="Times New Roman" w:cs="宋体"/>
                <w:b/>
                <w:bCs/>
                <w:sz w:val="13"/>
                <w:szCs w:val="13"/>
                <w:highlight w:val="none"/>
              </w:rPr>
            </w:pPr>
            <w:r>
              <w:rPr>
                <w:rFonts w:hint="eastAsia" w:ascii="宋体" w:hAnsi="宋体" w:cs="宋体"/>
                <w:color w:val="000000"/>
                <w:szCs w:val="24"/>
                <w:highlight w:val="none"/>
              </w:rPr>
              <w:t>（</w:t>
            </w:r>
            <w:r>
              <w:rPr>
                <w:rFonts w:hint="eastAsia" w:ascii="宋体" w:hAnsi="宋体" w:cs="宋体"/>
                <w:color w:val="000000"/>
                <w:szCs w:val="24"/>
                <w:highlight w:val="none"/>
                <w:lang w:val="en-US" w:eastAsia="zh-CN"/>
              </w:rPr>
              <w:t>62</w:t>
            </w:r>
            <w:r>
              <w:rPr>
                <w:rFonts w:hint="eastAsia" w:ascii="宋体" w:hAnsi="宋体" w:cs="宋体"/>
                <w:color w:val="000000"/>
                <w:szCs w:val="24"/>
                <w:highlight w:val="none"/>
              </w:rPr>
              <w:t>分）</w:t>
            </w:r>
          </w:p>
        </w:tc>
        <w:tc>
          <w:tcPr>
            <w:tcW w:w="1125" w:type="dxa"/>
            <w:tcBorders>
              <w:top w:val="single" w:color="auto" w:sz="4" w:space="0"/>
              <w:left w:val="single" w:color="auto" w:sz="4" w:space="0"/>
              <w:bottom w:val="single" w:color="auto" w:sz="4" w:space="0"/>
              <w:right w:val="single" w:color="auto" w:sz="4" w:space="0"/>
            </w:tcBorders>
            <w:noWrap/>
            <w:vAlign w:val="center"/>
          </w:tcPr>
          <w:p w14:paraId="35A0B92D">
            <w:pPr>
              <w:widowControl/>
              <w:spacing w:line="320" w:lineRule="exact"/>
              <w:jc w:val="center"/>
              <w:rPr>
                <w:rFonts w:hint="default" w:ascii="宋体" w:hAnsi="宋体" w:cs="宋体"/>
                <w:szCs w:val="24"/>
                <w:highlight w:val="none"/>
                <w:lang w:val="en-US"/>
              </w:rPr>
            </w:pPr>
            <w:r>
              <w:rPr>
                <w:rFonts w:hint="eastAsia" w:ascii="宋体" w:hAnsi="宋体" w:cs="宋体"/>
                <w:szCs w:val="24"/>
                <w:highlight w:val="none"/>
                <w:lang w:val="en-US" w:eastAsia="zh-CN"/>
              </w:rPr>
              <w:t>项目理解及掌握情况</w:t>
            </w:r>
          </w:p>
          <w:p w14:paraId="7963E303">
            <w:pPr>
              <w:widowControl/>
              <w:spacing w:line="320" w:lineRule="exact"/>
              <w:ind w:left="-105" w:right="-105"/>
              <w:jc w:val="center"/>
              <w:rPr>
                <w:rFonts w:ascii="宋体" w:hAnsi="Times New Roman" w:cs="宋体"/>
                <w:szCs w:val="21"/>
                <w:highlight w:val="none"/>
              </w:rPr>
            </w:pPr>
            <w:r>
              <w:rPr>
                <w:rFonts w:hint="eastAsia" w:ascii="宋体" w:hAnsi="宋体" w:cs="宋体"/>
                <w:szCs w:val="24"/>
                <w:highlight w:val="none"/>
              </w:rPr>
              <w:t>（</w:t>
            </w:r>
            <w:r>
              <w:rPr>
                <w:rFonts w:hint="eastAsia" w:ascii="宋体" w:hAnsi="宋体" w:cs="宋体"/>
                <w:szCs w:val="24"/>
                <w:highlight w:val="none"/>
                <w:lang w:val="en-US" w:eastAsia="zh-CN"/>
              </w:rPr>
              <w:t>10</w:t>
            </w:r>
            <w:r>
              <w:rPr>
                <w:rFonts w:hint="eastAsia" w:ascii="宋体" w:hAnsi="宋体" w:cs="宋体"/>
                <w:szCs w:val="24"/>
                <w:highlight w:val="none"/>
              </w:rPr>
              <w:t>分）</w:t>
            </w:r>
          </w:p>
        </w:tc>
        <w:tc>
          <w:tcPr>
            <w:tcW w:w="6772" w:type="dxa"/>
            <w:tcBorders>
              <w:top w:val="single" w:color="auto" w:sz="4" w:space="0"/>
              <w:left w:val="single" w:color="auto" w:sz="4" w:space="0"/>
              <w:bottom w:val="single" w:color="auto" w:sz="4" w:space="0"/>
              <w:right w:val="single" w:color="auto" w:sz="4" w:space="0"/>
            </w:tcBorders>
            <w:noWrap/>
            <w:vAlign w:val="center"/>
          </w:tcPr>
          <w:p w14:paraId="5E3B70F1">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评标委员会根据投标人针对本项目的</w:t>
            </w:r>
            <w:r>
              <w:rPr>
                <w:rFonts w:hint="eastAsia" w:ascii="宋体" w:hAnsi="宋体" w:cs="宋体"/>
                <w:color w:val="000000"/>
                <w:szCs w:val="24"/>
                <w:highlight w:val="none"/>
                <w:lang w:val="en-US" w:eastAsia="zh-CN"/>
              </w:rPr>
              <w:t>掌握情况及</w:t>
            </w:r>
            <w:r>
              <w:rPr>
                <w:rFonts w:hint="eastAsia" w:ascii="宋体" w:hAnsi="宋体" w:eastAsia="宋体" w:cs="宋体"/>
                <w:color w:val="000000"/>
                <w:szCs w:val="24"/>
                <w:highlight w:val="none"/>
                <w:lang w:val="en-US" w:eastAsia="zh-CN"/>
              </w:rPr>
              <w:t>理解认识程度进行综合打分；对项目认知明确、具体深入，对投标人提供的详细说明和分析方案进行横向比较，由评委酌情量化打分，应当将量化指标建立在同一基础或者同一标准上，使各投标文件具有可比性：</w:t>
            </w:r>
          </w:p>
          <w:p w14:paraId="452FB64B">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对项目理解全面透彻，切合实际情况，需求把握准确、总体思路清晰明了且针对性强，得</w:t>
            </w:r>
            <w:r>
              <w:rPr>
                <w:rFonts w:hint="eastAsia" w:ascii="宋体" w:hAnsi="宋体" w:cs="宋体"/>
                <w:color w:val="000000"/>
                <w:szCs w:val="24"/>
                <w:highlight w:val="none"/>
                <w:lang w:val="en-US" w:eastAsia="zh-CN"/>
              </w:rPr>
              <w:t>7</w:t>
            </w:r>
            <w:r>
              <w:rPr>
                <w:rFonts w:hint="eastAsia" w:ascii="宋体" w:hAnsi="宋体" w:eastAsia="宋体" w:cs="宋体"/>
                <w:color w:val="000000"/>
                <w:szCs w:val="24"/>
                <w:highlight w:val="none"/>
                <w:lang w:val="en-US" w:eastAsia="zh-CN"/>
              </w:rPr>
              <w:t>-10分；</w:t>
            </w:r>
          </w:p>
          <w:p w14:paraId="3DB97648">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符合实际情况，对项目理解较为深入</w:t>
            </w:r>
            <w:r>
              <w:rPr>
                <w:rFonts w:hint="eastAsia" w:ascii="宋体" w:hAnsi="宋体" w:cs="宋体"/>
                <w:color w:val="000000"/>
                <w:szCs w:val="24"/>
                <w:highlight w:val="none"/>
                <w:lang w:val="en-US" w:eastAsia="zh-CN"/>
              </w:rPr>
              <w:t>、</w:t>
            </w:r>
            <w:r>
              <w:rPr>
                <w:rFonts w:hint="eastAsia" w:ascii="宋体" w:hAnsi="宋体" w:eastAsia="宋体" w:cs="宋体"/>
                <w:color w:val="000000"/>
                <w:szCs w:val="24"/>
                <w:highlight w:val="none"/>
                <w:lang w:val="en-US" w:eastAsia="zh-CN"/>
              </w:rPr>
              <w:t>需求把握较为准确、总体思路较为清晰得</w:t>
            </w:r>
            <w:r>
              <w:rPr>
                <w:rFonts w:hint="eastAsia" w:ascii="宋体" w:hAnsi="宋体" w:cs="宋体"/>
                <w:color w:val="000000"/>
                <w:szCs w:val="24"/>
                <w:highlight w:val="none"/>
                <w:lang w:val="en-US" w:eastAsia="zh-CN"/>
              </w:rPr>
              <w:t>4</w:t>
            </w:r>
            <w:r>
              <w:rPr>
                <w:rFonts w:hint="eastAsia" w:ascii="宋体" w:hAnsi="宋体" w:eastAsia="宋体" w:cs="宋体"/>
                <w:color w:val="000000"/>
                <w:szCs w:val="24"/>
                <w:highlight w:val="none"/>
                <w:lang w:val="en-US" w:eastAsia="zh-CN"/>
              </w:rPr>
              <w:t>-</w:t>
            </w:r>
            <w:r>
              <w:rPr>
                <w:rFonts w:hint="eastAsia" w:ascii="宋体" w:hAnsi="宋体" w:cs="宋体"/>
                <w:color w:val="000000"/>
                <w:szCs w:val="24"/>
                <w:highlight w:val="none"/>
                <w:lang w:val="en-US" w:eastAsia="zh-CN"/>
              </w:rPr>
              <w:t>6.99</w:t>
            </w:r>
            <w:r>
              <w:rPr>
                <w:rFonts w:hint="eastAsia" w:ascii="宋体" w:hAnsi="宋体" w:eastAsia="宋体" w:cs="宋体"/>
                <w:color w:val="000000"/>
                <w:szCs w:val="24"/>
                <w:highlight w:val="none"/>
                <w:lang w:val="en-US" w:eastAsia="zh-CN"/>
              </w:rPr>
              <w:t>分，</w:t>
            </w:r>
          </w:p>
          <w:p w14:paraId="7ADA2EC1">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对项目理解一般</w:t>
            </w:r>
            <w:r>
              <w:rPr>
                <w:rFonts w:hint="eastAsia" w:ascii="宋体" w:hAnsi="宋体" w:cs="宋体"/>
                <w:color w:val="000000"/>
                <w:szCs w:val="24"/>
                <w:highlight w:val="none"/>
                <w:lang w:val="en-US" w:eastAsia="zh-CN"/>
              </w:rPr>
              <w:t>、</w:t>
            </w:r>
            <w:r>
              <w:rPr>
                <w:rFonts w:hint="eastAsia" w:ascii="宋体" w:hAnsi="宋体" w:eastAsia="宋体" w:cs="宋体"/>
                <w:color w:val="000000"/>
                <w:szCs w:val="24"/>
                <w:highlight w:val="none"/>
                <w:lang w:val="en-US" w:eastAsia="zh-CN"/>
              </w:rPr>
              <w:t>理解较简单、需求分析一般具体、总体思路一般清晰得</w:t>
            </w:r>
            <w:r>
              <w:rPr>
                <w:rFonts w:hint="eastAsia" w:ascii="宋体" w:hAnsi="宋体" w:cs="宋体"/>
                <w:color w:val="000000"/>
                <w:szCs w:val="24"/>
                <w:highlight w:val="none"/>
                <w:lang w:val="en-US" w:eastAsia="zh-CN"/>
              </w:rPr>
              <w:t>0.01</w:t>
            </w:r>
            <w:r>
              <w:rPr>
                <w:rFonts w:hint="eastAsia" w:ascii="宋体" w:hAnsi="宋体" w:eastAsia="宋体" w:cs="宋体"/>
                <w:color w:val="000000"/>
                <w:szCs w:val="24"/>
                <w:highlight w:val="none"/>
                <w:lang w:val="en-US" w:eastAsia="zh-CN"/>
              </w:rPr>
              <w:t>-</w:t>
            </w:r>
            <w:r>
              <w:rPr>
                <w:rFonts w:hint="eastAsia" w:ascii="宋体" w:hAnsi="宋体" w:cs="宋体"/>
                <w:color w:val="000000"/>
                <w:szCs w:val="24"/>
                <w:highlight w:val="none"/>
                <w:lang w:val="en-US" w:eastAsia="zh-CN"/>
              </w:rPr>
              <w:t>3.99</w:t>
            </w:r>
            <w:r>
              <w:rPr>
                <w:rFonts w:hint="eastAsia" w:ascii="宋体" w:hAnsi="宋体" w:eastAsia="宋体" w:cs="宋体"/>
                <w:color w:val="000000"/>
                <w:szCs w:val="24"/>
                <w:highlight w:val="none"/>
                <w:lang w:val="en-US" w:eastAsia="zh-CN"/>
              </w:rPr>
              <w:t>分，不提供不得分。</w:t>
            </w:r>
          </w:p>
        </w:tc>
      </w:tr>
      <w:tr w14:paraId="22BD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7" w:type="dxa"/>
            <w:vMerge w:val="continue"/>
            <w:tcBorders>
              <w:top w:val="single" w:color="auto" w:sz="4" w:space="0"/>
              <w:left w:val="single" w:color="auto" w:sz="4" w:space="0"/>
              <w:bottom w:val="single" w:color="auto" w:sz="4" w:space="0"/>
              <w:right w:val="single" w:color="auto" w:sz="4" w:space="0"/>
            </w:tcBorders>
            <w:noWrap/>
            <w:vAlign w:val="center"/>
          </w:tcPr>
          <w:p w14:paraId="40B9BD57">
            <w:pPr>
              <w:widowControl/>
              <w:jc w:val="left"/>
              <w:rPr>
                <w:rFonts w:ascii="宋体" w:hAnsi="Times New Roman" w:cs="宋体"/>
                <w:szCs w:val="24"/>
                <w:highlight w:val="none"/>
              </w:rPr>
            </w:pPr>
          </w:p>
        </w:tc>
        <w:tc>
          <w:tcPr>
            <w:tcW w:w="813" w:type="dxa"/>
            <w:vMerge w:val="continue"/>
            <w:tcBorders>
              <w:top w:val="single" w:color="auto" w:sz="4" w:space="0"/>
              <w:left w:val="single" w:color="auto" w:sz="4" w:space="0"/>
              <w:bottom w:val="single" w:color="auto" w:sz="4" w:space="0"/>
              <w:right w:val="single" w:color="auto" w:sz="4" w:space="0"/>
            </w:tcBorders>
            <w:noWrap/>
            <w:vAlign w:val="center"/>
          </w:tcPr>
          <w:p w14:paraId="091F9602">
            <w:pPr>
              <w:widowControl/>
              <w:jc w:val="left"/>
              <w:rPr>
                <w:rFonts w:ascii="宋体" w:hAnsi="Times New Roman" w:cs="宋体"/>
                <w:b/>
                <w:bCs/>
                <w:sz w:val="13"/>
                <w:szCs w:val="13"/>
                <w:highlight w:val="none"/>
              </w:rPr>
            </w:pPr>
          </w:p>
        </w:tc>
        <w:tc>
          <w:tcPr>
            <w:tcW w:w="1125" w:type="dxa"/>
            <w:tcBorders>
              <w:top w:val="single" w:color="auto" w:sz="4" w:space="0"/>
              <w:left w:val="single" w:color="auto" w:sz="4" w:space="0"/>
              <w:bottom w:val="single" w:color="auto" w:sz="4" w:space="0"/>
              <w:right w:val="single" w:color="auto" w:sz="4" w:space="0"/>
            </w:tcBorders>
            <w:noWrap/>
            <w:vAlign w:val="center"/>
          </w:tcPr>
          <w:p w14:paraId="5CB31DC1">
            <w:pPr>
              <w:widowControl/>
              <w:spacing w:line="320" w:lineRule="exact"/>
              <w:ind w:left="-105" w:right="-105"/>
              <w:jc w:val="center"/>
              <w:rPr>
                <w:rFonts w:ascii="宋体" w:hAnsi="Times New Roman" w:cs="宋体"/>
                <w:szCs w:val="21"/>
                <w:highlight w:val="none"/>
              </w:rPr>
            </w:pPr>
            <w:r>
              <w:rPr>
                <w:rFonts w:hint="eastAsia" w:ascii="宋体" w:hAnsi="宋体" w:cs="宋体"/>
                <w:szCs w:val="24"/>
                <w:highlight w:val="none"/>
              </w:rPr>
              <w:t>编制思路和方案（</w:t>
            </w:r>
            <w:r>
              <w:rPr>
                <w:rFonts w:hint="eastAsia" w:ascii="宋体" w:hAnsi="宋体" w:cs="宋体"/>
                <w:szCs w:val="24"/>
                <w:highlight w:val="none"/>
                <w:lang w:val="en-US" w:eastAsia="zh-CN"/>
              </w:rPr>
              <w:t>20</w:t>
            </w:r>
            <w:r>
              <w:rPr>
                <w:rFonts w:hint="eastAsia" w:ascii="宋体" w:hAnsi="宋体" w:cs="宋体"/>
                <w:szCs w:val="24"/>
                <w:highlight w:val="none"/>
              </w:rPr>
              <w:t>分）</w:t>
            </w:r>
          </w:p>
        </w:tc>
        <w:tc>
          <w:tcPr>
            <w:tcW w:w="6772" w:type="dxa"/>
            <w:tcBorders>
              <w:top w:val="single" w:color="auto" w:sz="4" w:space="0"/>
              <w:left w:val="single" w:color="auto" w:sz="4" w:space="0"/>
              <w:bottom w:val="single" w:color="auto" w:sz="4" w:space="0"/>
              <w:right w:val="single" w:color="auto" w:sz="4" w:space="0"/>
            </w:tcBorders>
            <w:noWrap/>
            <w:vAlign w:val="center"/>
          </w:tcPr>
          <w:p w14:paraId="0A96979E">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评标委员会根据投标人针对本项目编制思路和方案的完整性，规范性、科学性、可行性等情况评委酌情量化打分，应当将量化指标建立在同一基础或者同一标准上，使各投标文件具有可比性：</w:t>
            </w:r>
          </w:p>
          <w:p w14:paraId="41F8B09C">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方案内容完整，先进性、周密性最优，可行性很强</w:t>
            </w:r>
            <w:r>
              <w:rPr>
                <w:rFonts w:hint="eastAsia" w:ascii="宋体" w:hAnsi="宋体" w:cs="宋体"/>
                <w:color w:val="000000"/>
                <w:szCs w:val="24"/>
                <w:highlight w:val="none"/>
                <w:lang w:val="en-US" w:eastAsia="zh-CN"/>
              </w:rPr>
              <w:t>，针对性强、科学合理可行、表述详细</w:t>
            </w:r>
            <w:r>
              <w:rPr>
                <w:rFonts w:hint="eastAsia" w:ascii="宋体" w:hAnsi="宋体" w:eastAsia="宋体" w:cs="宋体"/>
                <w:color w:val="000000"/>
                <w:szCs w:val="24"/>
                <w:highlight w:val="none"/>
                <w:lang w:val="en-US" w:eastAsia="zh-CN"/>
              </w:rPr>
              <w:t>得</w:t>
            </w:r>
            <w:r>
              <w:rPr>
                <w:rFonts w:hint="eastAsia" w:ascii="宋体" w:hAnsi="宋体" w:cs="宋体"/>
                <w:color w:val="000000"/>
                <w:szCs w:val="24"/>
                <w:highlight w:val="none"/>
                <w:lang w:val="en-US" w:eastAsia="zh-CN"/>
              </w:rPr>
              <w:t>15-20</w:t>
            </w:r>
            <w:r>
              <w:rPr>
                <w:rFonts w:hint="eastAsia" w:ascii="宋体" w:hAnsi="宋体" w:eastAsia="宋体" w:cs="宋体"/>
                <w:color w:val="000000"/>
                <w:szCs w:val="24"/>
                <w:highlight w:val="none"/>
                <w:lang w:val="en-US" w:eastAsia="zh-CN"/>
              </w:rPr>
              <w:t>分；</w:t>
            </w:r>
          </w:p>
          <w:p w14:paraId="78918015">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方案内容比较完整，先进性、周密性中等，可行性较强</w:t>
            </w:r>
            <w:r>
              <w:rPr>
                <w:rFonts w:hint="eastAsia" w:ascii="宋体" w:hAnsi="宋体" w:cs="宋体"/>
                <w:color w:val="000000"/>
                <w:szCs w:val="24"/>
                <w:highlight w:val="none"/>
                <w:lang w:val="en-US" w:eastAsia="zh-CN"/>
              </w:rPr>
              <w:t>，有针对性、科学合理可行、表述较为详细</w:t>
            </w:r>
            <w:r>
              <w:rPr>
                <w:rFonts w:hint="eastAsia" w:ascii="宋体" w:hAnsi="宋体" w:eastAsia="宋体" w:cs="宋体"/>
                <w:color w:val="000000"/>
                <w:szCs w:val="24"/>
                <w:highlight w:val="none"/>
                <w:lang w:val="en-US" w:eastAsia="zh-CN"/>
              </w:rPr>
              <w:t>得</w:t>
            </w:r>
            <w:r>
              <w:rPr>
                <w:rFonts w:hint="eastAsia" w:ascii="宋体" w:hAnsi="宋体" w:cs="宋体"/>
                <w:color w:val="000000"/>
                <w:szCs w:val="24"/>
                <w:highlight w:val="none"/>
                <w:lang w:val="en-US" w:eastAsia="zh-CN"/>
              </w:rPr>
              <w:t>8-14.99</w:t>
            </w:r>
            <w:r>
              <w:rPr>
                <w:rFonts w:hint="eastAsia" w:ascii="宋体" w:hAnsi="宋体" w:eastAsia="宋体" w:cs="宋体"/>
                <w:color w:val="000000"/>
                <w:szCs w:val="24"/>
                <w:highlight w:val="none"/>
                <w:lang w:val="en-US" w:eastAsia="zh-CN"/>
              </w:rPr>
              <w:t>分；</w:t>
            </w:r>
          </w:p>
          <w:p w14:paraId="19B2663B">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方案内容一般完整，先进性、周密性一般，可行性一般</w:t>
            </w:r>
            <w:r>
              <w:rPr>
                <w:rFonts w:hint="eastAsia" w:ascii="宋体" w:hAnsi="宋体" w:cs="宋体"/>
                <w:color w:val="000000"/>
                <w:szCs w:val="24"/>
                <w:highlight w:val="none"/>
                <w:lang w:val="en-US" w:eastAsia="zh-CN"/>
              </w:rPr>
              <w:t>，表述一般</w:t>
            </w:r>
            <w:r>
              <w:rPr>
                <w:rFonts w:hint="eastAsia" w:ascii="宋体" w:hAnsi="宋体" w:eastAsia="宋体" w:cs="宋体"/>
                <w:color w:val="000000"/>
                <w:szCs w:val="24"/>
                <w:highlight w:val="none"/>
                <w:lang w:val="en-US" w:eastAsia="zh-CN"/>
              </w:rPr>
              <w:t>得</w:t>
            </w:r>
            <w:r>
              <w:rPr>
                <w:rFonts w:hint="eastAsia" w:ascii="宋体" w:hAnsi="宋体" w:cs="宋体"/>
                <w:color w:val="000000"/>
                <w:szCs w:val="24"/>
                <w:highlight w:val="none"/>
                <w:lang w:val="en-US" w:eastAsia="zh-CN"/>
              </w:rPr>
              <w:t>7.99-0.01</w:t>
            </w:r>
            <w:r>
              <w:rPr>
                <w:rFonts w:hint="eastAsia" w:ascii="宋体" w:hAnsi="宋体" w:eastAsia="宋体" w:cs="宋体"/>
                <w:color w:val="000000"/>
                <w:szCs w:val="24"/>
                <w:highlight w:val="none"/>
                <w:lang w:val="en-US" w:eastAsia="zh-CN"/>
              </w:rPr>
              <w:t>分；未提供的不得分。</w:t>
            </w:r>
          </w:p>
        </w:tc>
      </w:tr>
      <w:tr w14:paraId="32831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567" w:type="dxa"/>
            <w:vMerge w:val="continue"/>
            <w:tcBorders>
              <w:top w:val="single" w:color="auto" w:sz="4" w:space="0"/>
              <w:left w:val="single" w:color="auto" w:sz="4" w:space="0"/>
              <w:bottom w:val="single" w:color="auto" w:sz="4" w:space="0"/>
              <w:right w:val="single" w:color="auto" w:sz="4" w:space="0"/>
            </w:tcBorders>
            <w:noWrap/>
            <w:vAlign w:val="center"/>
          </w:tcPr>
          <w:p w14:paraId="2B8CD764">
            <w:pPr>
              <w:widowControl/>
              <w:jc w:val="left"/>
              <w:rPr>
                <w:rFonts w:ascii="宋体" w:hAnsi="Times New Roman" w:cs="宋体"/>
                <w:szCs w:val="24"/>
                <w:highlight w:val="none"/>
              </w:rPr>
            </w:pPr>
          </w:p>
        </w:tc>
        <w:tc>
          <w:tcPr>
            <w:tcW w:w="813" w:type="dxa"/>
            <w:vMerge w:val="continue"/>
            <w:tcBorders>
              <w:top w:val="single" w:color="auto" w:sz="4" w:space="0"/>
              <w:left w:val="single" w:color="auto" w:sz="4" w:space="0"/>
              <w:bottom w:val="single" w:color="auto" w:sz="4" w:space="0"/>
              <w:right w:val="single" w:color="auto" w:sz="4" w:space="0"/>
            </w:tcBorders>
            <w:noWrap/>
            <w:vAlign w:val="center"/>
          </w:tcPr>
          <w:p w14:paraId="35F97691">
            <w:pPr>
              <w:widowControl/>
              <w:jc w:val="left"/>
              <w:rPr>
                <w:rFonts w:ascii="宋体" w:hAnsi="Times New Roman" w:cs="宋体"/>
                <w:b/>
                <w:bCs/>
                <w:sz w:val="13"/>
                <w:szCs w:val="13"/>
                <w:highlight w:val="none"/>
              </w:rPr>
            </w:pPr>
          </w:p>
        </w:tc>
        <w:tc>
          <w:tcPr>
            <w:tcW w:w="1125" w:type="dxa"/>
            <w:tcBorders>
              <w:top w:val="single" w:color="auto" w:sz="4" w:space="0"/>
              <w:left w:val="single" w:color="auto" w:sz="4" w:space="0"/>
              <w:bottom w:val="single" w:color="auto" w:sz="4" w:space="0"/>
              <w:right w:val="single" w:color="auto" w:sz="4" w:space="0"/>
            </w:tcBorders>
            <w:noWrap/>
            <w:vAlign w:val="center"/>
          </w:tcPr>
          <w:p w14:paraId="68DE9FC5">
            <w:pPr>
              <w:spacing w:line="320" w:lineRule="exact"/>
              <w:ind w:left="-105" w:right="-105"/>
              <w:jc w:val="center"/>
              <w:rPr>
                <w:rFonts w:hAnsi="宋体" w:cs="宋体"/>
                <w:szCs w:val="21"/>
                <w:highlight w:val="none"/>
              </w:rPr>
            </w:pPr>
            <w:r>
              <w:rPr>
                <w:rFonts w:hint="eastAsia" w:ascii="宋体" w:hAnsi="宋体" w:cs="宋体"/>
                <w:szCs w:val="24"/>
                <w:highlight w:val="none"/>
              </w:rPr>
              <w:t>重点分析及实施策略（</w:t>
            </w:r>
            <w:r>
              <w:rPr>
                <w:rFonts w:hint="eastAsia" w:ascii="宋体" w:hAnsi="宋体" w:cs="宋体"/>
                <w:szCs w:val="24"/>
                <w:highlight w:val="none"/>
                <w:lang w:val="en-US" w:eastAsia="zh-CN"/>
              </w:rPr>
              <w:t>20</w:t>
            </w:r>
            <w:r>
              <w:rPr>
                <w:rFonts w:hint="eastAsia" w:ascii="宋体" w:hAnsi="宋体" w:cs="宋体"/>
                <w:szCs w:val="24"/>
                <w:highlight w:val="none"/>
              </w:rPr>
              <w:t>分）</w:t>
            </w:r>
          </w:p>
        </w:tc>
        <w:tc>
          <w:tcPr>
            <w:tcW w:w="6772" w:type="dxa"/>
            <w:tcBorders>
              <w:top w:val="single" w:color="auto" w:sz="4" w:space="0"/>
              <w:left w:val="single" w:color="auto" w:sz="4" w:space="0"/>
              <w:bottom w:val="single" w:color="auto" w:sz="4" w:space="0"/>
              <w:right w:val="single" w:color="auto" w:sz="4" w:space="0"/>
            </w:tcBorders>
            <w:noWrap/>
            <w:vAlign w:val="center"/>
          </w:tcPr>
          <w:p w14:paraId="50B8F4A0">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由评委根据投标人针对本项目重点分析及实施策略</w:t>
            </w:r>
            <w:r>
              <w:rPr>
                <w:rFonts w:hint="eastAsia" w:ascii="宋体" w:hAnsi="宋体" w:cs="宋体"/>
                <w:color w:val="000000"/>
                <w:szCs w:val="24"/>
                <w:highlight w:val="none"/>
                <w:lang w:val="en-US" w:eastAsia="zh-CN"/>
              </w:rPr>
              <w:t>的</w:t>
            </w:r>
            <w:r>
              <w:rPr>
                <w:rFonts w:hint="eastAsia" w:ascii="宋体" w:hAnsi="宋体" w:eastAsia="宋体" w:cs="宋体"/>
                <w:color w:val="000000"/>
                <w:szCs w:val="24"/>
                <w:highlight w:val="none"/>
                <w:lang w:val="en-US" w:eastAsia="zh-CN"/>
              </w:rPr>
              <w:t>完整</w:t>
            </w:r>
            <w:r>
              <w:rPr>
                <w:rFonts w:hint="eastAsia" w:ascii="宋体" w:hAnsi="宋体" w:cs="宋体"/>
                <w:color w:val="000000"/>
                <w:szCs w:val="24"/>
                <w:highlight w:val="none"/>
                <w:lang w:val="en-US" w:eastAsia="zh-CN"/>
              </w:rPr>
              <w:t>性</w:t>
            </w:r>
            <w:r>
              <w:rPr>
                <w:rFonts w:hint="eastAsia" w:ascii="宋体" w:hAnsi="宋体" w:eastAsia="宋体" w:cs="宋体"/>
                <w:color w:val="000000"/>
                <w:szCs w:val="24"/>
                <w:highlight w:val="none"/>
                <w:lang w:val="en-US" w:eastAsia="zh-CN"/>
              </w:rPr>
              <w:t>、合理可行性等情况进行横向比较，由评委酌情量化打分，应当将量化指标建立在同一基础或者同一标准上，使各投标文件具有可比性：</w:t>
            </w:r>
          </w:p>
          <w:p w14:paraId="0CD577FE">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对项目重点分析及实施策略完整、方案逻辑清晰、可行性很强</w:t>
            </w:r>
            <w:r>
              <w:rPr>
                <w:rFonts w:hint="eastAsia" w:ascii="宋体" w:hAnsi="宋体" w:cs="宋体"/>
                <w:color w:val="000000"/>
                <w:szCs w:val="24"/>
                <w:highlight w:val="none"/>
                <w:lang w:val="en-US" w:eastAsia="zh-CN"/>
              </w:rPr>
              <w:t>，</w:t>
            </w:r>
            <w:r>
              <w:rPr>
                <w:rFonts w:hint="eastAsia" w:ascii="宋体" w:hAnsi="宋体" w:eastAsia="宋体" w:cs="宋体"/>
                <w:color w:val="000000"/>
                <w:szCs w:val="24"/>
                <w:highlight w:val="none"/>
                <w:lang w:val="en-US" w:eastAsia="zh-CN"/>
              </w:rPr>
              <w:t>得15-20分，</w:t>
            </w:r>
          </w:p>
          <w:p w14:paraId="01AC4B1A">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对项目重点分析及实施策略基本满足项目需求</w:t>
            </w:r>
            <w:r>
              <w:rPr>
                <w:rFonts w:hint="eastAsia" w:ascii="宋体" w:hAnsi="宋体" w:cs="宋体"/>
                <w:color w:val="000000"/>
                <w:szCs w:val="24"/>
                <w:highlight w:val="none"/>
                <w:lang w:val="en-US" w:eastAsia="zh-CN"/>
              </w:rPr>
              <w:t>，</w:t>
            </w:r>
            <w:r>
              <w:rPr>
                <w:rFonts w:hint="eastAsia" w:ascii="宋体" w:hAnsi="宋体" w:eastAsia="宋体" w:cs="宋体"/>
                <w:color w:val="000000"/>
                <w:szCs w:val="24"/>
                <w:highlight w:val="none"/>
                <w:lang w:val="en-US" w:eastAsia="zh-CN"/>
              </w:rPr>
              <w:t>逻辑较清晰、可行性较强</w:t>
            </w:r>
            <w:r>
              <w:rPr>
                <w:rFonts w:hint="eastAsia" w:ascii="宋体" w:hAnsi="宋体" w:cs="宋体"/>
                <w:color w:val="000000"/>
                <w:szCs w:val="24"/>
                <w:highlight w:val="none"/>
                <w:lang w:val="en-US" w:eastAsia="zh-CN"/>
              </w:rPr>
              <w:t>，</w:t>
            </w:r>
            <w:r>
              <w:rPr>
                <w:rFonts w:hint="eastAsia" w:ascii="宋体" w:hAnsi="宋体" w:eastAsia="宋体" w:cs="宋体"/>
                <w:color w:val="000000"/>
                <w:szCs w:val="24"/>
                <w:highlight w:val="none"/>
                <w:lang w:val="en-US" w:eastAsia="zh-CN"/>
              </w:rPr>
              <w:t>得8-14</w:t>
            </w:r>
            <w:r>
              <w:rPr>
                <w:rFonts w:hint="eastAsia" w:ascii="宋体" w:hAnsi="宋体" w:cs="宋体"/>
                <w:color w:val="000000"/>
                <w:szCs w:val="24"/>
                <w:highlight w:val="none"/>
                <w:lang w:val="en-US" w:eastAsia="zh-CN"/>
              </w:rPr>
              <w:t>.99</w:t>
            </w:r>
            <w:r>
              <w:rPr>
                <w:rFonts w:hint="eastAsia" w:ascii="宋体" w:hAnsi="宋体" w:eastAsia="宋体" w:cs="宋体"/>
                <w:color w:val="000000"/>
                <w:szCs w:val="24"/>
                <w:highlight w:val="none"/>
                <w:lang w:val="en-US" w:eastAsia="zh-CN"/>
              </w:rPr>
              <w:t>分，</w:t>
            </w:r>
          </w:p>
          <w:p w14:paraId="24E7819B">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对项目重点分析及实施策略不完整，逻辑一般清晰</w:t>
            </w:r>
            <w:r>
              <w:rPr>
                <w:rFonts w:hint="eastAsia" w:ascii="宋体" w:hAnsi="宋体" w:cs="宋体"/>
                <w:color w:val="000000"/>
                <w:szCs w:val="24"/>
                <w:highlight w:val="none"/>
                <w:lang w:val="en-US" w:eastAsia="zh-CN"/>
              </w:rPr>
              <w:t>、</w:t>
            </w:r>
            <w:r>
              <w:rPr>
                <w:rFonts w:hint="eastAsia" w:ascii="宋体" w:hAnsi="宋体" w:eastAsia="宋体" w:cs="宋体"/>
                <w:color w:val="000000"/>
                <w:szCs w:val="24"/>
                <w:highlight w:val="none"/>
                <w:lang w:val="en-US" w:eastAsia="zh-CN"/>
              </w:rPr>
              <w:t>可行性低的</w:t>
            </w:r>
            <w:r>
              <w:rPr>
                <w:rFonts w:hint="eastAsia" w:ascii="宋体" w:hAnsi="宋体" w:cs="宋体"/>
                <w:color w:val="000000"/>
                <w:szCs w:val="24"/>
                <w:highlight w:val="none"/>
                <w:lang w:val="en-US" w:eastAsia="zh-CN"/>
              </w:rPr>
              <w:t>，</w:t>
            </w:r>
            <w:r>
              <w:rPr>
                <w:rFonts w:hint="eastAsia" w:ascii="宋体" w:hAnsi="宋体" w:eastAsia="宋体" w:cs="宋体"/>
                <w:color w:val="000000"/>
                <w:szCs w:val="24"/>
                <w:highlight w:val="none"/>
                <w:lang w:val="en-US" w:eastAsia="zh-CN"/>
              </w:rPr>
              <w:t>得</w:t>
            </w:r>
            <w:r>
              <w:rPr>
                <w:rFonts w:hint="eastAsia" w:ascii="宋体" w:hAnsi="宋体" w:cs="宋体"/>
                <w:color w:val="000000"/>
                <w:szCs w:val="24"/>
                <w:highlight w:val="none"/>
                <w:lang w:val="en-US" w:eastAsia="zh-CN"/>
              </w:rPr>
              <w:t>7.99-0.01</w:t>
            </w:r>
            <w:r>
              <w:rPr>
                <w:rFonts w:hint="eastAsia" w:ascii="宋体" w:hAnsi="宋体" w:eastAsia="宋体" w:cs="宋体"/>
                <w:color w:val="000000"/>
                <w:szCs w:val="24"/>
                <w:highlight w:val="none"/>
                <w:lang w:val="en-US" w:eastAsia="zh-CN"/>
              </w:rPr>
              <w:t>分，不提供不得分。未提供的不得分。</w:t>
            </w:r>
          </w:p>
        </w:tc>
      </w:tr>
      <w:tr w14:paraId="65203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567" w:type="dxa"/>
            <w:vMerge w:val="continue"/>
            <w:tcBorders>
              <w:top w:val="single" w:color="auto" w:sz="4" w:space="0"/>
              <w:left w:val="single" w:color="auto" w:sz="4" w:space="0"/>
              <w:bottom w:val="single" w:color="auto" w:sz="4" w:space="0"/>
              <w:right w:val="single" w:color="auto" w:sz="4" w:space="0"/>
            </w:tcBorders>
            <w:noWrap/>
            <w:vAlign w:val="center"/>
          </w:tcPr>
          <w:p w14:paraId="53F8F678">
            <w:pPr>
              <w:widowControl/>
              <w:jc w:val="left"/>
              <w:rPr>
                <w:rFonts w:ascii="宋体" w:hAnsi="Times New Roman" w:cs="宋体"/>
                <w:szCs w:val="24"/>
                <w:highlight w:val="none"/>
              </w:rPr>
            </w:pPr>
          </w:p>
        </w:tc>
        <w:tc>
          <w:tcPr>
            <w:tcW w:w="813" w:type="dxa"/>
            <w:vMerge w:val="continue"/>
            <w:tcBorders>
              <w:top w:val="single" w:color="auto" w:sz="4" w:space="0"/>
              <w:left w:val="single" w:color="auto" w:sz="4" w:space="0"/>
              <w:bottom w:val="single" w:color="auto" w:sz="4" w:space="0"/>
              <w:right w:val="single" w:color="auto" w:sz="4" w:space="0"/>
            </w:tcBorders>
            <w:noWrap/>
            <w:vAlign w:val="center"/>
          </w:tcPr>
          <w:p w14:paraId="02A69E59">
            <w:pPr>
              <w:widowControl/>
              <w:jc w:val="left"/>
              <w:rPr>
                <w:rFonts w:ascii="宋体" w:hAnsi="Times New Roman" w:cs="宋体"/>
                <w:b/>
                <w:bCs/>
                <w:sz w:val="13"/>
                <w:szCs w:val="13"/>
                <w:highlight w:val="none"/>
              </w:rPr>
            </w:pPr>
          </w:p>
        </w:tc>
        <w:tc>
          <w:tcPr>
            <w:tcW w:w="1125" w:type="dxa"/>
            <w:tcBorders>
              <w:top w:val="single" w:color="auto" w:sz="4" w:space="0"/>
              <w:left w:val="single" w:color="auto" w:sz="4" w:space="0"/>
              <w:bottom w:val="single" w:color="auto" w:sz="4" w:space="0"/>
              <w:right w:val="single" w:color="auto" w:sz="4" w:space="0"/>
            </w:tcBorders>
            <w:noWrap/>
            <w:vAlign w:val="center"/>
          </w:tcPr>
          <w:p w14:paraId="4BEC0ADB">
            <w:pPr>
              <w:widowControl/>
              <w:spacing w:line="320" w:lineRule="exact"/>
              <w:ind w:left="-105" w:right="-105"/>
              <w:jc w:val="center"/>
              <w:rPr>
                <w:rFonts w:hAnsi="宋体" w:cs="宋体"/>
                <w:szCs w:val="21"/>
                <w:highlight w:val="none"/>
              </w:rPr>
            </w:pPr>
            <w:r>
              <w:rPr>
                <w:rFonts w:hint="eastAsia" w:ascii="宋体" w:hAnsi="宋体" w:cs="宋体"/>
                <w:szCs w:val="24"/>
                <w:highlight w:val="none"/>
              </w:rPr>
              <w:t>服务质量控制及保证措施（</w:t>
            </w:r>
            <w:r>
              <w:rPr>
                <w:rFonts w:hint="eastAsia" w:ascii="宋体" w:hAnsi="宋体" w:cs="宋体"/>
                <w:szCs w:val="24"/>
                <w:highlight w:val="none"/>
                <w:lang w:val="en-US" w:eastAsia="zh-CN"/>
              </w:rPr>
              <w:t>12</w:t>
            </w:r>
            <w:r>
              <w:rPr>
                <w:rFonts w:hint="eastAsia" w:ascii="宋体" w:hAnsi="宋体" w:cs="宋体"/>
                <w:szCs w:val="24"/>
                <w:highlight w:val="none"/>
              </w:rPr>
              <w:t>分）</w:t>
            </w:r>
          </w:p>
        </w:tc>
        <w:tc>
          <w:tcPr>
            <w:tcW w:w="6772" w:type="dxa"/>
            <w:tcBorders>
              <w:top w:val="single" w:color="auto" w:sz="4" w:space="0"/>
              <w:left w:val="single" w:color="auto" w:sz="4" w:space="0"/>
              <w:bottom w:val="single" w:color="auto" w:sz="4" w:space="0"/>
              <w:right w:val="single" w:color="auto" w:sz="4" w:space="0"/>
            </w:tcBorders>
            <w:noWrap/>
            <w:vAlign w:val="center"/>
          </w:tcPr>
          <w:p w14:paraId="6510B824">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由评委根据根据投标人针对本项目的服务质量控制方案及保证措施等方面进行横向比较，由评委酌情量化打分，应当将量化指标建立在同一基础或者同一标准上，使各投标文件具有可比性：</w:t>
            </w:r>
          </w:p>
          <w:p w14:paraId="74CA7C74">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服务质量控制方案及保证措施内容完整、针对性强、合理可行得</w:t>
            </w:r>
            <w:r>
              <w:rPr>
                <w:rFonts w:hint="eastAsia" w:ascii="宋体" w:hAnsi="宋体" w:cs="宋体"/>
                <w:color w:val="000000"/>
                <w:szCs w:val="24"/>
                <w:highlight w:val="none"/>
                <w:lang w:val="en-US" w:eastAsia="zh-CN"/>
              </w:rPr>
              <w:t>8</w:t>
            </w:r>
            <w:r>
              <w:rPr>
                <w:rFonts w:hint="eastAsia" w:ascii="宋体" w:hAnsi="宋体" w:eastAsia="宋体" w:cs="宋体"/>
                <w:color w:val="000000"/>
                <w:szCs w:val="24"/>
                <w:highlight w:val="none"/>
                <w:lang w:val="en-US" w:eastAsia="zh-CN"/>
              </w:rPr>
              <w:t>-</w:t>
            </w:r>
            <w:r>
              <w:rPr>
                <w:rFonts w:hint="eastAsia" w:ascii="宋体" w:hAnsi="宋体" w:cs="宋体"/>
                <w:color w:val="000000"/>
                <w:szCs w:val="24"/>
                <w:highlight w:val="none"/>
                <w:lang w:val="en-US" w:eastAsia="zh-CN"/>
              </w:rPr>
              <w:t>12</w:t>
            </w:r>
            <w:r>
              <w:rPr>
                <w:rFonts w:hint="eastAsia" w:ascii="宋体" w:hAnsi="宋体" w:eastAsia="宋体" w:cs="宋体"/>
                <w:color w:val="000000"/>
                <w:szCs w:val="24"/>
                <w:highlight w:val="none"/>
                <w:lang w:val="en-US" w:eastAsia="zh-CN"/>
              </w:rPr>
              <w:t>分；</w:t>
            </w:r>
          </w:p>
          <w:p w14:paraId="51030C6A">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服务质量控制方案及保证措施内容较为完整，有针对性得</w:t>
            </w:r>
            <w:r>
              <w:rPr>
                <w:rFonts w:hint="eastAsia" w:ascii="宋体" w:hAnsi="宋体" w:cs="宋体"/>
                <w:color w:val="000000"/>
                <w:szCs w:val="24"/>
                <w:highlight w:val="none"/>
                <w:lang w:val="en-US" w:eastAsia="zh-CN"/>
              </w:rPr>
              <w:t>7.99-</w:t>
            </w:r>
            <w:r>
              <w:rPr>
                <w:rFonts w:hint="eastAsia" w:ascii="宋体" w:hAnsi="宋体" w:eastAsia="宋体" w:cs="宋体"/>
                <w:color w:val="000000"/>
                <w:szCs w:val="24"/>
                <w:highlight w:val="none"/>
                <w:lang w:val="en-US" w:eastAsia="zh-CN"/>
              </w:rPr>
              <w:t>-</w:t>
            </w:r>
            <w:r>
              <w:rPr>
                <w:rFonts w:hint="eastAsia" w:ascii="宋体" w:hAnsi="宋体" w:cs="宋体"/>
                <w:color w:val="000000"/>
                <w:szCs w:val="24"/>
                <w:highlight w:val="none"/>
                <w:lang w:val="en-US" w:eastAsia="zh-CN"/>
              </w:rPr>
              <w:t>4</w:t>
            </w:r>
            <w:r>
              <w:rPr>
                <w:rFonts w:hint="eastAsia" w:ascii="宋体" w:hAnsi="宋体" w:eastAsia="宋体" w:cs="宋体"/>
                <w:color w:val="000000"/>
                <w:szCs w:val="24"/>
                <w:highlight w:val="none"/>
                <w:lang w:val="en-US" w:eastAsia="zh-CN"/>
              </w:rPr>
              <w:t>分</w:t>
            </w:r>
          </w:p>
          <w:p w14:paraId="50F98D5B">
            <w:pPr>
              <w:widowControl/>
              <w:spacing w:line="360" w:lineRule="exact"/>
              <w:jc w:val="lef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，服务质量控制方案及保证措施一般，可行性低的得</w:t>
            </w:r>
            <w:r>
              <w:rPr>
                <w:rFonts w:hint="eastAsia" w:ascii="宋体" w:hAnsi="宋体" w:cs="宋体"/>
                <w:color w:val="000000"/>
                <w:szCs w:val="24"/>
                <w:highlight w:val="none"/>
                <w:lang w:val="en-US" w:eastAsia="zh-CN"/>
              </w:rPr>
              <w:t>3.99-0.01</w:t>
            </w:r>
            <w:r>
              <w:rPr>
                <w:rFonts w:hint="eastAsia" w:ascii="宋体" w:hAnsi="宋体" w:eastAsia="宋体" w:cs="宋体"/>
                <w:color w:val="000000"/>
                <w:szCs w:val="24"/>
                <w:highlight w:val="none"/>
                <w:lang w:val="en-US" w:eastAsia="zh-CN"/>
              </w:rPr>
              <w:t>分，不提供不得分。</w:t>
            </w:r>
          </w:p>
        </w:tc>
      </w:tr>
      <w:tr w14:paraId="63BC7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567" w:type="dxa"/>
            <w:tcBorders>
              <w:top w:val="single" w:color="auto" w:sz="4" w:space="0"/>
              <w:left w:val="single" w:color="auto" w:sz="4" w:space="0"/>
              <w:bottom w:val="single" w:color="auto" w:sz="4" w:space="0"/>
              <w:right w:val="single" w:color="auto" w:sz="4" w:space="0"/>
            </w:tcBorders>
            <w:noWrap/>
            <w:vAlign w:val="center"/>
          </w:tcPr>
          <w:p w14:paraId="75253CFB">
            <w:pPr>
              <w:widowControl/>
              <w:jc w:val="left"/>
              <w:rPr>
                <w:rFonts w:hint="eastAsia" w:ascii="宋体" w:hAnsi="Times New Roman" w:eastAsia="宋体" w:cs="宋体"/>
                <w:szCs w:val="24"/>
                <w:highlight w:val="none"/>
                <w:lang w:val="en-US" w:eastAsia="zh-CN"/>
              </w:rPr>
            </w:pPr>
            <w:r>
              <w:rPr>
                <w:rFonts w:hint="eastAsia" w:ascii="宋体" w:hAnsi="Times New Roman" w:cs="宋体"/>
                <w:szCs w:val="24"/>
                <w:highlight w:val="none"/>
                <w:lang w:val="en-US" w:eastAsia="zh-CN"/>
              </w:rPr>
              <w:t>四</w:t>
            </w:r>
          </w:p>
        </w:tc>
        <w:tc>
          <w:tcPr>
            <w:tcW w:w="1938" w:type="dxa"/>
            <w:gridSpan w:val="2"/>
            <w:tcBorders>
              <w:top w:val="single" w:color="auto" w:sz="4" w:space="0"/>
              <w:left w:val="single" w:color="auto" w:sz="4" w:space="0"/>
              <w:bottom w:val="single" w:color="auto" w:sz="4" w:space="0"/>
              <w:right w:val="single" w:color="auto" w:sz="4" w:space="0"/>
            </w:tcBorders>
            <w:noWrap/>
            <w:vAlign w:val="center"/>
          </w:tcPr>
          <w:p w14:paraId="3AB40597">
            <w:pPr>
              <w:spacing w:line="360" w:lineRule="auto"/>
              <w:jc w:val="center"/>
              <w:rPr>
                <w:rFonts w:hint="eastAsia" w:ascii="宋体" w:hAnsi="宋体" w:eastAsia="宋体" w:cs="宋体"/>
                <w:sz w:val="21"/>
                <w:szCs w:val="24"/>
                <w:lang w:eastAsia="zh-CN"/>
              </w:rPr>
            </w:pPr>
            <w:r>
              <w:rPr>
                <w:rFonts w:hint="eastAsia" w:ascii="宋体" w:hAnsi="宋体" w:cs="宋体"/>
                <w:szCs w:val="24"/>
              </w:rPr>
              <w:t>承诺书</w:t>
            </w:r>
            <w:r>
              <w:rPr>
                <w:rFonts w:hint="eastAsia" w:ascii="宋体" w:hAnsi="宋体" w:cs="宋体"/>
                <w:szCs w:val="24"/>
                <w:lang w:eastAsia="zh-CN"/>
              </w:rPr>
              <w:t>（</w:t>
            </w:r>
            <w:r>
              <w:rPr>
                <w:rFonts w:hint="eastAsia" w:ascii="宋体" w:hAnsi="宋体" w:cs="宋体"/>
                <w:szCs w:val="24"/>
                <w:lang w:val="en-US" w:eastAsia="zh-CN"/>
              </w:rPr>
              <w:t>1分</w:t>
            </w:r>
            <w:r>
              <w:rPr>
                <w:rFonts w:hint="eastAsia" w:ascii="宋体" w:hAnsi="宋体" w:cs="宋体"/>
                <w:szCs w:val="24"/>
                <w:lang w:eastAsia="zh-CN"/>
              </w:rPr>
              <w:t>）</w:t>
            </w:r>
          </w:p>
        </w:tc>
        <w:tc>
          <w:tcPr>
            <w:tcW w:w="6772" w:type="dxa"/>
            <w:tcBorders>
              <w:top w:val="single" w:color="auto" w:sz="4" w:space="0"/>
              <w:left w:val="single" w:color="auto" w:sz="4" w:space="0"/>
              <w:bottom w:val="single" w:color="auto" w:sz="4" w:space="0"/>
              <w:right w:val="single" w:color="auto" w:sz="4" w:space="0"/>
            </w:tcBorders>
            <w:noWrap/>
            <w:vAlign w:val="center"/>
          </w:tcPr>
          <w:p w14:paraId="36B09B52">
            <w:pPr>
              <w:spacing w:line="360" w:lineRule="auto"/>
              <w:jc w:val="left"/>
              <w:rPr>
                <w:rFonts w:hint="eastAsia" w:ascii="宋体" w:hAnsi="宋体" w:eastAsia="宋体" w:cs="宋体"/>
                <w:sz w:val="21"/>
                <w:szCs w:val="24"/>
                <w:lang w:val="en-US" w:eastAsia="zh-CN"/>
              </w:rPr>
            </w:pPr>
            <w:r>
              <w:rPr>
                <w:rFonts w:hint="eastAsia" w:ascii="宋体" w:hAnsi="宋体" w:cs="宋体"/>
                <w:szCs w:val="24"/>
              </w:rPr>
              <w:t>提供盐城市政府采购事前信用承诺书的，得</w:t>
            </w:r>
            <w:r>
              <w:rPr>
                <w:rFonts w:ascii="宋体" w:hAnsi="宋体" w:cs="宋体"/>
                <w:szCs w:val="24"/>
              </w:rPr>
              <w:t>1</w:t>
            </w:r>
            <w:r>
              <w:rPr>
                <w:rFonts w:hint="eastAsia" w:ascii="宋体" w:hAnsi="宋体" w:cs="宋体"/>
                <w:szCs w:val="24"/>
              </w:rPr>
              <w:t>分。</w:t>
            </w:r>
          </w:p>
        </w:tc>
      </w:tr>
    </w:tbl>
    <w:p w14:paraId="6D4F79D7">
      <w:pPr>
        <w:adjustRightInd w:val="0"/>
        <w:snapToGrid w:val="0"/>
        <w:spacing w:line="500" w:lineRule="exact"/>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注：投标人的最终总得分为上述评分因素的总和。</w:t>
      </w:r>
    </w:p>
    <w:p w14:paraId="2CA150E2">
      <w:pPr>
        <w:adjustRightInd w:val="0"/>
        <w:snapToGrid w:val="0"/>
        <w:spacing w:line="500" w:lineRule="exact"/>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投标报价是中标的一个重要因素，但最低报价不是中标的唯一依据。</w:t>
      </w:r>
    </w:p>
    <w:p w14:paraId="2A8E5128">
      <w:pPr>
        <w:pStyle w:val="5"/>
        <w:tabs>
          <w:tab w:val="left" w:pos="1260"/>
        </w:tabs>
        <w:adjustRightInd w:val="0"/>
        <w:snapToGrid w:val="0"/>
        <w:spacing w:before="0" w:after="0" w:line="500" w:lineRule="exact"/>
        <w:rPr>
          <w:rFonts w:ascii="宋体" w:hAnsi="宋体"/>
          <w:color w:val="000000" w:themeColor="text1"/>
          <w:sz w:val="21"/>
          <w:szCs w:val="21"/>
          <w14:textFill>
            <w14:solidFill>
              <w14:schemeClr w14:val="tx1"/>
            </w14:solidFill>
          </w14:textFill>
        </w:rPr>
      </w:pPr>
      <w:bookmarkStart w:id="29" w:name="_Toc7389"/>
      <w:bookmarkStart w:id="30" w:name="_Toc397928608"/>
      <w:bookmarkStart w:id="31" w:name="_Toc9261"/>
      <w:bookmarkStart w:id="32" w:name="_Toc9794"/>
      <w:bookmarkStart w:id="33" w:name="_Toc20637"/>
      <w:bookmarkStart w:id="34" w:name="_Hlk81817387"/>
      <w:r>
        <w:rPr>
          <w:rFonts w:hint="eastAsia" w:ascii="宋体" w:hAnsi="宋体"/>
          <w:color w:val="000000" w:themeColor="text1"/>
          <w:sz w:val="21"/>
          <w:szCs w:val="21"/>
          <w:lang w:val="en-US" w:eastAsia="zh-CN"/>
          <w14:textFill>
            <w14:solidFill>
              <w14:schemeClr w14:val="tx1"/>
            </w14:solidFill>
          </w14:textFill>
        </w:rPr>
        <w:t>四</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详细评审</w:t>
      </w:r>
      <w:bookmarkEnd w:id="29"/>
      <w:bookmarkEnd w:id="30"/>
      <w:bookmarkEnd w:id="31"/>
      <w:bookmarkEnd w:id="32"/>
      <w:bookmarkEnd w:id="33"/>
    </w:p>
    <w:p w14:paraId="5D4645BA">
      <w:pPr>
        <w:adjustRightInd w:val="0"/>
        <w:snapToGrid w:val="0"/>
        <w:spacing w:line="500" w:lineRule="exact"/>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4.1</w:t>
      </w:r>
      <w:r>
        <w:rPr>
          <w:rFonts w:hint="eastAsia" w:ascii="宋体" w:hAnsi="宋体"/>
          <w:color w:val="000000" w:themeColor="text1"/>
          <w14:textFill>
            <w14:solidFill>
              <w14:schemeClr w14:val="tx1"/>
            </w14:solidFill>
          </w14:textFill>
        </w:rPr>
        <w:t>评分分值计算保留小数点后两位，小数点后第三位“四舍五入”。</w:t>
      </w:r>
    </w:p>
    <w:p w14:paraId="528D662F">
      <w:pPr>
        <w:adjustRightInd w:val="0"/>
        <w:snapToGrid w:val="0"/>
        <w:spacing w:line="500" w:lineRule="exact"/>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4.2</w:t>
      </w:r>
      <w:r>
        <w:rPr>
          <w:rFonts w:hint="eastAsia" w:ascii="宋体" w:hAnsi="宋体"/>
          <w:color w:val="000000" w:themeColor="text1"/>
          <w14:textFill>
            <w14:solidFill>
              <w14:schemeClr w14:val="tx1"/>
            </w14:solidFill>
          </w14:textFill>
        </w:rPr>
        <w:t>在评审过程中，一旦发现招标文件中发现以下现象的，经评标委员会认定，删除该项评审或记分。</w:t>
      </w:r>
    </w:p>
    <w:p w14:paraId="789493F2">
      <w:pPr>
        <w:adjustRightInd w:val="0"/>
        <w:snapToGrid w:val="0"/>
        <w:spacing w:line="500" w:lineRule="exact"/>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①招标文件内容中某项条款，有明显倾向或歧视的；</w:t>
      </w:r>
    </w:p>
    <w:p w14:paraId="4B8A2BE6">
      <w:pPr>
        <w:adjustRightInd w:val="0"/>
        <w:snapToGrid w:val="0"/>
        <w:spacing w:line="500" w:lineRule="exact"/>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②招标文件内容中某项条款有多种解释的。</w:t>
      </w:r>
    </w:p>
    <w:p w14:paraId="71EF79B4">
      <w:pPr>
        <w:pStyle w:val="5"/>
        <w:tabs>
          <w:tab w:val="left" w:pos="1260"/>
        </w:tabs>
        <w:adjustRightInd w:val="0"/>
        <w:snapToGrid w:val="0"/>
        <w:spacing w:before="0" w:after="0" w:line="500" w:lineRule="exact"/>
        <w:rPr>
          <w:rFonts w:ascii="宋体" w:hAnsi="宋体"/>
          <w:color w:val="000000" w:themeColor="text1"/>
          <w:sz w:val="21"/>
          <w:szCs w:val="21"/>
          <w14:textFill>
            <w14:solidFill>
              <w14:schemeClr w14:val="tx1"/>
            </w14:solidFill>
          </w14:textFill>
        </w:rPr>
      </w:pPr>
      <w:bookmarkStart w:id="35" w:name="_Toc27318"/>
      <w:bookmarkStart w:id="36" w:name="_Toc20962"/>
      <w:bookmarkStart w:id="37" w:name="_Toc5826"/>
      <w:bookmarkStart w:id="38" w:name="_Toc397928609"/>
      <w:bookmarkStart w:id="39" w:name="_Toc25809"/>
      <w:r>
        <w:rPr>
          <w:rFonts w:hint="eastAsia" w:ascii="宋体" w:hAnsi="宋体"/>
          <w:color w:val="000000" w:themeColor="text1"/>
          <w:sz w:val="21"/>
          <w:szCs w:val="21"/>
          <w:lang w:val="en-US" w:eastAsia="zh-CN"/>
          <w14:textFill>
            <w14:solidFill>
              <w14:schemeClr w14:val="tx1"/>
            </w14:solidFill>
          </w14:textFill>
        </w:rPr>
        <w:t>五．</w:t>
      </w:r>
      <w:r>
        <w:rPr>
          <w:rFonts w:hint="eastAsia" w:ascii="宋体" w:hAnsi="宋体"/>
          <w:color w:val="000000" w:themeColor="text1"/>
          <w:sz w:val="21"/>
          <w:szCs w:val="21"/>
          <w14:textFill>
            <w14:solidFill>
              <w14:schemeClr w14:val="tx1"/>
            </w14:solidFill>
          </w14:textFill>
        </w:rPr>
        <w:t>投标文件的澄清和补正</w:t>
      </w:r>
      <w:bookmarkEnd w:id="35"/>
      <w:bookmarkEnd w:id="36"/>
      <w:bookmarkEnd w:id="37"/>
      <w:bookmarkEnd w:id="38"/>
      <w:bookmarkEnd w:id="39"/>
    </w:p>
    <w:p w14:paraId="295335CA">
      <w:pPr>
        <w:adjustRightInd w:val="0"/>
        <w:snapToGrid w:val="0"/>
        <w:spacing w:line="500" w:lineRule="exact"/>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5</w:t>
      </w:r>
      <w:r>
        <w:rPr>
          <w:rFonts w:hint="eastAsia" w:ascii="宋体" w:hAnsi="宋体"/>
          <w:color w:val="000000" w:themeColor="text1"/>
          <w14:textFill>
            <w14:solidFill>
              <w14:schemeClr w14:val="tx1"/>
            </w14:solidFill>
          </w14:textFill>
        </w:rPr>
        <w:t>.1 在评标过程中，评标委员会可以书面形式要求投标人对所提交投标文件中不明确的内容进行书面澄清或说明，或者对细微偏差进行补正。评标委员会不接受投标人主动提出的澄清、说明或补正。</w:t>
      </w:r>
    </w:p>
    <w:p w14:paraId="47F7B082">
      <w:pPr>
        <w:adjustRightInd w:val="0"/>
        <w:snapToGrid w:val="0"/>
        <w:spacing w:line="500" w:lineRule="exact"/>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5</w:t>
      </w:r>
      <w:r>
        <w:rPr>
          <w:rFonts w:hint="eastAsia" w:ascii="宋体" w:hAnsi="宋体"/>
          <w:color w:val="000000" w:themeColor="text1"/>
          <w14:textFill>
            <w14:solidFill>
              <w14:schemeClr w14:val="tx1"/>
            </w14:solidFill>
          </w14:textFill>
        </w:rPr>
        <w:t>.2 澄清、说明和补正不得改变投标文件的实质性内容（算术性错误修正的除外）。投标人的书面澄清、说明和补正属于投标文件的组成部分。</w:t>
      </w:r>
    </w:p>
    <w:p w14:paraId="605E997A">
      <w:pPr>
        <w:adjustRightInd w:val="0"/>
        <w:snapToGrid w:val="0"/>
        <w:spacing w:line="500" w:lineRule="exact"/>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5</w:t>
      </w:r>
      <w:r>
        <w:rPr>
          <w:rFonts w:hint="eastAsia" w:ascii="宋体" w:hAnsi="宋体"/>
          <w:color w:val="000000" w:themeColor="text1"/>
          <w14:textFill>
            <w14:solidFill>
              <w14:schemeClr w14:val="tx1"/>
            </w14:solidFill>
          </w14:textFill>
        </w:rPr>
        <w:t>.3 评标委员会对投标人提交的澄清、说明或补正有疑问的，可以要求投标人进一步澄清、说明或补正。</w:t>
      </w:r>
    </w:p>
    <w:p w14:paraId="18A238CC">
      <w:pPr>
        <w:pStyle w:val="5"/>
        <w:tabs>
          <w:tab w:val="left" w:pos="1260"/>
        </w:tabs>
        <w:adjustRightInd w:val="0"/>
        <w:snapToGrid w:val="0"/>
        <w:spacing w:before="0" w:after="0" w:line="500" w:lineRule="exact"/>
        <w:rPr>
          <w:rFonts w:ascii="宋体" w:hAnsi="宋体"/>
          <w:b w:val="0"/>
          <w:color w:val="000000" w:themeColor="text1"/>
          <w:kern w:val="0"/>
          <w:sz w:val="21"/>
          <w:szCs w:val="21"/>
          <w14:textFill>
            <w14:solidFill>
              <w14:schemeClr w14:val="tx1"/>
            </w14:solidFill>
          </w14:textFill>
        </w:rPr>
      </w:pPr>
      <w:bookmarkStart w:id="40" w:name="_Toc11953"/>
      <w:bookmarkStart w:id="41" w:name="_Toc29288"/>
      <w:bookmarkStart w:id="42" w:name="_Toc15203"/>
      <w:bookmarkStart w:id="43" w:name="_Toc397928610"/>
      <w:bookmarkStart w:id="44" w:name="_Toc32159"/>
      <w:r>
        <w:rPr>
          <w:rFonts w:hint="eastAsia" w:ascii="宋体" w:hAnsi="宋体"/>
          <w:color w:val="000000" w:themeColor="text1"/>
          <w:sz w:val="21"/>
          <w:szCs w:val="21"/>
          <w:lang w:val="en-US" w:eastAsia="zh-CN"/>
          <w14:textFill>
            <w14:solidFill>
              <w14:schemeClr w14:val="tx1"/>
            </w14:solidFill>
          </w14:textFill>
        </w:rPr>
        <w:t>六．</w:t>
      </w:r>
      <w:r>
        <w:rPr>
          <w:rFonts w:hint="eastAsia" w:ascii="宋体" w:hAnsi="宋体"/>
          <w:color w:val="000000" w:themeColor="text1"/>
          <w:sz w:val="21"/>
          <w:szCs w:val="21"/>
          <w14:textFill>
            <w14:solidFill>
              <w14:schemeClr w14:val="tx1"/>
            </w14:solidFill>
          </w14:textFill>
        </w:rPr>
        <w:t>推荐中标候选人或直接确定中标人</w:t>
      </w:r>
      <w:bookmarkEnd w:id="40"/>
      <w:bookmarkEnd w:id="41"/>
      <w:bookmarkEnd w:id="42"/>
      <w:bookmarkEnd w:id="43"/>
      <w:bookmarkEnd w:id="44"/>
    </w:p>
    <w:p w14:paraId="075B1B06">
      <w:pPr>
        <w:autoSpaceDE w:val="0"/>
        <w:autoSpaceDN w:val="0"/>
        <w:adjustRightInd w:val="0"/>
        <w:snapToGrid w:val="0"/>
        <w:spacing w:line="500" w:lineRule="exact"/>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6</w:t>
      </w:r>
      <w:r>
        <w:rPr>
          <w:rFonts w:hint="eastAsia" w:ascii="宋体" w:hAnsi="宋体"/>
          <w:color w:val="000000" w:themeColor="text1"/>
          <w14:textFill>
            <w14:solidFill>
              <w14:schemeClr w14:val="tx1"/>
            </w14:solidFill>
          </w14:textFill>
        </w:rPr>
        <w:t>.1 除投标人须知前附表授权直接确定中标人外，评标委员会在推荐中标候选人时，应遵照以下原则:</w:t>
      </w:r>
    </w:p>
    <w:p w14:paraId="289BAB63">
      <w:pPr>
        <w:autoSpaceDE w:val="0"/>
        <w:autoSpaceDN w:val="0"/>
        <w:adjustRightInd w:val="0"/>
        <w:snapToGrid w:val="0"/>
        <w:spacing w:line="500" w:lineRule="exact"/>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评标委员会按照最终得分由高至低的次序排列，并根据投标人须知前附表规定的中标候选人数量，将排序在前的投标人推荐为中标候选人。</w:t>
      </w:r>
    </w:p>
    <w:p w14:paraId="1243F2BC">
      <w:pPr>
        <w:pStyle w:val="5"/>
        <w:tabs>
          <w:tab w:val="left" w:pos="1260"/>
        </w:tabs>
        <w:adjustRightInd w:val="0"/>
        <w:snapToGrid w:val="0"/>
        <w:spacing w:before="0" w:after="0" w:line="500" w:lineRule="exact"/>
        <w:rPr>
          <w:rFonts w:ascii="宋体" w:hAnsi="宋体"/>
          <w:color w:val="000000" w:themeColor="text1"/>
          <w:sz w:val="21"/>
          <w:szCs w:val="21"/>
          <w14:textFill>
            <w14:solidFill>
              <w14:schemeClr w14:val="tx1"/>
            </w14:solidFill>
          </w14:textFill>
        </w:rPr>
      </w:pPr>
      <w:bookmarkStart w:id="45" w:name="_Toc27747"/>
      <w:bookmarkStart w:id="46" w:name="_Toc12331"/>
      <w:bookmarkStart w:id="47" w:name="_Toc4278"/>
      <w:bookmarkStart w:id="48" w:name="_Toc397928611"/>
      <w:r>
        <w:rPr>
          <w:rFonts w:hint="eastAsia" w:ascii="宋体" w:hAnsi="宋体"/>
          <w:color w:val="000000" w:themeColor="text1"/>
          <w:sz w:val="21"/>
          <w:szCs w:val="21"/>
          <w:lang w:val="en-US" w:eastAsia="zh-CN"/>
          <w14:textFill>
            <w14:solidFill>
              <w14:schemeClr w14:val="tx1"/>
            </w14:solidFill>
          </w14:textFill>
        </w:rPr>
        <w:t>七</w:t>
      </w:r>
      <w:r>
        <w:rPr>
          <w:rFonts w:hint="eastAsia" w:ascii="宋体" w:hAnsi="宋体"/>
          <w:color w:val="000000" w:themeColor="text1"/>
          <w:sz w:val="21"/>
          <w:szCs w:val="21"/>
          <w14:textFill>
            <w14:solidFill>
              <w14:schemeClr w14:val="tx1"/>
            </w14:solidFill>
          </w14:textFill>
        </w:rPr>
        <w:t xml:space="preserve"> 提交评标报告</w:t>
      </w:r>
      <w:bookmarkEnd w:id="45"/>
      <w:bookmarkEnd w:id="46"/>
      <w:bookmarkEnd w:id="47"/>
      <w:bookmarkEnd w:id="48"/>
    </w:p>
    <w:p w14:paraId="169D2554">
      <w:pPr>
        <w:autoSpaceDE w:val="0"/>
        <w:autoSpaceDN w:val="0"/>
        <w:adjustRightInd w:val="0"/>
        <w:snapToGrid w:val="0"/>
        <w:spacing w:line="500" w:lineRule="exact"/>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评标委员会完成评标后，应当向招标人提交书面评标报告。评标报告应当由全体评标委员会成员签字，并于评标结束时抄送有关行政监督部门。</w:t>
      </w:r>
    </w:p>
    <w:bookmarkEnd w:id="34"/>
    <w:p w14:paraId="57466A1F">
      <w:pPr>
        <w:rPr>
          <w:rFonts w:hint="eastAsia" w:ascii="宋体" w:hAnsi="宋体"/>
          <w:color w:val="000000" w:themeColor="text1"/>
          <w:sz w:val="21"/>
          <w:szCs w:val="15"/>
          <w14:textFill>
            <w14:solidFill>
              <w14:schemeClr w14:val="tx1"/>
            </w14:solidFill>
          </w14:textFill>
        </w:rPr>
      </w:pPr>
      <w:bookmarkStart w:id="49" w:name="_Toc18159"/>
      <w:r>
        <w:rPr>
          <w:rFonts w:hint="eastAsia" w:ascii="宋体" w:hAnsi="宋体"/>
          <w:color w:val="000000" w:themeColor="text1"/>
          <w:sz w:val="21"/>
          <w:szCs w:val="15"/>
          <w14:textFill>
            <w14:solidFill>
              <w14:schemeClr w14:val="tx1"/>
            </w14:solidFill>
          </w14:textFill>
        </w:rPr>
        <w:br w:type="page"/>
      </w:r>
    </w:p>
    <w:bookmarkEnd w:id="49"/>
    <w:p w14:paraId="3774AAFF">
      <w:pPr>
        <w:tabs>
          <w:tab w:val="center" w:pos="4718"/>
        </w:tabs>
        <w:spacing w:line="480" w:lineRule="exact"/>
        <w:jc w:val="center"/>
        <w:outlineLvl w:val="0"/>
        <w:rPr>
          <w:rFonts w:hint="eastAsia" w:ascii="宋体" w:hAnsi="宋体" w:cs="宋体"/>
          <w:b/>
          <w:sz w:val="32"/>
          <w:szCs w:val="32"/>
          <w:highlight w:val="none"/>
        </w:rPr>
      </w:pPr>
      <w:bookmarkStart w:id="50" w:name="_Toc12422"/>
      <w:r>
        <w:rPr>
          <w:rFonts w:hint="eastAsia" w:ascii="宋体" w:hAnsi="宋体" w:cs="宋体"/>
          <w:b/>
          <w:sz w:val="32"/>
          <w:szCs w:val="32"/>
          <w:highlight w:val="none"/>
        </w:rPr>
        <w:t>第五章 合同主要条款</w:t>
      </w:r>
      <w:bookmarkEnd w:id="50"/>
    </w:p>
    <w:p w14:paraId="6B43C4CA">
      <w:pPr>
        <w:spacing w:line="430" w:lineRule="exact"/>
        <w:ind w:firstLine="480"/>
        <w:rPr>
          <w:rFonts w:ascii="宋体" w:hAnsi="宋体"/>
          <w:sz w:val="24"/>
          <w:szCs w:val="24"/>
          <w:highlight w:val="none"/>
        </w:rPr>
      </w:pPr>
    </w:p>
    <w:p w14:paraId="27FA2BF0">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sz w:val="21"/>
          <w:szCs w:val="21"/>
          <w:highlight w:val="none"/>
        </w:rPr>
      </w:pPr>
      <w:r>
        <w:rPr>
          <w:rFonts w:hint="eastAsia" w:ascii="宋体" w:hAnsi="宋体"/>
          <w:sz w:val="21"/>
          <w:szCs w:val="21"/>
          <w:highlight w:val="none"/>
        </w:rPr>
        <w:t>采购人（全称）：</w:t>
      </w:r>
      <w:r>
        <w:rPr>
          <w:rFonts w:hint="eastAsia" w:ascii="宋体" w:hAnsi="宋体"/>
          <w:b/>
          <w:bCs/>
          <w:sz w:val="21"/>
          <w:szCs w:val="21"/>
          <w:highlight w:val="none"/>
          <w:u w:val="single"/>
          <w:lang w:eastAsia="zh-CN"/>
        </w:rPr>
        <w:t>江苏大丰港经济开发区管理委员会</w:t>
      </w:r>
      <w:r>
        <w:rPr>
          <w:rFonts w:hint="eastAsia" w:ascii="宋体" w:hAnsi="宋体"/>
          <w:b/>
          <w:bCs/>
          <w:sz w:val="21"/>
          <w:szCs w:val="21"/>
          <w:highlight w:val="none"/>
          <w:u w:val="single"/>
          <w:lang w:val="en-US" w:eastAsia="zh-CN"/>
        </w:rPr>
        <w:t xml:space="preserve"> </w:t>
      </w:r>
      <w:r>
        <w:rPr>
          <w:rFonts w:hint="eastAsia" w:ascii="宋体" w:hAnsi="宋体"/>
          <w:sz w:val="21"/>
          <w:szCs w:val="21"/>
          <w:highlight w:val="none"/>
        </w:rPr>
        <w:t>（以下简称甲方）</w:t>
      </w:r>
    </w:p>
    <w:p w14:paraId="3C038FB1">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sz w:val="21"/>
          <w:szCs w:val="21"/>
          <w:highlight w:val="none"/>
        </w:rPr>
      </w:pPr>
      <w:r>
        <w:rPr>
          <w:rFonts w:hint="eastAsia" w:ascii="宋体" w:hAnsi="宋体"/>
          <w:sz w:val="21"/>
          <w:szCs w:val="21"/>
          <w:highlight w:val="none"/>
        </w:rPr>
        <w:t>中标人（全称）：</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（以下简称乙方）</w:t>
      </w:r>
    </w:p>
    <w:p w14:paraId="22AAA7FF">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ascii="宋体" w:hAnsi="宋体" w:cs="Arial"/>
          <w:bCs/>
          <w:sz w:val="21"/>
          <w:szCs w:val="21"/>
          <w:highlight w:val="none"/>
        </w:rPr>
      </w:pPr>
      <w:r>
        <w:rPr>
          <w:rFonts w:hint="eastAsia" w:ascii="宋体" w:hAnsi="宋体"/>
          <w:sz w:val="21"/>
          <w:szCs w:val="21"/>
          <w:highlight w:val="none"/>
        </w:rPr>
        <w:t>依照《中华人民共和国政府采购法》、《中华人民共和国民法典》及其他相关法律法规，遵循平等、自愿、公平和诚实信用原则，双方就</w:t>
      </w:r>
      <w:r>
        <w:rPr>
          <w:rFonts w:hint="eastAsia" w:ascii="宋体" w:hAnsi="宋体" w:cs="宋体"/>
          <w:b/>
          <w:sz w:val="21"/>
          <w:szCs w:val="21"/>
          <w:highlight w:val="none"/>
          <w:u w:val="single"/>
          <w:lang w:eastAsia="zh-CN"/>
        </w:rPr>
        <w:t>国家骨干冷链物流基地建设申报方案编制服务</w:t>
      </w:r>
      <w:r>
        <w:rPr>
          <w:rFonts w:hint="eastAsia" w:ascii="宋体" w:hAnsi="宋体"/>
          <w:sz w:val="21"/>
          <w:szCs w:val="21"/>
          <w:highlight w:val="none"/>
        </w:rPr>
        <w:t>相关事项协商一致，达成如下合同条款：</w:t>
      </w:r>
    </w:p>
    <w:p w14:paraId="35A6CDF6">
      <w:pPr>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b/>
          <w:bCs/>
          <w:sz w:val="21"/>
          <w:szCs w:val="21"/>
          <w:highlight w:val="none"/>
        </w:rPr>
      </w:pPr>
      <w:r>
        <w:rPr>
          <w:rFonts w:hint="eastAsia" w:ascii="宋体" w:hAnsi="宋体" w:cs="宋体"/>
          <w:b/>
          <w:bCs/>
          <w:sz w:val="21"/>
          <w:szCs w:val="21"/>
          <w:highlight w:val="none"/>
        </w:rPr>
        <w:t>一、合同标的</w:t>
      </w:r>
    </w:p>
    <w:p w14:paraId="3DFE4425">
      <w:pPr>
        <w:keepNext w:val="0"/>
        <w:keepLines w:val="0"/>
        <w:pageBreakBefore w:val="0"/>
        <w:kinsoku/>
        <w:wordWrap/>
        <w:overflowPunct/>
        <w:topLinePunct w:val="0"/>
        <w:autoSpaceDE/>
        <w:autoSpaceDN/>
        <w:bidi w:val="0"/>
        <w:adjustRightInd/>
        <w:snapToGrid/>
        <w:spacing w:line="500" w:lineRule="exact"/>
        <w:ind w:firstLine="470"/>
        <w:textAlignment w:val="auto"/>
        <w:rPr>
          <w:rFonts w:ascii="宋体" w:hAnsi="宋体"/>
          <w:sz w:val="21"/>
          <w:szCs w:val="21"/>
          <w:highlight w:val="none"/>
        </w:rPr>
      </w:pPr>
      <w:r>
        <w:rPr>
          <w:rFonts w:hint="eastAsia" w:ascii="宋体" w:hAnsi="宋体"/>
          <w:sz w:val="21"/>
          <w:szCs w:val="21"/>
          <w:highlight w:val="none"/>
        </w:rPr>
        <w:t>1.</w:t>
      </w:r>
      <w:r>
        <w:rPr>
          <w:rFonts w:hint="eastAsia" w:ascii="宋体" w:hAnsi="宋体"/>
          <w:sz w:val="21"/>
          <w:szCs w:val="21"/>
          <w:highlight w:val="none"/>
          <w:lang w:val="en-US" w:eastAsia="zh-CN"/>
        </w:rPr>
        <w:t>合同价含税人民币（大写）</w:t>
      </w:r>
      <w:r>
        <w:rPr>
          <w:rFonts w:hint="eastAsia" w:ascii="宋体" w:hAnsi="宋体"/>
          <w:sz w:val="21"/>
          <w:szCs w:val="21"/>
          <w:highlight w:val="none"/>
        </w:rPr>
        <w:t>：</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ascii="宋体" w:hAnsi="宋体"/>
          <w:sz w:val="21"/>
          <w:szCs w:val="21"/>
          <w:highlight w:val="none"/>
          <w:u w:val="single"/>
        </w:rPr>
        <w:t xml:space="preserve"> </w:t>
      </w:r>
      <w:r>
        <w:rPr>
          <w:rFonts w:hint="eastAsia" w:ascii="宋体" w:hAnsi="宋体"/>
          <w:sz w:val="21"/>
          <w:szCs w:val="21"/>
          <w:highlight w:val="none"/>
        </w:rPr>
        <w:t>元。</w:t>
      </w:r>
    </w:p>
    <w:p w14:paraId="1DBB93D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ascii="宋体" w:hAnsi="宋体" w:cs="Arial"/>
          <w:bCs/>
          <w:sz w:val="21"/>
          <w:szCs w:val="21"/>
          <w:highlight w:val="none"/>
        </w:rPr>
      </w:pPr>
      <w:r>
        <w:rPr>
          <w:rFonts w:hint="eastAsia" w:ascii="宋体" w:hAnsi="宋体"/>
          <w:sz w:val="21"/>
          <w:szCs w:val="21"/>
          <w:highlight w:val="none"/>
          <w:lang w:val="en-US" w:eastAsia="zh-CN"/>
        </w:rPr>
        <w:t>2.合同价包含招标文件</w:t>
      </w:r>
      <w:r>
        <w:rPr>
          <w:rFonts w:hint="eastAsia" w:ascii="宋体" w:hAnsi="宋体" w:cs="Arial"/>
          <w:bCs/>
          <w:sz w:val="21"/>
          <w:szCs w:val="21"/>
          <w:highlight w:val="none"/>
          <w:lang w:eastAsia="zh-CN"/>
        </w:rPr>
        <w:t>所确定招标范围内全部工作内容的价格体现，以及为完成</w:t>
      </w:r>
      <w:r>
        <w:rPr>
          <w:rFonts w:hint="eastAsia" w:ascii="宋体" w:hAnsi="宋体" w:cs="Arial"/>
          <w:bCs/>
          <w:sz w:val="21"/>
          <w:szCs w:val="21"/>
          <w:highlight w:val="none"/>
          <w:lang w:val="en-US" w:eastAsia="zh-CN"/>
        </w:rPr>
        <w:t>本项目</w:t>
      </w:r>
      <w:r>
        <w:rPr>
          <w:rFonts w:hint="eastAsia" w:ascii="宋体" w:hAnsi="宋体" w:cs="Arial"/>
          <w:bCs/>
          <w:sz w:val="21"/>
          <w:szCs w:val="21"/>
          <w:highlight w:val="none"/>
          <w:lang w:eastAsia="zh-CN"/>
        </w:rPr>
        <w:t>所必须的各种工作经费（调查费、</w:t>
      </w:r>
      <w:r>
        <w:rPr>
          <w:rFonts w:hint="eastAsia" w:ascii="宋体" w:hAnsi="宋体" w:cs="Arial"/>
          <w:bCs/>
          <w:sz w:val="21"/>
          <w:szCs w:val="21"/>
          <w:highlight w:val="none"/>
          <w:lang w:val="en-US" w:eastAsia="zh-CN"/>
        </w:rPr>
        <w:t>调研费、</w:t>
      </w:r>
      <w:r>
        <w:rPr>
          <w:rFonts w:hint="eastAsia" w:ascii="宋体" w:hAnsi="宋体" w:cs="Arial"/>
          <w:bCs/>
          <w:sz w:val="21"/>
          <w:szCs w:val="21"/>
          <w:highlight w:val="none"/>
          <w:lang w:eastAsia="zh-CN"/>
        </w:rPr>
        <w:t>劳务费、咨询费、审查费、会务费、</w:t>
      </w:r>
      <w:r>
        <w:rPr>
          <w:rFonts w:hint="eastAsia" w:ascii="宋体" w:hAnsi="宋体" w:cs="Arial"/>
          <w:bCs/>
          <w:sz w:val="21"/>
          <w:szCs w:val="21"/>
          <w:highlight w:val="none"/>
          <w:lang w:val="en-US" w:eastAsia="zh-CN"/>
        </w:rPr>
        <w:t>风险费、</w:t>
      </w:r>
      <w:r>
        <w:rPr>
          <w:rFonts w:hint="eastAsia" w:ascii="宋体" w:hAnsi="宋体"/>
          <w:sz w:val="21"/>
          <w:szCs w:val="21"/>
        </w:rPr>
        <w:t>资料收集、数据整理、相关图表制作打印、纸张等耗材，以及后续服务、</w:t>
      </w:r>
      <w:r>
        <w:rPr>
          <w:rFonts w:hint="eastAsia" w:ascii="宋体" w:hAnsi="宋体" w:cs="Arial"/>
          <w:bCs/>
          <w:sz w:val="21"/>
          <w:szCs w:val="21"/>
          <w:highlight w:val="none"/>
          <w:lang w:eastAsia="zh-CN"/>
        </w:rPr>
        <w:t>管理费、利润、税金等全部费用）。对投标人认为没有考虑到的费用采购人将不予支付，并认为此项费用已包含在投标报价中；</w:t>
      </w:r>
    </w:p>
    <w:p w14:paraId="56CC2D7C">
      <w:pPr>
        <w:keepNext w:val="0"/>
        <w:keepLines w:val="0"/>
        <w:pageBreakBefore w:val="0"/>
        <w:kinsoku/>
        <w:wordWrap/>
        <w:overflowPunct/>
        <w:topLinePunct w:val="0"/>
        <w:autoSpaceDE/>
        <w:autoSpaceDN/>
        <w:bidi w:val="0"/>
        <w:adjustRightInd/>
        <w:snapToGrid/>
        <w:spacing w:line="500" w:lineRule="exact"/>
        <w:ind w:firstLine="482"/>
        <w:textAlignment w:val="auto"/>
        <w:rPr>
          <w:rFonts w:hint="default"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二、项目内容</w:t>
      </w:r>
    </w:p>
    <w:p w14:paraId="74E79266">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1.项目名称：</w:t>
      </w:r>
      <w:r>
        <w:rPr>
          <w:rFonts w:hint="eastAsia" w:ascii="宋体" w:hAnsi="宋体" w:cs="宋体"/>
          <w:b w:val="0"/>
          <w:bCs w:val="0"/>
          <w:sz w:val="21"/>
          <w:szCs w:val="21"/>
          <w:highlight w:val="none"/>
          <w:u w:val="single"/>
          <w:lang w:eastAsia="zh-CN"/>
        </w:rPr>
        <w:t>国家骨干冷链物流基地建设申报方案编制服务</w:t>
      </w:r>
    </w:p>
    <w:p w14:paraId="50300A46">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2.合同履行期限：合同签订后</w:t>
      </w:r>
      <w:r>
        <w:rPr>
          <w:rFonts w:hint="eastAsia" w:ascii="宋体" w:hAnsi="宋体" w:cs="Arial"/>
          <w:bCs/>
          <w:color w:val="FF0000"/>
          <w:sz w:val="24"/>
          <w:szCs w:val="24"/>
          <w:highlight w:val="none"/>
          <w:lang w:val="en-US" w:eastAsia="zh-CN"/>
        </w:rPr>
        <w:t>20日历天完成建设方案编制</w:t>
      </w:r>
      <w:r>
        <w:rPr>
          <w:rFonts w:hint="eastAsia" w:ascii="宋体" w:hAnsi="宋体" w:cs="宋体"/>
          <w:b w:val="0"/>
          <w:bCs w:val="0"/>
          <w:sz w:val="21"/>
          <w:szCs w:val="21"/>
          <w:highlight w:val="none"/>
          <w:lang w:val="en-US" w:eastAsia="zh-CN"/>
        </w:rPr>
        <w:t>。</w:t>
      </w:r>
    </w:p>
    <w:p w14:paraId="38FC30C1">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3.服务内容：详见招标需求，合同期内，如遇上级政策性调整，甲方有权终止本合同。</w:t>
      </w:r>
    </w:p>
    <w:p w14:paraId="2C789F50">
      <w:pPr>
        <w:keepNext w:val="0"/>
        <w:keepLines w:val="0"/>
        <w:pageBreakBefore w:val="0"/>
        <w:kinsoku/>
        <w:wordWrap/>
        <w:overflowPunct/>
        <w:topLinePunct w:val="0"/>
        <w:autoSpaceDE/>
        <w:autoSpaceDN/>
        <w:bidi w:val="0"/>
        <w:adjustRightInd/>
        <w:snapToGrid/>
        <w:spacing w:line="500" w:lineRule="exact"/>
        <w:ind w:firstLine="420" w:firstLineChars="200"/>
        <w:textAlignment w:val="auto"/>
        <w:rPr>
          <w:rFonts w:ascii="宋体" w:hAnsi="宋体" w:cs="宋体"/>
          <w:sz w:val="21"/>
          <w:szCs w:val="21"/>
          <w:lang w:bidi="ar"/>
        </w:rPr>
      </w:pPr>
      <w:r>
        <w:rPr>
          <w:rFonts w:hint="eastAsia" w:ascii="宋体" w:hAnsi="宋体" w:cs="宋体"/>
          <w:sz w:val="21"/>
          <w:szCs w:val="21"/>
          <w:lang w:val="en-US" w:eastAsia="zh-CN" w:bidi="ar"/>
        </w:rPr>
        <w:t>四</w:t>
      </w:r>
      <w:r>
        <w:rPr>
          <w:rFonts w:hint="eastAsia" w:ascii="宋体" w:hAnsi="宋体" w:cs="宋体"/>
          <w:sz w:val="21"/>
          <w:szCs w:val="21"/>
          <w:lang w:bidi="ar"/>
        </w:rPr>
        <w:t>、质量要求、技术标准及售后服务</w:t>
      </w:r>
    </w:p>
    <w:p w14:paraId="3C38A3D2">
      <w:pPr>
        <w:keepNext w:val="0"/>
        <w:keepLines w:val="0"/>
        <w:pageBreakBefore w:val="0"/>
        <w:kinsoku/>
        <w:wordWrap/>
        <w:overflowPunct/>
        <w:topLinePunct w:val="0"/>
        <w:autoSpaceDE/>
        <w:autoSpaceDN/>
        <w:bidi w:val="0"/>
        <w:adjustRightInd/>
        <w:snapToGrid/>
        <w:spacing w:line="500" w:lineRule="exact"/>
        <w:ind w:firstLine="420" w:firstLineChars="200"/>
        <w:textAlignment w:val="auto"/>
        <w:rPr>
          <w:rFonts w:ascii="宋体" w:hAnsi="宋体" w:cs="宋体"/>
          <w:sz w:val="21"/>
          <w:szCs w:val="21"/>
          <w:lang w:bidi="ar"/>
        </w:rPr>
      </w:pPr>
      <w:r>
        <w:rPr>
          <w:rFonts w:hint="eastAsia" w:ascii="宋体" w:hAnsi="宋体" w:cs="宋体"/>
          <w:sz w:val="21"/>
          <w:szCs w:val="21"/>
          <w:lang w:bidi="ar"/>
        </w:rPr>
        <w:t>1.乙方按照国家规定的标准和标书规定的标准执行。</w:t>
      </w:r>
    </w:p>
    <w:p w14:paraId="3F444FA1">
      <w:pPr>
        <w:keepNext w:val="0"/>
        <w:keepLines w:val="0"/>
        <w:pageBreakBefore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sz w:val="21"/>
          <w:szCs w:val="21"/>
          <w:lang w:bidi="ar"/>
        </w:rPr>
      </w:pPr>
      <w:r>
        <w:rPr>
          <w:rFonts w:hint="eastAsia" w:ascii="宋体" w:hAnsi="宋体" w:cs="宋体"/>
          <w:sz w:val="21"/>
          <w:szCs w:val="21"/>
          <w:lang w:bidi="ar"/>
        </w:rPr>
        <w:t>2.乙方应按招标文件规定的服务要求、质量标准向甲方提供规范、快捷的服务。</w:t>
      </w:r>
    </w:p>
    <w:p w14:paraId="596A7484">
      <w:pPr>
        <w:keepNext w:val="0"/>
        <w:keepLines w:val="0"/>
        <w:pageBreakBefore w:val="0"/>
        <w:kinsoku/>
        <w:wordWrap/>
        <w:overflowPunct/>
        <w:topLinePunct w:val="0"/>
        <w:autoSpaceDE/>
        <w:autoSpaceDN/>
        <w:bidi w:val="0"/>
        <w:adjustRightInd/>
        <w:snapToGrid/>
        <w:spacing w:line="500" w:lineRule="exact"/>
        <w:ind w:firstLine="420" w:firstLineChars="200"/>
        <w:textAlignment w:val="auto"/>
        <w:rPr>
          <w:rFonts w:hint="default" w:ascii="宋体" w:hAnsi="宋体" w:cs="宋体"/>
          <w:sz w:val="21"/>
          <w:szCs w:val="21"/>
          <w:lang w:val="en-US" w:eastAsia="zh-CN" w:bidi="ar"/>
        </w:rPr>
      </w:pPr>
      <w:r>
        <w:rPr>
          <w:rFonts w:hint="eastAsia" w:ascii="宋体" w:hAnsi="宋体" w:cs="宋体"/>
          <w:sz w:val="21"/>
          <w:szCs w:val="21"/>
          <w:lang w:val="en-US" w:eastAsia="zh-CN" w:bidi="ar"/>
        </w:rPr>
        <w:t>3.乙方提交的成果文件符合国家骨干冷链物流基地申报要求和建设方案编制要求。</w:t>
      </w:r>
    </w:p>
    <w:p w14:paraId="4A12EB79">
      <w:pPr>
        <w:keepNext w:val="0"/>
        <w:keepLines w:val="0"/>
        <w:pageBreakBefore w:val="0"/>
        <w:kinsoku/>
        <w:wordWrap/>
        <w:overflowPunct/>
        <w:topLinePunct w:val="0"/>
        <w:autoSpaceDE/>
        <w:autoSpaceDN/>
        <w:bidi w:val="0"/>
        <w:adjustRightInd/>
        <w:snapToGrid/>
        <w:spacing w:line="500" w:lineRule="exact"/>
        <w:ind w:firstLine="482"/>
        <w:textAlignment w:val="auto"/>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五、履约保证金</w:t>
      </w:r>
    </w:p>
    <w:p w14:paraId="5040BB97">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rPr>
      </w:pPr>
      <w:r>
        <w:rPr>
          <w:rFonts w:hint="eastAsia" w:ascii="宋体" w:hAnsi="宋体" w:cs="宋体"/>
          <w:b w:val="0"/>
          <w:bCs w:val="0"/>
          <w:sz w:val="21"/>
          <w:szCs w:val="21"/>
          <w:highlight w:val="none"/>
          <w:lang w:val="en-US" w:eastAsia="zh-CN"/>
        </w:rPr>
        <w:t>1.乙方</w:t>
      </w:r>
      <w:r>
        <w:rPr>
          <w:rFonts w:hint="eastAsia" w:ascii="宋体" w:hAnsi="宋体" w:cs="宋体"/>
          <w:b w:val="0"/>
          <w:bCs w:val="0"/>
          <w:sz w:val="21"/>
          <w:szCs w:val="21"/>
          <w:highlight w:val="none"/>
        </w:rPr>
        <w:t>在签订合同前须向</w:t>
      </w:r>
      <w:r>
        <w:rPr>
          <w:rFonts w:hint="eastAsia" w:ascii="宋体" w:hAnsi="宋体" w:cs="宋体"/>
          <w:b w:val="0"/>
          <w:bCs w:val="0"/>
          <w:sz w:val="21"/>
          <w:szCs w:val="21"/>
          <w:highlight w:val="none"/>
          <w:lang w:val="en-US" w:eastAsia="zh-CN"/>
        </w:rPr>
        <w:t>甲方</w:t>
      </w:r>
      <w:r>
        <w:rPr>
          <w:rFonts w:hint="eastAsia" w:ascii="宋体" w:hAnsi="宋体" w:cs="宋体"/>
          <w:b w:val="0"/>
          <w:bCs w:val="0"/>
          <w:sz w:val="21"/>
          <w:szCs w:val="21"/>
          <w:highlight w:val="none"/>
        </w:rPr>
        <w:t>交纳中标价的</w:t>
      </w:r>
      <w:r>
        <w:rPr>
          <w:rFonts w:hint="eastAsia" w:ascii="宋体" w:hAnsi="宋体" w:cs="宋体"/>
          <w:b w:val="0"/>
          <w:bCs w:val="0"/>
          <w:sz w:val="21"/>
          <w:szCs w:val="21"/>
          <w:highlight w:val="none"/>
          <w:lang w:val="en-US" w:eastAsia="zh-CN"/>
        </w:rPr>
        <w:t>10</w:t>
      </w:r>
      <w:r>
        <w:rPr>
          <w:rFonts w:hint="eastAsia" w:ascii="宋体" w:hAnsi="宋体" w:cs="宋体"/>
          <w:b w:val="0"/>
          <w:bCs w:val="0"/>
          <w:sz w:val="21"/>
          <w:szCs w:val="21"/>
          <w:highlight w:val="none"/>
        </w:rPr>
        <w:t>%作为履约保证金</w:t>
      </w:r>
      <w:r>
        <w:rPr>
          <w:rFonts w:hint="eastAsia" w:ascii="宋体" w:hAnsi="宋体" w:cs="宋体"/>
          <w:b w:val="0"/>
          <w:bCs w:val="0"/>
          <w:sz w:val="21"/>
          <w:szCs w:val="21"/>
          <w:highlight w:val="none"/>
          <w:lang w:eastAsia="zh-CN"/>
        </w:rPr>
        <w:t>（</w:t>
      </w:r>
      <w:r>
        <w:rPr>
          <w:rFonts w:hint="eastAsia" w:ascii="宋体" w:hAnsi="宋体" w:cs="宋体"/>
          <w:b w:val="0"/>
          <w:bCs w:val="0"/>
          <w:sz w:val="21"/>
          <w:szCs w:val="21"/>
          <w:highlight w:val="none"/>
          <w:lang w:val="en-US" w:eastAsia="zh-CN"/>
        </w:rPr>
        <w:t>人民币</w:t>
      </w:r>
      <w:r>
        <w:rPr>
          <w:rFonts w:hint="eastAsia" w:ascii="宋体" w:hAnsi="宋体" w:cs="宋体"/>
          <w:b w:val="0"/>
          <w:bCs w:val="0"/>
          <w:sz w:val="21"/>
          <w:szCs w:val="21"/>
          <w:highlight w:val="none"/>
          <w:u w:val="single"/>
          <w:lang w:val="en-US" w:eastAsia="zh-CN"/>
        </w:rPr>
        <w:t>￥      元</w:t>
      </w:r>
      <w:r>
        <w:rPr>
          <w:rFonts w:hint="eastAsia" w:ascii="宋体" w:hAnsi="宋体" w:cs="宋体"/>
          <w:b w:val="0"/>
          <w:bCs w:val="0"/>
          <w:sz w:val="21"/>
          <w:szCs w:val="21"/>
          <w:highlight w:val="none"/>
          <w:lang w:eastAsia="zh-CN"/>
        </w:rPr>
        <w:t>）</w:t>
      </w:r>
      <w:r>
        <w:rPr>
          <w:rFonts w:hint="eastAsia" w:ascii="宋体" w:hAnsi="宋体" w:cs="宋体"/>
          <w:b w:val="0"/>
          <w:bCs w:val="0"/>
          <w:sz w:val="21"/>
          <w:szCs w:val="21"/>
          <w:highlight w:val="none"/>
        </w:rPr>
        <w:t>，</w:t>
      </w:r>
      <w:r>
        <w:rPr>
          <w:rFonts w:hint="eastAsia" w:ascii="宋体" w:hAnsi="宋体" w:cs="宋体"/>
          <w:b w:val="0"/>
          <w:bCs w:val="0"/>
          <w:sz w:val="21"/>
          <w:szCs w:val="21"/>
          <w:highlight w:val="none"/>
          <w:lang w:eastAsia="zh-CN"/>
        </w:rPr>
        <w:t>合同履行结束后</w:t>
      </w:r>
      <w:r>
        <w:rPr>
          <w:rFonts w:hint="eastAsia" w:ascii="宋体" w:hAnsi="宋体" w:cs="宋体"/>
          <w:b w:val="0"/>
          <w:bCs w:val="0"/>
          <w:sz w:val="21"/>
          <w:szCs w:val="21"/>
          <w:highlight w:val="none"/>
        </w:rPr>
        <w:t>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cs="宋体"/>
          <w:b w:val="0"/>
          <w:bCs w:val="0"/>
          <w:sz w:val="21"/>
          <w:szCs w:val="21"/>
          <w:highlight w:val="none"/>
          <w:lang w:val="en-US" w:eastAsia="zh-CN"/>
        </w:rPr>
        <w:t>5</w:t>
      </w:r>
      <w:r>
        <w:rPr>
          <w:rFonts w:hint="eastAsia" w:ascii="宋体" w:hAnsi="宋体" w:cs="宋体"/>
          <w:b w:val="0"/>
          <w:bCs w:val="0"/>
          <w:sz w:val="21"/>
          <w:szCs w:val="21"/>
          <w:highlight w:val="none"/>
        </w:rPr>
        <w:t>%的履约保证金。</w:t>
      </w:r>
      <w:r>
        <w:rPr>
          <w:rFonts w:hint="eastAsia" w:ascii="宋体" w:hAnsi="宋体" w:cs="宋体"/>
          <w:b w:val="0"/>
          <w:bCs w:val="0"/>
          <w:sz w:val="21"/>
          <w:szCs w:val="21"/>
          <w:highlight w:val="none"/>
          <w:lang w:eastAsia="zh-CN"/>
        </w:rPr>
        <w:t>依据《关于在全省政府采购领域推行电子履约保函（保险）的通知》，鼓励供应商自愿使用履约保函（保险）代替缴纳履约保证金</w:t>
      </w:r>
      <w:r>
        <w:rPr>
          <w:rFonts w:hint="eastAsia" w:ascii="宋体" w:hAnsi="宋体" w:cs="宋体"/>
          <w:b w:val="0"/>
          <w:bCs w:val="0"/>
          <w:sz w:val="21"/>
          <w:szCs w:val="21"/>
          <w:highlight w:val="none"/>
        </w:rPr>
        <w:t>。</w:t>
      </w:r>
      <w:r>
        <w:rPr>
          <w:rFonts w:hint="eastAsia" w:ascii="宋体" w:hAnsi="宋体" w:cs="宋体"/>
          <w:sz w:val="21"/>
          <w:szCs w:val="21"/>
        </w:rPr>
        <w:t>可以通过政府采购电子履约保函（保险）平台（www.jsdzbh.com）在线申请履约保函（保险）。</w:t>
      </w:r>
    </w:p>
    <w:p w14:paraId="48D8B521">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2.合同履行结束后，甲方应及时退还交纳的履约保证金。</w:t>
      </w:r>
    </w:p>
    <w:p w14:paraId="03CA5782">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3.履约保证金的退还：</w:t>
      </w:r>
    </w:p>
    <w:p w14:paraId="3761D7FF">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3.1方式：无息退还至投标人缴纳履约保证金的账户。如为保函，在到期时自行失效。</w:t>
      </w:r>
    </w:p>
    <w:p w14:paraId="03AB1DE4">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3.2时间：提交建设方案终稿后且采购人收到发票后30日内。</w:t>
      </w:r>
    </w:p>
    <w:p w14:paraId="458D09A4">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3.3条件：按合同要求全部履约完成并经甲方验收合格，且甲方收到乙方出具的发票。</w:t>
      </w:r>
    </w:p>
    <w:p w14:paraId="0BCEC2B4">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3.4不予退还情形：</w:t>
      </w:r>
    </w:p>
    <w:p w14:paraId="351D3A29">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除不可抗力情况外，投标人出现下列情形之一的，其履约保证金，甲方将视情节决定不予退还或部分不予退还。</w:t>
      </w:r>
    </w:p>
    <w:p w14:paraId="37025CBA">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（1）乙方无正当理由拒绝签订合同的，或者在签订合同时向采购人提出附加条件或者更改合同实质性内容要求的；</w:t>
      </w:r>
    </w:p>
    <w:p w14:paraId="37768E55">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（2）乙方不履行与采购人订立的合同的；</w:t>
      </w:r>
    </w:p>
    <w:p w14:paraId="7943FA53">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（3）乙方所供货物或服务不符合招标文件规定要求的；</w:t>
      </w:r>
    </w:p>
    <w:p w14:paraId="7382A7E6">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（4）乙方采取欺骗、弄虚作假方式投标的或与其它投标人串通投标的；</w:t>
      </w:r>
    </w:p>
    <w:p w14:paraId="1499204C">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（5）乙方将合同内容转包、违法分包的；</w:t>
      </w:r>
    </w:p>
    <w:p w14:paraId="61FDF85E">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（6）乙方故意捏造事实或伪造证明材料，进行虚假恶意投诉或反映的。</w:t>
      </w:r>
    </w:p>
    <w:p w14:paraId="3E34BE72">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3.5逾期退还的违约责任：采购人逾期无故未退还履约保证金的，按中国人民银行同期贷款基准利率上浮20%后的利率支付超期资金占用费，但因乙方自身原因导致无法及时退还的除外。</w:t>
      </w:r>
    </w:p>
    <w:p w14:paraId="78F54424">
      <w:pPr>
        <w:keepNext w:val="0"/>
        <w:keepLines w:val="0"/>
        <w:pageBreakBefore w:val="0"/>
        <w:kinsoku/>
        <w:wordWrap/>
        <w:overflowPunct/>
        <w:topLinePunct w:val="0"/>
        <w:autoSpaceDE/>
        <w:autoSpaceDN/>
        <w:bidi w:val="0"/>
        <w:adjustRightInd/>
        <w:snapToGrid/>
        <w:spacing w:line="500" w:lineRule="exact"/>
        <w:ind w:firstLine="482"/>
        <w:textAlignment w:val="auto"/>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六</w:t>
      </w:r>
      <w:r>
        <w:rPr>
          <w:rFonts w:hint="eastAsia" w:ascii="宋体" w:hAnsi="宋体" w:cs="宋体"/>
          <w:b/>
          <w:bCs/>
          <w:sz w:val="21"/>
          <w:szCs w:val="21"/>
          <w:highlight w:val="none"/>
        </w:rPr>
        <w:t>、</w:t>
      </w:r>
      <w:r>
        <w:rPr>
          <w:rFonts w:hint="eastAsia" w:ascii="宋体" w:hAnsi="宋体" w:cs="宋体"/>
          <w:b/>
          <w:bCs/>
          <w:sz w:val="21"/>
          <w:szCs w:val="21"/>
          <w:highlight w:val="none"/>
          <w:lang w:val="en-US" w:eastAsia="zh-CN"/>
        </w:rPr>
        <w:t>项目负责人</w:t>
      </w:r>
    </w:p>
    <w:p w14:paraId="745811FF">
      <w:pPr>
        <w:keepNext w:val="0"/>
        <w:keepLines w:val="0"/>
        <w:pageBreakBefore w:val="0"/>
        <w:kinsoku/>
        <w:wordWrap/>
        <w:overflowPunct/>
        <w:topLinePunct w:val="0"/>
        <w:autoSpaceDE/>
        <w:autoSpaceDN/>
        <w:bidi w:val="0"/>
        <w:adjustRightInd/>
        <w:snapToGrid/>
        <w:spacing w:line="500" w:lineRule="exact"/>
        <w:ind w:firstLine="482"/>
        <w:textAlignment w:val="auto"/>
        <w:rPr>
          <w:rFonts w:hint="default" w:ascii="宋体" w:hAnsi="宋体" w:cs="宋体"/>
          <w:b w:val="0"/>
          <w:bCs w:val="0"/>
          <w:sz w:val="21"/>
          <w:szCs w:val="21"/>
          <w:highlight w:val="none"/>
          <w:u w:val="single"/>
          <w:lang w:val="en-US" w:eastAsia="zh-CN"/>
        </w:rPr>
      </w:pPr>
      <w:r>
        <w:rPr>
          <w:rFonts w:hint="eastAsia" w:ascii="宋体" w:hAnsi="宋体" w:cs="宋体"/>
          <w:b w:val="0"/>
          <w:bCs w:val="0"/>
          <w:sz w:val="21"/>
          <w:szCs w:val="21"/>
          <w:highlight w:val="none"/>
          <w:lang w:val="en-US" w:eastAsia="zh-CN"/>
        </w:rPr>
        <w:t>项目负责人：</w:t>
      </w:r>
      <w:r>
        <w:rPr>
          <w:rFonts w:hint="eastAsia" w:ascii="宋体" w:hAnsi="宋体" w:cs="宋体"/>
          <w:b w:val="0"/>
          <w:bCs w:val="0"/>
          <w:sz w:val="21"/>
          <w:szCs w:val="21"/>
          <w:highlight w:val="none"/>
          <w:u w:val="single"/>
          <w:lang w:val="en-US" w:eastAsia="zh-CN"/>
        </w:rPr>
        <w:t xml:space="preserve">                   </w:t>
      </w:r>
    </w:p>
    <w:p w14:paraId="3FC7708E">
      <w:pPr>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sz w:val="21"/>
          <w:szCs w:val="21"/>
          <w:highlight w:val="none"/>
        </w:rPr>
      </w:pPr>
      <w:r>
        <w:rPr>
          <w:rFonts w:hint="eastAsia" w:ascii="宋体" w:hAnsi="宋体" w:cs="宋体"/>
          <w:b/>
          <w:bCs/>
          <w:sz w:val="21"/>
          <w:szCs w:val="21"/>
          <w:highlight w:val="none"/>
          <w:lang w:val="en-US" w:eastAsia="zh-CN"/>
        </w:rPr>
        <w:t>七</w:t>
      </w:r>
      <w:r>
        <w:rPr>
          <w:rFonts w:hint="eastAsia" w:ascii="宋体" w:hAnsi="宋体" w:cs="宋体"/>
          <w:b/>
          <w:bCs/>
          <w:sz w:val="21"/>
          <w:szCs w:val="21"/>
          <w:highlight w:val="none"/>
        </w:rPr>
        <w:t>、有关费用：</w:t>
      </w:r>
      <w:r>
        <w:rPr>
          <w:rFonts w:hint="eastAsia" w:ascii="宋体" w:hAnsi="宋体" w:cs="宋体"/>
          <w:sz w:val="21"/>
          <w:szCs w:val="21"/>
          <w:highlight w:val="none"/>
        </w:rPr>
        <w:t>服务完成前的一切费用由乙方承担。</w:t>
      </w:r>
    </w:p>
    <w:p w14:paraId="4181E898">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ascii="宋体" w:hAnsi="宋体" w:cs="Arial"/>
          <w:bCs/>
          <w:sz w:val="21"/>
          <w:szCs w:val="21"/>
          <w:highlight w:val="none"/>
        </w:rPr>
      </w:pPr>
      <w:r>
        <w:rPr>
          <w:rFonts w:hint="eastAsia" w:ascii="宋体" w:hAnsi="宋体"/>
          <w:sz w:val="21"/>
          <w:szCs w:val="21"/>
          <w:highlight w:val="none"/>
          <w:lang w:val="en-US" w:eastAsia="zh-CN"/>
        </w:rPr>
        <w:t>合同</w:t>
      </w:r>
      <w:r>
        <w:rPr>
          <w:rFonts w:hint="eastAsia" w:ascii="宋体" w:hAnsi="宋体"/>
          <w:sz w:val="21"/>
          <w:szCs w:val="21"/>
          <w:highlight w:val="none"/>
        </w:rPr>
        <w:t>价应是</w:t>
      </w:r>
      <w:r>
        <w:rPr>
          <w:rFonts w:hint="eastAsia" w:ascii="宋体" w:hAnsi="宋体" w:cs="Arial"/>
          <w:bCs/>
          <w:sz w:val="21"/>
          <w:szCs w:val="21"/>
          <w:highlight w:val="none"/>
          <w:lang w:eastAsia="zh-CN"/>
        </w:rPr>
        <w:t>招标文件所确定招标范围内全部工作内容的价格体现，以及为完成上述内容所必须的各种工作经费（调查费、</w:t>
      </w:r>
      <w:r>
        <w:rPr>
          <w:rFonts w:hint="eastAsia" w:ascii="宋体" w:hAnsi="宋体" w:cs="Arial"/>
          <w:bCs/>
          <w:sz w:val="21"/>
          <w:szCs w:val="21"/>
          <w:highlight w:val="none"/>
          <w:lang w:val="en-US" w:eastAsia="zh-CN"/>
        </w:rPr>
        <w:t>调研费、</w:t>
      </w:r>
      <w:r>
        <w:rPr>
          <w:rFonts w:hint="eastAsia" w:ascii="宋体" w:hAnsi="宋体" w:cs="Arial"/>
          <w:bCs/>
          <w:sz w:val="21"/>
          <w:szCs w:val="21"/>
          <w:highlight w:val="none"/>
          <w:lang w:eastAsia="zh-CN"/>
        </w:rPr>
        <w:t>劳务费、咨询费、审查费、会务费、</w:t>
      </w:r>
      <w:r>
        <w:rPr>
          <w:rFonts w:hint="eastAsia" w:ascii="宋体" w:hAnsi="宋体" w:cs="Arial"/>
          <w:bCs/>
          <w:sz w:val="21"/>
          <w:szCs w:val="21"/>
          <w:highlight w:val="none"/>
          <w:lang w:val="en-US" w:eastAsia="zh-CN"/>
        </w:rPr>
        <w:t>风险费、</w:t>
      </w:r>
      <w:r>
        <w:rPr>
          <w:rFonts w:hint="eastAsia" w:ascii="宋体" w:hAnsi="宋体"/>
          <w:sz w:val="21"/>
          <w:szCs w:val="21"/>
        </w:rPr>
        <w:t>资料收集、数据整理、相关图表制作打印、纸张等耗材，以及后续服务、</w:t>
      </w:r>
      <w:r>
        <w:rPr>
          <w:rFonts w:hint="eastAsia" w:ascii="宋体" w:hAnsi="宋体" w:cs="Arial"/>
          <w:bCs/>
          <w:sz w:val="21"/>
          <w:szCs w:val="21"/>
          <w:highlight w:val="none"/>
          <w:lang w:eastAsia="zh-CN"/>
        </w:rPr>
        <w:t>管理费、利润、税金等全部费用）。对投标人认为没有考虑到的费用采购人将不予支付，并认为此项费用已包含在</w:t>
      </w:r>
      <w:r>
        <w:rPr>
          <w:rFonts w:hint="eastAsia" w:ascii="宋体" w:hAnsi="宋体" w:cs="Arial"/>
          <w:bCs/>
          <w:sz w:val="21"/>
          <w:szCs w:val="21"/>
          <w:highlight w:val="none"/>
          <w:lang w:val="en-US" w:eastAsia="zh-CN"/>
        </w:rPr>
        <w:t>合同</w:t>
      </w:r>
      <w:r>
        <w:rPr>
          <w:rFonts w:hint="eastAsia" w:ascii="宋体" w:hAnsi="宋体" w:cs="Arial"/>
          <w:bCs/>
          <w:sz w:val="21"/>
          <w:szCs w:val="21"/>
          <w:highlight w:val="none"/>
          <w:lang w:eastAsia="zh-CN"/>
        </w:rPr>
        <w:t>价中；</w:t>
      </w:r>
    </w:p>
    <w:p w14:paraId="636F0027">
      <w:pPr>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b/>
          <w:bCs/>
          <w:sz w:val="21"/>
          <w:szCs w:val="21"/>
          <w:highlight w:val="none"/>
        </w:rPr>
      </w:pPr>
      <w:r>
        <w:rPr>
          <w:rFonts w:hint="eastAsia" w:ascii="宋体" w:hAnsi="宋体" w:cs="宋体"/>
          <w:b/>
          <w:bCs/>
          <w:sz w:val="21"/>
          <w:szCs w:val="21"/>
          <w:highlight w:val="none"/>
          <w:lang w:val="en-US" w:eastAsia="zh-CN"/>
        </w:rPr>
        <w:t>八</w:t>
      </w:r>
      <w:r>
        <w:rPr>
          <w:rFonts w:hint="eastAsia" w:ascii="宋体" w:hAnsi="宋体" w:cs="宋体"/>
          <w:b/>
          <w:bCs/>
          <w:sz w:val="21"/>
          <w:szCs w:val="21"/>
          <w:highlight w:val="none"/>
        </w:rPr>
        <w:t>、</w:t>
      </w:r>
      <w:r>
        <w:rPr>
          <w:rFonts w:hint="eastAsia" w:ascii="宋体" w:hAnsi="宋体" w:cs="宋体"/>
          <w:b/>
          <w:bCs/>
          <w:sz w:val="21"/>
          <w:szCs w:val="21"/>
          <w:highlight w:val="none"/>
          <w:lang w:val="en-US" w:eastAsia="zh-CN"/>
        </w:rPr>
        <w:t>交付及验收</w:t>
      </w:r>
      <w:r>
        <w:rPr>
          <w:rFonts w:hint="eastAsia" w:ascii="宋体" w:hAnsi="宋体" w:cs="宋体"/>
          <w:b/>
          <w:bCs/>
          <w:sz w:val="21"/>
          <w:szCs w:val="21"/>
          <w:highlight w:val="none"/>
        </w:rPr>
        <w:t>：</w:t>
      </w:r>
    </w:p>
    <w:p w14:paraId="6406A03B">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Times New Roman" w:hAnsi="Times New Roman" w:cs="Times New Roman"/>
          <w:sz w:val="21"/>
          <w:szCs w:val="21"/>
          <w:highlight w:val="none"/>
          <w:lang w:val="en-US"/>
        </w:rPr>
      </w:pPr>
      <w:r>
        <w:rPr>
          <w:rFonts w:hint="eastAsia" w:ascii="Times New Roman" w:hAnsi="Times New Roman" w:cs="Times New Roman"/>
          <w:sz w:val="21"/>
          <w:szCs w:val="21"/>
          <w:highlight w:val="none"/>
          <w:lang w:val="en-US" w:eastAsia="zh-CN"/>
        </w:rPr>
        <w:t>合同履行期限：签订合同后</w:t>
      </w:r>
      <w:r>
        <w:rPr>
          <w:rFonts w:hint="eastAsia" w:ascii="Times New Roman" w:hAnsi="Times New Roman" w:cs="Times New Roman"/>
          <w:color w:val="FF0000"/>
          <w:sz w:val="21"/>
          <w:szCs w:val="21"/>
          <w:highlight w:val="none"/>
          <w:lang w:val="en-US" w:eastAsia="zh-CN"/>
        </w:rPr>
        <w:t>20日历天内完成建设方案编制。</w:t>
      </w:r>
    </w:p>
    <w:p w14:paraId="39FEFE97">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cs="宋体"/>
          <w:b w:val="0"/>
          <w:bCs w:val="0"/>
          <w:sz w:val="21"/>
          <w:szCs w:val="21"/>
          <w:highlight w:val="none"/>
          <w:lang w:val="en-US" w:eastAsia="zh-CN"/>
        </w:rPr>
      </w:pPr>
      <w:r>
        <w:rPr>
          <w:rFonts w:hint="eastAsia" w:ascii="Times New Roman" w:hAnsi="Times New Roman" w:cs="Times New Roman"/>
          <w:sz w:val="21"/>
          <w:szCs w:val="21"/>
          <w:highlight w:val="none"/>
          <w:lang w:val="en-US" w:eastAsia="zh-CN"/>
        </w:rPr>
        <w:t>甲方或者采购代理机构应当按照政府采购合同规定的技术、服务、安全标准组织对乙方的履约情况进行验收，并出具验收书。验收书应当包括每一项技术、服务、安全标准的履约情况。</w:t>
      </w:r>
    </w:p>
    <w:p w14:paraId="07A16153">
      <w:pPr>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b/>
          <w:bCs/>
          <w:sz w:val="21"/>
          <w:szCs w:val="21"/>
          <w:highlight w:val="none"/>
        </w:rPr>
      </w:pPr>
      <w:r>
        <w:rPr>
          <w:rFonts w:hint="eastAsia" w:ascii="宋体" w:hAnsi="宋体" w:cs="宋体"/>
          <w:b/>
          <w:bCs/>
          <w:sz w:val="21"/>
          <w:szCs w:val="21"/>
          <w:highlight w:val="none"/>
          <w:lang w:val="en-US" w:eastAsia="zh-CN"/>
        </w:rPr>
        <w:t>九</w:t>
      </w:r>
      <w:r>
        <w:rPr>
          <w:rFonts w:hint="eastAsia" w:ascii="宋体" w:hAnsi="宋体" w:cs="宋体"/>
          <w:b/>
          <w:bCs/>
          <w:sz w:val="21"/>
          <w:szCs w:val="21"/>
          <w:highlight w:val="none"/>
        </w:rPr>
        <w:t>、知识产权</w:t>
      </w:r>
    </w:p>
    <w:p w14:paraId="1CCFDB8F">
      <w:pPr>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sz w:val="21"/>
          <w:szCs w:val="21"/>
          <w:highlight w:val="none"/>
        </w:rPr>
      </w:pPr>
      <w:r>
        <w:rPr>
          <w:rFonts w:hint="eastAsia" w:ascii="宋体" w:hAnsi="宋体" w:cs="宋体"/>
          <w:sz w:val="21"/>
          <w:szCs w:val="21"/>
          <w:highlight w:val="none"/>
        </w:rPr>
        <w:t>乙方应保证甲方在使用、接受本合同货物和服务或其任何一部分时不受第三方提出侵犯其专利权、版权、商标权和工业设计权等知识产权的起诉。一旦出现侵权，由乙方负全部责任。</w:t>
      </w:r>
    </w:p>
    <w:p w14:paraId="342EBA82">
      <w:pPr>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b/>
          <w:bCs/>
          <w:sz w:val="21"/>
          <w:szCs w:val="21"/>
          <w:highlight w:val="none"/>
        </w:rPr>
      </w:pPr>
      <w:r>
        <w:rPr>
          <w:rFonts w:hint="eastAsia" w:ascii="宋体" w:hAnsi="宋体" w:cs="宋体"/>
          <w:b/>
          <w:bCs/>
          <w:sz w:val="21"/>
          <w:szCs w:val="21"/>
          <w:highlight w:val="none"/>
          <w:lang w:val="en-US" w:eastAsia="zh-CN"/>
        </w:rPr>
        <w:t>十</w:t>
      </w:r>
      <w:r>
        <w:rPr>
          <w:rFonts w:hint="eastAsia" w:ascii="宋体" w:hAnsi="宋体"/>
          <w:b/>
          <w:bCs/>
          <w:sz w:val="21"/>
          <w:szCs w:val="21"/>
          <w:highlight w:val="none"/>
        </w:rPr>
        <w:t>、</w:t>
      </w:r>
      <w:r>
        <w:rPr>
          <w:rFonts w:hint="eastAsia" w:ascii="宋体" w:hAnsi="宋体"/>
          <w:b/>
          <w:sz w:val="21"/>
          <w:szCs w:val="21"/>
          <w:highlight w:val="none"/>
        </w:rPr>
        <w:t>结算方式及期限</w:t>
      </w:r>
    </w:p>
    <w:p w14:paraId="4DB04974">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FF0000"/>
          <w:sz w:val="21"/>
          <w:szCs w:val="21"/>
          <w:highlight w:val="none"/>
          <w:lang w:eastAsia="zh-CN"/>
        </w:rPr>
      </w:pPr>
      <w:r>
        <w:rPr>
          <w:rFonts w:hint="eastAsia" w:ascii="宋体" w:hAnsi="宋体" w:cs="宋体"/>
          <w:color w:val="FF0000"/>
          <w:sz w:val="21"/>
          <w:szCs w:val="21"/>
          <w:highlight w:val="none"/>
        </w:rPr>
        <w:t>1.合同签订后，支付合同总价的30%</w:t>
      </w:r>
      <w:r>
        <w:rPr>
          <w:rFonts w:hint="eastAsia" w:ascii="宋体" w:hAnsi="宋体" w:cs="宋体"/>
          <w:color w:val="FF0000"/>
          <w:sz w:val="21"/>
          <w:szCs w:val="21"/>
          <w:highlight w:val="none"/>
          <w:lang w:val="en-US" w:eastAsia="zh-CN"/>
        </w:rPr>
        <w:t>作为</w:t>
      </w:r>
      <w:r>
        <w:rPr>
          <w:rFonts w:hint="eastAsia" w:ascii="宋体" w:hAnsi="宋体" w:cs="宋体"/>
          <w:color w:val="FF0000"/>
          <w:sz w:val="21"/>
          <w:szCs w:val="21"/>
          <w:highlight w:val="none"/>
        </w:rPr>
        <w:t>预付款；</w:t>
      </w:r>
      <w:r>
        <w:rPr>
          <w:rFonts w:hint="eastAsia" w:ascii="宋体" w:hAnsi="宋体" w:cs="宋体"/>
          <w:color w:val="FF0000"/>
          <w:sz w:val="21"/>
          <w:szCs w:val="21"/>
          <w:highlight w:val="none"/>
          <w:lang w:val="en-US" w:eastAsia="zh-CN"/>
        </w:rPr>
        <w:t>乙方</w:t>
      </w:r>
      <w:r>
        <w:rPr>
          <w:rFonts w:hint="eastAsia" w:ascii="宋体" w:hAnsi="宋体" w:cs="宋体"/>
          <w:color w:val="FF0000"/>
          <w:sz w:val="21"/>
          <w:szCs w:val="21"/>
          <w:highlight w:val="none"/>
        </w:rPr>
        <w:t>提交建设方案评审稿并通过省发改委组织的专家评审</w:t>
      </w:r>
      <w:r>
        <w:rPr>
          <w:rFonts w:hint="eastAsia" w:ascii="宋体" w:hAnsi="宋体" w:cs="宋体"/>
          <w:color w:val="FF0000"/>
          <w:sz w:val="21"/>
          <w:szCs w:val="21"/>
          <w:highlight w:val="none"/>
          <w:lang w:val="en-US" w:eastAsia="zh-CN"/>
        </w:rPr>
        <w:t>后</w:t>
      </w:r>
      <w:r>
        <w:rPr>
          <w:rFonts w:hint="eastAsia" w:ascii="宋体" w:hAnsi="宋体" w:cs="宋体"/>
          <w:color w:val="FF0000"/>
          <w:sz w:val="21"/>
          <w:szCs w:val="21"/>
          <w:highlight w:val="none"/>
        </w:rPr>
        <w:t>，</w:t>
      </w:r>
      <w:r>
        <w:rPr>
          <w:rFonts w:hint="eastAsia" w:ascii="宋体" w:hAnsi="宋体" w:cs="宋体"/>
          <w:color w:val="FF0000"/>
          <w:sz w:val="21"/>
          <w:szCs w:val="21"/>
          <w:highlight w:val="none"/>
          <w:lang w:val="en-US" w:eastAsia="zh-CN"/>
        </w:rPr>
        <w:t>付至</w:t>
      </w:r>
      <w:r>
        <w:rPr>
          <w:rFonts w:hint="eastAsia" w:ascii="宋体" w:hAnsi="宋体" w:cs="宋体"/>
          <w:color w:val="FF0000"/>
          <w:sz w:val="21"/>
          <w:szCs w:val="21"/>
          <w:highlight w:val="none"/>
        </w:rPr>
        <w:t>合同总价的60%</w:t>
      </w:r>
      <w:r>
        <w:rPr>
          <w:rFonts w:hint="eastAsia" w:ascii="宋体" w:hAnsi="宋体" w:cs="宋体"/>
          <w:color w:val="FF0000"/>
          <w:sz w:val="21"/>
          <w:szCs w:val="21"/>
          <w:highlight w:val="none"/>
          <w:lang w:eastAsia="zh-CN"/>
        </w:rPr>
        <w:t>；提交建设方案终稿</w:t>
      </w:r>
      <w:r>
        <w:rPr>
          <w:rFonts w:hint="eastAsia" w:ascii="宋体" w:hAnsi="宋体" w:cs="宋体"/>
          <w:color w:val="FF0000"/>
          <w:sz w:val="21"/>
          <w:szCs w:val="21"/>
          <w:highlight w:val="none"/>
          <w:lang w:val="en-US" w:eastAsia="zh-CN"/>
        </w:rPr>
        <w:t>经国家相关部门评审通过并公告</w:t>
      </w:r>
      <w:r>
        <w:rPr>
          <w:rFonts w:hint="eastAsia" w:ascii="宋体" w:hAnsi="宋体" w:cs="宋体"/>
          <w:color w:val="FF0000"/>
          <w:sz w:val="21"/>
          <w:szCs w:val="21"/>
          <w:highlight w:val="none"/>
          <w:lang w:eastAsia="zh-CN"/>
        </w:rPr>
        <w:t>列入国家骨干冷链物流基地建设名单</w:t>
      </w:r>
      <w:r>
        <w:rPr>
          <w:rFonts w:hint="eastAsia" w:ascii="宋体" w:hAnsi="宋体" w:cs="宋体"/>
          <w:color w:val="FF0000"/>
          <w:sz w:val="21"/>
          <w:szCs w:val="21"/>
          <w:highlight w:val="none"/>
          <w:lang w:val="en-US" w:eastAsia="zh-CN"/>
        </w:rPr>
        <w:t>后结清余款。</w:t>
      </w:r>
      <w:r>
        <w:rPr>
          <w:rFonts w:hint="eastAsia" w:ascii="宋体" w:hAnsi="宋体" w:cs="宋体"/>
          <w:color w:val="FF0000"/>
          <w:sz w:val="21"/>
          <w:szCs w:val="21"/>
          <w:highlight w:val="none"/>
          <w:lang w:eastAsia="zh-CN"/>
        </w:rPr>
        <w:t xml:space="preserve"> </w:t>
      </w:r>
      <w:r>
        <w:rPr>
          <w:rFonts w:hint="eastAsia" w:ascii="宋体" w:hAnsi="宋体" w:cs="宋体"/>
          <w:color w:val="FF0000"/>
          <w:sz w:val="21"/>
          <w:szCs w:val="21"/>
          <w:highlight w:val="none"/>
        </w:rPr>
        <w:t>在此期间，乙方必须由项目负责人负责后续服务</w:t>
      </w:r>
      <w:r>
        <w:rPr>
          <w:rFonts w:hint="eastAsia" w:ascii="宋体" w:hAnsi="宋体" w:cs="宋体"/>
          <w:color w:val="FF0000"/>
          <w:sz w:val="21"/>
          <w:szCs w:val="21"/>
          <w:highlight w:val="none"/>
          <w:lang w:eastAsia="zh-CN"/>
        </w:rPr>
        <w:t>。</w:t>
      </w:r>
    </w:p>
    <w:p w14:paraId="67DB154A">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color w:val="FF0000"/>
          <w:sz w:val="21"/>
          <w:szCs w:val="21"/>
          <w:highlight w:val="none"/>
        </w:rPr>
      </w:pPr>
      <w:r>
        <w:rPr>
          <w:rFonts w:hint="eastAsia" w:ascii="宋体" w:hAnsi="宋体" w:cs="宋体"/>
          <w:color w:val="FF0000"/>
          <w:sz w:val="21"/>
          <w:szCs w:val="21"/>
          <w:highlight w:val="none"/>
        </w:rPr>
        <w:t>2.在签订合同时，乙方明确表示无需预付款或者主动要求降低预付款比例的，甲方可不适用上述关于预付款的规定。</w:t>
      </w:r>
    </w:p>
    <w:p w14:paraId="55CF641D">
      <w:pPr>
        <w:keepNext w:val="0"/>
        <w:keepLines w:val="0"/>
        <w:pageBreakBefore w:val="0"/>
        <w:kinsoku/>
        <w:wordWrap/>
        <w:overflowPunct/>
        <w:topLinePunct w:val="0"/>
        <w:autoSpaceDE/>
        <w:autoSpaceDN/>
        <w:bidi w:val="0"/>
        <w:adjustRightInd/>
        <w:snapToGrid/>
        <w:spacing w:line="500" w:lineRule="exact"/>
        <w:ind w:left="2" w:firstLine="477"/>
        <w:textAlignment w:val="auto"/>
        <w:rPr>
          <w:rFonts w:ascii="宋体" w:hAnsi="宋体"/>
          <w:b/>
          <w:color w:val="000000"/>
          <w:sz w:val="21"/>
          <w:szCs w:val="21"/>
          <w:highlight w:val="none"/>
        </w:rPr>
      </w:pPr>
      <w:r>
        <w:rPr>
          <w:rFonts w:hint="eastAsia" w:ascii="宋体" w:hAnsi="宋体"/>
          <w:b/>
          <w:color w:val="000000"/>
          <w:sz w:val="21"/>
          <w:szCs w:val="21"/>
          <w:highlight w:val="none"/>
          <w:lang w:val="en-US" w:eastAsia="zh-CN"/>
        </w:rPr>
        <w:t>十一</w:t>
      </w:r>
      <w:r>
        <w:rPr>
          <w:rFonts w:hint="eastAsia" w:ascii="宋体" w:hAnsi="宋体"/>
          <w:b/>
          <w:color w:val="000000"/>
          <w:sz w:val="21"/>
          <w:szCs w:val="21"/>
          <w:highlight w:val="none"/>
        </w:rPr>
        <w:t xml:space="preserve">、双方权利与义务  </w:t>
      </w:r>
    </w:p>
    <w:p w14:paraId="3E2E5495">
      <w:pPr>
        <w:keepNext w:val="0"/>
        <w:keepLines w:val="0"/>
        <w:pageBreakBefore w:val="0"/>
        <w:kinsoku/>
        <w:wordWrap/>
        <w:overflowPunct/>
        <w:topLinePunct w:val="0"/>
        <w:autoSpaceDE/>
        <w:autoSpaceDN/>
        <w:bidi w:val="0"/>
        <w:adjustRightInd/>
        <w:snapToGrid/>
        <w:spacing w:line="500" w:lineRule="exact"/>
        <w:ind w:left="2" w:firstLine="475"/>
        <w:textAlignment w:val="auto"/>
        <w:rPr>
          <w:rFonts w:ascii="宋体" w:hAnsi="宋体"/>
          <w:color w:val="000000"/>
          <w:sz w:val="21"/>
          <w:szCs w:val="21"/>
          <w:highlight w:val="none"/>
        </w:rPr>
      </w:pPr>
      <w:r>
        <w:rPr>
          <w:rFonts w:hint="eastAsia" w:ascii="宋体" w:hAnsi="宋体"/>
          <w:color w:val="000000"/>
          <w:sz w:val="21"/>
          <w:szCs w:val="21"/>
          <w:highlight w:val="none"/>
        </w:rPr>
        <w:t xml:space="preserve">1.甲方责任 </w:t>
      </w:r>
    </w:p>
    <w:p w14:paraId="3AD1C103">
      <w:pPr>
        <w:keepNext w:val="0"/>
        <w:keepLines w:val="0"/>
        <w:pageBreakBefore w:val="0"/>
        <w:kinsoku/>
        <w:wordWrap/>
        <w:overflowPunct/>
        <w:topLinePunct w:val="0"/>
        <w:autoSpaceDE/>
        <w:autoSpaceDN/>
        <w:bidi w:val="0"/>
        <w:adjustRightInd/>
        <w:snapToGrid/>
        <w:spacing w:line="500" w:lineRule="exact"/>
        <w:ind w:left="2" w:firstLine="475"/>
        <w:textAlignment w:val="auto"/>
        <w:rPr>
          <w:rFonts w:ascii="宋体" w:hAnsi="宋体"/>
          <w:color w:val="000000"/>
          <w:sz w:val="21"/>
          <w:szCs w:val="21"/>
          <w:highlight w:val="none"/>
        </w:rPr>
      </w:pPr>
      <w:r>
        <w:rPr>
          <w:rFonts w:hint="eastAsia" w:ascii="宋体" w:hAnsi="宋体"/>
          <w:color w:val="000000"/>
          <w:sz w:val="21"/>
          <w:szCs w:val="21"/>
          <w:highlight w:val="none"/>
        </w:rPr>
        <w:t>1.1 甲方按本合同规定的时间内向乙方提交资料及文件，并对其完整性、正确性及时限负责，甲方不得要求乙方出具违反国家有关标准的成果；</w:t>
      </w:r>
    </w:p>
    <w:p w14:paraId="6F4F5DFC">
      <w:pPr>
        <w:keepNext w:val="0"/>
        <w:keepLines w:val="0"/>
        <w:pageBreakBefore w:val="0"/>
        <w:kinsoku/>
        <w:wordWrap/>
        <w:overflowPunct/>
        <w:topLinePunct w:val="0"/>
        <w:autoSpaceDE/>
        <w:autoSpaceDN/>
        <w:bidi w:val="0"/>
        <w:adjustRightInd/>
        <w:snapToGrid/>
        <w:spacing w:line="500" w:lineRule="exact"/>
        <w:ind w:left="2" w:firstLine="475"/>
        <w:textAlignment w:val="auto"/>
        <w:rPr>
          <w:rFonts w:ascii="宋体" w:hAnsi="宋体"/>
          <w:color w:val="000000"/>
          <w:sz w:val="21"/>
          <w:szCs w:val="21"/>
          <w:highlight w:val="none"/>
        </w:rPr>
      </w:pPr>
      <w:r>
        <w:rPr>
          <w:rFonts w:hint="eastAsia" w:ascii="宋体" w:hAnsi="宋体"/>
          <w:color w:val="000000"/>
          <w:sz w:val="21"/>
          <w:szCs w:val="21"/>
          <w:highlight w:val="none"/>
        </w:rPr>
        <w:t>1.2 甲方应保护乙方的投标书、文件、资料图纸、数据</w:t>
      </w:r>
      <w:r>
        <w:rPr>
          <w:rFonts w:hint="eastAsia" w:ascii="宋体" w:hAnsi="宋体"/>
          <w:color w:val="000000"/>
          <w:sz w:val="21"/>
          <w:szCs w:val="21"/>
          <w:highlight w:val="none"/>
          <w:lang w:eastAsia="zh-CN"/>
        </w:rPr>
        <w:t>。</w:t>
      </w:r>
      <w:r>
        <w:rPr>
          <w:rFonts w:hint="eastAsia" w:ascii="宋体" w:hAnsi="宋体"/>
          <w:color w:val="000000"/>
          <w:sz w:val="21"/>
          <w:szCs w:val="21"/>
          <w:highlight w:val="none"/>
        </w:rPr>
        <w:t>未经乙方同意，甲方对乙方交付的资料及文件不得擅自修改、复制或向第三人转让或用于本合同外的项目，如发生以上情况，甲方应负法律责任，乙方有权向甲方提出索赔；</w:t>
      </w:r>
    </w:p>
    <w:p w14:paraId="73745D71">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1.</w:t>
      </w:r>
      <w:r>
        <w:rPr>
          <w:rFonts w:hint="eastAsia" w:ascii="宋体" w:hAnsi="宋体"/>
          <w:color w:val="000000"/>
          <w:sz w:val="21"/>
          <w:szCs w:val="21"/>
          <w:highlight w:val="none"/>
          <w:lang w:val="en-US" w:eastAsia="zh-CN"/>
        </w:rPr>
        <w:t>2</w:t>
      </w:r>
      <w:r>
        <w:rPr>
          <w:rFonts w:hint="eastAsia" w:ascii="宋体" w:hAnsi="宋体"/>
          <w:color w:val="000000"/>
          <w:sz w:val="21"/>
          <w:szCs w:val="21"/>
          <w:highlight w:val="none"/>
        </w:rPr>
        <w:t xml:space="preserve"> 发现乙方在为甲方提供服务过程中存在安全隐患和泄密漏洞的，应当及时提出，并督促落实改进措施，确保安全。</w:t>
      </w:r>
    </w:p>
    <w:p w14:paraId="7A77C4E2">
      <w:pPr>
        <w:keepNext w:val="0"/>
        <w:keepLines w:val="0"/>
        <w:pageBreakBefore w:val="0"/>
        <w:kinsoku/>
        <w:wordWrap/>
        <w:overflowPunct/>
        <w:topLinePunct w:val="0"/>
        <w:autoSpaceDE/>
        <w:autoSpaceDN/>
        <w:bidi w:val="0"/>
        <w:adjustRightInd/>
        <w:snapToGrid/>
        <w:spacing w:line="500" w:lineRule="exact"/>
        <w:ind w:left="2" w:firstLine="475"/>
        <w:textAlignment w:val="auto"/>
        <w:rPr>
          <w:rFonts w:ascii="宋体" w:hAnsi="宋体"/>
          <w:color w:val="000000"/>
          <w:sz w:val="21"/>
          <w:szCs w:val="21"/>
          <w:highlight w:val="none"/>
        </w:rPr>
      </w:pPr>
      <w:r>
        <w:rPr>
          <w:rFonts w:hint="eastAsia" w:ascii="宋体" w:hAnsi="宋体"/>
          <w:color w:val="000000"/>
          <w:sz w:val="21"/>
          <w:szCs w:val="21"/>
          <w:highlight w:val="none"/>
        </w:rPr>
        <w:t>2.乙方责任</w:t>
      </w:r>
    </w:p>
    <w:p w14:paraId="39B6CF3A">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2.1.乙方应做好质量管理工作，建立健全质量保证体系，加强工作全过程的质量控制，按期、按质、按量地完成双方商定的各项工作内容，并对</w:t>
      </w:r>
      <w:r>
        <w:rPr>
          <w:rFonts w:hint="eastAsia" w:ascii="宋体" w:hAnsi="宋体"/>
          <w:color w:val="000000"/>
          <w:sz w:val="21"/>
          <w:szCs w:val="21"/>
          <w:highlight w:val="none"/>
          <w:lang w:eastAsia="zh-CN"/>
        </w:rPr>
        <w:t>完成服务</w:t>
      </w:r>
      <w:r>
        <w:rPr>
          <w:rFonts w:hint="eastAsia" w:ascii="宋体" w:hAnsi="宋体"/>
          <w:color w:val="000000"/>
          <w:sz w:val="21"/>
          <w:szCs w:val="21"/>
          <w:highlight w:val="none"/>
        </w:rPr>
        <w:t>的质量负责，达到甲方要求。报告质量应达到行业内领先水平；</w:t>
      </w:r>
    </w:p>
    <w:p w14:paraId="66D404FA">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2.2.应自行承担工作的一切有关费用，包括食宿、交通、差旅费、资料、会议费等；</w:t>
      </w:r>
    </w:p>
    <w:p w14:paraId="3653A549">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2.3.在工作过程中，应主动和甲方保持密切联系；</w:t>
      </w:r>
    </w:p>
    <w:p w14:paraId="4C6F5219">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2.4.根据审查意见及时修改、完善项目报告；</w:t>
      </w:r>
    </w:p>
    <w:p w14:paraId="27202930">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2.5.未经甲方同意，不得将项目报告转让给第三方；</w:t>
      </w:r>
    </w:p>
    <w:p w14:paraId="72FE083E">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2.6.人员保证与变更</w:t>
      </w:r>
    </w:p>
    <w:p w14:paraId="478854BD">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（1）乙方应按投标文件中承诺的人员投入工作，在报告编制过程应保持人员的相对稳定。确需调整，应报经甲方批准；</w:t>
      </w:r>
    </w:p>
    <w:p w14:paraId="34E59E38">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（2）如果乙方的人员渎职或不能胜任工作或从事其他违法活动，甲方有权书面要求更换，乙方应立即派出具有同等或以上资历的人员替换；若非因上述原因，乙方有权拒绝；</w:t>
      </w:r>
    </w:p>
    <w:p w14:paraId="04095AD5">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（3）若乙方的进度没有达到乙方投标文件中承诺的进度计划，甲方有权提出要求增加工作人员，乙方应立即安排，其费用被认为已包含在合同价格之中。</w:t>
      </w:r>
    </w:p>
    <w:p w14:paraId="30079196">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2.7.若乙方在合同履行期间发生人员伤亡或财产的损失，或者造成第三方的人员伤亡或财产损失，乙方应承担全部责任，并保障甲方免于承担由此造成的一切损害和损失；</w:t>
      </w:r>
    </w:p>
    <w:p w14:paraId="72193DD2">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rPr>
      </w:pPr>
      <w:r>
        <w:rPr>
          <w:rFonts w:hint="eastAsia" w:ascii="宋体" w:hAnsi="宋体"/>
          <w:color w:val="000000"/>
          <w:sz w:val="21"/>
          <w:szCs w:val="21"/>
          <w:highlight w:val="none"/>
        </w:rPr>
        <w:t>2.8.乙方负责定期向甲方</w:t>
      </w:r>
      <w:r>
        <w:rPr>
          <w:rFonts w:hint="eastAsia" w:ascii="宋体" w:hAnsi="宋体"/>
          <w:color w:val="000000"/>
          <w:sz w:val="21"/>
          <w:szCs w:val="21"/>
          <w:highlight w:val="none"/>
          <w:lang w:eastAsia="zh-CN"/>
        </w:rPr>
        <w:t>项目</w:t>
      </w:r>
      <w:r>
        <w:rPr>
          <w:rFonts w:hint="eastAsia" w:ascii="宋体" w:hAnsi="宋体"/>
          <w:color w:val="000000"/>
          <w:sz w:val="21"/>
          <w:szCs w:val="21"/>
          <w:highlight w:val="none"/>
        </w:rPr>
        <w:t>工作进展情况；</w:t>
      </w:r>
    </w:p>
    <w:p w14:paraId="7FCD96E5">
      <w:pPr>
        <w:keepNext w:val="0"/>
        <w:keepLines w:val="0"/>
        <w:pageBreakBefore w:val="0"/>
        <w:kinsoku/>
        <w:wordWrap/>
        <w:overflowPunct/>
        <w:topLinePunct w:val="0"/>
        <w:autoSpaceDE/>
        <w:autoSpaceDN/>
        <w:bidi w:val="0"/>
        <w:adjustRightInd/>
        <w:snapToGrid/>
        <w:spacing w:line="500" w:lineRule="exact"/>
        <w:ind w:left="2" w:firstLine="475"/>
        <w:textAlignment w:val="auto"/>
        <w:rPr>
          <w:rFonts w:ascii="宋体" w:hAnsi="宋体"/>
          <w:color w:val="000000"/>
          <w:sz w:val="21"/>
          <w:szCs w:val="21"/>
          <w:highlight w:val="none"/>
        </w:rPr>
      </w:pPr>
      <w:r>
        <w:rPr>
          <w:rFonts w:hint="eastAsia" w:ascii="宋体" w:hAnsi="宋体"/>
          <w:color w:val="000000"/>
          <w:sz w:val="21"/>
          <w:szCs w:val="21"/>
          <w:highlight w:val="none"/>
        </w:rPr>
        <w:t>2.9.乙方应根据甲方的要求，就项目加强与相关部门的协调衔接，及时向与项目有关的其它单位提供项目资料；</w:t>
      </w:r>
    </w:p>
    <w:p w14:paraId="3CCA3190">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rPr>
        <w:t>2.</w:t>
      </w:r>
      <w:r>
        <w:rPr>
          <w:rFonts w:hint="eastAsia" w:ascii="宋体" w:hAnsi="宋体"/>
          <w:color w:val="000000"/>
          <w:sz w:val="21"/>
          <w:szCs w:val="21"/>
          <w:highlight w:val="none"/>
          <w:lang w:val="en-US" w:eastAsia="zh-CN"/>
        </w:rPr>
        <w:t>10</w:t>
      </w:r>
      <w:r>
        <w:rPr>
          <w:rFonts w:hint="eastAsia" w:ascii="宋体" w:hAnsi="宋体"/>
          <w:color w:val="000000"/>
          <w:sz w:val="21"/>
          <w:szCs w:val="21"/>
          <w:highlight w:val="none"/>
        </w:rPr>
        <w:t>.</w:t>
      </w:r>
      <w:r>
        <w:rPr>
          <w:rFonts w:hint="eastAsia" w:ascii="宋体" w:hAnsi="宋体"/>
          <w:color w:val="000000"/>
          <w:sz w:val="21"/>
          <w:szCs w:val="21"/>
          <w:highlight w:val="none"/>
          <w:lang w:val="en-US" w:eastAsia="zh-CN"/>
        </w:rPr>
        <w:t>乙方在接受甲方委托之日起，应当事先做好相关准备工作：</w:t>
      </w:r>
    </w:p>
    <w:p w14:paraId="60EA75DB">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（1）对相关工作人员进行保密教育，明确保密责任、义务，并与之签订《保密协议》。</w:t>
      </w:r>
    </w:p>
    <w:p w14:paraId="7333E8C5">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（2）乙方在项目实施过程中增加的相关工作人员，乙方应及时按同等要求落实相关措施。</w:t>
      </w:r>
    </w:p>
    <w:p w14:paraId="5AA7067F">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rPr>
        <w:t>2.</w:t>
      </w:r>
      <w:r>
        <w:rPr>
          <w:rFonts w:hint="eastAsia" w:ascii="宋体" w:hAnsi="宋体"/>
          <w:color w:val="000000"/>
          <w:sz w:val="21"/>
          <w:szCs w:val="21"/>
          <w:highlight w:val="none"/>
          <w:lang w:val="en-US" w:eastAsia="zh-CN"/>
        </w:rPr>
        <w:t>11</w:t>
      </w:r>
      <w:r>
        <w:rPr>
          <w:rFonts w:hint="eastAsia" w:ascii="宋体" w:hAnsi="宋体"/>
          <w:color w:val="000000"/>
          <w:sz w:val="21"/>
          <w:szCs w:val="21"/>
          <w:highlight w:val="none"/>
        </w:rPr>
        <w:t>.</w:t>
      </w:r>
      <w:r>
        <w:rPr>
          <w:rFonts w:hint="eastAsia" w:ascii="宋体" w:hAnsi="宋体"/>
          <w:color w:val="000000"/>
          <w:sz w:val="21"/>
          <w:szCs w:val="21"/>
          <w:highlight w:val="none"/>
          <w:lang w:val="en-US" w:eastAsia="zh-CN"/>
        </w:rPr>
        <w:t>乙方工作人员在为甲方服务过程中，应尽量避免接触甲方的涉密事项，做到不该看的不看，不该问的不问；因提供技术服务需要必须接触涉密事宜时，应主动接受甲方的现场指导和监督，并确保有关涉密设备、涉密信息的安全。</w:t>
      </w:r>
    </w:p>
    <w:p w14:paraId="25D1F2BA">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rPr>
        <w:t>2.</w:t>
      </w:r>
      <w:r>
        <w:rPr>
          <w:rFonts w:hint="eastAsia" w:ascii="宋体" w:hAnsi="宋体"/>
          <w:color w:val="000000"/>
          <w:sz w:val="21"/>
          <w:szCs w:val="21"/>
          <w:highlight w:val="none"/>
          <w:lang w:val="en-US" w:eastAsia="zh-CN"/>
        </w:rPr>
        <w:t>12</w:t>
      </w:r>
      <w:r>
        <w:rPr>
          <w:rFonts w:hint="eastAsia" w:ascii="宋体" w:hAnsi="宋体"/>
          <w:color w:val="000000"/>
          <w:sz w:val="21"/>
          <w:szCs w:val="21"/>
          <w:highlight w:val="none"/>
        </w:rPr>
        <w:t>.</w:t>
      </w:r>
      <w:r>
        <w:rPr>
          <w:rFonts w:hint="eastAsia" w:ascii="宋体" w:hAnsi="宋体"/>
          <w:color w:val="000000"/>
          <w:sz w:val="21"/>
          <w:szCs w:val="21"/>
          <w:highlight w:val="none"/>
          <w:lang w:val="en-US" w:eastAsia="zh-CN"/>
        </w:rPr>
        <w:t>乙方在为甲方服务时，甲方根据乙方提出的要求，必须提供保密资料时，双方应当办理交接手续，做好登记、使用台帐；乙方在将相关保密资料带回使用时，应提前向甲方报告，并应确保携带、使用、存放全过程的安全，保密资料严禁另行复制。</w:t>
      </w:r>
    </w:p>
    <w:p w14:paraId="3C74FA77">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rPr>
        <w:t>2.</w:t>
      </w:r>
      <w:r>
        <w:rPr>
          <w:rFonts w:hint="eastAsia" w:ascii="宋体" w:hAnsi="宋体"/>
          <w:color w:val="000000"/>
          <w:sz w:val="21"/>
          <w:szCs w:val="21"/>
          <w:highlight w:val="none"/>
          <w:lang w:val="en-US" w:eastAsia="zh-CN"/>
        </w:rPr>
        <w:t>13</w:t>
      </w:r>
      <w:r>
        <w:rPr>
          <w:rFonts w:hint="eastAsia" w:ascii="宋体" w:hAnsi="宋体"/>
          <w:color w:val="000000"/>
          <w:sz w:val="21"/>
          <w:szCs w:val="21"/>
          <w:highlight w:val="none"/>
        </w:rPr>
        <w:t>.</w:t>
      </w:r>
      <w:r>
        <w:rPr>
          <w:rFonts w:hint="eastAsia" w:ascii="宋体" w:hAnsi="宋体"/>
          <w:color w:val="000000"/>
          <w:sz w:val="21"/>
          <w:szCs w:val="21"/>
          <w:highlight w:val="none"/>
          <w:lang w:val="en-US" w:eastAsia="zh-CN"/>
        </w:rPr>
        <w:t>乙方在完成甲方某项服务后，与此任务相关、且短期内不再使用的先前甲方提供的保密资料，原则上应先期退回甲方，并办理保密资料退回手续，做好交接登记。甲方认为可以作废不需退回的保密资料，乙方应当及时进行保密销毁，并做好核销登记。</w:t>
      </w:r>
    </w:p>
    <w:p w14:paraId="47030735">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rPr>
        <w:t>2.</w:t>
      </w:r>
      <w:r>
        <w:rPr>
          <w:rFonts w:hint="eastAsia" w:ascii="宋体" w:hAnsi="宋体"/>
          <w:color w:val="000000"/>
          <w:sz w:val="21"/>
          <w:szCs w:val="21"/>
          <w:highlight w:val="none"/>
          <w:lang w:val="en-US" w:eastAsia="zh-CN"/>
        </w:rPr>
        <w:t>14</w:t>
      </w:r>
      <w:r>
        <w:rPr>
          <w:rFonts w:hint="eastAsia" w:ascii="宋体" w:hAnsi="宋体"/>
          <w:color w:val="000000"/>
          <w:sz w:val="21"/>
          <w:szCs w:val="21"/>
          <w:highlight w:val="none"/>
        </w:rPr>
        <w:t>.</w:t>
      </w:r>
      <w:r>
        <w:rPr>
          <w:rFonts w:hint="eastAsia" w:ascii="宋体" w:hAnsi="宋体"/>
          <w:color w:val="000000"/>
          <w:sz w:val="21"/>
          <w:szCs w:val="21"/>
          <w:highlight w:val="none"/>
          <w:lang w:val="en-US" w:eastAsia="zh-CN"/>
        </w:rPr>
        <w:t>乙方对于甲方提供的保密资料以及相关工作人员在为甲方服务时掌握的其他涉密信息，均不得向第三方或其他无关人员透露，应按照服务需要严格控制使用、知悉范围。</w:t>
      </w:r>
    </w:p>
    <w:p w14:paraId="1E98AFB8">
      <w:pPr>
        <w:keepNext w:val="0"/>
        <w:keepLines w:val="0"/>
        <w:pageBreakBefore w:val="0"/>
        <w:kinsoku/>
        <w:wordWrap/>
        <w:overflowPunct/>
        <w:topLinePunct w:val="0"/>
        <w:autoSpaceDE/>
        <w:autoSpaceDN/>
        <w:bidi w:val="0"/>
        <w:adjustRightInd/>
        <w:snapToGrid/>
        <w:spacing w:line="500" w:lineRule="exact"/>
        <w:ind w:left="2" w:firstLine="475"/>
        <w:textAlignment w:val="auto"/>
        <w:rPr>
          <w:rFonts w:hint="eastAsia" w:ascii="宋体" w:hAnsi="宋体"/>
          <w:color w:val="000000"/>
          <w:sz w:val="21"/>
          <w:szCs w:val="21"/>
          <w:highlight w:val="none"/>
          <w:lang w:val="en-US" w:eastAsia="zh-CN"/>
        </w:rPr>
      </w:pPr>
      <w:r>
        <w:rPr>
          <w:rFonts w:hint="eastAsia" w:ascii="宋体" w:hAnsi="宋体"/>
          <w:color w:val="000000"/>
          <w:sz w:val="21"/>
          <w:szCs w:val="21"/>
          <w:highlight w:val="none"/>
        </w:rPr>
        <w:t>2.</w:t>
      </w:r>
      <w:r>
        <w:rPr>
          <w:rFonts w:hint="eastAsia" w:ascii="宋体" w:hAnsi="宋体"/>
          <w:color w:val="000000"/>
          <w:sz w:val="21"/>
          <w:szCs w:val="21"/>
          <w:highlight w:val="none"/>
          <w:lang w:val="en-US" w:eastAsia="zh-CN"/>
        </w:rPr>
        <w:t>15</w:t>
      </w:r>
      <w:r>
        <w:rPr>
          <w:rFonts w:hint="eastAsia" w:ascii="宋体" w:hAnsi="宋体"/>
          <w:color w:val="000000"/>
          <w:sz w:val="21"/>
          <w:szCs w:val="21"/>
          <w:highlight w:val="none"/>
        </w:rPr>
        <w:t>.</w:t>
      </w:r>
      <w:r>
        <w:rPr>
          <w:rFonts w:hint="eastAsia" w:ascii="宋体" w:hAnsi="宋体"/>
          <w:color w:val="000000"/>
          <w:sz w:val="21"/>
          <w:szCs w:val="21"/>
          <w:highlight w:val="none"/>
          <w:lang w:val="en-US" w:eastAsia="zh-CN"/>
        </w:rPr>
        <w:t>乙方在使用电子设备(包括笔记本电脑、移动存储介质等)为甲方提供服务时，应严格按照国家有关保密规定要求，落实技防、人防、物防综合防范措施，确保安全。</w:t>
      </w:r>
    </w:p>
    <w:p w14:paraId="7037108A">
      <w:pPr>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b/>
          <w:bCs/>
          <w:sz w:val="21"/>
          <w:szCs w:val="21"/>
          <w:highlight w:val="none"/>
        </w:rPr>
      </w:pPr>
      <w:r>
        <w:rPr>
          <w:rFonts w:hint="eastAsia" w:ascii="宋体" w:hAnsi="宋体" w:cs="宋体"/>
          <w:b/>
          <w:bCs/>
          <w:sz w:val="21"/>
          <w:szCs w:val="21"/>
          <w:highlight w:val="none"/>
          <w:lang w:val="en-US" w:eastAsia="zh-CN"/>
        </w:rPr>
        <w:t>十二</w:t>
      </w:r>
      <w:r>
        <w:rPr>
          <w:rFonts w:hint="eastAsia" w:ascii="宋体" w:hAnsi="宋体" w:cs="宋体"/>
          <w:b/>
          <w:bCs/>
          <w:sz w:val="21"/>
          <w:szCs w:val="21"/>
          <w:highlight w:val="none"/>
        </w:rPr>
        <w:t>、违约责任</w:t>
      </w:r>
    </w:p>
    <w:p w14:paraId="6A6AA744">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bCs/>
          <w:sz w:val="21"/>
          <w:szCs w:val="21"/>
          <w:highlight w:val="none"/>
        </w:rPr>
      </w:pPr>
      <w:r>
        <w:rPr>
          <w:rFonts w:hint="eastAsia" w:ascii="宋体" w:hAnsi="宋体" w:cs="宋体"/>
          <w:bCs/>
          <w:sz w:val="21"/>
          <w:szCs w:val="21"/>
          <w:highlight w:val="none"/>
        </w:rPr>
        <w:t>1.合同一方不履行合同义务或者履行合同义务不符合约定的，应当承担继续履行、采取补救措施或者赔偿损失等违约责任。</w:t>
      </w:r>
    </w:p>
    <w:p w14:paraId="1A6AEE9C">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bCs/>
          <w:sz w:val="21"/>
          <w:szCs w:val="21"/>
          <w:highlight w:val="none"/>
        </w:rPr>
      </w:pPr>
      <w:r>
        <w:rPr>
          <w:rFonts w:hint="eastAsia" w:ascii="宋体" w:hAnsi="宋体" w:cs="宋体"/>
          <w:bCs/>
          <w:sz w:val="21"/>
          <w:szCs w:val="21"/>
          <w:highlight w:val="none"/>
        </w:rPr>
        <w:t>2.甲方违约责任</w:t>
      </w:r>
    </w:p>
    <w:p w14:paraId="12880AF5">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bCs/>
          <w:sz w:val="21"/>
          <w:szCs w:val="21"/>
          <w:highlight w:val="none"/>
        </w:rPr>
      </w:pPr>
      <w:r>
        <w:rPr>
          <w:rFonts w:hint="eastAsia" w:ascii="宋体" w:hAnsi="宋体"/>
          <w:sz w:val="21"/>
          <w:szCs w:val="21"/>
          <w:highlight w:val="none"/>
        </w:rPr>
        <w:t>甲方违反合同规定，拒绝接收乙方交付的</w:t>
      </w:r>
      <w:r>
        <w:rPr>
          <w:rFonts w:hint="eastAsia" w:ascii="宋体" w:hAnsi="宋体"/>
          <w:sz w:val="21"/>
          <w:szCs w:val="21"/>
          <w:highlight w:val="none"/>
          <w:lang w:val="en-US" w:eastAsia="zh-CN"/>
        </w:rPr>
        <w:t>服务</w:t>
      </w:r>
      <w:r>
        <w:rPr>
          <w:rFonts w:hint="eastAsia" w:ascii="宋体" w:hAnsi="宋体"/>
          <w:sz w:val="21"/>
          <w:szCs w:val="21"/>
          <w:highlight w:val="none"/>
        </w:rPr>
        <w:t>成果，应当承担乙方由此造成的损失</w:t>
      </w:r>
      <w:r>
        <w:rPr>
          <w:rFonts w:hint="eastAsia" w:ascii="宋体" w:hAnsi="宋体" w:cs="宋体"/>
          <w:bCs/>
          <w:sz w:val="21"/>
          <w:szCs w:val="21"/>
          <w:highlight w:val="none"/>
        </w:rPr>
        <w:t>。</w:t>
      </w:r>
    </w:p>
    <w:p w14:paraId="7593D071">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bCs/>
          <w:sz w:val="21"/>
          <w:szCs w:val="21"/>
          <w:highlight w:val="none"/>
        </w:rPr>
      </w:pPr>
      <w:r>
        <w:rPr>
          <w:rFonts w:hint="eastAsia" w:ascii="宋体" w:hAnsi="宋体" w:cs="宋体"/>
          <w:bCs/>
          <w:sz w:val="21"/>
          <w:szCs w:val="21"/>
          <w:highlight w:val="none"/>
        </w:rPr>
        <w:t>3.乙方违约责任</w:t>
      </w:r>
    </w:p>
    <w:p w14:paraId="5581699F">
      <w:pPr>
        <w:keepNext w:val="0"/>
        <w:keepLines w:val="0"/>
        <w:pageBreakBefore w:val="0"/>
        <w:kinsoku/>
        <w:wordWrap/>
        <w:overflowPunct/>
        <w:topLinePunct w:val="0"/>
        <w:autoSpaceDE/>
        <w:autoSpaceDN/>
        <w:bidi w:val="0"/>
        <w:adjustRightInd/>
        <w:snapToGrid/>
        <w:spacing w:line="500" w:lineRule="exact"/>
        <w:ind w:firstLine="425"/>
        <w:jc w:val="left"/>
        <w:textAlignment w:val="auto"/>
        <w:rPr>
          <w:rFonts w:hint="eastAsia" w:ascii="宋体" w:hAnsi="宋体"/>
          <w:sz w:val="21"/>
          <w:szCs w:val="21"/>
          <w:highlight w:val="none"/>
        </w:rPr>
      </w:pPr>
      <w:r>
        <w:rPr>
          <w:rFonts w:hint="eastAsia" w:ascii="宋体" w:hAnsi="宋体"/>
          <w:sz w:val="21"/>
          <w:szCs w:val="21"/>
          <w:highlight w:val="none"/>
        </w:rPr>
        <w:t>（1）</w:t>
      </w:r>
      <w:r>
        <w:rPr>
          <w:rFonts w:hint="eastAsia" w:ascii="宋体" w:hAnsi="宋体"/>
          <w:sz w:val="21"/>
          <w:szCs w:val="21"/>
          <w:highlight w:val="none"/>
          <w:lang w:eastAsia="zh-CN"/>
        </w:rPr>
        <w:t>本项目现场服务人员必须为乙方投标时投标文件项目配备人员一览表中人员，且按甲方要求提供</w:t>
      </w:r>
      <w:r>
        <w:rPr>
          <w:rFonts w:hint="eastAsia" w:ascii="宋体" w:hAnsi="宋体"/>
          <w:sz w:val="21"/>
          <w:szCs w:val="21"/>
          <w:highlight w:val="none"/>
          <w:lang w:val="en-US" w:eastAsia="zh-CN"/>
        </w:rPr>
        <w:t>服务人员进行驻点服务。</w:t>
      </w:r>
      <w:r>
        <w:rPr>
          <w:rFonts w:hint="eastAsia" w:ascii="宋体" w:hAnsi="宋体"/>
          <w:sz w:val="21"/>
          <w:szCs w:val="21"/>
          <w:highlight w:val="none"/>
          <w:lang w:eastAsia="zh-CN"/>
        </w:rPr>
        <w:t>如有违反，甲方有权解除本合同。</w:t>
      </w:r>
    </w:p>
    <w:p w14:paraId="564C7C96">
      <w:pPr>
        <w:keepNext w:val="0"/>
        <w:keepLines w:val="0"/>
        <w:pageBreakBefore w:val="0"/>
        <w:kinsoku/>
        <w:wordWrap/>
        <w:overflowPunct/>
        <w:topLinePunct w:val="0"/>
        <w:autoSpaceDE/>
        <w:autoSpaceDN/>
        <w:bidi w:val="0"/>
        <w:adjustRightInd/>
        <w:snapToGrid/>
        <w:spacing w:line="500" w:lineRule="exact"/>
        <w:ind w:firstLine="425"/>
        <w:jc w:val="left"/>
        <w:textAlignment w:val="auto"/>
        <w:rPr>
          <w:rFonts w:ascii="宋体" w:hAnsi="宋体"/>
          <w:sz w:val="21"/>
          <w:szCs w:val="21"/>
          <w:highlight w:val="none"/>
        </w:rPr>
      </w:pPr>
      <w:r>
        <w:rPr>
          <w:rFonts w:hint="eastAsia" w:ascii="宋体" w:hAnsi="宋体"/>
          <w:sz w:val="21"/>
          <w:szCs w:val="21"/>
          <w:highlight w:val="none"/>
        </w:rPr>
        <w:t>（</w:t>
      </w:r>
      <w:r>
        <w:rPr>
          <w:rFonts w:hint="eastAsia" w:ascii="宋体" w:hAnsi="宋体"/>
          <w:sz w:val="21"/>
          <w:szCs w:val="21"/>
          <w:highlight w:val="none"/>
          <w:lang w:val="en-US" w:eastAsia="zh-CN"/>
        </w:rPr>
        <w:t>2</w:t>
      </w:r>
      <w:r>
        <w:rPr>
          <w:rFonts w:hint="eastAsia" w:ascii="宋体" w:hAnsi="宋体"/>
          <w:sz w:val="21"/>
          <w:szCs w:val="21"/>
          <w:highlight w:val="none"/>
        </w:rPr>
        <w:t>）乙方不能提交</w:t>
      </w:r>
      <w:r>
        <w:rPr>
          <w:rFonts w:hint="eastAsia" w:ascii="宋体" w:hAnsi="宋体"/>
          <w:sz w:val="21"/>
          <w:szCs w:val="21"/>
          <w:highlight w:val="none"/>
          <w:lang w:val="en-US" w:eastAsia="zh-CN"/>
        </w:rPr>
        <w:t>服务</w:t>
      </w:r>
      <w:r>
        <w:rPr>
          <w:rFonts w:hint="eastAsia" w:ascii="宋体" w:hAnsi="宋体"/>
          <w:sz w:val="21"/>
          <w:szCs w:val="21"/>
          <w:highlight w:val="none"/>
        </w:rPr>
        <w:t>成果，或提交的</w:t>
      </w:r>
      <w:r>
        <w:rPr>
          <w:rFonts w:hint="eastAsia" w:ascii="宋体" w:hAnsi="宋体"/>
          <w:sz w:val="21"/>
          <w:szCs w:val="21"/>
          <w:highlight w:val="none"/>
          <w:lang w:val="en-US" w:eastAsia="zh-CN"/>
        </w:rPr>
        <w:t>服务</w:t>
      </w:r>
      <w:r>
        <w:rPr>
          <w:rFonts w:hint="eastAsia" w:ascii="宋体" w:hAnsi="宋体"/>
          <w:sz w:val="21"/>
          <w:szCs w:val="21"/>
          <w:highlight w:val="none"/>
        </w:rPr>
        <w:t>成果不合格从而影响甲方正常使用的，甲方有权解除合同，乙方向甲方偿付合同总价款</w:t>
      </w:r>
      <w:r>
        <w:rPr>
          <w:rFonts w:ascii="宋体" w:hAnsi="宋体"/>
          <w:sz w:val="21"/>
          <w:szCs w:val="21"/>
          <w:highlight w:val="none"/>
        </w:rPr>
        <w:t>5%</w:t>
      </w:r>
      <w:r>
        <w:rPr>
          <w:rFonts w:hint="eastAsia" w:ascii="宋体" w:hAnsi="宋体"/>
          <w:sz w:val="21"/>
          <w:szCs w:val="21"/>
          <w:highlight w:val="none"/>
        </w:rPr>
        <w:t>的违约金，违约金不足以补偿损失的甲方有权要求乙方补足。</w:t>
      </w:r>
    </w:p>
    <w:p w14:paraId="49660B85">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sz w:val="21"/>
          <w:szCs w:val="21"/>
          <w:highlight w:val="none"/>
        </w:rPr>
      </w:pPr>
      <w:r>
        <w:rPr>
          <w:rFonts w:hint="eastAsia" w:ascii="宋体" w:hAnsi="宋体"/>
          <w:sz w:val="21"/>
          <w:szCs w:val="21"/>
          <w:highlight w:val="none"/>
        </w:rPr>
        <w:t>（</w:t>
      </w:r>
      <w:r>
        <w:rPr>
          <w:rFonts w:hint="eastAsia" w:ascii="宋体" w:hAnsi="宋体"/>
          <w:sz w:val="21"/>
          <w:szCs w:val="21"/>
          <w:highlight w:val="none"/>
          <w:lang w:val="en-US" w:eastAsia="zh-CN"/>
        </w:rPr>
        <w:t>3</w:t>
      </w:r>
      <w:r>
        <w:rPr>
          <w:rFonts w:hint="eastAsia" w:ascii="宋体" w:hAnsi="宋体"/>
          <w:sz w:val="21"/>
          <w:szCs w:val="21"/>
          <w:highlight w:val="none"/>
        </w:rPr>
        <w:t>）乙方逾期提交的，应在提交前与甲方协商，甲方仍需求的，乙方应立即提交并应按照逾期提交</w:t>
      </w:r>
      <w:r>
        <w:rPr>
          <w:rFonts w:hint="eastAsia" w:ascii="宋体" w:hAnsi="宋体"/>
          <w:sz w:val="21"/>
          <w:szCs w:val="21"/>
          <w:highlight w:val="none"/>
          <w:lang w:eastAsia="zh-CN"/>
        </w:rPr>
        <w:t>服务</w:t>
      </w:r>
      <w:r>
        <w:rPr>
          <w:rFonts w:hint="eastAsia" w:ascii="宋体" w:hAnsi="宋体"/>
          <w:sz w:val="21"/>
          <w:szCs w:val="21"/>
          <w:highlight w:val="none"/>
        </w:rPr>
        <w:t>成果的每天万分之四支付逾期交货违约金，同时承担甲方因此遭致的损失费用。甲方不再需要的，应当在接到乙方通知后十五天内答复乙方，办理解除合同手续。逾期不答复的，视为同意提交</w:t>
      </w:r>
      <w:r>
        <w:rPr>
          <w:rFonts w:hint="eastAsia" w:ascii="宋体" w:hAnsi="宋体"/>
          <w:sz w:val="21"/>
          <w:szCs w:val="21"/>
          <w:highlight w:val="none"/>
          <w:lang w:eastAsia="zh-CN"/>
        </w:rPr>
        <w:t>服务</w:t>
      </w:r>
      <w:r>
        <w:rPr>
          <w:rFonts w:hint="eastAsia" w:ascii="宋体" w:hAnsi="宋体"/>
          <w:sz w:val="21"/>
          <w:szCs w:val="21"/>
          <w:highlight w:val="none"/>
        </w:rPr>
        <w:t>成果，但乙方仍需按本条约定承担逾期交货的违约责任。</w:t>
      </w:r>
    </w:p>
    <w:p w14:paraId="7BB8B5A1">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4</w:t>
      </w:r>
      <w:r>
        <w:rPr>
          <w:rFonts w:hint="eastAsia" w:ascii="宋体" w:hAnsi="宋体"/>
          <w:sz w:val="21"/>
          <w:szCs w:val="21"/>
          <w:highlight w:val="none"/>
        </w:rPr>
        <w:t>.由于双方违反约定，造成泄密事件发生或者产生严重泄密隐患的，由违约一方承担全部责任。</w:t>
      </w:r>
    </w:p>
    <w:p w14:paraId="36AABFB6">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bCs/>
          <w:sz w:val="21"/>
          <w:szCs w:val="21"/>
          <w:highlight w:val="none"/>
          <w:lang w:val="zh-CN"/>
        </w:rPr>
      </w:pPr>
      <w:r>
        <w:rPr>
          <w:rFonts w:hint="eastAsia" w:ascii="宋体" w:hAnsi="宋体" w:cs="宋体"/>
          <w:b/>
          <w:bCs/>
          <w:sz w:val="21"/>
          <w:szCs w:val="21"/>
          <w:highlight w:val="none"/>
          <w:lang w:val="en-US" w:eastAsia="zh-CN"/>
        </w:rPr>
        <w:t>十三、</w:t>
      </w:r>
      <w:r>
        <w:rPr>
          <w:rFonts w:hint="eastAsia" w:ascii="宋体" w:hAnsi="宋体" w:cs="宋体"/>
          <w:b/>
          <w:bCs/>
          <w:sz w:val="21"/>
          <w:szCs w:val="21"/>
          <w:highlight w:val="none"/>
          <w:lang w:val="zh-CN"/>
        </w:rPr>
        <w:t>安全责任</w:t>
      </w:r>
    </w:p>
    <w:p w14:paraId="54895D26">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bCs/>
          <w:sz w:val="21"/>
          <w:szCs w:val="21"/>
          <w:highlight w:val="none"/>
        </w:rPr>
      </w:pPr>
      <w:r>
        <w:rPr>
          <w:rFonts w:hint="eastAsia" w:ascii="宋体" w:hAnsi="宋体" w:cs="宋体"/>
          <w:b/>
          <w:bCs/>
          <w:sz w:val="21"/>
          <w:szCs w:val="21"/>
          <w:highlight w:val="none"/>
        </w:rPr>
        <w:t>乙方必须保证项目服务过程中人员及设备的安全。如因服务质量不合理、不规范，以及一切自然损坏而造成的人身伤害事故（不包括不可抗力因素），由乙方承担全部责任。</w:t>
      </w:r>
    </w:p>
    <w:p w14:paraId="403271B9">
      <w:pPr>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b/>
          <w:bCs/>
          <w:sz w:val="21"/>
          <w:szCs w:val="21"/>
          <w:highlight w:val="none"/>
        </w:rPr>
      </w:pPr>
      <w:r>
        <w:rPr>
          <w:rFonts w:hint="eastAsia" w:ascii="宋体" w:hAnsi="宋体" w:cs="宋体"/>
          <w:b/>
          <w:bCs/>
          <w:sz w:val="21"/>
          <w:szCs w:val="21"/>
          <w:highlight w:val="none"/>
        </w:rPr>
        <w:t>十</w:t>
      </w:r>
      <w:r>
        <w:rPr>
          <w:rFonts w:hint="eastAsia" w:ascii="宋体" w:hAnsi="宋体" w:cs="宋体"/>
          <w:b/>
          <w:bCs/>
          <w:sz w:val="21"/>
          <w:szCs w:val="21"/>
          <w:highlight w:val="none"/>
          <w:lang w:val="en-US" w:eastAsia="zh-CN"/>
        </w:rPr>
        <w:t>四</w:t>
      </w:r>
      <w:r>
        <w:rPr>
          <w:rFonts w:hint="eastAsia" w:ascii="宋体" w:hAnsi="宋体" w:cs="宋体"/>
          <w:b/>
          <w:bCs/>
          <w:sz w:val="21"/>
          <w:szCs w:val="21"/>
          <w:highlight w:val="none"/>
        </w:rPr>
        <w:t>、不可抗力事件处理</w:t>
      </w:r>
    </w:p>
    <w:p w14:paraId="45EE688E">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sz w:val="21"/>
          <w:szCs w:val="21"/>
          <w:highlight w:val="none"/>
        </w:rPr>
      </w:pPr>
      <w:r>
        <w:rPr>
          <w:rFonts w:hint="eastAsia" w:ascii="宋体" w:hAnsi="宋体" w:cs="宋体"/>
          <w:sz w:val="21"/>
          <w:szCs w:val="21"/>
          <w:highlight w:val="none"/>
        </w:rPr>
        <w:t>1.在合同有效期内，任何一方因不可抗力事件导致不能履行合同，则合同履行期可延长，其延长期与不可抗力影响期相同。</w:t>
      </w:r>
    </w:p>
    <w:p w14:paraId="0AFFDFE1">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sz w:val="21"/>
          <w:szCs w:val="21"/>
          <w:highlight w:val="none"/>
        </w:rPr>
      </w:pPr>
      <w:r>
        <w:rPr>
          <w:rFonts w:hint="eastAsia" w:ascii="宋体" w:hAnsi="宋体" w:cs="宋体"/>
          <w:sz w:val="21"/>
          <w:szCs w:val="21"/>
          <w:highlight w:val="none"/>
        </w:rPr>
        <w:t>2.不可抗力事件发生后，应立即通知对方，并寄送有关权威机构出具的证明。</w:t>
      </w:r>
    </w:p>
    <w:p w14:paraId="69C8662D">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sz w:val="21"/>
          <w:szCs w:val="21"/>
          <w:highlight w:val="none"/>
        </w:rPr>
      </w:pPr>
      <w:r>
        <w:rPr>
          <w:rFonts w:hint="eastAsia" w:ascii="宋体" w:hAnsi="宋体" w:cs="宋体"/>
          <w:sz w:val="21"/>
          <w:szCs w:val="21"/>
          <w:highlight w:val="none"/>
        </w:rPr>
        <w:t>3.不可抗力事件延续120天以上，双方应通过友好协商，确定是否继续履行合同。</w:t>
      </w:r>
    </w:p>
    <w:p w14:paraId="7E8206FB">
      <w:pPr>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b/>
          <w:bCs/>
          <w:sz w:val="21"/>
          <w:szCs w:val="21"/>
          <w:highlight w:val="none"/>
        </w:rPr>
      </w:pPr>
      <w:r>
        <w:rPr>
          <w:rFonts w:hint="eastAsia" w:ascii="宋体" w:hAnsi="宋体" w:cs="宋体"/>
          <w:b/>
          <w:bCs/>
          <w:sz w:val="21"/>
          <w:szCs w:val="21"/>
          <w:highlight w:val="none"/>
        </w:rPr>
        <w:t>十</w:t>
      </w:r>
      <w:r>
        <w:rPr>
          <w:rFonts w:hint="eastAsia" w:ascii="宋体" w:hAnsi="宋体" w:cs="宋体"/>
          <w:b/>
          <w:bCs/>
          <w:sz w:val="21"/>
          <w:szCs w:val="21"/>
          <w:highlight w:val="none"/>
          <w:lang w:val="en-US" w:eastAsia="zh-CN"/>
        </w:rPr>
        <w:t>五</w:t>
      </w:r>
      <w:r>
        <w:rPr>
          <w:rFonts w:hint="eastAsia" w:ascii="宋体" w:hAnsi="宋体" w:cs="宋体"/>
          <w:b/>
          <w:bCs/>
          <w:sz w:val="21"/>
          <w:szCs w:val="21"/>
          <w:highlight w:val="none"/>
        </w:rPr>
        <w:t>、争议的解决</w:t>
      </w:r>
    </w:p>
    <w:p w14:paraId="62B5185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sz w:val="21"/>
          <w:szCs w:val="21"/>
          <w:highlight w:val="none"/>
        </w:rPr>
      </w:pPr>
      <w:r>
        <w:rPr>
          <w:rFonts w:hint="eastAsia" w:ascii="宋体" w:hAnsi="宋体" w:cs="宋体"/>
          <w:sz w:val="21"/>
          <w:szCs w:val="21"/>
          <w:highlight w:val="none"/>
        </w:rPr>
        <w:t>本合同在履行过程中发生争议，由当事人双方协商解决，</w:t>
      </w:r>
      <w:r>
        <w:rPr>
          <w:rFonts w:hint="eastAsia" w:ascii="宋体" w:hAnsi="宋体"/>
          <w:sz w:val="21"/>
          <w:szCs w:val="21"/>
          <w:highlight w:val="none"/>
        </w:rPr>
        <w:t>协商不成，双方同意将争议提交甲方所在地有管辖权的人民法院解决。</w:t>
      </w:r>
    </w:p>
    <w:p w14:paraId="693E6D52">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rPr>
        <w:t>十</w:t>
      </w:r>
      <w:r>
        <w:rPr>
          <w:rFonts w:hint="eastAsia" w:ascii="宋体" w:hAnsi="宋体" w:cs="宋体"/>
          <w:b/>
          <w:bCs/>
          <w:sz w:val="21"/>
          <w:szCs w:val="21"/>
          <w:highlight w:val="none"/>
          <w:lang w:val="en-US" w:eastAsia="zh-CN"/>
        </w:rPr>
        <w:t>六</w:t>
      </w:r>
      <w:r>
        <w:rPr>
          <w:rFonts w:hint="eastAsia" w:ascii="宋体" w:hAnsi="宋体" w:cs="宋体"/>
          <w:b/>
          <w:bCs/>
          <w:sz w:val="21"/>
          <w:szCs w:val="21"/>
          <w:highlight w:val="none"/>
        </w:rPr>
        <w:t>、合同生效及其它约定事项</w:t>
      </w:r>
    </w:p>
    <w:p w14:paraId="522847F0">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ascii="宋体" w:hAnsi="宋体" w:cs="宋体"/>
          <w:bCs/>
          <w:sz w:val="21"/>
          <w:szCs w:val="21"/>
          <w:highlight w:val="none"/>
        </w:rPr>
      </w:pPr>
      <w:r>
        <w:rPr>
          <w:rFonts w:hint="eastAsia" w:ascii="宋体" w:hAnsi="宋体" w:cs="宋体"/>
          <w:bCs/>
          <w:sz w:val="21"/>
          <w:szCs w:val="21"/>
          <w:highlight w:val="none"/>
          <w:lang w:val="en-US" w:eastAsia="zh-CN"/>
        </w:rPr>
        <w:t>1</w:t>
      </w:r>
      <w:r>
        <w:rPr>
          <w:rFonts w:hint="eastAsia" w:ascii="宋体" w:hAnsi="宋体" w:cs="宋体"/>
          <w:bCs/>
          <w:sz w:val="21"/>
          <w:szCs w:val="21"/>
          <w:highlight w:val="none"/>
        </w:rPr>
        <w:t>.合同执行期内，甲、乙双方均不得随意变更或解除合同。合同如有未尽事宜，须经双方共同协商，做出补充规定，补充规定与合同具有同等效力。</w:t>
      </w:r>
    </w:p>
    <w:p w14:paraId="738E5AA0">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ascii="宋体" w:hAnsi="宋体" w:cs="宋体"/>
          <w:bCs/>
          <w:sz w:val="21"/>
          <w:szCs w:val="21"/>
          <w:highlight w:val="none"/>
        </w:rPr>
      </w:pPr>
      <w:r>
        <w:rPr>
          <w:rFonts w:hint="eastAsia" w:ascii="宋体" w:hAnsi="宋体" w:cs="宋体"/>
          <w:bCs/>
          <w:sz w:val="21"/>
          <w:szCs w:val="21"/>
          <w:highlight w:val="none"/>
          <w:lang w:val="en-US" w:eastAsia="zh-CN"/>
        </w:rPr>
        <w:t>2</w:t>
      </w:r>
      <w:r>
        <w:rPr>
          <w:rFonts w:hint="eastAsia" w:ascii="宋体" w:hAnsi="宋体" w:cs="宋体"/>
          <w:bCs/>
          <w:sz w:val="21"/>
          <w:szCs w:val="21"/>
          <w:highlight w:val="none"/>
        </w:rPr>
        <w:t>.任何一方无权在没有另一方事先书面同意的情况下，向第三方给予、授予和转让本合同所规定的任何权利和义务。</w:t>
      </w:r>
    </w:p>
    <w:p w14:paraId="0AF09B9F">
      <w:pPr>
        <w:keepNext w:val="0"/>
        <w:keepLines w:val="0"/>
        <w:pageBreakBefore w:val="0"/>
        <w:widowControl/>
        <w:tabs>
          <w:tab w:val="left" w:pos="630"/>
        </w:tabs>
        <w:kinsoku/>
        <w:wordWrap/>
        <w:overflowPunct/>
        <w:topLinePunct w:val="0"/>
        <w:autoSpaceDE/>
        <w:autoSpaceDN/>
        <w:bidi w:val="0"/>
        <w:adjustRightInd/>
        <w:snapToGrid/>
        <w:spacing w:line="500" w:lineRule="exact"/>
        <w:ind w:firstLine="480"/>
        <w:textAlignment w:val="auto"/>
        <w:rPr>
          <w:rFonts w:ascii="宋体" w:hAnsi="宋体" w:cs="宋体"/>
          <w:bCs/>
          <w:sz w:val="21"/>
          <w:szCs w:val="21"/>
          <w:highlight w:val="none"/>
        </w:rPr>
      </w:pPr>
      <w:r>
        <w:rPr>
          <w:rFonts w:hint="eastAsia" w:ascii="宋体" w:hAnsi="宋体" w:cs="宋体"/>
          <w:bCs/>
          <w:sz w:val="21"/>
          <w:szCs w:val="21"/>
          <w:highlight w:val="none"/>
          <w:lang w:val="en-US" w:eastAsia="zh-CN"/>
        </w:rPr>
        <w:t>3</w:t>
      </w:r>
      <w:r>
        <w:rPr>
          <w:rFonts w:hint="eastAsia" w:ascii="宋体" w:hAnsi="宋体" w:cs="宋体"/>
          <w:bCs/>
          <w:sz w:val="21"/>
          <w:szCs w:val="21"/>
          <w:highlight w:val="none"/>
        </w:rPr>
        <w:t>.本合同自甲乙双方</w:t>
      </w:r>
      <w:r>
        <w:rPr>
          <w:rFonts w:hint="eastAsia" w:ascii="宋体" w:hAnsi="宋体" w:cs="宋体"/>
          <w:bCs/>
          <w:sz w:val="21"/>
          <w:szCs w:val="21"/>
          <w:highlight w:val="none"/>
          <w:lang w:val="en-US" w:eastAsia="zh-CN"/>
        </w:rPr>
        <w:t>授权</w:t>
      </w:r>
      <w:r>
        <w:rPr>
          <w:rFonts w:hint="eastAsia" w:ascii="宋体" w:hAnsi="宋体" w:cs="宋体"/>
          <w:bCs/>
          <w:sz w:val="21"/>
          <w:szCs w:val="21"/>
          <w:highlight w:val="none"/>
        </w:rPr>
        <w:t>代表签</w:t>
      </w:r>
      <w:r>
        <w:rPr>
          <w:rFonts w:hint="eastAsia" w:ascii="宋体" w:hAnsi="宋体" w:cs="宋体"/>
          <w:bCs/>
          <w:sz w:val="21"/>
          <w:szCs w:val="21"/>
          <w:highlight w:val="none"/>
          <w:lang w:val="en-US" w:eastAsia="zh-CN"/>
        </w:rPr>
        <w:t>名</w:t>
      </w:r>
      <w:r>
        <w:rPr>
          <w:rFonts w:hint="eastAsia" w:ascii="宋体" w:hAnsi="宋体" w:cs="宋体"/>
          <w:bCs/>
          <w:sz w:val="21"/>
          <w:szCs w:val="21"/>
          <w:highlight w:val="none"/>
        </w:rPr>
        <w:t>盖章之日起生效，一式陆份，甲乙双方各</w:t>
      </w:r>
      <w:r>
        <w:rPr>
          <w:rFonts w:hint="eastAsia" w:ascii="宋体" w:hAnsi="宋体" w:cs="宋体"/>
          <w:bCs/>
          <w:sz w:val="21"/>
          <w:szCs w:val="21"/>
          <w:highlight w:val="none"/>
          <w:lang w:val="en-US" w:eastAsia="zh-CN"/>
        </w:rPr>
        <w:t>叁</w:t>
      </w:r>
      <w:r>
        <w:rPr>
          <w:rFonts w:hint="eastAsia" w:ascii="宋体" w:hAnsi="宋体" w:cs="宋体"/>
          <w:bCs/>
          <w:sz w:val="21"/>
          <w:szCs w:val="21"/>
          <w:highlight w:val="none"/>
        </w:rPr>
        <w:t>份，</w:t>
      </w:r>
    </w:p>
    <w:p w14:paraId="67BF30C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4</w:t>
      </w:r>
      <w:r>
        <w:rPr>
          <w:rFonts w:hint="eastAsia" w:ascii="宋体" w:hAnsi="宋体" w:cs="宋体"/>
          <w:sz w:val="21"/>
          <w:szCs w:val="21"/>
          <w:highlight w:val="none"/>
        </w:rPr>
        <w:t>.本合同附件包括：招标文件、中标通知书、投标文件</w:t>
      </w:r>
      <w:r>
        <w:rPr>
          <w:rFonts w:hint="eastAsia" w:ascii="宋体" w:hAnsi="宋体" w:cs="宋体"/>
          <w:sz w:val="21"/>
          <w:szCs w:val="21"/>
          <w:highlight w:val="none"/>
          <w:lang w:eastAsia="zh-CN"/>
        </w:rPr>
        <w:t>，与本合同具有同样效力。</w:t>
      </w:r>
    </w:p>
    <w:p w14:paraId="7DA2D1A8">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sz w:val="21"/>
          <w:szCs w:val="21"/>
          <w:lang w:bidi="ar"/>
        </w:rPr>
      </w:pPr>
      <w:r>
        <w:rPr>
          <w:rFonts w:hint="eastAsia" w:ascii="宋体" w:hAnsi="宋体"/>
          <w:b/>
          <w:bCs/>
          <w:sz w:val="21"/>
          <w:szCs w:val="21"/>
          <w:highlight w:val="none"/>
          <w:lang w:val="en-US" w:eastAsia="zh-CN"/>
        </w:rPr>
        <w:t>5.</w:t>
      </w:r>
      <w:r>
        <w:rPr>
          <w:rFonts w:hint="eastAsia" w:ascii="宋体" w:hAnsi="宋体" w:cs="宋体"/>
          <w:sz w:val="21"/>
          <w:szCs w:val="21"/>
          <w:lang w:bidi="ar"/>
        </w:rPr>
        <w:t>本合同未注明事项，标书中有规定的，按标书中的规定处理，没有规定的，按照国家的有关规定处理。</w:t>
      </w:r>
    </w:p>
    <w:p w14:paraId="51C775C9">
      <w:pPr>
        <w:keepNext w:val="0"/>
        <w:keepLines w:val="0"/>
        <w:pageBreakBefore w:val="0"/>
        <w:kinsoku/>
        <w:wordWrap/>
        <w:overflowPunct/>
        <w:topLinePunct w:val="0"/>
        <w:autoSpaceDE/>
        <w:autoSpaceDN/>
        <w:bidi w:val="0"/>
        <w:adjustRightInd/>
        <w:snapToGrid/>
        <w:spacing w:line="500" w:lineRule="exact"/>
        <w:ind w:firstLine="482"/>
        <w:textAlignment w:val="auto"/>
        <w:rPr>
          <w:rFonts w:ascii="宋体" w:hAnsi="宋体" w:cs="宋体"/>
          <w:b/>
          <w:bCs/>
          <w:sz w:val="21"/>
          <w:szCs w:val="21"/>
          <w:highlight w:val="none"/>
        </w:rPr>
      </w:pPr>
      <w:r>
        <w:rPr>
          <w:rFonts w:hint="eastAsia" w:ascii="宋体" w:hAnsi="宋体"/>
          <w:b/>
          <w:bCs/>
          <w:sz w:val="21"/>
          <w:szCs w:val="21"/>
          <w:highlight w:val="none"/>
          <w:lang w:val="en-US" w:eastAsia="zh-CN"/>
        </w:rPr>
        <w:t>6</w:t>
      </w:r>
      <w:r>
        <w:rPr>
          <w:rFonts w:ascii="宋体" w:hAnsi="宋体"/>
          <w:b/>
          <w:bCs/>
          <w:sz w:val="21"/>
          <w:szCs w:val="21"/>
          <w:highlight w:val="none"/>
        </w:rPr>
        <w:t>.该合同在签订之日起2个工作日内在江苏省政府采购网、盐城市政府采购网上予以公示。</w:t>
      </w:r>
    </w:p>
    <w:p w14:paraId="46C83B79">
      <w:pPr>
        <w:keepNext w:val="0"/>
        <w:keepLines w:val="0"/>
        <w:pageBreakBefore w:val="0"/>
        <w:shd w:val="clear" w:color="auto" w:fill="FFFFFF"/>
        <w:kinsoku/>
        <w:wordWrap/>
        <w:overflowPunct/>
        <w:topLinePunct w:val="0"/>
        <w:autoSpaceDE/>
        <w:autoSpaceDN/>
        <w:bidi w:val="0"/>
        <w:adjustRightInd/>
        <w:snapToGrid/>
        <w:spacing w:line="500" w:lineRule="exact"/>
        <w:ind w:firstLine="476"/>
        <w:textAlignment w:val="auto"/>
        <w:rPr>
          <w:rFonts w:ascii="宋体" w:hAnsi="宋体" w:cs="宋体"/>
          <w:sz w:val="21"/>
          <w:szCs w:val="21"/>
        </w:rPr>
      </w:pPr>
    </w:p>
    <w:p w14:paraId="3D04D489">
      <w:pPr>
        <w:keepNext w:val="0"/>
        <w:keepLines w:val="0"/>
        <w:pageBreakBefore w:val="0"/>
        <w:shd w:val="clear" w:color="auto" w:fill="FFFFFF"/>
        <w:kinsoku/>
        <w:wordWrap/>
        <w:overflowPunct/>
        <w:topLinePunct w:val="0"/>
        <w:autoSpaceDE/>
        <w:autoSpaceDN/>
        <w:bidi w:val="0"/>
        <w:adjustRightInd/>
        <w:snapToGrid/>
        <w:spacing w:line="500" w:lineRule="exact"/>
        <w:ind w:left="420" w:firstLine="420"/>
        <w:textAlignment w:val="auto"/>
        <w:rPr>
          <w:rFonts w:ascii="宋体" w:hAnsi="宋体" w:cs="宋体"/>
          <w:sz w:val="21"/>
          <w:szCs w:val="21"/>
        </w:rPr>
      </w:pPr>
      <w:r>
        <w:rPr>
          <w:rFonts w:hint="eastAsia" w:ascii="宋体" w:hAnsi="宋体" w:cs="宋体"/>
          <w:sz w:val="21"/>
          <w:szCs w:val="21"/>
        </w:rPr>
        <w:t>甲方：(公章)</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乙方：(公章)</w:t>
      </w:r>
    </w:p>
    <w:p w14:paraId="392EB332">
      <w:pPr>
        <w:keepNext w:val="0"/>
        <w:keepLines w:val="0"/>
        <w:pageBreakBefore w:val="0"/>
        <w:shd w:val="clear" w:color="auto" w:fill="FFFFFF"/>
        <w:kinsoku/>
        <w:wordWrap/>
        <w:overflowPunct/>
        <w:topLinePunct w:val="0"/>
        <w:autoSpaceDE/>
        <w:autoSpaceDN/>
        <w:bidi w:val="0"/>
        <w:adjustRightInd/>
        <w:snapToGrid/>
        <w:spacing w:line="500" w:lineRule="exact"/>
        <w:ind w:left="420" w:firstLine="420"/>
        <w:textAlignment w:val="auto"/>
        <w:rPr>
          <w:rFonts w:ascii="宋体" w:hAnsi="宋体" w:cs="宋体"/>
          <w:sz w:val="21"/>
          <w:szCs w:val="21"/>
        </w:rPr>
      </w:pPr>
      <w:r>
        <w:rPr>
          <w:rFonts w:hint="eastAsia" w:ascii="宋体" w:hAnsi="宋体" w:cs="宋体"/>
          <w:sz w:val="21"/>
          <w:szCs w:val="21"/>
        </w:rPr>
        <w:t>法定代表人或</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法定代表人或</w:t>
      </w:r>
    </w:p>
    <w:p w14:paraId="031D8F55">
      <w:pPr>
        <w:keepNext w:val="0"/>
        <w:keepLines w:val="0"/>
        <w:pageBreakBefore w:val="0"/>
        <w:shd w:val="clear" w:color="auto" w:fill="FFFFFF"/>
        <w:kinsoku/>
        <w:wordWrap/>
        <w:overflowPunct/>
        <w:topLinePunct w:val="0"/>
        <w:autoSpaceDE/>
        <w:autoSpaceDN/>
        <w:bidi w:val="0"/>
        <w:adjustRightInd/>
        <w:snapToGrid/>
        <w:spacing w:line="500" w:lineRule="exact"/>
        <w:ind w:left="420" w:firstLine="420"/>
        <w:textAlignment w:val="auto"/>
        <w:rPr>
          <w:rFonts w:ascii="宋体" w:hAnsi="宋体" w:cs="宋体"/>
          <w:sz w:val="21"/>
          <w:szCs w:val="21"/>
        </w:rPr>
      </w:pPr>
      <w:r>
        <w:rPr>
          <w:rFonts w:hint="eastAsia" w:ascii="宋体" w:hAnsi="宋体" w:cs="宋体"/>
          <w:sz w:val="21"/>
          <w:szCs w:val="21"/>
          <w:lang w:val="en-US" w:eastAsia="zh-CN"/>
        </w:rPr>
        <w:t>授权代表</w:t>
      </w:r>
      <w:r>
        <w:rPr>
          <w:rFonts w:hint="eastAsia" w:ascii="宋体" w:hAnsi="宋体" w:cs="宋体"/>
          <w:sz w:val="21"/>
          <w:szCs w:val="21"/>
        </w:rPr>
        <w:t>（签</w:t>
      </w:r>
      <w:r>
        <w:rPr>
          <w:rFonts w:hint="eastAsia" w:ascii="宋体" w:hAnsi="宋体" w:cs="宋体"/>
          <w:sz w:val="21"/>
          <w:szCs w:val="21"/>
          <w:lang w:val="en-US" w:eastAsia="zh-CN"/>
        </w:rPr>
        <w:t>名</w:t>
      </w:r>
      <w:r>
        <w:rPr>
          <w:rFonts w:hint="eastAsia" w:ascii="宋体" w:hAnsi="宋体" w:cs="宋体"/>
          <w:sz w:val="21"/>
          <w:szCs w:val="21"/>
        </w:rPr>
        <w:t>或盖章）：</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lang w:val="en-US" w:eastAsia="zh-CN"/>
        </w:rPr>
        <w:t xml:space="preserve">    </w:t>
      </w:r>
      <w:r>
        <w:rPr>
          <w:rFonts w:hint="eastAsia" w:ascii="宋体" w:hAnsi="宋体" w:cs="宋体"/>
          <w:sz w:val="21"/>
          <w:szCs w:val="21"/>
        </w:rPr>
        <w:t>授权委托人（签</w:t>
      </w:r>
      <w:r>
        <w:rPr>
          <w:rFonts w:hint="eastAsia" w:ascii="宋体" w:hAnsi="宋体" w:cs="宋体"/>
          <w:sz w:val="21"/>
          <w:szCs w:val="21"/>
          <w:lang w:val="en-US" w:eastAsia="zh-CN"/>
        </w:rPr>
        <w:t>名</w:t>
      </w:r>
      <w:r>
        <w:rPr>
          <w:rFonts w:hint="eastAsia" w:ascii="宋体" w:hAnsi="宋体" w:cs="宋体"/>
          <w:sz w:val="21"/>
          <w:szCs w:val="21"/>
        </w:rPr>
        <w:t>或盖章）：</w:t>
      </w:r>
    </w:p>
    <w:p w14:paraId="62BB47B3">
      <w:pPr>
        <w:keepNext w:val="0"/>
        <w:keepLines w:val="0"/>
        <w:pageBreakBefore w:val="0"/>
        <w:kinsoku/>
        <w:wordWrap/>
        <w:overflowPunct/>
        <w:topLinePunct w:val="0"/>
        <w:autoSpaceDE/>
        <w:autoSpaceDN/>
        <w:bidi w:val="0"/>
        <w:adjustRightInd/>
        <w:snapToGrid/>
        <w:spacing w:line="500" w:lineRule="exact"/>
        <w:ind w:left="420" w:right="281" w:rightChars="134" w:firstLine="420"/>
        <w:textAlignment w:val="auto"/>
        <w:rPr>
          <w:rFonts w:ascii="宋体" w:hAnsi="宋体" w:cs="宋体"/>
          <w:sz w:val="21"/>
          <w:szCs w:val="21"/>
        </w:rPr>
      </w:pPr>
      <w:r>
        <w:rPr>
          <w:rFonts w:hint="eastAsia" w:ascii="宋体" w:hAnsi="宋体" w:cs="宋体"/>
          <w:sz w:val="21"/>
          <w:szCs w:val="21"/>
        </w:rPr>
        <w:t>日期：</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日期：</w:t>
      </w:r>
    </w:p>
    <w:p w14:paraId="651EF779">
      <w:pPr>
        <w:keepNext w:val="0"/>
        <w:keepLines w:val="0"/>
        <w:pageBreakBefore w:val="0"/>
        <w:kinsoku/>
        <w:wordWrap/>
        <w:overflowPunct/>
        <w:topLinePunct w:val="0"/>
        <w:autoSpaceDE/>
        <w:autoSpaceDN/>
        <w:bidi w:val="0"/>
        <w:adjustRightInd/>
        <w:snapToGrid/>
        <w:spacing w:line="500" w:lineRule="exact"/>
        <w:textAlignment w:val="auto"/>
        <w:rPr>
          <w:rFonts w:hint="eastAsia" w:hAnsi="宋体" w:cs="宋体"/>
          <w:b/>
          <w:sz w:val="21"/>
          <w:szCs w:val="21"/>
          <w:highlight w:val="none"/>
        </w:rPr>
      </w:pPr>
      <w:r>
        <w:rPr>
          <w:rFonts w:hint="eastAsia" w:hAnsi="宋体" w:cs="宋体"/>
          <w:b/>
          <w:sz w:val="21"/>
          <w:szCs w:val="21"/>
          <w:highlight w:val="none"/>
        </w:rPr>
        <w:br w:type="page" w:clear="all"/>
      </w:r>
    </w:p>
    <w:p w14:paraId="6F3E7264">
      <w:pPr>
        <w:pStyle w:val="21"/>
        <w:keepNext w:val="0"/>
        <w:keepLines w:val="0"/>
        <w:pageBreakBefore w:val="0"/>
        <w:kinsoku/>
        <w:wordWrap/>
        <w:overflowPunct/>
        <w:topLinePunct w:val="0"/>
        <w:autoSpaceDE/>
        <w:autoSpaceDN/>
        <w:bidi w:val="0"/>
        <w:adjustRightInd/>
        <w:snapToGrid/>
        <w:spacing w:line="500" w:lineRule="exact"/>
        <w:jc w:val="center"/>
        <w:textAlignment w:val="auto"/>
        <w:outlineLvl w:val="0"/>
        <w:rPr>
          <w:rFonts w:hint="eastAsia" w:hAnsi="宋体" w:cs="宋体"/>
          <w:b/>
          <w:sz w:val="21"/>
          <w:szCs w:val="21"/>
          <w:highlight w:val="none"/>
        </w:rPr>
        <w:sectPr>
          <w:headerReference r:id="rId4" w:type="default"/>
          <w:footerReference r:id="rId5" w:type="default"/>
          <w:pgSz w:w="11906" w:h="16838"/>
          <w:pgMar w:top="1418" w:right="1418" w:bottom="1191" w:left="1276" w:header="851" w:footer="992" w:gutter="0"/>
          <w:pgNumType w:start="1"/>
          <w:cols w:space="720" w:num="1"/>
          <w:docGrid w:linePitch="360" w:charSpace="0"/>
        </w:sectPr>
      </w:pPr>
    </w:p>
    <w:p w14:paraId="6CF96793">
      <w:pPr>
        <w:spacing w:line="360" w:lineRule="auto"/>
        <w:ind w:left="420" w:right="281" w:rightChars="134" w:hanging="422" w:hangingChars="175"/>
        <w:jc w:val="center"/>
        <w:rPr>
          <w:rFonts w:ascii="宋体" w:hAnsi="宋体" w:cs="宋体"/>
          <w:b/>
          <w:bCs/>
          <w:sz w:val="24"/>
          <w:szCs w:val="24"/>
        </w:rPr>
      </w:pPr>
      <w:r>
        <w:rPr>
          <w:rFonts w:hint="eastAsia" w:ascii="宋体" w:hAnsi="宋体" w:cs="宋体"/>
          <w:b/>
          <w:bCs/>
          <w:sz w:val="24"/>
          <w:szCs w:val="24"/>
        </w:rPr>
        <w:t>廉 政 合 同</w:t>
      </w:r>
    </w:p>
    <w:p w14:paraId="7D184099">
      <w:pPr>
        <w:keepNext w:val="0"/>
        <w:keepLines w:val="0"/>
        <w:pageBreakBefore w:val="0"/>
        <w:widowControl w:val="0"/>
        <w:kinsoku/>
        <w:wordWrap/>
        <w:overflowPunct/>
        <w:topLinePunct w:val="0"/>
        <w:autoSpaceDE/>
        <w:autoSpaceDN/>
        <w:bidi w:val="0"/>
        <w:adjustRightInd/>
        <w:snapToGrid/>
        <w:spacing w:line="480" w:lineRule="exact"/>
        <w:ind w:left="420" w:right="281" w:rightChars="134" w:hanging="367" w:hangingChars="175"/>
        <w:textAlignment w:val="auto"/>
        <w:rPr>
          <w:rFonts w:ascii="宋体" w:hAnsi="宋体" w:cs="宋体"/>
          <w:sz w:val="21"/>
          <w:szCs w:val="21"/>
        </w:rPr>
      </w:pPr>
      <w:r>
        <w:rPr>
          <w:rFonts w:hint="eastAsia" w:ascii="宋体" w:hAnsi="宋体" w:cs="宋体"/>
          <w:sz w:val="21"/>
          <w:szCs w:val="21"/>
        </w:rPr>
        <w:t xml:space="preserve">甲方：              </w:t>
      </w:r>
      <w:r>
        <w:rPr>
          <w:rFonts w:hint="eastAsia" w:ascii="宋体" w:hAnsi="宋体" w:cs="宋体"/>
          <w:sz w:val="21"/>
          <w:szCs w:val="21"/>
        </w:rPr>
        <w:tab/>
      </w:r>
    </w:p>
    <w:p w14:paraId="76013A2A">
      <w:pPr>
        <w:keepNext w:val="0"/>
        <w:keepLines w:val="0"/>
        <w:pageBreakBefore w:val="0"/>
        <w:widowControl w:val="0"/>
        <w:kinsoku/>
        <w:wordWrap/>
        <w:overflowPunct/>
        <w:topLinePunct w:val="0"/>
        <w:autoSpaceDE/>
        <w:autoSpaceDN/>
        <w:bidi w:val="0"/>
        <w:adjustRightInd/>
        <w:snapToGrid/>
        <w:spacing w:line="480" w:lineRule="exact"/>
        <w:ind w:left="420" w:right="281" w:rightChars="134" w:hanging="367" w:hangingChars="175"/>
        <w:textAlignment w:val="auto"/>
        <w:rPr>
          <w:rFonts w:ascii="宋体" w:hAnsi="宋体" w:cs="宋体"/>
          <w:sz w:val="21"/>
          <w:szCs w:val="21"/>
        </w:rPr>
      </w:pPr>
      <w:r>
        <w:rPr>
          <w:rFonts w:hint="eastAsia" w:ascii="宋体" w:hAnsi="宋体" w:cs="宋体"/>
          <w:sz w:val="21"/>
          <w:szCs w:val="21"/>
        </w:rPr>
        <w:t xml:space="preserve">乙方：                   </w:t>
      </w:r>
    </w:p>
    <w:p w14:paraId="7656CF68">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cs="宋体"/>
          <w:sz w:val="21"/>
          <w:szCs w:val="21"/>
        </w:rPr>
      </w:pPr>
      <w:r>
        <w:rPr>
          <w:rFonts w:hint="eastAsia" w:ascii="宋体" w:hAnsi="宋体" w:cs="宋体"/>
          <w:sz w:val="21"/>
          <w:szCs w:val="21"/>
        </w:rPr>
        <w:t>为强化抓源治本工作力度，从制度机制上进一步规范建设行为，杜绝不廉洁行为，特订立本合同，双方遵照执行。</w:t>
      </w:r>
    </w:p>
    <w:p w14:paraId="1B4A30B5">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cs="宋体"/>
          <w:sz w:val="21"/>
          <w:szCs w:val="21"/>
        </w:rPr>
      </w:pPr>
      <w:r>
        <w:rPr>
          <w:rFonts w:hint="eastAsia" w:ascii="宋体" w:hAnsi="宋体" w:cs="宋体"/>
          <w:sz w:val="21"/>
          <w:szCs w:val="21"/>
        </w:rPr>
        <w:t>1、甲、乙双方必须严格遵守国家法律、法规、政策及各项廉政规定，恪守职业道德规范。</w:t>
      </w:r>
    </w:p>
    <w:p w14:paraId="735A8501">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cs="宋体"/>
          <w:sz w:val="21"/>
          <w:szCs w:val="21"/>
        </w:rPr>
      </w:pPr>
      <w:r>
        <w:rPr>
          <w:rFonts w:hint="eastAsia" w:ascii="宋体" w:hAnsi="宋体" w:cs="宋体"/>
          <w:sz w:val="21"/>
          <w:szCs w:val="21"/>
        </w:rPr>
        <w:t>2、甲、乙双方在具体工程建设行为中，必须严格遵守招投标法规定的原则、方式、程序，保证公平、公正、公开。</w:t>
      </w:r>
    </w:p>
    <w:p w14:paraId="738A9A29">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cs="宋体"/>
          <w:sz w:val="21"/>
          <w:szCs w:val="21"/>
        </w:rPr>
      </w:pPr>
      <w:r>
        <w:rPr>
          <w:rFonts w:hint="eastAsia" w:ascii="宋体" w:hAnsi="宋体" w:cs="宋体"/>
          <w:sz w:val="21"/>
          <w:szCs w:val="21"/>
        </w:rPr>
        <w:t>3、甲、乙双方不得相互串通，损害国家利益、社会公共利益及其他当事人的合法权益。</w:t>
      </w:r>
    </w:p>
    <w:p w14:paraId="5663A2F3">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cs="宋体"/>
          <w:sz w:val="21"/>
          <w:szCs w:val="21"/>
        </w:rPr>
      </w:pPr>
      <w:r>
        <w:rPr>
          <w:rFonts w:hint="eastAsia" w:ascii="宋体" w:hAnsi="宋体" w:cs="宋体"/>
          <w:sz w:val="21"/>
          <w:szCs w:val="21"/>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37CCCE34">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cs="宋体"/>
          <w:sz w:val="21"/>
          <w:szCs w:val="21"/>
        </w:rPr>
      </w:pPr>
      <w:r>
        <w:rPr>
          <w:rFonts w:hint="eastAsia" w:ascii="宋体" w:hAnsi="宋体" w:cs="宋体"/>
          <w:sz w:val="21"/>
          <w:szCs w:val="21"/>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0B2F5270">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cs="宋体"/>
          <w:sz w:val="21"/>
          <w:szCs w:val="21"/>
        </w:rPr>
      </w:pPr>
      <w:r>
        <w:rPr>
          <w:rFonts w:hint="eastAsia" w:ascii="宋体" w:hAnsi="宋体" w:cs="宋体"/>
          <w:sz w:val="21"/>
          <w:szCs w:val="21"/>
        </w:rPr>
        <w:t>6、甲方工作人员及其配偶、子女不得以打“业务牌”等形式变相接受乙方的钱物；乙方不得以打“业务牌”的形式向甲方工作人员及其配偶、子女变相送钱物。</w:t>
      </w:r>
    </w:p>
    <w:p w14:paraId="6DAB2B84">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cs="宋体"/>
          <w:sz w:val="21"/>
          <w:szCs w:val="21"/>
        </w:rPr>
      </w:pPr>
      <w:r>
        <w:rPr>
          <w:rFonts w:hint="eastAsia" w:ascii="宋体" w:hAnsi="宋体" w:cs="宋体"/>
          <w:sz w:val="21"/>
          <w:szCs w:val="21"/>
        </w:rPr>
        <w:t>7、甲方工作人员及其配偶、子女不得在乙方报销应由个人支付的费用或领取报酬；乙方不得为甲方工作人员及其配偶、子女报销应由个人支付的费用或发放报酬。</w:t>
      </w:r>
    </w:p>
    <w:p w14:paraId="2C3367ED">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cs="宋体"/>
          <w:sz w:val="21"/>
          <w:szCs w:val="21"/>
        </w:rPr>
      </w:pPr>
      <w:r>
        <w:rPr>
          <w:rFonts w:hint="eastAsia" w:ascii="宋体" w:hAnsi="宋体" w:cs="宋体"/>
          <w:sz w:val="21"/>
          <w:szCs w:val="21"/>
        </w:rPr>
        <w:t>违约责任：</w:t>
      </w:r>
    </w:p>
    <w:p w14:paraId="1BFCEC9A">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cs="宋体"/>
          <w:sz w:val="21"/>
          <w:szCs w:val="21"/>
        </w:rPr>
      </w:pPr>
      <w:r>
        <w:rPr>
          <w:rFonts w:hint="eastAsia" w:ascii="宋体" w:hAnsi="宋体" w:cs="宋体"/>
          <w:sz w:val="21"/>
          <w:szCs w:val="21"/>
        </w:rPr>
        <w:t>1、甲方发生违约行为，一经查实将视情节轻重对直接责任人进行严肃处理并追究主管人员的责任。</w:t>
      </w:r>
    </w:p>
    <w:p w14:paraId="55F98FF2">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cs="宋体"/>
          <w:sz w:val="21"/>
          <w:szCs w:val="21"/>
        </w:rPr>
      </w:pPr>
      <w:r>
        <w:rPr>
          <w:rFonts w:hint="eastAsia" w:ascii="宋体" w:hAnsi="宋体" w:cs="宋体"/>
          <w:sz w:val="21"/>
          <w:szCs w:val="21"/>
        </w:rPr>
        <w:t>2、乙方发生违约行为，甲方有权解除合同，并将其列入“黑名单”在一定范围内公布，三年内不得参加辖区内的</w:t>
      </w:r>
      <w:r>
        <w:rPr>
          <w:rFonts w:hint="eastAsia" w:ascii="宋体" w:hAnsi="宋体" w:cs="宋体"/>
          <w:sz w:val="21"/>
          <w:szCs w:val="21"/>
          <w:lang w:val="en-US" w:eastAsia="zh-CN"/>
        </w:rPr>
        <w:t>服务</w:t>
      </w:r>
      <w:r>
        <w:rPr>
          <w:rFonts w:hint="eastAsia" w:ascii="宋体" w:hAnsi="宋体" w:cs="宋体"/>
          <w:sz w:val="21"/>
          <w:szCs w:val="21"/>
        </w:rPr>
        <w:t>。</w:t>
      </w:r>
    </w:p>
    <w:p w14:paraId="163C456B">
      <w:pPr>
        <w:keepNext w:val="0"/>
        <w:keepLines w:val="0"/>
        <w:pageBreakBefore w:val="0"/>
        <w:widowControl w:val="0"/>
        <w:shd w:val="clear" w:color="auto" w:fill="FFFFFF"/>
        <w:kinsoku/>
        <w:wordWrap/>
        <w:overflowPunct/>
        <w:topLinePunct w:val="0"/>
        <w:autoSpaceDE/>
        <w:autoSpaceDN/>
        <w:bidi w:val="0"/>
        <w:adjustRightInd/>
        <w:snapToGrid/>
        <w:spacing w:line="480" w:lineRule="exact"/>
        <w:ind w:left="420" w:firstLine="420"/>
        <w:textAlignment w:val="auto"/>
        <w:rPr>
          <w:rFonts w:ascii="宋体" w:hAnsi="宋体" w:cs="宋体"/>
          <w:sz w:val="21"/>
          <w:szCs w:val="21"/>
        </w:rPr>
      </w:pPr>
      <w:r>
        <w:rPr>
          <w:rFonts w:hint="eastAsia" w:ascii="宋体" w:hAnsi="宋体" w:cs="宋体"/>
          <w:sz w:val="21"/>
          <w:szCs w:val="21"/>
        </w:rPr>
        <w:t>甲方：(公章)</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乙方：(公章)</w:t>
      </w:r>
    </w:p>
    <w:p w14:paraId="049D048D">
      <w:pPr>
        <w:keepNext w:val="0"/>
        <w:keepLines w:val="0"/>
        <w:pageBreakBefore w:val="0"/>
        <w:widowControl w:val="0"/>
        <w:shd w:val="clear" w:color="auto" w:fill="FFFFFF"/>
        <w:kinsoku/>
        <w:wordWrap/>
        <w:overflowPunct/>
        <w:topLinePunct w:val="0"/>
        <w:autoSpaceDE/>
        <w:autoSpaceDN/>
        <w:bidi w:val="0"/>
        <w:adjustRightInd/>
        <w:snapToGrid/>
        <w:spacing w:line="480" w:lineRule="exact"/>
        <w:ind w:left="420" w:firstLine="420"/>
        <w:textAlignment w:val="auto"/>
        <w:rPr>
          <w:rFonts w:ascii="宋体" w:hAnsi="宋体" w:cs="宋体"/>
          <w:sz w:val="21"/>
          <w:szCs w:val="21"/>
        </w:rPr>
      </w:pPr>
      <w:r>
        <w:rPr>
          <w:rFonts w:hint="eastAsia" w:ascii="宋体" w:hAnsi="宋体" w:cs="宋体"/>
          <w:sz w:val="21"/>
          <w:szCs w:val="21"/>
        </w:rPr>
        <w:t>法定代表人或</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法定代表人或</w:t>
      </w:r>
    </w:p>
    <w:p w14:paraId="04E441C0">
      <w:pPr>
        <w:keepNext w:val="0"/>
        <w:keepLines w:val="0"/>
        <w:pageBreakBefore w:val="0"/>
        <w:widowControl w:val="0"/>
        <w:shd w:val="clear" w:color="auto" w:fill="FFFFFF"/>
        <w:kinsoku/>
        <w:wordWrap/>
        <w:overflowPunct/>
        <w:topLinePunct w:val="0"/>
        <w:autoSpaceDE/>
        <w:autoSpaceDN/>
        <w:bidi w:val="0"/>
        <w:adjustRightInd/>
        <w:snapToGrid/>
        <w:spacing w:line="480" w:lineRule="exact"/>
        <w:ind w:left="420" w:firstLine="420"/>
        <w:textAlignment w:val="auto"/>
        <w:rPr>
          <w:rFonts w:ascii="宋体" w:hAnsi="宋体" w:cs="宋体"/>
          <w:sz w:val="21"/>
          <w:szCs w:val="21"/>
        </w:rPr>
      </w:pPr>
      <w:r>
        <w:rPr>
          <w:rFonts w:hint="eastAsia" w:ascii="宋体" w:hAnsi="宋体" w:cs="宋体"/>
          <w:sz w:val="21"/>
          <w:szCs w:val="21"/>
          <w:lang w:val="en-US" w:eastAsia="zh-CN"/>
        </w:rPr>
        <w:t>授权代表</w:t>
      </w:r>
      <w:r>
        <w:rPr>
          <w:rFonts w:hint="eastAsia" w:ascii="宋体" w:hAnsi="宋体" w:cs="宋体"/>
          <w:sz w:val="21"/>
          <w:szCs w:val="21"/>
        </w:rPr>
        <w:t>（签</w:t>
      </w:r>
      <w:r>
        <w:rPr>
          <w:rFonts w:hint="eastAsia" w:ascii="宋体" w:hAnsi="宋体" w:cs="宋体"/>
          <w:sz w:val="21"/>
          <w:szCs w:val="21"/>
          <w:lang w:val="en-US" w:eastAsia="zh-CN"/>
        </w:rPr>
        <w:t>名</w:t>
      </w:r>
      <w:r>
        <w:rPr>
          <w:rFonts w:hint="eastAsia" w:ascii="宋体" w:hAnsi="宋体" w:cs="宋体"/>
          <w:sz w:val="21"/>
          <w:szCs w:val="21"/>
        </w:rPr>
        <w:t>或盖章）：</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授权委托人（签</w:t>
      </w:r>
      <w:r>
        <w:rPr>
          <w:rFonts w:hint="eastAsia" w:ascii="宋体" w:hAnsi="宋体" w:cs="宋体"/>
          <w:sz w:val="21"/>
          <w:szCs w:val="21"/>
          <w:lang w:val="en-US" w:eastAsia="zh-CN"/>
        </w:rPr>
        <w:t>名</w:t>
      </w:r>
      <w:r>
        <w:rPr>
          <w:rFonts w:hint="eastAsia" w:ascii="宋体" w:hAnsi="宋体" w:cs="宋体"/>
          <w:sz w:val="21"/>
          <w:szCs w:val="21"/>
        </w:rPr>
        <w:t>或盖章）：</w:t>
      </w:r>
    </w:p>
    <w:p w14:paraId="4C1123BE">
      <w:pPr>
        <w:keepNext w:val="0"/>
        <w:keepLines w:val="0"/>
        <w:pageBreakBefore w:val="0"/>
        <w:widowControl w:val="0"/>
        <w:kinsoku/>
        <w:wordWrap/>
        <w:overflowPunct/>
        <w:topLinePunct w:val="0"/>
        <w:autoSpaceDE/>
        <w:autoSpaceDN/>
        <w:bidi w:val="0"/>
        <w:adjustRightInd/>
        <w:snapToGrid/>
        <w:spacing w:line="480" w:lineRule="exact"/>
        <w:ind w:left="420" w:right="281" w:rightChars="134" w:firstLine="420"/>
        <w:textAlignment w:val="auto"/>
        <w:rPr>
          <w:rFonts w:ascii="宋体" w:hAnsi="宋体" w:cs="宋体"/>
          <w:sz w:val="21"/>
          <w:szCs w:val="21"/>
        </w:rPr>
      </w:pPr>
      <w:r>
        <w:rPr>
          <w:rFonts w:hint="eastAsia" w:ascii="宋体" w:hAnsi="宋体" w:cs="宋体"/>
          <w:sz w:val="21"/>
          <w:szCs w:val="21"/>
        </w:rPr>
        <w:t>日期：</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日期：</w:t>
      </w:r>
    </w:p>
    <w:p w14:paraId="23368504">
      <w:pPr>
        <w:pStyle w:val="21"/>
        <w:spacing w:line="480" w:lineRule="exact"/>
        <w:jc w:val="center"/>
        <w:outlineLvl w:val="0"/>
        <w:rPr>
          <w:rFonts w:hint="eastAsia" w:hAnsi="宋体" w:cs="宋体"/>
          <w:b/>
          <w:sz w:val="32"/>
          <w:szCs w:val="32"/>
          <w:highlight w:val="none"/>
        </w:rPr>
        <w:sectPr>
          <w:pgSz w:w="11906" w:h="16838"/>
          <w:pgMar w:top="1418" w:right="1418" w:bottom="1191" w:left="1276" w:header="851" w:footer="992" w:gutter="0"/>
          <w:cols w:space="720" w:num="1"/>
          <w:docGrid w:linePitch="360" w:charSpace="0"/>
        </w:sectPr>
      </w:pPr>
    </w:p>
    <w:p w14:paraId="151E26CB">
      <w:pPr>
        <w:pStyle w:val="21"/>
        <w:spacing w:line="480" w:lineRule="exact"/>
        <w:jc w:val="center"/>
        <w:outlineLvl w:val="0"/>
        <w:rPr>
          <w:rFonts w:hAnsi="宋体" w:cs="宋体"/>
          <w:b/>
          <w:sz w:val="32"/>
          <w:szCs w:val="32"/>
          <w:highlight w:val="none"/>
        </w:rPr>
      </w:pPr>
      <w:bookmarkStart w:id="51" w:name="_Toc16291"/>
      <w:r>
        <w:rPr>
          <w:rFonts w:hint="eastAsia" w:hAnsi="宋体" w:cs="宋体"/>
          <w:b/>
          <w:sz w:val="32"/>
          <w:szCs w:val="32"/>
          <w:highlight w:val="none"/>
        </w:rPr>
        <w:t>第六章 投标文件及格式</w:t>
      </w:r>
      <w:bookmarkEnd w:id="51"/>
    </w:p>
    <w:p w14:paraId="5140789C">
      <w:pPr>
        <w:spacing w:before="120" w:after="120" w:line="460" w:lineRule="exact"/>
        <w:jc w:val="center"/>
        <w:outlineLvl w:val="0"/>
        <w:rPr>
          <w:rFonts w:ascii="宋体" w:hAnsi="Courier New"/>
          <w:b/>
          <w:sz w:val="32"/>
          <w:szCs w:val="32"/>
          <w:highlight w:val="none"/>
        </w:rPr>
      </w:pPr>
      <w:bookmarkStart w:id="52" w:name="_Toc17500"/>
      <w:bookmarkStart w:id="53" w:name="_Toc7406"/>
      <w:bookmarkStart w:id="54" w:name="_Toc130206653"/>
      <w:bookmarkStart w:id="55" w:name="_Toc101166955"/>
      <w:bookmarkStart w:id="56" w:name="_Toc58186236"/>
      <w:bookmarkStart w:id="57" w:name="_Toc120519618"/>
      <w:bookmarkStart w:id="58" w:name="_Toc101357899"/>
      <w:r>
        <w:rPr>
          <w:rFonts w:hint="eastAsia"/>
          <w:b/>
          <w:sz w:val="32"/>
          <w:szCs w:val="32"/>
          <w:highlight w:val="none"/>
        </w:rPr>
        <w:t>（一）</w:t>
      </w:r>
      <w:r>
        <w:rPr>
          <w:rFonts w:hint="eastAsia" w:ascii="宋体" w:hAnsi="Courier New"/>
          <w:b/>
          <w:sz w:val="32"/>
          <w:szCs w:val="32"/>
          <w:highlight w:val="none"/>
        </w:rPr>
        <w:t>开标一览表</w:t>
      </w:r>
      <w:bookmarkEnd w:id="52"/>
      <w:bookmarkEnd w:id="53"/>
      <w:bookmarkEnd w:id="54"/>
    </w:p>
    <w:p w14:paraId="1E9B6699">
      <w:pPr>
        <w:widowControl/>
        <w:spacing w:before="100" w:beforeAutospacing="1" w:after="100" w:afterAutospacing="1"/>
        <w:jc w:val="left"/>
        <w:rPr>
          <w:rFonts w:ascii="宋体" w:hAnsi="宋体" w:cs="宋体"/>
          <w:sz w:val="24"/>
          <w:szCs w:val="24"/>
          <w:highlight w:val="none"/>
        </w:rPr>
      </w:pPr>
      <w:r>
        <w:rPr>
          <w:rFonts w:ascii="宋体" w:hAnsi="宋体" w:cs="宋体"/>
          <w:sz w:val="24"/>
          <w:szCs w:val="24"/>
          <w:highlight w:val="none"/>
        </w:rPr>
        <w:t>项目编号：</w:t>
      </w:r>
    </w:p>
    <w:p w14:paraId="0611F6C4">
      <w:pPr>
        <w:widowControl/>
        <w:spacing w:before="100" w:beforeAutospacing="1" w:after="100" w:afterAutospacing="1"/>
        <w:jc w:val="left"/>
        <w:rPr>
          <w:rFonts w:ascii="宋体" w:hAnsi="宋体" w:cs="宋体"/>
          <w:sz w:val="24"/>
          <w:szCs w:val="24"/>
          <w:highlight w:val="none"/>
        </w:rPr>
      </w:pPr>
      <w:r>
        <w:rPr>
          <w:rFonts w:ascii="宋体" w:hAnsi="宋体" w:cs="宋体"/>
          <w:sz w:val="24"/>
          <w:szCs w:val="24"/>
          <w:highlight w:val="none"/>
        </w:rPr>
        <w:t>货币单位：人民币元</w:t>
      </w:r>
    </w:p>
    <w:tbl>
      <w:tblPr>
        <w:tblStyle w:val="42"/>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43"/>
        <w:gridCol w:w="2977"/>
        <w:gridCol w:w="3260"/>
      </w:tblGrid>
      <w:tr w14:paraId="1F427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trPr>
        <w:tc>
          <w:tcPr>
            <w:tcW w:w="2943" w:type="dxa"/>
            <w:noWrap w:val="0"/>
            <w:vAlign w:val="center"/>
          </w:tcPr>
          <w:p w14:paraId="71014630">
            <w:pPr>
              <w:widowControl/>
              <w:spacing w:before="100" w:beforeAutospacing="1" w:after="100" w:afterAutospacing="1"/>
              <w:jc w:val="center"/>
              <w:rPr>
                <w:rFonts w:ascii="宋体" w:hAnsi="宋体" w:cs="宋体"/>
                <w:sz w:val="24"/>
                <w:szCs w:val="24"/>
                <w:highlight w:val="none"/>
              </w:rPr>
            </w:pPr>
            <w:r>
              <w:rPr>
                <w:rFonts w:ascii="宋体" w:hAnsi="宋体" w:cs="宋体"/>
                <w:sz w:val="24"/>
                <w:szCs w:val="24"/>
                <w:highlight w:val="none"/>
              </w:rPr>
              <w:t>项目名称</w:t>
            </w:r>
          </w:p>
        </w:tc>
        <w:tc>
          <w:tcPr>
            <w:tcW w:w="2977" w:type="dxa"/>
            <w:noWrap w:val="0"/>
            <w:vAlign w:val="center"/>
          </w:tcPr>
          <w:p w14:paraId="29B27E60">
            <w:pPr>
              <w:widowControl/>
              <w:spacing w:before="100" w:beforeAutospacing="1" w:after="100" w:afterAutospacing="1"/>
              <w:jc w:val="center"/>
              <w:rPr>
                <w:rFonts w:ascii="宋体" w:hAnsi="宋体" w:cs="宋体"/>
                <w:sz w:val="24"/>
                <w:szCs w:val="24"/>
                <w:highlight w:val="none"/>
              </w:rPr>
            </w:pPr>
            <w:r>
              <w:rPr>
                <w:rFonts w:ascii="宋体" w:hAnsi="宋体" w:cs="宋体"/>
                <w:sz w:val="24"/>
                <w:szCs w:val="24"/>
                <w:highlight w:val="none"/>
              </w:rPr>
              <w:t>项目内容</w:t>
            </w:r>
          </w:p>
        </w:tc>
        <w:tc>
          <w:tcPr>
            <w:tcW w:w="3260" w:type="dxa"/>
            <w:noWrap w:val="0"/>
            <w:vAlign w:val="center"/>
          </w:tcPr>
          <w:p w14:paraId="189A1D3C">
            <w:pPr>
              <w:widowControl/>
              <w:spacing w:before="100" w:beforeAutospacing="1" w:after="100" w:afterAutospacing="1"/>
              <w:jc w:val="center"/>
              <w:rPr>
                <w:rFonts w:ascii="宋体" w:hAnsi="宋体" w:cs="宋体"/>
                <w:sz w:val="24"/>
                <w:szCs w:val="24"/>
                <w:highlight w:val="none"/>
              </w:rPr>
            </w:pPr>
            <w:r>
              <w:rPr>
                <w:rFonts w:hint="eastAsia" w:ascii="宋体" w:hAnsi="宋体" w:cs="宋体"/>
                <w:sz w:val="24"/>
                <w:szCs w:val="24"/>
                <w:highlight w:val="none"/>
              </w:rPr>
              <w:t>总</w:t>
            </w:r>
            <w:r>
              <w:rPr>
                <w:rFonts w:ascii="宋体" w:hAnsi="宋体" w:cs="宋体"/>
                <w:sz w:val="24"/>
                <w:szCs w:val="24"/>
                <w:highlight w:val="none"/>
              </w:rPr>
              <w:t>价（小写）</w:t>
            </w:r>
          </w:p>
        </w:tc>
      </w:tr>
      <w:tr w14:paraId="15A75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trPr>
        <w:tc>
          <w:tcPr>
            <w:tcW w:w="2943" w:type="dxa"/>
            <w:noWrap w:val="0"/>
            <w:vAlign w:val="center"/>
          </w:tcPr>
          <w:p w14:paraId="6DCAA5B0">
            <w:pPr>
              <w:widowControl/>
              <w:spacing w:before="100" w:beforeAutospacing="1" w:after="100" w:afterAutospacing="1"/>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国家骨干冷链物流基地建设申报方案编制服务</w:t>
            </w:r>
          </w:p>
        </w:tc>
        <w:tc>
          <w:tcPr>
            <w:tcW w:w="2977" w:type="dxa"/>
            <w:noWrap w:val="0"/>
            <w:vAlign w:val="center"/>
          </w:tcPr>
          <w:p w14:paraId="479396F7">
            <w:pPr>
              <w:widowControl/>
              <w:spacing w:before="100" w:beforeAutospacing="1" w:after="100" w:afterAutospacing="1"/>
              <w:jc w:val="center"/>
              <w:rPr>
                <w:rFonts w:ascii="宋体" w:hAnsi="宋体" w:cs="宋体"/>
                <w:sz w:val="24"/>
                <w:szCs w:val="24"/>
                <w:highlight w:val="none"/>
              </w:rPr>
            </w:pPr>
            <w:r>
              <w:rPr>
                <w:rFonts w:ascii="宋体" w:hAnsi="宋体" w:cs="宋体"/>
                <w:sz w:val="24"/>
                <w:szCs w:val="24"/>
                <w:highlight w:val="none"/>
              </w:rPr>
              <w:t>详见投标文件</w:t>
            </w:r>
          </w:p>
        </w:tc>
        <w:tc>
          <w:tcPr>
            <w:tcW w:w="3260" w:type="dxa"/>
            <w:noWrap w:val="0"/>
            <w:vAlign w:val="center"/>
          </w:tcPr>
          <w:p w14:paraId="58245757">
            <w:pPr>
              <w:widowControl/>
              <w:spacing w:before="100" w:beforeAutospacing="1" w:after="100" w:afterAutospacing="1"/>
              <w:rPr>
                <w:rFonts w:ascii="宋体" w:hAnsi="宋体" w:cs="宋体"/>
                <w:sz w:val="24"/>
                <w:szCs w:val="24"/>
                <w:highlight w:val="none"/>
              </w:rPr>
            </w:pPr>
            <w:r>
              <w:rPr>
                <w:rFonts w:hint="eastAsia" w:ascii="宋体" w:hAnsi="宋体" w:cs="宋体"/>
                <w:sz w:val="24"/>
                <w:szCs w:val="24"/>
                <w:highlight w:val="none"/>
              </w:rPr>
              <w:t xml:space="preserve">                    元</w:t>
            </w:r>
          </w:p>
        </w:tc>
      </w:tr>
      <w:tr w14:paraId="0F8EA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1" w:hRule="atLeast"/>
        </w:trPr>
        <w:tc>
          <w:tcPr>
            <w:tcW w:w="2943" w:type="dxa"/>
            <w:noWrap w:val="0"/>
            <w:vAlign w:val="center"/>
          </w:tcPr>
          <w:p w14:paraId="6D9618C7">
            <w:pPr>
              <w:widowControl/>
              <w:spacing w:before="100" w:beforeAutospacing="1" w:after="100" w:afterAutospacing="1"/>
              <w:jc w:val="center"/>
              <w:rPr>
                <w:rFonts w:ascii="宋体" w:hAnsi="宋体" w:cs="宋体"/>
                <w:sz w:val="24"/>
                <w:szCs w:val="24"/>
                <w:highlight w:val="none"/>
              </w:rPr>
            </w:pPr>
            <w:r>
              <w:rPr>
                <w:rFonts w:hint="eastAsia" w:ascii="宋体" w:hAnsi="宋体" w:cs="宋体"/>
                <w:sz w:val="24"/>
                <w:szCs w:val="24"/>
                <w:highlight w:val="none"/>
              </w:rPr>
              <w:t>总</w:t>
            </w:r>
            <w:r>
              <w:rPr>
                <w:rFonts w:ascii="宋体" w:hAnsi="宋体" w:cs="宋体"/>
                <w:sz w:val="24"/>
                <w:szCs w:val="24"/>
                <w:highlight w:val="none"/>
              </w:rPr>
              <w:t>价（大写）：</w:t>
            </w:r>
          </w:p>
        </w:tc>
        <w:tc>
          <w:tcPr>
            <w:tcW w:w="6237" w:type="dxa"/>
            <w:gridSpan w:val="2"/>
            <w:noWrap w:val="0"/>
            <w:vAlign w:val="center"/>
          </w:tcPr>
          <w:p w14:paraId="43CF5B87">
            <w:pPr>
              <w:widowControl/>
              <w:spacing w:before="100" w:beforeAutospacing="1" w:after="100" w:afterAutospacing="1"/>
              <w:rPr>
                <w:rFonts w:ascii="宋体" w:hAnsi="宋体" w:cs="宋体"/>
                <w:sz w:val="24"/>
                <w:szCs w:val="24"/>
                <w:highlight w:val="none"/>
              </w:rPr>
            </w:pPr>
          </w:p>
        </w:tc>
      </w:tr>
    </w:tbl>
    <w:p w14:paraId="77C9F4DC">
      <w:pPr>
        <w:widowControl/>
        <w:spacing w:before="100" w:beforeAutospacing="1" w:after="100" w:afterAutospacing="1"/>
        <w:jc w:val="left"/>
        <w:rPr>
          <w:rFonts w:ascii="宋体" w:hAnsi="宋体" w:cs="宋体"/>
          <w:sz w:val="24"/>
          <w:szCs w:val="24"/>
          <w:highlight w:val="none"/>
        </w:rPr>
      </w:pPr>
    </w:p>
    <w:p w14:paraId="5922C6C9">
      <w:pPr>
        <w:widowControl/>
        <w:spacing w:before="100" w:beforeAutospacing="1" w:after="100" w:afterAutospacing="1"/>
        <w:jc w:val="left"/>
        <w:rPr>
          <w:rFonts w:ascii="宋体" w:hAnsi="宋体" w:cs="宋体"/>
          <w:sz w:val="24"/>
          <w:szCs w:val="24"/>
          <w:highlight w:val="none"/>
        </w:rPr>
      </w:pPr>
    </w:p>
    <w:p w14:paraId="662252F8">
      <w:pPr>
        <w:widowControl/>
        <w:spacing w:before="100" w:beforeAutospacing="1" w:after="100" w:afterAutospacing="1" w:line="600" w:lineRule="exact"/>
        <w:jc w:val="left"/>
        <w:rPr>
          <w:rFonts w:ascii="宋体" w:hAnsi="宋体" w:cs="宋体"/>
          <w:sz w:val="24"/>
          <w:szCs w:val="24"/>
          <w:highlight w:val="none"/>
        </w:rPr>
      </w:pPr>
      <w:r>
        <w:rPr>
          <w:rFonts w:ascii="宋体" w:hAnsi="宋体" w:cs="宋体"/>
          <w:sz w:val="24"/>
          <w:szCs w:val="24"/>
          <w:highlight w:val="none"/>
        </w:rPr>
        <w:t>投标人公章（电子签章）：</w:t>
      </w:r>
    </w:p>
    <w:p w14:paraId="756441DF">
      <w:pPr>
        <w:widowControl/>
        <w:spacing w:before="100" w:beforeAutospacing="1" w:after="100" w:afterAutospacing="1" w:line="600" w:lineRule="exact"/>
        <w:ind w:firstLine="120"/>
        <w:jc w:val="left"/>
        <w:rPr>
          <w:rFonts w:ascii="宋体" w:hAnsi="宋体" w:cs="宋体"/>
          <w:sz w:val="24"/>
          <w:szCs w:val="24"/>
          <w:highlight w:val="none"/>
        </w:rPr>
      </w:pPr>
      <w:r>
        <w:rPr>
          <w:rFonts w:ascii="宋体" w:hAnsi="宋体" w:cs="宋体"/>
          <w:sz w:val="24"/>
          <w:szCs w:val="24"/>
          <w:highlight w:val="none"/>
        </w:rPr>
        <w:t>                         </w:t>
      </w:r>
      <w:bookmarkEnd w:id="55"/>
      <w:bookmarkEnd w:id="56"/>
      <w:bookmarkEnd w:id="57"/>
      <w:bookmarkEnd w:id="58"/>
    </w:p>
    <w:p w14:paraId="411019E0">
      <w:pPr>
        <w:spacing w:before="120" w:after="120" w:line="460" w:lineRule="exact"/>
        <w:jc w:val="center"/>
        <w:outlineLvl w:val="0"/>
        <w:rPr>
          <w:rFonts w:ascii="宋体" w:hAnsi="Courier New"/>
          <w:b/>
          <w:sz w:val="32"/>
          <w:szCs w:val="32"/>
          <w:highlight w:val="none"/>
        </w:rPr>
      </w:pPr>
    </w:p>
    <w:p w14:paraId="13274B4C">
      <w:pPr>
        <w:spacing w:before="120" w:after="120" w:line="460" w:lineRule="exact"/>
        <w:jc w:val="center"/>
        <w:outlineLvl w:val="0"/>
        <w:rPr>
          <w:rFonts w:ascii="宋体" w:hAnsi="Courier New"/>
          <w:b/>
          <w:sz w:val="32"/>
          <w:szCs w:val="32"/>
          <w:highlight w:val="none"/>
        </w:rPr>
      </w:pPr>
    </w:p>
    <w:p w14:paraId="297653B2">
      <w:pPr>
        <w:spacing w:before="120" w:after="120" w:line="460" w:lineRule="exact"/>
        <w:jc w:val="center"/>
        <w:outlineLvl w:val="0"/>
        <w:rPr>
          <w:rFonts w:ascii="宋体" w:hAnsi="Courier New"/>
          <w:b/>
          <w:sz w:val="32"/>
          <w:szCs w:val="32"/>
          <w:highlight w:val="none"/>
        </w:rPr>
      </w:pPr>
    </w:p>
    <w:p w14:paraId="4E7A0A6F">
      <w:pPr>
        <w:spacing w:before="120" w:after="120" w:line="460" w:lineRule="exact"/>
        <w:jc w:val="center"/>
        <w:outlineLvl w:val="0"/>
        <w:rPr>
          <w:b/>
          <w:sz w:val="32"/>
          <w:szCs w:val="32"/>
          <w:highlight w:val="none"/>
        </w:rPr>
      </w:pPr>
    </w:p>
    <w:p w14:paraId="3732E1D6">
      <w:pPr>
        <w:pStyle w:val="64"/>
        <w:ind w:right="-351"/>
        <w:rPr>
          <w:highlight w:val="none"/>
        </w:rPr>
      </w:pPr>
    </w:p>
    <w:p w14:paraId="3DB30E98">
      <w:pPr>
        <w:pStyle w:val="64"/>
        <w:ind w:right="-351"/>
        <w:rPr>
          <w:highlight w:val="none"/>
        </w:rPr>
      </w:pPr>
    </w:p>
    <w:p w14:paraId="2CF820A8">
      <w:pPr>
        <w:pStyle w:val="64"/>
        <w:ind w:right="-351"/>
        <w:rPr>
          <w:highlight w:val="none"/>
        </w:rPr>
      </w:pPr>
    </w:p>
    <w:p w14:paraId="45BF947B">
      <w:pPr>
        <w:pStyle w:val="64"/>
        <w:ind w:right="-351"/>
        <w:rPr>
          <w:highlight w:val="none"/>
        </w:rPr>
      </w:pPr>
    </w:p>
    <w:p w14:paraId="231012A7">
      <w:pPr>
        <w:pStyle w:val="64"/>
        <w:ind w:right="-351"/>
        <w:rPr>
          <w:highlight w:val="none"/>
        </w:rPr>
      </w:pPr>
    </w:p>
    <w:p w14:paraId="4F561DED">
      <w:pPr>
        <w:pStyle w:val="64"/>
        <w:ind w:right="-351"/>
        <w:rPr>
          <w:highlight w:val="none"/>
        </w:rPr>
      </w:pPr>
    </w:p>
    <w:p w14:paraId="10C6DE0E">
      <w:pPr>
        <w:pStyle w:val="64"/>
        <w:ind w:right="-351"/>
        <w:rPr>
          <w:highlight w:val="none"/>
        </w:rPr>
      </w:pPr>
    </w:p>
    <w:p w14:paraId="19C774D9">
      <w:pPr>
        <w:pStyle w:val="64"/>
        <w:ind w:right="-351"/>
        <w:rPr>
          <w:highlight w:val="none"/>
        </w:rPr>
      </w:pPr>
    </w:p>
    <w:p w14:paraId="47A23228">
      <w:pPr>
        <w:spacing w:before="120" w:after="120" w:line="460" w:lineRule="exact"/>
        <w:jc w:val="center"/>
        <w:outlineLvl w:val="0"/>
        <w:rPr>
          <w:b/>
          <w:sz w:val="32"/>
          <w:szCs w:val="32"/>
          <w:highlight w:val="none"/>
        </w:rPr>
      </w:pPr>
      <w:bookmarkStart w:id="59" w:name="_Toc7925"/>
      <w:bookmarkStart w:id="60" w:name="_Toc120519619"/>
      <w:bookmarkStart w:id="61" w:name="_Toc130206654"/>
      <w:bookmarkStart w:id="62" w:name="_Toc19870"/>
      <w:r>
        <w:rPr>
          <w:rFonts w:hint="eastAsia"/>
          <w:b/>
          <w:sz w:val="32"/>
          <w:szCs w:val="32"/>
          <w:highlight w:val="none"/>
        </w:rPr>
        <w:t>（二）投标函</w:t>
      </w:r>
      <w:bookmarkEnd w:id="59"/>
      <w:bookmarkEnd w:id="60"/>
      <w:bookmarkEnd w:id="61"/>
      <w:bookmarkEnd w:id="62"/>
    </w:p>
    <w:p w14:paraId="4556916F">
      <w:pPr>
        <w:spacing w:line="600" w:lineRule="exact"/>
        <w:jc w:val="left"/>
        <w:rPr>
          <w:rFonts w:hint="eastAsia" w:ascii="宋体" w:hAnsi="宋体" w:eastAsia="宋体"/>
          <w:sz w:val="24"/>
          <w:szCs w:val="24"/>
          <w:highlight w:val="none"/>
          <w:lang w:eastAsia="zh-CN"/>
        </w:rPr>
      </w:pPr>
      <w:bookmarkStart w:id="63" w:name="_Toc120519620"/>
      <w:r>
        <w:rPr>
          <w:rFonts w:hint="eastAsia" w:ascii="宋体" w:hAnsi="宋体"/>
          <w:sz w:val="24"/>
          <w:szCs w:val="24"/>
          <w:highlight w:val="none"/>
        </w:rPr>
        <w:t>采购人：</w:t>
      </w:r>
      <w:r>
        <w:rPr>
          <w:rFonts w:hint="eastAsia" w:ascii="宋体" w:hAnsi="宋体" w:cs="宋体"/>
          <w:sz w:val="24"/>
          <w:szCs w:val="24"/>
          <w:highlight w:val="none"/>
          <w:u w:val="single"/>
          <w:lang w:eastAsia="zh-CN"/>
        </w:rPr>
        <w:t>江苏大丰港经济开发区管理委员会</w:t>
      </w:r>
    </w:p>
    <w:p w14:paraId="77446A01">
      <w:pPr>
        <w:spacing w:line="600" w:lineRule="exact"/>
        <w:ind w:firstLine="480"/>
        <w:rPr>
          <w:rFonts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根据</w:t>
      </w:r>
      <w:r>
        <w:rPr>
          <w:rFonts w:hint="eastAsia" w:ascii="宋体" w:hAnsi="宋体" w:cs="宋体"/>
          <w:sz w:val="24"/>
          <w:szCs w:val="24"/>
          <w:highlight w:val="none"/>
          <w:u w:val="single"/>
          <w:lang w:eastAsia="zh-CN"/>
        </w:rPr>
        <w:t>国家骨干冷链物流基地建设申报方案编制服务</w:t>
      </w:r>
      <w:r>
        <w:rPr>
          <w:rFonts w:ascii="宋体" w:hAnsi="宋体" w:cs="宋体"/>
          <w:sz w:val="24"/>
          <w:szCs w:val="24"/>
          <w:highlight w:val="none"/>
        </w:rPr>
        <w:t>的</w:t>
      </w:r>
      <w:r>
        <w:rPr>
          <w:rFonts w:hint="eastAsia" w:ascii="宋体" w:hAnsi="宋体" w:cs="宋体"/>
          <w:sz w:val="24"/>
          <w:szCs w:val="24"/>
          <w:highlight w:val="none"/>
        </w:rPr>
        <w:t>招标</w:t>
      </w:r>
      <w:r>
        <w:rPr>
          <w:rFonts w:ascii="宋体" w:hAnsi="宋体" w:cs="宋体"/>
          <w:sz w:val="24"/>
          <w:szCs w:val="24"/>
          <w:highlight w:val="none"/>
        </w:rPr>
        <w:t>文件，我单位经市场考察和研究上述项目</w:t>
      </w:r>
      <w:r>
        <w:rPr>
          <w:rFonts w:hint="eastAsia" w:ascii="宋体" w:hAnsi="宋体" w:cs="宋体"/>
          <w:sz w:val="24"/>
          <w:szCs w:val="24"/>
          <w:highlight w:val="none"/>
        </w:rPr>
        <w:t>招标</w:t>
      </w:r>
      <w:r>
        <w:rPr>
          <w:rFonts w:ascii="宋体" w:hAnsi="宋体" w:cs="宋体"/>
          <w:sz w:val="24"/>
          <w:szCs w:val="24"/>
          <w:highlight w:val="none"/>
        </w:rPr>
        <w:t>文件的投标须知、相关标准及技术要求和其他有关文件后，</w:t>
      </w:r>
      <w:r>
        <w:rPr>
          <w:rFonts w:hint="eastAsia" w:ascii="宋体" w:hAnsi="宋体" w:cs="宋体"/>
          <w:sz w:val="24"/>
          <w:szCs w:val="24"/>
          <w:highlight w:val="none"/>
        </w:rPr>
        <w:t xml:space="preserve">按招标文件规定的各项要求，投标总价为（大写） </w:t>
      </w:r>
      <w:r>
        <w:rPr>
          <w:rFonts w:ascii="宋体" w:hAnsi="宋体" w:cs="宋体"/>
          <w:sz w:val="24"/>
          <w:szCs w:val="24"/>
          <w:highlight w:val="none"/>
          <w:u w:val="single"/>
        </w:rPr>
        <w:t xml:space="preserve">         </w:t>
      </w: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元的投标报价完成本项目</w:t>
      </w:r>
      <w:r>
        <w:rPr>
          <w:rFonts w:ascii="宋体" w:hAnsi="宋体" w:cs="宋体"/>
          <w:sz w:val="24"/>
          <w:szCs w:val="24"/>
          <w:highlight w:val="none"/>
        </w:rPr>
        <w:t>，按招标要求实施</w:t>
      </w:r>
      <w:r>
        <w:rPr>
          <w:rFonts w:hint="eastAsia" w:ascii="宋体" w:hAnsi="宋体" w:cs="宋体"/>
          <w:sz w:val="24"/>
          <w:szCs w:val="24"/>
          <w:highlight w:val="none"/>
        </w:rPr>
        <w:t>此</w:t>
      </w:r>
      <w:r>
        <w:rPr>
          <w:rFonts w:ascii="宋体" w:hAnsi="宋体" w:cs="宋体"/>
          <w:sz w:val="24"/>
          <w:szCs w:val="24"/>
          <w:highlight w:val="none"/>
        </w:rPr>
        <w:t>项目</w:t>
      </w:r>
      <w:r>
        <w:rPr>
          <w:rFonts w:hint="eastAsia" w:ascii="宋体" w:hAnsi="宋体" w:cs="宋体"/>
          <w:sz w:val="24"/>
          <w:szCs w:val="24"/>
          <w:highlight w:val="none"/>
        </w:rPr>
        <w:t>。</w:t>
      </w:r>
    </w:p>
    <w:p w14:paraId="1338A4B3">
      <w:pPr>
        <w:spacing w:line="600" w:lineRule="exact"/>
        <w:ind w:firstLine="480"/>
        <w:rPr>
          <w:rFonts w:hint="default" w:ascii="宋体" w:hAnsi="宋体" w:eastAsia="宋体" w:cs="宋体"/>
          <w:sz w:val="24"/>
          <w:szCs w:val="24"/>
          <w:highlight w:val="none"/>
          <w:lang w:val="en-US" w:eastAsia="zh-CN"/>
        </w:rPr>
      </w:pPr>
      <w:r>
        <w:rPr>
          <w:rFonts w:hint="eastAsia" w:ascii="宋体" w:hAnsi="宋体" w:cs="宋体"/>
          <w:sz w:val="24"/>
          <w:szCs w:val="24"/>
          <w:highlight w:val="none"/>
        </w:rPr>
        <w:t>2.</w:t>
      </w:r>
      <w:r>
        <w:rPr>
          <w:rFonts w:hint="eastAsia" w:ascii="宋体" w:hAnsi="宋体"/>
          <w:sz w:val="24"/>
          <w:highlight w:val="none"/>
        </w:rPr>
        <w:t>合同履行期限：</w:t>
      </w:r>
      <w:r>
        <w:rPr>
          <w:rFonts w:hint="eastAsia" w:ascii="宋体" w:hAnsi="宋体"/>
          <w:sz w:val="24"/>
          <w:highlight w:val="none"/>
          <w:lang w:val="en-US" w:eastAsia="zh-CN"/>
        </w:rPr>
        <w:t>合同签订后20日历天内完成建设方案编制。</w:t>
      </w:r>
    </w:p>
    <w:p w14:paraId="75EC1BA3">
      <w:pPr>
        <w:spacing w:line="600" w:lineRule="exact"/>
        <w:ind w:firstLine="480"/>
        <w:rPr>
          <w:rFonts w:ascii="宋体" w:hAnsi="宋体" w:cs="宋体"/>
          <w:sz w:val="24"/>
          <w:szCs w:val="24"/>
          <w:highlight w:val="none"/>
        </w:rPr>
      </w:pPr>
      <w:r>
        <w:rPr>
          <w:rFonts w:hint="eastAsia" w:ascii="宋体" w:hAnsi="宋体" w:cs="宋体"/>
          <w:sz w:val="24"/>
          <w:szCs w:val="24"/>
          <w:highlight w:val="none"/>
        </w:rPr>
        <w:t>3.如果我公司中标，保证不转包、不违法分包，保证派驻投标文件提供的项目组人员及时进场。</w:t>
      </w:r>
    </w:p>
    <w:p w14:paraId="3C0CB04A">
      <w:pPr>
        <w:spacing w:line="600" w:lineRule="exact"/>
        <w:ind w:firstLine="480"/>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lang w:val="en-US" w:eastAsia="zh-CN"/>
        </w:rPr>
        <w:t>4.项目负责人：</w:t>
      </w:r>
      <w:r>
        <w:rPr>
          <w:rFonts w:hint="eastAsia" w:ascii="宋体" w:hAnsi="宋体" w:cs="宋体"/>
          <w:sz w:val="24"/>
          <w:szCs w:val="24"/>
          <w:highlight w:val="none"/>
          <w:u w:val="single"/>
          <w:lang w:val="en-US" w:eastAsia="zh-CN"/>
        </w:rPr>
        <w:t xml:space="preserve">                    </w:t>
      </w:r>
    </w:p>
    <w:p w14:paraId="2732EB78">
      <w:pPr>
        <w:spacing w:line="600" w:lineRule="exact"/>
        <w:ind w:firstLine="48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.我方接受招标文件中的</w:t>
      </w:r>
      <w:r>
        <w:rPr>
          <w:rFonts w:hint="eastAsia" w:ascii="宋体" w:hAnsi="宋体" w:cs="宋体"/>
          <w:sz w:val="24"/>
          <w:szCs w:val="24"/>
          <w:highlight w:val="none"/>
          <w:lang w:val="en-US" w:eastAsia="zh-CN"/>
        </w:rPr>
        <w:t>服务款</w:t>
      </w:r>
      <w:r>
        <w:rPr>
          <w:rFonts w:hint="eastAsia" w:ascii="宋体" w:hAnsi="宋体" w:cs="宋体"/>
          <w:sz w:val="24"/>
          <w:szCs w:val="24"/>
          <w:highlight w:val="none"/>
        </w:rPr>
        <w:t>支付条件。</w:t>
      </w:r>
    </w:p>
    <w:p w14:paraId="4906582E">
      <w:pPr>
        <w:spacing w:line="600" w:lineRule="exact"/>
        <w:ind w:firstLine="480"/>
        <w:rPr>
          <w:rFonts w:ascii="宋体" w:hAnsi="宋体" w:cs="宋体"/>
          <w:sz w:val="24"/>
          <w:szCs w:val="24"/>
          <w:highlight w:val="none"/>
        </w:rPr>
      </w:pPr>
      <w:r>
        <w:rPr>
          <w:rFonts w:hint="eastAsia" w:ascii="宋体" w:hAnsi="宋体" w:cs="Arial"/>
          <w:bCs/>
          <w:spacing w:val="-4"/>
          <w:sz w:val="24"/>
          <w:szCs w:val="24"/>
          <w:highlight w:val="none"/>
          <w:lang w:val="en-US" w:eastAsia="zh-CN"/>
        </w:rPr>
        <w:t>6</w:t>
      </w:r>
      <w:r>
        <w:rPr>
          <w:rFonts w:hint="eastAsia" w:ascii="宋体" w:hAnsi="宋体" w:cs="Arial"/>
          <w:bCs/>
          <w:spacing w:val="-4"/>
          <w:sz w:val="24"/>
          <w:szCs w:val="24"/>
          <w:highlight w:val="none"/>
        </w:rPr>
        <w:t>、</w:t>
      </w:r>
      <w:r>
        <w:rPr>
          <w:rFonts w:hint="eastAsia" w:ascii="宋体" w:hAnsi="宋体"/>
          <w:sz w:val="24"/>
          <w:highlight w:val="none"/>
        </w:rPr>
        <w:t>如果我方在招标文件规定的截止时间后撤回投标文件，或在接到中标通知书后30天内未能或拒绝签订合同协议书，我单位自愿接受被列为不良行为记录。</w:t>
      </w:r>
    </w:p>
    <w:p w14:paraId="6C61E9FF">
      <w:pPr>
        <w:spacing w:line="600" w:lineRule="exact"/>
        <w:ind w:firstLine="480"/>
        <w:rPr>
          <w:rFonts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、如我方中标，我方承诺在签订合同前向采购人交纳招标文件</w:t>
      </w:r>
      <w:r>
        <w:rPr>
          <w:rFonts w:ascii="宋体" w:hAnsi="宋体" w:cs="宋体"/>
          <w:sz w:val="24"/>
          <w:szCs w:val="24"/>
          <w:highlight w:val="none"/>
        </w:rPr>
        <w:t>规定</w:t>
      </w:r>
      <w:r>
        <w:rPr>
          <w:rFonts w:hint="eastAsia" w:ascii="宋体" w:hAnsi="宋体" w:cs="宋体"/>
          <w:sz w:val="24"/>
          <w:szCs w:val="24"/>
          <w:highlight w:val="none"/>
        </w:rPr>
        <w:t>的履约保证金。</w:t>
      </w:r>
    </w:p>
    <w:p w14:paraId="63ED2568">
      <w:pPr>
        <w:spacing w:line="600" w:lineRule="exact"/>
        <w:ind w:firstLine="480"/>
        <w:rPr>
          <w:rFonts w:ascii="宋体" w:hAnsi="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、我方投标文件提供的所有资料真实、有效，如有不实，我方无条件接受采购人和主管部门依据法律法规做出的处理决定，并承担由此产生的责任。</w:t>
      </w:r>
    </w:p>
    <w:p w14:paraId="4C852D09">
      <w:pPr>
        <w:spacing w:line="600" w:lineRule="exact"/>
        <w:ind w:firstLine="480"/>
        <w:rPr>
          <w:rFonts w:ascii="宋体" w:hAnsi="宋体" w:cs="宋体"/>
          <w:sz w:val="24"/>
          <w:szCs w:val="24"/>
          <w:highlight w:val="none"/>
        </w:rPr>
      </w:pPr>
      <w:r>
        <w:rPr>
          <w:rFonts w:hint="eastAsia" w:ascii="宋体" w:hAnsi="宋体" w:cs="宋体"/>
          <w:sz w:val="24"/>
          <w:szCs w:val="24"/>
          <w:highlight w:val="none"/>
          <w:lang w:val="en-US" w:eastAsia="zh-CN"/>
        </w:rPr>
        <w:t>9</w:t>
      </w:r>
      <w:r>
        <w:rPr>
          <w:rFonts w:hint="eastAsia" w:ascii="宋体" w:hAnsi="宋体" w:cs="宋体"/>
          <w:sz w:val="24"/>
          <w:szCs w:val="24"/>
          <w:highlight w:val="none"/>
        </w:rPr>
        <w:t>、你方的中标通知书和招标文件将成为约束双方合同文件的组成部分。</w:t>
      </w:r>
    </w:p>
    <w:p w14:paraId="59D35FDE">
      <w:pPr>
        <w:spacing w:line="600" w:lineRule="exact"/>
        <w:rPr>
          <w:rFonts w:ascii="宋体" w:hAnsi="宋体" w:cs="宋体"/>
          <w:sz w:val="24"/>
          <w:szCs w:val="24"/>
          <w:highlight w:val="none"/>
        </w:rPr>
      </w:pPr>
    </w:p>
    <w:p w14:paraId="7838272C">
      <w:pPr>
        <w:spacing w:line="600" w:lineRule="exact"/>
        <w:ind w:firstLine="480"/>
        <w:rPr>
          <w:rFonts w:ascii="宋体" w:hAnsi="宋体" w:cs="宋体"/>
          <w:sz w:val="24"/>
          <w:szCs w:val="24"/>
          <w:highlight w:val="none"/>
        </w:rPr>
      </w:pPr>
      <w:r>
        <w:rPr>
          <w:rFonts w:hint="eastAsia" w:ascii="宋体" w:hAnsi="宋体" w:cs="宋体"/>
          <w:sz w:val="24"/>
          <w:szCs w:val="24"/>
          <w:highlight w:val="none"/>
        </w:rPr>
        <w:t>投标人：(盖章)</w:t>
      </w:r>
    </w:p>
    <w:p w14:paraId="0C19208B">
      <w:pPr>
        <w:spacing w:line="600" w:lineRule="exact"/>
        <w:ind w:firstLine="480"/>
        <w:rPr>
          <w:rFonts w:ascii="宋体" w:hAnsi="宋体" w:cs="宋体"/>
          <w:sz w:val="24"/>
          <w:szCs w:val="24"/>
          <w:highlight w:val="none"/>
        </w:rPr>
      </w:pPr>
      <w:r>
        <w:rPr>
          <w:rFonts w:hint="eastAsia" w:ascii="宋体" w:hAnsi="宋体" w:cs="宋体"/>
          <w:sz w:val="24"/>
          <w:szCs w:val="24"/>
          <w:highlight w:val="none"/>
        </w:rPr>
        <w:t xml:space="preserve">法定代表人或委托代理人：(盖章或签字)                                       </w:t>
      </w:r>
    </w:p>
    <w:p w14:paraId="1E1D091E">
      <w:pPr>
        <w:spacing w:line="600" w:lineRule="exact"/>
        <w:ind w:firstLine="480"/>
        <w:rPr>
          <w:rFonts w:ascii="宋体" w:hAnsi="宋体" w:cs="宋体"/>
          <w:sz w:val="24"/>
          <w:szCs w:val="24"/>
          <w:highlight w:val="none"/>
        </w:rPr>
      </w:pPr>
      <w:r>
        <w:rPr>
          <w:rFonts w:hint="eastAsia" w:ascii="宋体" w:hAnsi="宋体" w:cs="宋体"/>
          <w:sz w:val="24"/>
          <w:szCs w:val="24"/>
          <w:highlight w:val="none"/>
        </w:rPr>
        <w:t>日 期：     年     月    日</w:t>
      </w:r>
    </w:p>
    <w:p w14:paraId="53583C54">
      <w:pPr>
        <w:spacing w:before="120" w:after="120" w:line="460" w:lineRule="exact"/>
        <w:jc w:val="center"/>
        <w:outlineLvl w:val="0"/>
        <w:rPr>
          <w:rFonts w:hint="eastAsia" w:ascii="宋体" w:hAnsi="Courier New"/>
          <w:b/>
          <w:sz w:val="32"/>
          <w:szCs w:val="32"/>
          <w:highlight w:val="none"/>
        </w:rPr>
      </w:pPr>
      <w:bookmarkStart w:id="64" w:name="_Toc130206655"/>
    </w:p>
    <w:p w14:paraId="2926A684">
      <w:pPr>
        <w:spacing w:before="120" w:after="120" w:line="460" w:lineRule="exact"/>
        <w:jc w:val="center"/>
        <w:outlineLvl w:val="0"/>
        <w:rPr>
          <w:rFonts w:ascii="宋体" w:hAnsi="Courier New"/>
          <w:b/>
          <w:sz w:val="32"/>
          <w:szCs w:val="32"/>
          <w:highlight w:val="none"/>
        </w:rPr>
      </w:pPr>
      <w:bookmarkStart w:id="65" w:name="_Toc26760"/>
      <w:bookmarkStart w:id="66" w:name="_Toc15630"/>
      <w:r>
        <w:rPr>
          <w:rFonts w:hint="eastAsia" w:ascii="宋体" w:hAnsi="Courier New"/>
          <w:b/>
          <w:sz w:val="32"/>
          <w:szCs w:val="32"/>
          <w:highlight w:val="none"/>
        </w:rPr>
        <w:t>（三）</w:t>
      </w:r>
      <w:bookmarkEnd w:id="63"/>
      <w:bookmarkEnd w:id="64"/>
      <w:r>
        <w:rPr>
          <w:rFonts w:hint="eastAsia" w:ascii="黑体" w:hAnsi="黑体" w:eastAsia="黑体" w:cs="黑体"/>
          <w:b/>
          <w:sz w:val="36"/>
          <w:szCs w:val="36"/>
        </w:rPr>
        <w:t>参加政府采购活动前 3 年内在经营活动中没有重大违法记录的书面声明</w:t>
      </w:r>
      <w:bookmarkEnd w:id="65"/>
      <w:bookmarkEnd w:id="66"/>
    </w:p>
    <w:p w14:paraId="769BB575">
      <w:pPr>
        <w:spacing w:before="120" w:after="120" w:line="240" w:lineRule="exact"/>
        <w:jc w:val="center"/>
        <w:outlineLvl w:val="0"/>
        <w:rPr>
          <w:rFonts w:ascii="宋体" w:hAnsi="Courier New"/>
          <w:b/>
          <w:sz w:val="32"/>
          <w:szCs w:val="32"/>
          <w:highlight w:val="none"/>
        </w:rPr>
      </w:pPr>
    </w:p>
    <w:p w14:paraId="3920D045">
      <w:pPr>
        <w:pStyle w:val="21"/>
        <w:spacing w:line="600" w:lineRule="exact"/>
        <w:rPr>
          <w:sz w:val="24"/>
          <w:highlight w:val="none"/>
        </w:rPr>
      </w:pPr>
      <w:r>
        <w:rPr>
          <w:rFonts w:hint="eastAsia"/>
          <w:b/>
          <w:sz w:val="24"/>
          <w:highlight w:val="none"/>
        </w:rPr>
        <w:t>采购人：</w:t>
      </w:r>
      <w:r>
        <w:rPr>
          <w:rFonts w:hint="eastAsia" w:hAnsi="宋体" w:cs="Arial"/>
          <w:b/>
          <w:sz w:val="24"/>
          <w:highlight w:val="none"/>
          <w:u w:val="single"/>
          <w:lang w:eastAsia="zh-CN"/>
        </w:rPr>
        <w:t>江苏大丰港经济开发区管理委员会</w:t>
      </w:r>
      <w:r>
        <w:rPr>
          <w:rFonts w:hint="eastAsia" w:hAnsi="宋体" w:cs="Arial"/>
          <w:b/>
          <w:sz w:val="24"/>
          <w:highlight w:val="none"/>
          <w:u w:val="single"/>
        </w:rPr>
        <w:t xml:space="preserve"> </w:t>
      </w:r>
    </w:p>
    <w:p w14:paraId="2A46BA6C">
      <w:pPr>
        <w:spacing w:line="600" w:lineRule="exact"/>
        <w:rPr>
          <w:rFonts w:ascii="宋体" w:hAnsi="宋体"/>
          <w:sz w:val="24"/>
          <w:highlight w:val="none"/>
        </w:rPr>
      </w:pPr>
      <w:r>
        <w:rPr>
          <w:rFonts w:hint="eastAsia" w:ascii="宋体" w:hAnsi="宋体"/>
          <w:sz w:val="24"/>
          <w:highlight w:val="none"/>
        </w:rPr>
        <w:t>我公司自愿参与贵单位组织实施的</w:t>
      </w:r>
      <w:r>
        <w:rPr>
          <w:rFonts w:hint="eastAsia" w:ascii="宋体" w:hAnsi="宋体" w:cs="Arial"/>
          <w:sz w:val="24"/>
          <w:highlight w:val="none"/>
          <w:u w:val="single"/>
          <w:lang w:eastAsia="zh-CN"/>
        </w:rPr>
        <w:t>国家骨干冷链物流基地建设申报方案编制服务</w:t>
      </w:r>
      <w:r>
        <w:rPr>
          <w:rFonts w:hint="eastAsia" w:ascii="宋体" w:hAnsi="宋体"/>
          <w:sz w:val="24"/>
          <w:highlight w:val="none"/>
        </w:rPr>
        <w:t>的投标。我单位</w:t>
      </w:r>
      <w:r>
        <w:rPr>
          <w:rFonts w:ascii="宋体" w:hAnsi="宋体" w:cs="Arial"/>
          <w:bCs/>
          <w:sz w:val="24"/>
          <w:highlight w:val="none"/>
        </w:rPr>
        <w:t>参加本次政府采购活动前三年内，在经营活动中</w:t>
      </w:r>
      <w:r>
        <w:rPr>
          <w:rFonts w:hint="eastAsia" w:ascii="宋体" w:hAnsi="宋体" w:cs="Arial"/>
          <w:bCs/>
          <w:sz w:val="24"/>
          <w:highlight w:val="none"/>
          <w:u w:val="single"/>
        </w:rPr>
        <w:t>没有</w:t>
      </w:r>
      <w:r>
        <w:rPr>
          <w:rFonts w:ascii="宋体" w:hAnsi="宋体" w:cs="Arial"/>
          <w:bCs/>
          <w:sz w:val="24"/>
          <w:highlight w:val="none"/>
        </w:rPr>
        <w:t>重大违法记录</w:t>
      </w:r>
      <w:r>
        <w:rPr>
          <w:rFonts w:hint="eastAsia" w:ascii="宋体" w:hAnsi="宋体" w:cs="Arial"/>
          <w:bCs/>
          <w:sz w:val="24"/>
          <w:highlight w:val="none"/>
        </w:rPr>
        <w:t>（重大违法记录是指因违法经营受到刑事处罚或者责令停产停业、吊销许可证或者执照、较大数额罚款等行政处罚）。</w:t>
      </w:r>
      <w:r>
        <w:rPr>
          <w:rFonts w:hint="eastAsia" w:ascii="宋体" w:hAnsi="宋体"/>
          <w:sz w:val="24"/>
          <w:highlight w:val="none"/>
        </w:rPr>
        <w:t>若与真实情况不符，本公司愿意承担由此而产生的一切后果。</w:t>
      </w:r>
    </w:p>
    <w:p w14:paraId="24D012A1">
      <w:pPr>
        <w:spacing w:line="600" w:lineRule="exact"/>
        <w:ind w:firstLine="480"/>
        <w:rPr>
          <w:rFonts w:ascii="宋体" w:hAnsi="宋体"/>
          <w:sz w:val="24"/>
          <w:highlight w:val="none"/>
        </w:rPr>
      </w:pPr>
    </w:p>
    <w:p w14:paraId="351355C9">
      <w:pPr>
        <w:spacing w:line="600" w:lineRule="exact"/>
        <w:ind w:firstLine="480"/>
        <w:rPr>
          <w:rFonts w:ascii="宋体" w:hAnsi="宋体"/>
          <w:sz w:val="24"/>
          <w:highlight w:val="none"/>
        </w:rPr>
      </w:pPr>
      <w:r>
        <w:rPr>
          <w:rFonts w:hint="eastAsia" w:ascii="宋体" w:hAnsi="宋体"/>
          <w:sz w:val="24"/>
          <w:highlight w:val="none"/>
        </w:rPr>
        <w:t>特此声明！</w:t>
      </w:r>
    </w:p>
    <w:p w14:paraId="0221A460">
      <w:pPr>
        <w:spacing w:line="600" w:lineRule="exact"/>
        <w:ind w:firstLine="480"/>
        <w:rPr>
          <w:rFonts w:ascii="宋体" w:hAnsi="宋体"/>
          <w:b/>
          <w:sz w:val="24"/>
          <w:highlight w:val="none"/>
        </w:rPr>
      </w:pPr>
    </w:p>
    <w:p w14:paraId="7EEBC073">
      <w:pPr>
        <w:pStyle w:val="21"/>
        <w:spacing w:line="480" w:lineRule="exact"/>
        <w:ind w:firstLine="461"/>
        <w:rPr>
          <w:rFonts w:hAnsi="宋体"/>
          <w:sz w:val="24"/>
          <w:highlight w:val="none"/>
        </w:rPr>
      </w:pPr>
      <w:r>
        <w:rPr>
          <w:rFonts w:hint="eastAsia" w:hAnsi="宋体"/>
          <w:sz w:val="24"/>
          <w:highlight w:val="none"/>
        </w:rPr>
        <w:t>投标单位：(盖章)</w:t>
      </w:r>
    </w:p>
    <w:p w14:paraId="5FAFBD2F">
      <w:pPr>
        <w:pStyle w:val="21"/>
        <w:spacing w:line="480" w:lineRule="exact"/>
        <w:ind w:firstLine="461"/>
        <w:rPr>
          <w:rFonts w:hAnsi="宋体"/>
          <w:sz w:val="24"/>
          <w:highlight w:val="none"/>
        </w:rPr>
      </w:pPr>
    </w:p>
    <w:p w14:paraId="206B420D">
      <w:pPr>
        <w:pStyle w:val="21"/>
        <w:spacing w:line="480" w:lineRule="exact"/>
        <w:ind w:firstLine="461"/>
        <w:rPr>
          <w:rFonts w:hAnsi="宋体"/>
          <w:sz w:val="24"/>
          <w:highlight w:val="none"/>
        </w:rPr>
      </w:pPr>
      <w:r>
        <w:rPr>
          <w:rFonts w:hint="eastAsia" w:hAnsi="宋体"/>
          <w:sz w:val="24"/>
          <w:highlight w:val="none"/>
        </w:rPr>
        <w:t>法定代表人或委托代理人：(盖章或签字)</w:t>
      </w:r>
    </w:p>
    <w:p w14:paraId="756D1EDE">
      <w:pPr>
        <w:pStyle w:val="21"/>
        <w:spacing w:line="480" w:lineRule="exact"/>
        <w:ind w:left="5250" w:firstLine="403"/>
        <w:rPr>
          <w:rFonts w:hAnsi="宋体"/>
          <w:highlight w:val="none"/>
        </w:rPr>
      </w:pPr>
    </w:p>
    <w:p w14:paraId="32A1D813">
      <w:pPr>
        <w:pStyle w:val="21"/>
        <w:spacing w:line="480" w:lineRule="exact"/>
        <w:ind w:left="5250" w:firstLine="403"/>
        <w:rPr>
          <w:rFonts w:hAnsi="宋体"/>
          <w:highlight w:val="none"/>
        </w:rPr>
      </w:pPr>
    </w:p>
    <w:p w14:paraId="4EB04F8B">
      <w:pPr>
        <w:jc w:val="right"/>
        <w:rPr>
          <w:sz w:val="24"/>
          <w:highlight w:val="none"/>
        </w:rPr>
      </w:pPr>
      <w:r>
        <w:rPr>
          <w:rFonts w:hint="eastAsia"/>
          <w:sz w:val="24"/>
          <w:highlight w:val="none"/>
        </w:rPr>
        <w:t>日 期：    年   月   日</w:t>
      </w:r>
    </w:p>
    <w:p w14:paraId="5F985A4A">
      <w:pPr>
        <w:spacing w:line="360" w:lineRule="auto"/>
        <w:ind w:left="1446" w:hanging="1446"/>
        <w:jc w:val="center"/>
        <w:rPr>
          <w:rFonts w:ascii="宋体" w:hAnsi="宋体"/>
          <w:b/>
          <w:sz w:val="36"/>
          <w:szCs w:val="36"/>
          <w:highlight w:val="none"/>
        </w:rPr>
      </w:pPr>
    </w:p>
    <w:p w14:paraId="79C515B8">
      <w:pPr>
        <w:spacing w:line="360" w:lineRule="auto"/>
        <w:ind w:left="1446" w:hanging="1446"/>
        <w:jc w:val="center"/>
        <w:rPr>
          <w:rFonts w:ascii="宋体" w:hAnsi="宋体"/>
          <w:b/>
          <w:sz w:val="36"/>
          <w:szCs w:val="36"/>
          <w:highlight w:val="none"/>
        </w:rPr>
      </w:pPr>
    </w:p>
    <w:p w14:paraId="5D76A486">
      <w:pPr>
        <w:spacing w:line="360" w:lineRule="auto"/>
        <w:ind w:left="1446" w:hanging="1446"/>
        <w:jc w:val="center"/>
        <w:rPr>
          <w:rFonts w:ascii="宋体" w:hAnsi="宋体"/>
          <w:b/>
          <w:sz w:val="36"/>
          <w:szCs w:val="36"/>
          <w:highlight w:val="none"/>
        </w:rPr>
      </w:pPr>
    </w:p>
    <w:p w14:paraId="306526F5">
      <w:pPr>
        <w:spacing w:line="360" w:lineRule="auto"/>
        <w:ind w:left="1446" w:hanging="1446"/>
        <w:jc w:val="center"/>
        <w:rPr>
          <w:rFonts w:ascii="宋体" w:hAnsi="宋体"/>
          <w:b/>
          <w:sz w:val="36"/>
          <w:szCs w:val="36"/>
          <w:highlight w:val="none"/>
        </w:rPr>
      </w:pPr>
    </w:p>
    <w:p w14:paraId="5F46D834">
      <w:pPr>
        <w:spacing w:line="360" w:lineRule="auto"/>
        <w:ind w:left="1446" w:hanging="1446"/>
        <w:jc w:val="center"/>
        <w:rPr>
          <w:rFonts w:ascii="宋体" w:hAnsi="宋体"/>
          <w:b/>
          <w:sz w:val="36"/>
          <w:szCs w:val="36"/>
          <w:highlight w:val="none"/>
        </w:rPr>
      </w:pPr>
    </w:p>
    <w:p w14:paraId="07B8B4A7">
      <w:pPr>
        <w:spacing w:line="360" w:lineRule="auto"/>
        <w:ind w:left="1446" w:hanging="1446"/>
        <w:jc w:val="center"/>
        <w:rPr>
          <w:rFonts w:ascii="宋体" w:hAnsi="宋体"/>
          <w:b/>
          <w:sz w:val="36"/>
          <w:szCs w:val="36"/>
          <w:highlight w:val="none"/>
        </w:rPr>
      </w:pPr>
    </w:p>
    <w:p w14:paraId="03CBA326">
      <w:pPr>
        <w:spacing w:before="120" w:after="120" w:line="460" w:lineRule="exact"/>
        <w:jc w:val="both"/>
        <w:outlineLvl w:val="0"/>
        <w:rPr>
          <w:rFonts w:hint="eastAsia" w:ascii="宋体" w:hAnsi="Courier New"/>
          <w:b/>
          <w:sz w:val="32"/>
          <w:szCs w:val="32"/>
          <w:highlight w:val="none"/>
        </w:rPr>
      </w:pPr>
      <w:bookmarkStart w:id="67" w:name="_Toc120519621"/>
      <w:bookmarkStart w:id="68" w:name="_Toc130206656"/>
    </w:p>
    <w:p w14:paraId="1D300230">
      <w:pPr>
        <w:spacing w:before="120" w:after="120" w:line="460" w:lineRule="exact"/>
        <w:jc w:val="center"/>
        <w:outlineLvl w:val="0"/>
        <w:rPr>
          <w:rFonts w:ascii="宋体" w:hAnsi="Courier New"/>
          <w:b/>
          <w:sz w:val="32"/>
          <w:szCs w:val="32"/>
          <w:highlight w:val="none"/>
        </w:rPr>
      </w:pPr>
      <w:bookmarkStart w:id="69" w:name="_Toc15564"/>
      <w:bookmarkStart w:id="70" w:name="_Toc18243"/>
      <w:r>
        <w:rPr>
          <w:rFonts w:hint="eastAsia" w:ascii="宋体" w:hAnsi="Courier New"/>
          <w:b/>
          <w:sz w:val="32"/>
          <w:szCs w:val="32"/>
          <w:highlight w:val="none"/>
        </w:rPr>
        <w:t>（四）供应商登记表</w:t>
      </w:r>
      <w:bookmarkEnd w:id="67"/>
      <w:bookmarkEnd w:id="68"/>
      <w:bookmarkEnd w:id="69"/>
      <w:bookmarkEnd w:id="70"/>
    </w:p>
    <w:p w14:paraId="77C81882">
      <w:pPr>
        <w:spacing w:line="360" w:lineRule="auto"/>
        <w:ind w:left="1447" w:firstLine="5650"/>
        <w:rPr>
          <w:rFonts w:ascii="宋体" w:hAnsi="宋体" w:cs="宋体"/>
          <w:b/>
          <w:sz w:val="36"/>
          <w:highlight w:val="none"/>
        </w:rPr>
      </w:pPr>
      <w:r>
        <w:rPr>
          <w:rFonts w:hint="eastAsia" w:ascii="宋体" w:hAnsi="宋体" w:cs="宋体"/>
          <w:sz w:val="24"/>
          <w:highlight w:val="none"/>
        </w:rPr>
        <w:t>年   月   日</w:t>
      </w:r>
    </w:p>
    <w:tbl>
      <w:tblPr>
        <w:tblStyle w:val="42"/>
        <w:tblW w:w="9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05"/>
        <w:gridCol w:w="1185"/>
        <w:gridCol w:w="1395"/>
        <w:gridCol w:w="1905"/>
        <w:gridCol w:w="1305"/>
        <w:gridCol w:w="2009"/>
      </w:tblGrid>
      <w:tr w14:paraId="42454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6B2EE6D3">
            <w:pPr>
              <w:widowControl/>
              <w:spacing w:line="480" w:lineRule="exact"/>
              <w:jc w:val="center"/>
              <w:rPr>
                <w:rFonts w:ascii="宋体" w:hAnsi="宋体" w:cs="宋体"/>
                <w:sz w:val="24"/>
                <w:highlight w:val="none"/>
              </w:rPr>
            </w:pPr>
            <w:r>
              <w:rPr>
                <w:rFonts w:hint="eastAsia" w:ascii="宋体" w:hAnsi="宋体" w:cs="宋体"/>
                <w:sz w:val="24"/>
                <w:highlight w:val="none"/>
              </w:rPr>
              <w:t>企业名称</w:t>
            </w:r>
          </w:p>
        </w:tc>
        <w:tc>
          <w:tcPr>
            <w:tcW w:w="7799" w:type="dxa"/>
            <w:gridSpan w:val="5"/>
            <w:tcBorders>
              <w:top w:val="single" w:color="000000" w:sz="4" w:space="0"/>
              <w:left w:val="single" w:color="000000" w:sz="4" w:space="0"/>
              <w:bottom w:val="single" w:color="000000" w:sz="4" w:space="0"/>
              <w:right w:val="single" w:color="000000" w:sz="4" w:space="0"/>
            </w:tcBorders>
            <w:noWrap w:val="0"/>
            <w:vAlign w:val="center"/>
          </w:tcPr>
          <w:p w14:paraId="21BC9E42">
            <w:pPr>
              <w:widowControl/>
              <w:spacing w:line="480" w:lineRule="exact"/>
              <w:jc w:val="center"/>
              <w:rPr>
                <w:rFonts w:ascii="宋体" w:hAnsi="宋体" w:cs="宋体"/>
                <w:sz w:val="24"/>
                <w:highlight w:val="none"/>
              </w:rPr>
            </w:pPr>
          </w:p>
        </w:tc>
      </w:tr>
      <w:tr w14:paraId="28180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2118CE35">
            <w:pPr>
              <w:widowControl/>
              <w:spacing w:line="480" w:lineRule="exact"/>
              <w:jc w:val="center"/>
              <w:rPr>
                <w:rFonts w:ascii="宋体" w:hAnsi="宋体" w:cs="宋体"/>
                <w:sz w:val="24"/>
                <w:highlight w:val="none"/>
              </w:rPr>
            </w:pPr>
            <w:r>
              <w:rPr>
                <w:rFonts w:hint="eastAsia" w:ascii="宋体" w:hAnsi="宋体" w:cs="宋体"/>
                <w:sz w:val="24"/>
                <w:highlight w:val="none"/>
              </w:rPr>
              <w:t>详细地址</w:t>
            </w:r>
          </w:p>
        </w:tc>
        <w:tc>
          <w:tcPr>
            <w:tcW w:w="4485" w:type="dxa"/>
            <w:gridSpan w:val="3"/>
            <w:tcBorders>
              <w:top w:val="single" w:color="000000" w:sz="4" w:space="0"/>
              <w:left w:val="single" w:color="000000" w:sz="4" w:space="0"/>
              <w:bottom w:val="single" w:color="000000" w:sz="4" w:space="0"/>
              <w:right w:val="single" w:color="000000" w:sz="4" w:space="0"/>
            </w:tcBorders>
            <w:noWrap w:val="0"/>
            <w:vAlign w:val="center"/>
          </w:tcPr>
          <w:p w14:paraId="01290B03">
            <w:pPr>
              <w:widowControl/>
              <w:spacing w:line="480" w:lineRule="exact"/>
              <w:jc w:val="center"/>
              <w:rPr>
                <w:rFonts w:ascii="宋体" w:hAnsi="宋体" w:cs="宋体"/>
                <w:sz w:val="24"/>
                <w:highlight w:val="none"/>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2A1E24EB">
            <w:pPr>
              <w:widowControl/>
              <w:spacing w:line="480" w:lineRule="exact"/>
              <w:jc w:val="center"/>
              <w:rPr>
                <w:rFonts w:ascii="宋体" w:hAnsi="宋体" w:cs="宋体"/>
                <w:sz w:val="24"/>
                <w:highlight w:val="none"/>
              </w:rPr>
            </w:pPr>
            <w:r>
              <w:rPr>
                <w:rFonts w:hint="eastAsia" w:ascii="宋体" w:hAnsi="宋体" w:cs="宋体"/>
                <w:sz w:val="24"/>
                <w:highlight w:val="none"/>
              </w:rPr>
              <w:t>邮   编</w:t>
            </w:r>
          </w:p>
        </w:tc>
        <w:tc>
          <w:tcPr>
            <w:tcW w:w="2009" w:type="dxa"/>
            <w:tcBorders>
              <w:top w:val="single" w:color="000000" w:sz="4" w:space="0"/>
              <w:left w:val="single" w:color="000000" w:sz="4" w:space="0"/>
              <w:bottom w:val="single" w:color="000000" w:sz="4" w:space="0"/>
              <w:right w:val="single" w:color="000000" w:sz="4" w:space="0"/>
            </w:tcBorders>
            <w:noWrap w:val="0"/>
            <w:vAlign w:val="center"/>
          </w:tcPr>
          <w:p w14:paraId="11338B7C">
            <w:pPr>
              <w:widowControl/>
              <w:spacing w:line="480" w:lineRule="exact"/>
              <w:jc w:val="center"/>
              <w:rPr>
                <w:rFonts w:ascii="宋体" w:hAnsi="宋体" w:cs="宋体"/>
                <w:sz w:val="24"/>
                <w:highlight w:val="none"/>
              </w:rPr>
            </w:pPr>
          </w:p>
        </w:tc>
      </w:tr>
      <w:tr w14:paraId="6CAF4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14646C7A">
            <w:pPr>
              <w:widowControl/>
              <w:spacing w:line="480" w:lineRule="exact"/>
              <w:jc w:val="center"/>
              <w:rPr>
                <w:rFonts w:ascii="宋体" w:hAnsi="宋体" w:cs="宋体"/>
                <w:sz w:val="24"/>
                <w:highlight w:val="none"/>
              </w:rPr>
            </w:pPr>
            <w:r>
              <w:rPr>
                <w:rFonts w:hint="eastAsia" w:ascii="宋体" w:hAnsi="宋体" w:cs="宋体"/>
                <w:sz w:val="24"/>
                <w:highlight w:val="none"/>
              </w:rPr>
              <w:t>法人代表</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30CA2846">
            <w:pPr>
              <w:widowControl/>
              <w:spacing w:line="480" w:lineRule="exact"/>
              <w:jc w:val="center"/>
              <w:rPr>
                <w:rFonts w:ascii="宋体" w:hAnsi="宋体" w:cs="宋体"/>
                <w:sz w:val="24"/>
                <w:highlight w:val="none"/>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3793DC28">
            <w:pPr>
              <w:widowControl/>
              <w:spacing w:line="480" w:lineRule="exact"/>
              <w:jc w:val="center"/>
              <w:rPr>
                <w:rFonts w:ascii="宋体" w:hAnsi="宋体" w:cs="宋体"/>
                <w:sz w:val="24"/>
                <w:highlight w:val="none"/>
              </w:rPr>
            </w:pPr>
            <w:r>
              <w:rPr>
                <w:rFonts w:hint="eastAsia" w:ascii="宋体" w:hAnsi="宋体" w:cs="宋体"/>
                <w:sz w:val="24"/>
                <w:highlight w:val="none"/>
              </w:rPr>
              <w:t>企业性质</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1893D8A8">
            <w:pPr>
              <w:widowControl/>
              <w:spacing w:line="480" w:lineRule="exact"/>
              <w:jc w:val="center"/>
              <w:rPr>
                <w:rFonts w:ascii="宋体" w:hAnsi="宋体" w:cs="宋体"/>
                <w:sz w:val="24"/>
                <w:highlight w:val="none"/>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52217DC9">
            <w:pPr>
              <w:widowControl/>
              <w:spacing w:line="480" w:lineRule="exact"/>
              <w:jc w:val="center"/>
              <w:rPr>
                <w:rFonts w:ascii="宋体" w:hAnsi="宋体" w:cs="宋体"/>
                <w:sz w:val="24"/>
                <w:highlight w:val="none"/>
              </w:rPr>
            </w:pPr>
            <w:r>
              <w:rPr>
                <w:rFonts w:hint="eastAsia" w:ascii="宋体" w:hAnsi="宋体" w:cs="宋体"/>
                <w:sz w:val="24"/>
                <w:highlight w:val="none"/>
              </w:rPr>
              <w:t>注册资金</w:t>
            </w:r>
          </w:p>
        </w:tc>
        <w:tc>
          <w:tcPr>
            <w:tcW w:w="2009" w:type="dxa"/>
            <w:tcBorders>
              <w:top w:val="single" w:color="000000" w:sz="4" w:space="0"/>
              <w:left w:val="single" w:color="000000" w:sz="4" w:space="0"/>
              <w:bottom w:val="single" w:color="000000" w:sz="4" w:space="0"/>
              <w:right w:val="single" w:color="000000" w:sz="4" w:space="0"/>
            </w:tcBorders>
            <w:noWrap w:val="0"/>
            <w:vAlign w:val="center"/>
          </w:tcPr>
          <w:p w14:paraId="6CBBE446">
            <w:pPr>
              <w:widowControl/>
              <w:spacing w:line="480" w:lineRule="exact"/>
              <w:jc w:val="center"/>
              <w:rPr>
                <w:rFonts w:ascii="宋体" w:hAnsi="宋体" w:cs="宋体"/>
                <w:sz w:val="24"/>
                <w:highlight w:val="none"/>
              </w:rPr>
            </w:pPr>
          </w:p>
        </w:tc>
      </w:tr>
      <w:tr w14:paraId="7783A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23234364">
            <w:pPr>
              <w:widowControl/>
              <w:spacing w:line="480" w:lineRule="exact"/>
              <w:jc w:val="center"/>
              <w:rPr>
                <w:rFonts w:ascii="宋体" w:hAnsi="宋体" w:cs="宋体"/>
                <w:sz w:val="24"/>
                <w:highlight w:val="none"/>
              </w:rPr>
            </w:pPr>
            <w:r>
              <w:rPr>
                <w:rFonts w:hint="eastAsia" w:ascii="宋体" w:hAnsi="宋体" w:cs="宋体"/>
                <w:sz w:val="24"/>
                <w:highlight w:val="none"/>
              </w:rPr>
              <w:t>联系 人</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1051EDB6">
            <w:pPr>
              <w:widowControl/>
              <w:spacing w:line="480" w:lineRule="exact"/>
              <w:jc w:val="center"/>
              <w:rPr>
                <w:rFonts w:ascii="宋体" w:hAnsi="宋体" w:cs="宋体"/>
                <w:sz w:val="24"/>
                <w:highlight w:val="none"/>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299B3651">
            <w:pPr>
              <w:widowControl/>
              <w:spacing w:line="480" w:lineRule="exact"/>
              <w:jc w:val="center"/>
              <w:rPr>
                <w:rFonts w:ascii="宋体" w:hAnsi="宋体" w:cs="宋体"/>
                <w:sz w:val="24"/>
                <w:highlight w:val="none"/>
              </w:rPr>
            </w:pPr>
            <w:r>
              <w:rPr>
                <w:rFonts w:hint="eastAsia" w:ascii="宋体" w:hAnsi="宋体" w:cs="宋体"/>
                <w:sz w:val="24"/>
                <w:highlight w:val="none"/>
              </w:rPr>
              <w:t>职   务</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7177810E">
            <w:pPr>
              <w:widowControl/>
              <w:spacing w:line="480" w:lineRule="exact"/>
              <w:jc w:val="center"/>
              <w:rPr>
                <w:rFonts w:ascii="宋体" w:hAnsi="宋体" w:cs="宋体"/>
                <w:sz w:val="24"/>
                <w:highlight w:val="none"/>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2AAEE088">
            <w:pPr>
              <w:widowControl/>
              <w:spacing w:line="480" w:lineRule="exact"/>
              <w:jc w:val="center"/>
              <w:rPr>
                <w:rFonts w:ascii="宋体" w:hAnsi="宋体" w:cs="宋体"/>
                <w:sz w:val="24"/>
                <w:highlight w:val="none"/>
              </w:rPr>
            </w:pPr>
            <w:r>
              <w:rPr>
                <w:rFonts w:hint="eastAsia" w:ascii="宋体" w:hAnsi="宋体" w:cs="宋体"/>
                <w:sz w:val="24"/>
                <w:highlight w:val="none"/>
              </w:rPr>
              <w:t>所在部门</w:t>
            </w:r>
          </w:p>
        </w:tc>
        <w:tc>
          <w:tcPr>
            <w:tcW w:w="2009" w:type="dxa"/>
            <w:tcBorders>
              <w:top w:val="single" w:color="000000" w:sz="4" w:space="0"/>
              <w:left w:val="single" w:color="000000" w:sz="4" w:space="0"/>
              <w:bottom w:val="single" w:color="000000" w:sz="4" w:space="0"/>
              <w:right w:val="single" w:color="000000" w:sz="4" w:space="0"/>
            </w:tcBorders>
            <w:noWrap w:val="0"/>
            <w:vAlign w:val="center"/>
          </w:tcPr>
          <w:p w14:paraId="2A1905E4">
            <w:pPr>
              <w:widowControl/>
              <w:spacing w:line="480" w:lineRule="exact"/>
              <w:jc w:val="center"/>
              <w:rPr>
                <w:rFonts w:ascii="宋体" w:hAnsi="宋体" w:cs="宋体"/>
                <w:sz w:val="24"/>
                <w:highlight w:val="none"/>
              </w:rPr>
            </w:pPr>
          </w:p>
        </w:tc>
      </w:tr>
      <w:tr w14:paraId="707B9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486645D6">
            <w:pPr>
              <w:widowControl/>
              <w:spacing w:line="480" w:lineRule="exact"/>
              <w:jc w:val="center"/>
              <w:rPr>
                <w:rFonts w:ascii="宋体" w:hAnsi="宋体" w:cs="宋体"/>
                <w:sz w:val="24"/>
                <w:highlight w:val="none"/>
              </w:rPr>
            </w:pPr>
            <w:r>
              <w:rPr>
                <w:rFonts w:hint="eastAsia" w:ascii="宋体" w:hAnsi="宋体" w:cs="宋体"/>
                <w:sz w:val="24"/>
                <w:highlight w:val="none"/>
              </w:rPr>
              <w:t>营业面积</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67E2CAA9">
            <w:pPr>
              <w:widowControl/>
              <w:spacing w:line="480" w:lineRule="exact"/>
              <w:jc w:val="center"/>
              <w:rPr>
                <w:rFonts w:ascii="宋体" w:hAnsi="宋体" w:cs="宋体"/>
                <w:sz w:val="24"/>
                <w:highlight w:val="none"/>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10775DA0">
            <w:pPr>
              <w:widowControl/>
              <w:spacing w:line="480" w:lineRule="exact"/>
              <w:jc w:val="center"/>
              <w:rPr>
                <w:rFonts w:ascii="宋体" w:hAnsi="宋体" w:cs="宋体"/>
                <w:sz w:val="24"/>
                <w:highlight w:val="none"/>
              </w:rPr>
            </w:pPr>
            <w:r>
              <w:rPr>
                <w:rFonts w:hint="eastAsia" w:ascii="宋体" w:hAnsi="宋体" w:cs="宋体"/>
                <w:sz w:val="24"/>
                <w:highlight w:val="none"/>
              </w:rPr>
              <w:t>在册员工</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6C85AF5B">
            <w:pPr>
              <w:widowControl/>
              <w:spacing w:line="480" w:lineRule="exact"/>
              <w:jc w:val="center"/>
              <w:rPr>
                <w:rFonts w:ascii="宋体" w:hAnsi="宋体" w:cs="宋体"/>
                <w:sz w:val="24"/>
                <w:highlight w:val="none"/>
              </w:rPr>
            </w:pPr>
            <w:r>
              <w:rPr>
                <w:rFonts w:hint="eastAsia" w:ascii="宋体" w:hAnsi="宋体" w:cs="宋体"/>
                <w:sz w:val="24"/>
                <w:highlight w:val="none"/>
              </w:rPr>
              <w:t xml:space="preserve">       名</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30B466E2">
            <w:pPr>
              <w:widowControl/>
              <w:spacing w:line="480" w:lineRule="exact"/>
              <w:jc w:val="center"/>
              <w:rPr>
                <w:rFonts w:ascii="宋体" w:hAnsi="宋体" w:cs="宋体"/>
                <w:sz w:val="24"/>
                <w:highlight w:val="none"/>
              </w:rPr>
            </w:pPr>
            <w:r>
              <w:rPr>
                <w:rFonts w:hint="eastAsia" w:ascii="宋体" w:hAnsi="宋体" w:cs="宋体"/>
                <w:sz w:val="24"/>
                <w:highlight w:val="none"/>
              </w:rPr>
              <w:t>技术人员</w:t>
            </w:r>
          </w:p>
        </w:tc>
        <w:tc>
          <w:tcPr>
            <w:tcW w:w="2009" w:type="dxa"/>
            <w:tcBorders>
              <w:top w:val="single" w:color="000000" w:sz="4" w:space="0"/>
              <w:left w:val="single" w:color="000000" w:sz="4" w:space="0"/>
              <w:bottom w:val="single" w:color="000000" w:sz="4" w:space="0"/>
              <w:right w:val="single" w:color="000000" w:sz="4" w:space="0"/>
            </w:tcBorders>
            <w:noWrap w:val="0"/>
            <w:vAlign w:val="center"/>
          </w:tcPr>
          <w:p w14:paraId="61502BE0">
            <w:pPr>
              <w:widowControl/>
              <w:spacing w:line="480" w:lineRule="exact"/>
              <w:jc w:val="center"/>
              <w:rPr>
                <w:rFonts w:ascii="宋体" w:hAnsi="宋体" w:cs="宋体"/>
                <w:sz w:val="24"/>
                <w:highlight w:val="none"/>
              </w:rPr>
            </w:pPr>
            <w:r>
              <w:rPr>
                <w:rFonts w:hint="eastAsia" w:ascii="宋体" w:hAnsi="宋体" w:cs="宋体"/>
                <w:sz w:val="24"/>
                <w:highlight w:val="none"/>
              </w:rPr>
              <w:t xml:space="preserve">         名</w:t>
            </w:r>
          </w:p>
        </w:tc>
      </w:tr>
      <w:tr w14:paraId="3DEFA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68CD3300">
            <w:pPr>
              <w:widowControl/>
              <w:spacing w:line="480" w:lineRule="exact"/>
              <w:jc w:val="center"/>
              <w:rPr>
                <w:rFonts w:ascii="宋体" w:hAnsi="宋体" w:cs="宋体"/>
                <w:sz w:val="24"/>
                <w:highlight w:val="none"/>
              </w:rPr>
            </w:pPr>
            <w:r>
              <w:rPr>
                <w:rFonts w:hint="eastAsia" w:ascii="宋体" w:hAnsi="宋体" w:cs="宋体"/>
                <w:sz w:val="24"/>
                <w:highlight w:val="none"/>
              </w:rPr>
              <w:t>联系电话</w:t>
            </w:r>
          </w:p>
        </w:tc>
        <w:tc>
          <w:tcPr>
            <w:tcW w:w="2580" w:type="dxa"/>
            <w:gridSpan w:val="2"/>
            <w:tcBorders>
              <w:top w:val="single" w:color="000000" w:sz="4" w:space="0"/>
              <w:left w:val="single" w:color="000000" w:sz="4" w:space="0"/>
              <w:bottom w:val="single" w:color="000000" w:sz="4" w:space="0"/>
              <w:right w:val="single" w:color="000000" w:sz="4" w:space="0"/>
            </w:tcBorders>
            <w:noWrap w:val="0"/>
            <w:vAlign w:val="center"/>
          </w:tcPr>
          <w:p w14:paraId="05F38B74">
            <w:pPr>
              <w:widowControl/>
              <w:spacing w:line="480" w:lineRule="exact"/>
              <w:jc w:val="center"/>
              <w:rPr>
                <w:rFonts w:ascii="宋体" w:hAnsi="宋体" w:cs="宋体"/>
                <w:sz w:val="24"/>
                <w:highlight w:val="none"/>
              </w:rPr>
            </w:pP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4DFF688E">
            <w:pPr>
              <w:widowControl/>
              <w:spacing w:line="480" w:lineRule="exact"/>
              <w:jc w:val="center"/>
              <w:rPr>
                <w:rFonts w:ascii="宋体" w:hAnsi="宋体" w:cs="宋体"/>
                <w:sz w:val="24"/>
                <w:highlight w:val="none"/>
              </w:rPr>
            </w:pPr>
            <w:r>
              <w:rPr>
                <w:rFonts w:hint="eastAsia" w:ascii="宋体" w:hAnsi="宋体" w:cs="宋体"/>
                <w:sz w:val="24"/>
                <w:highlight w:val="none"/>
              </w:rPr>
              <w:t>传  真</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66C89F52">
            <w:pPr>
              <w:widowControl/>
              <w:spacing w:line="480" w:lineRule="exact"/>
              <w:jc w:val="center"/>
              <w:rPr>
                <w:rFonts w:ascii="宋体" w:hAnsi="宋体" w:cs="宋体"/>
                <w:sz w:val="24"/>
                <w:highlight w:val="none"/>
              </w:rPr>
            </w:pPr>
          </w:p>
        </w:tc>
      </w:tr>
      <w:tr w14:paraId="09AB5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2812FE0A">
            <w:pPr>
              <w:widowControl/>
              <w:spacing w:line="480" w:lineRule="exact"/>
              <w:jc w:val="center"/>
              <w:rPr>
                <w:rFonts w:ascii="宋体" w:hAnsi="宋体" w:cs="宋体"/>
                <w:sz w:val="24"/>
                <w:highlight w:val="none"/>
              </w:rPr>
            </w:pPr>
            <w:r>
              <w:rPr>
                <w:rFonts w:hint="eastAsia" w:ascii="宋体" w:hAnsi="宋体" w:cs="宋体"/>
                <w:sz w:val="24"/>
                <w:highlight w:val="none"/>
              </w:rPr>
              <w:t>手 机 号</w:t>
            </w:r>
          </w:p>
        </w:tc>
        <w:tc>
          <w:tcPr>
            <w:tcW w:w="2580" w:type="dxa"/>
            <w:gridSpan w:val="2"/>
            <w:tcBorders>
              <w:top w:val="single" w:color="000000" w:sz="4" w:space="0"/>
              <w:left w:val="single" w:color="000000" w:sz="4" w:space="0"/>
              <w:bottom w:val="single" w:color="000000" w:sz="4" w:space="0"/>
              <w:right w:val="single" w:color="000000" w:sz="4" w:space="0"/>
            </w:tcBorders>
            <w:noWrap w:val="0"/>
            <w:vAlign w:val="center"/>
          </w:tcPr>
          <w:p w14:paraId="7B3468DB">
            <w:pPr>
              <w:widowControl/>
              <w:spacing w:line="480" w:lineRule="exact"/>
              <w:jc w:val="center"/>
              <w:rPr>
                <w:rFonts w:ascii="宋体" w:hAnsi="宋体" w:cs="宋体"/>
                <w:sz w:val="24"/>
                <w:highlight w:val="none"/>
              </w:rPr>
            </w:pP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2038AD56">
            <w:pPr>
              <w:widowControl/>
              <w:spacing w:line="480" w:lineRule="exact"/>
              <w:jc w:val="center"/>
              <w:rPr>
                <w:rFonts w:ascii="宋体" w:hAnsi="宋体" w:cs="宋体"/>
                <w:sz w:val="24"/>
                <w:highlight w:val="none"/>
              </w:rPr>
            </w:pPr>
            <w:r>
              <w:rPr>
                <w:rFonts w:hint="eastAsia" w:ascii="宋体" w:hAnsi="宋体" w:cs="宋体"/>
                <w:sz w:val="24"/>
                <w:highlight w:val="none"/>
              </w:rPr>
              <w:t>网 址</w:t>
            </w:r>
          </w:p>
        </w:tc>
        <w:tc>
          <w:tcPr>
            <w:tcW w:w="3314" w:type="dxa"/>
            <w:gridSpan w:val="2"/>
            <w:tcBorders>
              <w:top w:val="single" w:color="000000" w:sz="4" w:space="0"/>
              <w:left w:val="single" w:color="000000" w:sz="4" w:space="0"/>
              <w:bottom w:val="single" w:color="000000" w:sz="4" w:space="0"/>
              <w:right w:val="single" w:color="000000" w:sz="4" w:space="0"/>
            </w:tcBorders>
            <w:noWrap w:val="0"/>
            <w:vAlign w:val="center"/>
          </w:tcPr>
          <w:p w14:paraId="331C782D">
            <w:pPr>
              <w:widowControl/>
              <w:spacing w:line="480" w:lineRule="exact"/>
              <w:jc w:val="center"/>
              <w:rPr>
                <w:rFonts w:ascii="宋体" w:hAnsi="宋体" w:cs="宋体"/>
                <w:sz w:val="24"/>
                <w:highlight w:val="none"/>
              </w:rPr>
            </w:pPr>
          </w:p>
        </w:tc>
      </w:tr>
      <w:tr w14:paraId="0FA69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19AB760D">
            <w:pPr>
              <w:widowControl/>
              <w:spacing w:line="480" w:lineRule="exact"/>
              <w:jc w:val="center"/>
              <w:rPr>
                <w:rFonts w:ascii="宋体" w:hAnsi="宋体" w:cs="宋体"/>
                <w:sz w:val="24"/>
                <w:highlight w:val="none"/>
              </w:rPr>
            </w:pPr>
            <w:r>
              <w:rPr>
                <w:rFonts w:hint="eastAsia" w:ascii="宋体" w:hAnsi="宋体" w:cs="宋体"/>
                <w:sz w:val="24"/>
                <w:highlight w:val="none"/>
              </w:rPr>
              <w:t>供应商品</w:t>
            </w:r>
          </w:p>
          <w:p w14:paraId="28A2B99D">
            <w:pPr>
              <w:widowControl/>
              <w:spacing w:line="480" w:lineRule="exact"/>
              <w:jc w:val="center"/>
              <w:rPr>
                <w:rFonts w:ascii="宋体" w:hAnsi="宋体" w:cs="宋体"/>
                <w:sz w:val="24"/>
                <w:highlight w:val="none"/>
              </w:rPr>
            </w:pPr>
            <w:r>
              <w:rPr>
                <w:rFonts w:hint="eastAsia" w:ascii="宋体" w:hAnsi="宋体" w:cs="宋体"/>
                <w:sz w:val="24"/>
                <w:highlight w:val="none"/>
              </w:rPr>
              <w:t>范   围</w:t>
            </w:r>
          </w:p>
        </w:tc>
        <w:tc>
          <w:tcPr>
            <w:tcW w:w="7799" w:type="dxa"/>
            <w:gridSpan w:val="5"/>
            <w:tcBorders>
              <w:top w:val="single" w:color="000000" w:sz="4" w:space="0"/>
              <w:left w:val="single" w:color="000000" w:sz="4" w:space="0"/>
              <w:bottom w:val="single" w:color="000000" w:sz="4" w:space="0"/>
              <w:right w:val="single" w:color="000000" w:sz="4" w:space="0"/>
            </w:tcBorders>
            <w:noWrap w:val="0"/>
            <w:vAlign w:val="center"/>
          </w:tcPr>
          <w:p w14:paraId="560A7E86">
            <w:pPr>
              <w:widowControl/>
              <w:spacing w:line="480" w:lineRule="exact"/>
              <w:jc w:val="center"/>
              <w:rPr>
                <w:rFonts w:ascii="宋体" w:hAnsi="宋体" w:cs="宋体"/>
                <w:sz w:val="24"/>
                <w:highlight w:val="none"/>
              </w:rPr>
            </w:pPr>
          </w:p>
        </w:tc>
      </w:tr>
      <w:tr w14:paraId="36319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4" w:hRule="atLeast"/>
          <w:jc w:val="center"/>
        </w:trPr>
        <w:tc>
          <w:tcPr>
            <w:tcW w:w="9104" w:type="dxa"/>
            <w:gridSpan w:val="6"/>
            <w:tcBorders>
              <w:top w:val="single" w:color="000000" w:sz="4" w:space="0"/>
              <w:left w:val="single" w:color="000000" w:sz="4" w:space="0"/>
              <w:bottom w:val="single" w:color="000000" w:sz="4" w:space="0"/>
              <w:right w:val="single" w:color="000000" w:sz="4" w:space="0"/>
            </w:tcBorders>
            <w:noWrap w:val="0"/>
            <w:vAlign w:val="center"/>
          </w:tcPr>
          <w:p w14:paraId="2594606F">
            <w:pPr>
              <w:widowControl/>
              <w:spacing w:line="480" w:lineRule="exact"/>
              <w:jc w:val="center"/>
              <w:rPr>
                <w:rFonts w:ascii="宋体" w:hAnsi="宋体" w:cs="宋体"/>
                <w:sz w:val="24"/>
                <w:highlight w:val="none"/>
              </w:rPr>
            </w:pPr>
            <w:r>
              <w:rPr>
                <w:rFonts w:hint="eastAsia" w:ascii="宋体" w:hAnsi="宋体" w:cs="宋体"/>
                <w:sz w:val="24"/>
                <w:highlight w:val="none"/>
              </w:rPr>
              <w:t>企业概况</w:t>
            </w:r>
          </w:p>
          <w:p w14:paraId="19D36C0C">
            <w:pPr>
              <w:widowControl/>
              <w:spacing w:line="480" w:lineRule="exact"/>
              <w:jc w:val="center"/>
              <w:rPr>
                <w:rFonts w:ascii="宋体" w:hAnsi="宋体" w:cs="宋体"/>
                <w:sz w:val="24"/>
                <w:highlight w:val="none"/>
              </w:rPr>
            </w:pPr>
          </w:p>
          <w:p w14:paraId="166D4698">
            <w:pPr>
              <w:widowControl/>
              <w:spacing w:line="480" w:lineRule="exact"/>
              <w:jc w:val="center"/>
              <w:rPr>
                <w:rFonts w:ascii="宋体" w:hAnsi="宋体" w:cs="宋体"/>
                <w:sz w:val="24"/>
                <w:highlight w:val="none"/>
              </w:rPr>
            </w:pPr>
          </w:p>
          <w:p w14:paraId="393F2DED">
            <w:pPr>
              <w:widowControl/>
              <w:spacing w:line="480" w:lineRule="exact"/>
              <w:rPr>
                <w:rFonts w:ascii="宋体" w:hAnsi="宋体" w:cs="宋体"/>
                <w:sz w:val="24"/>
                <w:highlight w:val="none"/>
              </w:rPr>
            </w:pPr>
          </w:p>
          <w:p w14:paraId="018CDB8D">
            <w:pPr>
              <w:widowControl/>
              <w:spacing w:line="480" w:lineRule="exact"/>
              <w:jc w:val="center"/>
              <w:rPr>
                <w:rFonts w:ascii="宋体" w:hAnsi="宋体" w:cs="宋体"/>
                <w:sz w:val="24"/>
                <w:highlight w:val="none"/>
              </w:rPr>
            </w:pPr>
          </w:p>
          <w:p w14:paraId="540672CA">
            <w:pPr>
              <w:widowControl/>
              <w:spacing w:line="480" w:lineRule="exact"/>
              <w:jc w:val="center"/>
              <w:rPr>
                <w:rFonts w:ascii="宋体" w:hAnsi="宋体" w:cs="宋体"/>
                <w:sz w:val="24"/>
                <w:highlight w:val="none"/>
              </w:rPr>
            </w:pPr>
          </w:p>
          <w:p w14:paraId="447A5AD4">
            <w:pPr>
              <w:widowControl/>
              <w:spacing w:line="480" w:lineRule="exact"/>
              <w:jc w:val="center"/>
              <w:rPr>
                <w:rFonts w:ascii="宋体" w:hAnsi="宋体" w:cs="宋体"/>
                <w:sz w:val="24"/>
                <w:highlight w:val="none"/>
              </w:rPr>
            </w:pPr>
          </w:p>
        </w:tc>
      </w:tr>
      <w:tr w14:paraId="6F91F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3" w:hRule="atLeast"/>
          <w:jc w:val="center"/>
        </w:trPr>
        <w:tc>
          <w:tcPr>
            <w:tcW w:w="9104" w:type="dxa"/>
            <w:gridSpan w:val="6"/>
            <w:tcBorders>
              <w:top w:val="single" w:color="000000" w:sz="4" w:space="0"/>
              <w:left w:val="single" w:color="000000" w:sz="4" w:space="0"/>
              <w:bottom w:val="single" w:color="000000" w:sz="4" w:space="0"/>
              <w:right w:val="single" w:color="000000" w:sz="4" w:space="0"/>
            </w:tcBorders>
            <w:noWrap w:val="0"/>
            <w:vAlign w:val="center"/>
          </w:tcPr>
          <w:p w14:paraId="10798DEB">
            <w:pPr>
              <w:widowControl/>
              <w:spacing w:line="480" w:lineRule="exact"/>
              <w:jc w:val="center"/>
              <w:rPr>
                <w:rFonts w:ascii="宋体" w:hAnsi="宋体" w:cs="宋体"/>
                <w:sz w:val="24"/>
                <w:highlight w:val="none"/>
              </w:rPr>
            </w:pPr>
            <w:r>
              <w:rPr>
                <w:rFonts w:hint="eastAsia" w:ascii="宋体" w:hAnsi="宋体" w:cs="宋体"/>
                <w:sz w:val="24"/>
                <w:highlight w:val="none"/>
              </w:rPr>
              <w:t>主要业绩</w:t>
            </w:r>
          </w:p>
          <w:p w14:paraId="71F1DB4D">
            <w:pPr>
              <w:widowControl/>
              <w:spacing w:line="480" w:lineRule="exact"/>
              <w:jc w:val="center"/>
              <w:rPr>
                <w:rFonts w:ascii="宋体" w:hAnsi="宋体" w:cs="宋体"/>
                <w:sz w:val="24"/>
                <w:highlight w:val="none"/>
              </w:rPr>
            </w:pPr>
          </w:p>
          <w:p w14:paraId="7E3A6129">
            <w:pPr>
              <w:widowControl/>
              <w:spacing w:line="480" w:lineRule="exact"/>
              <w:jc w:val="center"/>
              <w:rPr>
                <w:rFonts w:ascii="宋体" w:hAnsi="宋体" w:cs="宋体"/>
                <w:sz w:val="24"/>
                <w:highlight w:val="none"/>
              </w:rPr>
            </w:pPr>
          </w:p>
          <w:p w14:paraId="62AD2546">
            <w:pPr>
              <w:widowControl/>
              <w:spacing w:line="480" w:lineRule="exact"/>
              <w:jc w:val="center"/>
              <w:rPr>
                <w:rFonts w:ascii="宋体" w:hAnsi="宋体" w:cs="宋体"/>
                <w:sz w:val="24"/>
                <w:highlight w:val="none"/>
              </w:rPr>
            </w:pPr>
          </w:p>
          <w:p w14:paraId="2B014FBD">
            <w:pPr>
              <w:widowControl/>
              <w:spacing w:line="480" w:lineRule="exact"/>
              <w:jc w:val="center"/>
              <w:rPr>
                <w:rFonts w:ascii="宋体" w:hAnsi="宋体" w:cs="宋体"/>
                <w:sz w:val="24"/>
                <w:highlight w:val="none"/>
              </w:rPr>
            </w:pPr>
          </w:p>
          <w:p w14:paraId="4E2CAF89">
            <w:pPr>
              <w:widowControl/>
              <w:spacing w:line="480" w:lineRule="exact"/>
              <w:jc w:val="center"/>
              <w:rPr>
                <w:rFonts w:ascii="宋体" w:hAnsi="宋体" w:cs="宋体"/>
                <w:sz w:val="24"/>
                <w:highlight w:val="none"/>
              </w:rPr>
            </w:pPr>
          </w:p>
          <w:p w14:paraId="0F1F6F6E">
            <w:pPr>
              <w:widowControl/>
              <w:spacing w:line="480" w:lineRule="exact"/>
              <w:jc w:val="center"/>
              <w:rPr>
                <w:rFonts w:ascii="宋体" w:hAnsi="宋体" w:cs="宋体"/>
                <w:sz w:val="24"/>
                <w:highlight w:val="none"/>
              </w:rPr>
            </w:pPr>
          </w:p>
          <w:p w14:paraId="2E53258E">
            <w:pPr>
              <w:widowControl/>
              <w:spacing w:line="480" w:lineRule="exact"/>
              <w:rPr>
                <w:rFonts w:ascii="宋体" w:hAnsi="宋体" w:cs="宋体"/>
                <w:sz w:val="24"/>
                <w:highlight w:val="none"/>
              </w:rPr>
            </w:pPr>
          </w:p>
        </w:tc>
      </w:tr>
    </w:tbl>
    <w:p w14:paraId="39CD8113">
      <w:pPr>
        <w:pStyle w:val="41"/>
        <w:ind w:firstLine="723"/>
        <w:rPr>
          <w:rFonts w:hAnsi="宋体"/>
          <w:b/>
          <w:sz w:val="36"/>
          <w:szCs w:val="36"/>
          <w:highlight w:val="none"/>
        </w:rPr>
      </w:pPr>
    </w:p>
    <w:p w14:paraId="18F856EC">
      <w:pPr>
        <w:spacing w:line="360" w:lineRule="auto"/>
        <w:ind w:left="1446" w:hanging="1446"/>
        <w:jc w:val="center"/>
        <w:rPr>
          <w:rFonts w:ascii="宋体" w:hAnsi="宋体"/>
          <w:b/>
          <w:sz w:val="36"/>
          <w:szCs w:val="36"/>
          <w:highlight w:val="none"/>
        </w:rPr>
      </w:pPr>
    </w:p>
    <w:p w14:paraId="46885318">
      <w:pPr>
        <w:spacing w:before="120" w:after="120" w:line="460" w:lineRule="exact"/>
        <w:jc w:val="center"/>
        <w:outlineLvl w:val="0"/>
        <w:rPr>
          <w:rFonts w:ascii="宋体" w:hAnsi="Courier New"/>
          <w:b/>
          <w:sz w:val="32"/>
          <w:szCs w:val="32"/>
          <w:highlight w:val="none"/>
        </w:rPr>
      </w:pPr>
      <w:bookmarkStart w:id="71" w:name="_Toc130206657"/>
      <w:bookmarkStart w:id="72" w:name="_Toc28824"/>
      <w:bookmarkStart w:id="73" w:name="_Toc3372"/>
      <w:bookmarkStart w:id="74" w:name="_Toc120519622"/>
      <w:r>
        <w:rPr>
          <w:rFonts w:hint="eastAsia" w:ascii="宋体" w:hAnsi="Courier New"/>
          <w:b/>
          <w:sz w:val="32"/>
          <w:szCs w:val="32"/>
          <w:highlight w:val="none"/>
        </w:rPr>
        <w:t>（五）法定代表人身份证明书</w:t>
      </w:r>
      <w:bookmarkEnd w:id="71"/>
      <w:bookmarkEnd w:id="72"/>
      <w:bookmarkEnd w:id="73"/>
      <w:bookmarkEnd w:id="74"/>
    </w:p>
    <w:p w14:paraId="378FDB5B">
      <w:pPr>
        <w:rPr>
          <w:rFonts w:ascii="宋体" w:hAnsi="宋体"/>
          <w:sz w:val="32"/>
          <w:highlight w:val="none"/>
        </w:rPr>
      </w:pPr>
    </w:p>
    <w:p w14:paraId="4B70C983">
      <w:pPr>
        <w:ind w:firstLine="425"/>
        <w:rPr>
          <w:rFonts w:ascii="宋体" w:hAnsi="宋体"/>
          <w:sz w:val="24"/>
          <w:highlight w:val="none"/>
          <w:u w:val="single"/>
        </w:rPr>
      </w:pPr>
      <w:r>
        <w:rPr>
          <w:rFonts w:hint="eastAsia" w:ascii="宋体" w:hAnsi="宋体"/>
          <w:sz w:val="24"/>
          <w:highlight w:val="none"/>
        </w:rPr>
        <w:t>单位名称：</w:t>
      </w:r>
    </w:p>
    <w:p w14:paraId="5108EA7F">
      <w:pPr>
        <w:ind w:firstLine="425"/>
        <w:rPr>
          <w:rFonts w:ascii="宋体" w:hAnsi="宋体"/>
          <w:sz w:val="24"/>
          <w:highlight w:val="none"/>
          <w:u w:val="single"/>
        </w:rPr>
      </w:pPr>
    </w:p>
    <w:p w14:paraId="09C1FD08">
      <w:pPr>
        <w:ind w:firstLine="425"/>
        <w:rPr>
          <w:rFonts w:ascii="宋体" w:hAnsi="宋体"/>
          <w:sz w:val="24"/>
          <w:highlight w:val="none"/>
          <w:u w:val="single"/>
        </w:rPr>
      </w:pPr>
    </w:p>
    <w:p w14:paraId="0A12B030">
      <w:pPr>
        <w:ind w:firstLine="425"/>
        <w:rPr>
          <w:rFonts w:ascii="宋体" w:hAnsi="宋体"/>
          <w:sz w:val="24"/>
          <w:highlight w:val="none"/>
        </w:rPr>
      </w:pPr>
      <w:r>
        <w:rPr>
          <w:rFonts w:hint="eastAsia" w:ascii="宋体" w:hAnsi="宋体"/>
          <w:sz w:val="24"/>
          <w:highlight w:val="none"/>
        </w:rPr>
        <w:t>单位性质：</w:t>
      </w:r>
    </w:p>
    <w:p w14:paraId="4DADA88B">
      <w:pPr>
        <w:ind w:firstLine="425"/>
        <w:rPr>
          <w:rFonts w:ascii="宋体" w:hAnsi="宋体"/>
          <w:sz w:val="24"/>
          <w:highlight w:val="none"/>
        </w:rPr>
      </w:pPr>
    </w:p>
    <w:p w14:paraId="7A70CD29">
      <w:pPr>
        <w:ind w:firstLine="425"/>
        <w:rPr>
          <w:rFonts w:ascii="宋体" w:hAnsi="宋体"/>
          <w:sz w:val="24"/>
          <w:highlight w:val="none"/>
          <w:u w:val="single"/>
        </w:rPr>
      </w:pPr>
    </w:p>
    <w:p w14:paraId="3F686D1F">
      <w:pPr>
        <w:ind w:firstLine="425"/>
        <w:rPr>
          <w:rFonts w:ascii="宋体" w:hAnsi="宋体"/>
          <w:sz w:val="24"/>
          <w:highlight w:val="none"/>
          <w:u w:val="single"/>
        </w:rPr>
      </w:pPr>
      <w:r>
        <w:rPr>
          <w:rFonts w:hint="eastAsia" w:ascii="宋体" w:hAnsi="宋体"/>
          <w:sz w:val="24"/>
          <w:highlight w:val="none"/>
        </w:rPr>
        <w:t>地    址：</w:t>
      </w:r>
    </w:p>
    <w:p w14:paraId="5E3A0E3E">
      <w:pPr>
        <w:ind w:firstLine="425"/>
        <w:rPr>
          <w:rFonts w:ascii="宋体" w:hAnsi="宋体"/>
          <w:sz w:val="24"/>
          <w:highlight w:val="none"/>
          <w:u w:val="single"/>
        </w:rPr>
      </w:pPr>
    </w:p>
    <w:p w14:paraId="2F9A84F6">
      <w:pPr>
        <w:ind w:firstLine="425"/>
        <w:rPr>
          <w:rFonts w:ascii="宋体" w:hAnsi="宋体"/>
          <w:sz w:val="24"/>
          <w:highlight w:val="none"/>
          <w:u w:val="single"/>
        </w:rPr>
      </w:pPr>
    </w:p>
    <w:p w14:paraId="00F53F6F">
      <w:pPr>
        <w:ind w:firstLine="425"/>
        <w:rPr>
          <w:rFonts w:ascii="宋体" w:hAnsi="宋体"/>
          <w:sz w:val="24"/>
          <w:highlight w:val="none"/>
        </w:rPr>
      </w:pPr>
      <w:r>
        <w:rPr>
          <w:rFonts w:hint="eastAsia" w:ascii="宋体" w:hAnsi="宋体"/>
          <w:sz w:val="24"/>
          <w:highlight w:val="none"/>
        </w:rPr>
        <w:t xml:space="preserve">成立时间：年月日 </w:t>
      </w:r>
    </w:p>
    <w:p w14:paraId="02312E4F">
      <w:pPr>
        <w:ind w:firstLine="425"/>
        <w:rPr>
          <w:rFonts w:ascii="宋体" w:hAnsi="宋体"/>
          <w:sz w:val="24"/>
          <w:highlight w:val="none"/>
        </w:rPr>
      </w:pPr>
    </w:p>
    <w:p w14:paraId="58F3531F">
      <w:pPr>
        <w:ind w:firstLine="425"/>
        <w:rPr>
          <w:rFonts w:ascii="宋体" w:hAnsi="宋体"/>
          <w:sz w:val="24"/>
          <w:highlight w:val="none"/>
        </w:rPr>
      </w:pPr>
    </w:p>
    <w:p w14:paraId="62A22B3B">
      <w:pPr>
        <w:ind w:firstLine="425"/>
        <w:rPr>
          <w:rFonts w:ascii="宋体" w:hAnsi="宋体"/>
          <w:sz w:val="24"/>
          <w:highlight w:val="none"/>
          <w:u w:val="single"/>
        </w:rPr>
      </w:pPr>
      <w:r>
        <w:rPr>
          <w:rFonts w:hint="eastAsia" w:ascii="宋体" w:hAnsi="宋体"/>
          <w:sz w:val="24"/>
          <w:highlight w:val="none"/>
        </w:rPr>
        <w:t>经营期限：</w:t>
      </w:r>
    </w:p>
    <w:p w14:paraId="45115E61">
      <w:pPr>
        <w:ind w:firstLine="425"/>
        <w:rPr>
          <w:rFonts w:ascii="宋体" w:hAnsi="宋体"/>
          <w:sz w:val="24"/>
          <w:highlight w:val="none"/>
          <w:u w:val="single"/>
        </w:rPr>
      </w:pPr>
    </w:p>
    <w:p w14:paraId="4F64213E">
      <w:pPr>
        <w:ind w:firstLine="425"/>
        <w:rPr>
          <w:rFonts w:ascii="宋体" w:hAnsi="宋体"/>
          <w:sz w:val="24"/>
          <w:highlight w:val="none"/>
          <w:u w:val="single"/>
        </w:rPr>
      </w:pPr>
    </w:p>
    <w:p w14:paraId="4A95EF57">
      <w:pPr>
        <w:ind w:firstLine="480"/>
        <w:rPr>
          <w:rFonts w:ascii="宋体" w:hAnsi="宋体"/>
          <w:sz w:val="24"/>
          <w:highlight w:val="none"/>
          <w:u w:val="single"/>
        </w:rPr>
      </w:pPr>
      <w:r>
        <w:rPr>
          <w:rFonts w:hint="eastAsia" w:ascii="宋体" w:hAnsi="宋体"/>
          <w:sz w:val="24"/>
          <w:highlight w:val="none"/>
        </w:rPr>
        <w:t>姓    名： 身份证号：</w:t>
      </w:r>
    </w:p>
    <w:p w14:paraId="501341EE">
      <w:pPr>
        <w:ind w:firstLine="480"/>
        <w:rPr>
          <w:rFonts w:ascii="宋体" w:hAnsi="宋体"/>
          <w:sz w:val="24"/>
          <w:highlight w:val="none"/>
          <w:u w:val="single"/>
        </w:rPr>
      </w:pPr>
    </w:p>
    <w:p w14:paraId="718F0B2E">
      <w:pPr>
        <w:ind w:firstLine="480"/>
        <w:rPr>
          <w:rFonts w:ascii="宋体" w:hAnsi="宋体"/>
          <w:sz w:val="24"/>
          <w:highlight w:val="none"/>
          <w:u w:val="single"/>
        </w:rPr>
      </w:pPr>
    </w:p>
    <w:p w14:paraId="0351ECBC">
      <w:pPr>
        <w:ind w:firstLine="480"/>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 xml:space="preserve">                   (投标单位名称)</w:t>
      </w:r>
      <w:r>
        <w:rPr>
          <w:rFonts w:hint="eastAsia" w:ascii="宋体" w:hAnsi="宋体"/>
          <w:sz w:val="24"/>
          <w:highlight w:val="none"/>
        </w:rPr>
        <w:t>的法定代表人。</w:t>
      </w:r>
    </w:p>
    <w:p w14:paraId="1CF2B48E">
      <w:pPr>
        <w:rPr>
          <w:rFonts w:ascii="宋体" w:hAnsi="宋体"/>
          <w:sz w:val="24"/>
          <w:highlight w:val="none"/>
        </w:rPr>
      </w:pPr>
    </w:p>
    <w:p w14:paraId="175EE793">
      <w:pPr>
        <w:ind w:firstLine="480"/>
        <w:rPr>
          <w:rFonts w:ascii="宋体" w:hAnsi="宋体"/>
          <w:sz w:val="24"/>
          <w:highlight w:val="none"/>
        </w:rPr>
      </w:pPr>
    </w:p>
    <w:p w14:paraId="22C4664E">
      <w:pPr>
        <w:ind w:firstLine="480"/>
        <w:rPr>
          <w:rFonts w:ascii="宋体" w:hAnsi="宋体"/>
          <w:sz w:val="24"/>
          <w:highlight w:val="none"/>
        </w:rPr>
      </w:pPr>
      <w:r>
        <w:rPr>
          <w:rFonts w:hint="eastAsia" w:ascii="宋体" w:hAnsi="宋体"/>
          <w:sz w:val="24"/>
          <w:highlight w:val="none"/>
        </w:rPr>
        <w:t>特此证明。</w:t>
      </w:r>
    </w:p>
    <w:p w14:paraId="48351B3F">
      <w:pPr>
        <w:rPr>
          <w:rFonts w:ascii="宋体" w:hAnsi="宋体"/>
          <w:sz w:val="24"/>
          <w:highlight w:val="none"/>
        </w:rPr>
      </w:pPr>
    </w:p>
    <w:p w14:paraId="1B94CAF2">
      <w:pPr>
        <w:rPr>
          <w:rFonts w:ascii="宋体" w:hAnsi="宋体"/>
          <w:sz w:val="24"/>
          <w:highlight w:val="none"/>
        </w:rPr>
      </w:pPr>
    </w:p>
    <w:p w14:paraId="6C6E39C7">
      <w:pPr>
        <w:rPr>
          <w:rFonts w:ascii="宋体" w:hAnsi="宋体"/>
          <w:sz w:val="24"/>
          <w:highlight w:val="none"/>
        </w:rPr>
      </w:pPr>
    </w:p>
    <w:p w14:paraId="5C82AFB8">
      <w:pPr>
        <w:rPr>
          <w:rFonts w:ascii="宋体" w:hAnsi="宋体"/>
          <w:sz w:val="24"/>
          <w:highlight w:val="none"/>
        </w:rPr>
      </w:pPr>
    </w:p>
    <w:p w14:paraId="75F28F06">
      <w:pPr>
        <w:rPr>
          <w:rFonts w:ascii="宋体" w:hAnsi="宋体"/>
          <w:sz w:val="24"/>
          <w:highlight w:val="none"/>
        </w:rPr>
      </w:pPr>
    </w:p>
    <w:p w14:paraId="2AEDB77B">
      <w:pPr>
        <w:ind w:firstLine="4440"/>
        <w:rPr>
          <w:rFonts w:ascii="宋体" w:hAnsi="宋体"/>
          <w:sz w:val="24"/>
          <w:highlight w:val="none"/>
          <w:u w:val="single"/>
        </w:rPr>
      </w:pPr>
      <w:r>
        <w:rPr>
          <w:rFonts w:hint="eastAsia" w:ascii="宋体" w:hAnsi="宋体"/>
          <w:sz w:val="24"/>
          <w:highlight w:val="none"/>
        </w:rPr>
        <w:t>投标单位(公章) ：</w:t>
      </w:r>
    </w:p>
    <w:p w14:paraId="171D71E4">
      <w:pPr>
        <w:rPr>
          <w:rFonts w:ascii="宋体" w:hAnsi="宋体"/>
          <w:sz w:val="24"/>
          <w:highlight w:val="none"/>
          <w:u w:val="single"/>
        </w:rPr>
      </w:pPr>
    </w:p>
    <w:p w14:paraId="3E3A2F99">
      <w:pPr>
        <w:rPr>
          <w:rFonts w:ascii="宋体" w:hAnsi="宋体"/>
          <w:sz w:val="24"/>
          <w:highlight w:val="none"/>
          <w:u w:val="single"/>
        </w:rPr>
      </w:pPr>
    </w:p>
    <w:p w14:paraId="6CBD5621">
      <w:pPr>
        <w:rPr>
          <w:rFonts w:ascii="宋体" w:hAnsi="宋体"/>
          <w:sz w:val="24"/>
          <w:highlight w:val="none"/>
          <w:u w:val="single"/>
        </w:rPr>
      </w:pPr>
    </w:p>
    <w:p w14:paraId="6771679D">
      <w:pPr>
        <w:ind w:firstLine="4440"/>
        <w:rPr>
          <w:rFonts w:ascii="宋体" w:hAnsi="宋体"/>
          <w:sz w:val="24"/>
          <w:highlight w:val="none"/>
        </w:rPr>
      </w:pPr>
      <w:r>
        <w:rPr>
          <w:rFonts w:hint="eastAsia" w:ascii="宋体" w:hAnsi="宋体"/>
          <w:sz w:val="24"/>
          <w:highlight w:val="none"/>
        </w:rPr>
        <w:t>日期：年月日</w:t>
      </w:r>
    </w:p>
    <w:p w14:paraId="66CDF756">
      <w:pPr>
        <w:pStyle w:val="21"/>
        <w:spacing w:line="300" w:lineRule="auto"/>
        <w:rPr>
          <w:rFonts w:hAnsi="宋体"/>
          <w:highlight w:val="none"/>
        </w:rPr>
      </w:pPr>
    </w:p>
    <w:p w14:paraId="6A1FB54D">
      <w:pPr>
        <w:pStyle w:val="21"/>
        <w:spacing w:line="300" w:lineRule="auto"/>
        <w:rPr>
          <w:rFonts w:hAnsi="宋体"/>
          <w:highlight w:val="none"/>
        </w:rPr>
      </w:pPr>
    </w:p>
    <w:p w14:paraId="75236C5D">
      <w:pPr>
        <w:pStyle w:val="21"/>
        <w:spacing w:line="300" w:lineRule="auto"/>
        <w:rPr>
          <w:rFonts w:hAnsi="宋体"/>
          <w:highlight w:val="none"/>
        </w:rPr>
      </w:pPr>
    </w:p>
    <w:p w14:paraId="2D0DA576">
      <w:pPr>
        <w:jc w:val="center"/>
        <w:rPr>
          <w:rFonts w:ascii="黑体" w:hAnsi="黑体" w:eastAsia="黑体" w:cs="黑体"/>
          <w:b/>
          <w:sz w:val="36"/>
          <w:szCs w:val="36"/>
          <w:highlight w:val="none"/>
        </w:rPr>
      </w:pPr>
    </w:p>
    <w:p w14:paraId="06672A2D">
      <w:pPr>
        <w:pStyle w:val="64"/>
        <w:ind w:right="-351"/>
        <w:rPr>
          <w:highlight w:val="none"/>
        </w:rPr>
      </w:pPr>
    </w:p>
    <w:p w14:paraId="12989FF3">
      <w:pPr>
        <w:pStyle w:val="64"/>
        <w:ind w:right="-351"/>
        <w:rPr>
          <w:highlight w:val="none"/>
        </w:rPr>
      </w:pPr>
    </w:p>
    <w:p w14:paraId="256B2283">
      <w:pPr>
        <w:pStyle w:val="64"/>
        <w:ind w:right="-351"/>
        <w:rPr>
          <w:highlight w:val="none"/>
        </w:rPr>
      </w:pPr>
    </w:p>
    <w:p w14:paraId="1218273A">
      <w:pPr>
        <w:spacing w:before="120" w:after="120" w:line="460" w:lineRule="exact"/>
        <w:jc w:val="center"/>
        <w:outlineLvl w:val="0"/>
        <w:rPr>
          <w:rFonts w:ascii="宋体" w:hAnsi="Courier New"/>
          <w:b/>
          <w:sz w:val="32"/>
          <w:szCs w:val="32"/>
          <w:highlight w:val="none"/>
        </w:rPr>
      </w:pPr>
      <w:bookmarkStart w:id="75" w:name="_Toc120519623"/>
      <w:bookmarkStart w:id="76" w:name="_Toc31854"/>
      <w:bookmarkStart w:id="77" w:name="_Toc16374"/>
      <w:bookmarkStart w:id="78" w:name="_Toc130206658"/>
      <w:r>
        <w:rPr>
          <w:rFonts w:hint="eastAsia" w:ascii="宋体" w:hAnsi="Courier New"/>
          <w:b/>
          <w:sz w:val="32"/>
          <w:szCs w:val="32"/>
          <w:highlight w:val="none"/>
        </w:rPr>
        <w:t>（六）法定代表人授权委托书</w:t>
      </w:r>
      <w:bookmarkEnd w:id="75"/>
      <w:bookmarkEnd w:id="76"/>
      <w:bookmarkEnd w:id="77"/>
      <w:bookmarkEnd w:id="78"/>
    </w:p>
    <w:p w14:paraId="5A504386">
      <w:pPr>
        <w:rPr>
          <w:highlight w:val="none"/>
        </w:rPr>
      </w:pPr>
    </w:p>
    <w:p w14:paraId="2E930267">
      <w:pPr>
        <w:spacing w:line="500" w:lineRule="exact"/>
        <w:ind w:firstLine="480"/>
        <w:rPr>
          <w:rFonts w:ascii="宋体" w:hAnsi="宋体"/>
          <w:sz w:val="24"/>
          <w:highlight w:val="none"/>
        </w:rPr>
      </w:pPr>
      <w:r>
        <w:rPr>
          <w:rFonts w:hint="eastAsia" w:ascii="宋体" w:hAnsi="宋体"/>
          <w:sz w:val="24"/>
          <w:highlight w:val="none"/>
        </w:rPr>
        <w:t>本授权委托书声明：我</w:t>
      </w:r>
      <w:r>
        <w:rPr>
          <w:rFonts w:hint="eastAsia" w:ascii="宋体" w:hAnsi="宋体"/>
          <w:sz w:val="24"/>
          <w:highlight w:val="none"/>
          <w:u w:val="single"/>
        </w:rPr>
        <w:t>　　　　　</w:t>
      </w:r>
      <w:r>
        <w:rPr>
          <w:rFonts w:hint="eastAsia" w:ascii="宋体" w:hAnsi="宋体"/>
          <w:sz w:val="24"/>
          <w:highlight w:val="none"/>
        </w:rPr>
        <w:t>（姓名）系</w:t>
      </w:r>
      <w:r>
        <w:rPr>
          <w:rFonts w:hint="eastAsia" w:ascii="宋体" w:hAnsi="宋体"/>
          <w:sz w:val="24"/>
          <w:highlight w:val="none"/>
          <w:u w:val="single"/>
        </w:rPr>
        <w:t>　　　　　　</w:t>
      </w:r>
      <w:r>
        <w:rPr>
          <w:rFonts w:hint="eastAsia" w:ascii="宋体" w:hAnsi="宋体"/>
          <w:sz w:val="24"/>
          <w:highlight w:val="none"/>
        </w:rPr>
        <w:t>（投标人名称）的法定代表人，现授权委托</w:t>
      </w:r>
      <w:r>
        <w:rPr>
          <w:rFonts w:hint="eastAsia" w:ascii="宋体" w:hAnsi="宋体"/>
          <w:sz w:val="24"/>
          <w:highlight w:val="none"/>
          <w:u w:val="single"/>
        </w:rPr>
        <w:t>　　　　　　　　　</w:t>
      </w:r>
      <w:r>
        <w:rPr>
          <w:rFonts w:hint="eastAsia" w:ascii="宋体" w:hAnsi="宋体"/>
          <w:sz w:val="24"/>
          <w:highlight w:val="none"/>
        </w:rPr>
        <w:t>（单位名称）</w:t>
      </w:r>
      <w:r>
        <w:rPr>
          <w:rFonts w:hint="eastAsia" w:ascii="宋体" w:hAnsi="宋体"/>
          <w:sz w:val="24"/>
          <w:highlight w:val="none"/>
          <w:u w:val="single"/>
        </w:rPr>
        <w:t>　　　　</w:t>
      </w:r>
      <w:r>
        <w:rPr>
          <w:rFonts w:hint="eastAsia" w:ascii="宋体" w:hAnsi="宋体"/>
          <w:sz w:val="24"/>
          <w:highlight w:val="none"/>
        </w:rPr>
        <w:t>（姓名）为我的代理人，以本公司的名义参加</w:t>
      </w:r>
      <w:r>
        <w:rPr>
          <w:rFonts w:hint="eastAsia" w:ascii="宋体" w:hAnsi="宋体"/>
          <w:sz w:val="24"/>
          <w:highlight w:val="none"/>
          <w:u w:val="single"/>
        </w:rPr>
        <w:t>　　　　　　　　　　　　　　　</w:t>
      </w:r>
      <w:r>
        <w:rPr>
          <w:rFonts w:hint="eastAsia" w:ascii="宋体" w:hAnsi="宋体"/>
          <w:sz w:val="24"/>
          <w:highlight w:val="none"/>
        </w:rPr>
        <w:t>的投标活动。代理人在开标、询标、合同谈判等过程中所签署的一切文件和处理与之有关的一切事务，我均予以承认。</w:t>
      </w:r>
    </w:p>
    <w:p w14:paraId="52F0FCDD">
      <w:pPr>
        <w:spacing w:line="500" w:lineRule="exact"/>
        <w:rPr>
          <w:rFonts w:ascii="宋体" w:hAnsi="宋体"/>
          <w:sz w:val="24"/>
          <w:highlight w:val="none"/>
        </w:rPr>
      </w:pPr>
    </w:p>
    <w:p w14:paraId="6277FCE2">
      <w:pPr>
        <w:spacing w:line="500" w:lineRule="exact"/>
        <w:ind w:firstLine="480"/>
        <w:rPr>
          <w:rFonts w:ascii="宋体" w:hAnsi="宋体"/>
          <w:sz w:val="24"/>
          <w:highlight w:val="none"/>
        </w:rPr>
      </w:pPr>
      <w:r>
        <w:rPr>
          <w:rFonts w:hint="eastAsia" w:ascii="宋体" w:hAnsi="宋体"/>
          <w:sz w:val="24"/>
          <w:highlight w:val="none"/>
        </w:rPr>
        <w:t>代理人无转委权，特此委托。</w:t>
      </w:r>
    </w:p>
    <w:p w14:paraId="428768E0">
      <w:pPr>
        <w:spacing w:line="500" w:lineRule="exact"/>
        <w:rPr>
          <w:rFonts w:ascii="宋体" w:hAnsi="宋体"/>
          <w:sz w:val="24"/>
          <w:highlight w:val="none"/>
        </w:rPr>
      </w:pPr>
    </w:p>
    <w:p w14:paraId="6B2D9B0A">
      <w:pPr>
        <w:spacing w:line="500" w:lineRule="exact"/>
        <w:ind w:firstLine="480"/>
        <w:rPr>
          <w:rFonts w:ascii="宋体" w:hAnsi="宋体"/>
          <w:sz w:val="24"/>
          <w:highlight w:val="none"/>
        </w:rPr>
      </w:pPr>
      <w:r>
        <w:rPr>
          <w:rFonts w:hint="eastAsia" w:ascii="宋体" w:hAnsi="宋体"/>
          <w:sz w:val="24"/>
          <w:highlight w:val="none"/>
        </w:rPr>
        <w:t>代理人联系电话（手机号）：</w:t>
      </w:r>
    </w:p>
    <w:p w14:paraId="7DCDB3FB">
      <w:pPr>
        <w:ind w:firstLine="480"/>
        <w:rPr>
          <w:rFonts w:ascii="宋体" w:hAnsi="宋体"/>
          <w:sz w:val="24"/>
          <w:highlight w:val="none"/>
        </w:rPr>
      </w:pPr>
    </w:p>
    <w:p w14:paraId="3FDE1BA0">
      <w:pPr>
        <w:spacing w:line="500" w:lineRule="exact"/>
        <w:ind w:firstLine="480"/>
        <w:rPr>
          <w:rFonts w:ascii="宋体" w:hAnsi="宋体"/>
          <w:sz w:val="24"/>
          <w:highlight w:val="none"/>
        </w:rPr>
      </w:pPr>
      <w:r>
        <w:rPr>
          <w:rFonts w:hint="eastAsia" w:ascii="宋体" w:hAnsi="宋体"/>
          <w:sz w:val="24"/>
          <w:highlight w:val="none"/>
        </w:rPr>
        <w:t>投标人（公章）：</w:t>
      </w:r>
    </w:p>
    <w:p w14:paraId="09C2962F">
      <w:pPr>
        <w:spacing w:line="500" w:lineRule="exact"/>
        <w:ind w:firstLine="480"/>
        <w:rPr>
          <w:rFonts w:ascii="宋体" w:hAnsi="宋体"/>
          <w:sz w:val="24"/>
          <w:highlight w:val="none"/>
        </w:rPr>
      </w:pPr>
    </w:p>
    <w:p w14:paraId="59B6EC40">
      <w:pPr>
        <w:spacing w:line="500" w:lineRule="exact"/>
        <w:ind w:firstLine="480"/>
        <w:rPr>
          <w:rFonts w:ascii="宋体" w:hAnsi="宋体"/>
          <w:sz w:val="24"/>
          <w:highlight w:val="none"/>
        </w:rPr>
      </w:pPr>
      <w:r>
        <w:rPr>
          <w:rFonts w:hint="eastAsia" w:ascii="宋体" w:hAnsi="宋体"/>
          <w:sz w:val="24"/>
          <w:highlight w:val="none"/>
        </w:rPr>
        <w:t>法定代表人（签字或盖章）：</w:t>
      </w:r>
    </w:p>
    <w:p w14:paraId="1C506999">
      <w:pPr>
        <w:spacing w:line="500" w:lineRule="exact"/>
        <w:ind w:firstLine="480"/>
        <w:rPr>
          <w:rFonts w:ascii="宋体" w:hAnsi="宋体"/>
          <w:sz w:val="24"/>
          <w:highlight w:val="none"/>
        </w:rPr>
      </w:pPr>
    </w:p>
    <w:p w14:paraId="6244C570">
      <w:pPr>
        <w:spacing w:line="500" w:lineRule="exact"/>
        <w:ind w:firstLine="480"/>
        <w:jc w:val="right"/>
        <w:rPr>
          <w:rFonts w:ascii="宋体" w:hAnsi="宋体"/>
          <w:sz w:val="24"/>
          <w:highlight w:val="none"/>
        </w:rPr>
      </w:pPr>
      <w:r>
        <w:rPr>
          <w:rFonts w:hint="eastAsia" w:ascii="宋体" w:hAnsi="宋体"/>
          <w:sz w:val="24"/>
          <w:highlight w:val="none"/>
        </w:rPr>
        <w:t>　　年　月　日</w:t>
      </w:r>
    </w:p>
    <w:p w14:paraId="6F1546E4">
      <w:pPr>
        <w:rPr>
          <w:rFonts w:ascii="宋体" w:hAnsi="宋体"/>
          <w:sz w:val="24"/>
          <w:highlight w:val="none"/>
        </w:rPr>
      </w:pPr>
    </w:p>
    <w:p w14:paraId="23E43B93">
      <w:pPr>
        <w:rPr>
          <w:rFonts w:ascii="宋体" w:hAnsi="宋体"/>
          <w:sz w:val="24"/>
          <w:highlight w:val="none"/>
        </w:rPr>
      </w:pPr>
    </w:p>
    <w:p w14:paraId="58EC9424">
      <w:pPr>
        <w:rPr>
          <w:rFonts w:ascii="宋体" w:hAnsi="宋体"/>
          <w:sz w:val="24"/>
          <w:highlight w:val="none"/>
        </w:rPr>
      </w:pPr>
      <w:r>
        <w:rPr>
          <w:rFonts w:hint="eastAsia" w:ascii="宋体" w:hAnsi="宋体"/>
          <w:sz w:val="24"/>
          <w:highlight w:val="none"/>
        </w:rPr>
        <w:t>附：</w:t>
      </w:r>
    </w:p>
    <w:tbl>
      <w:tblPr>
        <w:tblStyle w:val="42"/>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14"/>
      </w:tblGrid>
      <w:tr w14:paraId="21564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9214" w:type="dxa"/>
            <w:noWrap w:val="0"/>
            <w:vAlign w:val="center"/>
          </w:tcPr>
          <w:p w14:paraId="0E8E73FA">
            <w:pPr>
              <w:jc w:val="center"/>
              <w:rPr>
                <w:rFonts w:ascii="宋体" w:hAnsi="宋体"/>
                <w:sz w:val="24"/>
                <w:highlight w:val="none"/>
              </w:rPr>
            </w:pPr>
            <w:r>
              <w:rPr>
                <w:rFonts w:hint="eastAsia" w:ascii="宋体" w:hAnsi="宋体"/>
                <w:sz w:val="24"/>
                <w:highlight w:val="none"/>
              </w:rPr>
              <w:t>（代理人身份证复印件粘贴处）</w:t>
            </w:r>
          </w:p>
        </w:tc>
      </w:tr>
    </w:tbl>
    <w:p w14:paraId="09A8617D">
      <w:pPr>
        <w:spacing w:line="360" w:lineRule="auto"/>
        <w:rPr>
          <w:rFonts w:ascii="宋体" w:hAnsi="宋体"/>
          <w:b/>
          <w:sz w:val="36"/>
          <w:szCs w:val="36"/>
          <w:highlight w:val="none"/>
        </w:rPr>
      </w:pPr>
    </w:p>
    <w:p w14:paraId="47048D57">
      <w:pPr>
        <w:spacing w:before="120" w:after="120" w:line="460" w:lineRule="exact"/>
        <w:jc w:val="center"/>
        <w:outlineLvl w:val="0"/>
        <w:rPr>
          <w:rFonts w:ascii="宋体" w:hAnsi="Courier New"/>
          <w:b/>
          <w:bCs/>
          <w:sz w:val="32"/>
          <w:szCs w:val="32"/>
          <w:highlight w:val="none"/>
        </w:rPr>
      </w:pPr>
    </w:p>
    <w:p w14:paraId="36C877F7">
      <w:pPr>
        <w:spacing w:before="120" w:after="120" w:line="460" w:lineRule="exact"/>
        <w:jc w:val="center"/>
        <w:outlineLvl w:val="0"/>
        <w:rPr>
          <w:highlight w:val="none"/>
        </w:rPr>
      </w:pPr>
      <w:bookmarkStart w:id="79" w:name="_Toc120519624"/>
      <w:bookmarkStart w:id="80" w:name="_Toc130206659"/>
      <w:bookmarkStart w:id="81" w:name="_Toc25185"/>
      <w:bookmarkStart w:id="82" w:name="_Toc22919"/>
      <w:r>
        <w:rPr>
          <w:rFonts w:hint="eastAsia" w:ascii="宋体" w:hAnsi="Courier New"/>
          <w:b/>
          <w:sz w:val="32"/>
          <w:szCs w:val="32"/>
          <w:highlight w:val="none"/>
        </w:rPr>
        <w:t>（七）</w:t>
      </w:r>
      <w:bookmarkEnd w:id="79"/>
      <w:bookmarkEnd w:id="80"/>
      <w:r>
        <w:rPr>
          <w:rFonts w:hint="eastAsia" w:ascii="黑体" w:hAnsi="黑体" w:eastAsia="黑体" w:cs="黑体"/>
          <w:b/>
          <w:sz w:val="36"/>
          <w:szCs w:val="36"/>
        </w:rPr>
        <w:t>盐城市政府采购事前信用承诺书</w:t>
      </w:r>
      <w:bookmarkEnd w:id="81"/>
      <w:bookmarkEnd w:id="82"/>
    </w:p>
    <w:p w14:paraId="24EE2654">
      <w:pPr>
        <w:widowControl/>
        <w:spacing w:line="500" w:lineRule="exact"/>
        <w:ind w:firstLine="480" w:firstLineChars="200"/>
        <w:jc w:val="left"/>
        <w:rPr>
          <w:rFonts w:ascii="宋体" w:hAnsi="宋体"/>
          <w:sz w:val="24"/>
          <w:szCs w:val="24"/>
        </w:rPr>
      </w:pPr>
      <w:r>
        <w:rPr>
          <w:rFonts w:hint="eastAsia" w:ascii="宋体" w:hAnsi="宋体"/>
          <w:sz w:val="24"/>
          <w:szCs w:val="24"/>
        </w:rPr>
        <w:t>营造我市公开、公平、公正、诚实守信的政府采购交易环境，树立诚信守法的投标人形象，本人代表本单位作出以下承诺：</w:t>
      </w:r>
    </w:p>
    <w:p w14:paraId="75D6B833">
      <w:pPr>
        <w:widowControl/>
        <w:spacing w:line="500" w:lineRule="exact"/>
        <w:jc w:val="left"/>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C50DFDF">
      <w:pPr>
        <w:widowControl/>
        <w:spacing w:line="500" w:lineRule="exact"/>
        <w:ind w:firstLine="480" w:firstLineChars="200"/>
        <w:jc w:val="left"/>
        <w:rPr>
          <w:rFonts w:ascii="宋体" w:hAnsi="宋体"/>
          <w:sz w:val="24"/>
          <w:szCs w:val="24"/>
        </w:rPr>
      </w:pPr>
      <w:r>
        <w:rPr>
          <w:rFonts w:hint="eastAsia" w:ascii="宋体" w:hAnsi="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F16BC32">
      <w:pPr>
        <w:widowControl/>
        <w:spacing w:line="500" w:lineRule="exact"/>
        <w:jc w:val="left"/>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p>
    <w:p w14:paraId="2C2696FD">
      <w:pPr>
        <w:widowControl/>
        <w:spacing w:line="500" w:lineRule="exact"/>
        <w:jc w:val="left"/>
        <w:rPr>
          <w:rFonts w:ascii="宋体" w:hAnsi="宋体"/>
          <w:sz w:val="24"/>
          <w:szCs w:val="24"/>
        </w:rPr>
      </w:pPr>
      <w:r>
        <w:rPr>
          <w:rFonts w:hint="eastAsia" w:ascii="宋体" w:hAnsi="宋体"/>
          <w:sz w:val="24"/>
          <w:szCs w:val="24"/>
        </w:rPr>
        <w:t>   （四）严格遵守即时信息公示规定，及时维护和更新维护和更新盐城市政府采购网中与本单位相关的信息；</w:t>
      </w:r>
    </w:p>
    <w:p w14:paraId="2AE3CFFA">
      <w:pPr>
        <w:widowControl/>
        <w:spacing w:line="500" w:lineRule="exact"/>
        <w:jc w:val="left"/>
        <w:rPr>
          <w:rFonts w:ascii="宋体" w:hAnsi="宋体"/>
          <w:sz w:val="24"/>
          <w:szCs w:val="24"/>
        </w:rPr>
      </w:pPr>
      <w:r>
        <w:rPr>
          <w:rFonts w:hint="eastAsia" w:ascii="宋体" w:hAnsi="宋体"/>
          <w:sz w:val="24"/>
          <w:szCs w:val="24"/>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2B21EA1E">
      <w:pPr>
        <w:widowControl/>
        <w:spacing w:line="500" w:lineRule="exact"/>
        <w:jc w:val="left"/>
        <w:rPr>
          <w:rFonts w:ascii="宋体" w:hAnsi="宋体"/>
          <w:sz w:val="24"/>
          <w:szCs w:val="24"/>
        </w:rPr>
      </w:pPr>
      <w:r>
        <w:rPr>
          <w:rFonts w:hint="eastAsia" w:ascii="宋体" w:hAnsi="宋体"/>
          <w:sz w:val="24"/>
          <w:szCs w:val="24"/>
        </w:rPr>
        <w:t>   （六）自觉接受政府、行业组织、社会公众、新闻舆论的监督；</w:t>
      </w:r>
    </w:p>
    <w:p w14:paraId="5DAF4ABB">
      <w:pPr>
        <w:widowControl/>
        <w:spacing w:line="500" w:lineRule="exact"/>
        <w:ind w:firstLine="480" w:firstLineChars="200"/>
        <w:jc w:val="left"/>
        <w:rPr>
          <w:rFonts w:ascii="宋体" w:hAnsi="宋体"/>
          <w:sz w:val="24"/>
          <w:szCs w:val="24"/>
        </w:rPr>
      </w:pPr>
      <w:r>
        <w:rPr>
          <w:rFonts w:hint="eastAsia" w:ascii="宋体" w:hAnsi="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AD5A957">
      <w:pPr>
        <w:widowControl/>
        <w:spacing w:line="500" w:lineRule="exact"/>
        <w:jc w:val="left"/>
        <w:rPr>
          <w:rFonts w:ascii="宋体" w:hAnsi="宋体"/>
          <w:sz w:val="24"/>
          <w:szCs w:val="24"/>
        </w:rPr>
      </w:pPr>
      <w:r>
        <w:rPr>
          <w:rFonts w:hint="eastAsia" w:ascii="宋体" w:hAnsi="宋体"/>
          <w:sz w:val="24"/>
          <w:szCs w:val="24"/>
        </w:rPr>
        <w:t>   （八）本人已认真阅读了上述承诺，并向本单位员工作了宣传教育。</w:t>
      </w:r>
    </w:p>
    <w:p w14:paraId="106929CE">
      <w:pPr>
        <w:widowControl/>
        <w:spacing w:line="500" w:lineRule="exact"/>
        <w:jc w:val="left"/>
        <w:rPr>
          <w:rFonts w:ascii="宋体" w:hAnsi="宋体"/>
          <w:sz w:val="24"/>
          <w:szCs w:val="24"/>
        </w:rPr>
      </w:pPr>
    </w:p>
    <w:p w14:paraId="7348A735">
      <w:pPr>
        <w:widowControl/>
        <w:spacing w:line="500" w:lineRule="exact"/>
        <w:jc w:val="center"/>
        <w:rPr>
          <w:rFonts w:ascii="宋体" w:hAnsi="宋体"/>
          <w:sz w:val="24"/>
          <w:szCs w:val="24"/>
        </w:rPr>
      </w:pPr>
      <w:r>
        <w:rPr>
          <w:rFonts w:hint="eastAsia" w:ascii="宋体" w:hAnsi="宋体"/>
          <w:sz w:val="24"/>
          <w:szCs w:val="24"/>
        </w:rPr>
        <w:t xml:space="preserve">                 法定代表人签名：</w:t>
      </w:r>
    </w:p>
    <w:p w14:paraId="52236F25">
      <w:pPr>
        <w:widowControl/>
        <w:spacing w:line="500" w:lineRule="exact"/>
        <w:jc w:val="center"/>
        <w:rPr>
          <w:rFonts w:ascii="宋体" w:hAnsi="宋体"/>
          <w:sz w:val="24"/>
          <w:szCs w:val="24"/>
        </w:rPr>
      </w:pPr>
      <w:r>
        <w:rPr>
          <w:rFonts w:hint="eastAsia" w:ascii="宋体" w:hAnsi="宋体"/>
          <w:sz w:val="24"/>
          <w:szCs w:val="24"/>
        </w:rPr>
        <w:t xml:space="preserve">                   单位名称（盖章）：</w:t>
      </w:r>
    </w:p>
    <w:p w14:paraId="4E23CBF8">
      <w:pPr>
        <w:widowControl/>
        <w:spacing w:line="500" w:lineRule="exact"/>
        <w:jc w:val="center"/>
      </w:pPr>
      <w:r>
        <w:rPr>
          <w:rFonts w:hint="eastAsia" w:ascii="宋体" w:hAnsi="宋体"/>
          <w:sz w:val="24"/>
          <w:szCs w:val="24"/>
        </w:rPr>
        <w:t xml:space="preserve">                      年    月    日</w:t>
      </w:r>
    </w:p>
    <w:p w14:paraId="2B623D35">
      <w:pPr>
        <w:spacing w:line="520" w:lineRule="exact"/>
        <w:jc w:val="center"/>
      </w:pPr>
    </w:p>
    <w:p w14:paraId="64369C4B">
      <w:pPr>
        <w:spacing w:before="120" w:after="120" w:line="460" w:lineRule="exact"/>
        <w:jc w:val="center"/>
        <w:outlineLvl w:val="0"/>
        <w:rPr>
          <w:rFonts w:hint="eastAsia" w:ascii="宋体" w:hAnsi="Courier New" w:eastAsia="宋体"/>
          <w:b/>
          <w:sz w:val="32"/>
          <w:szCs w:val="32"/>
          <w:highlight w:val="none"/>
          <w:lang w:eastAsia="zh-CN"/>
        </w:rPr>
      </w:pPr>
      <w:bookmarkStart w:id="83" w:name="_Toc120519626"/>
      <w:bookmarkStart w:id="84" w:name="_Toc24060"/>
      <w:bookmarkStart w:id="85" w:name="_Toc29013"/>
      <w:bookmarkStart w:id="86" w:name="_Toc130206661"/>
      <w:r>
        <w:rPr>
          <w:rFonts w:hint="eastAsia" w:ascii="宋体" w:hAnsi="Courier New"/>
          <w:b/>
          <w:sz w:val="32"/>
          <w:szCs w:val="32"/>
          <w:highlight w:val="none"/>
        </w:rPr>
        <w:t>（</w:t>
      </w:r>
      <w:r>
        <w:rPr>
          <w:rFonts w:hint="eastAsia" w:ascii="宋体" w:hAnsi="Courier New"/>
          <w:b/>
          <w:sz w:val="32"/>
          <w:szCs w:val="32"/>
          <w:highlight w:val="none"/>
          <w:lang w:val="en-US" w:eastAsia="zh-CN"/>
        </w:rPr>
        <w:t>八</w:t>
      </w:r>
      <w:r>
        <w:rPr>
          <w:rFonts w:hint="eastAsia" w:ascii="宋体" w:hAnsi="Courier New"/>
          <w:b/>
          <w:sz w:val="32"/>
          <w:szCs w:val="32"/>
          <w:highlight w:val="none"/>
        </w:rPr>
        <w:t>）</w:t>
      </w:r>
      <w:bookmarkEnd w:id="83"/>
      <w:bookmarkStart w:id="87" w:name="_Toc120519627"/>
      <w:r>
        <w:rPr>
          <w:rFonts w:ascii="宋体" w:hAnsi="Courier New"/>
          <w:b/>
          <w:sz w:val="32"/>
          <w:szCs w:val="32"/>
          <w:highlight w:val="none"/>
        </w:rPr>
        <w:t>中小企业声明函（服务）</w:t>
      </w:r>
      <w:bookmarkEnd w:id="84"/>
      <w:bookmarkEnd w:id="85"/>
      <w:bookmarkEnd w:id="86"/>
      <w:r>
        <w:rPr>
          <w:rFonts w:hint="eastAsia" w:ascii="宋体" w:hAnsi="Courier New"/>
          <w:b/>
          <w:sz w:val="32"/>
          <w:szCs w:val="32"/>
          <w:highlight w:val="none"/>
          <w:lang w:eastAsia="zh-CN"/>
        </w:rPr>
        <w:t>（</w:t>
      </w:r>
      <w:r>
        <w:rPr>
          <w:rFonts w:hint="eastAsia" w:ascii="宋体" w:hAnsi="Courier New"/>
          <w:b/>
          <w:sz w:val="32"/>
          <w:szCs w:val="32"/>
          <w:highlight w:val="none"/>
          <w:lang w:val="en-US" w:eastAsia="zh-CN"/>
        </w:rPr>
        <w:t>如有</w:t>
      </w:r>
      <w:r>
        <w:rPr>
          <w:rFonts w:hint="eastAsia" w:ascii="宋体" w:hAnsi="Courier New"/>
          <w:b/>
          <w:sz w:val="32"/>
          <w:szCs w:val="32"/>
          <w:highlight w:val="none"/>
          <w:lang w:eastAsia="zh-CN"/>
        </w:rPr>
        <w:t>）</w:t>
      </w:r>
    </w:p>
    <w:p w14:paraId="13703A38">
      <w:pPr>
        <w:widowControl/>
        <w:spacing w:line="660" w:lineRule="exact"/>
        <w:ind w:firstLine="480"/>
        <w:jc w:val="left"/>
        <w:rPr>
          <w:rFonts w:ascii="宋体" w:hAnsi="宋体"/>
          <w:sz w:val="24"/>
          <w:szCs w:val="24"/>
          <w:highlight w:val="none"/>
        </w:rPr>
      </w:pPr>
      <w:r>
        <w:rPr>
          <w:rFonts w:ascii="宋体" w:hAnsi="宋体"/>
          <w:sz w:val="24"/>
          <w:szCs w:val="24"/>
          <w:highlight w:val="none"/>
        </w:rPr>
        <w:t>本公司（联合体）郑重声明，根据《政府采购促进中小企业发展管理办法》（财库﹝2020﹞46 号）的规定，本公司（联合体）参加</w:t>
      </w:r>
      <w:r>
        <w:rPr>
          <w:rFonts w:hint="eastAsia" w:ascii="宋体" w:hAnsi="宋体" w:cs="宋体"/>
          <w:b/>
          <w:bCs/>
          <w:sz w:val="24"/>
          <w:szCs w:val="24"/>
          <w:highlight w:val="none"/>
          <w:u w:val="single"/>
          <w:lang w:eastAsia="zh-CN"/>
        </w:rPr>
        <w:t>江苏大丰港经济开发区管理委员会</w:t>
      </w:r>
      <w:r>
        <w:rPr>
          <w:rFonts w:ascii="宋体" w:hAnsi="宋体"/>
          <w:sz w:val="24"/>
          <w:szCs w:val="24"/>
          <w:highlight w:val="none"/>
        </w:rPr>
        <w:t>的</w:t>
      </w:r>
      <w:r>
        <w:rPr>
          <w:rFonts w:hint="eastAsia" w:ascii="宋体" w:hAnsi="宋体" w:cs="宋体"/>
          <w:b/>
          <w:bCs/>
          <w:sz w:val="24"/>
          <w:szCs w:val="24"/>
          <w:highlight w:val="none"/>
          <w:u w:val="single"/>
          <w:lang w:eastAsia="zh-CN"/>
        </w:rPr>
        <w:t>国家骨干冷链物流基地建设申报方案编制服务</w:t>
      </w:r>
      <w:r>
        <w:rPr>
          <w:rFonts w:ascii="宋体" w:hAnsi="宋体"/>
          <w:sz w:val="24"/>
          <w:szCs w:val="24"/>
          <w:highlight w:val="none"/>
        </w:rPr>
        <w:t>采购活动，服务全部由符合政策要求的中小企业承接。相关企业（含联合体中的中小企业、签订分包意向协议的中小企业）的具体情况如下：</w:t>
      </w:r>
    </w:p>
    <w:p w14:paraId="5DF21CB2">
      <w:pPr>
        <w:widowControl/>
        <w:spacing w:line="660" w:lineRule="exact"/>
        <w:ind w:firstLine="482"/>
        <w:jc w:val="left"/>
        <w:rPr>
          <w:rFonts w:ascii="宋体" w:hAnsi="宋体"/>
          <w:bCs/>
          <w:sz w:val="24"/>
          <w:szCs w:val="24"/>
          <w:highlight w:val="none"/>
          <w:u w:val="single"/>
        </w:rPr>
      </w:pPr>
      <w:r>
        <w:rPr>
          <w:rFonts w:hint="eastAsia" w:ascii="宋体" w:hAnsi="宋体" w:cs="宋体"/>
          <w:b/>
          <w:bCs/>
          <w:sz w:val="24"/>
          <w:szCs w:val="24"/>
          <w:highlight w:val="none"/>
          <w:u w:val="single"/>
          <w:lang w:eastAsia="zh-CN"/>
        </w:rPr>
        <w:t>国家骨干冷链物流基地建设申报方案编制服务</w:t>
      </w:r>
      <w:r>
        <w:rPr>
          <w:rFonts w:ascii="宋体" w:hAnsi="宋体"/>
          <w:sz w:val="24"/>
          <w:szCs w:val="24"/>
          <w:highlight w:val="none"/>
        </w:rPr>
        <w:t>，属于</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其他未列明</w:t>
      </w:r>
      <w:r>
        <w:rPr>
          <w:rFonts w:hint="eastAsia" w:ascii="宋体" w:hAnsi="宋体"/>
          <w:sz w:val="24"/>
          <w:szCs w:val="24"/>
          <w:highlight w:val="none"/>
          <w:u w:val="single"/>
          <w:lang w:val="en-US" w:eastAsia="zh-CN"/>
        </w:rPr>
        <w:t>行业</w:t>
      </w:r>
      <w:r>
        <w:rPr>
          <w:rFonts w:ascii="宋体" w:hAnsi="宋体"/>
          <w:sz w:val="24"/>
          <w:szCs w:val="24"/>
          <w:highlight w:val="none"/>
        </w:rPr>
        <w:t>；承接企业为</w:t>
      </w:r>
      <w:r>
        <w:rPr>
          <w:rFonts w:ascii="宋体" w:hAnsi="宋体"/>
          <w:sz w:val="24"/>
          <w:szCs w:val="24"/>
          <w:highlight w:val="none"/>
          <w:u w:val="single"/>
        </w:rPr>
        <w:t xml:space="preserve">       （企业名称）  </w:t>
      </w:r>
      <w:r>
        <w:rPr>
          <w:rFonts w:ascii="宋体" w:hAnsi="宋体"/>
          <w:sz w:val="24"/>
          <w:szCs w:val="24"/>
          <w:highlight w:val="none"/>
        </w:rPr>
        <w:t>，从业人员</w:t>
      </w:r>
      <w:r>
        <w:rPr>
          <w:rFonts w:hint="eastAsia" w:ascii="宋体" w:hAnsi="宋体"/>
          <w:sz w:val="24"/>
          <w:szCs w:val="24"/>
          <w:highlight w:val="none"/>
          <w:u w:val="single"/>
          <w:lang w:val="en-US" w:eastAsia="zh-CN"/>
        </w:rPr>
        <w:t xml:space="preserve">   </w:t>
      </w:r>
      <w:r>
        <w:rPr>
          <w:rFonts w:ascii="宋体" w:hAnsi="宋体"/>
          <w:sz w:val="24"/>
          <w:szCs w:val="24"/>
          <w:highlight w:val="none"/>
        </w:rPr>
        <w:t>人，营业收入为</w:t>
      </w:r>
      <w:r>
        <w:rPr>
          <w:rFonts w:hint="eastAsia" w:ascii="宋体" w:hAnsi="宋体"/>
          <w:sz w:val="24"/>
          <w:szCs w:val="24"/>
          <w:highlight w:val="none"/>
          <w:u w:val="single"/>
          <w:lang w:val="en-US" w:eastAsia="zh-CN"/>
        </w:rPr>
        <w:t xml:space="preserve">   </w:t>
      </w:r>
      <w:r>
        <w:rPr>
          <w:rFonts w:ascii="宋体" w:hAnsi="宋体"/>
          <w:sz w:val="24"/>
          <w:szCs w:val="24"/>
          <w:highlight w:val="none"/>
        </w:rPr>
        <w:t>万元，资产总额为</w:t>
      </w:r>
      <w:r>
        <w:rPr>
          <w:rFonts w:hint="eastAsia" w:ascii="宋体" w:hAnsi="宋体"/>
          <w:sz w:val="24"/>
          <w:szCs w:val="24"/>
          <w:highlight w:val="none"/>
          <w:lang w:val="en-US" w:eastAsia="zh-CN"/>
        </w:rPr>
        <w:t xml:space="preserve"> </w:t>
      </w:r>
      <w:r>
        <w:rPr>
          <w:rFonts w:hint="eastAsia" w:ascii="宋体" w:hAnsi="宋体"/>
          <w:sz w:val="24"/>
          <w:szCs w:val="24"/>
          <w:highlight w:val="none"/>
          <w:u w:val="single"/>
          <w:lang w:val="en-US" w:eastAsia="zh-CN"/>
        </w:rPr>
        <w:t xml:space="preserve">   </w:t>
      </w:r>
      <w:r>
        <w:rPr>
          <w:rFonts w:ascii="宋体" w:hAnsi="宋体"/>
          <w:sz w:val="24"/>
          <w:szCs w:val="24"/>
          <w:highlight w:val="none"/>
        </w:rPr>
        <w:t>万元，属于</w:t>
      </w:r>
      <w:r>
        <w:rPr>
          <w:rFonts w:ascii="宋体" w:hAnsi="宋体"/>
          <w:sz w:val="24"/>
          <w:szCs w:val="24"/>
          <w:highlight w:val="none"/>
          <w:u w:val="single"/>
        </w:rPr>
        <w:t xml:space="preserve">        （中型企业、小型企业、微型企业）</w:t>
      </w:r>
      <w:r>
        <w:rPr>
          <w:rFonts w:ascii="宋体" w:hAnsi="宋体"/>
          <w:sz w:val="24"/>
          <w:szCs w:val="24"/>
          <w:highlight w:val="none"/>
        </w:rPr>
        <w:t>；</w:t>
      </w:r>
    </w:p>
    <w:p w14:paraId="4AEFE88B">
      <w:pPr>
        <w:widowControl/>
        <w:spacing w:line="660" w:lineRule="exact"/>
        <w:ind w:firstLine="480"/>
        <w:jc w:val="left"/>
        <w:rPr>
          <w:rFonts w:ascii="宋体" w:hAnsi="宋体"/>
          <w:sz w:val="24"/>
          <w:szCs w:val="24"/>
          <w:highlight w:val="none"/>
        </w:rPr>
      </w:pPr>
      <w:r>
        <w:rPr>
          <w:rFonts w:ascii="宋体" w:hAnsi="宋体"/>
          <w:sz w:val="24"/>
          <w:szCs w:val="24"/>
          <w:highlight w:val="none"/>
        </w:rPr>
        <w:t>以上企业，不属于大企业的分支机构，不存在控股股东为大企业的情形，也不存在与大企业的负责人为同一人的情形。</w:t>
      </w:r>
    </w:p>
    <w:p w14:paraId="109D44BE">
      <w:pPr>
        <w:widowControl/>
        <w:spacing w:line="660" w:lineRule="exact"/>
        <w:ind w:firstLine="480"/>
        <w:jc w:val="left"/>
        <w:rPr>
          <w:rFonts w:ascii="宋体" w:hAnsi="宋体"/>
          <w:sz w:val="24"/>
          <w:szCs w:val="24"/>
          <w:highlight w:val="none"/>
        </w:rPr>
      </w:pPr>
      <w:r>
        <w:rPr>
          <w:rFonts w:ascii="宋体" w:hAnsi="宋体"/>
          <w:sz w:val="24"/>
          <w:szCs w:val="24"/>
          <w:highlight w:val="none"/>
        </w:rPr>
        <w:t>本企业对上述声明内容的真实性负责。如有虚假，将依法承担相应责任。</w:t>
      </w:r>
    </w:p>
    <w:p w14:paraId="21EF20B8">
      <w:pPr>
        <w:widowControl/>
        <w:spacing w:before="627" w:line="660" w:lineRule="exact"/>
        <w:ind w:firstLine="4080"/>
        <w:jc w:val="left"/>
        <w:rPr>
          <w:rFonts w:ascii="宋体" w:hAnsi="宋体"/>
          <w:sz w:val="24"/>
          <w:szCs w:val="24"/>
          <w:highlight w:val="none"/>
        </w:rPr>
      </w:pPr>
      <w:r>
        <w:rPr>
          <w:rFonts w:ascii="宋体" w:hAnsi="宋体"/>
          <w:sz w:val="24"/>
          <w:szCs w:val="24"/>
          <w:highlight w:val="none"/>
        </w:rPr>
        <w:t>企业名称（盖章）：</w:t>
      </w:r>
    </w:p>
    <w:p w14:paraId="44EC6DBA">
      <w:pPr>
        <w:widowControl/>
        <w:spacing w:before="156" w:line="660" w:lineRule="exact"/>
        <w:ind w:firstLine="4080"/>
        <w:jc w:val="left"/>
        <w:rPr>
          <w:rFonts w:ascii="宋体" w:hAnsi="宋体"/>
          <w:sz w:val="24"/>
          <w:szCs w:val="24"/>
          <w:highlight w:val="none"/>
        </w:rPr>
      </w:pPr>
      <w:r>
        <w:rPr>
          <w:rFonts w:ascii="宋体" w:hAnsi="宋体"/>
          <w:sz w:val="24"/>
          <w:szCs w:val="24"/>
          <w:highlight w:val="none"/>
        </w:rPr>
        <w:t>日 期：</w:t>
      </w:r>
    </w:p>
    <w:p w14:paraId="37042724">
      <w:pPr>
        <w:widowControl/>
        <w:spacing w:line="480" w:lineRule="exact"/>
        <w:ind w:firstLine="435"/>
        <w:jc w:val="left"/>
        <w:rPr>
          <w:rFonts w:ascii="宋体" w:hAnsi="宋体"/>
          <w:sz w:val="24"/>
          <w:highlight w:val="none"/>
        </w:rPr>
      </w:pPr>
    </w:p>
    <w:p w14:paraId="7C0CA694">
      <w:pPr>
        <w:spacing w:line="480" w:lineRule="exact"/>
        <w:ind w:firstLine="435"/>
        <w:jc w:val="left"/>
        <w:rPr>
          <w:rFonts w:ascii="宋体" w:hAnsi="宋体"/>
          <w:sz w:val="24"/>
          <w:highlight w:val="none"/>
        </w:rPr>
      </w:pPr>
    </w:p>
    <w:p w14:paraId="512B83E6">
      <w:pPr>
        <w:spacing w:line="480" w:lineRule="exact"/>
        <w:ind w:firstLine="435"/>
        <w:jc w:val="left"/>
        <w:rPr>
          <w:rFonts w:ascii="宋体" w:hAnsi="宋体"/>
          <w:sz w:val="24"/>
          <w:szCs w:val="24"/>
          <w:highlight w:val="none"/>
        </w:rPr>
      </w:pPr>
      <w:r>
        <w:rPr>
          <w:rFonts w:hint="eastAsia" w:ascii="宋体" w:hAnsi="宋体"/>
          <w:sz w:val="24"/>
          <w:highlight w:val="none"/>
        </w:rPr>
        <w:t>注：</w:t>
      </w:r>
      <w:r>
        <w:rPr>
          <w:rFonts w:hint="eastAsia" w:ascii="宋体" w:hAnsi="宋体"/>
          <w:sz w:val="24"/>
          <w:highlight w:val="none"/>
          <w:lang w:val="en-US" w:eastAsia="zh-CN"/>
        </w:rPr>
        <w:t>1</w:t>
      </w:r>
      <w:r>
        <w:rPr>
          <w:rFonts w:hint="eastAsia" w:ascii="宋体" w:hAnsi="宋体"/>
          <w:sz w:val="24"/>
          <w:szCs w:val="24"/>
          <w:highlight w:val="none"/>
        </w:rPr>
        <w:t>业人员、营业收入、资产总额填报上一年度数据，无上一年度数据的新成立企业可不填报。</w:t>
      </w:r>
    </w:p>
    <w:p w14:paraId="4BAD6D4C">
      <w:pPr>
        <w:spacing w:line="480" w:lineRule="exact"/>
        <w:ind w:firstLine="480"/>
        <w:rPr>
          <w:rFonts w:ascii="宋体" w:hAnsi="宋体" w:cs="宋体"/>
          <w:bCs/>
          <w:sz w:val="24"/>
          <w:highlight w:val="none"/>
        </w:rPr>
      </w:pPr>
    </w:p>
    <w:p w14:paraId="7E811137">
      <w:pPr>
        <w:widowControl/>
        <w:spacing w:before="120" w:after="120" w:line="460" w:lineRule="exact"/>
        <w:outlineLvl w:val="0"/>
        <w:rPr>
          <w:rFonts w:ascii="宋体" w:hAnsi="Courier New"/>
          <w:b/>
          <w:sz w:val="32"/>
          <w:szCs w:val="32"/>
          <w:highlight w:val="none"/>
        </w:rPr>
      </w:pPr>
    </w:p>
    <w:p w14:paraId="712D4460">
      <w:pPr>
        <w:pStyle w:val="41"/>
        <w:rPr>
          <w:highlight w:val="none"/>
        </w:rPr>
      </w:pPr>
    </w:p>
    <w:bookmarkEnd w:id="87"/>
    <w:p w14:paraId="3AC967A7">
      <w:pPr>
        <w:pStyle w:val="41"/>
        <w:rPr>
          <w:highlight w:val="none"/>
        </w:rPr>
      </w:pPr>
    </w:p>
    <w:p w14:paraId="51509010">
      <w:pPr>
        <w:spacing w:line="360" w:lineRule="auto"/>
        <w:ind w:left="1285" w:hanging="1285"/>
        <w:jc w:val="center"/>
        <w:rPr>
          <w:rFonts w:hint="eastAsia" w:ascii="宋体" w:hAnsi="宋体" w:cs="宋体"/>
          <w:b/>
          <w:color w:val="000000"/>
          <w:sz w:val="32"/>
          <w:szCs w:val="32"/>
          <w:highlight w:val="none"/>
        </w:rPr>
      </w:pPr>
      <w:bookmarkStart w:id="88" w:name="_Toc120519628"/>
      <w:bookmarkStart w:id="89" w:name="_Toc130206663"/>
    </w:p>
    <w:p w14:paraId="0ACE6324">
      <w:pPr>
        <w:spacing w:line="360" w:lineRule="auto"/>
        <w:ind w:left="1285" w:hanging="1285"/>
        <w:jc w:val="center"/>
        <w:rPr>
          <w:rFonts w:ascii="宋体" w:hAnsi="宋体" w:cs="宋体"/>
          <w:b/>
          <w:color w:val="000000"/>
          <w:spacing w:val="6"/>
          <w:sz w:val="32"/>
          <w:szCs w:val="32"/>
          <w:highlight w:val="none"/>
        </w:rPr>
      </w:pPr>
      <w:r>
        <w:rPr>
          <w:rFonts w:hint="eastAsia" w:ascii="宋体" w:hAnsi="宋体" w:cs="宋体"/>
          <w:b/>
          <w:color w:val="000000"/>
          <w:sz w:val="32"/>
          <w:szCs w:val="32"/>
          <w:highlight w:val="none"/>
        </w:rPr>
        <w:t>（</w:t>
      </w:r>
      <w:r>
        <w:rPr>
          <w:rFonts w:hint="eastAsia" w:ascii="宋体" w:hAnsi="宋体" w:cs="宋体"/>
          <w:b/>
          <w:color w:val="000000"/>
          <w:sz w:val="32"/>
          <w:szCs w:val="32"/>
          <w:highlight w:val="none"/>
          <w:lang w:val="en-US" w:eastAsia="zh-CN"/>
        </w:rPr>
        <w:t>九</w:t>
      </w:r>
      <w:r>
        <w:rPr>
          <w:rFonts w:hint="eastAsia" w:ascii="宋体" w:hAnsi="宋体" w:cs="宋体"/>
          <w:b/>
          <w:color w:val="000000"/>
          <w:sz w:val="32"/>
          <w:szCs w:val="32"/>
          <w:highlight w:val="none"/>
        </w:rPr>
        <w:t>）</w:t>
      </w:r>
      <w:r>
        <w:rPr>
          <w:rFonts w:hint="eastAsia" w:ascii="宋体" w:hAnsi="宋体" w:cs="宋体"/>
          <w:b/>
          <w:color w:val="000000"/>
          <w:spacing w:val="6"/>
          <w:sz w:val="32"/>
          <w:szCs w:val="32"/>
          <w:highlight w:val="none"/>
        </w:rPr>
        <w:t>残疾人福利性单位声明函（如有）</w:t>
      </w:r>
    </w:p>
    <w:p w14:paraId="4A47575A">
      <w:pPr>
        <w:spacing w:line="588" w:lineRule="exact"/>
        <w:rPr>
          <w:rFonts w:ascii="仿宋_GB2312" w:eastAsia="仿宋_GB2312"/>
          <w:b/>
          <w:color w:val="000000"/>
          <w:spacing w:val="6"/>
          <w:sz w:val="30"/>
          <w:szCs w:val="30"/>
          <w:highlight w:val="none"/>
        </w:rPr>
      </w:pPr>
    </w:p>
    <w:p w14:paraId="353D714B">
      <w:pPr>
        <w:spacing w:line="588" w:lineRule="exact"/>
        <w:ind w:firstLine="504"/>
        <w:rPr>
          <w:rFonts w:ascii="宋体" w:hAnsi="宋体" w:cs="宋体"/>
          <w:color w:val="000000"/>
          <w:spacing w:val="6"/>
          <w:sz w:val="24"/>
          <w:highlight w:val="none"/>
        </w:rPr>
      </w:pPr>
      <w:r>
        <w:rPr>
          <w:rFonts w:hint="eastAsia" w:ascii="宋体" w:hAnsi="宋体" w:cs="宋体"/>
          <w:color w:val="000000"/>
          <w:spacing w:val="6"/>
          <w:sz w:val="24"/>
          <w:highlight w:val="none"/>
        </w:rPr>
        <w:t>本单位郑重声明，根据《财政部 民政部 中国残疾人联合会关于促进残疾人就业政府采购政策的通知》（财库</w:t>
      </w:r>
      <w:r>
        <w:rPr>
          <w:rFonts w:hint="eastAsia" w:ascii="宋体" w:hAnsi="宋体" w:cs="宋体"/>
          <w:color w:val="000000"/>
          <w:sz w:val="24"/>
          <w:highlight w:val="none"/>
        </w:rPr>
        <w:t>〔2017〕141</w:t>
      </w:r>
      <w:r>
        <w:rPr>
          <w:rFonts w:hint="eastAsia" w:ascii="宋体" w:hAnsi="宋体" w:cs="宋体"/>
          <w:color w:val="000000"/>
          <w:spacing w:val="6"/>
          <w:sz w:val="24"/>
          <w:highlight w:val="none"/>
        </w:rPr>
        <w:t>号）的规定，本单位为符合条件的残疾人福利性单位，且本单位参加</w:t>
      </w:r>
      <w:r>
        <w:rPr>
          <w:rFonts w:hint="eastAsia" w:ascii="宋体" w:hAnsi="宋体" w:cs="宋体"/>
          <w:b/>
          <w:bCs/>
          <w:color w:val="000000"/>
          <w:spacing w:val="6"/>
          <w:sz w:val="24"/>
          <w:highlight w:val="none"/>
          <w:u w:val="single"/>
          <w:lang w:eastAsia="zh-CN"/>
        </w:rPr>
        <w:t>江苏大丰港经济开发区管理委员会</w:t>
      </w:r>
      <w:r>
        <w:rPr>
          <w:rFonts w:hint="eastAsia" w:ascii="宋体" w:hAnsi="宋体" w:cs="宋体"/>
          <w:color w:val="000000"/>
          <w:spacing w:val="6"/>
          <w:sz w:val="24"/>
          <w:highlight w:val="none"/>
        </w:rPr>
        <w:t>的</w:t>
      </w:r>
      <w:r>
        <w:rPr>
          <w:rFonts w:hint="eastAsia" w:ascii="宋体" w:hAnsi="宋体" w:cs="宋体"/>
          <w:b/>
          <w:bCs/>
          <w:color w:val="000000"/>
          <w:sz w:val="24"/>
          <w:highlight w:val="none"/>
          <w:u w:val="single"/>
          <w:lang w:eastAsia="zh-CN"/>
        </w:rPr>
        <w:t>国家骨干冷链物流基地建设申报方案编制服务</w:t>
      </w:r>
      <w:r>
        <w:rPr>
          <w:rFonts w:hint="eastAsia" w:ascii="宋体" w:hAnsi="宋体" w:cs="宋体"/>
          <w:color w:val="000000"/>
          <w:spacing w:val="6"/>
          <w:sz w:val="24"/>
          <w:highlight w:val="none"/>
        </w:rPr>
        <w:t>采购活动提供本单位制造的货物（由本单位承担工程/提供服务），或者提供其他残疾人福利性单位制造的货物（不包括使用非残疾人福利性单位注册商标的货物）。</w:t>
      </w:r>
    </w:p>
    <w:p w14:paraId="59283A7C">
      <w:pPr>
        <w:spacing w:line="588" w:lineRule="exact"/>
        <w:ind w:firstLine="504"/>
        <w:rPr>
          <w:rFonts w:ascii="宋体" w:hAnsi="宋体" w:cs="宋体"/>
          <w:color w:val="000000"/>
          <w:spacing w:val="6"/>
          <w:sz w:val="24"/>
          <w:highlight w:val="none"/>
        </w:rPr>
      </w:pPr>
      <w:r>
        <w:rPr>
          <w:rFonts w:hint="eastAsia" w:ascii="宋体" w:hAnsi="宋体" w:cs="宋体"/>
          <w:color w:val="000000"/>
          <w:spacing w:val="6"/>
          <w:sz w:val="24"/>
          <w:highlight w:val="none"/>
        </w:rPr>
        <w:t>本单位在本次政府采购活动中提供的残疾人福利单位产品报价合计为人民币（大写）</w:t>
      </w:r>
      <w:r>
        <w:rPr>
          <w:rFonts w:hint="eastAsia" w:ascii="宋体" w:hAnsi="宋体" w:cs="宋体"/>
          <w:color w:val="000000"/>
          <w:spacing w:val="6"/>
          <w:sz w:val="24"/>
          <w:highlight w:val="none"/>
          <w:u w:val="single"/>
        </w:rPr>
        <w:t>      圆整</w:t>
      </w:r>
      <w:r>
        <w:rPr>
          <w:rFonts w:hint="eastAsia" w:ascii="宋体" w:hAnsi="宋体" w:cs="宋体"/>
          <w:color w:val="000000"/>
          <w:spacing w:val="6"/>
          <w:sz w:val="24"/>
          <w:highlight w:val="none"/>
        </w:rPr>
        <w:t>（￥</w:t>
      </w:r>
      <w:r>
        <w:rPr>
          <w:rFonts w:hint="eastAsia" w:ascii="宋体" w:hAnsi="宋体" w:cs="宋体"/>
          <w:color w:val="000000"/>
          <w:spacing w:val="6"/>
          <w:sz w:val="24"/>
          <w:highlight w:val="none"/>
          <w:u w:val="single"/>
        </w:rPr>
        <w:t>：     </w:t>
      </w:r>
      <w:r>
        <w:rPr>
          <w:rFonts w:hint="eastAsia" w:ascii="宋体" w:hAnsi="宋体" w:cs="宋体"/>
          <w:color w:val="000000"/>
          <w:spacing w:val="6"/>
          <w:sz w:val="24"/>
          <w:highlight w:val="none"/>
        </w:rPr>
        <w:t>）。</w:t>
      </w:r>
    </w:p>
    <w:p w14:paraId="28E710E4">
      <w:pPr>
        <w:spacing w:line="588" w:lineRule="exact"/>
        <w:ind w:firstLine="504"/>
        <w:rPr>
          <w:rFonts w:ascii="宋体" w:hAnsi="宋体" w:cs="宋体"/>
          <w:color w:val="000000"/>
          <w:spacing w:val="6"/>
          <w:sz w:val="24"/>
          <w:highlight w:val="none"/>
        </w:rPr>
      </w:pPr>
      <w:r>
        <w:rPr>
          <w:rFonts w:hint="eastAsia" w:ascii="宋体" w:hAnsi="宋体" w:cs="宋体"/>
          <w:color w:val="000000"/>
          <w:spacing w:val="6"/>
          <w:sz w:val="24"/>
          <w:highlight w:val="none"/>
        </w:rPr>
        <w:t>本单位对上述声明的真实性负责。如有虚假，将依法承担相应责任。</w:t>
      </w:r>
    </w:p>
    <w:p w14:paraId="6424415F">
      <w:pPr>
        <w:spacing w:line="588" w:lineRule="exact"/>
        <w:ind w:firstLine="504"/>
        <w:rPr>
          <w:rFonts w:ascii="宋体" w:hAnsi="宋体" w:cs="宋体"/>
          <w:color w:val="000000"/>
          <w:spacing w:val="6"/>
          <w:sz w:val="24"/>
          <w:highlight w:val="none"/>
        </w:rPr>
      </w:pPr>
    </w:p>
    <w:p w14:paraId="796A6524">
      <w:pPr>
        <w:spacing w:line="588" w:lineRule="exact"/>
        <w:ind w:firstLine="504"/>
        <w:rPr>
          <w:rFonts w:ascii="宋体" w:hAnsi="宋体" w:cs="宋体"/>
          <w:color w:val="000000"/>
          <w:spacing w:val="6"/>
          <w:sz w:val="24"/>
          <w:highlight w:val="none"/>
        </w:rPr>
      </w:pPr>
      <w:r>
        <w:rPr>
          <w:rFonts w:hint="eastAsia" w:ascii="宋体" w:hAnsi="宋体" w:cs="宋体"/>
          <w:color w:val="000000"/>
          <w:spacing w:val="6"/>
          <w:sz w:val="24"/>
          <w:highlight w:val="none"/>
        </w:rPr>
        <w:t>（备注：1、供应商如不提供此声明函，价格将不做相应扣除。2、中标供应商为残疾人福利单位的，此声明函将随中标结果同时公告，接受社会监督）</w:t>
      </w:r>
    </w:p>
    <w:p w14:paraId="1BEB7C19">
      <w:pPr>
        <w:spacing w:line="588" w:lineRule="exact"/>
        <w:ind w:firstLine="504"/>
        <w:rPr>
          <w:rFonts w:ascii="仿宋_GB2312" w:eastAsia="仿宋_GB2312"/>
          <w:color w:val="000000"/>
          <w:spacing w:val="6"/>
          <w:sz w:val="24"/>
          <w:highlight w:val="none"/>
        </w:rPr>
      </w:pPr>
    </w:p>
    <w:p w14:paraId="4D658571">
      <w:pPr>
        <w:spacing w:line="588" w:lineRule="exact"/>
        <w:ind w:firstLine="504"/>
        <w:rPr>
          <w:rFonts w:ascii="仿宋_GB2312" w:eastAsia="仿宋_GB2312"/>
          <w:color w:val="000000"/>
          <w:spacing w:val="6"/>
          <w:sz w:val="24"/>
          <w:highlight w:val="none"/>
        </w:rPr>
      </w:pPr>
    </w:p>
    <w:p w14:paraId="6FFEBE58">
      <w:pPr>
        <w:tabs>
          <w:tab w:val="left" w:pos="4860"/>
        </w:tabs>
        <w:spacing w:line="588" w:lineRule="exact"/>
        <w:ind w:right="1560" w:firstLine="504"/>
        <w:jc w:val="center"/>
        <w:rPr>
          <w:rFonts w:ascii="宋体" w:hAnsi="宋体" w:cs="宋体"/>
          <w:color w:val="000000"/>
          <w:spacing w:val="6"/>
          <w:sz w:val="24"/>
          <w:highlight w:val="none"/>
        </w:rPr>
      </w:pPr>
      <w:r>
        <w:rPr>
          <w:rFonts w:hint="eastAsia" w:ascii="仿宋_GB2312" w:eastAsia="仿宋_GB2312"/>
          <w:color w:val="000000"/>
          <w:spacing w:val="6"/>
          <w:sz w:val="24"/>
          <w:highlight w:val="none"/>
        </w:rPr>
        <w:t xml:space="preserve">              </w:t>
      </w:r>
      <w:r>
        <w:rPr>
          <w:rFonts w:hint="eastAsia" w:ascii="宋体" w:hAnsi="宋体" w:cs="宋体"/>
          <w:color w:val="000000"/>
          <w:spacing w:val="6"/>
          <w:sz w:val="24"/>
          <w:highlight w:val="none"/>
        </w:rPr>
        <w:t xml:space="preserve">   授权代表亲笔签名： </w:t>
      </w:r>
    </w:p>
    <w:p w14:paraId="330D8A11">
      <w:pPr>
        <w:tabs>
          <w:tab w:val="left" w:pos="4860"/>
        </w:tabs>
        <w:spacing w:line="588" w:lineRule="exact"/>
        <w:ind w:right="48" w:firstLine="504"/>
        <w:jc w:val="right"/>
        <w:rPr>
          <w:rFonts w:ascii="宋体" w:hAnsi="宋体" w:cs="宋体"/>
          <w:color w:val="000000"/>
          <w:spacing w:val="6"/>
          <w:sz w:val="24"/>
          <w:highlight w:val="none"/>
        </w:rPr>
      </w:pPr>
      <w:r>
        <w:rPr>
          <w:rFonts w:hint="eastAsia" w:ascii="宋体" w:hAnsi="宋体" w:cs="宋体"/>
          <w:color w:val="000000"/>
          <w:spacing w:val="6"/>
          <w:sz w:val="24"/>
          <w:highlight w:val="none"/>
        </w:rPr>
        <w:t>日 期：________年____月____日</w:t>
      </w:r>
    </w:p>
    <w:p w14:paraId="0B1F2E32">
      <w:pPr>
        <w:spacing w:before="120" w:after="120" w:line="460" w:lineRule="exact"/>
        <w:jc w:val="center"/>
        <w:outlineLvl w:val="0"/>
        <w:rPr>
          <w:rFonts w:hint="eastAsia" w:ascii="宋体" w:hAnsi="Courier New"/>
          <w:b/>
          <w:sz w:val="32"/>
          <w:szCs w:val="32"/>
          <w:highlight w:val="none"/>
        </w:rPr>
      </w:pPr>
    </w:p>
    <w:p w14:paraId="6BB332AB">
      <w:pPr>
        <w:spacing w:before="120" w:after="120" w:line="460" w:lineRule="exact"/>
        <w:jc w:val="center"/>
        <w:outlineLvl w:val="0"/>
        <w:rPr>
          <w:rFonts w:hint="eastAsia" w:ascii="宋体" w:hAnsi="Courier New"/>
          <w:b/>
          <w:sz w:val="32"/>
          <w:szCs w:val="32"/>
          <w:highlight w:val="none"/>
        </w:rPr>
      </w:pPr>
    </w:p>
    <w:p w14:paraId="20C9BF2F">
      <w:pPr>
        <w:spacing w:before="120" w:after="120" w:line="460" w:lineRule="exact"/>
        <w:jc w:val="center"/>
        <w:outlineLvl w:val="0"/>
        <w:rPr>
          <w:rFonts w:hint="eastAsia" w:ascii="宋体" w:hAnsi="Courier New"/>
          <w:b/>
          <w:sz w:val="32"/>
          <w:szCs w:val="32"/>
          <w:highlight w:val="none"/>
        </w:rPr>
      </w:pPr>
    </w:p>
    <w:p w14:paraId="0CB95F17">
      <w:pPr>
        <w:spacing w:before="120" w:after="120" w:line="460" w:lineRule="exact"/>
        <w:jc w:val="center"/>
        <w:outlineLvl w:val="0"/>
        <w:rPr>
          <w:rFonts w:hint="eastAsia" w:ascii="宋体" w:hAnsi="Courier New"/>
          <w:b/>
          <w:sz w:val="32"/>
          <w:szCs w:val="32"/>
          <w:highlight w:val="none"/>
        </w:rPr>
      </w:pPr>
    </w:p>
    <w:p w14:paraId="3784CA6A">
      <w:pPr>
        <w:spacing w:before="120" w:after="120" w:line="460" w:lineRule="exact"/>
        <w:jc w:val="center"/>
        <w:outlineLvl w:val="0"/>
        <w:rPr>
          <w:rFonts w:hint="eastAsia" w:ascii="宋体" w:hAnsi="Courier New"/>
          <w:b/>
          <w:sz w:val="32"/>
          <w:szCs w:val="32"/>
          <w:highlight w:val="none"/>
        </w:rPr>
      </w:pPr>
    </w:p>
    <w:p w14:paraId="57904DE7">
      <w:pPr>
        <w:spacing w:before="120" w:after="120" w:line="460" w:lineRule="exact"/>
        <w:jc w:val="center"/>
        <w:outlineLvl w:val="0"/>
        <w:rPr>
          <w:rFonts w:hint="eastAsia" w:ascii="宋体" w:hAnsi="Courier New"/>
          <w:b/>
          <w:sz w:val="32"/>
          <w:szCs w:val="32"/>
          <w:highlight w:val="none"/>
        </w:rPr>
      </w:pPr>
    </w:p>
    <w:p w14:paraId="713B35CA">
      <w:pPr>
        <w:rPr>
          <w:rFonts w:hint="eastAsia" w:ascii="宋体" w:hAnsi="Courier New"/>
          <w:b/>
          <w:sz w:val="32"/>
          <w:szCs w:val="32"/>
          <w:highlight w:val="none"/>
        </w:rPr>
      </w:pPr>
      <w:r>
        <w:rPr>
          <w:rFonts w:hint="eastAsia" w:ascii="宋体" w:hAnsi="Courier New"/>
          <w:b/>
          <w:sz w:val="32"/>
          <w:szCs w:val="32"/>
          <w:highlight w:val="none"/>
        </w:rPr>
        <w:br w:type="page"/>
      </w:r>
    </w:p>
    <w:p w14:paraId="484F5080">
      <w:pPr>
        <w:spacing w:line="480" w:lineRule="exact"/>
        <w:jc w:val="center"/>
        <w:rPr>
          <w:rFonts w:ascii="宋体" w:hAnsi="宋体" w:cs="宋体"/>
          <w:b/>
          <w:sz w:val="32"/>
          <w:szCs w:val="32"/>
        </w:rPr>
      </w:pPr>
      <w:r>
        <w:rPr>
          <w:rFonts w:hint="eastAsia" w:ascii="宋体" w:hAnsi="宋体" w:cs="宋体"/>
          <w:b/>
          <w:sz w:val="32"/>
          <w:szCs w:val="32"/>
        </w:rPr>
        <w:t>（十）具备履行合同所必需的设备和专业技术能力的声明函</w:t>
      </w:r>
    </w:p>
    <w:p w14:paraId="4AD9ACE2">
      <w:pPr>
        <w:spacing w:line="600" w:lineRule="exact"/>
        <w:ind w:firstLine="492"/>
        <w:rPr>
          <w:rFonts w:ascii="宋体" w:hAnsi="宋体"/>
          <w:bCs/>
          <w:sz w:val="24"/>
        </w:rPr>
      </w:pPr>
      <w:r>
        <w:rPr>
          <w:rFonts w:hint="eastAsia" w:ascii="宋体" w:hAnsi="宋体"/>
          <w:bCs/>
          <w:sz w:val="24"/>
        </w:rPr>
        <w:t>我方郑重声明：我方具备履行本项采购合同所必需的设备和专业技术能力，为履行本项采购合同我方具备如下主要设备和主要专业技术能力：</w:t>
      </w:r>
    </w:p>
    <w:p w14:paraId="04A65708">
      <w:pPr>
        <w:spacing w:line="600" w:lineRule="exact"/>
        <w:ind w:firstLine="492"/>
        <w:rPr>
          <w:rFonts w:ascii="宋体" w:hAnsi="宋体"/>
          <w:bCs/>
          <w:sz w:val="24"/>
          <w:u w:val="single"/>
        </w:rPr>
      </w:pPr>
      <w:r>
        <w:rPr>
          <w:rFonts w:hint="eastAsia" w:ascii="宋体" w:hAnsi="宋体"/>
          <w:bCs/>
          <w:sz w:val="24"/>
        </w:rPr>
        <w:t>主要设备有：</w:t>
      </w:r>
      <w:r>
        <w:rPr>
          <w:rFonts w:hint="eastAsia" w:ascii="宋体" w:hAnsi="宋体"/>
          <w:bCs/>
          <w:sz w:val="24"/>
          <w:u w:val="single"/>
        </w:rPr>
        <w:t xml:space="preserve">                                         </w:t>
      </w:r>
    </w:p>
    <w:p w14:paraId="67852F79">
      <w:pPr>
        <w:spacing w:line="600" w:lineRule="exact"/>
        <w:ind w:firstLine="492"/>
        <w:rPr>
          <w:rFonts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p>
    <w:p w14:paraId="1D853BC1">
      <w:pPr>
        <w:spacing w:line="600" w:lineRule="exact"/>
        <w:rPr>
          <w:rFonts w:ascii="宋体" w:hAnsi="宋体"/>
          <w:bCs/>
          <w:sz w:val="24"/>
        </w:rPr>
      </w:pPr>
    </w:p>
    <w:p w14:paraId="278849E4">
      <w:pPr>
        <w:spacing w:line="460" w:lineRule="exact"/>
        <w:ind w:firstLine="3840"/>
        <w:rPr>
          <w:rFonts w:ascii="宋体" w:hAnsi="宋体"/>
          <w:bCs/>
          <w:sz w:val="24"/>
        </w:rPr>
      </w:pPr>
    </w:p>
    <w:p w14:paraId="7907A0D9">
      <w:pPr>
        <w:spacing w:line="460" w:lineRule="exact"/>
        <w:ind w:firstLine="3840"/>
        <w:jc w:val="right"/>
        <w:rPr>
          <w:rFonts w:ascii="宋体" w:hAnsi="宋体"/>
          <w:bCs/>
          <w:sz w:val="24"/>
        </w:rPr>
      </w:pPr>
      <w:r>
        <w:rPr>
          <w:rFonts w:hint="eastAsia" w:ascii="宋体" w:hAnsi="宋体"/>
          <w:bCs/>
          <w:sz w:val="24"/>
        </w:rPr>
        <w:t>投标人名称（公章）：</w:t>
      </w:r>
    </w:p>
    <w:p w14:paraId="6F48825D">
      <w:pPr>
        <w:pStyle w:val="5"/>
        <w:jc w:val="right"/>
        <w:rPr>
          <w:rFonts w:ascii="宋体" w:hAnsi="宋体"/>
          <w:b w:val="0"/>
          <w:sz w:val="24"/>
        </w:rPr>
      </w:pPr>
      <w:bookmarkStart w:id="90" w:name="_Toc26705"/>
      <w:bookmarkStart w:id="91" w:name="_Toc10876"/>
      <w:r>
        <w:rPr>
          <w:rFonts w:hint="eastAsia" w:ascii="宋体" w:hAnsi="宋体"/>
          <w:b w:val="0"/>
          <w:sz w:val="24"/>
        </w:rPr>
        <w:t>日期：_____年</w:t>
      </w:r>
      <w:r>
        <w:rPr>
          <w:rFonts w:hint="eastAsia" w:ascii="宋体" w:hAnsi="宋体"/>
          <w:b w:val="0"/>
          <w:sz w:val="24"/>
          <w:u w:val="single"/>
        </w:rPr>
        <w:t xml:space="preserve">    </w:t>
      </w:r>
      <w:r>
        <w:rPr>
          <w:rFonts w:hint="eastAsia" w:ascii="宋体" w:hAnsi="宋体"/>
          <w:b w:val="0"/>
          <w:sz w:val="24"/>
        </w:rPr>
        <w:t>月</w:t>
      </w:r>
      <w:r>
        <w:rPr>
          <w:rFonts w:hint="eastAsia" w:ascii="宋体" w:hAnsi="宋体"/>
          <w:b w:val="0"/>
          <w:sz w:val="24"/>
          <w:u w:val="single"/>
        </w:rPr>
        <w:t xml:space="preserve">    </w:t>
      </w:r>
      <w:r>
        <w:rPr>
          <w:rFonts w:hint="eastAsia" w:ascii="宋体" w:hAnsi="宋体"/>
          <w:b w:val="0"/>
          <w:sz w:val="24"/>
        </w:rPr>
        <w:t>日</w:t>
      </w:r>
      <w:bookmarkEnd w:id="90"/>
      <w:bookmarkEnd w:id="91"/>
    </w:p>
    <w:p w14:paraId="5F1357AF">
      <w:pPr>
        <w:rPr>
          <w:rFonts w:hint="eastAsia" w:ascii="宋体" w:hAnsi="Courier New"/>
          <w:b/>
          <w:sz w:val="32"/>
          <w:szCs w:val="32"/>
          <w:highlight w:val="none"/>
        </w:rPr>
      </w:pPr>
      <w:r>
        <w:rPr>
          <w:rFonts w:hint="eastAsia" w:ascii="宋体" w:hAnsi="Courier New"/>
          <w:b/>
          <w:sz w:val="32"/>
          <w:szCs w:val="32"/>
          <w:highlight w:val="none"/>
        </w:rPr>
        <w:br w:type="page"/>
      </w:r>
    </w:p>
    <w:p w14:paraId="72B750A6">
      <w:pPr>
        <w:spacing w:before="120" w:after="120" w:line="460" w:lineRule="exact"/>
        <w:jc w:val="center"/>
        <w:outlineLvl w:val="0"/>
        <w:rPr>
          <w:rFonts w:ascii="宋体" w:hAnsi="Courier New"/>
          <w:b/>
          <w:sz w:val="32"/>
          <w:szCs w:val="32"/>
          <w:highlight w:val="none"/>
        </w:rPr>
      </w:pPr>
      <w:bookmarkStart w:id="92" w:name="_Toc8356"/>
      <w:bookmarkStart w:id="93" w:name="_Toc5043"/>
      <w:r>
        <w:rPr>
          <w:rFonts w:hint="eastAsia" w:ascii="宋体" w:hAnsi="Courier New"/>
          <w:b/>
          <w:sz w:val="32"/>
          <w:szCs w:val="32"/>
          <w:highlight w:val="none"/>
        </w:rPr>
        <w:t>（</w:t>
      </w:r>
      <w:r>
        <w:rPr>
          <w:rFonts w:hint="eastAsia" w:ascii="宋体" w:hAnsi="Courier New"/>
          <w:b/>
          <w:sz w:val="32"/>
          <w:szCs w:val="32"/>
          <w:highlight w:val="none"/>
          <w:lang w:val="en-US" w:eastAsia="zh-CN"/>
        </w:rPr>
        <w:t>十一</w:t>
      </w:r>
      <w:r>
        <w:rPr>
          <w:rFonts w:hint="eastAsia" w:ascii="宋体" w:hAnsi="Courier New"/>
          <w:b/>
          <w:sz w:val="32"/>
          <w:szCs w:val="32"/>
          <w:highlight w:val="none"/>
        </w:rPr>
        <w:t>）清单报价表</w:t>
      </w:r>
      <w:bookmarkEnd w:id="88"/>
      <w:bookmarkEnd w:id="89"/>
      <w:bookmarkEnd w:id="92"/>
      <w:bookmarkEnd w:id="93"/>
    </w:p>
    <w:p w14:paraId="0E81B20A">
      <w:pPr>
        <w:widowControl/>
        <w:spacing w:line="480" w:lineRule="exact"/>
        <w:jc w:val="left"/>
        <w:rPr>
          <w:rFonts w:hint="eastAsia" w:ascii="宋体" w:hAnsi="宋体" w:eastAsia="宋体"/>
          <w:sz w:val="24"/>
          <w:highlight w:val="none"/>
          <w:lang w:eastAsia="zh-CN"/>
        </w:rPr>
      </w:pPr>
      <w:r>
        <w:rPr>
          <w:rFonts w:hint="eastAsia" w:ascii="宋体" w:hAnsi="宋体"/>
          <w:sz w:val="24"/>
          <w:highlight w:val="none"/>
        </w:rPr>
        <w:t>采购人：</w:t>
      </w:r>
      <w:r>
        <w:rPr>
          <w:rFonts w:hint="eastAsia" w:ascii="宋体" w:hAnsi="宋体"/>
          <w:sz w:val="24"/>
          <w:highlight w:val="none"/>
          <w:u w:val="single"/>
          <w:lang w:eastAsia="zh-CN"/>
        </w:rPr>
        <w:t>江苏大丰港经济开发区管理委员会</w:t>
      </w:r>
    </w:p>
    <w:p w14:paraId="2F5B3A3D">
      <w:pPr>
        <w:widowControl/>
        <w:spacing w:line="480" w:lineRule="exact"/>
        <w:ind w:firstLine="480"/>
        <w:jc w:val="left"/>
        <w:rPr>
          <w:rFonts w:ascii="宋体" w:hAnsi="宋体"/>
          <w:sz w:val="24"/>
          <w:highlight w:val="none"/>
        </w:rPr>
      </w:pPr>
      <w:r>
        <w:rPr>
          <w:rFonts w:hint="eastAsia" w:ascii="宋体" w:hAnsi="宋体"/>
          <w:sz w:val="24"/>
          <w:highlight w:val="none"/>
        </w:rPr>
        <w:t xml:space="preserve">我单位愿意按照招标文件的要求和下面的报价提供所需货物和服务，并保证服务质量。                                                    </w:t>
      </w:r>
      <w:r>
        <w:rPr>
          <w:rFonts w:hint="eastAsia" w:ascii="宋体" w:hAnsi="宋体"/>
          <w:sz w:val="24"/>
          <w:highlight w:val="none"/>
          <w:lang w:val="en-US" w:eastAsia="zh-CN"/>
        </w:rPr>
        <w:t xml:space="preserve">     </w:t>
      </w:r>
      <w:r>
        <w:rPr>
          <w:rFonts w:hint="eastAsia" w:ascii="宋体" w:hAnsi="宋体"/>
          <w:sz w:val="24"/>
          <w:highlight w:val="none"/>
        </w:rPr>
        <w:t>单位：人民币</w:t>
      </w:r>
      <w:r>
        <w:rPr>
          <w:rFonts w:hint="eastAsia" w:ascii="宋体" w:hAnsi="宋体"/>
          <w:sz w:val="24"/>
          <w:highlight w:val="none"/>
          <w:lang w:val="en-US" w:eastAsia="zh-CN"/>
        </w:rPr>
        <w:t>/</w:t>
      </w:r>
      <w:r>
        <w:rPr>
          <w:rFonts w:hint="eastAsia" w:ascii="宋体" w:hAnsi="宋体"/>
          <w:sz w:val="24"/>
          <w:highlight w:val="none"/>
        </w:rPr>
        <w:t>元</w:t>
      </w:r>
    </w:p>
    <w:tbl>
      <w:tblPr>
        <w:tblStyle w:val="42"/>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498"/>
        <w:gridCol w:w="765"/>
        <w:gridCol w:w="823"/>
        <w:gridCol w:w="1765"/>
        <w:gridCol w:w="2238"/>
      </w:tblGrid>
      <w:tr w14:paraId="4FA0F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jc w:val="center"/>
        </w:trPr>
        <w:tc>
          <w:tcPr>
            <w:tcW w:w="3498" w:type="dxa"/>
            <w:noWrap w:val="0"/>
            <w:vAlign w:val="center"/>
          </w:tcPr>
          <w:p w14:paraId="68479A52">
            <w:pPr>
              <w:widowControl/>
              <w:jc w:val="center"/>
              <w:rPr>
                <w:rFonts w:ascii="宋体" w:hAnsi="宋体"/>
                <w:sz w:val="20"/>
                <w:highlight w:val="none"/>
              </w:rPr>
            </w:pPr>
            <w:r>
              <w:rPr>
                <w:rFonts w:ascii="宋体" w:hAnsi="宋体"/>
                <w:sz w:val="20"/>
                <w:highlight w:val="none"/>
              </w:rPr>
              <w:t>项目名称</w:t>
            </w:r>
          </w:p>
        </w:tc>
        <w:tc>
          <w:tcPr>
            <w:tcW w:w="765" w:type="dxa"/>
            <w:noWrap w:val="0"/>
            <w:vAlign w:val="center"/>
          </w:tcPr>
          <w:p w14:paraId="6B25D79F">
            <w:pPr>
              <w:keepNext/>
              <w:widowControl/>
              <w:jc w:val="center"/>
              <w:outlineLvl w:val="2"/>
              <w:rPr>
                <w:rFonts w:ascii="宋体" w:hAnsi="宋体"/>
                <w:sz w:val="20"/>
                <w:highlight w:val="none"/>
              </w:rPr>
            </w:pPr>
            <w:bookmarkStart w:id="94" w:name="_Toc126251010"/>
            <w:bookmarkStart w:id="95" w:name="_Toc1534"/>
            <w:bookmarkStart w:id="96" w:name="_Toc130206664"/>
            <w:bookmarkStart w:id="97" w:name="_Toc22120"/>
            <w:bookmarkStart w:id="98" w:name="_Toc129247652"/>
            <w:r>
              <w:rPr>
                <w:rFonts w:ascii="宋体" w:hAnsi="宋体"/>
                <w:sz w:val="20"/>
                <w:highlight w:val="none"/>
              </w:rPr>
              <w:t>数量</w:t>
            </w:r>
            <w:bookmarkEnd w:id="94"/>
            <w:bookmarkEnd w:id="95"/>
            <w:bookmarkEnd w:id="96"/>
            <w:bookmarkEnd w:id="97"/>
            <w:bookmarkEnd w:id="98"/>
          </w:p>
        </w:tc>
        <w:tc>
          <w:tcPr>
            <w:tcW w:w="823" w:type="dxa"/>
            <w:noWrap w:val="0"/>
            <w:vAlign w:val="center"/>
          </w:tcPr>
          <w:p w14:paraId="52BBE120">
            <w:pPr>
              <w:keepNext/>
              <w:widowControl/>
              <w:jc w:val="center"/>
              <w:outlineLvl w:val="2"/>
              <w:rPr>
                <w:rFonts w:ascii="宋体" w:hAnsi="宋体"/>
                <w:sz w:val="20"/>
                <w:highlight w:val="none"/>
              </w:rPr>
            </w:pPr>
            <w:bookmarkStart w:id="99" w:name="_Toc8568"/>
            <w:bookmarkStart w:id="100" w:name="_Toc10969"/>
            <w:bookmarkStart w:id="101" w:name="_Toc130206665"/>
            <w:bookmarkStart w:id="102" w:name="_Toc126251011"/>
            <w:bookmarkStart w:id="103" w:name="_Toc129247653"/>
            <w:r>
              <w:rPr>
                <w:rFonts w:ascii="宋体" w:hAnsi="宋体"/>
                <w:sz w:val="20"/>
                <w:highlight w:val="none"/>
              </w:rPr>
              <w:t>单位</w:t>
            </w:r>
            <w:bookmarkEnd w:id="99"/>
            <w:bookmarkEnd w:id="100"/>
            <w:bookmarkEnd w:id="101"/>
            <w:bookmarkEnd w:id="102"/>
            <w:bookmarkEnd w:id="103"/>
          </w:p>
        </w:tc>
        <w:tc>
          <w:tcPr>
            <w:tcW w:w="1765" w:type="dxa"/>
            <w:noWrap w:val="0"/>
            <w:vAlign w:val="center"/>
          </w:tcPr>
          <w:p w14:paraId="38D3DD37">
            <w:pPr>
              <w:widowControl/>
              <w:jc w:val="center"/>
              <w:rPr>
                <w:rFonts w:ascii="宋体" w:hAnsi="宋体"/>
                <w:sz w:val="20"/>
                <w:highlight w:val="none"/>
              </w:rPr>
            </w:pPr>
            <w:r>
              <w:rPr>
                <w:rFonts w:ascii="宋体" w:hAnsi="宋体"/>
                <w:sz w:val="20"/>
                <w:highlight w:val="none"/>
              </w:rPr>
              <w:t>单价（元）</w:t>
            </w:r>
          </w:p>
        </w:tc>
        <w:tc>
          <w:tcPr>
            <w:tcW w:w="2238" w:type="dxa"/>
            <w:noWrap w:val="0"/>
            <w:vAlign w:val="center"/>
          </w:tcPr>
          <w:p w14:paraId="3FCF2944">
            <w:pPr>
              <w:widowControl/>
              <w:jc w:val="center"/>
              <w:rPr>
                <w:rFonts w:ascii="宋体" w:hAnsi="宋体"/>
                <w:sz w:val="20"/>
                <w:highlight w:val="none"/>
              </w:rPr>
            </w:pPr>
            <w:r>
              <w:rPr>
                <w:rFonts w:ascii="宋体" w:hAnsi="宋体"/>
                <w:sz w:val="20"/>
                <w:highlight w:val="none"/>
              </w:rPr>
              <w:t>合价（元）</w:t>
            </w:r>
          </w:p>
        </w:tc>
      </w:tr>
      <w:tr w14:paraId="01C08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3498" w:type="dxa"/>
            <w:noWrap w:val="0"/>
            <w:vAlign w:val="center"/>
          </w:tcPr>
          <w:p w14:paraId="1EB59893">
            <w:pPr>
              <w:widowControl/>
              <w:jc w:val="center"/>
              <w:rPr>
                <w:rFonts w:hint="default" w:ascii="宋体" w:hAnsi="宋体" w:eastAsia="宋体"/>
                <w:sz w:val="20"/>
                <w:highlight w:val="none"/>
                <w:lang w:val="en-US" w:eastAsia="zh-CN"/>
              </w:rPr>
            </w:pPr>
            <w:r>
              <w:rPr>
                <w:rFonts w:hint="eastAsia" w:ascii="宋体" w:hAnsi="宋体"/>
                <w:sz w:val="20"/>
                <w:highlight w:val="none"/>
                <w:lang w:val="en-US" w:eastAsia="zh-CN"/>
              </w:rPr>
              <w:t>国家骨干冷链物流基地建设申报方案编制服务</w:t>
            </w:r>
          </w:p>
        </w:tc>
        <w:tc>
          <w:tcPr>
            <w:tcW w:w="765" w:type="dxa"/>
            <w:noWrap w:val="0"/>
            <w:vAlign w:val="center"/>
          </w:tcPr>
          <w:p w14:paraId="65932E1F">
            <w:pPr>
              <w:widowControl/>
              <w:jc w:val="center"/>
              <w:rPr>
                <w:rFonts w:hint="default" w:ascii="宋体" w:hAnsi="宋体" w:eastAsia="宋体"/>
                <w:sz w:val="20"/>
                <w:highlight w:val="none"/>
                <w:lang w:val="en-US" w:eastAsia="zh-CN"/>
              </w:rPr>
            </w:pPr>
            <w:r>
              <w:rPr>
                <w:rFonts w:hint="eastAsia" w:ascii="宋体" w:hAnsi="宋体"/>
                <w:sz w:val="20"/>
                <w:highlight w:val="none"/>
                <w:lang w:val="en-US" w:eastAsia="zh-CN"/>
              </w:rPr>
              <w:t>1</w:t>
            </w:r>
          </w:p>
        </w:tc>
        <w:tc>
          <w:tcPr>
            <w:tcW w:w="823" w:type="dxa"/>
            <w:noWrap w:val="0"/>
            <w:vAlign w:val="center"/>
          </w:tcPr>
          <w:p w14:paraId="5DD5E5EE">
            <w:pPr>
              <w:widowControl/>
              <w:jc w:val="center"/>
              <w:rPr>
                <w:rFonts w:hint="default" w:ascii="宋体" w:hAnsi="宋体" w:eastAsia="宋体"/>
                <w:sz w:val="20"/>
                <w:highlight w:val="none"/>
                <w:lang w:val="en-US" w:eastAsia="zh-CN"/>
              </w:rPr>
            </w:pPr>
            <w:r>
              <w:rPr>
                <w:rFonts w:hint="eastAsia" w:ascii="宋体" w:hAnsi="宋体"/>
                <w:sz w:val="20"/>
                <w:highlight w:val="none"/>
                <w:lang w:val="en-US" w:eastAsia="zh-CN"/>
              </w:rPr>
              <w:t>项</w:t>
            </w:r>
          </w:p>
        </w:tc>
        <w:tc>
          <w:tcPr>
            <w:tcW w:w="1765" w:type="dxa"/>
            <w:noWrap w:val="0"/>
            <w:vAlign w:val="center"/>
          </w:tcPr>
          <w:p w14:paraId="22C6FA78">
            <w:pPr>
              <w:keepNext/>
              <w:widowControl/>
              <w:jc w:val="center"/>
              <w:outlineLvl w:val="2"/>
              <w:rPr>
                <w:rFonts w:ascii="宋体" w:hAnsi="宋体"/>
                <w:sz w:val="20"/>
                <w:highlight w:val="none"/>
              </w:rPr>
            </w:pPr>
          </w:p>
        </w:tc>
        <w:tc>
          <w:tcPr>
            <w:tcW w:w="2238" w:type="dxa"/>
            <w:noWrap w:val="0"/>
            <w:vAlign w:val="center"/>
          </w:tcPr>
          <w:p w14:paraId="37DB1927">
            <w:pPr>
              <w:keepNext/>
              <w:widowControl/>
              <w:jc w:val="center"/>
              <w:outlineLvl w:val="2"/>
              <w:rPr>
                <w:rFonts w:ascii="宋体" w:hAnsi="宋体"/>
                <w:sz w:val="20"/>
                <w:highlight w:val="none"/>
              </w:rPr>
            </w:pPr>
          </w:p>
        </w:tc>
      </w:tr>
      <w:tr w14:paraId="5C914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6" w:hRule="atLeast"/>
          <w:jc w:val="center"/>
        </w:trPr>
        <w:tc>
          <w:tcPr>
            <w:tcW w:w="9089" w:type="dxa"/>
            <w:gridSpan w:val="5"/>
            <w:noWrap w:val="0"/>
            <w:vAlign w:val="center"/>
          </w:tcPr>
          <w:p w14:paraId="137A961B">
            <w:pPr>
              <w:widowControl/>
              <w:spacing w:after="200" w:line="400" w:lineRule="exact"/>
              <w:ind w:left="1050" w:hanging="1050"/>
              <w:jc w:val="left"/>
              <w:rPr>
                <w:highlight w:val="none"/>
              </w:rPr>
            </w:pPr>
            <w:r>
              <w:rPr>
                <w:highlight w:val="none"/>
              </w:rPr>
              <w:t xml:space="preserve">投标报价：（大写） （小写） </w:t>
            </w:r>
          </w:p>
        </w:tc>
      </w:tr>
    </w:tbl>
    <w:p w14:paraId="362976E1">
      <w:pPr>
        <w:widowControl/>
        <w:spacing w:line="480" w:lineRule="exact"/>
        <w:ind w:firstLine="480"/>
        <w:jc w:val="left"/>
        <w:rPr>
          <w:rFonts w:ascii="宋体" w:hAnsi="宋体" w:cs="Arial"/>
          <w:bCs/>
          <w:sz w:val="24"/>
          <w:szCs w:val="24"/>
          <w:highlight w:val="none"/>
        </w:rPr>
      </w:pPr>
      <w:bookmarkStart w:id="104" w:name="_Toc120519629"/>
      <w:r>
        <w:rPr>
          <w:rFonts w:hint="eastAsia" w:ascii="宋体" w:hAnsi="宋体"/>
          <w:sz w:val="24"/>
          <w:highlight w:val="none"/>
        </w:rPr>
        <w:t>注</w:t>
      </w:r>
      <w:r>
        <w:rPr>
          <w:rFonts w:hint="eastAsia" w:ascii="宋体" w:hAnsi="宋体"/>
          <w:sz w:val="24"/>
          <w:highlight w:val="none"/>
          <w:lang w:eastAsia="zh-CN"/>
        </w:rPr>
        <w:t>：</w:t>
      </w:r>
      <w:r>
        <w:rPr>
          <w:rFonts w:hint="eastAsia" w:ascii="宋体" w:hAnsi="宋体"/>
          <w:sz w:val="24"/>
          <w:highlight w:val="none"/>
        </w:rPr>
        <w:t>1.</w:t>
      </w:r>
      <w:r>
        <w:rPr>
          <w:rFonts w:hint="eastAsia" w:ascii="宋体" w:hAnsi="宋体"/>
          <w:sz w:val="24"/>
          <w:highlight w:val="none"/>
          <w:lang w:eastAsia="zh-CN"/>
        </w:rPr>
        <w:t>投标人应根据自己的实力和条件报价，投标报价</w:t>
      </w:r>
      <w:r>
        <w:rPr>
          <w:rFonts w:hint="eastAsia" w:ascii="宋体" w:hAnsi="宋体"/>
          <w:sz w:val="24"/>
          <w:szCs w:val="20"/>
          <w:highlight w:val="none"/>
        </w:rPr>
        <w:t>应是</w:t>
      </w:r>
      <w:r>
        <w:rPr>
          <w:rFonts w:hint="eastAsia" w:ascii="宋体" w:hAnsi="宋体" w:cs="Arial"/>
          <w:bCs/>
          <w:sz w:val="24"/>
          <w:szCs w:val="24"/>
          <w:highlight w:val="none"/>
          <w:lang w:eastAsia="zh-CN"/>
        </w:rPr>
        <w:t>招标文件所确定招标范围内全部工作内容的价格体现，以及为完成上述内容所必须的各种工作经费（调查费、</w:t>
      </w:r>
      <w:r>
        <w:rPr>
          <w:rFonts w:hint="eastAsia" w:ascii="宋体" w:hAnsi="宋体" w:cs="Arial"/>
          <w:bCs/>
          <w:sz w:val="24"/>
          <w:szCs w:val="24"/>
          <w:highlight w:val="none"/>
          <w:lang w:val="en-US" w:eastAsia="zh-CN"/>
        </w:rPr>
        <w:t>调研费、</w:t>
      </w:r>
      <w:r>
        <w:rPr>
          <w:rFonts w:hint="eastAsia" w:ascii="宋体" w:hAnsi="宋体" w:cs="Arial"/>
          <w:bCs/>
          <w:sz w:val="24"/>
          <w:szCs w:val="24"/>
          <w:highlight w:val="none"/>
          <w:lang w:eastAsia="zh-CN"/>
        </w:rPr>
        <w:t>劳务费、咨询费、审查费、会务费、</w:t>
      </w:r>
      <w:r>
        <w:rPr>
          <w:rFonts w:hint="eastAsia" w:ascii="宋体" w:hAnsi="宋体" w:cs="Arial"/>
          <w:bCs/>
          <w:sz w:val="24"/>
          <w:szCs w:val="24"/>
          <w:highlight w:val="none"/>
          <w:lang w:val="en-US" w:eastAsia="zh-CN"/>
        </w:rPr>
        <w:t>风险费、</w:t>
      </w:r>
      <w:r>
        <w:rPr>
          <w:rFonts w:hint="eastAsia" w:ascii="宋体" w:hAnsi="宋体"/>
          <w:sz w:val="24"/>
        </w:rPr>
        <w:t>资料收集、数据整理、相关图表制作打印、纸张等耗材，以及后续服务、</w:t>
      </w:r>
      <w:r>
        <w:rPr>
          <w:rFonts w:hint="eastAsia" w:ascii="宋体" w:hAnsi="宋体" w:cs="Arial"/>
          <w:bCs/>
          <w:sz w:val="24"/>
          <w:szCs w:val="24"/>
          <w:highlight w:val="none"/>
          <w:lang w:eastAsia="zh-CN"/>
        </w:rPr>
        <w:t>管理费、利润、税金等全部费用）。对投标人认为没有考虑到的费用采购人将不予支付，并认为此项费用已包含在</w:t>
      </w:r>
      <w:r>
        <w:rPr>
          <w:rFonts w:hint="eastAsia" w:ascii="宋体" w:hAnsi="宋体" w:cs="Arial"/>
          <w:bCs/>
          <w:sz w:val="24"/>
          <w:szCs w:val="24"/>
          <w:highlight w:val="none"/>
          <w:lang w:val="en-US" w:eastAsia="zh-CN"/>
        </w:rPr>
        <w:t>投标报价</w:t>
      </w:r>
      <w:r>
        <w:rPr>
          <w:rFonts w:hint="eastAsia" w:ascii="宋体" w:hAnsi="宋体" w:cs="Arial"/>
          <w:bCs/>
          <w:sz w:val="24"/>
          <w:szCs w:val="24"/>
          <w:highlight w:val="none"/>
          <w:lang w:eastAsia="zh-CN"/>
        </w:rPr>
        <w:t>中；</w:t>
      </w:r>
    </w:p>
    <w:p w14:paraId="6E057CD6">
      <w:pPr>
        <w:keepNext w:val="0"/>
        <w:keepLines w:val="0"/>
        <w:pageBreakBefore w:val="0"/>
        <w:widowControl/>
        <w:spacing w:line="480" w:lineRule="exact"/>
        <w:ind w:firstLine="480"/>
        <w:jc w:val="left"/>
        <w:rPr>
          <w:rFonts w:ascii="宋体" w:hAnsi="宋体"/>
          <w:sz w:val="24"/>
          <w:highlight w:val="none"/>
        </w:rPr>
      </w:pPr>
      <w:r>
        <w:rPr>
          <w:rFonts w:hint="eastAsia" w:ascii="宋体" w:hAnsi="宋体"/>
          <w:sz w:val="24"/>
          <w:highlight w:val="none"/>
        </w:rPr>
        <w:t xml:space="preserve">2. </w:t>
      </w:r>
      <w:r>
        <w:rPr>
          <w:rFonts w:hint="eastAsia" w:ascii="宋体" w:hAnsi="宋体"/>
          <w:sz w:val="24"/>
          <w:highlight w:val="none"/>
          <w:lang w:val="en-US" w:eastAsia="zh-CN"/>
        </w:rPr>
        <w:t>最高限价</w:t>
      </w:r>
      <w:r>
        <w:rPr>
          <w:rFonts w:hint="eastAsia" w:ascii="宋体" w:hAnsi="宋体"/>
          <w:sz w:val="24"/>
          <w:highlight w:val="none"/>
          <w:lang w:eastAsia="zh-CN"/>
        </w:rPr>
        <w:t>为</w:t>
      </w:r>
      <w:r>
        <w:rPr>
          <w:rFonts w:hint="eastAsia" w:ascii="宋体" w:hAnsi="宋体"/>
          <w:sz w:val="24"/>
          <w:highlight w:val="none"/>
          <w:lang w:val="en-US" w:eastAsia="zh-CN"/>
        </w:rPr>
        <w:t>120</w:t>
      </w:r>
      <w:r>
        <w:rPr>
          <w:rFonts w:hint="eastAsia" w:ascii="宋体" w:hAnsi="宋体"/>
          <w:sz w:val="24"/>
          <w:highlight w:val="none"/>
          <w:lang w:eastAsia="zh-CN"/>
        </w:rPr>
        <w:t>万元，投标报价高于</w:t>
      </w:r>
      <w:r>
        <w:rPr>
          <w:rFonts w:hint="eastAsia" w:ascii="宋体" w:hAnsi="宋体"/>
          <w:sz w:val="24"/>
          <w:highlight w:val="none"/>
          <w:lang w:val="en-US" w:eastAsia="zh-CN"/>
        </w:rPr>
        <w:t>最高限价</w:t>
      </w:r>
      <w:r>
        <w:rPr>
          <w:rFonts w:hint="eastAsia" w:ascii="宋体" w:hAnsi="宋体"/>
          <w:sz w:val="24"/>
          <w:highlight w:val="none"/>
          <w:lang w:eastAsia="zh-CN"/>
        </w:rPr>
        <w:t>的作无效标</w:t>
      </w:r>
      <w:r>
        <w:rPr>
          <w:rFonts w:hint="eastAsia" w:ascii="宋体" w:hAnsi="宋体"/>
          <w:sz w:val="24"/>
          <w:highlight w:val="none"/>
          <w:lang w:val="en-US" w:eastAsia="zh-CN"/>
        </w:rPr>
        <w:t>处理</w:t>
      </w:r>
      <w:r>
        <w:rPr>
          <w:rFonts w:hint="eastAsia" w:ascii="宋体" w:hAnsi="宋体"/>
          <w:sz w:val="24"/>
          <w:highlight w:val="none"/>
        </w:rPr>
        <w:t>。</w:t>
      </w:r>
    </w:p>
    <w:p w14:paraId="55BF2A20">
      <w:pPr>
        <w:spacing w:line="360" w:lineRule="auto"/>
        <w:ind w:firstLine="480"/>
        <w:rPr>
          <w:rFonts w:ascii="宋体" w:hAnsi="宋体"/>
          <w:sz w:val="24"/>
          <w:highlight w:val="none"/>
        </w:rPr>
      </w:pPr>
    </w:p>
    <w:p w14:paraId="320F70C8">
      <w:pPr>
        <w:pStyle w:val="41"/>
        <w:rPr>
          <w:highlight w:val="none"/>
        </w:rPr>
      </w:pPr>
    </w:p>
    <w:p w14:paraId="27CFC819">
      <w:pPr>
        <w:spacing w:line="360" w:lineRule="auto"/>
        <w:ind w:firstLine="480"/>
        <w:rPr>
          <w:rFonts w:ascii="宋体" w:hAnsi="宋体"/>
          <w:sz w:val="24"/>
          <w:highlight w:val="none"/>
        </w:rPr>
      </w:pPr>
      <w:r>
        <w:rPr>
          <w:rFonts w:ascii="宋体" w:hAnsi="宋体"/>
          <w:sz w:val="24"/>
          <w:highlight w:val="none"/>
        </w:rPr>
        <w:t>投标单位：   （</w:t>
      </w:r>
      <w:r>
        <w:rPr>
          <w:rFonts w:hint="eastAsia" w:ascii="宋体" w:hAnsi="宋体"/>
          <w:sz w:val="24"/>
          <w:highlight w:val="none"/>
        </w:rPr>
        <w:t>公章</w:t>
      </w:r>
      <w:r>
        <w:rPr>
          <w:rFonts w:ascii="宋体" w:hAnsi="宋体"/>
          <w:sz w:val="24"/>
          <w:highlight w:val="none"/>
        </w:rPr>
        <w:t>）</w:t>
      </w:r>
    </w:p>
    <w:p w14:paraId="4F1F15B8">
      <w:pPr>
        <w:spacing w:line="360" w:lineRule="auto"/>
        <w:ind w:firstLine="480"/>
        <w:rPr>
          <w:rFonts w:ascii="宋体" w:hAnsi="宋体"/>
          <w:sz w:val="24"/>
          <w:highlight w:val="none"/>
        </w:rPr>
      </w:pPr>
    </w:p>
    <w:p w14:paraId="5B75D607">
      <w:pPr>
        <w:spacing w:line="360" w:lineRule="auto"/>
        <w:ind w:firstLine="480"/>
        <w:rPr>
          <w:rFonts w:ascii="宋体" w:hAnsi="宋体"/>
          <w:sz w:val="24"/>
          <w:highlight w:val="none"/>
        </w:rPr>
      </w:pPr>
    </w:p>
    <w:p w14:paraId="3730F71D">
      <w:pPr>
        <w:spacing w:line="360" w:lineRule="auto"/>
        <w:ind w:firstLine="480"/>
        <w:rPr>
          <w:rFonts w:ascii="宋体" w:hAnsi="宋体"/>
          <w:sz w:val="24"/>
          <w:highlight w:val="none"/>
        </w:rPr>
      </w:pPr>
      <w:r>
        <w:rPr>
          <w:rFonts w:ascii="宋体" w:hAnsi="宋体"/>
          <w:sz w:val="24"/>
          <w:highlight w:val="none"/>
        </w:rPr>
        <w:t>法定代表人或代理人： （签字或盖章）</w:t>
      </w:r>
    </w:p>
    <w:p w14:paraId="5584A92A">
      <w:pPr>
        <w:pStyle w:val="41"/>
        <w:ind w:left="0" w:firstLine="0"/>
        <w:jc w:val="right"/>
        <w:rPr>
          <w:rFonts w:hAnsi="宋体"/>
          <w:highlight w:val="none"/>
        </w:rPr>
      </w:pPr>
    </w:p>
    <w:p w14:paraId="63DEBD84">
      <w:pPr>
        <w:pStyle w:val="41"/>
        <w:ind w:left="0" w:right="480" w:firstLine="5880"/>
        <w:rPr>
          <w:rFonts w:hAnsi="宋体"/>
          <w:highlight w:val="none"/>
        </w:rPr>
      </w:pPr>
    </w:p>
    <w:p w14:paraId="262ECCB1">
      <w:pPr>
        <w:pStyle w:val="41"/>
        <w:ind w:left="0" w:right="480" w:firstLine="5880"/>
        <w:rPr>
          <w:rFonts w:hAnsi="宋体"/>
          <w:highlight w:val="none"/>
        </w:rPr>
      </w:pPr>
    </w:p>
    <w:p w14:paraId="73FB2716">
      <w:pPr>
        <w:pStyle w:val="41"/>
        <w:ind w:left="0" w:right="480" w:firstLine="5880"/>
        <w:rPr>
          <w:rFonts w:hAnsi="宋体"/>
          <w:highlight w:val="none"/>
        </w:rPr>
      </w:pPr>
      <w:r>
        <w:rPr>
          <w:rFonts w:hAnsi="宋体"/>
          <w:highlight w:val="none"/>
        </w:rPr>
        <w:t>日期：     年   月   日</w:t>
      </w:r>
    </w:p>
    <w:p w14:paraId="556D4917">
      <w:pPr>
        <w:pStyle w:val="41"/>
        <w:ind w:left="0" w:right="480" w:firstLine="5880"/>
        <w:rPr>
          <w:rFonts w:hAnsi="宋体"/>
          <w:highlight w:val="none"/>
        </w:rPr>
      </w:pPr>
    </w:p>
    <w:p w14:paraId="6B3514A9">
      <w:pPr>
        <w:pStyle w:val="41"/>
        <w:ind w:left="0" w:right="480" w:firstLine="5880"/>
        <w:rPr>
          <w:rFonts w:hAnsi="宋体"/>
          <w:highlight w:val="none"/>
        </w:rPr>
      </w:pPr>
    </w:p>
    <w:p w14:paraId="07E6689F">
      <w:pPr>
        <w:pStyle w:val="41"/>
        <w:ind w:left="0" w:right="480" w:firstLine="5880"/>
        <w:rPr>
          <w:rFonts w:hAnsi="宋体"/>
          <w:highlight w:val="none"/>
        </w:rPr>
      </w:pPr>
    </w:p>
    <w:p w14:paraId="6C3D26DB">
      <w:pPr>
        <w:pStyle w:val="41"/>
        <w:ind w:left="0" w:right="480" w:firstLine="5880"/>
        <w:rPr>
          <w:rFonts w:hAnsi="宋体"/>
          <w:highlight w:val="none"/>
        </w:rPr>
      </w:pPr>
    </w:p>
    <w:p w14:paraId="49D89480">
      <w:pPr>
        <w:pStyle w:val="41"/>
        <w:ind w:left="0" w:right="480" w:firstLine="5880"/>
        <w:rPr>
          <w:rFonts w:hAnsi="宋体"/>
          <w:highlight w:val="none"/>
        </w:rPr>
      </w:pPr>
    </w:p>
    <w:p w14:paraId="08C0C0AA">
      <w:pPr>
        <w:pStyle w:val="41"/>
        <w:ind w:left="0" w:right="480" w:firstLine="5880"/>
        <w:rPr>
          <w:rFonts w:hAnsi="宋体"/>
          <w:highlight w:val="none"/>
        </w:rPr>
      </w:pPr>
    </w:p>
    <w:p w14:paraId="5ADE68BF">
      <w:pPr>
        <w:pStyle w:val="41"/>
        <w:ind w:left="0" w:right="480" w:firstLine="5880"/>
        <w:rPr>
          <w:rFonts w:hAnsi="宋体"/>
          <w:highlight w:val="none"/>
        </w:rPr>
      </w:pPr>
    </w:p>
    <w:p w14:paraId="61FB6702">
      <w:pPr>
        <w:pStyle w:val="41"/>
        <w:ind w:left="0" w:right="480" w:firstLine="5880"/>
        <w:rPr>
          <w:rFonts w:hAnsi="宋体"/>
          <w:highlight w:val="none"/>
        </w:rPr>
      </w:pPr>
    </w:p>
    <w:p w14:paraId="64B70701">
      <w:pPr>
        <w:pStyle w:val="41"/>
        <w:ind w:left="0" w:right="480" w:firstLine="5880"/>
        <w:rPr>
          <w:rFonts w:hAnsi="宋体"/>
          <w:highlight w:val="none"/>
        </w:rPr>
      </w:pPr>
    </w:p>
    <w:p w14:paraId="1E45A08A">
      <w:pPr>
        <w:pStyle w:val="41"/>
        <w:ind w:left="0" w:right="480" w:firstLine="5880"/>
        <w:rPr>
          <w:rFonts w:hAnsi="宋体"/>
          <w:highlight w:val="none"/>
        </w:rPr>
      </w:pPr>
    </w:p>
    <w:p w14:paraId="4266EE8B">
      <w:pPr>
        <w:spacing w:before="120" w:after="120" w:line="460" w:lineRule="exact"/>
        <w:jc w:val="center"/>
        <w:outlineLvl w:val="0"/>
        <w:rPr>
          <w:rFonts w:ascii="宋体" w:hAnsi="Courier New"/>
          <w:b/>
          <w:sz w:val="32"/>
          <w:szCs w:val="32"/>
          <w:highlight w:val="none"/>
        </w:rPr>
      </w:pPr>
      <w:bookmarkStart w:id="105" w:name="_Toc17254"/>
      <w:bookmarkStart w:id="106" w:name="_Toc22142"/>
      <w:bookmarkStart w:id="107" w:name="_Toc130206666"/>
      <w:r>
        <w:rPr>
          <w:rFonts w:hint="eastAsia" w:ascii="宋体" w:hAnsi="Courier New"/>
          <w:b/>
          <w:sz w:val="32"/>
          <w:szCs w:val="32"/>
          <w:highlight w:val="none"/>
        </w:rPr>
        <w:t>（十</w:t>
      </w:r>
      <w:r>
        <w:rPr>
          <w:rFonts w:hint="eastAsia" w:ascii="宋体" w:hAnsi="Courier New"/>
          <w:b/>
          <w:sz w:val="32"/>
          <w:szCs w:val="32"/>
          <w:highlight w:val="none"/>
          <w:lang w:val="en-US" w:eastAsia="zh-CN"/>
        </w:rPr>
        <w:t>二</w:t>
      </w:r>
      <w:r>
        <w:rPr>
          <w:rFonts w:hint="eastAsia" w:ascii="宋体" w:hAnsi="Courier New"/>
          <w:b/>
          <w:sz w:val="32"/>
          <w:szCs w:val="32"/>
          <w:highlight w:val="none"/>
        </w:rPr>
        <w:t>）</w:t>
      </w:r>
      <w:r>
        <w:rPr>
          <w:rFonts w:hint="eastAsia" w:ascii="宋体" w:hAnsi="Courier New"/>
          <w:b/>
          <w:sz w:val="32"/>
          <w:szCs w:val="32"/>
          <w:highlight w:val="none"/>
          <w:lang w:val="en-US" w:eastAsia="zh-CN"/>
        </w:rPr>
        <w:t>服务内容</w:t>
      </w:r>
      <w:r>
        <w:rPr>
          <w:rFonts w:hint="eastAsia" w:ascii="宋体" w:hAnsi="Courier New"/>
          <w:b/>
          <w:sz w:val="32"/>
          <w:szCs w:val="32"/>
          <w:highlight w:val="none"/>
        </w:rPr>
        <w:t>响应表</w:t>
      </w:r>
      <w:bookmarkEnd w:id="104"/>
      <w:bookmarkEnd w:id="105"/>
      <w:bookmarkEnd w:id="106"/>
      <w:bookmarkEnd w:id="107"/>
    </w:p>
    <w:tbl>
      <w:tblPr>
        <w:tblStyle w:val="42"/>
        <w:tblW w:w="1050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895"/>
        <w:gridCol w:w="3014"/>
        <w:gridCol w:w="3010"/>
        <w:gridCol w:w="2220"/>
        <w:gridCol w:w="1361"/>
      </w:tblGrid>
      <w:tr w14:paraId="66CF222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251" w:hRule="exact"/>
          <w:jc w:val="center"/>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6BC179F6">
            <w:pPr>
              <w:spacing w:line="480" w:lineRule="exact"/>
              <w:jc w:val="center"/>
              <w:rPr>
                <w:rFonts w:ascii="宋体" w:hAnsi="宋体"/>
                <w:highlight w:val="none"/>
              </w:rPr>
            </w:pPr>
            <w:r>
              <w:rPr>
                <w:rFonts w:hint="eastAsia" w:ascii="宋体" w:hAnsi="宋体"/>
                <w:highlight w:val="none"/>
              </w:rPr>
              <w:t>序号</w:t>
            </w:r>
          </w:p>
        </w:tc>
        <w:tc>
          <w:tcPr>
            <w:tcW w:w="3014" w:type="dxa"/>
            <w:tcBorders>
              <w:top w:val="single" w:color="000000" w:sz="4" w:space="0"/>
              <w:left w:val="single" w:color="000000" w:sz="4" w:space="0"/>
              <w:bottom w:val="single" w:color="000000" w:sz="4" w:space="0"/>
              <w:right w:val="single" w:color="000000" w:sz="4" w:space="0"/>
            </w:tcBorders>
            <w:noWrap w:val="0"/>
            <w:vAlign w:val="center"/>
          </w:tcPr>
          <w:p w14:paraId="38EECBB0">
            <w:pPr>
              <w:spacing w:line="480" w:lineRule="exact"/>
              <w:jc w:val="center"/>
              <w:rPr>
                <w:rFonts w:ascii="宋体" w:hAnsi="宋体"/>
                <w:highlight w:val="none"/>
              </w:rPr>
            </w:pPr>
            <w:r>
              <w:rPr>
                <w:rFonts w:hint="eastAsia" w:ascii="宋体" w:hAnsi="宋体"/>
                <w:highlight w:val="none"/>
              </w:rPr>
              <w:t>招标文件要求</w:t>
            </w:r>
          </w:p>
        </w:tc>
        <w:tc>
          <w:tcPr>
            <w:tcW w:w="3010" w:type="dxa"/>
            <w:tcBorders>
              <w:top w:val="single" w:color="000000" w:sz="4" w:space="0"/>
              <w:left w:val="single" w:color="000000" w:sz="4" w:space="0"/>
              <w:bottom w:val="single" w:color="000000" w:sz="4" w:space="0"/>
              <w:right w:val="single" w:color="000000" w:sz="4" w:space="0"/>
            </w:tcBorders>
            <w:noWrap w:val="0"/>
            <w:vAlign w:val="center"/>
          </w:tcPr>
          <w:p w14:paraId="1422ED05">
            <w:pPr>
              <w:jc w:val="center"/>
              <w:rPr>
                <w:rFonts w:hint="eastAsia" w:ascii="宋体" w:hAnsi="宋体" w:eastAsia="宋体"/>
                <w:highlight w:val="none"/>
                <w:lang w:eastAsia="zh-CN"/>
              </w:rPr>
            </w:pPr>
            <w:r>
              <w:rPr>
                <w:rFonts w:hint="eastAsia" w:ascii="宋体" w:hAnsi="宋体"/>
                <w:highlight w:val="none"/>
              </w:rPr>
              <w:t>投标</w:t>
            </w:r>
            <w:r>
              <w:rPr>
                <w:rFonts w:hint="eastAsia" w:ascii="宋体" w:hAnsi="宋体"/>
                <w:highlight w:val="none"/>
                <w:lang w:val="en-US" w:eastAsia="zh-CN"/>
              </w:rPr>
              <w:t>响应</w:t>
            </w: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6F1FDA8B">
            <w:pPr>
              <w:spacing w:line="480" w:lineRule="exact"/>
              <w:jc w:val="center"/>
              <w:rPr>
                <w:rFonts w:hint="eastAsia" w:ascii="宋体" w:hAnsi="宋体" w:eastAsia="宋体"/>
                <w:highlight w:val="none"/>
                <w:lang w:eastAsia="zh-CN"/>
              </w:rPr>
            </w:pPr>
            <w:r>
              <w:rPr>
                <w:rFonts w:hint="eastAsia" w:ascii="宋体" w:hAnsi="宋体"/>
                <w:highlight w:val="none"/>
              </w:rPr>
              <w:t>偏离情况</w:t>
            </w:r>
            <w:r>
              <w:rPr>
                <w:rFonts w:hint="eastAsia" w:ascii="宋体" w:hAnsi="宋体"/>
                <w:highlight w:val="none"/>
                <w:lang w:eastAsia="zh-CN"/>
              </w:rPr>
              <w:t>（</w:t>
            </w:r>
            <w:r>
              <w:rPr>
                <w:rFonts w:hint="eastAsia" w:ascii="宋体" w:hAnsi="宋体"/>
                <w:highlight w:val="none"/>
                <w:lang w:val="en-US" w:eastAsia="zh-CN"/>
              </w:rPr>
              <w:t>超出、符合或偏离</w:t>
            </w:r>
            <w:r>
              <w:rPr>
                <w:rFonts w:hint="eastAsia" w:ascii="宋体" w:hAnsi="宋体"/>
                <w:highlight w:val="none"/>
                <w:lang w:eastAsia="zh-CN"/>
              </w:rPr>
              <w:t>）</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542DF7FD">
            <w:pPr>
              <w:spacing w:line="480" w:lineRule="exact"/>
              <w:jc w:val="center"/>
              <w:rPr>
                <w:rFonts w:hint="eastAsia" w:ascii="宋体" w:hAnsi="宋体" w:eastAsia="宋体"/>
                <w:highlight w:val="none"/>
                <w:lang w:val="en-US" w:eastAsia="zh-CN"/>
              </w:rPr>
            </w:pPr>
            <w:r>
              <w:rPr>
                <w:rFonts w:hint="eastAsia" w:ascii="宋体" w:hAnsi="宋体"/>
                <w:highlight w:val="none"/>
                <w:lang w:val="en-US" w:eastAsia="zh-CN"/>
              </w:rPr>
              <w:t>原因</w:t>
            </w:r>
          </w:p>
        </w:tc>
      </w:tr>
      <w:tr w14:paraId="760AD6D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4" w:hRule="exact"/>
          <w:jc w:val="center"/>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5F2B2192">
            <w:pPr>
              <w:spacing w:line="480" w:lineRule="exact"/>
              <w:jc w:val="center"/>
              <w:rPr>
                <w:rFonts w:ascii="宋体" w:hAnsi="宋体" w:cs="宋体"/>
                <w:sz w:val="24"/>
                <w:highlight w:val="none"/>
              </w:rPr>
            </w:pPr>
          </w:p>
        </w:tc>
        <w:tc>
          <w:tcPr>
            <w:tcW w:w="3014" w:type="dxa"/>
            <w:tcBorders>
              <w:top w:val="single" w:color="000000" w:sz="4" w:space="0"/>
              <w:left w:val="single" w:color="000000" w:sz="4" w:space="0"/>
              <w:bottom w:val="single" w:color="000000" w:sz="4" w:space="0"/>
              <w:right w:val="single" w:color="000000" w:sz="4" w:space="0"/>
            </w:tcBorders>
            <w:noWrap w:val="0"/>
            <w:vAlign w:val="center"/>
          </w:tcPr>
          <w:p w14:paraId="7C585119">
            <w:pPr>
              <w:spacing w:line="480" w:lineRule="exact"/>
              <w:jc w:val="center"/>
              <w:rPr>
                <w:rFonts w:ascii="宋体" w:hAnsi="宋体" w:cs="宋体"/>
                <w:sz w:val="24"/>
                <w:highlight w:val="none"/>
              </w:rPr>
            </w:pPr>
          </w:p>
        </w:tc>
        <w:tc>
          <w:tcPr>
            <w:tcW w:w="3010" w:type="dxa"/>
            <w:tcBorders>
              <w:top w:val="single" w:color="000000" w:sz="4" w:space="0"/>
              <w:left w:val="single" w:color="000000" w:sz="4" w:space="0"/>
              <w:bottom w:val="single" w:color="000000" w:sz="4" w:space="0"/>
              <w:right w:val="single" w:color="000000" w:sz="4" w:space="0"/>
            </w:tcBorders>
            <w:noWrap w:val="0"/>
            <w:vAlign w:val="center"/>
          </w:tcPr>
          <w:p w14:paraId="19E09B12">
            <w:pPr>
              <w:spacing w:line="480" w:lineRule="exact"/>
              <w:jc w:val="center"/>
              <w:rPr>
                <w:rFonts w:ascii="宋体" w:hAnsi="宋体" w:cs="宋体"/>
                <w:sz w:val="24"/>
                <w:highlight w:val="none"/>
              </w:rPr>
            </w:pP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47712C46">
            <w:pPr>
              <w:spacing w:line="480" w:lineRule="exact"/>
              <w:jc w:val="center"/>
              <w:rPr>
                <w:rFonts w:ascii="宋体" w:hAnsi="宋体" w:cs="宋体"/>
                <w:sz w:val="24"/>
                <w:highlight w:val="none"/>
              </w:rPr>
            </w:pP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6F66DB40">
            <w:pPr>
              <w:spacing w:line="480" w:lineRule="exact"/>
              <w:jc w:val="center"/>
              <w:rPr>
                <w:rFonts w:ascii="宋体" w:hAnsi="宋体" w:cs="宋体"/>
                <w:sz w:val="24"/>
                <w:highlight w:val="none"/>
              </w:rPr>
            </w:pPr>
          </w:p>
        </w:tc>
      </w:tr>
      <w:tr w14:paraId="39D64D4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4" w:hRule="exact"/>
          <w:jc w:val="center"/>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6F009A5C">
            <w:pPr>
              <w:spacing w:line="480" w:lineRule="exact"/>
              <w:jc w:val="center"/>
              <w:rPr>
                <w:rFonts w:ascii="宋体" w:hAnsi="宋体" w:cs="宋体"/>
                <w:sz w:val="24"/>
                <w:highlight w:val="none"/>
              </w:rPr>
            </w:pPr>
          </w:p>
        </w:tc>
        <w:tc>
          <w:tcPr>
            <w:tcW w:w="3014" w:type="dxa"/>
            <w:tcBorders>
              <w:top w:val="single" w:color="000000" w:sz="4" w:space="0"/>
              <w:left w:val="single" w:color="000000" w:sz="4" w:space="0"/>
              <w:bottom w:val="single" w:color="000000" w:sz="4" w:space="0"/>
              <w:right w:val="single" w:color="000000" w:sz="4" w:space="0"/>
            </w:tcBorders>
            <w:noWrap w:val="0"/>
            <w:vAlign w:val="center"/>
          </w:tcPr>
          <w:p w14:paraId="0FB45AFA">
            <w:pPr>
              <w:spacing w:line="480" w:lineRule="exact"/>
              <w:jc w:val="center"/>
              <w:rPr>
                <w:rFonts w:ascii="宋体" w:hAnsi="宋体" w:cs="宋体"/>
                <w:sz w:val="24"/>
                <w:highlight w:val="none"/>
              </w:rPr>
            </w:pPr>
          </w:p>
        </w:tc>
        <w:tc>
          <w:tcPr>
            <w:tcW w:w="3010" w:type="dxa"/>
            <w:tcBorders>
              <w:top w:val="single" w:color="000000" w:sz="4" w:space="0"/>
              <w:left w:val="single" w:color="000000" w:sz="4" w:space="0"/>
              <w:bottom w:val="single" w:color="000000" w:sz="4" w:space="0"/>
              <w:right w:val="single" w:color="000000" w:sz="4" w:space="0"/>
            </w:tcBorders>
            <w:noWrap w:val="0"/>
            <w:vAlign w:val="center"/>
          </w:tcPr>
          <w:p w14:paraId="6CC4CFE0">
            <w:pPr>
              <w:spacing w:line="480" w:lineRule="exact"/>
              <w:jc w:val="center"/>
              <w:rPr>
                <w:rFonts w:ascii="宋体" w:hAnsi="宋体" w:cs="宋体"/>
                <w:sz w:val="24"/>
                <w:highlight w:val="none"/>
              </w:rPr>
            </w:pP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13A9A5BB">
            <w:pPr>
              <w:spacing w:line="480" w:lineRule="exact"/>
              <w:jc w:val="center"/>
              <w:rPr>
                <w:rFonts w:ascii="宋体" w:hAnsi="宋体" w:cs="宋体"/>
                <w:sz w:val="24"/>
                <w:highlight w:val="none"/>
              </w:rPr>
            </w:pP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685A6D1A">
            <w:pPr>
              <w:spacing w:line="480" w:lineRule="exact"/>
              <w:jc w:val="center"/>
              <w:rPr>
                <w:rFonts w:ascii="宋体" w:hAnsi="宋体" w:cs="宋体"/>
                <w:sz w:val="24"/>
                <w:highlight w:val="none"/>
              </w:rPr>
            </w:pPr>
          </w:p>
        </w:tc>
      </w:tr>
      <w:tr w14:paraId="2BE7392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4" w:hRule="exact"/>
          <w:jc w:val="center"/>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717DC7CD">
            <w:pPr>
              <w:spacing w:line="480" w:lineRule="exact"/>
              <w:jc w:val="center"/>
              <w:rPr>
                <w:rFonts w:ascii="宋体" w:hAnsi="宋体" w:cs="宋体"/>
                <w:sz w:val="24"/>
                <w:highlight w:val="none"/>
              </w:rPr>
            </w:pPr>
          </w:p>
        </w:tc>
        <w:tc>
          <w:tcPr>
            <w:tcW w:w="3014" w:type="dxa"/>
            <w:tcBorders>
              <w:top w:val="single" w:color="000000" w:sz="4" w:space="0"/>
              <w:left w:val="single" w:color="000000" w:sz="4" w:space="0"/>
              <w:bottom w:val="single" w:color="000000" w:sz="4" w:space="0"/>
              <w:right w:val="single" w:color="000000" w:sz="4" w:space="0"/>
            </w:tcBorders>
            <w:noWrap w:val="0"/>
            <w:vAlign w:val="center"/>
          </w:tcPr>
          <w:p w14:paraId="0D197EBB">
            <w:pPr>
              <w:spacing w:line="480" w:lineRule="exact"/>
              <w:jc w:val="center"/>
              <w:rPr>
                <w:rFonts w:ascii="宋体" w:hAnsi="宋体" w:cs="宋体"/>
                <w:sz w:val="24"/>
                <w:highlight w:val="none"/>
              </w:rPr>
            </w:pPr>
          </w:p>
        </w:tc>
        <w:tc>
          <w:tcPr>
            <w:tcW w:w="3010" w:type="dxa"/>
            <w:tcBorders>
              <w:top w:val="single" w:color="000000" w:sz="4" w:space="0"/>
              <w:left w:val="single" w:color="000000" w:sz="4" w:space="0"/>
              <w:bottom w:val="single" w:color="000000" w:sz="4" w:space="0"/>
              <w:right w:val="single" w:color="000000" w:sz="4" w:space="0"/>
            </w:tcBorders>
            <w:noWrap w:val="0"/>
            <w:vAlign w:val="center"/>
          </w:tcPr>
          <w:p w14:paraId="5B18AD19">
            <w:pPr>
              <w:spacing w:line="480" w:lineRule="exact"/>
              <w:jc w:val="center"/>
              <w:rPr>
                <w:rFonts w:ascii="宋体" w:hAnsi="宋体" w:cs="宋体"/>
                <w:sz w:val="24"/>
                <w:highlight w:val="none"/>
              </w:rPr>
            </w:pP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6061275D">
            <w:pPr>
              <w:spacing w:line="480" w:lineRule="exact"/>
              <w:jc w:val="center"/>
              <w:rPr>
                <w:rFonts w:ascii="宋体" w:hAnsi="宋体" w:cs="宋体"/>
                <w:sz w:val="24"/>
                <w:highlight w:val="none"/>
              </w:rPr>
            </w:pP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0D67B0D4">
            <w:pPr>
              <w:spacing w:line="480" w:lineRule="exact"/>
              <w:jc w:val="center"/>
              <w:rPr>
                <w:rFonts w:ascii="宋体" w:hAnsi="宋体" w:cs="宋体"/>
                <w:sz w:val="24"/>
                <w:highlight w:val="none"/>
              </w:rPr>
            </w:pPr>
          </w:p>
        </w:tc>
      </w:tr>
      <w:tr w14:paraId="6CA2982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4" w:hRule="exact"/>
          <w:jc w:val="center"/>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01363C16">
            <w:pPr>
              <w:spacing w:line="480" w:lineRule="exact"/>
              <w:jc w:val="center"/>
              <w:rPr>
                <w:rFonts w:ascii="宋体" w:hAnsi="宋体" w:cs="宋体"/>
                <w:sz w:val="24"/>
                <w:highlight w:val="none"/>
              </w:rPr>
            </w:pPr>
          </w:p>
        </w:tc>
        <w:tc>
          <w:tcPr>
            <w:tcW w:w="3014" w:type="dxa"/>
            <w:tcBorders>
              <w:top w:val="single" w:color="000000" w:sz="4" w:space="0"/>
              <w:left w:val="single" w:color="000000" w:sz="4" w:space="0"/>
              <w:bottom w:val="single" w:color="000000" w:sz="4" w:space="0"/>
              <w:right w:val="single" w:color="000000" w:sz="4" w:space="0"/>
            </w:tcBorders>
            <w:noWrap w:val="0"/>
            <w:vAlign w:val="center"/>
          </w:tcPr>
          <w:p w14:paraId="53464FC3">
            <w:pPr>
              <w:spacing w:line="480" w:lineRule="exact"/>
              <w:jc w:val="center"/>
              <w:rPr>
                <w:rFonts w:ascii="宋体" w:hAnsi="宋体" w:cs="宋体"/>
                <w:sz w:val="24"/>
                <w:highlight w:val="none"/>
              </w:rPr>
            </w:pPr>
          </w:p>
        </w:tc>
        <w:tc>
          <w:tcPr>
            <w:tcW w:w="3010" w:type="dxa"/>
            <w:tcBorders>
              <w:top w:val="single" w:color="000000" w:sz="4" w:space="0"/>
              <w:left w:val="single" w:color="000000" w:sz="4" w:space="0"/>
              <w:bottom w:val="single" w:color="000000" w:sz="4" w:space="0"/>
              <w:right w:val="single" w:color="000000" w:sz="4" w:space="0"/>
            </w:tcBorders>
            <w:noWrap w:val="0"/>
            <w:vAlign w:val="center"/>
          </w:tcPr>
          <w:p w14:paraId="55338A03">
            <w:pPr>
              <w:spacing w:line="480" w:lineRule="exact"/>
              <w:jc w:val="center"/>
              <w:rPr>
                <w:rFonts w:ascii="宋体" w:hAnsi="宋体" w:cs="宋体"/>
                <w:sz w:val="24"/>
                <w:highlight w:val="none"/>
              </w:rPr>
            </w:pP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489F0F74">
            <w:pPr>
              <w:spacing w:line="480" w:lineRule="exact"/>
              <w:jc w:val="center"/>
              <w:rPr>
                <w:rFonts w:ascii="宋体" w:hAnsi="宋体" w:cs="宋体"/>
                <w:sz w:val="24"/>
                <w:highlight w:val="none"/>
              </w:rPr>
            </w:pP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4D931F2A">
            <w:pPr>
              <w:spacing w:line="480" w:lineRule="exact"/>
              <w:jc w:val="center"/>
              <w:rPr>
                <w:rFonts w:ascii="宋体" w:hAnsi="宋体" w:cs="宋体"/>
                <w:sz w:val="24"/>
                <w:highlight w:val="none"/>
              </w:rPr>
            </w:pPr>
          </w:p>
        </w:tc>
      </w:tr>
      <w:tr w14:paraId="58D1F0B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4" w:hRule="exact"/>
          <w:jc w:val="center"/>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1A60CA44">
            <w:pPr>
              <w:spacing w:line="480" w:lineRule="exact"/>
              <w:jc w:val="center"/>
              <w:rPr>
                <w:rFonts w:ascii="宋体" w:hAnsi="宋体" w:cs="宋体"/>
                <w:sz w:val="24"/>
                <w:highlight w:val="none"/>
              </w:rPr>
            </w:pPr>
          </w:p>
        </w:tc>
        <w:tc>
          <w:tcPr>
            <w:tcW w:w="3014" w:type="dxa"/>
            <w:tcBorders>
              <w:top w:val="single" w:color="000000" w:sz="4" w:space="0"/>
              <w:left w:val="single" w:color="000000" w:sz="4" w:space="0"/>
              <w:bottom w:val="single" w:color="000000" w:sz="4" w:space="0"/>
              <w:right w:val="single" w:color="000000" w:sz="4" w:space="0"/>
            </w:tcBorders>
            <w:noWrap w:val="0"/>
            <w:vAlign w:val="center"/>
          </w:tcPr>
          <w:p w14:paraId="5DBCC66C">
            <w:pPr>
              <w:spacing w:line="480" w:lineRule="exact"/>
              <w:jc w:val="center"/>
              <w:rPr>
                <w:rFonts w:ascii="宋体" w:hAnsi="宋体" w:cs="宋体"/>
                <w:sz w:val="24"/>
                <w:highlight w:val="none"/>
              </w:rPr>
            </w:pPr>
          </w:p>
        </w:tc>
        <w:tc>
          <w:tcPr>
            <w:tcW w:w="3010" w:type="dxa"/>
            <w:tcBorders>
              <w:top w:val="single" w:color="000000" w:sz="4" w:space="0"/>
              <w:left w:val="single" w:color="000000" w:sz="4" w:space="0"/>
              <w:bottom w:val="single" w:color="000000" w:sz="4" w:space="0"/>
              <w:right w:val="single" w:color="000000" w:sz="4" w:space="0"/>
            </w:tcBorders>
            <w:noWrap w:val="0"/>
            <w:vAlign w:val="center"/>
          </w:tcPr>
          <w:p w14:paraId="4FFE9D8E">
            <w:pPr>
              <w:spacing w:line="480" w:lineRule="exact"/>
              <w:jc w:val="center"/>
              <w:rPr>
                <w:rFonts w:ascii="宋体" w:hAnsi="宋体" w:cs="宋体"/>
                <w:sz w:val="24"/>
                <w:highlight w:val="none"/>
              </w:rPr>
            </w:pP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3A942D9F">
            <w:pPr>
              <w:spacing w:line="480" w:lineRule="exact"/>
              <w:jc w:val="center"/>
              <w:rPr>
                <w:rFonts w:ascii="宋体" w:hAnsi="宋体" w:cs="宋体"/>
                <w:sz w:val="24"/>
                <w:highlight w:val="none"/>
              </w:rPr>
            </w:pP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5BA84083">
            <w:pPr>
              <w:spacing w:line="480" w:lineRule="exact"/>
              <w:jc w:val="center"/>
              <w:rPr>
                <w:rFonts w:ascii="宋体" w:hAnsi="宋体" w:cs="宋体"/>
                <w:sz w:val="24"/>
                <w:highlight w:val="none"/>
              </w:rPr>
            </w:pPr>
          </w:p>
        </w:tc>
      </w:tr>
      <w:tr w14:paraId="2C7585C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4" w:hRule="exact"/>
          <w:jc w:val="center"/>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711F3197">
            <w:pPr>
              <w:spacing w:line="480" w:lineRule="exact"/>
              <w:jc w:val="center"/>
              <w:rPr>
                <w:rFonts w:ascii="宋体" w:hAnsi="宋体" w:cs="宋体"/>
                <w:sz w:val="24"/>
                <w:highlight w:val="none"/>
              </w:rPr>
            </w:pPr>
          </w:p>
        </w:tc>
        <w:tc>
          <w:tcPr>
            <w:tcW w:w="3014" w:type="dxa"/>
            <w:tcBorders>
              <w:top w:val="single" w:color="000000" w:sz="4" w:space="0"/>
              <w:left w:val="single" w:color="000000" w:sz="4" w:space="0"/>
              <w:bottom w:val="single" w:color="000000" w:sz="4" w:space="0"/>
              <w:right w:val="single" w:color="000000" w:sz="4" w:space="0"/>
            </w:tcBorders>
            <w:noWrap w:val="0"/>
            <w:vAlign w:val="center"/>
          </w:tcPr>
          <w:p w14:paraId="6E0D2E83">
            <w:pPr>
              <w:spacing w:line="480" w:lineRule="exact"/>
              <w:jc w:val="center"/>
              <w:rPr>
                <w:rFonts w:ascii="宋体" w:hAnsi="宋体" w:cs="宋体"/>
                <w:sz w:val="24"/>
                <w:highlight w:val="none"/>
              </w:rPr>
            </w:pPr>
          </w:p>
        </w:tc>
        <w:tc>
          <w:tcPr>
            <w:tcW w:w="3010" w:type="dxa"/>
            <w:tcBorders>
              <w:top w:val="single" w:color="000000" w:sz="4" w:space="0"/>
              <w:left w:val="single" w:color="000000" w:sz="4" w:space="0"/>
              <w:bottom w:val="single" w:color="000000" w:sz="4" w:space="0"/>
              <w:right w:val="single" w:color="000000" w:sz="4" w:space="0"/>
            </w:tcBorders>
            <w:noWrap w:val="0"/>
            <w:vAlign w:val="center"/>
          </w:tcPr>
          <w:p w14:paraId="6D7D4144">
            <w:pPr>
              <w:spacing w:line="480" w:lineRule="exact"/>
              <w:jc w:val="center"/>
              <w:rPr>
                <w:rFonts w:ascii="宋体" w:hAnsi="宋体" w:cs="宋体"/>
                <w:sz w:val="24"/>
                <w:highlight w:val="none"/>
              </w:rPr>
            </w:pP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29F50A05">
            <w:pPr>
              <w:spacing w:line="480" w:lineRule="exact"/>
              <w:jc w:val="center"/>
              <w:rPr>
                <w:rFonts w:ascii="宋体" w:hAnsi="宋体" w:cs="宋体"/>
                <w:sz w:val="24"/>
                <w:highlight w:val="none"/>
              </w:rPr>
            </w:pP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3C99C818">
            <w:pPr>
              <w:spacing w:line="480" w:lineRule="exact"/>
              <w:jc w:val="center"/>
              <w:rPr>
                <w:rFonts w:ascii="宋体" w:hAnsi="宋体" w:cs="宋体"/>
                <w:sz w:val="24"/>
                <w:highlight w:val="none"/>
              </w:rPr>
            </w:pPr>
          </w:p>
        </w:tc>
      </w:tr>
      <w:tr w14:paraId="70D1BD7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34" w:hRule="exact"/>
          <w:jc w:val="center"/>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4D4D567E">
            <w:pPr>
              <w:spacing w:line="480" w:lineRule="exact"/>
              <w:jc w:val="center"/>
              <w:rPr>
                <w:rFonts w:ascii="宋体" w:hAnsi="宋体" w:cs="宋体"/>
                <w:sz w:val="24"/>
                <w:highlight w:val="none"/>
              </w:rPr>
            </w:pPr>
          </w:p>
        </w:tc>
        <w:tc>
          <w:tcPr>
            <w:tcW w:w="3014" w:type="dxa"/>
            <w:tcBorders>
              <w:top w:val="single" w:color="000000" w:sz="4" w:space="0"/>
              <w:left w:val="single" w:color="000000" w:sz="4" w:space="0"/>
              <w:bottom w:val="single" w:color="000000" w:sz="4" w:space="0"/>
              <w:right w:val="single" w:color="000000" w:sz="4" w:space="0"/>
            </w:tcBorders>
            <w:noWrap w:val="0"/>
            <w:vAlign w:val="center"/>
          </w:tcPr>
          <w:p w14:paraId="644BF965">
            <w:pPr>
              <w:spacing w:line="480" w:lineRule="exact"/>
              <w:jc w:val="center"/>
              <w:rPr>
                <w:rFonts w:ascii="宋体" w:hAnsi="宋体" w:cs="宋体"/>
                <w:sz w:val="24"/>
                <w:highlight w:val="none"/>
              </w:rPr>
            </w:pPr>
          </w:p>
        </w:tc>
        <w:tc>
          <w:tcPr>
            <w:tcW w:w="3010" w:type="dxa"/>
            <w:tcBorders>
              <w:top w:val="single" w:color="000000" w:sz="4" w:space="0"/>
              <w:left w:val="single" w:color="000000" w:sz="4" w:space="0"/>
              <w:bottom w:val="single" w:color="000000" w:sz="4" w:space="0"/>
              <w:right w:val="single" w:color="000000" w:sz="4" w:space="0"/>
            </w:tcBorders>
            <w:noWrap w:val="0"/>
            <w:vAlign w:val="center"/>
          </w:tcPr>
          <w:p w14:paraId="5F348D28">
            <w:pPr>
              <w:spacing w:line="480" w:lineRule="exact"/>
              <w:jc w:val="center"/>
              <w:rPr>
                <w:rFonts w:ascii="宋体" w:hAnsi="宋体" w:cs="宋体"/>
                <w:sz w:val="24"/>
                <w:highlight w:val="none"/>
              </w:rPr>
            </w:pPr>
          </w:p>
        </w:tc>
        <w:tc>
          <w:tcPr>
            <w:tcW w:w="2220" w:type="dxa"/>
            <w:tcBorders>
              <w:top w:val="single" w:color="000000" w:sz="4" w:space="0"/>
              <w:left w:val="single" w:color="000000" w:sz="4" w:space="0"/>
              <w:bottom w:val="single" w:color="000000" w:sz="4" w:space="0"/>
              <w:right w:val="single" w:color="000000" w:sz="4" w:space="0"/>
            </w:tcBorders>
            <w:noWrap w:val="0"/>
            <w:vAlign w:val="center"/>
          </w:tcPr>
          <w:p w14:paraId="4AE6E884">
            <w:pPr>
              <w:spacing w:line="480" w:lineRule="exact"/>
              <w:jc w:val="center"/>
              <w:rPr>
                <w:rFonts w:ascii="宋体" w:hAnsi="宋体" w:cs="宋体"/>
                <w:sz w:val="24"/>
                <w:highlight w:val="none"/>
              </w:rPr>
            </w:pP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38853351">
            <w:pPr>
              <w:spacing w:line="480" w:lineRule="exact"/>
              <w:jc w:val="center"/>
              <w:rPr>
                <w:rFonts w:ascii="宋体" w:hAnsi="宋体" w:cs="宋体"/>
                <w:sz w:val="24"/>
                <w:highlight w:val="none"/>
              </w:rPr>
            </w:pPr>
          </w:p>
        </w:tc>
      </w:tr>
    </w:tbl>
    <w:p w14:paraId="354105A3">
      <w:pPr>
        <w:tabs>
          <w:tab w:val="left" w:pos="0"/>
        </w:tabs>
        <w:spacing w:line="480" w:lineRule="exact"/>
        <w:ind w:firstLine="480"/>
        <w:rPr>
          <w:rFonts w:hint="eastAsia"/>
          <w:sz w:val="24"/>
          <w:szCs w:val="24"/>
          <w:highlight w:val="none"/>
        </w:rPr>
      </w:pPr>
      <w:r>
        <w:rPr>
          <w:rFonts w:hint="eastAsia"/>
          <w:sz w:val="24"/>
          <w:szCs w:val="24"/>
          <w:highlight w:val="none"/>
        </w:rPr>
        <w:t>注：1. 按照基本技术要求详细填列。</w:t>
      </w:r>
    </w:p>
    <w:p w14:paraId="3D15E3D3">
      <w:pPr>
        <w:tabs>
          <w:tab w:val="left" w:pos="0"/>
        </w:tabs>
        <w:spacing w:line="480" w:lineRule="exact"/>
        <w:ind w:firstLine="480"/>
        <w:rPr>
          <w:rFonts w:hint="eastAsia"/>
          <w:sz w:val="24"/>
          <w:szCs w:val="24"/>
          <w:highlight w:val="none"/>
        </w:rPr>
      </w:pPr>
      <w:r>
        <w:rPr>
          <w:rFonts w:hint="eastAsia"/>
          <w:sz w:val="24"/>
          <w:szCs w:val="24"/>
          <w:highlight w:val="none"/>
          <w:lang w:val="en-US" w:eastAsia="zh-CN"/>
        </w:rPr>
        <w:t>2.</w:t>
      </w:r>
      <w:r>
        <w:rPr>
          <w:rFonts w:hint="eastAsia"/>
          <w:sz w:val="24"/>
          <w:szCs w:val="24"/>
          <w:highlight w:val="none"/>
        </w:rPr>
        <w:t>行数不够，可自行添加。</w:t>
      </w:r>
    </w:p>
    <w:p w14:paraId="3A5E252A">
      <w:pPr>
        <w:tabs>
          <w:tab w:val="left" w:pos="0"/>
        </w:tabs>
        <w:spacing w:line="480" w:lineRule="exact"/>
        <w:ind w:firstLine="480"/>
        <w:rPr>
          <w:rFonts w:hint="eastAsia"/>
          <w:sz w:val="24"/>
          <w:szCs w:val="24"/>
          <w:highlight w:val="none"/>
        </w:rPr>
      </w:pPr>
      <w:r>
        <w:rPr>
          <w:rFonts w:hint="eastAsia"/>
          <w:sz w:val="24"/>
          <w:szCs w:val="24"/>
          <w:highlight w:val="none"/>
        </w:rPr>
        <w:t>3、</w:t>
      </w:r>
      <w:r>
        <w:rPr>
          <w:rFonts w:hint="eastAsia"/>
          <w:sz w:val="24"/>
          <w:szCs w:val="24"/>
          <w:highlight w:val="none"/>
          <w:lang w:val="en-US" w:eastAsia="zh-CN"/>
        </w:rPr>
        <w:t>服务内容</w:t>
      </w:r>
      <w:r>
        <w:rPr>
          <w:rFonts w:hint="eastAsia"/>
          <w:sz w:val="24"/>
          <w:szCs w:val="24"/>
          <w:highlight w:val="none"/>
        </w:rPr>
        <w:t>偏离表应针对项目需求逐条应答。</w:t>
      </w:r>
    </w:p>
    <w:p w14:paraId="6F3A405F">
      <w:pPr>
        <w:tabs>
          <w:tab w:val="left" w:pos="0"/>
        </w:tabs>
        <w:spacing w:line="480" w:lineRule="exact"/>
        <w:ind w:firstLine="480"/>
        <w:rPr>
          <w:sz w:val="24"/>
          <w:szCs w:val="24"/>
          <w:highlight w:val="none"/>
        </w:rPr>
      </w:pPr>
      <w:r>
        <w:rPr>
          <w:rFonts w:hint="eastAsia"/>
          <w:sz w:val="24"/>
          <w:szCs w:val="24"/>
          <w:highlight w:val="none"/>
          <w:lang w:val="en-US" w:eastAsia="zh-CN"/>
        </w:rPr>
        <w:t>4</w:t>
      </w:r>
      <w:r>
        <w:rPr>
          <w:sz w:val="24"/>
          <w:szCs w:val="24"/>
          <w:highlight w:val="none"/>
        </w:rPr>
        <w:t>.</w:t>
      </w:r>
      <w:r>
        <w:rPr>
          <w:rFonts w:hint="eastAsia"/>
          <w:sz w:val="24"/>
          <w:szCs w:val="24"/>
          <w:highlight w:val="none"/>
        </w:rPr>
        <w:t>投标人如在投标过程中提供虚假材料谋取中标成交的或采取不正当手段诋毁、排挤其他供应商的</w:t>
      </w:r>
      <w:r>
        <w:rPr>
          <w:sz w:val="24"/>
          <w:szCs w:val="24"/>
          <w:highlight w:val="none"/>
        </w:rPr>
        <w:t>,</w:t>
      </w:r>
      <w:r>
        <w:rPr>
          <w:rFonts w:hint="eastAsia"/>
          <w:sz w:val="24"/>
          <w:szCs w:val="24"/>
          <w:highlight w:val="none"/>
        </w:rPr>
        <w:t>将承担相应法律责任。</w:t>
      </w:r>
    </w:p>
    <w:p w14:paraId="2ACCD1A1">
      <w:pPr>
        <w:widowControl/>
        <w:spacing w:line="480" w:lineRule="exact"/>
        <w:jc w:val="left"/>
        <w:rPr>
          <w:rFonts w:ascii="宋体" w:hAnsi="宋体" w:cs="宋体"/>
          <w:sz w:val="24"/>
          <w:highlight w:val="none"/>
        </w:rPr>
      </w:pPr>
    </w:p>
    <w:p w14:paraId="04193EA4">
      <w:pPr>
        <w:widowControl/>
        <w:spacing w:line="480" w:lineRule="exact"/>
        <w:ind w:firstLine="480"/>
        <w:jc w:val="left"/>
        <w:rPr>
          <w:rFonts w:ascii="宋体" w:hAnsi="宋体" w:cs="宋体"/>
          <w:sz w:val="24"/>
          <w:highlight w:val="none"/>
          <w:u w:val="single"/>
        </w:rPr>
      </w:pPr>
      <w:r>
        <w:rPr>
          <w:rFonts w:hint="eastAsia" w:ascii="宋体" w:hAnsi="宋体" w:cs="宋体"/>
          <w:sz w:val="24"/>
          <w:highlight w:val="none"/>
        </w:rPr>
        <w:t>法定代表人或委托代理人</w:t>
      </w:r>
      <w:r>
        <w:rPr>
          <w:rFonts w:hint="eastAsia" w:ascii="宋体" w:hAnsi="宋体" w:cs="宋体"/>
          <w:highlight w:val="none"/>
        </w:rPr>
        <w:t xml:space="preserve">： </w:t>
      </w:r>
      <w:r>
        <w:rPr>
          <w:rFonts w:hint="eastAsia" w:ascii="宋体" w:hAnsi="宋体" w:cs="宋体"/>
          <w:sz w:val="24"/>
          <w:highlight w:val="none"/>
        </w:rPr>
        <w:t>（盖章或签字）</w:t>
      </w:r>
    </w:p>
    <w:p w14:paraId="21C44881">
      <w:pPr>
        <w:spacing w:before="100" w:beforeAutospacing="1" w:after="100" w:afterAutospacing="1" w:line="480" w:lineRule="exact"/>
        <w:ind w:firstLine="480"/>
        <w:rPr>
          <w:highlight w:val="none"/>
        </w:rPr>
      </w:pPr>
      <w:r>
        <w:rPr>
          <w:rFonts w:hint="eastAsia" w:ascii="宋体" w:hAnsi="宋体" w:cs="宋体"/>
          <w:sz w:val="24"/>
          <w:highlight w:val="none"/>
        </w:rPr>
        <w:t>投标单位：   （全称并加盖公章）</w:t>
      </w:r>
    </w:p>
    <w:p w14:paraId="3A6624EB">
      <w:pPr>
        <w:spacing w:line="460" w:lineRule="exact"/>
        <w:ind w:firstLine="3840"/>
        <w:jc w:val="right"/>
        <w:rPr>
          <w:rFonts w:ascii="宋体" w:hAnsi="宋体"/>
          <w:bCs/>
          <w:sz w:val="24"/>
          <w:highlight w:val="none"/>
        </w:rPr>
      </w:pPr>
      <w:bookmarkStart w:id="108" w:name="_Toc120519630"/>
      <w:bookmarkStart w:id="109" w:name="_Toc120519836"/>
      <w:r>
        <w:rPr>
          <w:rFonts w:hint="eastAsia" w:ascii="宋体" w:hAnsi="宋体"/>
          <w:bCs/>
          <w:sz w:val="24"/>
          <w:highlight w:val="none"/>
        </w:rPr>
        <w:t>年    月    日</w:t>
      </w:r>
      <w:bookmarkEnd w:id="108"/>
      <w:bookmarkEnd w:id="109"/>
    </w:p>
    <w:p w14:paraId="55AA7D07">
      <w:pPr>
        <w:pStyle w:val="17"/>
        <w:rPr>
          <w:highlight w:val="none"/>
          <w:lang w:eastAsia="zh-CN"/>
        </w:rPr>
      </w:pPr>
    </w:p>
    <w:p w14:paraId="2DB77E98">
      <w:pPr>
        <w:widowControl/>
        <w:spacing w:line="320" w:lineRule="atLeast"/>
        <w:jc w:val="center"/>
        <w:rPr>
          <w:rFonts w:ascii="宋体" w:hAnsi="宋体"/>
          <w:b/>
          <w:sz w:val="36"/>
          <w:highlight w:val="none"/>
        </w:rPr>
      </w:pPr>
    </w:p>
    <w:p w14:paraId="56CD048B">
      <w:pPr>
        <w:widowControl/>
        <w:spacing w:line="320" w:lineRule="atLeast"/>
        <w:jc w:val="center"/>
        <w:rPr>
          <w:rFonts w:ascii="宋体" w:hAnsi="宋体"/>
          <w:b/>
          <w:sz w:val="36"/>
          <w:highlight w:val="none"/>
        </w:rPr>
      </w:pPr>
    </w:p>
    <w:p w14:paraId="577712EC">
      <w:pPr>
        <w:spacing w:line="480" w:lineRule="exact"/>
        <w:jc w:val="center"/>
        <w:rPr>
          <w:rFonts w:ascii="黑体" w:hAnsi="黑体" w:eastAsia="黑体" w:cs="黑体"/>
          <w:b/>
          <w:sz w:val="36"/>
          <w:szCs w:val="36"/>
          <w:highlight w:val="none"/>
        </w:rPr>
      </w:pPr>
    </w:p>
    <w:p w14:paraId="3439F41F">
      <w:pPr>
        <w:spacing w:line="480" w:lineRule="exact"/>
        <w:jc w:val="center"/>
        <w:rPr>
          <w:rFonts w:ascii="黑体" w:hAnsi="黑体" w:eastAsia="黑体" w:cs="黑体"/>
          <w:b/>
          <w:sz w:val="36"/>
          <w:szCs w:val="36"/>
          <w:highlight w:val="none"/>
        </w:rPr>
      </w:pPr>
    </w:p>
    <w:p w14:paraId="3734193B">
      <w:pPr>
        <w:keepNext/>
        <w:keepLines/>
        <w:widowControl/>
        <w:spacing w:before="260" w:after="260" w:line="480" w:lineRule="exact"/>
        <w:jc w:val="center"/>
        <w:outlineLvl w:val="1"/>
        <w:rPr>
          <w:rFonts w:hint="eastAsia" w:eastAsia="黑体"/>
          <w:highlight w:val="none"/>
          <w:lang w:eastAsia="zh-CN"/>
        </w:rPr>
      </w:pPr>
      <w:bookmarkStart w:id="110" w:name="_Toc126251020"/>
      <w:bookmarkStart w:id="111" w:name="_Toc130206670"/>
      <w:bookmarkStart w:id="112" w:name="_Toc24123"/>
      <w:bookmarkStart w:id="113" w:name="_Toc31249"/>
      <w:bookmarkStart w:id="114" w:name="_Toc120519634"/>
      <w:r>
        <w:rPr>
          <w:rFonts w:ascii="Arial" w:hAnsi="Arial" w:eastAsia="黑体"/>
          <w:b/>
          <w:bCs/>
          <w:sz w:val="32"/>
          <w:szCs w:val="32"/>
          <w:highlight w:val="none"/>
        </w:rPr>
        <w:t>（十</w:t>
      </w:r>
      <w:r>
        <w:rPr>
          <w:rFonts w:hint="eastAsia" w:ascii="Arial" w:hAnsi="Arial" w:eastAsia="黑体"/>
          <w:b/>
          <w:bCs/>
          <w:sz w:val="32"/>
          <w:szCs w:val="32"/>
          <w:highlight w:val="none"/>
          <w:lang w:val="en-US" w:eastAsia="zh-CN"/>
        </w:rPr>
        <w:t>五</w:t>
      </w:r>
      <w:r>
        <w:rPr>
          <w:rFonts w:ascii="Arial" w:hAnsi="Arial" w:eastAsia="黑体"/>
          <w:b/>
          <w:bCs/>
          <w:sz w:val="32"/>
          <w:szCs w:val="32"/>
          <w:highlight w:val="none"/>
        </w:rPr>
        <w:t>）项目业绩汇总表</w:t>
      </w:r>
      <w:bookmarkEnd w:id="110"/>
      <w:bookmarkEnd w:id="111"/>
      <w:r>
        <w:rPr>
          <w:rFonts w:hint="eastAsia" w:ascii="Arial" w:hAnsi="Arial" w:eastAsia="黑体"/>
          <w:b/>
          <w:bCs/>
          <w:sz w:val="32"/>
          <w:szCs w:val="32"/>
          <w:highlight w:val="none"/>
          <w:lang w:eastAsia="zh-CN"/>
        </w:rPr>
        <w:t>（</w:t>
      </w:r>
      <w:r>
        <w:rPr>
          <w:rFonts w:hint="eastAsia" w:ascii="Arial" w:hAnsi="Arial" w:eastAsia="黑体"/>
          <w:b/>
          <w:bCs/>
          <w:sz w:val="32"/>
          <w:szCs w:val="32"/>
          <w:highlight w:val="none"/>
          <w:lang w:val="en-US" w:eastAsia="zh-CN"/>
        </w:rPr>
        <w:t>如提供业绩须提供该表</w:t>
      </w:r>
      <w:r>
        <w:rPr>
          <w:rFonts w:hint="eastAsia" w:ascii="Arial" w:hAnsi="Arial" w:eastAsia="黑体"/>
          <w:b/>
          <w:bCs/>
          <w:sz w:val="32"/>
          <w:szCs w:val="32"/>
          <w:highlight w:val="none"/>
          <w:lang w:eastAsia="zh-CN"/>
        </w:rPr>
        <w:t>）</w:t>
      </w:r>
      <w:bookmarkEnd w:id="112"/>
      <w:bookmarkEnd w:id="113"/>
    </w:p>
    <w:tbl>
      <w:tblPr>
        <w:tblStyle w:val="42"/>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8" w:type="dxa"/>
          <w:bottom w:w="0" w:type="dxa"/>
          <w:right w:w="108" w:type="dxa"/>
        </w:tblCellMar>
      </w:tblPr>
      <w:tblGrid>
        <w:gridCol w:w="900"/>
        <w:gridCol w:w="1370"/>
        <w:gridCol w:w="1505"/>
        <w:gridCol w:w="2046"/>
        <w:gridCol w:w="1800"/>
        <w:gridCol w:w="1665"/>
      </w:tblGrid>
      <w:tr w14:paraId="7B84419B">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900" w:type="dxa"/>
            <w:noWrap w:val="0"/>
            <w:tcMar>
              <w:left w:w="108" w:type="dxa"/>
            </w:tcMar>
            <w:vAlign w:val="center"/>
          </w:tcPr>
          <w:p w14:paraId="7741CFC2">
            <w:pPr>
              <w:widowControl/>
              <w:jc w:val="center"/>
              <w:rPr>
                <w:rFonts w:ascii="宋体"/>
                <w:sz w:val="24"/>
                <w:szCs w:val="24"/>
                <w:highlight w:val="none"/>
              </w:rPr>
            </w:pPr>
            <w:r>
              <w:rPr>
                <w:rFonts w:ascii="宋体" w:hAnsi="宋体"/>
                <w:sz w:val="24"/>
                <w:szCs w:val="24"/>
                <w:highlight w:val="none"/>
              </w:rPr>
              <w:t>序号</w:t>
            </w:r>
          </w:p>
        </w:tc>
        <w:tc>
          <w:tcPr>
            <w:tcW w:w="1370" w:type="dxa"/>
            <w:noWrap w:val="0"/>
            <w:tcMar>
              <w:left w:w="108" w:type="dxa"/>
            </w:tcMar>
            <w:vAlign w:val="center"/>
          </w:tcPr>
          <w:p w14:paraId="44E9FA5D">
            <w:pPr>
              <w:widowControl/>
              <w:jc w:val="center"/>
              <w:rPr>
                <w:rFonts w:ascii="宋体"/>
                <w:sz w:val="24"/>
                <w:szCs w:val="24"/>
                <w:highlight w:val="none"/>
              </w:rPr>
            </w:pPr>
            <w:r>
              <w:rPr>
                <w:rFonts w:ascii="宋体" w:hAnsi="宋体"/>
                <w:sz w:val="24"/>
                <w:szCs w:val="24"/>
                <w:highlight w:val="none"/>
              </w:rPr>
              <w:t>项目名称</w:t>
            </w:r>
          </w:p>
        </w:tc>
        <w:tc>
          <w:tcPr>
            <w:tcW w:w="1505" w:type="dxa"/>
            <w:noWrap w:val="0"/>
            <w:tcMar>
              <w:left w:w="108" w:type="dxa"/>
            </w:tcMar>
            <w:vAlign w:val="center"/>
          </w:tcPr>
          <w:p w14:paraId="222F36B8">
            <w:pPr>
              <w:widowControl/>
              <w:jc w:val="center"/>
              <w:rPr>
                <w:rFonts w:ascii="宋体"/>
                <w:sz w:val="24"/>
                <w:szCs w:val="24"/>
                <w:highlight w:val="none"/>
              </w:rPr>
            </w:pPr>
            <w:r>
              <w:rPr>
                <w:rFonts w:ascii="宋体" w:hAnsi="宋体"/>
                <w:sz w:val="24"/>
                <w:szCs w:val="24"/>
                <w:highlight w:val="none"/>
              </w:rPr>
              <w:t>项目内容</w:t>
            </w:r>
          </w:p>
        </w:tc>
        <w:tc>
          <w:tcPr>
            <w:tcW w:w="2046" w:type="dxa"/>
            <w:tcBorders>
              <w:right w:val="single" w:color="000000" w:sz="4" w:space="0"/>
            </w:tcBorders>
            <w:noWrap w:val="0"/>
            <w:tcMar>
              <w:left w:w="108" w:type="dxa"/>
            </w:tcMar>
            <w:vAlign w:val="center"/>
          </w:tcPr>
          <w:p w14:paraId="2689946E">
            <w:pPr>
              <w:widowControl/>
              <w:jc w:val="center"/>
              <w:rPr>
                <w:rFonts w:ascii="宋体"/>
                <w:sz w:val="24"/>
                <w:szCs w:val="24"/>
                <w:highlight w:val="none"/>
              </w:rPr>
            </w:pPr>
            <w:r>
              <w:rPr>
                <w:rFonts w:ascii="宋体" w:hAnsi="宋体"/>
                <w:sz w:val="24"/>
                <w:szCs w:val="24"/>
                <w:highlight w:val="none"/>
              </w:rPr>
              <w:t>项目金额（万元）</w:t>
            </w:r>
          </w:p>
        </w:tc>
        <w:tc>
          <w:tcPr>
            <w:tcW w:w="1800" w:type="dxa"/>
            <w:tcBorders>
              <w:left w:val="single" w:color="000000" w:sz="4" w:space="0"/>
            </w:tcBorders>
            <w:noWrap w:val="0"/>
            <w:vAlign w:val="center"/>
          </w:tcPr>
          <w:p w14:paraId="53203959">
            <w:pPr>
              <w:widowControl/>
              <w:jc w:val="center"/>
              <w:rPr>
                <w:rFonts w:ascii="宋体"/>
                <w:sz w:val="24"/>
                <w:szCs w:val="24"/>
                <w:highlight w:val="none"/>
              </w:rPr>
            </w:pPr>
            <w:r>
              <w:rPr>
                <w:rFonts w:ascii="宋体"/>
                <w:sz w:val="24"/>
                <w:szCs w:val="24"/>
                <w:highlight w:val="none"/>
              </w:rPr>
              <w:t>合同签订日期</w:t>
            </w:r>
          </w:p>
        </w:tc>
        <w:tc>
          <w:tcPr>
            <w:tcW w:w="1665" w:type="dxa"/>
            <w:tcBorders>
              <w:left w:val="single" w:color="000000" w:sz="4" w:space="0"/>
            </w:tcBorders>
            <w:noWrap w:val="0"/>
            <w:vAlign w:val="center"/>
          </w:tcPr>
          <w:p w14:paraId="6CBB49F5">
            <w:pPr>
              <w:widowControl/>
              <w:jc w:val="center"/>
              <w:rPr>
                <w:rFonts w:ascii="宋体"/>
                <w:sz w:val="24"/>
                <w:szCs w:val="24"/>
                <w:highlight w:val="none"/>
              </w:rPr>
            </w:pPr>
            <w:r>
              <w:rPr>
                <w:rFonts w:ascii="宋体"/>
                <w:sz w:val="24"/>
                <w:szCs w:val="24"/>
                <w:highlight w:val="none"/>
              </w:rPr>
              <w:t>业主联系方式</w:t>
            </w:r>
          </w:p>
        </w:tc>
      </w:tr>
      <w:tr w14:paraId="48777F79">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900" w:type="dxa"/>
            <w:noWrap w:val="0"/>
            <w:tcMar>
              <w:left w:w="108" w:type="dxa"/>
            </w:tcMar>
            <w:vAlign w:val="center"/>
          </w:tcPr>
          <w:p w14:paraId="3B7049D0">
            <w:pPr>
              <w:widowControl/>
              <w:spacing w:line="360" w:lineRule="auto"/>
              <w:jc w:val="center"/>
              <w:rPr>
                <w:rFonts w:ascii="宋体" w:hAnsi="宋体"/>
                <w:sz w:val="24"/>
                <w:szCs w:val="24"/>
                <w:highlight w:val="none"/>
              </w:rPr>
            </w:pPr>
            <w:r>
              <w:rPr>
                <w:rFonts w:ascii="宋体" w:hAnsi="宋体"/>
                <w:sz w:val="24"/>
                <w:szCs w:val="24"/>
                <w:highlight w:val="none"/>
              </w:rPr>
              <w:t>1</w:t>
            </w:r>
          </w:p>
        </w:tc>
        <w:tc>
          <w:tcPr>
            <w:tcW w:w="1370" w:type="dxa"/>
            <w:noWrap w:val="0"/>
            <w:tcMar>
              <w:left w:w="108" w:type="dxa"/>
            </w:tcMar>
            <w:vAlign w:val="center"/>
          </w:tcPr>
          <w:p w14:paraId="23B4DF2D">
            <w:pPr>
              <w:widowControl/>
              <w:spacing w:line="360" w:lineRule="auto"/>
              <w:jc w:val="center"/>
              <w:rPr>
                <w:rFonts w:ascii="宋体" w:hAnsi="宋体"/>
                <w:sz w:val="24"/>
                <w:szCs w:val="24"/>
                <w:highlight w:val="none"/>
              </w:rPr>
            </w:pPr>
          </w:p>
        </w:tc>
        <w:tc>
          <w:tcPr>
            <w:tcW w:w="1505" w:type="dxa"/>
            <w:noWrap w:val="0"/>
            <w:tcMar>
              <w:left w:w="108" w:type="dxa"/>
            </w:tcMar>
            <w:vAlign w:val="center"/>
          </w:tcPr>
          <w:p w14:paraId="08F10F8D">
            <w:pPr>
              <w:widowControl/>
              <w:spacing w:line="360" w:lineRule="auto"/>
              <w:jc w:val="center"/>
              <w:rPr>
                <w:rFonts w:ascii="宋体" w:hAnsi="宋体"/>
                <w:sz w:val="24"/>
                <w:szCs w:val="24"/>
                <w:highlight w:val="none"/>
              </w:rPr>
            </w:pPr>
          </w:p>
        </w:tc>
        <w:tc>
          <w:tcPr>
            <w:tcW w:w="2046" w:type="dxa"/>
            <w:tcBorders>
              <w:right w:val="single" w:color="000000" w:sz="4" w:space="0"/>
            </w:tcBorders>
            <w:noWrap w:val="0"/>
            <w:tcMar>
              <w:left w:w="108" w:type="dxa"/>
            </w:tcMar>
            <w:vAlign w:val="center"/>
          </w:tcPr>
          <w:p w14:paraId="22C8F158">
            <w:pPr>
              <w:widowControl/>
              <w:spacing w:line="360" w:lineRule="auto"/>
              <w:jc w:val="center"/>
              <w:rPr>
                <w:rFonts w:ascii="宋体" w:hAnsi="宋体"/>
                <w:sz w:val="24"/>
                <w:szCs w:val="24"/>
                <w:highlight w:val="none"/>
              </w:rPr>
            </w:pPr>
          </w:p>
        </w:tc>
        <w:tc>
          <w:tcPr>
            <w:tcW w:w="1800" w:type="dxa"/>
            <w:tcBorders>
              <w:left w:val="single" w:color="000000" w:sz="4" w:space="0"/>
            </w:tcBorders>
            <w:noWrap w:val="0"/>
            <w:vAlign w:val="center"/>
          </w:tcPr>
          <w:p w14:paraId="05482162">
            <w:pPr>
              <w:widowControl/>
              <w:spacing w:line="360" w:lineRule="auto"/>
              <w:jc w:val="center"/>
              <w:rPr>
                <w:rFonts w:ascii="宋体" w:hAnsi="宋体"/>
                <w:sz w:val="24"/>
                <w:szCs w:val="24"/>
                <w:highlight w:val="none"/>
              </w:rPr>
            </w:pPr>
          </w:p>
        </w:tc>
        <w:tc>
          <w:tcPr>
            <w:tcW w:w="1665" w:type="dxa"/>
            <w:tcBorders>
              <w:left w:val="single" w:color="000000" w:sz="4" w:space="0"/>
            </w:tcBorders>
            <w:noWrap w:val="0"/>
            <w:vAlign w:val="center"/>
          </w:tcPr>
          <w:p w14:paraId="6D21B967">
            <w:pPr>
              <w:widowControl/>
              <w:spacing w:line="360" w:lineRule="auto"/>
              <w:jc w:val="center"/>
              <w:rPr>
                <w:rFonts w:ascii="宋体" w:hAnsi="宋体"/>
                <w:sz w:val="24"/>
                <w:szCs w:val="24"/>
                <w:highlight w:val="none"/>
              </w:rPr>
            </w:pPr>
          </w:p>
        </w:tc>
      </w:tr>
      <w:tr w14:paraId="0E0429C0">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900" w:type="dxa"/>
            <w:noWrap w:val="0"/>
            <w:tcMar>
              <w:left w:w="108" w:type="dxa"/>
            </w:tcMar>
            <w:vAlign w:val="center"/>
          </w:tcPr>
          <w:p w14:paraId="04AEE6D4">
            <w:pPr>
              <w:widowControl/>
              <w:spacing w:line="360" w:lineRule="auto"/>
              <w:jc w:val="center"/>
              <w:rPr>
                <w:rFonts w:ascii="宋体" w:hAnsi="宋体"/>
                <w:sz w:val="24"/>
                <w:szCs w:val="24"/>
                <w:highlight w:val="none"/>
              </w:rPr>
            </w:pPr>
            <w:r>
              <w:rPr>
                <w:rFonts w:ascii="宋体" w:hAnsi="宋体"/>
                <w:sz w:val="24"/>
                <w:szCs w:val="24"/>
                <w:highlight w:val="none"/>
              </w:rPr>
              <w:t>2</w:t>
            </w:r>
          </w:p>
        </w:tc>
        <w:tc>
          <w:tcPr>
            <w:tcW w:w="1370" w:type="dxa"/>
            <w:noWrap w:val="0"/>
            <w:tcMar>
              <w:left w:w="108" w:type="dxa"/>
            </w:tcMar>
            <w:vAlign w:val="center"/>
          </w:tcPr>
          <w:p w14:paraId="388B3076">
            <w:pPr>
              <w:widowControl/>
              <w:spacing w:line="360" w:lineRule="auto"/>
              <w:jc w:val="center"/>
              <w:rPr>
                <w:rFonts w:ascii="宋体" w:hAnsi="宋体"/>
                <w:sz w:val="24"/>
                <w:szCs w:val="24"/>
                <w:highlight w:val="none"/>
              </w:rPr>
            </w:pPr>
          </w:p>
        </w:tc>
        <w:tc>
          <w:tcPr>
            <w:tcW w:w="1505" w:type="dxa"/>
            <w:noWrap w:val="0"/>
            <w:tcMar>
              <w:left w:w="108" w:type="dxa"/>
            </w:tcMar>
            <w:vAlign w:val="center"/>
          </w:tcPr>
          <w:p w14:paraId="460F56B0">
            <w:pPr>
              <w:widowControl/>
              <w:spacing w:line="360" w:lineRule="auto"/>
              <w:jc w:val="center"/>
              <w:rPr>
                <w:rFonts w:ascii="宋体" w:hAnsi="宋体"/>
                <w:sz w:val="24"/>
                <w:szCs w:val="24"/>
                <w:highlight w:val="none"/>
              </w:rPr>
            </w:pPr>
          </w:p>
        </w:tc>
        <w:tc>
          <w:tcPr>
            <w:tcW w:w="2046" w:type="dxa"/>
            <w:tcBorders>
              <w:right w:val="single" w:color="000000" w:sz="4" w:space="0"/>
            </w:tcBorders>
            <w:noWrap w:val="0"/>
            <w:tcMar>
              <w:left w:w="108" w:type="dxa"/>
            </w:tcMar>
            <w:vAlign w:val="center"/>
          </w:tcPr>
          <w:p w14:paraId="71B8BC37">
            <w:pPr>
              <w:widowControl/>
              <w:spacing w:line="360" w:lineRule="auto"/>
              <w:jc w:val="center"/>
              <w:rPr>
                <w:rFonts w:ascii="宋体" w:hAnsi="宋体"/>
                <w:sz w:val="24"/>
                <w:szCs w:val="24"/>
                <w:highlight w:val="none"/>
              </w:rPr>
            </w:pPr>
          </w:p>
        </w:tc>
        <w:tc>
          <w:tcPr>
            <w:tcW w:w="1800" w:type="dxa"/>
            <w:tcBorders>
              <w:left w:val="single" w:color="000000" w:sz="4" w:space="0"/>
            </w:tcBorders>
            <w:noWrap w:val="0"/>
            <w:vAlign w:val="center"/>
          </w:tcPr>
          <w:p w14:paraId="5C3E44ED">
            <w:pPr>
              <w:widowControl/>
              <w:spacing w:line="360" w:lineRule="auto"/>
              <w:jc w:val="center"/>
              <w:rPr>
                <w:rFonts w:ascii="宋体" w:hAnsi="宋体"/>
                <w:sz w:val="24"/>
                <w:szCs w:val="24"/>
                <w:highlight w:val="none"/>
              </w:rPr>
            </w:pPr>
          </w:p>
        </w:tc>
        <w:tc>
          <w:tcPr>
            <w:tcW w:w="1665" w:type="dxa"/>
            <w:tcBorders>
              <w:left w:val="single" w:color="000000" w:sz="4" w:space="0"/>
            </w:tcBorders>
            <w:noWrap w:val="0"/>
            <w:vAlign w:val="center"/>
          </w:tcPr>
          <w:p w14:paraId="3F053BA9">
            <w:pPr>
              <w:widowControl/>
              <w:spacing w:line="360" w:lineRule="auto"/>
              <w:jc w:val="center"/>
              <w:rPr>
                <w:rFonts w:ascii="宋体" w:hAnsi="宋体"/>
                <w:sz w:val="24"/>
                <w:szCs w:val="24"/>
                <w:highlight w:val="none"/>
              </w:rPr>
            </w:pPr>
          </w:p>
        </w:tc>
      </w:tr>
      <w:tr w14:paraId="160C764D">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900" w:type="dxa"/>
            <w:noWrap w:val="0"/>
            <w:tcMar>
              <w:left w:w="108" w:type="dxa"/>
            </w:tcMar>
            <w:vAlign w:val="center"/>
          </w:tcPr>
          <w:p w14:paraId="2AE1C520">
            <w:pPr>
              <w:widowControl/>
              <w:spacing w:line="360" w:lineRule="auto"/>
              <w:jc w:val="center"/>
              <w:rPr>
                <w:rFonts w:ascii="宋体" w:hAnsi="宋体"/>
                <w:sz w:val="24"/>
                <w:szCs w:val="24"/>
                <w:highlight w:val="none"/>
              </w:rPr>
            </w:pPr>
            <w:r>
              <w:rPr>
                <w:rFonts w:ascii="宋体" w:hAnsi="宋体"/>
                <w:sz w:val="24"/>
                <w:szCs w:val="24"/>
                <w:highlight w:val="none"/>
              </w:rPr>
              <w:t>3</w:t>
            </w:r>
          </w:p>
        </w:tc>
        <w:tc>
          <w:tcPr>
            <w:tcW w:w="1370" w:type="dxa"/>
            <w:noWrap w:val="0"/>
            <w:tcMar>
              <w:left w:w="108" w:type="dxa"/>
            </w:tcMar>
            <w:vAlign w:val="center"/>
          </w:tcPr>
          <w:p w14:paraId="60FD5E36">
            <w:pPr>
              <w:widowControl/>
              <w:spacing w:line="360" w:lineRule="auto"/>
              <w:jc w:val="center"/>
              <w:rPr>
                <w:rFonts w:ascii="宋体" w:hAnsi="宋体"/>
                <w:sz w:val="24"/>
                <w:szCs w:val="24"/>
                <w:highlight w:val="none"/>
              </w:rPr>
            </w:pPr>
          </w:p>
        </w:tc>
        <w:tc>
          <w:tcPr>
            <w:tcW w:w="1505" w:type="dxa"/>
            <w:noWrap w:val="0"/>
            <w:tcMar>
              <w:left w:w="108" w:type="dxa"/>
            </w:tcMar>
            <w:vAlign w:val="center"/>
          </w:tcPr>
          <w:p w14:paraId="176DC437">
            <w:pPr>
              <w:widowControl/>
              <w:spacing w:line="360" w:lineRule="auto"/>
              <w:jc w:val="center"/>
              <w:rPr>
                <w:rFonts w:ascii="宋体" w:hAnsi="宋体"/>
                <w:sz w:val="24"/>
                <w:szCs w:val="24"/>
                <w:highlight w:val="none"/>
              </w:rPr>
            </w:pPr>
          </w:p>
        </w:tc>
        <w:tc>
          <w:tcPr>
            <w:tcW w:w="2046" w:type="dxa"/>
            <w:tcBorders>
              <w:right w:val="single" w:color="000000" w:sz="4" w:space="0"/>
            </w:tcBorders>
            <w:noWrap w:val="0"/>
            <w:tcMar>
              <w:left w:w="108" w:type="dxa"/>
            </w:tcMar>
            <w:vAlign w:val="center"/>
          </w:tcPr>
          <w:p w14:paraId="4C36F06F">
            <w:pPr>
              <w:widowControl/>
              <w:spacing w:line="360" w:lineRule="auto"/>
              <w:jc w:val="center"/>
              <w:rPr>
                <w:rFonts w:ascii="宋体" w:hAnsi="宋体"/>
                <w:sz w:val="24"/>
                <w:szCs w:val="24"/>
                <w:highlight w:val="none"/>
              </w:rPr>
            </w:pPr>
          </w:p>
        </w:tc>
        <w:tc>
          <w:tcPr>
            <w:tcW w:w="1800" w:type="dxa"/>
            <w:tcBorders>
              <w:left w:val="single" w:color="000000" w:sz="4" w:space="0"/>
            </w:tcBorders>
            <w:noWrap w:val="0"/>
            <w:vAlign w:val="center"/>
          </w:tcPr>
          <w:p w14:paraId="30DBA4A3">
            <w:pPr>
              <w:widowControl/>
              <w:spacing w:line="360" w:lineRule="auto"/>
              <w:jc w:val="center"/>
              <w:rPr>
                <w:rFonts w:ascii="宋体" w:hAnsi="宋体"/>
                <w:sz w:val="24"/>
                <w:szCs w:val="24"/>
                <w:highlight w:val="none"/>
              </w:rPr>
            </w:pPr>
          </w:p>
        </w:tc>
        <w:tc>
          <w:tcPr>
            <w:tcW w:w="1665" w:type="dxa"/>
            <w:tcBorders>
              <w:left w:val="single" w:color="000000" w:sz="4" w:space="0"/>
            </w:tcBorders>
            <w:noWrap w:val="0"/>
            <w:vAlign w:val="center"/>
          </w:tcPr>
          <w:p w14:paraId="3046EB3C">
            <w:pPr>
              <w:widowControl/>
              <w:spacing w:line="360" w:lineRule="auto"/>
              <w:jc w:val="center"/>
              <w:rPr>
                <w:rFonts w:ascii="宋体" w:hAnsi="宋体"/>
                <w:sz w:val="24"/>
                <w:szCs w:val="24"/>
                <w:highlight w:val="none"/>
              </w:rPr>
            </w:pPr>
          </w:p>
        </w:tc>
      </w:tr>
      <w:tr w14:paraId="12C5A93F">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900" w:type="dxa"/>
            <w:noWrap w:val="0"/>
            <w:tcMar>
              <w:left w:w="108" w:type="dxa"/>
            </w:tcMar>
            <w:vAlign w:val="center"/>
          </w:tcPr>
          <w:p w14:paraId="7F6DDB69">
            <w:pPr>
              <w:widowControl/>
              <w:spacing w:line="360" w:lineRule="auto"/>
              <w:jc w:val="center"/>
              <w:rPr>
                <w:rFonts w:ascii="宋体" w:hAnsi="宋体"/>
                <w:sz w:val="24"/>
                <w:szCs w:val="24"/>
                <w:highlight w:val="none"/>
              </w:rPr>
            </w:pPr>
            <w:r>
              <w:rPr>
                <w:rFonts w:ascii="宋体" w:hAnsi="宋体"/>
                <w:sz w:val="24"/>
                <w:szCs w:val="24"/>
                <w:highlight w:val="none"/>
              </w:rPr>
              <w:t>...</w:t>
            </w:r>
          </w:p>
        </w:tc>
        <w:tc>
          <w:tcPr>
            <w:tcW w:w="1370" w:type="dxa"/>
            <w:noWrap w:val="0"/>
            <w:tcMar>
              <w:left w:w="108" w:type="dxa"/>
            </w:tcMar>
            <w:vAlign w:val="center"/>
          </w:tcPr>
          <w:p w14:paraId="709DE509">
            <w:pPr>
              <w:widowControl/>
              <w:spacing w:line="360" w:lineRule="auto"/>
              <w:jc w:val="center"/>
              <w:rPr>
                <w:rFonts w:ascii="宋体" w:hAnsi="宋体"/>
                <w:sz w:val="24"/>
                <w:szCs w:val="24"/>
                <w:highlight w:val="none"/>
              </w:rPr>
            </w:pPr>
            <w:r>
              <w:rPr>
                <w:rFonts w:ascii="宋体" w:hAnsi="宋体"/>
                <w:sz w:val="24"/>
                <w:szCs w:val="24"/>
                <w:highlight w:val="none"/>
              </w:rPr>
              <w:t>...</w:t>
            </w:r>
          </w:p>
        </w:tc>
        <w:tc>
          <w:tcPr>
            <w:tcW w:w="1505" w:type="dxa"/>
            <w:noWrap w:val="0"/>
            <w:tcMar>
              <w:left w:w="108" w:type="dxa"/>
            </w:tcMar>
            <w:vAlign w:val="center"/>
          </w:tcPr>
          <w:p w14:paraId="5DA16899">
            <w:pPr>
              <w:widowControl/>
              <w:spacing w:line="360" w:lineRule="auto"/>
              <w:jc w:val="center"/>
              <w:rPr>
                <w:rFonts w:ascii="宋体" w:hAnsi="宋体"/>
                <w:sz w:val="24"/>
                <w:szCs w:val="24"/>
                <w:highlight w:val="none"/>
              </w:rPr>
            </w:pPr>
            <w:r>
              <w:rPr>
                <w:rFonts w:ascii="宋体" w:hAnsi="宋体"/>
                <w:sz w:val="24"/>
                <w:szCs w:val="24"/>
                <w:highlight w:val="none"/>
              </w:rPr>
              <w:t>...</w:t>
            </w:r>
          </w:p>
        </w:tc>
        <w:tc>
          <w:tcPr>
            <w:tcW w:w="2046" w:type="dxa"/>
            <w:tcBorders>
              <w:right w:val="single" w:color="000000" w:sz="4" w:space="0"/>
            </w:tcBorders>
            <w:noWrap w:val="0"/>
            <w:tcMar>
              <w:left w:w="108" w:type="dxa"/>
            </w:tcMar>
            <w:vAlign w:val="center"/>
          </w:tcPr>
          <w:p w14:paraId="0500DB98">
            <w:pPr>
              <w:widowControl/>
              <w:spacing w:line="360" w:lineRule="auto"/>
              <w:jc w:val="center"/>
              <w:rPr>
                <w:rFonts w:ascii="宋体" w:hAnsi="宋体"/>
                <w:sz w:val="24"/>
                <w:szCs w:val="24"/>
                <w:highlight w:val="none"/>
              </w:rPr>
            </w:pPr>
            <w:r>
              <w:rPr>
                <w:rFonts w:ascii="宋体" w:hAnsi="宋体"/>
                <w:sz w:val="24"/>
                <w:szCs w:val="24"/>
                <w:highlight w:val="none"/>
              </w:rPr>
              <w:t>...</w:t>
            </w:r>
          </w:p>
        </w:tc>
        <w:tc>
          <w:tcPr>
            <w:tcW w:w="1800" w:type="dxa"/>
            <w:tcBorders>
              <w:left w:val="single" w:color="000000" w:sz="4" w:space="0"/>
            </w:tcBorders>
            <w:noWrap w:val="0"/>
            <w:vAlign w:val="center"/>
          </w:tcPr>
          <w:p w14:paraId="4777551C">
            <w:pPr>
              <w:widowControl/>
              <w:spacing w:line="360" w:lineRule="auto"/>
              <w:jc w:val="center"/>
              <w:rPr>
                <w:rFonts w:ascii="宋体" w:hAnsi="宋体"/>
                <w:sz w:val="24"/>
                <w:szCs w:val="24"/>
                <w:highlight w:val="none"/>
              </w:rPr>
            </w:pPr>
            <w:r>
              <w:rPr>
                <w:rFonts w:ascii="宋体" w:hAnsi="宋体"/>
                <w:sz w:val="24"/>
                <w:szCs w:val="24"/>
                <w:highlight w:val="none"/>
              </w:rPr>
              <w:t>...</w:t>
            </w:r>
          </w:p>
        </w:tc>
        <w:tc>
          <w:tcPr>
            <w:tcW w:w="1665" w:type="dxa"/>
            <w:tcBorders>
              <w:left w:val="single" w:color="000000" w:sz="4" w:space="0"/>
            </w:tcBorders>
            <w:noWrap w:val="0"/>
            <w:vAlign w:val="center"/>
          </w:tcPr>
          <w:p w14:paraId="417ECBD9">
            <w:pPr>
              <w:widowControl/>
              <w:spacing w:line="360" w:lineRule="auto"/>
              <w:jc w:val="center"/>
              <w:rPr>
                <w:rFonts w:ascii="宋体" w:hAnsi="宋体"/>
                <w:sz w:val="24"/>
                <w:szCs w:val="24"/>
                <w:highlight w:val="none"/>
              </w:rPr>
            </w:pPr>
          </w:p>
        </w:tc>
      </w:tr>
    </w:tbl>
    <w:p w14:paraId="498D095F">
      <w:pPr>
        <w:widowControl/>
        <w:spacing w:line="520" w:lineRule="exact"/>
        <w:ind w:left="2"/>
        <w:jc w:val="left"/>
        <w:rPr>
          <w:rFonts w:ascii="宋体" w:hAnsi="宋体"/>
          <w:sz w:val="24"/>
          <w:highlight w:val="none"/>
        </w:rPr>
      </w:pPr>
      <w:r>
        <w:rPr>
          <w:rFonts w:ascii="宋体" w:hAnsi="宋体"/>
          <w:sz w:val="24"/>
          <w:highlight w:val="none"/>
        </w:rPr>
        <w:t>注：</w:t>
      </w:r>
      <w:r>
        <w:rPr>
          <w:rFonts w:ascii="宋体" w:hAnsi="宋体"/>
          <w:sz w:val="24"/>
          <w:highlight w:val="none"/>
          <w:u w:val="single"/>
        </w:rPr>
        <w:t>此表不够可复制和放大</w:t>
      </w:r>
      <w:r>
        <w:rPr>
          <w:rFonts w:ascii="宋体" w:hAnsi="宋体"/>
          <w:sz w:val="24"/>
          <w:highlight w:val="none"/>
        </w:rPr>
        <w:t>。</w:t>
      </w:r>
    </w:p>
    <w:p w14:paraId="33301F8E">
      <w:pPr>
        <w:widowControl/>
        <w:spacing w:line="360" w:lineRule="auto"/>
        <w:jc w:val="left"/>
        <w:rPr>
          <w:szCs w:val="21"/>
          <w:highlight w:val="none"/>
        </w:rPr>
      </w:pPr>
    </w:p>
    <w:p w14:paraId="17A52B34">
      <w:pPr>
        <w:widowControl/>
        <w:ind w:firstLine="1800"/>
        <w:jc w:val="left"/>
        <w:rPr>
          <w:rFonts w:ascii="宋体"/>
          <w:sz w:val="24"/>
          <w:szCs w:val="24"/>
          <w:highlight w:val="none"/>
        </w:rPr>
      </w:pPr>
    </w:p>
    <w:p w14:paraId="00D94602">
      <w:pPr>
        <w:widowControl/>
        <w:jc w:val="left"/>
        <w:rPr>
          <w:rFonts w:ascii="宋体"/>
          <w:sz w:val="24"/>
          <w:szCs w:val="24"/>
          <w:highlight w:val="none"/>
        </w:rPr>
      </w:pPr>
      <w:r>
        <w:rPr>
          <w:rFonts w:ascii="宋体" w:hAnsi="宋体"/>
          <w:sz w:val="24"/>
          <w:szCs w:val="24"/>
          <w:highlight w:val="none"/>
        </w:rPr>
        <w:t>投标单位(盖章)：</w:t>
      </w:r>
    </w:p>
    <w:p w14:paraId="21E07EA0">
      <w:pPr>
        <w:widowControl/>
        <w:ind w:firstLine="1800"/>
        <w:jc w:val="left"/>
        <w:rPr>
          <w:rFonts w:ascii="宋体"/>
          <w:sz w:val="24"/>
          <w:szCs w:val="24"/>
          <w:highlight w:val="none"/>
        </w:rPr>
      </w:pPr>
    </w:p>
    <w:p w14:paraId="0CEBCF09">
      <w:pPr>
        <w:widowControl/>
        <w:ind w:firstLine="1800"/>
        <w:jc w:val="left"/>
        <w:rPr>
          <w:rFonts w:ascii="宋体"/>
          <w:sz w:val="24"/>
          <w:szCs w:val="24"/>
          <w:highlight w:val="none"/>
        </w:rPr>
      </w:pPr>
    </w:p>
    <w:p w14:paraId="36FFC28F">
      <w:pPr>
        <w:widowControl/>
        <w:jc w:val="left"/>
        <w:rPr>
          <w:rFonts w:ascii="宋体" w:hAnsi="宋体"/>
          <w:sz w:val="24"/>
          <w:szCs w:val="24"/>
          <w:highlight w:val="none"/>
        </w:rPr>
      </w:pPr>
      <w:r>
        <w:rPr>
          <w:rFonts w:ascii="宋体" w:hAnsi="宋体"/>
          <w:sz w:val="24"/>
          <w:szCs w:val="24"/>
          <w:highlight w:val="none"/>
        </w:rPr>
        <w:t>法定代表人/负责人（或委托代理人）：  (盖章或签字)</w:t>
      </w:r>
    </w:p>
    <w:p w14:paraId="175A3505">
      <w:pPr>
        <w:widowControl/>
        <w:spacing w:line="460" w:lineRule="exact"/>
        <w:ind w:left="4901" w:right="-867" w:firstLine="560"/>
        <w:jc w:val="left"/>
        <w:rPr>
          <w:rFonts w:ascii="宋体"/>
          <w:sz w:val="24"/>
          <w:szCs w:val="24"/>
          <w:highlight w:val="none"/>
          <w:u w:val="single"/>
        </w:rPr>
      </w:pPr>
    </w:p>
    <w:p w14:paraId="5C88E2C0">
      <w:pPr>
        <w:widowControl/>
        <w:spacing w:line="460" w:lineRule="exact"/>
        <w:ind w:right="-867"/>
        <w:jc w:val="left"/>
        <w:rPr>
          <w:rFonts w:ascii="宋体"/>
          <w:sz w:val="24"/>
          <w:szCs w:val="24"/>
          <w:highlight w:val="none"/>
        </w:rPr>
      </w:pPr>
      <w:r>
        <w:rPr>
          <w:rFonts w:ascii="宋体" w:hAnsi="宋体"/>
          <w:sz w:val="24"/>
          <w:szCs w:val="24"/>
          <w:highlight w:val="none"/>
        </w:rPr>
        <w:t>日  期： 年 月 日</w:t>
      </w:r>
    </w:p>
    <w:p w14:paraId="4E4115AE">
      <w:pPr>
        <w:widowControl/>
        <w:spacing w:before="120" w:after="120" w:line="460" w:lineRule="exact"/>
        <w:jc w:val="center"/>
        <w:outlineLvl w:val="0"/>
        <w:rPr>
          <w:rFonts w:ascii="宋体" w:hAnsi="Courier New"/>
          <w:b/>
          <w:sz w:val="32"/>
          <w:szCs w:val="32"/>
          <w:highlight w:val="none"/>
        </w:rPr>
      </w:pPr>
    </w:p>
    <w:p w14:paraId="707C16EB">
      <w:pPr>
        <w:widowControl/>
        <w:spacing w:before="120" w:after="120" w:line="460" w:lineRule="exact"/>
        <w:jc w:val="center"/>
        <w:outlineLvl w:val="0"/>
        <w:rPr>
          <w:rFonts w:ascii="宋体" w:hAnsi="Courier New"/>
          <w:b/>
          <w:sz w:val="32"/>
          <w:szCs w:val="32"/>
          <w:highlight w:val="none"/>
        </w:rPr>
      </w:pPr>
    </w:p>
    <w:p w14:paraId="76AFEB6B">
      <w:pPr>
        <w:widowControl/>
        <w:spacing w:before="120" w:after="120" w:line="460" w:lineRule="exact"/>
        <w:jc w:val="center"/>
        <w:outlineLvl w:val="0"/>
        <w:rPr>
          <w:rFonts w:ascii="宋体" w:hAnsi="Courier New"/>
          <w:b/>
          <w:sz w:val="32"/>
          <w:szCs w:val="32"/>
          <w:highlight w:val="none"/>
        </w:rPr>
      </w:pPr>
    </w:p>
    <w:p w14:paraId="61854AB6">
      <w:pPr>
        <w:widowControl/>
        <w:spacing w:before="120" w:after="120" w:line="460" w:lineRule="exact"/>
        <w:jc w:val="center"/>
        <w:outlineLvl w:val="0"/>
        <w:rPr>
          <w:rFonts w:ascii="宋体" w:hAnsi="Courier New"/>
          <w:b/>
          <w:sz w:val="32"/>
          <w:szCs w:val="32"/>
          <w:highlight w:val="none"/>
        </w:rPr>
      </w:pPr>
    </w:p>
    <w:p w14:paraId="561BF4CA">
      <w:pPr>
        <w:widowControl/>
        <w:spacing w:before="120" w:after="120" w:line="460" w:lineRule="exact"/>
        <w:jc w:val="center"/>
        <w:outlineLvl w:val="0"/>
        <w:rPr>
          <w:rFonts w:ascii="宋体" w:hAnsi="Courier New"/>
          <w:b/>
          <w:sz w:val="32"/>
          <w:szCs w:val="32"/>
          <w:highlight w:val="none"/>
        </w:rPr>
      </w:pPr>
    </w:p>
    <w:p w14:paraId="6F9853AE">
      <w:pPr>
        <w:widowControl/>
        <w:spacing w:before="120" w:after="120" w:line="460" w:lineRule="exact"/>
        <w:jc w:val="center"/>
        <w:outlineLvl w:val="0"/>
        <w:rPr>
          <w:rFonts w:ascii="宋体" w:hAnsi="Courier New"/>
          <w:b/>
          <w:sz w:val="32"/>
          <w:szCs w:val="32"/>
          <w:highlight w:val="none"/>
        </w:rPr>
      </w:pPr>
    </w:p>
    <w:p w14:paraId="13A957B4">
      <w:pPr>
        <w:widowControl/>
        <w:spacing w:before="120" w:after="120" w:line="460" w:lineRule="exact"/>
        <w:jc w:val="center"/>
        <w:outlineLvl w:val="0"/>
        <w:rPr>
          <w:rFonts w:ascii="宋体" w:hAnsi="Courier New"/>
          <w:b/>
          <w:sz w:val="32"/>
          <w:szCs w:val="32"/>
          <w:highlight w:val="none"/>
        </w:rPr>
      </w:pPr>
    </w:p>
    <w:p w14:paraId="3ECC8DF9">
      <w:pPr>
        <w:widowControl/>
        <w:spacing w:before="120" w:after="120" w:line="460" w:lineRule="exact"/>
        <w:jc w:val="center"/>
        <w:outlineLvl w:val="0"/>
        <w:rPr>
          <w:rFonts w:ascii="宋体" w:hAnsi="Courier New"/>
          <w:b/>
          <w:sz w:val="32"/>
          <w:szCs w:val="32"/>
          <w:highlight w:val="none"/>
        </w:rPr>
      </w:pPr>
    </w:p>
    <w:p w14:paraId="346260E6">
      <w:pPr>
        <w:widowControl/>
        <w:spacing w:before="120" w:after="120" w:line="460" w:lineRule="exact"/>
        <w:jc w:val="center"/>
        <w:outlineLvl w:val="0"/>
        <w:rPr>
          <w:rFonts w:ascii="宋体" w:hAnsi="Courier New"/>
          <w:b/>
          <w:sz w:val="32"/>
          <w:szCs w:val="32"/>
          <w:highlight w:val="none"/>
        </w:rPr>
      </w:pPr>
    </w:p>
    <w:p w14:paraId="0508B695">
      <w:pPr>
        <w:widowControl/>
        <w:spacing w:before="120" w:after="120" w:line="460" w:lineRule="exact"/>
        <w:jc w:val="left"/>
        <w:outlineLvl w:val="0"/>
        <w:rPr>
          <w:rFonts w:ascii="宋体" w:hAnsi="Courier New"/>
          <w:b/>
          <w:sz w:val="32"/>
          <w:szCs w:val="32"/>
          <w:highlight w:val="none"/>
        </w:rPr>
      </w:pPr>
      <w:bookmarkStart w:id="115" w:name="_Hlk150267502"/>
    </w:p>
    <w:p w14:paraId="41337346">
      <w:pPr>
        <w:spacing w:before="120" w:after="120" w:line="460" w:lineRule="exact"/>
        <w:jc w:val="center"/>
        <w:outlineLvl w:val="0"/>
        <w:rPr>
          <w:rFonts w:ascii="宋体" w:hAnsi="Courier New"/>
          <w:b/>
          <w:sz w:val="32"/>
          <w:szCs w:val="32"/>
          <w:highlight w:val="none"/>
        </w:rPr>
      </w:pPr>
    </w:p>
    <w:bookmarkEnd w:id="115"/>
    <w:p w14:paraId="0EC76F94">
      <w:pPr>
        <w:widowControl/>
        <w:spacing w:after="120" w:line="380" w:lineRule="exact"/>
        <w:jc w:val="center"/>
        <w:rPr>
          <w:rFonts w:ascii="黑体" w:hAnsi="黑体" w:eastAsia="黑体" w:cs="黑体"/>
          <w:b/>
          <w:color w:val="auto"/>
          <w:sz w:val="32"/>
          <w:szCs w:val="32"/>
          <w:highlight w:val="none"/>
        </w:rPr>
      </w:pPr>
      <w:r>
        <w:rPr>
          <w:rFonts w:hint="eastAsia" w:ascii="黑体" w:hAnsi="黑体" w:eastAsia="黑体" w:cs="黑体"/>
          <w:b/>
          <w:color w:val="auto"/>
          <w:sz w:val="32"/>
          <w:szCs w:val="32"/>
          <w:highlight w:val="none"/>
        </w:rPr>
        <w:t>（</w:t>
      </w:r>
      <w:r>
        <w:rPr>
          <w:rFonts w:hint="eastAsia" w:ascii="黑体" w:hAnsi="黑体" w:eastAsia="黑体" w:cs="黑体"/>
          <w:b/>
          <w:color w:val="auto"/>
          <w:sz w:val="32"/>
          <w:szCs w:val="32"/>
          <w:highlight w:val="none"/>
          <w:lang w:val="en-US" w:eastAsia="zh-CN"/>
        </w:rPr>
        <w:t>十六</w:t>
      </w:r>
      <w:r>
        <w:rPr>
          <w:rFonts w:hint="eastAsia" w:ascii="黑体" w:hAnsi="黑体" w:eastAsia="黑体" w:cs="黑体"/>
          <w:b/>
          <w:color w:val="auto"/>
          <w:sz w:val="32"/>
          <w:szCs w:val="32"/>
          <w:highlight w:val="none"/>
        </w:rPr>
        <w:t>）项目配备人员一览表</w:t>
      </w:r>
    </w:p>
    <w:tbl>
      <w:tblPr>
        <w:tblStyle w:val="42"/>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054"/>
        <w:gridCol w:w="1155"/>
        <w:gridCol w:w="870"/>
        <w:gridCol w:w="975"/>
        <w:gridCol w:w="900"/>
        <w:gridCol w:w="948"/>
        <w:gridCol w:w="1829"/>
      </w:tblGrid>
      <w:tr w14:paraId="7504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48" w:type="dxa"/>
            <w:noWrap w:val="0"/>
            <w:vAlign w:val="center"/>
          </w:tcPr>
          <w:p w14:paraId="5CF4C1F1">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r>
              <w:rPr>
                <w:rFonts w:hint="eastAsia" w:ascii="宋体" w:hAnsi="宋体" w:cs="宋体"/>
                <w:color w:val="auto"/>
                <w:sz w:val="24"/>
                <w:highlight w:val="none"/>
              </w:rPr>
              <w:t>序号</w:t>
            </w:r>
          </w:p>
        </w:tc>
        <w:tc>
          <w:tcPr>
            <w:tcW w:w="2054" w:type="dxa"/>
            <w:noWrap w:val="0"/>
            <w:vAlign w:val="center"/>
          </w:tcPr>
          <w:p w14:paraId="3914FEA7">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r>
              <w:rPr>
                <w:rFonts w:hint="eastAsia" w:ascii="宋体" w:hAnsi="宋体" w:cs="宋体"/>
                <w:color w:val="auto"/>
                <w:sz w:val="24"/>
                <w:highlight w:val="none"/>
              </w:rPr>
              <w:t>岗位</w:t>
            </w:r>
          </w:p>
        </w:tc>
        <w:tc>
          <w:tcPr>
            <w:tcW w:w="1155" w:type="dxa"/>
            <w:noWrap w:val="0"/>
            <w:vAlign w:val="center"/>
          </w:tcPr>
          <w:p w14:paraId="08793776">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r>
              <w:rPr>
                <w:rFonts w:hint="eastAsia" w:ascii="宋体" w:hAnsi="宋体" w:cs="宋体"/>
                <w:color w:val="auto"/>
                <w:sz w:val="24"/>
                <w:highlight w:val="none"/>
              </w:rPr>
              <w:t>姓名</w:t>
            </w:r>
          </w:p>
        </w:tc>
        <w:tc>
          <w:tcPr>
            <w:tcW w:w="870" w:type="dxa"/>
            <w:noWrap w:val="0"/>
            <w:vAlign w:val="center"/>
          </w:tcPr>
          <w:p w14:paraId="06383679">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r>
              <w:rPr>
                <w:rFonts w:hint="eastAsia" w:ascii="宋体" w:hAnsi="宋体" w:cs="宋体"/>
                <w:color w:val="auto"/>
                <w:sz w:val="24"/>
                <w:highlight w:val="none"/>
              </w:rPr>
              <w:t>性别</w:t>
            </w:r>
          </w:p>
        </w:tc>
        <w:tc>
          <w:tcPr>
            <w:tcW w:w="975" w:type="dxa"/>
            <w:noWrap w:val="0"/>
            <w:vAlign w:val="center"/>
          </w:tcPr>
          <w:p w14:paraId="5B47C06C">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r>
              <w:rPr>
                <w:rFonts w:hint="eastAsia" w:ascii="宋体" w:hAnsi="宋体" w:cs="宋体"/>
                <w:color w:val="auto"/>
                <w:sz w:val="24"/>
                <w:highlight w:val="none"/>
              </w:rPr>
              <w:t>年龄</w:t>
            </w:r>
          </w:p>
        </w:tc>
        <w:tc>
          <w:tcPr>
            <w:tcW w:w="900" w:type="dxa"/>
            <w:noWrap w:val="0"/>
            <w:vAlign w:val="center"/>
          </w:tcPr>
          <w:p w14:paraId="473D848A">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r>
              <w:rPr>
                <w:rFonts w:hint="eastAsia" w:ascii="宋体" w:hAnsi="宋体" w:cs="宋体"/>
                <w:color w:val="auto"/>
                <w:sz w:val="24"/>
                <w:highlight w:val="none"/>
              </w:rPr>
              <w:t>学历</w:t>
            </w:r>
          </w:p>
        </w:tc>
        <w:tc>
          <w:tcPr>
            <w:tcW w:w="948" w:type="dxa"/>
            <w:noWrap w:val="0"/>
            <w:vAlign w:val="center"/>
          </w:tcPr>
          <w:p w14:paraId="598DADED">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r>
              <w:rPr>
                <w:rFonts w:hint="eastAsia" w:ascii="宋体" w:hAnsi="宋体" w:cs="宋体"/>
                <w:color w:val="auto"/>
                <w:sz w:val="24"/>
                <w:highlight w:val="none"/>
              </w:rPr>
              <w:t>职称</w:t>
            </w:r>
          </w:p>
        </w:tc>
        <w:tc>
          <w:tcPr>
            <w:tcW w:w="1829" w:type="dxa"/>
            <w:noWrap w:val="0"/>
            <w:vAlign w:val="center"/>
          </w:tcPr>
          <w:p w14:paraId="164933D0">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r>
              <w:rPr>
                <w:rFonts w:hint="eastAsia" w:ascii="宋体" w:hAnsi="宋体" w:cs="宋体"/>
                <w:color w:val="auto"/>
                <w:sz w:val="24"/>
                <w:highlight w:val="none"/>
              </w:rPr>
              <w:t>主要资历、经验</w:t>
            </w:r>
          </w:p>
          <w:p w14:paraId="5EFC1D62">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r>
              <w:rPr>
                <w:rFonts w:hint="eastAsia" w:ascii="宋体" w:hAnsi="宋体" w:cs="宋体"/>
                <w:color w:val="auto"/>
                <w:sz w:val="24"/>
                <w:highlight w:val="none"/>
              </w:rPr>
              <w:t>及承担过的管理项目</w:t>
            </w:r>
          </w:p>
        </w:tc>
      </w:tr>
      <w:tr w14:paraId="59FA9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24936BC6">
            <w:pPr>
              <w:pStyle w:val="13"/>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highlight w:val="none"/>
              </w:rPr>
              <w:t>1</w:t>
            </w:r>
          </w:p>
        </w:tc>
        <w:tc>
          <w:tcPr>
            <w:tcW w:w="2054" w:type="dxa"/>
            <w:noWrap w:val="0"/>
            <w:vAlign w:val="center"/>
          </w:tcPr>
          <w:p w14:paraId="0AC4E51F">
            <w:pPr>
              <w:keepNext w:val="0"/>
              <w:keepLines w:val="0"/>
              <w:suppressLineNumbers w:val="0"/>
              <w:spacing w:before="0" w:beforeAutospacing="0" w:after="0" w:afterAutospacing="0" w:line="380" w:lineRule="exact"/>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项目负责人</w:t>
            </w:r>
          </w:p>
        </w:tc>
        <w:tc>
          <w:tcPr>
            <w:tcW w:w="1155" w:type="dxa"/>
            <w:noWrap w:val="0"/>
            <w:vAlign w:val="center"/>
          </w:tcPr>
          <w:p w14:paraId="378D6C9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5A920D3B">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266FF210">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73EE0D5A">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0D07BB09">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034689E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242E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034AA3AA">
            <w:pPr>
              <w:pStyle w:val="13"/>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highlight w:val="none"/>
              </w:rPr>
              <w:t>2</w:t>
            </w:r>
          </w:p>
        </w:tc>
        <w:tc>
          <w:tcPr>
            <w:tcW w:w="2054" w:type="dxa"/>
            <w:noWrap w:val="0"/>
            <w:vAlign w:val="center"/>
          </w:tcPr>
          <w:p w14:paraId="0F9F5AB5">
            <w:pPr>
              <w:keepNext w:val="0"/>
              <w:keepLines w:val="0"/>
              <w:suppressLineNumbers w:val="0"/>
              <w:spacing w:before="0" w:beforeAutospacing="0" w:after="0" w:afterAutospacing="0" w:line="380" w:lineRule="exact"/>
              <w:ind w:left="0" w:right="0"/>
              <w:jc w:val="center"/>
              <w:rPr>
                <w:rFonts w:hint="eastAsia" w:ascii="宋体" w:hAnsi="宋体" w:eastAsia="宋体" w:cs="宋体"/>
                <w:color w:val="auto"/>
                <w:sz w:val="24"/>
                <w:highlight w:val="none"/>
                <w:lang w:eastAsia="zh-CN"/>
              </w:rPr>
            </w:pPr>
          </w:p>
        </w:tc>
        <w:tc>
          <w:tcPr>
            <w:tcW w:w="1155" w:type="dxa"/>
            <w:noWrap w:val="0"/>
            <w:vAlign w:val="center"/>
          </w:tcPr>
          <w:p w14:paraId="3EEBEF0A">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28E5F9DC">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129540E2">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62DEDBD4">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0E54764C">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324DB3CD">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5E5E6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2BA274FD">
            <w:pPr>
              <w:pStyle w:val="13"/>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highlight w:val="none"/>
              </w:rPr>
              <w:t>3</w:t>
            </w:r>
          </w:p>
        </w:tc>
        <w:tc>
          <w:tcPr>
            <w:tcW w:w="2054" w:type="dxa"/>
            <w:noWrap w:val="0"/>
            <w:vAlign w:val="center"/>
          </w:tcPr>
          <w:p w14:paraId="23DAA77B">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63EC61B5">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71CF9BFF">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56D79A8B">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403C6492">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724D3F8F">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06A28768">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2F4AE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72020764">
            <w:pPr>
              <w:pStyle w:val="13"/>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highlight w:val="none"/>
              </w:rPr>
              <w:t>4</w:t>
            </w:r>
          </w:p>
        </w:tc>
        <w:tc>
          <w:tcPr>
            <w:tcW w:w="2054" w:type="dxa"/>
            <w:noWrap w:val="0"/>
            <w:vAlign w:val="center"/>
          </w:tcPr>
          <w:p w14:paraId="250B8A62">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4DD9C84D">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3D595187">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3A7CBDB4">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3D612462">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5BEBC99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4FC0E977">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3B1CB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78E67574">
            <w:pPr>
              <w:pStyle w:val="13"/>
              <w:keepNext w:val="0"/>
              <w:keepLines w:val="0"/>
              <w:suppressLineNumbers w:val="0"/>
              <w:spacing w:before="0" w:beforeAutospacing="0" w:after="0" w:afterAutospacing="0"/>
              <w:ind w:left="0" w:right="0"/>
              <w:jc w:val="center"/>
              <w:rPr>
                <w:rFonts w:hint="default" w:ascii="宋体" w:hAnsi="宋体" w:cs="宋体"/>
                <w:color w:val="auto"/>
                <w:sz w:val="24"/>
                <w:highlight w:val="none"/>
              </w:rPr>
            </w:pPr>
            <w:r>
              <w:rPr>
                <w:rFonts w:hint="eastAsia" w:ascii="宋体" w:hAnsi="宋体" w:cs="宋体"/>
                <w:color w:val="auto"/>
                <w:highlight w:val="none"/>
              </w:rPr>
              <w:t>…</w:t>
            </w:r>
          </w:p>
        </w:tc>
        <w:tc>
          <w:tcPr>
            <w:tcW w:w="2054" w:type="dxa"/>
            <w:noWrap w:val="0"/>
            <w:vAlign w:val="center"/>
          </w:tcPr>
          <w:p w14:paraId="3C834B39">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15FCFA2D">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269A8AF8">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03B8D4CC">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0CCF556B">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2FE44705">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61B3CAF5">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23B0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65BCED04">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2054" w:type="dxa"/>
            <w:noWrap w:val="0"/>
            <w:vAlign w:val="center"/>
          </w:tcPr>
          <w:p w14:paraId="7028509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2F3EB1BF">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0EC25A12">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6AD40116">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74585C1A">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726059A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6A9D222A">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59766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283569A8">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2054" w:type="dxa"/>
            <w:noWrap w:val="0"/>
            <w:vAlign w:val="center"/>
          </w:tcPr>
          <w:p w14:paraId="71D62865">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34725DBD">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31709522">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63CD5ED2">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24511B4B">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7FF7B16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0BBDDFE5">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47BF0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421C4154">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2054" w:type="dxa"/>
            <w:noWrap w:val="0"/>
            <w:vAlign w:val="center"/>
          </w:tcPr>
          <w:p w14:paraId="469375E9">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46A45C8C">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060CFC8C">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50C94E08">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292EE37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1D80DC0F">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4BFF572B">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50FB7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6BF848E8">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2054" w:type="dxa"/>
            <w:noWrap w:val="0"/>
            <w:vAlign w:val="center"/>
          </w:tcPr>
          <w:p w14:paraId="5192F12D">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4799B62B">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4835E02F">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3BB10898">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5774779C">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09C6E94F">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1C81E781">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752E7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7C1EB0FD">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2054" w:type="dxa"/>
            <w:noWrap w:val="0"/>
            <w:vAlign w:val="center"/>
          </w:tcPr>
          <w:p w14:paraId="1CEBA361">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4FF88229">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185FF2FC">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7B25569A">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11947D07">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71D6114B">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009CD069">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08102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37BC72C4">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2054" w:type="dxa"/>
            <w:noWrap w:val="0"/>
            <w:vAlign w:val="center"/>
          </w:tcPr>
          <w:p w14:paraId="6985F683">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75680B80">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6CEEF244">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57B67EA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201FCA26">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7ED86160">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5B53AFDF">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6695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611356B4">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2054" w:type="dxa"/>
            <w:noWrap w:val="0"/>
            <w:vAlign w:val="center"/>
          </w:tcPr>
          <w:p w14:paraId="0026B32A">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58E3223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61B28CAC">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39A3BE5C">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2EE4ED05">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7D4562D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6E3E7925">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51B31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700F1C50">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2054" w:type="dxa"/>
            <w:noWrap w:val="0"/>
            <w:vAlign w:val="center"/>
          </w:tcPr>
          <w:p w14:paraId="374F28F3">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75199C0D">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72CB7926">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63526CCB">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1EDE8B94">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45E49D9A">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035BD3E5">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11319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48840C40">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2054" w:type="dxa"/>
            <w:noWrap w:val="0"/>
            <w:vAlign w:val="center"/>
          </w:tcPr>
          <w:p w14:paraId="71C5BFE1">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3C89D787">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75C84B47">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5781B0D8">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1ACCCDEB">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3A050B58">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183CC1F6">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r w14:paraId="7687B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48" w:type="dxa"/>
            <w:noWrap w:val="0"/>
            <w:vAlign w:val="center"/>
          </w:tcPr>
          <w:p w14:paraId="3096A118">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2054" w:type="dxa"/>
            <w:noWrap w:val="0"/>
            <w:vAlign w:val="center"/>
          </w:tcPr>
          <w:p w14:paraId="356AB700">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155" w:type="dxa"/>
            <w:noWrap w:val="0"/>
            <w:vAlign w:val="center"/>
          </w:tcPr>
          <w:p w14:paraId="7542B09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870" w:type="dxa"/>
            <w:noWrap w:val="0"/>
            <w:vAlign w:val="center"/>
          </w:tcPr>
          <w:p w14:paraId="4CC24F25">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75" w:type="dxa"/>
            <w:noWrap w:val="0"/>
            <w:vAlign w:val="center"/>
          </w:tcPr>
          <w:p w14:paraId="29EA4CEE">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00" w:type="dxa"/>
            <w:noWrap w:val="0"/>
            <w:vAlign w:val="center"/>
          </w:tcPr>
          <w:p w14:paraId="5AD01C32">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948" w:type="dxa"/>
            <w:noWrap w:val="0"/>
            <w:vAlign w:val="center"/>
          </w:tcPr>
          <w:p w14:paraId="5394B63B">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c>
          <w:tcPr>
            <w:tcW w:w="1829" w:type="dxa"/>
            <w:noWrap w:val="0"/>
            <w:vAlign w:val="center"/>
          </w:tcPr>
          <w:p w14:paraId="7C7BB3E5">
            <w:pPr>
              <w:keepNext w:val="0"/>
              <w:keepLines w:val="0"/>
              <w:suppressLineNumbers w:val="0"/>
              <w:spacing w:before="0" w:beforeAutospacing="0" w:after="0" w:afterAutospacing="0" w:line="380" w:lineRule="exact"/>
              <w:ind w:left="0" w:right="0"/>
              <w:jc w:val="center"/>
              <w:rPr>
                <w:rFonts w:hint="default" w:ascii="宋体" w:hAnsi="宋体" w:cs="宋体"/>
                <w:color w:val="auto"/>
                <w:sz w:val="24"/>
                <w:highlight w:val="none"/>
              </w:rPr>
            </w:pPr>
          </w:p>
        </w:tc>
      </w:tr>
    </w:tbl>
    <w:p w14:paraId="09DC0029">
      <w:pPr>
        <w:spacing w:line="360" w:lineRule="auto"/>
        <w:rPr>
          <w:rFonts w:ascii="宋体" w:hAnsi="宋体"/>
          <w:color w:val="auto"/>
          <w:sz w:val="24"/>
          <w:highlight w:val="none"/>
        </w:rPr>
      </w:pPr>
      <w:r>
        <w:rPr>
          <w:rFonts w:ascii="宋体" w:hAnsi="宋体"/>
          <w:color w:val="auto"/>
          <w:sz w:val="24"/>
          <w:highlight w:val="none"/>
        </w:rPr>
        <w:t>注：1、“项目组人员”指投标单位针对完成本项目所配备的人员。</w:t>
      </w:r>
    </w:p>
    <w:p w14:paraId="3C637A71">
      <w:pPr>
        <w:spacing w:line="360" w:lineRule="auto"/>
        <w:ind w:firstLine="420"/>
        <w:rPr>
          <w:rFonts w:hAnsi="宋体"/>
          <w:color w:val="auto"/>
          <w:sz w:val="24"/>
          <w:highlight w:val="none"/>
        </w:rPr>
      </w:pPr>
      <w:r>
        <w:rPr>
          <w:rFonts w:hint="eastAsia" w:ascii="宋体" w:hAnsi="宋体"/>
          <w:color w:val="auto"/>
          <w:sz w:val="24"/>
          <w:highlight w:val="none"/>
          <w:lang w:val="en-US" w:eastAsia="zh-CN"/>
        </w:rPr>
        <w:t>2</w:t>
      </w:r>
      <w:r>
        <w:rPr>
          <w:rFonts w:ascii="宋体" w:hAnsi="宋体"/>
          <w:color w:val="auto"/>
          <w:sz w:val="24"/>
          <w:highlight w:val="none"/>
        </w:rPr>
        <w:t>、</w:t>
      </w:r>
      <w:r>
        <w:rPr>
          <w:rFonts w:hint="eastAsia" w:hAnsi="宋体"/>
          <w:color w:val="auto"/>
          <w:sz w:val="24"/>
          <w:highlight w:val="none"/>
        </w:rPr>
        <w:t>以上格式投标单位可修改表格填写后投标。</w:t>
      </w:r>
    </w:p>
    <w:p w14:paraId="6D73C072">
      <w:pPr>
        <w:spacing w:line="360" w:lineRule="auto"/>
        <w:ind w:firstLine="840"/>
        <w:rPr>
          <w:rFonts w:ascii="宋体" w:hAnsi="宋体"/>
          <w:color w:val="auto"/>
          <w:sz w:val="24"/>
          <w:highlight w:val="none"/>
        </w:rPr>
      </w:pPr>
    </w:p>
    <w:p w14:paraId="5ADD4116">
      <w:pPr>
        <w:spacing w:line="360" w:lineRule="auto"/>
        <w:rPr>
          <w:rFonts w:ascii="宋体" w:hAnsi="宋体"/>
          <w:color w:val="auto"/>
          <w:sz w:val="24"/>
          <w:highlight w:val="none"/>
        </w:rPr>
      </w:pPr>
      <w:r>
        <w:rPr>
          <w:rFonts w:ascii="宋体" w:hAnsi="宋体"/>
          <w:color w:val="auto"/>
          <w:sz w:val="24"/>
          <w:highlight w:val="none"/>
        </w:rPr>
        <w:t>投标单位：（单位盖章）</w:t>
      </w:r>
    </w:p>
    <w:p w14:paraId="46067658">
      <w:pPr>
        <w:spacing w:line="360" w:lineRule="auto"/>
        <w:rPr>
          <w:rFonts w:ascii="宋体" w:hAnsi="宋体"/>
          <w:color w:val="auto"/>
          <w:sz w:val="24"/>
          <w:highlight w:val="none"/>
        </w:rPr>
      </w:pPr>
    </w:p>
    <w:p w14:paraId="6D5F5BC2">
      <w:pPr>
        <w:spacing w:line="360" w:lineRule="auto"/>
        <w:rPr>
          <w:rFonts w:ascii="宋体" w:hAnsi="宋体"/>
          <w:color w:val="auto"/>
          <w:sz w:val="24"/>
          <w:highlight w:val="none"/>
        </w:rPr>
      </w:pPr>
      <w:r>
        <w:rPr>
          <w:rFonts w:ascii="宋体" w:hAnsi="宋体"/>
          <w:color w:val="auto"/>
          <w:sz w:val="24"/>
          <w:highlight w:val="none"/>
        </w:rPr>
        <w:t>法定代表人或代理人：（签字或盖章）</w:t>
      </w:r>
    </w:p>
    <w:p w14:paraId="0884749C">
      <w:pPr>
        <w:spacing w:line="360" w:lineRule="auto"/>
        <w:jc w:val="right"/>
        <w:rPr>
          <w:rFonts w:ascii="宋体" w:hAnsi="宋体"/>
          <w:color w:val="auto"/>
          <w:sz w:val="24"/>
          <w:highlight w:val="none"/>
        </w:rPr>
      </w:pPr>
    </w:p>
    <w:p w14:paraId="658D8381">
      <w:pPr>
        <w:spacing w:line="360" w:lineRule="auto"/>
        <w:jc w:val="right"/>
        <w:rPr>
          <w:rFonts w:hint="eastAsia" w:ascii="黑体" w:hAnsi="黑体" w:eastAsia="黑体" w:cs="黑体"/>
          <w:b/>
          <w:color w:val="auto"/>
          <w:sz w:val="36"/>
          <w:szCs w:val="36"/>
          <w:highlight w:val="none"/>
        </w:rPr>
      </w:pPr>
      <w:r>
        <w:rPr>
          <w:rFonts w:ascii="宋体" w:hAnsi="宋体"/>
          <w:color w:val="auto"/>
          <w:sz w:val="24"/>
          <w:highlight w:val="none"/>
        </w:rPr>
        <w:t>日期：         年         月       日</w:t>
      </w:r>
    </w:p>
    <w:p w14:paraId="3B930FF6">
      <w:pPr>
        <w:spacing w:line="480" w:lineRule="exact"/>
        <w:jc w:val="center"/>
        <w:rPr>
          <w:rFonts w:hint="eastAsia" w:ascii="黑体" w:eastAsia="黑体"/>
          <w:b/>
          <w:color w:val="auto"/>
          <w:sz w:val="36"/>
          <w:highlight w:val="none"/>
        </w:rPr>
      </w:pPr>
    </w:p>
    <w:p w14:paraId="172E21DC">
      <w:pPr>
        <w:pStyle w:val="17"/>
        <w:rPr>
          <w:highlight w:val="none"/>
          <w:lang w:eastAsia="zh-CN"/>
        </w:rPr>
      </w:pPr>
    </w:p>
    <w:p w14:paraId="5FEC938E">
      <w:pPr>
        <w:spacing w:before="120" w:after="120" w:line="460" w:lineRule="exact"/>
        <w:jc w:val="center"/>
        <w:outlineLvl w:val="0"/>
        <w:rPr>
          <w:rFonts w:ascii="宋体" w:hAnsi="Courier New"/>
          <w:b/>
          <w:sz w:val="32"/>
          <w:szCs w:val="32"/>
          <w:highlight w:val="none"/>
        </w:rPr>
      </w:pPr>
      <w:bookmarkStart w:id="116" w:name="_Toc130206672"/>
      <w:bookmarkStart w:id="117" w:name="_Toc30592"/>
      <w:bookmarkStart w:id="118" w:name="_Toc13012"/>
      <w:r>
        <w:rPr>
          <w:rFonts w:hint="eastAsia" w:ascii="宋体" w:hAnsi="Courier New"/>
          <w:b/>
          <w:sz w:val="32"/>
          <w:szCs w:val="32"/>
          <w:highlight w:val="none"/>
        </w:rPr>
        <w:t>（</w:t>
      </w:r>
      <w:r>
        <w:rPr>
          <w:rFonts w:hint="eastAsia" w:ascii="宋体" w:hAnsi="Courier New"/>
          <w:b/>
          <w:sz w:val="32"/>
          <w:szCs w:val="32"/>
          <w:highlight w:val="none"/>
          <w:lang w:val="en-US" w:eastAsia="zh-CN"/>
        </w:rPr>
        <w:t>十八</w:t>
      </w:r>
      <w:r>
        <w:rPr>
          <w:rFonts w:hint="eastAsia" w:ascii="宋体" w:hAnsi="Courier New"/>
          <w:b/>
          <w:sz w:val="32"/>
          <w:szCs w:val="32"/>
          <w:highlight w:val="none"/>
        </w:rPr>
        <w:t>）</w:t>
      </w:r>
      <w:r>
        <w:rPr>
          <w:rFonts w:hint="eastAsia" w:ascii="宋体" w:hAnsi="Courier New"/>
          <w:b/>
          <w:sz w:val="32"/>
          <w:szCs w:val="32"/>
          <w:highlight w:val="none"/>
          <w:lang w:eastAsia="zh-CN"/>
        </w:rPr>
        <w:t>技术</w:t>
      </w:r>
      <w:r>
        <w:rPr>
          <w:rFonts w:hint="eastAsia" w:ascii="宋体" w:hAnsi="Courier New"/>
          <w:b/>
          <w:sz w:val="32"/>
          <w:szCs w:val="32"/>
          <w:highlight w:val="none"/>
        </w:rPr>
        <w:t>方案</w:t>
      </w:r>
      <w:bookmarkEnd w:id="114"/>
      <w:bookmarkEnd w:id="116"/>
      <w:bookmarkEnd w:id="117"/>
      <w:bookmarkEnd w:id="118"/>
    </w:p>
    <w:p w14:paraId="539529D0">
      <w:pPr>
        <w:spacing w:line="480" w:lineRule="exact"/>
        <w:ind w:firstLine="435"/>
        <w:jc w:val="center"/>
        <w:rPr>
          <w:rFonts w:ascii="宋体" w:hAnsi="宋体"/>
          <w:sz w:val="24"/>
          <w:highlight w:val="none"/>
        </w:rPr>
      </w:pPr>
      <w:r>
        <w:rPr>
          <w:rFonts w:hint="eastAsia" w:ascii="宋体" w:hAnsi="宋体"/>
          <w:sz w:val="24"/>
          <w:highlight w:val="none"/>
        </w:rPr>
        <w:t>(投标人根据评标细则中的相关要求自行编制，格式自制)</w:t>
      </w:r>
    </w:p>
    <w:p w14:paraId="1D31BEF4">
      <w:pPr>
        <w:spacing w:before="100" w:beforeAutospacing="1" w:after="100" w:afterAutospacing="1" w:line="480" w:lineRule="exact"/>
        <w:ind w:firstLine="723"/>
        <w:jc w:val="right"/>
        <w:rPr>
          <w:rFonts w:hint="eastAsia"/>
          <w:lang w:val="en-US" w:eastAsia="zh-CN"/>
        </w:rPr>
      </w:pPr>
    </w:p>
    <w:sectPr>
      <w:pgSz w:w="11906" w:h="16838"/>
      <w:pgMar w:top="1418" w:right="1418" w:bottom="1191" w:left="1276"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monospace">
    <w:altName w:val="DejaVu Math TeX Gyre"/>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8D338">
    <w:pPr>
      <w:pStyle w:val="25"/>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9A0AB">
    <w:pPr>
      <w:pStyle w:val="18"/>
      <w:ind w:right="359"/>
    </w:pPr>
    <w:r>
      <mc:AlternateContent>
        <mc:Choice Requires="wps">
          <w:drawing>
            <wp:anchor distT="0" distB="0" distL="114300" distR="114300" simplePos="0" relativeHeight="251659264" behindDoc="0" locked="0" layoutInCell="1" allowOverlap="1">
              <wp:simplePos x="0" y="0"/>
              <wp:positionH relativeFrom="margin">
                <wp:posOffset>2225675</wp:posOffset>
              </wp:positionH>
              <wp:positionV relativeFrom="paragraph">
                <wp:posOffset>0</wp:posOffset>
              </wp:positionV>
              <wp:extent cx="1073150" cy="31115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073150" cy="311150"/>
                      </a:xfrm>
                      <a:prstGeom prst="rect">
                        <a:avLst/>
                      </a:prstGeom>
                      <a:noFill/>
                      <a:ln>
                        <a:noFill/>
                      </a:ln>
                    </wps:spPr>
                    <wps:txbx>
                      <w:txbxContent>
                        <w:p w14:paraId="79C6DEE5">
                          <w:pPr>
                            <w:pStyle w:val="25"/>
                          </w:pPr>
                          <w:r>
                            <w:rPr>
                              <w:rFonts w:hint="eastAsia"/>
                            </w:rPr>
                            <w:t>第</w:t>
                          </w:r>
                          <w:r>
                            <w:fldChar w:fldCharType="begin"/>
                          </w:r>
                          <w:r>
                            <w:rPr>
                              <w:rFonts w:hint="eastAsia"/>
                            </w:rPr>
                            <w:instrText xml:space="preserve">PAGE   \* MERGEFORMAT</w:instrText>
                          </w:r>
                          <w:r>
                            <w:fldChar w:fldCharType="separate"/>
                          </w:r>
                          <w:r>
                            <w:t>44</w:t>
                          </w:r>
                          <w:r>
                            <w:fldChar w:fldCharType="end"/>
                          </w:r>
                          <w:r>
                            <w:rPr>
                              <w:rFonts w:hint="eastAsia"/>
                            </w:rPr>
                            <w:t>页 共</w:t>
                          </w:r>
                          <w:r>
                            <w:rPr>
                              <w:rFonts w:hint="eastAsia"/>
                              <w:lang w:val="en-US" w:eastAsia="zh-CN"/>
                            </w:rPr>
                            <w:t>53</w:t>
                          </w:r>
                          <w:r>
                            <w:rPr>
                              <w:rFonts w:hint="eastAsia"/>
                            </w:rPr>
                            <w:t>页</w:t>
                          </w:r>
                        </w:p>
                        <w:p w14:paraId="44071EFE"/>
                      </w:txbxContent>
                    </wps:txbx>
                    <wps:bodyPr wrap="square" lIns="0" tIns="0" rIns="0" bIns="0" upright="1">
                      <a:spAutoFit/>
                    </wps:bodyPr>
                  </wps:wsp>
                </a:graphicData>
              </a:graphic>
            </wp:anchor>
          </w:drawing>
        </mc:Choice>
        <mc:Fallback>
          <w:pict>
            <v:shape id="_x0000_s1026" o:spid="_x0000_s1026" o:spt="202" type="#_x0000_t202" style="position:absolute;left:0pt;margin-left:175.25pt;margin-top:0pt;height:24.5pt;width:84.5pt;mso-position-horizontal-relative:margin;z-index:251659264;mso-width-relative:page;mso-height-relative:page;" filled="f" stroked="f" coordsize="21600,21600" o:gfxdata="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9SPrA1AAAAAcBAAAPAAAAAAAAAAEAIAAA&#10;ACIAAABkcnMvZG93bnJldi54bWxQSwECFAAUAAAACACHTuJAj/nKC9cBAACoAwAADgAAAAAAAAAB&#10;ACAAAAAjAQAAZHJzL2Uyb0RvYy54bWxQSwUGAAAAAAYABgBZAQAAbAUAAAAA&#10;">
              <v:fill on="f" focussize="0,0"/>
              <v:stroke on="f"/>
              <v:imagedata o:title=""/>
              <o:lock v:ext="edit" aspectratio="f"/>
              <v:textbox inset="0mm,0mm,0mm,0mm" style="mso-fit-shape-to-text:t;">
                <w:txbxContent>
                  <w:p w14:paraId="79C6DEE5">
                    <w:pPr>
                      <w:pStyle w:val="25"/>
                    </w:pPr>
                    <w:r>
                      <w:rPr>
                        <w:rFonts w:hint="eastAsia"/>
                      </w:rPr>
                      <w:t>第</w:t>
                    </w:r>
                    <w:r>
                      <w:fldChar w:fldCharType="begin"/>
                    </w:r>
                    <w:r>
                      <w:rPr>
                        <w:rFonts w:hint="eastAsia"/>
                      </w:rPr>
                      <w:instrText xml:space="preserve">PAGE   \* MERGEFORMAT</w:instrText>
                    </w:r>
                    <w:r>
                      <w:fldChar w:fldCharType="separate"/>
                    </w:r>
                    <w:r>
                      <w:t>44</w:t>
                    </w:r>
                    <w:r>
                      <w:fldChar w:fldCharType="end"/>
                    </w:r>
                    <w:r>
                      <w:rPr>
                        <w:rFonts w:hint="eastAsia"/>
                      </w:rPr>
                      <w:t>页 共</w:t>
                    </w:r>
                    <w:r>
                      <w:rPr>
                        <w:rFonts w:hint="eastAsia"/>
                        <w:lang w:val="en-US" w:eastAsia="zh-CN"/>
                      </w:rPr>
                      <w:t>53</w:t>
                    </w:r>
                    <w:r>
                      <w:rPr>
                        <w:rFonts w:hint="eastAsia"/>
                      </w:rPr>
                      <w:t>页</w:t>
                    </w:r>
                  </w:p>
                  <w:p w14:paraId="44071EFE"/>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55D8">
    <w:pPr>
      <w:spacing w:line="300" w:lineRule="exact"/>
      <w:ind w:right="987"/>
      <w:rPr>
        <w:sz w:val="18"/>
        <w:szCs w:val="18"/>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iMDdmMDllMDQwOGQ2NGQ5N2FhNjc1OTEwNGI0MDgifQ=="/>
  </w:docVars>
  <w:rsids>
    <w:rsidRoot w:val="00000000"/>
    <w:rsid w:val="007C0FFC"/>
    <w:rsid w:val="01613241"/>
    <w:rsid w:val="01734A71"/>
    <w:rsid w:val="020C4CCA"/>
    <w:rsid w:val="04B73456"/>
    <w:rsid w:val="1BBC63DF"/>
    <w:rsid w:val="25253091"/>
    <w:rsid w:val="2B233517"/>
    <w:rsid w:val="2F1B6248"/>
    <w:rsid w:val="339E298D"/>
    <w:rsid w:val="373F4CA0"/>
    <w:rsid w:val="37EF38FC"/>
    <w:rsid w:val="38BF61F8"/>
    <w:rsid w:val="3CDC1389"/>
    <w:rsid w:val="43B458BA"/>
    <w:rsid w:val="43E5573E"/>
    <w:rsid w:val="4622005D"/>
    <w:rsid w:val="481612B8"/>
    <w:rsid w:val="4E760746"/>
    <w:rsid w:val="4FCD3BAA"/>
    <w:rsid w:val="52DA1F33"/>
    <w:rsid w:val="665C4368"/>
    <w:rsid w:val="6DFD1A82"/>
    <w:rsid w:val="715B2707"/>
    <w:rsid w:val="77272C50"/>
    <w:rsid w:val="77A87BEA"/>
    <w:rsid w:val="7B1C7F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2"/>
    </w:rPr>
  </w:style>
  <w:style w:type="paragraph" w:styleId="3">
    <w:name w:val="heading 1"/>
    <w:basedOn w:val="1"/>
    <w:next w:val="1"/>
    <w:link w:val="258"/>
    <w:qFormat/>
    <w:uiPriority w:val="9"/>
    <w:pPr>
      <w:keepNext/>
      <w:keepLines/>
      <w:spacing w:before="340" w:after="330" w:line="578" w:lineRule="auto"/>
      <w:outlineLvl w:val="0"/>
    </w:pPr>
    <w:rPr>
      <w:b/>
      <w:bCs/>
      <w:sz w:val="44"/>
      <w:szCs w:val="44"/>
      <w:lang w:eastAsia="en-US"/>
    </w:rPr>
  </w:style>
  <w:style w:type="paragraph" w:styleId="4">
    <w:name w:val="heading 2"/>
    <w:basedOn w:val="1"/>
    <w:next w:val="1"/>
    <w:link w:val="13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131"/>
    <w:qFormat/>
    <w:uiPriority w:val="9"/>
    <w:pPr>
      <w:keepNext/>
      <w:keepLines/>
      <w:spacing w:before="260" w:after="260" w:line="416" w:lineRule="auto"/>
      <w:outlineLvl w:val="2"/>
    </w:pPr>
    <w:rPr>
      <w:b/>
      <w:bCs/>
      <w:sz w:val="32"/>
      <w:szCs w:val="32"/>
    </w:rPr>
  </w:style>
  <w:style w:type="paragraph" w:styleId="6">
    <w:name w:val="heading 4"/>
    <w:basedOn w:val="1"/>
    <w:next w:val="1"/>
    <w:link w:val="13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3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34"/>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135"/>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136"/>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137"/>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lock Text"/>
    <w:basedOn w:val="1"/>
    <w:qFormat/>
    <w:uiPriority w:val="0"/>
    <w:pPr>
      <w:spacing w:after="120"/>
      <w:ind w:left="1440" w:right="1440"/>
    </w:pPr>
  </w:style>
  <w:style w:type="paragraph" w:styleId="12">
    <w:name w:val="toc 7"/>
    <w:basedOn w:val="1"/>
    <w:next w:val="1"/>
    <w:unhideWhenUsed/>
    <w:qFormat/>
    <w:uiPriority w:val="39"/>
    <w:pPr>
      <w:spacing w:after="57"/>
      <w:ind w:left="1701"/>
    </w:pPr>
  </w:style>
  <w:style w:type="paragraph" w:styleId="13">
    <w:name w:val="Normal Indent"/>
    <w:basedOn w:val="1"/>
    <w:link w:val="259"/>
    <w:qFormat/>
    <w:uiPriority w:val="0"/>
    <w:pPr>
      <w:ind w:firstLine="420"/>
    </w:pPr>
    <w:rPr>
      <w:szCs w:val="24"/>
      <w:lang w:eastAsia="en-US"/>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link w:val="260"/>
    <w:qFormat/>
    <w:uiPriority w:val="0"/>
    <w:rPr>
      <w:rFonts w:ascii="宋体"/>
      <w:sz w:val="18"/>
      <w:szCs w:val="18"/>
      <w:lang w:eastAsia="en-US"/>
    </w:rPr>
  </w:style>
  <w:style w:type="paragraph" w:styleId="16">
    <w:name w:val="annotation text"/>
    <w:basedOn w:val="1"/>
    <w:link w:val="261"/>
    <w:qFormat/>
    <w:uiPriority w:val="0"/>
    <w:pPr>
      <w:jc w:val="left"/>
    </w:pPr>
    <w:rPr>
      <w:szCs w:val="20"/>
      <w:lang w:eastAsia="en-US"/>
    </w:rPr>
  </w:style>
  <w:style w:type="paragraph" w:styleId="17">
    <w:name w:val="Body Text"/>
    <w:basedOn w:val="1"/>
    <w:next w:val="1"/>
    <w:link w:val="262"/>
    <w:qFormat/>
    <w:uiPriority w:val="0"/>
    <w:rPr>
      <w:rFonts w:ascii="Tahoma" w:hAnsi="Tahoma"/>
      <w:szCs w:val="24"/>
      <w:lang w:eastAsia="en-US"/>
    </w:rPr>
  </w:style>
  <w:style w:type="paragraph" w:styleId="18">
    <w:name w:val="Body Text Indent"/>
    <w:basedOn w:val="1"/>
    <w:qFormat/>
    <w:uiPriority w:val="0"/>
    <w:pPr>
      <w:tabs>
        <w:tab w:val="left" w:pos="180"/>
      </w:tabs>
      <w:ind w:firstLine="480"/>
    </w:pPr>
    <w:rPr>
      <w:rFonts w:ascii="Tahoma" w:hAnsi="Tahoma"/>
      <w:sz w:val="24"/>
    </w:rPr>
  </w:style>
  <w:style w:type="paragraph" w:styleId="19">
    <w:name w:val="toc 5"/>
    <w:basedOn w:val="1"/>
    <w:next w:val="1"/>
    <w:unhideWhenUsed/>
    <w:qFormat/>
    <w:uiPriority w:val="39"/>
    <w:pPr>
      <w:spacing w:after="57"/>
      <w:ind w:left="1134"/>
    </w:pPr>
  </w:style>
  <w:style w:type="paragraph" w:styleId="20">
    <w:name w:val="toc 3"/>
    <w:basedOn w:val="1"/>
    <w:next w:val="1"/>
    <w:qFormat/>
    <w:uiPriority w:val="39"/>
    <w:pPr>
      <w:ind w:left="840"/>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pPr>
  </w:style>
  <w:style w:type="paragraph" w:styleId="23">
    <w:name w:val="endnote text"/>
    <w:basedOn w:val="1"/>
    <w:link w:val="256"/>
    <w:semiHidden/>
    <w:unhideWhenUsed/>
    <w:qFormat/>
    <w:uiPriority w:val="99"/>
    <w:rPr>
      <w:sz w:val="20"/>
    </w:rPr>
  </w:style>
  <w:style w:type="paragraph" w:styleId="24">
    <w:name w:val="Balloon Text"/>
    <w:basedOn w:val="1"/>
    <w:link w:val="263"/>
    <w:qFormat/>
    <w:uiPriority w:val="0"/>
    <w:rPr>
      <w:sz w:val="18"/>
      <w:szCs w:val="18"/>
      <w:lang w:eastAsia="en-US"/>
    </w:rPr>
  </w:style>
  <w:style w:type="paragraph" w:styleId="25">
    <w:name w:val="footer"/>
    <w:basedOn w:val="1"/>
    <w:link w:val="148"/>
    <w:unhideWhenUsed/>
    <w:qFormat/>
    <w:uiPriority w:val="99"/>
    <w:pPr>
      <w:tabs>
        <w:tab w:val="center" w:pos="4153"/>
        <w:tab w:val="right" w:pos="8306"/>
      </w:tabs>
      <w:jc w:val="left"/>
    </w:pPr>
    <w:rPr>
      <w:sz w:val="18"/>
      <w:szCs w:val="18"/>
    </w:rPr>
  </w:style>
  <w:style w:type="paragraph" w:styleId="26">
    <w:name w:val="envelope return"/>
    <w:basedOn w:val="1"/>
    <w:qFormat/>
    <w:uiPriority w:val="0"/>
    <w:rPr>
      <w:rFonts w:ascii="Arial" w:hAnsi="Arial"/>
    </w:rPr>
  </w:style>
  <w:style w:type="paragraph" w:styleId="27">
    <w:name w:val="header"/>
    <w:basedOn w:val="1"/>
    <w:link w:val="146"/>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styleId="28">
    <w:name w:val="toc 1"/>
    <w:basedOn w:val="1"/>
    <w:next w:val="1"/>
    <w:qFormat/>
    <w:uiPriority w:val="39"/>
    <w:pPr>
      <w:tabs>
        <w:tab w:val="right" w:leader="dot" w:pos="9638"/>
      </w:tabs>
      <w:spacing w:line="440" w:lineRule="exact"/>
      <w:ind w:right="-424"/>
      <w:jc w:val="center"/>
    </w:pPr>
  </w:style>
  <w:style w:type="paragraph" w:styleId="29">
    <w:name w:val="toc 4"/>
    <w:basedOn w:val="1"/>
    <w:next w:val="1"/>
    <w:unhideWhenUsed/>
    <w:qFormat/>
    <w:uiPriority w:val="39"/>
    <w:pPr>
      <w:spacing w:after="57"/>
      <w:ind w:left="850"/>
    </w:pPr>
  </w:style>
  <w:style w:type="paragraph" w:styleId="30">
    <w:name w:val="Subtitle"/>
    <w:basedOn w:val="1"/>
    <w:next w:val="1"/>
    <w:link w:val="141"/>
    <w:qFormat/>
    <w:uiPriority w:val="11"/>
    <w:pPr>
      <w:spacing w:before="200" w:after="200"/>
    </w:pPr>
    <w:rPr>
      <w:sz w:val="24"/>
      <w:szCs w:val="24"/>
    </w:rPr>
  </w:style>
  <w:style w:type="paragraph" w:styleId="31">
    <w:name w:val="footnote text"/>
    <w:basedOn w:val="1"/>
    <w:link w:val="255"/>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Body Text Indent 3"/>
    <w:basedOn w:val="1"/>
    <w:qFormat/>
    <w:uiPriority w:val="0"/>
    <w:pPr>
      <w:spacing w:line="400" w:lineRule="exact"/>
      <w:ind w:firstLine="480"/>
    </w:pPr>
    <w:rPr>
      <w:sz w:val="24"/>
    </w:rPr>
  </w:style>
  <w:style w:type="paragraph" w:styleId="34">
    <w:name w:val="table of figures"/>
    <w:basedOn w:val="1"/>
    <w:next w:val="1"/>
    <w:unhideWhenUsed/>
    <w:qFormat/>
    <w:uiPriority w:val="99"/>
  </w:style>
  <w:style w:type="paragraph" w:styleId="35">
    <w:name w:val="toc 2"/>
    <w:basedOn w:val="1"/>
    <w:next w:val="1"/>
    <w:qFormat/>
    <w:uiPriority w:val="39"/>
    <w:pPr>
      <w:tabs>
        <w:tab w:val="right" w:leader="dot" w:pos="9214"/>
      </w:tabs>
      <w:jc w:val="right"/>
    </w:pPr>
  </w:style>
  <w:style w:type="paragraph" w:styleId="36">
    <w:name w:val="toc 9"/>
    <w:basedOn w:val="1"/>
    <w:next w:val="1"/>
    <w:unhideWhenUsed/>
    <w:qFormat/>
    <w:uiPriority w:val="39"/>
    <w:pPr>
      <w:spacing w:after="57"/>
      <w:ind w:left="2268"/>
    </w:pPr>
  </w:style>
  <w:style w:type="paragraph" w:styleId="37">
    <w:name w:val="Message Header"/>
    <w:basedOn w:val="1"/>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Theme="majorHAnsi" w:hAnsiTheme="majorHAnsi" w:eastAsiaTheme="majorEastAsia" w:cstheme="majorBidi"/>
      <w:sz w:val="24"/>
      <w:szCs w:val="24"/>
    </w:rPr>
  </w:style>
  <w:style w:type="paragraph" w:styleId="38">
    <w:name w:val="Normal (Web)"/>
    <w:basedOn w:val="1"/>
    <w:qFormat/>
    <w:uiPriority w:val="0"/>
    <w:pPr>
      <w:spacing w:before="100" w:beforeAutospacing="1" w:after="100" w:afterAutospacing="1"/>
      <w:jc w:val="left"/>
    </w:pPr>
    <w:rPr>
      <w:rFonts w:ascii="Times New Roman" w:hAnsi="Times New Roman"/>
      <w:sz w:val="24"/>
    </w:rPr>
  </w:style>
  <w:style w:type="paragraph" w:styleId="39">
    <w:name w:val="Title"/>
    <w:basedOn w:val="1"/>
    <w:next w:val="1"/>
    <w:link w:val="140"/>
    <w:qFormat/>
    <w:uiPriority w:val="10"/>
    <w:pPr>
      <w:spacing w:before="300" w:after="200"/>
      <w:contextualSpacing/>
    </w:pPr>
    <w:rPr>
      <w:sz w:val="48"/>
      <w:szCs w:val="48"/>
    </w:rPr>
  </w:style>
  <w:style w:type="paragraph" w:styleId="40">
    <w:name w:val="Body Text First Indent"/>
    <w:basedOn w:val="17"/>
    <w:qFormat/>
    <w:uiPriority w:val="0"/>
    <w:pPr>
      <w:spacing w:line="360" w:lineRule="auto"/>
      <w:ind w:firstLine="200"/>
    </w:pPr>
    <w:rPr>
      <w:rFonts w:ascii="仿宋_GB2312" w:eastAsia="仿宋_GB2312"/>
      <w:sz w:val="30"/>
      <w:szCs w:val="30"/>
    </w:rPr>
  </w:style>
  <w:style w:type="paragraph" w:styleId="41">
    <w:name w:val="Body Text First Indent 2"/>
    <w:basedOn w:val="18"/>
    <w:qFormat/>
    <w:uiPriority w:val="0"/>
    <w:pPr>
      <w:ind w:left="420" w:firstLine="420"/>
    </w:pPr>
    <w:rPr>
      <w:rFonts w:ascii="Times New Roman" w:hAnsi="Times New Roman"/>
      <w:szCs w:val="24"/>
    </w:rPr>
  </w:style>
  <w:style w:type="table" w:styleId="43">
    <w:name w:val="Table Grid"/>
    <w:basedOn w:val="4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basedOn w:val="44"/>
    <w:qFormat/>
    <w:uiPriority w:val="22"/>
  </w:style>
  <w:style w:type="character" w:styleId="46">
    <w:name w:val="endnote reference"/>
    <w:semiHidden/>
    <w:unhideWhenUsed/>
    <w:qFormat/>
    <w:uiPriority w:val="99"/>
    <w:rPr>
      <w:vertAlign w:val="superscript"/>
    </w:rPr>
  </w:style>
  <w:style w:type="character" w:styleId="47">
    <w:name w:val="page number"/>
    <w:qFormat/>
    <w:uiPriority w:val="0"/>
    <w:rPr>
      <w:rFonts w:ascii="Times New Roman" w:hAnsi="Times New Roman" w:eastAsia="宋体" w:cs="Times New Roman"/>
    </w:rPr>
  </w:style>
  <w:style w:type="character" w:styleId="48">
    <w:name w:val="FollowedHyperlink"/>
    <w:basedOn w:val="44"/>
    <w:semiHidden/>
    <w:unhideWhenUsed/>
    <w:qFormat/>
    <w:uiPriority w:val="99"/>
    <w:rPr>
      <w:color w:val="555555"/>
      <w:u w:val="none"/>
    </w:rPr>
  </w:style>
  <w:style w:type="character" w:styleId="49">
    <w:name w:val="Emphasis"/>
    <w:basedOn w:val="44"/>
    <w:qFormat/>
    <w:uiPriority w:val="20"/>
  </w:style>
  <w:style w:type="character" w:styleId="50">
    <w:name w:val="HTML Definition"/>
    <w:basedOn w:val="44"/>
    <w:semiHidden/>
    <w:unhideWhenUsed/>
    <w:qFormat/>
    <w:uiPriority w:val="99"/>
  </w:style>
  <w:style w:type="character" w:styleId="51">
    <w:name w:val="HTML Typewriter"/>
    <w:basedOn w:val="44"/>
    <w:semiHidden/>
    <w:unhideWhenUsed/>
    <w:qFormat/>
    <w:uiPriority w:val="99"/>
    <w:rPr>
      <w:rFonts w:hint="default" w:ascii="monospace" w:hAnsi="monospace" w:eastAsia="monospace" w:cs="monospace"/>
      <w:sz w:val="20"/>
    </w:rPr>
  </w:style>
  <w:style w:type="character" w:styleId="52">
    <w:name w:val="HTML Acronym"/>
    <w:basedOn w:val="44"/>
    <w:semiHidden/>
    <w:unhideWhenUsed/>
    <w:qFormat/>
    <w:uiPriority w:val="99"/>
  </w:style>
  <w:style w:type="character" w:styleId="53">
    <w:name w:val="HTML Variable"/>
    <w:basedOn w:val="44"/>
    <w:semiHidden/>
    <w:unhideWhenUsed/>
    <w:qFormat/>
    <w:uiPriority w:val="99"/>
  </w:style>
  <w:style w:type="character" w:styleId="54">
    <w:name w:val="Hyperlink"/>
    <w:qFormat/>
    <w:uiPriority w:val="99"/>
    <w:rPr>
      <w:color w:val="2440B3"/>
      <w:u w:val="single"/>
    </w:rPr>
  </w:style>
  <w:style w:type="character" w:styleId="55">
    <w:name w:val="HTML Code"/>
    <w:basedOn w:val="44"/>
    <w:semiHidden/>
    <w:unhideWhenUsed/>
    <w:qFormat/>
    <w:uiPriority w:val="99"/>
    <w:rPr>
      <w:rFonts w:hint="default" w:ascii="monospace" w:hAnsi="monospace" w:eastAsia="monospace" w:cs="monospace"/>
      <w:sz w:val="20"/>
    </w:rPr>
  </w:style>
  <w:style w:type="character" w:styleId="56">
    <w:name w:val="annotation reference"/>
    <w:qFormat/>
    <w:uiPriority w:val="0"/>
    <w:rPr>
      <w:sz w:val="21"/>
      <w:szCs w:val="21"/>
    </w:rPr>
  </w:style>
  <w:style w:type="character" w:styleId="57">
    <w:name w:val="HTML Cite"/>
    <w:basedOn w:val="44"/>
    <w:semiHidden/>
    <w:unhideWhenUsed/>
    <w:qFormat/>
    <w:uiPriority w:val="99"/>
  </w:style>
  <w:style w:type="character" w:styleId="58">
    <w:name w:val="footnote reference"/>
    <w:unhideWhenUsed/>
    <w:qFormat/>
    <w:uiPriority w:val="99"/>
    <w:rPr>
      <w:vertAlign w:val="superscript"/>
    </w:rPr>
  </w:style>
  <w:style w:type="character" w:styleId="59">
    <w:name w:val="HTML Keyboard"/>
    <w:basedOn w:val="44"/>
    <w:semiHidden/>
    <w:unhideWhenUsed/>
    <w:qFormat/>
    <w:uiPriority w:val="99"/>
    <w:rPr>
      <w:rFonts w:hint="default" w:ascii="monospace" w:hAnsi="monospace" w:eastAsia="monospace" w:cs="monospace"/>
      <w:sz w:val="20"/>
    </w:rPr>
  </w:style>
  <w:style w:type="character" w:styleId="60">
    <w:name w:val="HTML Sample"/>
    <w:basedOn w:val="44"/>
    <w:semiHidden/>
    <w:unhideWhenUsed/>
    <w:qFormat/>
    <w:uiPriority w:val="99"/>
    <w:rPr>
      <w:rFonts w:ascii="monospace" w:hAnsi="monospace" w:eastAsia="monospace" w:cs="monospace"/>
    </w:rPr>
  </w:style>
  <w:style w:type="paragraph" w:customStyle="1" w:styleId="61">
    <w:name w:val="Default"/>
    <w:next w:val="62"/>
    <w:qFormat/>
    <w:uiPriority w:val="0"/>
    <w:pPr>
      <w:widowControl w:val="0"/>
    </w:pPr>
    <w:rPr>
      <w:rFonts w:hint="default" w:ascii="宋体" w:hAnsi="Calibri" w:eastAsia="宋体" w:cs="Times New Roman"/>
      <w:color w:val="000000"/>
      <w:sz w:val="24"/>
      <w:szCs w:val="24"/>
    </w:rPr>
  </w:style>
  <w:style w:type="paragraph" w:customStyle="1" w:styleId="62">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paragraph" w:customStyle="1" w:styleId="63">
    <w:name w:val="普通正文"/>
    <w:qFormat/>
    <w:uiPriority w:val="0"/>
    <w:pPr>
      <w:widowControl w:val="0"/>
      <w:spacing w:before="120" w:after="120" w:line="360" w:lineRule="auto"/>
      <w:ind w:firstLine="480"/>
    </w:pPr>
    <w:rPr>
      <w:rFonts w:hint="default" w:ascii="Arial" w:hAnsi="Arial" w:eastAsia="宋体" w:cs="Times New Roman"/>
      <w:sz w:val="24"/>
      <w:szCs w:val="24"/>
    </w:rPr>
  </w:style>
  <w:style w:type="paragraph" w:customStyle="1" w:styleId="64">
    <w:name w:val="正文1"/>
    <w:basedOn w:val="1"/>
    <w:qFormat/>
    <w:uiPriority w:val="0"/>
    <w:pPr>
      <w:widowControl/>
      <w:spacing w:line="440" w:lineRule="exact"/>
      <w:ind w:right="-167"/>
    </w:pPr>
    <w:rPr>
      <w:rFonts w:ascii="Times New Roman" w:hAnsi="Times New Roman"/>
      <w:b/>
    </w:rPr>
  </w:style>
  <w:style w:type="paragraph" w:customStyle="1" w:styleId="65">
    <w:name w:val="目录 11"/>
    <w:basedOn w:val="66"/>
    <w:next w:val="66"/>
    <w:qFormat/>
    <w:uiPriority w:val="0"/>
    <w:pPr>
      <w:spacing w:before="120" w:after="120"/>
    </w:pPr>
    <w:rPr>
      <w:rFonts w:ascii="Calibri" w:hAnsi="Calibri"/>
      <w:b/>
      <w:bCs/>
      <w:caps/>
    </w:rPr>
  </w:style>
  <w:style w:type="paragraph" w:customStyle="1" w:styleId="66">
    <w:name w:val="正文12"/>
    <w:next w:val="67"/>
    <w:qFormat/>
    <w:uiPriority w:val="0"/>
    <w:rPr>
      <w:rFonts w:hint="default" w:ascii="Times New Roman" w:hAnsi="Times New Roman" w:eastAsia="宋体" w:cs="Times New Roman"/>
      <w:lang w:val="en-US" w:eastAsia="zh-CN" w:bidi="ar-SA"/>
    </w:rPr>
  </w:style>
  <w:style w:type="paragraph" w:customStyle="1" w:styleId="67">
    <w:name w:val="文本块11"/>
    <w:basedOn w:val="68"/>
    <w:qFormat/>
    <w:uiPriority w:val="0"/>
    <w:pPr>
      <w:spacing w:after="120"/>
      <w:ind w:left="1440" w:right="1440"/>
    </w:pPr>
  </w:style>
  <w:style w:type="paragraph" w:customStyle="1" w:styleId="68">
    <w:name w:val="正文121"/>
    <w:next w:val="67"/>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69">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9">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2">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4">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6">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7">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8">
    <w:name w:val="TOC Heading"/>
    <w:unhideWhenUsed/>
    <w:qFormat/>
    <w:uiPriority w:val="39"/>
    <w:rPr>
      <w:rFonts w:hint="default" w:ascii="Times New Roman" w:hAnsi="Times New Roman" w:eastAsia="宋体" w:cs="Times New Roman"/>
    </w:rPr>
  </w:style>
  <w:style w:type="character" w:customStyle="1" w:styleId="89">
    <w:name w:val="Heading 2 Char"/>
    <w:basedOn w:val="44"/>
    <w:qFormat/>
    <w:uiPriority w:val="9"/>
    <w:rPr>
      <w:rFonts w:ascii="Arial" w:hAnsi="Arial" w:eastAsia="Arial" w:cs="Arial"/>
      <w:sz w:val="34"/>
    </w:rPr>
  </w:style>
  <w:style w:type="character" w:customStyle="1" w:styleId="90">
    <w:name w:val="Heading 3 Char"/>
    <w:basedOn w:val="44"/>
    <w:qFormat/>
    <w:uiPriority w:val="9"/>
    <w:rPr>
      <w:rFonts w:ascii="Arial" w:hAnsi="Arial" w:eastAsia="Arial" w:cs="Arial"/>
      <w:sz w:val="30"/>
      <w:szCs w:val="30"/>
    </w:rPr>
  </w:style>
  <w:style w:type="character" w:customStyle="1" w:styleId="91">
    <w:name w:val="Heading 4 Char"/>
    <w:basedOn w:val="44"/>
    <w:qFormat/>
    <w:uiPriority w:val="9"/>
    <w:rPr>
      <w:rFonts w:ascii="Arial" w:hAnsi="Arial" w:eastAsia="Arial" w:cs="Arial"/>
      <w:b/>
      <w:bCs/>
      <w:sz w:val="26"/>
      <w:szCs w:val="26"/>
    </w:rPr>
  </w:style>
  <w:style w:type="character" w:customStyle="1" w:styleId="92">
    <w:name w:val="Heading 5 Char"/>
    <w:basedOn w:val="44"/>
    <w:qFormat/>
    <w:uiPriority w:val="9"/>
    <w:rPr>
      <w:rFonts w:ascii="Arial" w:hAnsi="Arial" w:eastAsia="Arial" w:cs="Arial"/>
      <w:b/>
      <w:bCs/>
      <w:sz w:val="24"/>
      <w:szCs w:val="24"/>
    </w:rPr>
  </w:style>
  <w:style w:type="character" w:customStyle="1" w:styleId="93">
    <w:name w:val="Heading 6 Char"/>
    <w:basedOn w:val="44"/>
    <w:qFormat/>
    <w:uiPriority w:val="9"/>
    <w:rPr>
      <w:rFonts w:ascii="Arial" w:hAnsi="Arial" w:eastAsia="Arial" w:cs="Arial"/>
      <w:b/>
      <w:bCs/>
      <w:sz w:val="22"/>
      <w:szCs w:val="22"/>
    </w:rPr>
  </w:style>
  <w:style w:type="character" w:customStyle="1" w:styleId="94">
    <w:name w:val="Heading 7 Char"/>
    <w:basedOn w:val="44"/>
    <w:qFormat/>
    <w:uiPriority w:val="9"/>
    <w:rPr>
      <w:rFonts w:ascii="Arial" w:hAnsi="Arial" w:eastAsia="Arial" w:cs="Arial"/>
      <w:b/>
      <w:bCs/>
      <w:i/>
      <w:iCs/>
      <w:sz w:val="22"/>
      <w:szCs w:val="22"/>
    </w:rPr>
  </w:style>
  <w:style w:type="character" w:customStyle="1" w:styleId="95">
    <w:name w:val="Heading 8 Char"/>
    <w:basedOn w:val="44"/>
    <w:qFormat/>
    <w:uiPriority w:val="9"/>
    <w:rPr>
      <w:rFonts w:ascii="Arial" w:hAnsi="Arial" w:eastAsia="Arial" w:cs="Arial"/>
      <w:i/>
      <w:iCs/>
      <w:sz w:val="22"/>
      <w:szCs w:val="22"/>
    </w:rPr>
  </w:style>
  <w:style w:type="character" w:customStyle="1" w:styleId="96">
    <w:name w:val="Heading 9 Char"/>
    <w:basedOn w:val="44"/>
    <w:qFormat/>
    <w:uiPriority w:val="9"/>
    <w:rPr>
      <w:rFonts w:ascii="Arial" w:hAnsi="Arial" w:eastAsia="Arial" w:cs="Arial"/>
      <w:i/>
      <w:iCs/>
      <w:sz w:val="21"/>
      <w:szCs w:val="21"/>
    </w:rPr>
  </w:style>
  <w:style w:type="character" w:customStyle="1" w:styleId="97">
    <w:name w:val="Title Char"/>
    <w:basedOn w:val="44"/>
    <w:qFormat/>
    <w:uiPriority w:val="10"/>
    <w:rPr>
      <w:sz w:val="48"/>
      <w:szCs w:val="48"/>
    </w:rPr>
  </w:style>
  <w:style w:type="character" w:customStyle="1" w:styleId="98">
    <w:name w:val="Subtitle Char"/>
    <w:basedOn w:val="44"/>
    <w:qFormat/>
    <w:uiPriority w:val="11"/>
    <w:rPr>
      <w:sz w:val="24"/>
      <w:szCs w:val="24"/>
    </w:rPr>
  </w:style>
  <w:style w:type="character" w:customStyle="1" w:styleId="99">
    <w:name w:val="Quote Char"/>
    <w:qFormat/>
    <w:uiPriority w:val="29"/>
    <w:rPr>
      <w:i/>
    </w:rPr>
  </w:style>
  <w:style w:type="character" w:customStyle="1" w:styleId="100">
    <w:name w:val="Intense Quote Char"/>
    <w:qFormat/>
    <w:uiPriority w:val="30"/>
    <w:rPr>
      <w:i/>
    </w:rPr>
  </w:style>
  <w:style w:type="character" w:customStyle="1" w:styleId="101">
    <w:name w:val="Header Char"/>
    <w:basedOn w:val="44"/>
    <w:qFormat/>
    <w:uiPriority w:val="99"/>
  </w:style>
  <w:style w:type="character" w:customStyle="1" w:styleId="102">
    <w:name w:val="Caption Char"/>
    <w:qFormat/>
    <w:uiPriority w:val="99"/>
  </w:style>
  <w:style w:type="table" w:customStyle="1" w:styleId="103">
    <w:name w:val="无格式表格 11"/>
    <w:basedOn w:val="42"/>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4">
    <w:name w:val="无格式表格 21"/>
    <w:basedOn w:val="42"/>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5">
    <w:name w:val="无格式表格 31"/>
    <w:basedOn w:val="42"/>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41"/>
    <w:basedOn w:val="42"/>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51"/>
    <w:basedOn w:val="42"/>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网格表 1 浅色1"/>
    <w:basedOn w:val="42"/>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9">
    <w:name w:val="网格表 21"/>
    <w:basedOn w:val="42"/>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网格表 31"/>
    <w:basedOn w:val="42"/>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网格表 41"/>
    <w:basedOn w:val="42"/>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网格表 5 深色1"/>
    <w:basedOn w:val="4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网格表 6 彩色1"/>
    <w:basedOn w:val="42"/>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网格表 7 彩色1"/>
    <w:basedOn w:val="42"/>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清单表 1 浅色1"/>
    <w:basedOn w:val="42"/>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清单表 21"/>
    <w:basedOn w:val="42"/>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清单表 31"/>
    <w:basedOn w:val="42"/>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8">
    <w:name w:val="清单表 41"/>
    <w:basedOn w:val="42"/>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清单表 5 深色1"/>
    <w:basedOn w:val="42"/>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0">
    <w:name w:val="清单表 6 彩色1"/>
    <w:basedOn w:val="42"/>
    <w:qFormat/>
    <w:uiPriority w:val="99"/>
    <w:tblPr>
      <w:tblBorders>
        <w:top w:val="single" w:color="7F7F7F" w:sz="4" w:space="0"/>
        <w:bottom w:val="single" w:color="7F7F7F"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1">
    <w:name w:val="清单表 7 彩色1"/>
    <w:basedOn w:val="42"/>
    <w:qFormat/>
    <w:uiPriority w:val="99"/>
    <w:tblPr>
      <w:tblBorders>
        <w:right w:val="single" w:color="7F7F7F"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22">
    <w:name w:val="Footnote Text Char"/>
    <w:qFormat/>
    <w:uiPriority w:val="99"/>
    <w:rPr>
      <w:sz w:val="18"/>
    </w:rPr>
  </w:style>
  <w:style w:type="character" w:customStyle="1" w:styleId="123">
    <w:name w:val="Endnote Text Char"/>
    <w:qFormat/>
    <w:uiPriority w:val="99"/>
    <w:rPr>
      <w:sz w:val="20"/>
    </w:rPr>
  </w:style>
  <w:style w:type="paragraph" w:customStyle="1" w:styleId="124">
    <w:name w:val="TOC 标题1"/>
    <w:unhideWhenUsed/>
    <w:qFormat/>
    <w:uiPriority w:val="39"/>
    <w:rPr>
      <w:rFonts w:hint="default" w:ascii="Calibri" w:hAnsi="Calibri" w:eastAsia="宋体" w:cs="Times New Roman"/>
    </w:rPr>
  </w:style>
  <w:style w:type="paragraph" w:customStyle="1" w:styleId="125">
    <w:name w:val="一级条标题"/>
    <w:basedOn w:val="126"/>
    <w:next w:val="12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26">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127">
    <w:name w:val="段"/>
    <w:next w:val="128"/>
    <w:qFormat/>
    <w:uiPriority w:val="0"/>
    <w:pPr>
      <w:widowControl w:val="0"/>
      <w:ind w:firstLine="200"/>
      <w:jc w:val="both"/>
    </w:pPr>
    <w:rPr>
      <w:rFonts w:hint="default" w:ascii="宋体" w:hAnsi="宋体" w:eastAsia="宋体" w:cs="宋体"/>
      <w:color w:val="000000"/>
      <w:sz w:val="21"/>
      <w:szCs w:val="21"/>
    </w:rPr>
  </w:style>
  <w:style w:type="paragraph" w:customStyle="1" w:styleId="128">
    <w:name w:val="正文 A"/>
    <w:next w:val="127"/>
    <w:qFormat/>
    <w:uiPriority w:val="0"/>
    <w:pPr>
      <w:widowControl w:val="0"/>
      <w:jc w:val="both"/>
    </w:pPr>
    <w:rPr>
      <w:rFonts w:hint="default" w:ascii="Calibri" w:hAnsi="Calibri" w:eastAsia="Calibri" w:cs="Calibri"/>
      <w:color w:val="000000"/>
      <w:sz w:val="21"/>
      <w:szCs w:val="21"/>
    </w:rPr>
  </w:style>
  <w:style w:type="character" w:customStyle="1" w:styleId="129">
    <w:name w:val="Heading 1 Char"/>
    <w:qFormat/>
    <w:uiPriority w:val="9"/>
    <w:rPr>
      <w:rFonts w:ascii="Arial" w:hAnsi="Arial" w:eastAsia="Arial" w:cs="Arial"/>
      <w:sz w:val="40"/>
      <w:szCs w:val="40"/>
    </w:rPr>
  </w:style>
  <w:style w:type="character" w:customStyle="1" w:styleId="130">
    <w:name w:val="标题 2 字符"/>
    <w:link w:val="4"/>
    <w:qFormat/>
    <w:uiPriority w:val="9"/>
    <w:rPr>
      <w:rFonts w:ascii="Arial" w:hAnsi="Arial" w:eastAsia="Arial" w:cs="Arial"/>
      <w:sz w:val="34"/>
    </w:rPr>
  </w:style>
  <w:style w:type="character" w:customStyle="1" w:styleId="131">
    <w:name w:val="标题 3 字符"/>
    <w:link w:val="5"/>
    <w:qFormat/>
    <w:uiPriority w:val="9"/>
    <w:rPr>
      <w:rFonts w:ascii="Arial" w:hAnsi="Arial" w:eastAsia="Arial" w:cs="Arial"/>
      <w:sz w:val="30"/>
      <w:szCs w:val="30"/>
    </w:rPr>
  </w:style>
  <w:style w:type="character" w:customStyle="1" w:styleId="132">
    <w:name w:val="标题 4 字符"/>
    <w:link w:val="6"/>
    <w:qFormat/>
    <w:uiPriority w:val="9"/>
    <w:rPr>
      <w:rFonts w:ascii="Arial" w:hAnsi="Arial" w:eastAsia="Arial" w:cs="Arial"/>
      <w:b/>
      <w:bCs/>
      <w:sz w:val="26"/>
      <w:szCs w:val="26"/>
    </w:rPr>
  </w:style>
  <w:style w:type="character" w:customStyle="1" w:styleId="133">
    <w:name w:val="标题 5 字符"/>
    <w:link w:val="7"/>
    <w:qFormat/>
    <w:uiPriority w:val="9"/>
    <w:rPr>
      <w:rFonts w:ascii="Arial" w:hAnsi="Arial" w:eastAsia="Arial" w:cs="Arial"/>
      <w:b/>
      <w:bCs/>
      <w:sz w:val="24"/>
      <w:szCs w:val="24"/>
    </w:rPr>
  </w:style>
  <w:style w:type="character" w:customStyle="1" w:styleId="134">
    <w:name w:val="标题 6 字符"/>
    <w:link w:val="8"/>
    <w:qFormat/>
    <w:uiPriority w:val="9"/>
    <w:rPr>
      <w:rFonts w:ascii="Arial" w:hAnsi="Arial" w:eastAsia="Arial" w:cs="Arial"/>
      <w:b/>
      <w:bCs/>
      <w:sz w:val="22"/>
      <w:szCs w:val="22"/>
    </w:rPr>
  </w:style>
  <w:style w:type="character" w:customStyle="1" w:styleId="135">
    <w:name w:val="标题 7 字符"/>
    <w:link w:val="9"/>
    <w:qFormat/>
    <w:uiPriority w:val="9"/>
    <w:rPr>
      <w:rFonts w:ascii="Arial" w:hAnsi="Arial" w:eastAsia="Arial" w:cs="Arial"/>
      <w:b/>
      <w:bCs/>
      <w:i/>
      <w:iCs/>
      <w:sz w:val="22"/>
      <w:szCs w:val="22"/>
    </w:rPr>
  </w:style>
  <w:style w:type="character" w:customStyle="1" w:styleId="136">
    <w:name w:val="标题 8 字符"/>
    <w:link w:val="10"/>
    <w:qFormat/>
    <w:uiPriority w:val="9"/>
    <w:rPr>
      <w:rFonts w:ascii="Arial" w:hAnsi="Arial" w:eastAsia="Arial" w:cs="Arial"/>
      <w:i/>
      <w:iCs/>
      <w:sz w:val="22"/>
      <w:szCs w:val="22"/>
    </w:rPr>
  </w:style>
  <w:style w:type="character" w:customStyle="1" w:styleId="137">
    <w:name w:val="标题 9 字符"/>
    <w:link w:val="11"/>
    <w:qFormat/>
    <w:uiPriority w:val="9"/>
    <w:rPr>
      <w:rFonts w:ascii="Arial" w:hAnsi="Arial" w:eastAsia="Arial" w:cs="Arial"/>
      <w:i/>
      <w:iCs/>
      <w:sz w:val="21"/>
      <w:szCs w:val="21"/>
    </w:rPr>
  </w:style>
  <w:style w:type="paragraph" w:styleId="138">
    <w:name w:val="List Paragraph"/>
    <w:basedOn w:val="1"/>
    <w:qFormat/>
    <w:uiPriority w:val="34"/>
    <w:pPr>
      <w:ind w:left="720"/>
      <w:contextualSpacing/>
    </w:pPr>
  </w:style>
  <w:style w:type="paragraph" w:styleId="139">
    <w:name w:val="No Spacing"/>
    <w:qFormat/>
    <w:uiPriority w:val="1"/>
    <w:rPr>
      <w:rFonts w:hint="default" w:ascii="Calibri" w:hAnsi="Calibri" w:eastAsia="宋体" w:cs="Times New Roman"/>
    </w:rPr>
  </w:style>
  <w:style w:type="character" w:customStyle="1" w:styleId="140">
    <w:name w:val="标题 字符"/>
    <w:link w:val="39"/>
    <w:qFormat/>
    <w:uiPriority w:val="10"/>
    <w:rPr>
      <w:sz w:val="48"/>
      <w:szCs w:val="48"/>
    </w:rPr>
  </w:style>
  <w:style w:type="character" w:customStyle="1" w:styleId="141">
    <w:name w:val="副标题 字符"/>
    <w:link w:val="30"/>
    <w:qFormat/>
    <w:uiPriority w:val="11"/>
    <w:rPr>
      <w:sz w:val="24"/>
      <w:szCs w:val="24"/>
    </w:rPr>
  </w:style>
  <w:style w:type="paragraph" w:styleId="142">
    <w:name w:val="Quote"/>
    <w:basedOn w:val="1"/>
    <w:next w:val="1"/>
    <w:link w:val="143"/>
    <w:qFormat/>
    <w:uiPriority w:val="29"/>
    <w:pPr>
      <w:ind w:left="720" w:right="720"/>
    </w:pPr>
    <w:rPr>
      <w:i/>
    </w:rPr>
  </w:style>
  <w:style w:type="character" w:customStyle="1" w:styleId="143">
    <w:name w:val="引用 字符"/>
    <w:link w:val="142"/>
    <w:qFormat/>
    <w:uiPriority w:val="29"/>
    <w:rPr>
      <w:i/>
    </w:rPr>
  </w:style>
  <w:style w:type="paragraph" w:styleId="144">
    <w:name w:val="Intense Quote"/>
    <w:basedOn w:val="1"/>
    <w:next w:val="1"/>
    <w:link w:val="14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5">
    <w:name w:val="明显引用 字符"/>
    <w:link w:val="144"/>
    <w:qFormat/>
    <w:uiPriority w:val="30"/>
    <w:rPr>
      <w:i/>
    </w:rPr>
  </w:style>
  <w:style w:type="character" w:customStyle="1" w:styleId="146">
    <w:name w:val="页眉 字符"/>
    <w:link w:val="27"/>
    <w:qFormat/>
    <w:uiPriority w:val="99"/>
  </w:style>
  <w:style w:type="character" w:customStyle="1" w:styleId="147">
    <w:name w:val="Footer Char"/>
    <w:qFormat/>
    <w:uiPriority w:val="99"/>
  </w:style>
  <w:style w:type="character" w:customStyle="1" w:styleId="148">
    <w:name w:val="页脚 字符"/>
    <w:link w:val="25"/>
    <w:qFormat/>
    <w:uiPriority w:val="99"/>
  </w:style>
  <w:style w:type="table" w:customStyle="1" w:styleId="149">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5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5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5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5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5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5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5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5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2">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63">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4">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5">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7">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6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7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7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7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4">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5">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6">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7">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8">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9">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8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8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8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8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8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8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8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8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8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9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9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92">
    <w:name w:val="List Table 1 Light - Accent 1"/>
    <w:qFormat/>
    <w:uiPriority w:val="99"/>
    <w:tblPr>
      <w:tblCellMar>
        <w:top w:w="0" w:type="dxa"/>
        <w:left w:w="0" w:type="dxa"/>
        <w:bottom w:w="0" w:type="dxa"/>
        <w:right w:w="0" w:type="dxa"/>
      </w:tblCellMar>
    </w:tblPr>
  </w:style>
  <w:style w:type="table" w:customStyle="1" w:styleId="193">
    <w:name w:val="List Table 1 Light - Accent 2"/>
    <w:qFormat/>
    <w:uiPriority w:val="99"/>
    <w:tblPr>
      <w:tblCellMar>
        <w:top w:w="0" w:type="dxa"/>
        <w:left w:w="0" w:type="dxa"/>
        <w:bottom w:w="0" w:type="dxa"/>
        <w:right w:w="0" w:type="dxa"/>
      </w:tblCellMar>
    </w:tblPr>
  </w:style>
  <w:style w:type="table" w:customStyle="1" w:styleId="194">
    <w:name w:val="List Table 1 Light - Accent 3"/>
    <w:qFormat/>
    <w:uiPriority w:val="99"/>
    <w:tblPr>
      <w:tblCellMar>
        <w:top w:w="0" w:type="dxa"/>
        <w:left w:w="0" w:type="dxa"/>
        <w:bottom w:w="0" w:type="dxa"/>
        <w:right w:w="0" w:type="dxa"/>
      </w:tblCellMar>
    </w:tblPr>
  </w:style>
  <w:style w:type="table" w:customStyle="1" w:styleId="195">
    <w:name w:val="List Table 1 Light - Accent 4"/>
    <w:qFormat/>
    <w:uiPriority w:val="99"/>
    <w:tblPr>
      <w:tblCellMar>
        <w:top w:w="0" w:type="dxa"/>
        <w:left w:w="0" w:type="dxa"/>
        <w:bottom w:w="0" w:type="dxa"/>
        <w:right w:w="0" w:type="dxa"/>
      </w:tblCellMar>
    </w:tblPr>
  </w:style>
  <w:style w:type="table" w:customStyle="1" w:styleId="196">
    <w:name w:val="List Table 1 Light - Accent 5"/>
    <w:qFormat/>
    <w:uiPriority w:val="99"/>
    <w:tblPr>
      <w:tblCellMar>
        <w:top w:w="0" w:type="dxa"/>
        <w:left w:w="0" w:type="dxa"/>
        <w:bottom w:w="0" w:type="dxa"/>
        <w:right w:w="0" w:type="dxa"/>
      </w:tblCellMar>
    </w:tblPr>
  </w:style>
  <w:style w:type="table" w:customStyle="1" w:styleId="197">
    <w:name w:val="List Table 1 Light - Accent 6"/>
    <w:qFormat/>
    <w:uiPriority w:val="99"/>
    <w:tblPr>
      <w:tblCellMar>
        <w:top w:w="0" w:type="dxa"/>
        <w:left w:w="0" w:type="dxa"/>
        <w:bottom w:w="0" w:type="dxa"/>
        <w:right w:w="0" w:type="dxa"/>
      </w:tblCellMar>
    </w:tblPr>
  </w:style>
  <w:style w:type="table" w:customStyle="1" w:styleId="19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99">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20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20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20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20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20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20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20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0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0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0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1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1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1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1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1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1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1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1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1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1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2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2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22">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23">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24">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25">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26">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27">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2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2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3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3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3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3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34">
    <w:name w:val="Lined - Accent"/>
    <w:qFormat/>
    <w:uiPriority w:val="99"/>
    <w:rPr>
      <w:color w:val="404040"/>
    </w:rPr>
    <w:tblPr>
      <w:tblCellMar>
        <w:top w:w="0" w:type="dxa"/>
        <w:left w:w="0" w:type="dxa"/>
        <w:bottom w:w="0" w:type="dxa"/>
        <w:right w:w="0" w:type="dxa"/>
      </w:tblCellMar>
    </w:tblPr>
  </w:style>
  <w:style w:type="table" w:customStyle="1" w:styleId="235">
    <w:name w:val="Lined - Accent 1"/>
    <w:qFormat/>
    <w:uiPriority w:val="99"/>
    <w:rPr>
      <w:color w:val="404040"/>
    </w:rPr>
    <w:tblPr>
      <w:tblCellMar>
        <w:top w:w="0" w:type="dxa"/>
        <w:left w:w="0" w:type="dxa"/>
        <w:bottom w:w="0" w:type="dxa"/>
        <w:right w:w="0" w:type="dxa"/>
      </w:tblCellMar>
    </w:tblPr>
  </w:style>
  <w:style w:type="table" w:customStyle="1" w:styleId="236">
    <w:name w:val="Lined - Accent 2"/>
    <w:qFormat/>
    <w:uiPriority w:val="99"/>
    <w:rPr>
      <w:color w:val="404040"/>
    </w:rPr>
    <w:tblPr>
      <w:tblCellMar>
        <w:top w:w="0" w:type="dxa"/>
        <w:left w:w="0" w:type="dxa"/>
        <w:bottom w:w="0" w:type="dxa"/>
        <w:right w:w="0" w:type="dxa"/>
      </w:tblCellMar>
    </w:tblPr>
  </w:style>
  <w:style w:type="table" w:customStyle="1" w:styleId="237">
    <w:name w:val="Lined - Accent 3"/>
    <w:qFormat/>
    <w:uiPriority w:val="99"/>
    <w:rPr>
      <w:color w:val="404040"/>
    </w:rPr>
    <w:tblPr>
      <w:tblCellMar>
        <w:top w:w="0" w:type="dxa"/>
        <w:left w:w="0" w:type="dxa"/>
        <w:bottom w:w="0" w:type="dxa"/>
        <w:right w:w="0" w:type="dxa"/>
      </w:tblCellMar>
    </w:tblPr>
  </w:style>
  <w:style w:type="table" w:customStyle="1" w:styleId="238">
    <w:name w:val="Lined - Accent 4"/>
    <w:qFormat/>
    <w:uiPriority w:val="99"/>
    <w:rPr>
      <w:color w:val="404040"/>
    </w:rPr>
    <w:tblPr>
      <w:tblCellMar>
        <w:top w:w="0" w:type="dxa"/>
        <w:left w:w="0" w:type="dxa"/>
        <w:bottom w:w="0" w:type="dxa"/>
        <w:right w:w="0" w:type="dxa"/>
      </w:tblCellMar>
    </w:tblPr>
  </w:style>
  <w:style w:type="table" w:customStyle="1" w:styleId="239">
    <w:name w:val="Lined - Accent 5"/>
    <w:qFormat/>
    <w:uiPriority w:val="99"/>
    <w:rPr>
      <w:color w:val="404040"/>
    </w:rPr>
    <w:tblPr>
      <w:tblCellMar>
        <w:top w:w="0" w:type="dxa"/>
        <w:left w:w="0" w:type="dxa"/>
        <w:bottom w:w="0" w:type="dxa"/>
        <w:right w:w="0" w:type="dxa"/>
      </w:tblCellMar>
    </w:tblPr>
  </w:style>
  <w:style w:type="table" w:customStyle="1" w:styleId="240">
    <w:name w:val="Lined - Accent 6"/>
    <w:qFormat/>
    <w:uiPriority w:val="99"/>
    <w:rPr>
      <w:color w:val="404040"/>
    </w:rPr>
    <w:tblPr>
      <w:tblCellMar>
        <w:top w:w="0" w:type="dxa"/>
        <w:left w:w="0" w:type="dxa"/>
        <w:bottom w:w="0" w:type="dxa"/>
        <w:right w:w="0" w:type="dxa"/>
      </w:tblCellMar>
    </w:tblPr>
  </w:style>
  <w:style w:type="table" w:customStyle="1" w:styleId="24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4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4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4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4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4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4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4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4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5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5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5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5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5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55">
    <w:name w:val="脚注文本 字符"/>
    <w:link w:val="31"/>
    <w:qFormat/>
    <w:uiPriority w:val="99"/>
    <w:rPr>
      <w:sz w:val="18"/>
    </w:rPr>
  </w:style>
  <w:style w:type="character" w:customStyle="1" w:styleId="256">
    <w:name w:val="尾注文本 字符"/>
    <w:link w:val="23"/>
    <w:qFormat/>
    <w:uiPriority w:val="99"/>
    <w:rPr>
      <w:sz w:val="20"/>
    </w:rPr>
  </w:style>
  <w:style w:type="paragraph" w:customStyle="1" w:styleId="257">
    <w:name w:val="TOC 标题11"/>
    <w:basedOn w:val="3"/>
    <w:next w:val="1"/>
    <w:qFormat/>
    <w:uiPriority w:val="39"/>
    <w:pPr>
      <w:outlineLvl w:val="9"/>
    </w:pPr>
  </w:style>
  <w:style w:type="character" w:customStyle="1" w:styleId="258">
    <w:name w:val="标题 1 字符"/>
    <w:link w:val="3"/>
    <w:qFormat/>
    <w:uiPriority w:val="9"/>
    <w:rPr>
      <w:b/>
      <w:bCs/>
      <w:sz w:val="44"/>
      <w:szCs w:val="44"/>
    </w:rPr>
  </w:style>
  <w:style w:type="character" w:customStyle="1" w:styleId="259">
    <w:name w:val="正文缩进 字符"/>
    <w:link w:val="13"/>
    <w:qFormat/>
    <w:uiPriority w:val="0"/>
    <w:rPr>
      <w:sz w:val="21"/>
      <w:szCs w:val="24"/>
    </w:rPr>
  </w:style>
  <w:style w:type="character" w:customStyle="1" w:styleId="260">
    <w:name w:val="文档结构图 字符"/>
    <w:link w:val="15"/>
    <w:qFormat/>
    <w:uiPriority w:val="0"/>
    <w:rPr>
      <w:rFonts w:ascii="宋体"/>
      <w:sz w:val="18"/>
      <w:szCs w:val="18"/>
    </w:rPr>
  </w:style>
  <w:style w:type="character" w:customStyle="1" w:styleId="261">
    <w:name w:val="批注文字 字符"/>
    <w:link w:val="16"/>
    <w:qFormat/>
    <w:uiPriority w:val="0"/>
    <w:rPr>
      <w:sz w:val="21"/>
    </w:rPr>
  </w:style>
  <w:style w:type="character" w:customStyle="1" w:styleId="262">
    <w:name w:val="正文文本 字符"/>
    <w:link w:val="17"/>
    <w:qFormat/>
    <w:uiPriority w:val="0"/>
    <w:rPr>
      <w:rFonts w:ascii="Tahoma" w:hAnsi="Tahoma"/>
      <w:sz w:val="21"/>
      <w:szCs w:val="24"/>
    </w:rPr>
  </w:style>
  <w:style w:type="character" w:customStyle="1" w:styleId="263">
    <w:name w:val="批注框文本 字符"/>
    <w:link w:val="24"/>
    <w:qFormat/>
    <w:uiPriority w:val="0"/>
    <w:rPr>
      <w:sz w:val="18"/>
      <w:szCs w:val="18"/>
    </w:rPr>
  </w:style>
  <w:style w:type="character" w:customStyle="1" w:styleId="264">
    <w:name w:val="font01"/>
    <w:basedOn w:val="44"/>
    <w:qFormat/>
    <w:uiPriority w:val="0"/>
    <w:rPr>
      <w:rFonts w:ascii="Calibri" w:hAnsi="Calibri" w:cs="Calibri"/>
      <w:color w:val="000000"/>
      <w:sz w:val="20"/>
      <w:szCs w:val="20"/>
      <w:u w:val="none"/>
    </w:rPr>
  </w:style>
  <w:style w:type="character" w:customStyle="1" w:styleId="265">
    <w:name w:val="font31"/>
    <w:qFormat/>
    <w:uiPriority w:val="0"/>
    <w:rPr>
      <w:rFonts w:hint="eastAsia" w:ascii="宋体" w:hAnsi="宋体" w:eastAsia="宋体" w:cs="宋体"/>
      <w:color w:val="000000"/>
      <w:sz w:val="20"/>
      <w:szCs w:val="20"/>
      <w:u w:val="none"/>
    </w:rPr>
  </w:style>
  <w:style w:type="character" w:customStyle="1" w:styleId="266">
    <w:name w:val="font11"/>
    <w:qFormat/>
    <w:uiPriority w:val="0"/>
    <w:rPr>
      <w:rFonts w:hint="eastAsia" w:ascii="宋体" w:hAnsi="宋体" w:eastAsia="宋体" w:cs="宋体"/>
      <w:color w:val="000000"/>
      <w:sz w:val="20"/>
      <w:szCs w:val="20"/>
      <w:u w:val="none"/>
    </w:rPr>
  </w:style>
  <w:style w:type="character" w:customStyle="1" w:styleId="267">
    <w:name w:val="font21"/>
    <w:basedOn w:val="44"/>
    <w:qFormat/>
    <w:uiPriority w:val="0"/>
    <w:rPr>
      <w:rFonts w:hint="eastAsia" w:ascii="宋体" w:hAnsi="宋体" w:eastAsia="宋体" w:cs="宋体"/>
      <w:color w:val="000000"/>
      <w:sz w:val="20"/>
      <w:szCs w:val="20"/>
      <w:u w:val="none"/>
    </w:rPr>
  </w:style>
  <w:style w:type="character" w:customStyle="1" w:styleId="268">
    <w:name w:val="font51"/>
    <w:qFormat/>
    <w:uiPriority w:val="0"/>
    <w:rPr>
      <w:rFonts w:hint="eastAsia" w:ascii="宋体" w:hAnsi="宋体" w:eastAsia="宋体" w:cs="宋体"/>
      <w:color w:val="FF0000"/>
      <w:sz w:val="20"/>
      <w:szCs w:val="20"/>
      <w:u w:val="none"/>
    </w:rPr>
  </w:style>
  <w:style w:type="character" w:customStyle="1" w:styleId="269">
    <w:name w:val="first-child"/>
    <w:basedOn w:val="44"/>
    <w:qFormat/>
    <w:uiPriority w:val="0"/>
  </w:style>
  <w:style w:type="character" w:customStyle="1" w:styleId="270">
    <w:name w:val="layui-this"/>
    <w:basedOn w:val="44"/>
    <w:qFormat/>
    <w:uiPriority w:val="0"/>
    <w:rPr>
      <w:shd w:val="clear" w:color="auto" w:fill="FFFFFF"/>
    </w:rPr>
  </w:style>
  <w:style w:type="paragraph" w:customStyle="1" w:styleId="271">
    <w:name w:val="正文文本缩进1"/>
    <w:basedOn w:val="1"/>
    <w:next w:val="272"/>
    <w:unhideWhenUsed/>
    <w:qFormat/>
    <w:uiPriority w:val="0"/>
    <w:pPr>
      <w:spacing w:after="120"/>
      <w:ind w:left="420"/>
    </w:pPr>
    <w:rPr>
      <w:sz w:val="20"/>
      <w:szCs w:val="24"/>
      <w:lang w:val="en-US" w:eastAsia="en-US"/>
    </w:rPr>
  </w:style>
  <w:style w:type="paragraph" w:customStyle="1" w:styleId="272">
    <w:name w:val="寄信人地址1"/>
    <w:basedOn w:val="1"/>
    <w:qFormat/>
    <w:uiPriority w:val="0"/>
    <w:rPr>
      <w:rFonts w:ascii="Arial" w:hAnsi="Arial" w:eastAsia="宋体" w:cs="Times New Roman"/>
      <w:szCs w:val="24"/>
    </w:rPr>
  </w:style>
  <w:style w:type="paragraph" w:customStyle="1" w:styleId="273">
    <w:name w:val="首行缩进"/>
    <w:basedOn w:val="1"/>
    <w:next w:val="13"/>
    <w:qFormat/>
    <w:uiPriority w:val="0"/>
    <w:pPr>
      <w:spacing w:line="360" w:lineRule="auto"/>
      <w:ind w:firstLine="480" w:firstLineChars="200"/>
    </w:pPr>
    <w:rPr>
      <w:rFonts w:ascii="宋体" w:hAnsi="宋体" w:cs="宋体"/>
      <w:kern w:val="0"/>
      <w:sz w:val="24"/>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6C2361-7C53-4242-BB54-EEA8B1A67443}">
  <ds:schemaRefs/>
</ds:datastoreItem>
</file>

<file path=docProps/app.xml><?xml version="1.0" encoding="utf-8"?>
<Properties xmlns="http://schemas.openxmlformats.org/officeDocument/2006/extended-properties" xmlns:vt="http://schemas.openxmlformats.org/officeDocument/2006/docPropsVTypes">
  <Template>Normal</Template>
  <Company>DoubleOX</Company>
  <Pages>51</Pages>
  <Words>26321</Words>
  <Characters>27806</Characters>
  <TotalTime>243</TotalTime>
  <ScaleCrop>false</ScaleCrop>
  <LinksUpToDate>false</LinksUpToDate>
  <CharactersWithSpaces>28706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2023-12-29T02:45:00Z</dcterms:created>
  <dc:creator>Administrator</dc:creator>
  <cp:lastModifiedBy>遇'若如初见</cp:lastModifiedBy>
  <dcterms:modified xsi:type="dcterms:W3CDTF">2024-07-30T10:11:54Z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70B68AD7B36A445AA551D3E8B4AA6C3B_13</vt:lpwstr>
  </property>
</Properties>
</file>