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000000"/>
          <w:sz w:val="44"/>
          <w:szCs w:val="18"/>
          <w:shd w:val="clear" w:color="ffffff" w:fill="d9d9d9"/>
        </w:rPr>
      </w:pPr>
      <w:r>
        <w:rPr>
          <w:rFonts w:hint="eastAsia" w:eastAsia="黑体"/>
          <w:b/>
          <w:bCs/>
          <w:color w:val="000000"/>
          <w:sz w:val="44"/>
          <w:szCs w:val="18"/>
          <w:shd w:val="clear" w:color="ffffff" w:fill="d9d9d9"/>
        </w:rPr>
      </w:r>
      <w:r/>
    </w:p>
    <w:p>
      <w:pPr>
        <w:pStyle w:val="885"/>
        <w:jc w:val="center"/>
        <w:rPr>
          <w:rFonts w:ascii="等线" w:hAnsi="等线"/>
          <w:b/>
          <w:bCs/>
          <w:color w:val="000000"/>
          <w:sz w:val="28"/>
        </w:rPr>
      </w:pPr>
      <w:r>
        <w:rPr>
          <w:rFonts w:hint="eastAsia" w:ascii="等线" w:hAnsi="等线"/>
          <w:b/>
          <w:bCs/>
          <w:color w:val="000000"/>
          <w:spacing w:val="20"/>
          <w:sz w:val="56"/>
          <w:szCs w:val="72"/>
        </w:rPr>
        <w:t xml:space="preserve">无锡市滨湖区公共资源交易中心</w:t>
      </w:r>
      <w:r>
        <w:rPr>
          <w:rFonts w:ascii="等线" w:hAnsi="等线"/>
          <w:b/>
          <w:bCs/>
          <w:color w:val="000000"/>
          <w:sz w:val="28"/>
        </w:rPr>
      </w:r>
      <w:r/>
    </w:p>
    <w:p>
      <w:pPr>
        <w:pStyle w:val="885"/>
        <w:rPr>
          <w:rFonts w:ascii="等线" w:hAnsi="等线"/>
          <w:b/>
          <w:bCs/>
          <w:color w:val="000000"/>
          <w:sz w:val="30"/>
        </w:rPr>
      </w:pPr>
      <w:r>
        <w:rPr>
          <w:rFonts w:ascii="等线" w:hAnsi="等线"/>
          <w:b/>
          <w:bCs/>
          <w:color w:val="000000"/>
          <w:sz w:val="30"/>
        </w:rPr>
      </w:r>
      <w:r/>
    </w:p>
    <w:p>
      <w:pPr>
        <w:jc w:val="center"/>
        <w:rPr>
          <w:rFonts w:ascii="等线" w:hAnsi="等线"/>
          <w:b/>
          <w:bCs/>
          <w:color w:val="000000"/>
          <w:sz w:val="30"/>
          <w:szCs w:val="30"/>
        </w:rPr>
      </w:pPr>
      <w:r>
        <w:rPr>
          <w:rFonts w:ascii="等线" w:hAnsi="等线"/>
          <w:b/>
          <w:bCs/>
          <w:color w:val="000000"/>
          <w:sz w:val="30"/>
        </w:rPr>
      </w:r>
      <w:r>
        <w:rPr>
          <w:rFonts w:ascii="等线" w:hAnsi="等线"/>
          <w:b/>
          <w:bCs/>
          <w:color w:val="000000"/>
          <w:sz w:val="30"/>
        </w:rPr>
      </w:r>
      <w:r/>
    </w:p>
    <w:p>
      <w:pPr>
        <w:jc w:val="center"/>
        <w:rPr>
          <w:rFonts w:ascii="等线" w:hAnsi="等线"/>
          <w:b/>
          <w:bCs/>
          <w:color w:val="000000"/>
          <w:sz w:val="30"/>
          <w:szCs w:val="30"/>
        </w:rPr>
      </w:pPr>
      <w:r>
        <w:rPr>
          <w:rFonts w:ascii="等线" w:hAnsi="等线"/>
          <w:b/>
          <w:bCs/>
          <w:color w:val="000000"/>
          <w:sz w:val="30"/>
          <w:szCs w:val="30"/>
        </w:rPr>
      </w:r>
      <w:r>
        <w:rPr>
          <w:rFonts w:ascii="等线" w:hAnsi="等线"/>
          <w:b/>
          <w:bCs/>
          <w:color w:val="000000"/>
          <w:sz w:val="30"/>
          <w:szCs w:val="30"/>
        </w:rPr>
      </w:r>
      <w:r/>
    </w:p>
    <w:p>
      <w:pPr>
        <w:pStyle w:val="885"/>
        <w:jc w:val="center"/>
        <w:rPr>
          <w:rFonts w:ascii="等线" w:hAnsi="等线"/>
          <w:b/>
          <w:bCs/>
          <w:color w:val="000000"/>
          <w:sz w:val="30"/>
          <w:szCs w:val="30"/>
        </w:rPr>
      </w:pPr>
      <w:r>
        <w:rPr>
          <w:rFonts w:ascii="等线" w:hAnsi="等线"/>
          <w:b/>
          <w:bCs/>
          <w:color w:val="000000"/>
          <w:sz w:val="30"/>
        </w:rPr>
      </w:r>
      <w:r/>
    </w:p>
    <w:p>
      <w:pPr>
        <w:pStyle w:val="885"/>
        <w:jc w:val="center"/>
        <w:rPr>
          <w:rFonts w:ascii="等线" w:hAnsi="等线"/>
          <w:b/>
          <w:bCs/>
          <w:color w:val="000000"/>
          <w:sz w:val="30"/>
        </w:rPr>
      </w:pPr>
      <w:r>
        <w:rPr>
          <w:rFonts w:ascii="等线" w:hAnsi="等线"/>
          <w:b/>
          <w:bCs/>
          <w:color w:val="000000"/>
          <w:sz w:val="30"/>
        </w:rPr>
      </w:r>
      <w:r/>
    </w:p>
    <w:p>
      <w:pPr>
        <w:pStyle w:val="885"/>
        <w:jc w:val="center"/>
        <w:rPr>
          <w:rFonts w:ascii="等线" w:hAnsi="等线"/>
          <w:b/>
          <w:bCs/>
          <w:color w:val="000000"/>
          <w:sz w:val="30"/>
        </w:rPr>
      </w:pPr>
      <w:r>
        <w:rPr>
          <w:rFonts w:hint="eastAsia" w:ascii="等线" w:hAnsi="等线"/>
          <w:b/>
          <w:bCs/>
          <w:color w:val="000000"/>
          <w:sz w:val="30"/>
        </w:rPr>
        <w:t xml:space="preserve">（全流程电子化）</w:t>
      </w:r>
      <w:r>
        <w:rPr>
          <w:rFonts w:ascii="等线" w:hAnsi="等线"/>
          <w:b/>
          <w:bCs/>
          <w:color w:val="000000"/>
          <w:sz w:val="30"/>
        </w:rPr>
      </w:r>
      <w:r/>
    </w:p>
    <w:p>
      <w:pPr>
        <w:pStyle w:val="885"/>
        <w:rPr>
          <w:rFonts w:ascii="等线" w:hAnsi="等线"/>
          <w:b/>
          <w:bCs/>
          <w:color w:val="000000"/>
          <w:sz w:val="30"/>
        </w:rPr>
      </w:pPr>
      <w:r>
        <w:rPr>
          <w:rFonts w:ascii="等线" w:hAnsi="等线"/>
          <w:b/>
          <w:bCs/>
          <w:color w:val="000000"/>
          <w:sz w:val="30"/>
        </w:rPr>
      </w:r>
      <w:r/>
    </w:p>
    <w:p>
      <w:pPr>
        <w:pStyle w:val="885"/>
        <w:jc w:val="center"/>
        <w:rPr>
          <w:rFonts w:ascii="等线" w:hAnsi="等线"/>
          <w:b/>
          <w:bCs/>
          <w:color w:val="000000"/>
          <w:spacing w:val="20"/>
          <w:sz w:val="48"/>
          <w:szCs w:val="48"/>
        </w:rPr>
      </w:pPr>
      <w:r>
        <w:rPr>
          <w:rFonts w:ascii="等线" w:hAnsi="等线"/>
          <w:b/>
          <w:bCs/>
          <w:color w:val="000000"/>
          <w:spacing w:val="20"/>
          <w:sz w:val="48"/>
          <w:szCs w:val="48"/>
        </w:rPr>
      </w:r>
      <w:r/>
    </w:p>
    <w:p>
      <w:pPr>
        <w:pStyle w:val="885"/>
        <w:jc w:val="center"/>
        <w:rPr>
          <w:rFonts w:ascii="等线" w:hAnsi="等线"/>
          <w:b/>
          <w:bCs/>
          <w:color w:val="000000"/>
          <w:spacing w:val="20"/>
          <w:sz w:val="48"/>
          <w:szCs w:val="48"/>
        </w:rPr>
      </w:pPr>
      <w:r>
        <w:rPr>
          <w:rFonts w:ascii="等线" w:hAnsi="等线"/>
          <w:b/>
          <w:bCs/>
          <w:color w:val="000000"/>
          <w:spacing w:val="20"/>
          <w:sz w:val="48"/>
          <w:szCs w:val="48"/>
        </w:rPr>
      </w:r>
      <w:r/>
    </w:p>
    <w:p>
      <w:pPr>
        <w:pStyle w:val="885"/>
        <w:jc w:val="center"/>
        <w:rPr>
          <w:rFonts w:ascii="等线" w:hAnsi="等线"/>
          <w:b/>
          <w:bCs/>
          <w:color w:val="000000"/>
          <w:spacing w:val="20"/>
          <w:sz w:val="48"/>
          <w:szCs w:val="48"/>
        </w:rPr>
      </w:pPr>
      <w:r>
        <w:rPr>
          <w:rFonts w:hint="eastAsia" w:ascii="等线" w:hAnsi="等线"/>
          <w:b/>
          <w:bCs/>
          <w:color w:val="000000"/>
          <w:spacing w:val="20"/>
          <w:sz w:val="48"/>
          <w:szCs w:val="48"/>
        </w:rPr>
        <w:t xml:space="preserve">公开</w:t>
      </w:r>
      <w:r>
        <w:rPr>
          <w:rFonts w:ascii="等线" w:hAnsi="等线"/>
          <w:b/>
          <w:bCs/>
          <w:color w:val="000000"/>
          <w:spacing w:val="20"/>
          <w:sz w:val="48"/>
          <w:szCs w:val="48"/>
        </w:rPr>
      </w:r>
      <w:r/>
    </w:p>
    <w:p>
      <w:pPr>
        <w:pStyle w:val="885"/>
        <w:jc w:val="center"/>
        <w:rPr>
          <w:rFonts w:ascii="等线" w:hAnsi="等线"/>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8.9pt;mso-wrap-distance-top:0.0pt;mso-wrap-distance-right:8.9pt;mso-wrap-distance-bottom:0.0pt;visibility:visible;" from="-9.0pt,15.6pt" to="-8.9pt,15.6pt" filled="f" strokecolor="#000000"/>
            </w:pict>
          </mc:Fallback>
        </mc:AlternateContent>
      </w:r>
      <w:r>
        <w:rPr>
          <w:rFonts w:hint="eastAsia" w:ascii="等线" w:hAnsi="等线"/>
          <w:b/>
          <w:bCs/>
          <w:color w:val="000000"/>
          <w:spacing w:val="20"/>
          <w:sz w:val="52"/>
          <w:szCs w:val="52"/>
        </w:rPr>
        <w:t xml:space="preserve">招标文件</w:t>
      </w:r>
      <w:r>
        <w:rPr>
          <w:rFonts w:ascii="等线" w:hAnsi="等线"/>
          <w:b/>
          <w:bCs/>
          <w:color w:val="000000"/>
          <w:spacing w:val="20"/>
          <w:sz w:val="52"/>
          <w:szCs w:val="52"/>
        </w:rPr>
      </w:r>
      <w:r/>
    </w:p>
    <w:p>
      <w:pPr>
        <w:pStyle w:val="972"/>
        <w:ind w:firstLine="0"/>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85"/>
        <w:spacing w:line="360" w:lineRule="auto"/>
        <w:rPr>
          <w:rFonts w:ascii="等线" w:hAnsi="等线"/>
          <w:bCs/>
          <w:color w:val="000000"/>
          <w:sz w:val="30"/>
          <w:szCs w:val="30"/>
        </w:rPr>
      </w:pPr>
      <w:r>
        <w:rPr>
          <w:rFonts w:hint="eastAsia" w:ascii="等线" w:hAnsi="等线"/>
          <w:bCs/>
          <w:color w:val="000000"/>
          <w:sz w:val="30"/>
          <w:szCs w:val="30"/>
        </w:rPr>
        <w:t xml:space="preserve">采购项目编号：JSZC-320211-JZCG-G2025-0041</w:t>
      </w:r>
      <w:r>
        <w:rPr>
          <w:rFonts w:ascii="等线" w:hAnsi="等线"/>
          <w:bCs/>
          <w:color w:val="000000"/>
          <w:sz w:val="30"/>
          <w:szCs w:val="30"/>
        </w:rPr>
      </w:r>
      <w:r/>
    </w:p>
    <w:p>
      <w:pPr>
        <w:pStyle w:val="885"/>
        <w:jc w:val="left"/>
        <w:spacing w:line="360" w:lineRule="auto"/>
        <w:rPr>
          <w:rFonts w:hint="eastAsia" w:ascii="等线" w:hAnsi="等线"/>
          <w:bCs/>
          <w:color w:val="000000"/>
          <w:sz w:val="30"/>
          <w:szCs w:val="30"/>
        </w:rPr>
      </w:pPr>
      <w:r>
        <w:rPr>
          <w:rFonts w:hint="eastAsia" w:ascii="等线" w:hAnsi="等线"/>
          <w:bCs/>
          <w:color w:val="000000"/>
          <w:sz w:val="30"/>
          <w:szCs w:val="30"/>
        </w:rPr>
        <w:t xml:space="preserve">采购项目名称：滨湖区人民政府网络提升改造项目</w:t>
      </w:r>
      <w:r>
        <w:rPr>
          <w:rFonts w:hint="eastAsia" w:ascii="等线" w:hAnsi="等线"/>
          <w:bCs/>
          <w:color w:val="000000"/>
          <w:sz w:val="30"/>
          <w:szCs w:val="30"/>
        </w:rPr>
      </w:r>
      <w:r/>
    </w:p>
    <w:p>
      <w:pPr>
        <w:pStyle w:val="885"/>
        <w:jc w:val="left"/>
        <w:spacing w:line="360" w:lineRule="auto"/>
        <w:rPr>
          <w:rFonts w:ascii="等线" w:hAnsi="等线"/>
          <w:bCs/>
          <w:color w:val="000000"/>
          <w:sz w:val="30"/>
          <w:szCs w:val="30"/>
        </w:rPr>
      </w:pPr>
      <w:r>
        <w:rPr>
          <w:rFonts w:hint="eastAsia" w:ascii="等线" w:hAnsi="等线"/>
          <w:bCs/>
          <w:color w:val="000000"/>
          <w:sz w:val="30"/>
          <w:szCs w:val="30"/>
        </w:rPr>
        <w:t xml:space="preserve">集中采购机构：</w:t>
      </w:r>
      <w:r>
        <w:rPr>
          <w:rFonts w:ascii="等线" w:hAnsi="等线"/>
          <w:bCs/>
          <w:color w:val="000000"/>
          <w:sz w:val="30"/>
          <w:szCs w:val="30"/>
        </w:rPr>
        <w:t xml:space="preserve"> </w:t>
      </w:r>
      <w:r>
        <w:rPr>
          <w:rFonts w:hint="eastAsia" w:ascii="等线" w:hAnsi="等线"/>
          <w:bCs/>
          <w:color w:val="000000"/>
          <w:sz w:val="30"/>
          <w:szCs w:val="30"/>
        </w:rPr>
        <w:t xml:space="preserve">无锡市滨湖区公共资源交易中心</w:t>
      </w:r>
      <w:r>
        <w:rPr>
          <w:rFonts w:ascii="等线" w:hAnsi="等线"/>
          <w:bCs/>
          <w:color w:val="000000"/>
          <w:sz w:val="30"/>
          <w:szCs w:val="30"/>
        </w:rPr>
      </w:r>
      <w:r/>
    </w:p>
    <w:p>
      <w:pPr>
        <w:pStyle w:val="885"/>
        <w:rPr>
          <w:rFonts w:ascii="等线" w:hAnsi="等线"/>
          <w:bCs/>
          <w:color w:val="000000"/>
          <w:sz w:val="32"/>
        </w:rPr>
      </w:pPr>
      <w:r>
        <w:rPr>
          <w:rFonts w:ascii="等线" w:hAnsi="等线"/>
          <w:bCs/>
          <w:color w:val="000000"/>
          <w:sz w:val="32"/>
        </w:rPr>
      </w:r>
      <w:r/>
    </w:p>
    <w:p>
      <w:pPr>
        <w:pStyle w:val="885"/>
        <w:rPr>
          <w:rFonts w:ascii="等线" w:hAnsi="等线"/>
          <w:bCs/>
          <w:color w:val="000000"/>
          <w:sz w:val="30"/>
        </w:rPr>
      </w:pPr>
      <w:r>
        <w:rPr>
          <w:rFonts w:ascii="等线" w:hAnsi="等线"/>
          <w:bCs/>
          <w:color w:val="000000"/>
          <w:sz w:val="30"/>
        </w:rPr>
      </w:r>
      <w:r/>
    </w:p>
    <w:p>
      <w:pPr>
        <w:pStyle w:val="885"/>
        <w:rPr>
          <w:rFonts w:ascii="等线" w:hAnsi="等线"/>
          <w:bCs/>
          <w:color w:val="000000"/>
          <w:sz w:val="30"/>
        </w:rPr>
      </w:pPr>
      <w:r>
        <w:rPr>
          <w:rFonts w:ascii="等线" w:hAnsi="等线"/>
          <w:bCs/>
          <w:color w:val="000000"/>
          <w:sz w:val="30"/>
        </w:rPr>
      </w:r>
      <w:r/>
    </w:p>
    <w:p>
      <w:pPr>
        <w:pStyle w:val="885"/>
        <w:rPr>
          <w:rFonts w:hint="eastAsia" w:ascii="等线" w:hAnsi="等线"/>
          <w:bCs/>
          <w:color w:val="000000"/>
          <w:sz w:val="30"/>
        </w:rPr>
      </w:pPr>
      <w:r>
        <w:rPr>
          <w:rFonts w:hint="eastAsia" w:ascii="等线" w:hAnsi="等线"/>
          <w:bCs/>
          <w:color w:val="000000"/>
          <w:sz w:val="30"/>
        </w:rPr>
      </w:r>
      <w:r/>
    </w:p>
    <w:p>
      <w:pPr>
        <w:pStyle w:val="885"/>
        <w:jc w:val="center"/>
        <w:rPr>
          <w:rFonts w:ascii="等线" w:hAnsi="等线"/>
          <w:bCs/>
          <w:color w:val="000000"/>
          <w:sz w:val="44"/>
          <w:szCs w:val="44"/>
        </w:rPr>
      </w:pPr>
      <w:r>
        <w:rPr>
          <w:rFonts w:hint="eastAsia" w:ascii="等线" w:hAnsi="等线"/>
          <w:bCs/>
          <w:color w:val="000000"/>
          <w:sz w:val="44"/>
          <w:szCs w:val="44"/>
        </w:rPr>
        <w:t xml:space="preserve">二○二</w:t>
      </w:r>
      <w:r>
        <w:rPr>
          <w:rFonts w:hint="eastAsia" w:ascii="等线" w:hAnsi="等线"/>
          <w:bCs/>
          <w:color w:val="000000"/>
          <w:sz w:val="44"/>
          <w:szCs w:val="44"/>
          <w:lang w:val="en-US" w:eastAsia="zh-CN"/>
        </w:rPr>
        <w:t xml:space="preserve">五</w:t>
      </w:r>
      <w:r>
        <w:rPr>
          <w:rFonts w:hint="eastAsia" w:ascii="等线" w:hAnsi="等线"/>
          <w:bCs/>
          <w:color w:val="000000"/>
          <w:sz w:val="44"/>
          <w:szCs w:val="44"/>
        </w:rPr>
        <w:t xml:space="preserve">年</w:t>
      </w:r>
      <w:r>
        <w:rPr>
          <w:rFonts w:hint="eastAsia" w:ascii="等线" w:hAnsi="等线"/>
          <w:bCs/>
          <w:color w:val="000000"/>
          <w:sz w:val="44"/>
          <w:szCs w:val="44"/>
          <w:lang w:val="en-US" w:eastAsia="zh-CN"/>
        </w:rPr>
        <w:t xml:space="preserve">十二</w:t>
      </w:r>
      <w:r>
        <w:rPr>
          <w:rFonts w:hint="eastAsia" w:ascii="等线" w:hAnsi="等线"/>
          <w:bCs/>
          <w:color w:val="000000"/>
          <w:sz w:val="44"/>
          <w:szCs w:val="44"/>
        </w:rPr>
        <w:t xml:space="preserve">月</w:t>
      </w:r>
      <w:r>
        <w:rPr>
          <w:rFonts w:ascii="等线" w:hAnsi="等线"/>
          <w:bCs/>
          <w:color w:val="000000"/>
          <w:sz w:val="44"/>
          <w:szCs w:val="44"/>
        </w:rPr>
      </w:r>
      <w:r/>
    </w:p>
    <w:p>
      <w:pPr>
        <w:pStyle w:val="972"/>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85"/>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85"/>
        <w:ind w:firstLine="480"/>
        <w:spacing w:line="500" w:lineRule="exact"/>
        <w:rPr>
          <w:rFonts w:ascii="宋体" w:hAnsi="宋体"/>
          <w:sz w:val="24"/>
          <w:szCs w:val="24"/>
          <w:shd w:val="clear" w:color="ffffff" w:fill="d9d9d9"/>
        </w:rPr>
      </w:pPr>
      <w:r/>
      <w:bookmarkEnd w:id="0"/>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sz w:val="24"/>
          <w:szCs w:val="24"/>
        </w:rPr>
        <w:t xml:space="preserve">受无锡市滨湖区数据局的委托，对滨湖区人民政府网络提升改造项目进行公开招标采购，欢迎符合条件的供应商投标。</w:t>
      </w:r>
      <w:r>
        <w:rPr>
          <w:rFonts w:ascii="宋体" w:hAnsi="宋体"/>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滨湖区人民政府网络提升改造项目的潜在投标人应在“江苏政府采购网”自行浏览招标文件，如有投标意向须在本招标文件有效获取期内通过登录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w:t>
      </w:r>
      <w:r>
        <w:rPr>
          <w:rFonts w:hint="eastAsia" w:ascii="宋体" w:hAnsi="宋体"/>
          <w:b/>
          <w:bCs/>
          <w:color w:val="0000ff"/>
          <w:sz w:val="24"/>
          <w:szCs w:val="24"/>
          <w:lang w:val="en-US" w:eastAsia="zh-CN"/>
        </w:rPr>
        <w:t xml:space="preserve">6</w:t>
      </w:r>
      <w:r>
        <w:rPr>
          <w:rFonts w:hint="eastAsia" w:ascii="宋体" w:hAnsi="宋体"/>
          <w:b/>
          <w:bCs/>
          <w:color w:val="0000ff"/>
          <w:sz w:val="24"/>
          <w:szCs w:val="24"/>
        </w:rPr>
        <w:t xml:space="preserve">年</w:t>
      </w:r>
      <w:r>
        <w:rPr>
          <w:rFonts w:hint="eastAsia" w:ascii="宋体" w:hAnsi="宋体"/>
          <w:b/>
          <w:bCs/>
          <w:color w:val="0000ff"/>
          <w:sz w:val="24"/>
          <w:szCs w:val="24"/>
          <w:lang w:val="en-US" w:eastAsia="zh-CN"/>
        </w:rPr>
        <w:t xml:space="preserve">0</w:t>
      </w:r>
      <w:r>
        <w:rPr>
          <w:rFonts w:hint="eastAsia" w:ascii="宋体" w:hAnsi="宋体"/>
          <w:b/>
          <w:bCs/>
          <w:color w:val="0000ff"/>
          <w:sz w:val="24"/>
          <w:szCs w:val="24"/>
          <w:lang w:val="en-US" w:eastAsia="zh-CN"/>
        </w:rPr>
        <w:t xml:space="preserve">1</w:t>
      </w:r>
      <w:r>
        <w:rPr>
          <w:rFonts w:hint="eastAsia" w:ascii="宋体" w:hAnsi="宋体"/>
          <w:b/>
          <w:bCs/>
          <w:color w:val="0000ff"/>
          <w:sz w:val="24"/>
          <w:szCs w:val="24"/>
        </w:rPr>
        <w:t xml:space="preserve">月0</w:t>
      </w:r>
      <w:r>
        <w:rPr>
          <w:rFonts w:hint="eastAsia" w:ascii="宋体" w:hAnsi="宋体"/>
          <w:b/>
          <w:bCs/>
          <w:color w:val="0000ff"/>
          <w:sz w:val="24"/>
          <w:szCs w:val="24"/>
        </w:rPr>
        <w:t xml:space="preserve">7日13点30分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85"/>
        <w:ind w:firstLine="480"/>
        <w:spacing w:line="500" w:lineRule="exact"/>
        <w:rPr>
          <w:rFonts w:ascii="宋体" w:hAnsi="宋体"/>
          <w:sz w:val="24"/>
          <w:szCs w:val="24"/>
        </w:rPr>
      </w:pPr>
      <w:r/>
      <w:bookmarkEnd w:id="11"/>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项目名称：滨湖区人民政府网络提升改造项目</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2.项目编号：JSZC-320211-JZCG-G2025-0041</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149.0118</w:t>
      </w:r>
      <w:r>
        <w:rPr>
          <w:rFonts w:hint="eastAsia" w:ascii="宋体" w:hAnsi="宋体" w:cs="宋体"/>
          <w:color w:val="000000"/>
          <w:sz w:val="24"/>
          <w:szCs w:val="24"/>
        </w:rPr>
        <w:t xml:space="preserve">万</w:t>
      </w:r>
      <w:r>
        <w:rPr>
          <w:rFonts w:hint="eastAsia" w:ascii="宋体" w:hAnsi="宋体"/>
          <w:sz w:val="24"/>
          <w:szCs w:val="24"/>
        </w:rPr>
        <w:t xml:space="preserve">元</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4.项目最高限价：148.9518万元</w:t>
      </w:r>
      <w:r>
        <w:rPr>
          <w:rFonts w:ascii="宋体" w:hAnsi="宋体"/>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5.采购需求：详见招标文件第四章《采购需求》</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6.合同履行期限：详见招标文件第四章《采购需求》</w:t>
      </w:r>
      <w:r>
        <w:rPr>
          <w:rFonts w:hint="eastAsia" w:ascii="宋体" w:hAnsi="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w:t>
      </w:r>
      <w:r>
        <w:rPr>
          <w:rFonts w:hint="eastAsia" w:ascii="等线" w:hAnsi="等线" w:cs="宋体"/>
          <w:color w:val="000000"/>
          <w:sz w:val="24"/>
          <w:szCs w:val="24"/>
        </w:rPr>
        <w:t xml:space="preserve"> 本项目是否专门面向中小微企业：</w:t>
      </w:r>
      <w:r>
        <w:rPr>
          <w:rFonts w:hint="eastAsia" w:ascii="等线" w:hAnsi="等线" w:cs="宋体"/>
          <w:b/>
          <w:color w:val="000000"/>
          <w:sz w:val="24"/>
          <w:szCs w:val="24"/>
        </w:rPr>
        <w:t xml:space="preserve">否</w:t>
      </w:r>
      <w:r>
        <w:rPr>
          <w:rFonts w:hint="eastAsia" w:ascii="等线" w:hAnsi="等线" w:cs="宋体"/>
          <w:color w:val="000000"/>
          <w:sz w:val="24"/>
          <w:szCs w:val="24"/>
        </w:rPr>
        <w:t xml:space="preserve">；</w:t>
      </w:r>
      <w:r>
        <w:rPr>
          <w:rFonts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等线" w:hAnsi="等线" w:cs="宋体"/>
          <w:color w:val="000000"/>
          <w:sz w:val="24"/>
          <w:szCs w:val="24"/>
        </w:rPr>
        <w:t xml:space="preserve"> 本项目标的所属行业：软件和信息技术服务业</w:t>
      </w:r>
      <w:r>
        <w:rPr>
          <w:rFonts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9.本项目不接受联合体投标。</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bookmarkStart w:id="12" w:name="_Toc35393791"/>
      <w:r/>
      <w:bookmarkStart w:id="13" w:name="_Toc38985264"/>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5"/>
        <w:ind w:firstLine="480"/>
        <w:spacing w:line="500" w:lineRule="exact"/>
        <w:rPr>
          <w:rFonts w:ascii="宋体" w:hAnsi="宋体"/>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sz w:val="24"/>
          <w:szCs w:val="24"/>
        </w:rPr>
        <w:t xml:space="preserve">1.满足《中华人民共和国政府采购法》第二十二条规定；</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2.1中小企业政策：无</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885"/>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5"/>
        <w:ind w:firstLine="540"/>
        <w:spacing w:line="500" w:lineRule="exact"/>
        <w:rPr>
          <w:rFonts w:hint="eastAsia"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hint="eastAsia" w:ascii="宋体" w:hAnsi="宋体" w:cs="宋体"/>
          <w:color w:val="000000"/>
          <w:sz w:val="24"/>
          <w:szCs w:val="24"/>
        </w:rPr>
      </w:r>
      <w:r/>
    </w:p>
    <w:p>
      <w:pPr>
        <w:pStyle w:val="885"/>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885"/>
        <w:ind w:firstLine="540"/>
        <w:spacing w:line="500" w:lineRule="exact"/>
        <w:rPr>
          <w:rStyle w:val="961"/>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61"/>
          <w:color w:val="000000"/>
        </w:rPr>
      </w:r>
      <w:r/>
    </w:p>
    <w:p>
      <w:pPr>
        <w:pStyle w:val="885"/>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
          <w:color w:val="0000ff"/>
          <w:sz w:val="24"/>
          <w:szCs w:val="24"/>
        </w:rPr>
        <w:t xml:space="preserve">202</w:t>
      </w:r>
      <w:r>
        <w:rPr>
          <w:rFonts w:hint="eastAsia" w:ascii="宋体" w:hAnsi="宋体"/>
          <w:b/>
          <w:color w:val="0000ff"/>
          <w:sz w:val="24"/>
          <w:szCs w:val="24"/>
          <w:lang w:val="en-US" w:eastAsia="zh-CN"/>
        </w:rPr>
        <w:t xml:space="preserve">6</w:t>
      </w:r>
      <w:r>
        <w:rPr>
          <w:rFonts w:hint="eastAsia" w:ascii="宋体" w:hAnsi="宋体"/>
          <w:b/>
          <w:color w:val="0000ff"/>
          <w:sz w:val="24"/>
          <w:szCs w:val="24"/>
        </w:rPr>
        <w:t xml:space="preserve">年</w:t>
      </w:r>
      <w:r>
        <w:rPr>
          <w:rFonts w:hint="eastAsia" w:ascii="宋体" w:hAnsi="宋体"/>
          <w:b/>
          <w:color w:val="0000ff"/>
          <w:sz w:val="24"/>
          <w:szCs w:val="24"/>
          <w:lang w:val="en-US" w:eastAsia="zh-CN"/>
        </w:rPr>
        <w:t xml:space="preserve">0</w:t>
      </w:r>
      <w:r>
        <w:rPr>
          <w:rFonts w:hint="eastAsia" w:ascii="宋体" w:hAnsi="宋体"/>
          <w:b/>
          <w:color w:val="0000ff"/>
          <w:sz w:val="24"/>
          <w:szCs w:val="24"/>
          <w:lang w:val="en-US" w:eastAsia="zh-CN"/>
        </w:rPr>
        <w:t xml:space="preserve">1</w:t>
      </w:r>
      <w:r>
        <w:rPr>
          <w:rFonts w:hint="eastAsia" w:ascii="宋体" w:hAnsi="宋体"/>
          <w:b/>
          <w:color w:val="0000ff"/>
          <w:sz w:val="24"/>
          <w:szCs w:val="24"/>
        </w:rPr>
        <w:t xml:space="preserve">月0</w:t>
      </w:r>
      <w:r>
        <w:rPr>
          <w:rFonts w:hint="eastAsia" w:ascii="宋体" w:hAnsi="宋体"/>
          <w:b/>
          <w:color w:val="0000ff"/>
          <w:sz w:val="24"/>
          <w:szCs w:val="24"/>
        </w:rPr>
        <w:t xml:space="preserve">7日13点30分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88"/>
        <w:ind w:firstLine="452"/>
        <w:keepLines w:val="0"/>
        <w:keepNext w:val="0"/>
        <w:spacing w:before="0" w:after="0" w:line="500" w:lineRule="exact"/>
        <w:rPr>
          <w:color w:val="000000"/>
          <w:sz w:val="30"/>
          <w:szCs w:val="30"/>
        </w:rPr>
      </w:pPr>
      <w:r/>
      <w:bookmarkStart w:id="27" w:name="_Toc35393794"/>
      <w:r/>
      <w:bookmarkStart w:id="28" w:name="_Toc28359084"/>
      <w:r/>
      <w:bookmarkStart w:id="29" w:name="_Toc35393625"/>
      <w:r/>
      <w:bookmarkStart w:id="30" w:name="_Toc38985267"/>
      <w:r/>
      <w:bookmarkStart w:id="31" w:name="_Toc2835900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85"/>
        <w:ind w:firstLine="480"/>
        <w:spacing w:line="500" w:lineRule="exact"/>
        <w:rPr>
          <w:rFonts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8"/>
        <w:ind w:firstLine="452"/>
        <w:keepLines w:val="0"/>
        <w:keepNext w:val="0"/>
        <w:spacing w:before="0" w:after="0" w:line="500" w:lineRule="exact"/>
        <w:rPr>
          <w:color w:val="000000"/>
          <w:sz w:val="30"/>
          <w:szCs w:val="30"/>
        </w:rPr>
      </w:pPr>
      <w:r/>
      <w:bookmarkStart w:id="35" w:name="_Toc35393627"/>
      <w:r/>
      <w:bookmarkStart w:id="36" w:name="_Toc38985269"/>
      <w:r/>
      <w:bookmarkStart w:id="37" w:name="_Toc28359008"/>
      <w:r/>
      <w:bookmarkStart w:id="38" w:name="_Toc35393796"/>
      <w:r/>
      <w:bookmarkStart w:id="39" w:name="_Toc28359085"/>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85"/>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1.集中采购机构：</w:t>
      </w:r>
      <w:r>
        <w:rPr>
          <w:rFonts w:ascii="等线" w:hAnsi="等线" w:cs="宋体"/>
          <w:color w:val="000000"/>
          <w:sz w:val="24"/>
          <w:szCs w:val="24"/>
        </w:rPr>
      </w:r>
      <w:r/>
    </w:p>
    <w:p>
      <w:pPr>
        <w:pStyle w:val="885"/>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名称：无锡市滨湖区公共资源交易中心</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项目联系人：姚坤  徐鹏飞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电话：0510-81173539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地址： 无锡市滨湖区隐秀路152号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2.采购人：</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名称：无锡市滨湖区数据局</w:t>
      </w:r>
      <w:r>
        <w:rPr>
          <w:rFonts w:ascii="等线" w:hAnsi="等线" w:cs="宋体"/>
          <w:color w:val="000000"/>
          <w:sz w:val="24"/>
          <w:szCs w:val="24"/>
        </w:rPr>
        <w:t xml:space="preserve">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联系人：朱智威</w:t>
      </w:r>
      <w:r>
        <w:rPr>
          <w:rFonts w:ascii="等线" w:hAnsi="等线" w:cs="宋体"/>
          <w:color w:val="000000"/>
          <w:sz w:val="24"/>
          <w:szCs w:val="24"/>
        </w:rPr>
        <w:t xml:space="preserve"> </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联系电话：15996673516</w:t>
      </w:r>
      <w:r>
        <w:rPr>
          <w:rFonts w:ascii="等线" w:hAnsi="等线" w:cs="宋体"/>
          <w:color w:val="000000"/>
          <w:sz w:val="24"/>
          <w:szCs w:val="24"/>
        </w:rPr>
      </w:r>
      <w:r/>
    </w:p>
    <w:p>
      <w:pPr>
        <w:pStyle w:val="885"/>
        <w:ind w:firstLine="480"/>
        <w:jc w:val="left"/>
        <w:spacing w:line="360" w:lineRule="auto"/>
        <w:shd w:val="clear" w:color="auto" w:fill="ffffff"/>
        <w:widowControl/>
        <w:rPr>
          <w:rFonts w:ascii="等线" w:hAnsi="等线" w:cs="宋体"/>
          <w:sz w:val="24"/>
          <w:szCs w:val="24"/>
        </w:rPr>
      </w:pPr>
      <w:r>
        <w:rPr>
          <w:rFonts w:hint="eastAsia" w:ascii="等线" w:hAnsi="等线" w:cs="宋体"/>
          <w:color w:val="000000"/>
          <w:sz w:val="24"/>
          <w:szCs w:val="24"/>
        </w:rPr>
        <w:t xml:space="preserve">联系地址：江苏省无锡市滨湖区金城西路500号-1</w:t>
      </w:r>
      <w:r>
        <w:rPr>
          <w:rFonts w:ascii="等线" w:hAnsi="等线" w:cs="宋体"/>
          <w:sz w:val="24"/>
          <w:szCs w:val="24"/>
        </w:rPr>
        <w:t xml:space="preserve"> </w:t>
      </w:r>
      <w:r>
        <w:rPr>
          <w:rFonts w:ascii="等线" w:hAnsi="等线" w:cs="宋体"/>
          <w:sz w:val="24"/>
          <w:szCs w:val="24"/>
        </w:rPr>
      </w:r>
      <w:r/>
    </w:p>
    <w:p>
      <w:pPr>
        <w:pStyle w:val="888"/>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5"/>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85"/>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5"/>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rPr>
          <w:rFonts w:hint="eastAsia" w:ascii="宋体" w:hAnsi="宋体"/>
          <w:bCs/>
          <w:color w:val="000000"/>
          <w:sz w:val="24"/>
          <w:szCs w:val="24"/>
        </w:rPr>
      </w:r>
      <w:r/>
    </w:p>
    <w:p>
      <w:pPr>
        <w:pStyle w:val="885"/>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（四）本次采购不收取投标保证金。</w:t>
      </w:r>
      <w:r>
        <w:rPr>
          <w:rFonts w:ascii="宋体" w:hAnsi="宋体"/>
          <w:bCs/>
          <w:color w:val="000000"/>
          <w:sz w:val="24"/>
          <w:szCs w:val="24"/>
        </w:rPr>
      </w:r>
      <w:r/>
    </w:p>
    <w:p>
      <w:pPr>
        <w:pStyle w:val="885"/>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shd w:val="clear" w:color="ffffff" w:fill="d9d9d9"/>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513029202"/>
      <w:r/>
      <w:bookmarkStart w:id="44" w:name="_Toc20823274"/>
      <w:r>
        <w:rPr>
          <w:rFonts w:hint="eastAsia" w:ascii="黑体" w:hAnsi="黑体" w:eastAsia="黑体"/>
          <w:color w:val="000000"/>
          <w:sz w:val="36"/>
          <w:szCs w:val="36"/>
        </w:rPr>
        <w:t xml:space="preserve">投标人须知</w:t>
      </w:r>
      <w:bookmarkEnd w:id="41"/>
      <w:r/>
      <w:bookmarkEnd w:id="42"/>
      <w:r/>
      <w:bookmarkEnd w:id="43"/>
      <w:r/>
      <w:bookmarkEnd w:id="44"/>
      <w:r>
        <w:rPr>
          <w:rFonts w:hint="eastAsia" w:ascii="黑体" w:hAnsi="黑体" w:eastAsia="黑体"/>
          <w:color w:val="000000"/>
          <w:sz w:val="36"/>
          <w:szCs w:val="36"/>
        </w:rPr>
      </w:r>
      <w:r/>
    </w:p>
    <w:p>
      <w:pPr>
        <w:pStyle w:val="888"/>
        <w:ind w:firstLine="452"/>
        <w:keepLines w:val="0"/>
        <w:keepNext w:val="0"/>
        <w:spacing w:before="0" w:after="0" w:line="500" w:lineRule="exact"/>
        <w:rPr>
          <w:rFonts w:hint="eastAsia"/>
          <w:color w:val="000000"/>
          <w:sz w:val="30"/>
          <w:szCs w:val="30"/>
        </w:rPr>
      </w:pPr>
      <w:r/>
      <w:bookmarkStart w:id="45" w:name="_Toc120614214"/>
      <w:r/>
      <w:bookmarkStart w:id="46" w:name="_Toc16938519"/>
      <w:r/>
      <w:bookmarkStart w:id="47" w:name="_Toc513029203"/>
      <w:r/>
      <w:bookmarkStart w:id="48" w:name="_Toc20823275"/>
      <w:r>
        <w:rPr>
          <w:rFonts w:hint="eastAsia"/>
          <w:color w:val="000000"/>
          <w:sz w:val="30"/>
          <w:szCs w:val="30"/>
        </w:rPr>
        <w:t xml:space="preserve">一、总则</w:t>
      </w:r>
      <w:bookmarkEnd w:id="45"/>
      <w:r/>
      <w:bookmarkEnd w:id="46"/>
      <w:r/>
      <w:bookmarkEnd w:id="47"/>
      <w:r/>
      <w:bookmarkEnd w:id="48"/>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49" w:name="_Hlt16619475"/>
      <w:r/>
      <w:bookmarkEnd w:id="49"/>
      <w:r/>
      <w:bookmarkStart w:id="50" w:name="_Toc513029204"/>
      <w:r/>
      <w:bookmarkStart w:id="51" w:name="_Toc16938520"/>
      <w:r/>
      <w:bookmarkStart w:id="52" w:name="_Toc20823276"/>
      <w:r>
        <w:rPr>
          <w:rFonts w:hint="eastAsia" w:ascii="宋体" w:hAnsi="宋体" w:eastAsia="宋体"/>
          <w:bCs w:val="0"/>
          <w:color w:val="000000"/>
        </w:rPr>
        <w:t xml:space="preserve">1.招标方式</w:t>
      </w:r>
      <w:bookmarkEnd w:id="50"/>
      <w:r/>
      <w:bookmarkEnd w:id="51"/>
      <w:r/>
      <w:bookmarkEnd w:id="52"/>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53" w:name="_Toc513029205"/>
      <w:r/>
      <w:bookmarkStart w:id="54" w:name="_Toc16938521"/>
      <w:r/>
      <w:bookmarkStart w:id="55" w:name="_Toc20823277"/>
      <w:r>
        <w:rPr>
          <w:rFonts w:hint="eastAsia" w:ascii="宋体" w:hAnsi="宋体" w:eastAsia="宋体"/>
          <w:bCs w:val="0"/>
          <w:color w:val="000000"/>
        </w:rPr>
        <w:t xml:space="preserve">2.</w:t>
      </w:r>
      <w:bookmarkEnd w:id="53"/>
      <w:r/>
      <w:bookmarkEnd w:id="54"/>
      <w:r/>
      <w:bookmarkEnd w:id="55"/>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56" w:name="_Toc513029206"/>
      <w:r/>
      <w:bookmarkStart w:id="57" w:name="_Toc16938522"/>
      <w:r/>
      <w:bookmarkStart w:id="58" w:name="_Toc20823278"/>
      <w:r>
        <w:rPr>
          <w:rFonts w:hint="eastAsia" w:ascii="宋体" w:hAnsi="宋体" w:eastAsia="宋体"/>
          <w:bCs w:val="0"/>
          <w:color w:val="000000"/>
        </w:rPr>
        <w:t xml:space="preserve">3.适用法律</w:t>
      </w:r>
      <w:bookmarkEnd w:id="56"/>
      <w:r/>
      <w:bookmarkEnd w:id="57"/>
      <w:r/>
      <w:bookmarkEnd w:id="58"/>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59" w:name="_Toc16938523"/>
      <w:r/>
      <w:bookmarkStart w:id="60" w:name="_Toc462564067"/>
      <w:r/>
      <w:bookmarkStart w:id="61" w:name="_Toc513029207"/>
      <w:r/>
      <w:bookmarkStart w:id="62" w:name="_Toc20823279"/>
      <w:r>
        <w:rPr>
          <w:rFonts w:hint="eastAsia" w:ascii="宋体" w:hAnsi="宋体" w:eastAsia="宋体"/>
          <w:bCs w:val="0"/>
          <w:color w:val="000000"/>
        </w:rPr>
        <w:t xml:space="preserve">4.投标费用</w:t>
      </w:r>
      <w:bookmarkEnd w:id="59"/>
      <w:r/>
      <w:bookmarkEnd w:id="60"/>
      <w:r/>
      <w:bookmarkEnd w:id="61"/>
      <w:r/>
      <w:bookmarkEnd w:id="62"/>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888"/>
        <w:ind w:firstLine="452"/>
        <w:keepLines w:val="0"/>
        <w:keepNext w:val="0"/>
        <w:spacing w:before="0" w:after="0" w:line="500" w:lineRule="exact"/>
        <w:rPr>
          <w:rFonts w:hint="eastAsia"/>
          <w:color w:val="000000"/>
          <w:sz w:val="30"/>
          <w:szCs w:val="30"/>
        </w:rPr>
      </w:pPr>
      <w:r/>
      <w:bookmarkStart w:id="63" w:name="_Toc16938525"/>
      <w:r/>
      <w:bookmarkStart w:id="64" w:name="_Toc20823281"/>
      <w:r/>
      <w:bookmarkStart w:id="65" w:name="_Toc513029209"/>
      <w:r/>
      <w:bookmarkStart w:id="66" w:name="_Toc120614215"/>
      <w:r>
        <w:rPr>
          <w:rFonts w:hint="eastAsia"/>
          <w:color w:val="000000"/>
          <w:sz w:val="30"/>
          <w:szCs w:val="30"/>
        </w:rPr>
        <w:t xml:space="preserve">二、招标文件</w:t>
      </w:r>
      <w:bookmarkEnd w:id="63"/>
      <w:r/>
      <w:bookmarkEnd w:id="64"/>
      <w:r/>
      <w:bookmarkEnd w:id="65"/>
      <w:r/>
      <w:bookmarkEnd w:id="66"/>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67" w:name="_Toc513029210"/>
      <w:r/>
      <w:bookmarkStart w:id="68" w:name="_Toc16938526"/>
      <w:r/>
      <w:bookmarkStart w:id="69" w:name="_Toc20823282"/>
      <w:r>
        <w:rPr>
          <w:rFonts w:hint="eastAsia" w:ascii="宋体" w:hAnsi="宋体" w:eastAsia="宋体"/>
          <w:bCs w:val="0"/>
          <w:color w:val="000000"/>
        </w:rPr>
        <w:t xml:space="preserve">6.招标文件构成</w:t>
      </w:r>
      <w:bookmarkEnd w:id="67"/>
      <w:r/>
      <w:bookmarkEnd w:id="68"/>
      <w:r/>
      <w:bookmarkEnd w:id="69"/>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85"/>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0" w:name="_Toc462564070"/>
      <w:r/>
      <w:bookmarkStart w:id="71" w:name="_Toc16938527"/>
      <w:r/>
      <w:bookmarkStart w:id="72" w:name="_Toc513029211"/>
      <w:r/>
      <w:bookmarkStart w:id="73" w:name="_Toc20823283"/>
      <w:r>
        <w:rPr>
          <w:rFonts w:hint="eastAsia" w:ascii="宋体" w:hAnsi="宋体" w:eastAsia="宋体"/>
          <w:bCs w:val="0"/>
          <w:color w:val="000000"/>
        </w:rPr>
        <w:t xml:space="preserve">7.招标文件的澄清</w:t>
      </w:r>
      <w:bookmarkEnd w:id="70"/>
      <w:r/>
      <w:bookmarkEnd w:id="71"/>
      <w:r/>
      <w:bookmarkEnd w:id="72"/>
      <w:r/>
      <w:bookmarkEnd w:id="73"/>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rPr>
        <w:t xml:space="preserve">8.招标文件的修改</w:t>
      </w:r>
      <w:bookmarkEnd w:id="74"/>
      <w:r/>
      <w:bookmarkEnd w:id="75"/>
      <w:r/>
      <w:bookmarkEnd w:id="76"/>
      <w:r/>
      <w:bookmarkEnd w:id="77"/>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88"/>
        <w:ind w:firstLine="452"/>
        <w:keepLines w:val="0"/>
        <w:keepNext w:val="0"/>
        <w:spacing w:before="0" w:after="0" w:line="500" w:lineRule="exact"/>
        <w:rPr>
          <w:rFonts w:hint="eastAsia"/>
          <w:color w:val="000000"/>
          <w:sz w:val="30"/>
          <w:szCs w:val="30"/>
        </w:rPr>
      </w:pPr>
      <w:r/>
      <w:bookmarkStart w:id="78" w:name="_Toc513029213"/>
      <w:r/>
      <w:bookmarkStart w:id="79" w:name="_Toc16938529"/>
      <w:r/>
      <w:bookmarkStart w:id="80" w:name="_Toc120614216"/>
      <w:r/>
      <w:bookmarkStart w:id="81" w:name="_Toc20823285"/>
      <w:r/>
      <w:bookmarkStart w:id="82" w:name="_Toc462564072"/>
      <w:r>
        <w:rPr>
          <w:rFonts w:hint="eastAsia"/>
          <w:color w:val="000000"/>
          <w:sz w:val="30"/>
          <w:szCs w:val="30"/>
        </w:rPr>
        <w:t xml:space="preserve">三、投标文件的编制</w:t>
      </w:r>
      <w:bookmarkEnd w:id="78"/>
      <w:r/>
      <w:bookmarkEnd w:id="79"/>
      <w:r/>
      <w:bookmarkEnd w:id="80"/>
      <w:r/>
      <w:bookmarkEnd w:id="81"/>
      <w:r/>
      <w:bookmarkEnd w:id="82"/>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83" w:name="_Toc462564073"/>
      <w:r/>
      <w:bookmarkStart w:id="84" w:name="_Toc513029214"/>
      <w:r/>
      <w:bookmarkStart w:id="85" w:name="_Toc16938530"/>
      <w:r/>
      <w:bookmarkStart w:id="86" w:name="_Toc20823286"/>
      <w:r>
        <w:rPr>
          <w:rFonts w:hint="eastAsia" w:ascii="宋体" w:hAnsi="宋体" w:eastAsia="宋体"/>
          <w:bCs w:val="0"/>
          <w:color w:val="000000"/>
        </w:rPr>
        <w:t xml:space="preserve">9.投标文件的语言及度量衡单位</w:t>
      </w:r>
      <w:bookmarkEnd w:id="83"/>
      <w:r/>
      <w:bookmarkEnd w:id="84"/>
      <w:r/>
      <w:bookmarkEnd w:id="85"/>
      <w:r/>
      <w:bookmarkEnd w:id="86"/>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87" w:name="_Toc513029215"/>
      <w:r/>
      <w:bookmarkStart w:id="88" w:name="_Toc16938531"/>
      <w:r/>
      <w:bookmarkStart w:id="89" w:name="_Toc462564074"/>
      <w:r/>
      <w:bookmarkStart w:id="90" w:name="_Toc20823287"/>
      <w:r>
        <w:rPr>
          <w:rFonts w:hint="eastAsia" w:ascii="宋体" w:hAnsi="宋体" w:eastAsia="宋体"/>
          <w:bCs w:val="0"/>
          <w:color w:val="000000"/>
        </w:rPr>
        <w:t xml:space="preserve">10.投标文件构成</w:t>
      </w:r>
      <w:bookmarkEnd w:id="87"/>
      <w:r/>
      <w:bookmarkEnd w:id="88"/>
      <w:r/>
      <w:bookmarkEnd w:id="89"/>
      <w:r/>
      <w:bookmarkEnd w:id="90"/>
      <w:r>
        <w:rPr>
          <w:rFonts w:hint="eastAsia" w:ascii="宋体" w:hAnsi="宋体" w:eastAsia="宋体"/>
          <w:bCs w:val="0"/>
          <w:color w:val="000000"/>
        </w:rPr>
      </w:r>
      <w:r/>
    </w:p>
    <w:p>
      <w:pPr>
        <w:pStyle w:val="885"/>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91" w:name="_Hlt26670360"/>
      <w:r/>
      <w:bookmarkEnd w:id="91"/>
      <w:r/>
      <w:bookmarkStart w:id="92" w:name="_Hlt26954838"/>
      <w:r/>
      <w:bookmarkEnd w:id="92"/>
      <w:r/>
      <w:bookmarkStart w:id="93" w:name="_Hlt26668975"/>
      <w:r/>
      <w:bookmarkEnd w:id="93"/>
      <w:r/>
      <w:bookmarkStart w:id="94" w:name="_Toc49090509"/>
      <w:r/>
      <w:bookmarkStart w:id="95" w:name="_Toc513029219"/>
      <w:r/>
      <w:bookmarkStart w:id="96" w:name="_Toc14577357"/>
      <w:r/>
      <w:bookmarkStart w:id="97" w:name="_Toc49090507"/>
      <w:r/>
      <w:bookmarkStart w:id="98" w:name="_Toc14577354"/>
      <w:r/>
      <w:bookmarkStart w:id="99" w:name="_Toc513029216"/>
      <w:r>
        <w:rPr>
          <w:rFonts w:hint="eastAsia" w:ascii="宋体" w:hAnsi="宋体" w:eastAsia="宋体"/>
          <w:bCs w:val="0"/>
          <w:color w:val="000000"/>
        </w:rPr>
        <w:t xml:space="preserve">11.证明投标人及投标标的符合招标文件规定的文件</w:t>
      </w:r>
      <w:bookmarkEnd w:id="94"/>
      <w:r/>
      <w:bookmarkEnd w:id="95"/>
      <w:r/>
      <w:bookmarkEnd w:id="96"/>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bookmarkEnd w:id="97"/>
      <w:r/>
      <w:bookmarkEnd w:id="98"/>
      <w:r/>
      <w:bookmarkEnd w:id="99"/>
      <w:r/>
      <w:bookmarkStart w:id="100" w:name="_Toc14577355"/>
      <w:r/>
      <w:bookmarkStart w:id="101"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02" w:name="_Toc49090510"/>
      <w:r/>
      <w:bookmarkStart w:id="103" w:name="_Toc14577359"/>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End w:id="102"/>
      <w:r/>
      <w:bookmarkEnd w:id="103"/>
      <w:r>
        <w:rPr>
          <w:rFonts w:hint="eastAsia" w:ascii="宋体" w:hAnsi="宋体" w:eastAsia="宋体"/>
          <w:bCs w:val="0"/>
          <w:color w:val="000000"/>
        </w:rPr>
        <w:t xml:space="preserve">13.</w:t>
      </w:r>
      <w:bookmarkEnd w:id="100"/>
      <w:r/>
      <w:bookmarkEnd w:id="101"/>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4" w:name="_Hlt26954840"/>
      <w:r/>
      <w:bookmarkEnd w:id="104"/>
      <w:r>
        <w:rPr>
          <w:rFonts w:hint="eastAsia" w:ascii="宋体" w:hAnsi="宋体"/>
          <w:color w:val="000000"/>
          <w:sz w:val="24"/>
        </w:rPr>
        <w:t xml:space="preserve">标人应按照招标文件规定格式填报</w:t>
      </w:r>
      <w:bookmarkStart w:id="105" w:name="_Hlt26670399"/>
      <w:r/>
      <w:bookmarkEnd w:id="105"/>
      <w:r>
        <w:rPr>
          <w:rFonts w:hint="eastAsia" w:ascii="宋体" w:hAnsi="宋体"/>
          <w:color w:val="000000"/>
          <w:sz w:val="24"/>
        </w:rPr>
        <w:t xml:space="preserve">分项报价表。</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06" w:name="_Hlt26670403"/>
      <w:r/>
      <w:bookmarkEnd w:id="106"/>
      <w:r/>
      <w:bookmarkStart w:id="107" w:name="_Hlt26954731"/>
      <w:r/>
      <w:bookmarkEnd w:id="107"/>
      <w:r/>
      <w:bookmarkStart w:id="108" w:name="_Hlt26670486"/>
      <w:r/>
      <w:bookmarkEnd w:id="108"/>
      <w:r/>
      <w:bookmarkStart w:id="109" w:name="_Hlt26954844"/>
      <w:r/>
      <w:bookmarkEnd w:id="109"/>
      <w:r/>
      <w:bookmarkStart w:id="110" w:name="_Hlt26954846"/>
      <w:r/>
      <w:bookmarkEnd w:id="110"/>
      <w:r/>
      <w:bookmarkStart w:id="111" w:name="_Hlt26670425"/>
      <w:r/>
      <w:bookmarkEnd w:id="111"/>
      <w:r/>
      <w:bookmarkStart w:id="112" w:name="_Hlt26668983"/>
      <w:r/>
      <w:bookmarkEnd w:id="112"/>
      <w:r/>
      <w:bookmarkStart w:id="113" w:name="_Hlt26954842"/>
      <w:r/>
      <w:bookmarkEnd w:id="113"/>
      <w:r/>
      <w:bookmarkStart w:id="114" w:name="_Hlt26954848"/>
      <w:r/>
      <w:bookmarkEnd w:id="114"/>
      <w:r/>
      <w:bookmarkStart w:id="115" w:name="_Hlt26670482"/>
      <w:r/>
      <w:bookmarkEnd w:id="115"/>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885"/>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89"/>
        <w:ind w:firstLine="422"/>
        <w:keepLines w:val="0"/>
        <w:keepNext w:val="0"/>
        <w:spacing w:before="0" w:after="0" w:line="500" w:lineRule="exact"/>
        <w:rPr>
          <w:rFonts w:hint="eastAsia" w:ascii="宋体" w:hAnsi="宋体" w:eastAsia="宋体"/>
          <w:bCs w:val="0"/>
          <w:color w:val="000000"/>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ascii="宋体" w:hAnsi="宋体" w:eastAsia="宋体"/>
          <w:bCs w:val="0"/>
          <w:color w:val="000000"/>
        </w:rPr>
        <w:t xml:space="preserve">15.投标有效期</w:t>
      </w:r>
      <w:bookmarkEnd w:id="119"/>
      <w:r/>
      <w:bookmarkEnd w:id="120"/>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21" w:name="_Hlt26954852"/>
      <w:r/>
      <w:bookmarkEnd w:id="121"/>
      <w:r/>
      <w:bookmarkStart w:id="122" w:name="_Hlt26954739"/>
      <w:r/>
      <w:bookmarkEnd w:id="122"/>
      <w:r/>
      <w:bookmarkStart w:id="123" w:name="_Toc16938540"/>
      <w:r/>
      <w:bookmarkStart w:id="124" w:name="_Toc513029224"/>
      <w:r/>
      <w:bookmarkStart w:id="125" w:name="_Toc120614217"/>
      <w:r/>
      <w:bookmarkStart w:id="126" w:name="_Toc20823296"/>
      <w:r>
        <w:rPr>
          <w:rFonts w:hint="eastAsia"/>
          <w:color w:val="000000"/>
          <w:sz w:val="30"/>
          <w:szCs w:val="30"/>
        </w:rPr>
        <w:t xml:space="preserve">四、投标文件的递交</w:t>
      </w:r>
      <w:bookmarkEnd w:id="123"/>
      <w:r/>
      <w:bookmarkEnd w:id="124"/>
      <w:r/>
      <w:bookmarkEnd w:id="125"/>
      <w:r/>
      <w:bookmarkEnd w:id="126"/>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27" w:name="_Toc20823297"/>
      <w:r/>
      <w:bookmarkStart w:id="128" w:name="_Toc462564084"/>
      <w:r/>
      <w:bookmarkStart w:id="129" w:name="_Toc513029225"/>
      <w:r/>
      <w:bookmarkStart w:id="130" w:name="_Toc16938541"/>
      <w:r>
        <w:rPr>
          <w:rFonts w:hint="eastAsia" w:ascii="宋体" w:hAnsi="宋体" w:eastAsia="宋体"/>
          <w:bCs w:val="0"/>
          <w:color w:val="000000"/>
        </w:rPr>
        <w:t xml:space="preserve">17.投标文件</w:t>
      </w:r>
      <w:bookmarkEnd w:id="127"/>
      <w:r/>
      <w:bookmarkEnd w:id="128"/>
      <w:r/>
      <w:bookmarkEnd w:id="129"/>
      <w:r/>
      <w:bookmarkEnd w:id="130"/>
      <w:r>
        <w:rPr>
          <w:rFonts w:hint="eastAsia" w:ascii="宋体" w:hAnsi="宋体" w:eastAsia="宋体"/>
          <w:bCs w:val="0"/>
          <w:color w:val="000000"/>
        </w:rPr>
        <w:t xml:space="preserve">的递交</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997"/>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20823298"/>
      <w:r/>
      <w:bookmarkStart w:id="132" w:name="_Toc513029226"/>
      <w:r/>
      <w:bookmarkStart w:id="133" w:name="_Toc16938542"/>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1"/>
      <w:r/>
      <w:bookmarkEnd w:id="132"/>
      <w:r/>
      <w:bookmarkEnd w:id="133"/>
      <w:r>
        <w:rPr>
          <w:rFonts w:hint="eastAsia" w:ascii="宋体" w:hAnsi="宋体" w:eastAsia="宋体"/>
          <w:bCs w:val="0"/>
          <w:color w:val="000000"/>
        </w:rPr>
        <w:t xml:space="preserve">时间</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34" w:name="_Toc513029227"/>
      <w:r/>
      <w:bookmarkStart w:id="135" w:name="_Toc16938543"/>
      <w:r/>
      <w:bookmarkStart w:id="136" w:name="_Toc20823299"/>
      <w:r>
        <w:rPr>
          <w:rFonts w:hint="eastAsia" w:ascii="宋体" w:hAnsi="宋体" w:eastAsia="宋体"/>
          <w:bCs w:val="0"/>
          <w:color w:val="000000"/>
        </w:rPr>
        <w:t xml:space="preserve">19.投标文件</w:t>
      </w:r>
      <w:bookmarkEnd w:id="134"/>
      <w:r/>
      <w:bookmarkEnd w:id="135"/>
      <w:r/>
      <w:bookmarkEnd w:id="136"/>
      <w:r>
        <w:rPr>
          <w:rFonts w:hint="eastAsia" w:ascii="宋体" w:hAnsi="宋体" w:eastAsia="宋体"/>
          <w:bCs w:val="0"/>
          <w:color w:val="000000"/>
        </w:rPr>
        <w:t xml:space="preserve">的拒收</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37" w:name="_Toc16938544"/>
      <w:r/>
      <w:bookmarkStart w:id="138" w:name="_Toc513029228"/>
      <w:r/>
      <w:bookmarkStart w:id="139" w:name="_Toc20823300"/>
      <w:r>
        <w:rPr>
          <w:rFonts w:hint="eastAsia" w:ascii="宋体" w:hAnsi="宋体" w:eastAsia="宋体"/>
          <w:bCs w:val="0"/>
          <w:color w:val="000000"/>
        </w:rPr>
        <w:t xml:space="preserve">20.投标文件的撤回和修改</w:t>
      </w:r>
      <w:bookmarkEnd w:id="137"/>
      <w:r/>
      <w:bookmarkEnd w:id="138"/>
      <w:r/>
      <w:bookmarkEnd w:id="139"/>
      <w:r>
        <w:rPr>
          <w:rFonts w:hint="eastAsia" w:ascii="宋体" w:hAnsi="宋体" w:eastAsia="宋体"/>
          <w:bCs w:val="0"/>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40" w:name="_Toc513029229"/>
      <w:r/>
      <w:bookmarkStart w:id="141" w:name="_Toc16938545"/>
      <w:r/>
      <w:bookmarkStart w:id="142" w:name="_Toc120614218"/>
      <w:r/>
      <w:bookmarkStart w:id="143" w:name="_Toc20823301"/>
      <w:r>
        <w:rPr>
          <w:rFonts w:hint="eastAsia"/>
          <w:color w:val="000000"/>
          <w:sz w:val="30"/>
          <w:szCs w:val="30"/>
        </w:rPr>
        <w:t xml:space="preserve">五、开标与评标</w:t>
      </w:r>
      <w:bookmarkEnd w:id="140"/>
      <w:r/>
      <w:bookmarkEnd w:id="141"/>
      <w:r/>
      <w:bookmarkEnd w:id="142"/>
      <w:r/>
      <w:bookmarkEnd w:id="143"/>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44" w:name="_Toc20823302"/>
      <w:r/>
      <w:bookmarkStart w:id="145" w:name="_Toc16938546"/>
      <w:r/>
      <w:bookmarkStart w:id="146" w:name="_Toc513029230"/>
      <w:r>
        <w:rPr>
          <w:rFonts w:hint="eastAsia" w:ascii="宋体" w:hAnsi="宋体" w:eastAsia="宋体"/>
          <w:bCs w:val="0"/>
          <w:color w:val="000000"/>
        </w:rPr>
        <w:t xml:space="preserve">21.开标</w:t>
      </w:r>
      <w:bookmarkEnd w:id="144"/>
      <w:r/>
      <w:bookmarkEnd w:id="145"/>
      <w:r/>
      <w:bookmarkEnd w:id="146"/>
      <w:r>
        <w:rPr>
          <w:rFonts w:hint="eastAsia" w:ascii="宋体" w:hAnsi="宋体" w:eastAsia="宋体"/>
          <w:bCs w:val="0"/>
          <w:color w:val="000000"/>
        </w:rPr>
      </w:r>
      <w:r/>
    </w:p>
    <w:p>
      <w:pPr>
        <w:pStyle w:val="885"/>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147" w:name="_Toc16938547"/>
      <w:r/>
      <w:bookmarkStart w:id="148" w:name="_Toc20823303"/>
      <w:r/>
      <w:bookmarkStart w:id="149" w:name="_Toc513029231"/>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885"/>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bookmarkEnd w:id="147"/>
      <w:r/>
      <w:bookmarkEnd w:id="148"/>
      <w:r/>
      <w:bookmarkEnd w:id="149"/>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凡是与审查、澄清、评价和比较投标的有关资料以及投标建议等，采购人、评委、交易中心均不得向投标人或与评标无关的其他人员透露。</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50" w:name="_Toc20823304"/>
      <w:r/>
      <w:bookmarkStart w:id="151" w:name="_Toc16938548"/>
      <w:r/>
      <w:bookmarkStart w:id="152" w:name="_Toc513029232"/>
      <w:r>
        <w:rPr>
          <w:rFonts w:hint="eastAsia" w:ascii="宋体" w:hAnsi="宋体" w:eastAsia="宋体"/>
          <w:bCs w:val="0"/>
          <w:color w:val="000000"/>
        </w:rPr>
        <w:t xml:space="preserve">24.投标文件的澄清</w:t>
      </w:r>
      <w:bookmarkEnd w:id="150"/>
      <w:r/>
      <w:bookmarkEnd w:id="151"/>
      <w:r/>
      <w:bookmarkEnd w:id="152"/>
      <w:r>
        <w:rPr>
          <w:rFonts w:hint="eastAsia" w:ascii="宋体" w:hAnsi="宋体" w:eastAsia="宋体"/>
          <w:bCs w:val="0"/>
          <w:color w:val="000000"/>
        </w:rPr>
      </w:r>
      <w:r/>
    </w:p>
    <w:p>
      <w:pPr>
        <w:pStyle w:val="885"/>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24.3接到评委会澄清、说明和补正要求的投标人如未按规定及时作出澄清、说明和补正，其风险由投标人自行承担。</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bookmarkStart w:id="153" w:name="_Toc513029233"/>
      <w:r/>
      <w:bookmarkStart w:id="154" w:name="_Toc20823305"/>
      <w:r/>
      <w:bookmarkStart w:id="155" w:name="_Toc16938549"/>
      <w:r>
        <w:rPr>
          <w:rFonts w:hint="eastAsia" w:ascii="宋体" w:hAnsi="宋体" w:eastAsia="宋体"/>
          <w:bCs w:val="0"/>
          <w:color w:val="000000"/>
        </w:rPr>
        <w:t xml:space="preserve">25.对投标文件的初审</w:t>
      </w:r>
      <w:bookmarkEnd w:id="153"/>
      <w:r/>
      <w:bookmarkEnd w:id="154"/>
      <w:r/>
      <w:bookmarkEnd w:id="155"/>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885"/>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25.</w:t>
      </w:r>
      <w:r>
        <w:rPr>
          <w:rFonts w:ascii="宋体" w:hAnsi="宋体"/>
          <w:b/>
          <w:bCs w:val="0"/>
          <w:sz w:val="24"/>
        </w:rPr>
        <w:t xml:space="preserve">1.</w:t>
      </w:r>
      <w:r>
        <w:rPr>
          <w:rFonts w:hint="eastAsia" w:ascii="宋体" w:hAnsi="宋体"/>
          <w:b/>
          <w:bCs w:val="0"/>
          <w:sz w:val="24"/>
        </w:rPr>
        <w:t xml:space="preserve">3强化政府采购异常低价审查</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（一）评审过程中出现下列情形之一的，评审委员会应当启动异常低价投标审查程序：</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1．投标报价低于采购项目预算50%的，即投标报价&lt;采购项目预算×50%；</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2．投标报价低于采购项目最高限价45%的，即投标报价&lt;采购项目最高限价×45%；</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3.评审委员会认定的供应商报价过低、有可能影响产品质量或者不能诚信履约的其他情形。</w:t>
      </w:r>
      <w:r>
        <w:rPr>
          <w:rFonts w:hint="eastAsia" w:ascii="宋体" w:hAnsi="宋体"/>
          <w:b/>
          <w:bCs w:val="0"/>
          <w:sz w:val="24"/>
        </w:rPr>
      </w:r>
      <w:r/>
    </w:p>
    <w:p>
      <w:pPr>
        <w:pStyle w:val="885"/>
        <w:ind w:firstLine="480"/>
        <w:spacing w:line="500" w:lineRule="exact"/>
        <w:rPr>
          <w:rFonts w:hint="eastAsia" w:ascii="宋体" w:hAnsi="宋体"/>
          <w:b/>
          <w:bCs w:val="0"/>
          <w:sz w:val="24"/>
        </w:rPr>
      </w:pPr>
      <w:r>
        <w:rPr>
          <w:rFonts w:hint="eastAsia" w:ascii="宋体" w:hAnsi="宋体"/>
          <w:b/>
          <w:bCs w:val="0"/>
          <w:sz w:val="24"/>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宋体" w:hAnsi="宋体"/>
          <w:b/>
          <w:bCs w:val="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885"/>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85"/>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85"/>
        <w:ind w:firstLine="420"/>
        <w:spacing w:line="500" w:lineRule="exact"/>
        <w:rPr>
          <w:rFonts w:hint="eastAsia" w:ascii="宋体" w:hAnsi="宋体"/>
          <w:color w:val="000000"/>
          <w:sz w:val="24"/>
        </w:rPr>
      </w:pPr>
      <w:r/>
      <w:bookmarkStart w:id="156" w:name="_Toc513029234"/>
      <w:r/>
      <w:bookmarkStart w:id="157" w:name="_Toc20823306"/>
      <w:r/>
      <w:bookmarkStart w:id="158"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6"/>
      <w:r/>
      <w:bookmarkEnd w:id="157"/>
      <w:r/>
      <w:bookmarkEnd w:id="158"/>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885"/>
        <w:ind w:left="479"/>
        <w:spacing w:line="500" w:lineRule="exact"/>
        <w:rPr>
          <w:rFonts w:hint="eastAsia" w:ascii="宋体" w:hAnsi="宋体"/>
          <w:bCs/>
          <w:color w:val="000000"/>
          <w:sz w:val="24"/>
        </w:rPr>
      </w:pPr>
      <w:r/>
      <w:bookmarkStart w:id="159" w:name="_Toc16938551"/>
      <w:r/>
      <w:bookmarkStart w:id="160" w:name="_Toc20823307"/>
      <w:r/>
      <w:bookmarkStart w:id="161" w:name="_Toc513029235"/>
      <w:r>
        <w:rPr>
          <w:rFonts w:hint="eastAsia" w:ascii="宋体" w:hAnsi="宋体"/>
          <w:bCs/>
          <w:color w:val="000000"/>
          <w:sz w:val="24"/>
        </w:rPr>
        <w:t xml:space="preserve">26.1无效投标条款</w:t>
      </w:r>
      <w:r>
        <w:rPr>
          <w:rFonts w:hint="eastAsia" w:ascii="宋体" w:hAnsi="宋体"/>
          <w:bCs/>
          <w:color w:val="000000"/>
          <w:sz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sz w:val="24"/>
          <w:szCs w:val="24"/>
        </w:rPr>
        <w:t xml:space="preserve">本采购包、本标项、本标段</w:t>
      </w:r>
      <w:r>
        <w:rPr>
          <w:rFonts w:hint="eastAsia" w:ascii="宋体" w:hAnsi="宋体"/>
          <w:bCs/>
          <w:color w:val="000000"/>
          <w:sz w:val="24"/>
          <w:szCs w:val="24"/>
        </w:rPr>
        <w:t xml:space="preserve">）投标总价超过本项目（标项、标段、分包）预算或最高限价的。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85"/>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85"/>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26.2.1符合专业条件的供应商或者对招标文件做实质响应的供应商不足三家的。26.2.2出现影响采购公正的违法、违规行为的。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885"/>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85"/>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88"/>
        <w:ind w:firstLine="452"/>
        <w:keepLines w:val="0"/>
        <w:keepNext w:val="0"/>
        <w:spacing w:before="0" w:after="0" w:line="500" w:lineRule="exact"/>
        <w:rPr>
          <w:rFonts w:hint="eastAsia"/>
          <w:color w:val="000000"/>
          <w:sz w:val="30"/>
          <w:szCs w:val="30"/>
        </w:rPr>
      </w:pPr>
      <w:r/>
      <w:bookmarkStart w:id="162" w:name="_Toc120614219"/>
      <w:r>
        <w:rPr>
          <w:rFonts w:hint="eastAsia"/>
          <w:color w:val="000000"/>
          <w:sz w:val="30"/>
          <w:szCs w:val="30"/>
        </w:rPr>
        <w:t xml:space="preserve">六、</w:t>
      </w:r>
      <w:bookmarkEnd w:id="159"/>
      <w:r/>
      <w:bookmarkEnd w:id="160"/>
      <w:r/>
      <w:bookmarkEnd w:id="161"/>
      <w:r>
        <w:rPr>
          <w:rFonts w:hint="eastAsia"/>
          <w:color w:val="000000"/>
          <w:sz w:val="30"/>
          <w:szCs w:val="30"/>
        </w:rPr>
        <w:t xml:space="preserve">定标</w:t>
      </w:r>
      <w:bookmarkEnd w:id="162"/>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Start w:id="163" w:name="_Toc513029238"/>
      <w:r/>
      <w:bookmarkStart w:id="164" w:name="_Toc16938554"/>
      <w:r/>
      <w:bookmarkStart w:id="165" w:name="_Toc20823310"/>
      <w:r>
        <w:rPr>
          <w:rFonts w:hint="eastAsia" w:ascii="宋体" w:hAnsi="宋体" w:eastAsia="宋体"/>
          <w:bCs w:val="0"/>
          <w:color w:val="000000"/>
        </w:rPr>
        <w:t xml:space="preserve">27</w:t>
      </w:r>
      <w:bookmarkEnd w:id="16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4"/>
      <w:r/>
      <w:bookmarkEnd w:id="165"/>
      <w:r>
        <w:rPr>
          <w:rFonts w:hint="eastAsia" w:ascii="宋体" w:hAnsi="宋体" w:eastAsia="宋体"/>
          <w:bCs w:val="0"/>
          <w:color w:val="000000"/>
        </w:rPr>
        <w:t xml:space="preserve">中标单位</w:t>
      </w:r>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color w:val="000000"/>
          <w:sz w:val="24"/>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bookmarkStart w:id="16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6"/>
      <w:r>
        <w:rPr>
          <w:rFonts w:hint="eastAsia" w:ascii="宋体" w:hAnsi="宋体" w:eastAsia="宋体"/>
          <w:bCs w:val="0"/>
          <w:color w:val="00000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28.1提出质疑的供应商应当是参与所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888"/>
        <w:ind w:firstLine="452"/>
        <w:keepLines w:val="0"/>
        <w:keepNext w:val="0"/>
        <w:spacing w:before="0" w:after="0" w:line="500" w:lineRule="exact"/>
        <w:rPr>
          <w:rFonts w:hint="eastAsia"/>
          <w:color w:val="000000"/>
          <w:sz w:val="30"/>
          <w:szCs w:val="30"/>
        </w:rPr>
      </w:pPr>
      <w:r/>
      <w:bookmarkStart w:id="167" w:name="_Toc120614220"/>
      <w:r/>
      <w:bookmarkStart w:id="168" w:name="_Toc16938552"/>
      <w:r/>
      <w:bookmarkStart w:id="169" w:name="_Toc513029236"/>
      <w:r/>
      <w:bookmarkStart w:id="170" w:name="_Toc20823308"/>
      <w:r>
        <w:rPr>
          <w:rFonts w:hint="eastAsia"/>
          <w:color w:val="000000"/>
          <w:sz w:val="30"/>
          <w:szCs w:val="30"/>
        </w:rPr>
        <w:t xml:space="preserve">七、授予合同</w:t>
      </w:r>
      <w:bookmarkEnd w:id="167"/>
      <w:r>
        <w:rPr>
          <w:rFonts w:hint="eastAsia"/>
          <w:color w:val="000000"/>
          <w:sz w:val="30"/>
          <w:szCs w:val="30"/>
        </w:rPr>
      </w:r>
      <w:r/>
    </w:p>
    <w:p>
      <w:pPr>
        <w:pStyle w:val="889"/>
        <w:ind w:firstLine="422"/>
        <w:keepLines w:val="0"/>
        <w:keepNext w:val="0"/>
        <w:spacing w:before="0" w:after="0" w:line="500" w:lineRule="exact"/>
        <w:rPr>
          <w:rFonts w:hint="eastAsia" w:ascii="宋体" w:hAnsi="宋体" w:eastAsia="宋体"/>
          <w:bCs w:val="0"/>
          <w:color w:val="000000"/>
        </w:rPr>
      </w:pPr>
      <w:r/>
      <w:bookmarkEnd w:id="168"/>
      <w:r/>
      <w:bookmarkEnd w:id="169"/>
      <w:r/>
      <w:bookmarkEnd w:id="170"/>
      <w:r/>
      <w:bookmarkStart w:id="171" w:name="_Toc16938553"/>
      <w:r/>
      <w:bookmarkStart w:id="172" w:name="_Toc20823309"/>
      <w:r/>
      <w:bookmarkStart w:id="173" w:name="_Toc513029237"/>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885"/>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889"/>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olor w:val="000000"/>
          <w:sz w:val="24"/>
          <w:szCs w:val="24"/>
        </w:rPr>
      </w:r>
      <w:r/>
    </w:p>
    <w:p>
      <w:pPr>
        <w:pStyle w:val="899"/>
        <w:jc w:val="center"/>
        <w:spacing w:line="500" w:lineRule="exact"/>
        <w:rPr>
          <w:rFonts w:hint="eastAsia" w:ascii="黑体" w:eastAsia="黑体"/>
          <w:bCs/>
          <w:color w:val="000000"/>
          <w:sz w:val="36"/>
          <w:szCs w:val="36"/>
        </w:rPr>
      </w:pPr>
      <w:r/>
      <w:bookmarkEnd w:id="171"/>
      <w:r/>
      <w:bookmarkEnd w:id="172"/>
      <w:r/>
      <w:bookmarkEnd w:id="173"/>
      <w:r/>
      <w:bookmarkStart w:id="174" w:name="_Toc513029242"/>
      <w:r/>
      <w:bookmarkStart w:id="175" w:name="_Toc120614221"/>
      <w:r/>
      <w:bookmarkStart w:id="176" w:name="_Toc479757207"/>
      <w:r/>
      <w:bookmarkStart w:id="177" w:name="_Toc20823314"/>
      <w:r/>
      <w:bookmarkStart w:id="178" w:name="_Toc16938558"/>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4"/>
      <w:r/>
      <w:bookmarkEnd w:id="175"/>
      <w:r/>
      <w:bookmarkEnd w:id="176"/>
      <w:r/>
      <w:bookmarkEnd w:id="177"/>
      <w:r/>
      <w:bookmarkEnd w:id="178"/>
      <w:r>
        <w:rPr>
          <w:rFonts w:hint="eastAsia" w:ascii="黑体" w:eastAsia="黑体"/>
          <w:bCs/>
          <w:color w:val="000000"/>
          <w:sz w:val="36"/>
          <w:szCs w:val="36"/>
        </w:rPr>
        <w:t xml:space="preserve">文本</w:t>
      </w:r>
      <w:r>
        <w:rPr>
          <w:rFonts w:hint="eastAsia" w:ascii="黑体" w:eastAsia="黑体"/>
          <w:bCs/>
          <w:color w:val="000000"/>
          <w:sz w:val="36"/>
          <w:szCs w:val="36"/>
        </w:rPr>
      </w:r>
      <w:r/>
    </w:p>
    <w:p>
      <w:pPr>
        <w:pStyle w:val="885"/>
        <w:ind w:firstLine="480"/>
        <w:spacing w:line="400" w:lineRule="exact"/>
        <w:rPr>
          <w:rFonts w:hint="eastAsia" w:ascii="宋体" w:hAnsi="宋体"/>
          <w:bCs/>
          <w:color w:val="000000"/>
          <w:sz w:val="24"/>
        </w:rPr>
      </w:pPr>
      <w:r/>
      <w:bookmarkStart w:id="179" w:name="_Toc513029243"/>
      <w:r/>
      <w:bookmarkStart w:id="180" w:name="_Toc20823315"/>
      <w:r/>
      <w:bookmarkStart w:id="181" w:name="_Toc16938559"/>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885"/>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5"/>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5"/>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无锡市滨湖区公共资源交易中心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本合同金额为（大写）：_____________</w:t>
      </w:r>
      <w:r>
        <w:rPr>
          <w:rFonts w:hint="eastAsia" w:hAnsi="宋体"/>
          <w:color w:val="000000"/>
          <w:sz w:val="24"/>
          <w:szCs w:val="24"/>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w:t>
      </w:r>
      <w:r>
        <w:rPr>
          <w:rFonts w:hint="eastAsia" w:ascii="宋体" w:hAnsi="宋体" w:cs="Courier New"/>
          <w:color w:val="000000"/>
          <w:sz w:val="24"/>
          <w:szCs w:val="24"/>
        </w:rPr>
        <w:t xml:space="preserve">提供基于</w:t>
      </w:r>
      <w:r>
        <w:rPr>
          <w:rFonts w:ascii="宋体" w:hAnsi="宋体" w:cs="Courier New"/>
          <w:color w:val="000000"/>
          <w:sz w:val="24"/>
          <w:szCs w:val="24"/>
        </w:rPr>
        <w:t xml:space="preserve">履行本合同无关的任何其他人。即使向履行本合同有关的人员提供，也应注意保密并限于履行合同的必需范围。</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5"/>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5"/>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5"/>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5"/>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5"/>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5"/>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5"/>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5"/>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5"/>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85"/>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lang w:eastAsia="zh-CN"/>
        </w:rPr>
        <w:t xml:space="preserve">〔2020〕52号</w:t>
      </w:r>
      <w:r>
        <w:rPr>
          <w:rFonts w:hint="eastAsia" w:hAnsi="宋体"/>
          <w:bCs/>
          <w:color w:val="000000"/>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85"/>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成交单价为投标时投标报价单价</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进行计算。</w:t>
      </w:r>
      <w:r>
        <w:rPr>
          <w:rFonts w:ascii="宋体" w:hAnsi="宋体" w:cs="Courier New"/>
          <w:bCs/>
          <w:color w:val="000000"/>
          <w:sz w:val="24"/>
          <w:szCs w:val="24"/>
        </w:rPr>
      </w:r>
      <w:r/>
    </w:p>
    <w:p>
      <w:pPr>
        <w:pStyle w:val="885"/>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5"/>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5"/>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w:t>
      </w:r>
      <w:r>
        <w:rPr>
          <w:rFonts w:hint="eastAsia" w:ascii="宋体" w:hAnsi="宋体" w:cs="Courier New"/>
          <w:color w:val="000000"/>
          <w:sz w:val="24"/>
          <w:szCs w:val="24"/>
        </w:rPr>
        <w:t xml:space="preserve">贷款利息</w:t>
      </w:r>
      <w:r>
        <w:rPr>
          <w:rFonts w:ascii="宋体" w:hAnsi="宋体" w:cs="Courier New"/>
          <w:color w:val="000000"/>
          <w:sz w:val="24"/>
          <w:szCs w:val="24"/>
        </w:rPr>
        <w:t xml:space="preserve">及银行手续费等）。</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w:t>
      </w:r>
      <w:r>
        <w:rPr>
          <w:rFonts w:hint="eastAsia" w:ascii="宋体" w:hAnsi="宋体" w:cs="Courier New"/>
          <w:color w:val="000000"/>
          <w:sz w:val="24"/>
          <w:szCs w:val="24"/>
        </w:rPr>
        <w:t xml:space="preserve">为一</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rPr>
        <w:t xml:space="preserve">终身维修</w:t>
      </w:r>
      <w:r>
        <w:rPr>
          <w:rFonts w:ascii="宋体" w:hAnsi="宋体" w:cs="Courier New"/>
          <w:color w:val="000000"/>
          <w:sz w:val="24"/>
          <w:szCs w:val="24"/>
        </w:rPr>
        <w:t xml:space="preserve">，维修时只收部件成本费。</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5"/>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rPr>
          <w:rFonts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5"/>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5"/>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rPr>
        <w:t xml:space="preserve">及其他</w:t>
      </w:r>
      <w:r>
        <w:rPr>
          <w:rFonts w:ascii="宋体" w:hAnsi="宋体" w:cs="Courier New"/>
          <w:b/>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5"/>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5"/>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5"/>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5"/>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5"/>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5"/>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5"/>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color w:val="000000"/>
          <w:sz w:val="24"/>
          <w:szCs w:val="24"/>
        </w:rPr>
      </w:r>
      <w:r/>
    </w:p>
    <w:p>
      <w:pPr>
        <w:pStyle w:val="885"/>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885"/>
        <w:jc w:val="center"/>
        <w:spacing w:line="360" w:lineRule="auto"/>
        <w:rPr>
          <w:rFonts w:hint="eastAsia" w:hAnsi="宋体"/>
          <w:color w:val="000000"/>
          <w:sz w:val="36"/>
          <w:szCs w:val="36"/>
        </w:rPr>
        <w:outlineLvl w:val="0"/>
      </w:pPr>
      <w:r>
        <w:rPr>
          <w:rFonts w:ascii="宋体" w:hAnsi="宋体"/>
          <w:bCs/>
          <w:color w:val="000000"/>
          <w:sz w:val="24"/>
          <w:szCs w:val="24"/>
        </w:rPr>
        <w:br w:type="page" w:clear="all"/>
      </w:r>
      <w:bookmarkEnd w:id="179"/>
      <w:r/>
      <w:bookmarkEnd w:id="180"/>
      <w:r/>
      <w:bookmarkEnd w:id="181"/>
      <w:r/>
      <w:bookmarkStart w:id="182" w:name="_Hlt16619369"/>
      <w:r/>
      <w:bookmarkEnd w:id="182"/>
      <w:r/>
      <w:bookmarkStart w:id="183" w:name="_Hlt16619350"/>
      <w:r/>
      <w:bookmarkStart w:id="184" w:name="_Toc20823346"/>
      <w:r/>
      <w:bookmarkStart w:id="185" w:name="_Toc120614244"/>
      <w:r/>
      <w:bookmarkStart w:id="186" w:name="_Toc16938590"/>
      <w:r/>
      <w:bookmarkStart w:id="187" w:name="_Toc462564139"/>
      <w:r/>
      <w:bookmarkStart w:id="188" w:name="_Toc479757211"/>
      <w:r>
        <w:rPr>
          <w:rFonts w:hint="eastAsia" w:ascii="黑体" w:eastAsia="黑体"/>
          <w:bCs/>
          <w:color w:val="000000"/>
          <w:sz w:val="36"/>
          <w:szCs w:val="36"/>
        </w:rPr>
        <w:t xml:space="preserve">第</w:t>
      </w:r>
      <w:bookmarkEnd w:id="183"/>
      <w:r>
        <w:rPr>
          <w:rFonts w:hint="eastAsia" w:ascii="黑体" w:eastAsia="黑体"/>
          <w:bCs/>
          <w:color w:val="000000"/>
          <w:sz w:val="36"/>
          <w:szCs w:val="36"/>
        </w:rPr>
        <w:t xml:space="preserve">四章 采购需求</w:t>
      </w:r>
      <w:bookmarkEnd w:id="184"/>
      <w:r/>
      <w:bookmarkEnd w:id="185"/>
      <w:r/>
      <w:bookmarkEnd w:id="186"/>
      <w:r>
        <w:rPr>
          <w:rFonts w:hint="eastAsia" w:hAnsi="宋体"/>
          <w:color w:val="000000"/>
          <w:sz w:val="36"/>
          <w:szCs w:val="36"/>
        </w:rPr>
      </w:r>
      <w:r/>
    </w:p>
    <w:p>
      <w:pPr>
        <w:pStyle w:val="885"/>
        <w:ind w:firstLine="600"/>
        <w:jc w:val="left"/>
        <w:spacing w:line="360" w:lineRule="auto"/>
        <w:rPr>
          <w:rFonts w:hint="eastAsia" w:ascii="黑体" w:hAnsi="黑体" w:eastAsia="黑体"/>
          <w:color w:val="000000"/>
          <w:sz w:val="30"/>
          <w:szCs w:val="30"/>
        </w:rPr>
      </w:pPr>
      <w:r/>
      <w:bookmarkStart w:id="189" w:name="_Toc49090575"/>
      <w:r/>
      <w:bookmarkStart w:id="190" w:name="_Toc26554093"/>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8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5"/>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eastAsia="宋体" w:cs="宋体"/>
          <w:b/>
          <w:bCs/>
          <w:i w:val="0"/>
          <w:iCs w:val="0"/>
          <w:color w:val="000000"/>
          <w:sz w:val="24"/>
          <w:szCs w:val="24"/>
          <w:highlight w:val="none"/>
          <w:u w:val="none"/>
          <w:lang w:val="en-US" w:eastAsia="zh-CN" w:bidi="ar-SA"/>
        </w:rPr>
        <w:t xml:space="preserve">广域核心路由器</w:t>
      </w:r>
      <w:r>
        <w:rPr>
          <w:rFonts w:hint="eastAsia" w:ascii="宋体" w:hAnsi="宋体"/>
          <w:color w:val="000000"/>
          <w:sz w:val="24"/>
          <w:szCs w:val="24"/>
        </w:rPr>
        <w:t xml:space="preserve">为核心产品。</w:t>
      </w:r>
      <w:r>
        <w:rPr>
          <w:rFonts w:ascii="宋体" w:hAnsi="宋体"/>
          <w:color w:val="000000"/>
          <w:sz w:val="24"/>
          <w:szCs w:val="24"/>
        </w:rPr>
      </w:r>
      <w:r/>
    </w:p>
    <w:p>
      <w:pPr>
        <w:pStyle w:val="885"/>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一、采购标的需实现的功能或者目标，以及为落实政府采购政策需满足的要求；</w:t>
      </w:r>
      <w:r>
        <w:rPr>
          <w:rFonts w:hint="eastAsia" w:ascii="宋体" w:hAnsi="宋体" w:eastAsia="宋体" w:cs="宋体"/>
          <w:b/>
          <w:bCs/>
          <w:sz w:val="24"/>
          <w:szCs w:val="24"/>
          <w:lang w:val="en-US" w:eastAsia="zh-CN" w:bidi="ar-SA"/>
        </w:rPr>
      </w:r>
      <w:r/>
    </w:p>
    <w:p>
      <w:pPr>
        <w:pStyle w:val="885"/>
        <w:ind w:firstLine="482"/>
        <w:keepLines/>
        <w:keepNext/>
        <w:pageBreakBefore w:val="0"/>
        <w:spacing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（一）采购标的需实现的功能或者目标：</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滨湖区电子政务外网是国家和省、市电子政务外网的组成部分，服务于党委、人大、政府、政协、法院、检察院等</w:t>
      </w:r>
      <w:r>
        <w:rPr>
          <w:rFonts w:hint="eastAsia" w:ascii="宋体" w:hAnsi="宋体" w:eastAsia="宋体" w:cs="宋体"/>
          <w:sz w:val="24"/>
          <w:szCs w:val="24"/>
          <w:lang w:val="en-US" w:eastAsia="zh-CN" w:bidi="ar-SA"/>
        </w:rPr>
        <w:t xml:space="preserve">滨湖区各部门各单位，是满足其经济调节、市场监管、社会管理和公共服务等方面需要的政务网络。按照《国务院办公厅电子政务办公室关于推进国家电子政务外网互联网协议第六版（IPv6）改造工作的通知》《关于加快推进全省电子政务外网建设的意见》《电子政务外网建设规范》《关于加强全省新“一张网”高质量建设管理有关工作的通知》以及《关于加快推进全市新一代电子政务外网建设的通知》等政策文件、技术规范，以及无锡市数据局相关会议精神，需要对滨湖区人民政府网络进行提升改造，提高网络承载能力、业务保障能力、安全服务能力、统一运管能力。</w:t>
      </w:r>
      <w:r>
        <w:rPr>
          <w:rFonts w:hint="eastAsia" w:ascii="宋体" w:hAnsi="宋体" w:eastAsia="宋体" w:cs="宋体"/>
          <w:sz w:val="24"/>
          <w:szCs w:val="24"/>
          <w:lang w:val="en-US" w:eastAsia="zh-CN" w:bidi="ar-SA"/>
        </w:rPr>
      </w:r>
      <w:r/>
    </w:p>
    <w:p>
      <w:pPr>
        <w:pStyle w:val="885"/>
        <w:ind w:firstLine="482"/>
        <w:keepLines/>
        <w:keepNext/>
        <w:pageBreakBefore w:val="0"/>
        <w:spacing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（二）为落实政府采购政策需满足的要求：</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（1）本项目不专门面向中小企业（或监狱企业或残疾人福利单位）。</w:t>
      </w:r>
      <w:r>
        <w:rPr>
          <w:rFonts w:hint="eastAsia" w:ascii="宋体" w:hAnsi="宋体" w:eastAsia="宋体" w:cs="宋体"/>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二、采购标的需执行的国家相关标准、行业标准、地方标准或者其他标准、规范； </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本项目设计建设主要依据现行的法律法规、国家标准、行业标准、相关文件等进行建设，主要建设依据如下：</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（1）《中华人民共和国国民经济和社会发展第十四个五年规划和2035年远景目标纲要》</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（2）《习近平总书记在网络安全和信息化工作座谈会上的讲话》</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（3）《习近平总书记在主持中央政治局第三十六次集体学习时关于实施网络强国战略的讲话》</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（4）《中共中央政治局常务委员会2020年3月4日会议：加快5G网络、数据中心等新型基础设施建设进度》</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（5）《国家政务信息化项目建设管理办法》（国办发〔2019〕57号）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（6）《关于加快推进全国一体化在线政务服务平台建设的指导意见》（国发〔2018〕27号）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（7）《电子政务外网建设规范》（DB 32/T 3514.1—2019） </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（8）《国务院办公厅电子政务办公室关于推进国家电子政务外网互联网协议第六版（IPv6）改造工作的通知》（国办电政函〔2018〕70号）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（9）《加快推进落实〈政务信息系统整合共享实施方案〉工作方案》（发改高技〔2017〕1529号）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（10）《国务院关于印发政务信息资源共享管理暂行办法的通知》（国发〔2016〕51号）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（11）《关于加快新型信息基础设施建设扩大信息消费的若干政策措施》（苏政办发〔2020〕31号）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（12）《江苏省关于印发进一步推进互联网+政务服务深化不见面审批（服务）改革工作方案的通知》（苏政办发〔2018〕96号）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（13）《关于加快推进全省电子政务外网建设的意见》（苏政办发〔2016〕147号）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（14）《关于加强全省新“一张网”高质量建设管理有关工作的通知》（苏数发〔2025〕42 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（15）《关于加快推进全市新一代电子政务外网建设的通知》（无锡市数据局，2025年9月）</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（16）《江苏省大数据发展行动计划》（苏政发〔2016〕113号）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（17）《信息安全技术电子政务移动办公系统安全技术规范》（GB/T 35282-2017）</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（18）《关于加快推进全省政务服务系统整合工作的通知》（苏政务办发〔2022〕61 号）</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（19）《信息技术大数据系统运维和管理功能要求》（GB/T 38633-2020）</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（20）《信息技术大数据分析系统功能要求》（GB/T 37721-2019）</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（21）《政务外网一机两用安全管控技术指南》（GW0015-2022）</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（22）《信息安全技术网络安全等级保护基本要求》（GB/T22239-2019）</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（23）《信息安全技术网络安全等级保护测评要求》（GB/T28448-2019）</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（24）《信息安全技术网络安全等级保护安全设计技术要求》（GB/T25070-2019）</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（25）《电子政务外网 5G平面和IPv6网络技术规范 第1部分：5G平面网络建设》（DB32/T 4617.1—2023）</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（26）《电子政务外网 5G平面和IPv6网络技术规范 第2部分：5G平面安全要求》（DB32/T 4617.2—2023）</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（27）《电子政务外网 5G平面和IPv6网络技术规范 第3部分：IPv6部署要求》（DB32/T 4617.3—2023）</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（28）《电子政务外网 5G平面和IPv6网络技术规范 第4部分：IPv6地址及路由规划》（DB32/T 4617.4—2023）</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（29）《电子政务外网 安全大数据和运维保障平台接入规范 第1部分：安全大数据平台》（DB32/T 4318.1-2022）</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（30）《电子政务外网 安全大数据和运维保障平台接入规范 第2部分：运维保障平台》（DB32/T 4318.2-2022）</w:t>
      </w:r>
      <w:r>
        <w:rPr>
          <w:rFonts w:hint="eastAsia" w:ascii="宋体" w:hAnsi="宋体" w:eastAsia="宋体" w:cs="宋体"/>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三、采购标的需满足的质量、安全、技术规格、物理特性等要求； </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本项目旨在针对滨湖区政府一号院、二号院的网络系统，按二级等保及下一代电子政务外网建设要求进行网络改造，建设内容主要包括网络设备更新换代、网络安全设备升级替代、网络结构优化等。</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主要内容包括：</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（1）统一城运中心、一号院和二号院互联网和政务网出口，规划统一出口网络拓扑，调整网络链路，替换区政府核心机房老旧且性能不足的核心、汇聚及关键接入层网络设备，消除故障隐患。</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解决现有安全设备功能缺失问题，建立基础的边界防护、威胁检测和日志审计能力，初步达到网络安全等级保护二级基本要求。在互联网出口边界新建下一代防火墙、运维管理区新建防火墙1台并启用基础安全策略（防病毒、入侵防御等）。</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新增网络安全分析审计系统，形成基础的网络威胁检测和异常流量分析能力，同时梳理并完善基础安全策略。</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（3）按照《江苏省新一代电子政务外网运行管理体系省市对接技术要求》，</w:t>
      </w:r>
      <w:r>
        <w:rPr>
          <w:rFonts w:hint="eastAsia" w:ascii="宋体" w:hAnsi="宋体" w:eastAsia="宋体" w:cs="宋体"/>
          <w:sz w:val="24"/>
          <w:szCs w:val="24"/>
          <w:highlight w:val="none"/>
          <w:lang w:val="en-US" w:eastAsia="zh-CN" w:bidi="ar-SA"/>
        </w:rPr>
        <w:t xml:space="preserve">完成区县骨干网与省、市网对接，</w:t>
      </w:r>
      <w:r>
        <w:rPr>
          <w:rFonts w:hint="eastAsia" w:ascii="宋体" w:hAnsi="宋体" w:eastAsia="宋体" w:cs="宋体"/>
          <w:sz w:val="24"/>
          <w:szCs w:val="24"/>
          <w:lang w:val="en-US" w:eastAsia="zh-CN" w:bidi="ar-SA"/>
        </w:rPr>
        <w:t xml:space="preserve">建成数字化智能化的运营级网络。</w:t>
      </w:r>
      <w:r>
        <w:rPr>
          <w:rFonts w:hint="eastAsia" w:ascii="宋体" w:hAnsi="宋体" w:eastAsia="宋体" w:cs="宋体"/>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四、采购标的的数量、采购项目交付或者实施的时间和地点；</w:t>
      </w:r>
      <w:r>
        <w:rPr>
          <w:rFonts w:hint="eastAsia" w:ascii="宋体" w:hAnsi="宋体" w:eastAsia="宋体" w:cs="宋体"/>
          <w:b/>
          <w:bCs/>
          <w:sz w:val="24"/>
          <w:szCs w:val="24"/>
          <w:lang w:val="en-US" w:eastAsia="zh-CN" w:bidi="ar-SA"/>
        </w:rPr>
      </w:r>
      <w:r/>
    </w:p>
    <w:p>
      <w:pPr>
        <w:pStyle w:val="885"/>
        <w:ind w:firstLine="482"/>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（一）采购标的的数量：</w:t>
      </w:r>
      <w:r>
        <w:rPr>
          <w:rFonts w:hint="eastAsia" w:ascii="宋体" w:hAnsi="宋体" w:eastAsia="宋体" w:cs="宋体"/>
          <w:b/>
          <w:bCs/>
          <w:sz w:val="24"/>
          <w:szCs w:val="24"/>
          <w:lang w:val="en-US" w:eastAsia="zh-CN" w:bidi="ar-SA"/>
        </w:rPr>
      </w:r>
      <w:r/>
    </w:p>
    <w:tbl>
      <w:tblPr>
        <w:tblW w:w="53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276"/>
        <w:gridCol w:w="6608"/>
        <w:gridCol w:w="699"/>
        <w:gridCol w:w="790"/>
      </w:tblGrid>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color w:val="000000"/>
                <w:sz w:val="24"/>
                <w:szCs w:val="24"/>
                <w:highlight w:val="none"/>
              </w:rPr>
            </w:r>
            <w:r/>
          </w:p>
        </w:tc>
        <w:tc>
          <w:tcPr>
            <w:tcW w:w="64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分项名称</w:t>
            </w:r>
            <w:r>
              <w:rPr>
                <w:rFonts w:hint="eastAsia" w:ascii="宋体" w:hAnsi="宋体" w:eastAsia="宋体" w:cs="宋体"/>
                <w:b/>
                <w:bCs/>
                <w:color w:val="000000"/>
                <w:sz w:val="24"/>
                <w:szCs w:val="24"/>
                <w:highlight w:val="none"/>
              </w:rPr>
            </w:r>
            <w:r/>
          </w:p>
        </w:tc>
        <w:tc>
          <w:tcPr>
            <w:tcW w:w="335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性能指标</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both"/>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ascii="宋体" w:hAnsi="宋体" w:eastAsia="宋体" w:cs="宋体"/>
                <w:b/>
                <w:bCs/>
                <w:i w:val="0"/>
                <w:iCs w:val="0"/>
                <w:color w:val="000000"/>
                <w:sz w:val="24"/>
                <w:szCs w:val="24"/>
                <w:highlight w:val="none"/>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w:t>
            </w:r>
            <w:r>
              <w:rPr>
                <w:rFonts w:hint="eastAsia" w:ascii="宋体" w:hAnsi="宋体" w:eastAsia="宋体" w:cs="宋体"/>
                <w:b/>
                <w:bCs/>
                <w:color w:val="000000"/>
                <w:sz w:val="24"/>
                <w:szCs w:val="24"/>
                <w:highlight w:val="none"/>
              </w:rPr>
            </w:r>
            <w:r/>
          </w:p>
        </w:tc>
        <w:tc>
          <w:tcPr>
            <w:gridSpan w:val="2"/>
            <w:tcW w:w="7884" w:type="dxa"/>
            <w:vAlign w:val="center"/>
            <w:textDirection w:val="lrTb"/>
            <w:noWrap/>
          </w:tcPr>
          <w:p>
            <w:pPr>
              <w:pStyle w:val="885"/>
              <w:jc w:val="both"/>
              <w:rPr>
                <w:rFonts w:hint="eastAsia" w:ascii="宋体" w:hAnsi="宋体" w:eastAsia="宋体" w:cs="宋体"/>
                <w:b/>
                <w:bCs/>
                <w:color w:val="000000"/>
                <w:sz w:val="24"/>
                <w:szCs w:val="24"/>
                <w:highlight w:val="none"/>
              </w:rPr>
            </w:pPr>
            <w:r>
              <w:rPr>
                <w:rFonts w:hint="eastAsia" w:ascii="宋体" w:hAnsi="宋体" w:eastAsia="宋体" w:cs="宋体"/>
                <w:b/>
                <w:bCs/>
                <w:i w:val="0"/>
                <w:iCs w:val="0"/>
                <w:color w:val="000000"/>
                <w:sz w:val="22"/>
                <w:szCs w:val="22"/>
                <w:highlight w:val="none"/>
                <w:u w:val="none"/>
                <w:lang w:val="en-US" w:eastAsia="zh-CN" w:bidi="ar"/>
              </w:rPr>
              <w:t xml:space="preserve">网络设备</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401" w:type="dxa"/>
            <w:vAlign w:val="center"/>
            <w:textDirection w:val="lrTb"/>
            <w:noWrap/>
          </w:tcPr>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398"/>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广域核心路由器</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1、交换容量≥230Tbps，包转发率≥54000Mpps；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2、国产化CPU和转发芯片，自主可控。采用双主控架构，电源、风扇等部件冗余设计，支持主控交换板卡、电源、风扇、业务板卡热插拔；整机线卡槽位数≥6个；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网络切片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4、设备支持100GE、50GE、40GE、25GE、10GE、GE、FE、E1、POS、CPOS等接口类型；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5、支持RIP、RIPng、OSPF、OSPFV3、IS-IS、IS-ISV6、BGP、BGPv6、静态路由、IPv4组播、IPv6组播、组播静态等路由协议；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7、支持动态下发EVPN IPv4 L3VPN/VPWS over SRv6 TE policy功能，实现SRv6承载L3VPN/L2VPN业务场景；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8、支持基于硬件的BFD故障探测技术，支持最小发包间隔5ms；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9、支持全面的快速重路由FRR功能：IP/IPv6/LDP/TE/VPN/VPNv6 FRR，倒换时间均≤50ms；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10、支持VRRP、Eth-Trunk、E-Trunk等可靠性技术；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11、支持Telemetry，可实现从设备高速采集数据，支持对随流检测获取到的性能数据进行可视化的运维管理；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12、单台配置：双主控，双电源，10个万兆光接口,含10个万兆单模光模块；实配SR, RSVP-TE, MPLS-TE, VxLAN, HQoS, L3VPN, EVPN, RFC2544,SRV6等功能。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color w:val="000000"/>
                <w:sz w:val="22"/>
                <w:szCs w:val="22"/>
                <w:highlight w:val="none"/>
                <w:lang w:bidi="ar"/>
              </w:rPr>
              <w:t xml:space="preserve">提供五年原厂硬件质保服务和软件升级服务</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ascii="宋体" w:hAnsi="宋体" w:eastAsia="宋体" w:cs="宋体"/>
                <w:i w:val="0"/>
                <w:iCs w:val="0"/>
                <w:color w:val="000000"/>
                <w:sz w:val="22"/>
                <w:szCs w:val="22"/>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1、交换容量≥100Tbps，包转发率≥76800 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2、国产化CPU和转发芯片，自主可控。硬件架构：主控引擎≥2；整机业务板槽位数≥4；主控槽位与业务线卡槽位宽度相同，为全宽槽位；支持颗粒化电源，整机电源槽位数≥6；采用前进后出风道设计；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3、符合江苏省电子政务外网技术规范要求；采用网络切片技术为IPv6业务提供确定性带宽保障，支持同一个共享的网络基础设施上提供多个逻辑网络（切片），实配SRV6，网络切片等功能；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4、整机MAC地址≥384K，ARP表项≥140000，ND表项≥80000；IPv4路由转发FIB表项≥256K，IPv6路由转发FIB表项≥80K；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5、支持静态路由、RIP、RIPng、OSPF、OSPFv3、BGP、BGP4+、ISIS、ISISv6；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6、支持SRV6 BE技术；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7、支持真实业务流的实时检测技术，秒级快速故障定位；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8、支持硬件BFD/OAM，3.3ms稳定均匀发包检测，提高设备的可靠性；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9、单台实配：双主控，双电源，48个千兆电口，48个10G光口，堆叠线缆。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bidi="ar"/>
              </w:rPr>
              <w:t xml:space="preserve">提供五年原厂硬件质保服务和软件升级服务。</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汇聚交换机</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1、交换容量≥688Gbps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2、转发性能≥207Mpps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3、配置要求：≥48个100/1000BASE-X SFP口，≥6个1/10GE SFP+口，冗余电源，风扇≥3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4、支持完善的堆叠分裂检测机制，堆叠分裂后能自动完成MAC和IP地址的重配置，无需手动干预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5、支持SNMP V1/V2/V3、RMON、SSHV2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6、支持802.1x认证，支持集中式MAC地址认证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7、支持基于端口和VLAN的ACL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8、支持Smartlink，收敛时间≤50ms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9、五年硬件质保。</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2、转发性能≥166Mpps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3、接口要求：≥48个10/100/1000BASE-T电口，≥4个1000 BASE-X SFP端口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4、无风扇静音设计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5、支持CPU保护功能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6、支持RRPP（快速环网保护协议），环网故障恢复时间不超过50ms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7、支持基于端口的VLAN，支持基于协议的VLAN，支持基于MAC的VLAN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8、支持本地端口镜像和远程端口镜像，支持流镜像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9、五年硬件质保。</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万兆单模光模块</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SFP+ 万兆单模模块</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千兆多模光模块</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光模块-SFP-GE-多模模块</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千兆单模光模块</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光模块-SFP-GE-单模模块</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堆叠线缆,1G</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b/>
                <w:bCs/>
                <w:color w:val="000000"/>
                <w:sz w:val="24"/>
                <w:szCs w:val="24"/>
                <w:highlight w:val="none"/>
              </w:rPr>
            </w:r>
            <w:r/>
          </w:p>
        </w:tc>
        <w:tc>
          <w:tcPr>
            <w:tcW w:w="64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w:t>
            </w:r>
            <w:r>
              <w:rPr>
                <w:rFonts w:hint="eastAsia" w:ascii="宋体" w:hAnsi="宋体" w:eastAsia="宋体" w:cs="宋体"/>
                <w:b/>
                <w:bCs/>
                <w:color w:val="000000"/>
                <w:sz w:val="24"/>
                <w:szCs w:val="24"/>
                <w:highlight w:val="none"/>
              </w:rPr>
            </w:r>
            <w:r/>
          </w:p>
        </w:tc>
        <w:tc>
          <w:tcPr>
            <w:tcW w:w="3359"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堆叠线缆,10G</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color w:val="000000"/>
                <w:sz w:val="24"/>
                <w:szCs w:val="24"/>
                <w:highlight w:val="none"/>
              </w:rPr>
            </w:r>
            <w:r/>
          </w:p>
        </w:tc>
      </w:tr>
      <w:tr>
        <w:trPr>
          <w:trHeight w:val="51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w:t>
            </w:r>
            <w:r>
              <w:rPr>
                <w:rFonts w:hint="eastAsia" w:ascii="宋体" w:hAnsi="宋体" w:eastAsia="宋体" w:cs="宋体"/>
                <w:color w:val="000000"/>
                <w:sz w:val="24"/>
                <w:szCs w:val="24"/>
                <w:highlight w:val="none"/>
              </w:rPr>
            </w:r>
            <w:r/>
          </w:p>
        </w:tc>
        <w:tc>
          <w:tcPr>
            <w:gridSpan w:val="2"/>
            <w:tcW w:w="7884" w:type="dxa"/>
            <w:vAlign w:val="center"/>
            <w:textDirection w:val="lrTb"/>
            <w:noWrap w:val="false"/>
          </w:tcPr>
          <w:p>
            <w:pPr>
              <w:pStyle w:val="885"/>
              <w:jc w:val="left"/>
              <w:rPr>
                <w:rFonts w:hint="eastAsia" w:ascii="宋体" w:hAnsi="宋体" w:eastAsia="宋体" w:cs="宋体"/>
                <w:color w:val="000000"/>
                <w:sz w:val="24"/>
                <w:szCs w:val="24"/>
                <w:highlight w:val="none"/>
              </w:rPr>
            </w:pPr>
            <w:r>
              <w:rPr>
                <w:rFonts w:hint="eastAsia" w:ascii="宋体" w:hAnsi="宋体" w:eastAsia="宋体" w:cs="宋体"/>
                <w:b/>
                <w:bCs/>
                <w:i w:val="0"/>
                <w:iCs w:val="0"/>
                <w:color w:val="000000"/>
                <w:sz w:val="22"/>
                <w:szCs w:val="22"/>
                <w:highlight w:val="none"/>
                <w:u w:val="none"/>
                <w:lang w:val="en-US" w:eastAsia="zh-CN" w:bidi="ar"/>
              </w:rPr>
              <w:t xml:space="preserve">安全设备</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 w:type="dxa"/>
            <w:vAlign w:val="center"/>
            <w:textDirection w:val="lrTb"/>
            <w:noWrap w:val="false"/>
          </w:tcPr>
          <w:p>
            <w:pPr>
              <w:pStyle w:val="88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698"/>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互联网防火墙</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标准2U设备，冗余电源；标配≥7个10/100/1000M Base-TX；4个千兆SFP接口，4个万兆口，1个空余扩展槽位；支持下一代防火墙访问控制、入侵防护、防病毒、应用识别功能；支持IPSec VPN和SSL VPN模块；整体网络吞吐量≥60Gbps，开启防火墙入侵防护+防病毒+应用识别功能吞吐量≥35Gbps。最大并发连接数≥900万，每秒新建连接数≥30万/秒。支持双互联网出口，DNS代理。5年硬件质保及5年入侵防护、防病毒、应用识别特征库升级服务。</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rPr>
            </w:r>
            <w:r/>
          </w:p>
        </w:tc>
      </w:tr>
      <w:tr>
        <w:trPr>
          <w:trHeight w:val="1415"/>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安全管理防火墙</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2U标准设备，双电源；设备配置≥6个千兆电口，2个千兆光口，2个万兆光口，2个接口扩展槽；支持下一代防火墙访问控制、入侵防御、网络防病毒、上网行为及URL分类管理、流控，支持IPSec VPN和SSL VPN模块；网络吞吐量≥8Gbps，开启防火墙入侵防护+防病毒+应用识别功能吞吐量≥5Gbps。最大并发连接数≥20万，每秒新建连接数≥7万/秒。5年硬件质保及5年入侵防护、防病毒、应用识别特征库升级服务。</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w:t>
            </w:r>
            <w:r>
              <w:rPr>
                <w:rFonts w:hint="eastAsia" w:ascii="宋体" w:hAnsi="宋体" w:eastAsia="宋体" w:cs="宋体"/>
                <w:b/>
                <w:bCs/>
                <w:color w:val="000000"/>
                <w:sz w:val="24"/>
                <w:szCs w:val="24"/>
                <w:highlight w:val="none"/>
              </w:rPr>
            </w:r>
            <w:r/>
          </w:p>
        </w:tc>
        <w:tc>
          <w:tcPr>
            <w:gridSpan w:val="2"/>
            <w:tcW w:w="7884" w:type="dxa"/>
            <w:vAlign w:val="center"/>
            <w:textDirection w:val="lrTb"/>
            <w:noWrap/>
          </w:tcPr>
          <w:p>
            <w:pPr>
              <w:pStyle w:val="885"/>
              <w:jc w:val="left"/>
              <w:rPr>
                <w:rFonts w:ascii="宋体" w:hAnsi="宋体" w:eastAsia="宋体" w:cs="宋体"/>
                <w:b/>
                <w:bCs/>
                <w:color w:val="000000"/>
                <w:sz w:val="24"/>
                <w:szCs w:val="24"/>
                <w:highlight w:val="none"/>
                <w:lang w:val="en-US"/>
              </w:rPr>
            </w:pPr>
            <w:r>
              <w:rPr>
                <w:rFonts w:hint="eastAsia" w:ascii="宋体" w:hAnsi="宋体" w:eastAsia="宋体" w:cs="宋体"/>
                <w:b/>
                <w:bCs/>
                <w:i w:val="0"/>
                <w:iCs w:val="0"/>
                <w:color w:val="000000"/>
                <w:sz w:val="22"/>
                <w:szCs w:val="22"/>
                <w:highlight w:val="none"/>
                <w:u w:val="none"/>
                <w:lang w:val="en-US" w:eastAsia="zh-CN" w:bidi="ar"/>
              </w:rPr>
              <w:t xml:space="preserve">主机设备</w:t>
            </w:r>
            <w:r>
              <w:rPr>
                <w:rFonts w:ascii="宋体" w:hAnsi="宋体" w:eastAsia="宋体" w:cs="宋体"/>
                <w:b/>
                <w:bCs/>
                <w:color w:val="000000"/>
                <w:sz w:val="24"/>
                <w:szCs w:val="24"/>
                <w:highlight w:val="none"/>
                <w:lang w:val="en-US"/>
              </w:rPr>
            </w:r>
            <w:r/>
          </w:p>
        </w:tc>
        <w:tc>
          <w:tcPr>
            <w:tcW w:w="355" w:type="dxa"/>
            <w:vAlign w:val="center"/>
            <w:textDirection w:val="lrTb"/>
            <w:noWrap/>
          </w:tcPr>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401" w:type="dxa"/>
            <w:vAlign w:val="center"/>
            <w:textDirection w:val="lrTb"/>
            <w:noWrap/>
          </w:tcPr>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b/>
                <w:bCs/>
                <w:color w:val="000000"/>
                <w:sz w:val="24"/>
                <w:szCs w:val="24"/>
                <w:highlight w:val="none"/>
              </w:rPr>
            </w:r>
            <w:r/>
          </w:p>
        </w:tc>
        <w:tc>
          <w:tcPr>
            <w:tcW w:w="64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超融合一体机</w:t>
            </w:r>
            <w:r>
              <w:rPr>
                <w:rFonts w:hint="eastAsia" w:ascii="宋体" w:hAnsi="宋体" w:eastAsia="宋体" w:cs="宋体"/>
                <w:b/>
                <w:bCs/>
                <w:color w:val="000000"/>
                <w:sz w:val="24"/>
                <w:szCs w:val="24"/>
                <w:highlight w:val="none"/>
              </w:rPr>
            </w:r>
            <w:r/>
          </w:p>
        </w:tc>
        <w:tc>
          <w:tcPr>
            <w:tcW w:w="3359"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国产C86处理器 2.5GHz（16C）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32 GB DDR4 * 16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480GB 读密集型 SATA 6Gb SSD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1.92TB 读写密集 SATA 6Gb SSD * 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 TB 7.2K SATA 6Gb HDD * 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(RAID1模式，连接系统盘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(直通模式，连接缓存盘、容量盘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800W 冗余热插拔电源(1+1)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双口万兆以太网卡 (SFP+接口） * 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四口千兆以太网卡 (RJ45接口）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万兆多模SFP+ 光纤模块 * 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含超融合软件，提供计算</w:t>
            </w:r>
            <w:r>
              <w:rPr>
                <w:rFonts w:hint="eastAsia" w:ascii="宋体" w:hAnsi="宋体" w:eastAsia="宋体" w:cs="宋体"/>
                <w:i w:val="0"/>
                <w:iCs w:val="0"/>
                <w:color w:val="000000"/>
                <w:sz w:val="22"/>
                <w:szCs w:val="22"/>
                <w:highlight w:val="none"/>
                <w:u w:val="none"/>
                <w:lang w:val="en-US" w:eastAsia="zh-CN" w:bidi="ar"/>
              </w:rPr>
              <w:t xml:space="preserve">虚拟化，包含自定义CPU配置、CPU QoS、虚拟机热迁移、主机聚合组、故障检测及恢复、故障疏散优先级等功能；提供存储虚拟化，包含无损快照、精简配置、QoS、自定义磁盘页面大小、数据压缩级别、多副本、重建优先级、iSCSI虚拟卷、在线扩展等功能；提供网络虚拟化，包含虚拟网络、安全组、双栈网络、多业务网等功能；提供运维管理功能，包含硬件管理、大屏监控、一键巡检、回收站等功能；支持API、P2V迁移、V2V迁移、可视化部署、无代理备份等功能。含5年7*24技术支持，同版本产品更新与升级，标准硬件服务，五年维保。</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超融合一体机利旧改造</w:t>
            </w:r>
            <w:r>
              <w:rPr>
                <w:rFonts w:hint="eastAsia" w:ascii="宋体" w:hAnsi="宋体" w:eastAsia="宋体" w:cs="宋体"/>
                <w:color w:val="000000"/>
                <w:sz w:val="24"/>
                <w:szCs w:val="24"/>
                <w:highlight w:val="none"/>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480GB 读密集型 SATA 6Gb SSD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 TB 7.2K SATA 6Gb HDD * 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(直通模式，连接缓存盘、容量盘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四口万兆以太网卡 (SFP+接口）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四口千兆以太网卡 (RJ45接口）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万兆多模SFP+ 光纤模块 *  4</w:t>
            </w:r>
            <w:r>
              <w:rPr>
                <w:rFonts w:hint="eastAsia" w:ascii="宋体" w:hAnsi="宋体" w:eastAsia="宋体" w:cs="宋体"/>
                <w:color w:val="000000"/>
                <w:sz w:val="22"/>
                <w:szCs w:val="22"/>
                <w:highlight w:val="none"/>
              </w:rPr>
            </w:r>
            <w:r/>
          </w:p>
        </w:tc>
        <w:tc>
          <w:tcPr>
            <w:tcW w:w="35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w:t>
            </w:r>
            <w:r>
              <w:rPr>
                <w:rFonts w:hint="eastAsia" w:ascii="宋体" w:hAnsi="宋体" w:eastAsia="宋体" w:cs="宋体"/>
                <w:i w:val="0"/>
                <w:iCs w:val="0"/>
                <w:color w:val="000000"/>
                <w:sz w:val="22"/>
                <w:szCs w:val="22"/>
                <w:highlight w:val="none"/>
                <w:u w:val="none"/>
                <w:lang w:val="en-US" w:eastAsia="zh-CN" w:bidi="ar"/>
              </w:rPr>
            </w:r>
            <w:r/>
          </w:p>
        </w:tc>
        <w:tc>
          <w:tcPr>
            <w:gridSpan w:val="2"/>
            <w:tcW w:w="7884" w:type="dxa"/>
            <w:vAlign w:val="center"/>
            <w:textDirection w:val="lrTb"/>
            <w:noWrap w:val="false"/>
          </w:tcPr>
          <w:p>
            <w:pPr>
              <w:pStyle w:val="885"/>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软件</w:t>
            </w:r>
            <w:r>
              <w:rPr>
                <w:rFonts w:hint="eastAsia" w:ascii="宋体" w:hAnsi="宋体" w:eastAsia="宋体" w:cs="宋体"/>
                <w:i w:val="0"/>
                <w:iCs w:val="0"/>
                <w:color w:val="000000"/>
                <w:sz w:val="22"/>
                <w:szCs w:val="22"/>
                <w:highlight w:val="none"/>
                <w:u w:val="none"/>
                <w:lang w:val="en-US" w:eastAsia="zh-CN" w:bidi="ar"/>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34" w:type="dxa"/>
            <w:vAlign w:val="center"/>
            <w:textDirection w:val="lrTb"/>
            <w:noWrap w:val="false"/>
          </w:tcPr>
          <w:p>
            <w:pPr>
              <w:pStyle w:val="885"/>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648"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网络安全分析审计系统</w:t>
            </w:r>
            <w:r>
              <w:rPr>
                <w:rFonts w:hint="eastAsia" w:ascii="宋体" w:hAnsi="宋体" w:eastAsia="宋体" w:cs="宋体"/>
                <w:i w:val="0"/>
                <w:iCs w:val="0"/>
                <w:color w:val="000000"/>
                <w:sz w:val="22"/>
                <w:szCs w:val="22"/>
                <w:highlight w:val="none"/>
                <w:u w:val="none"/>
                <w:lang w:val="en-US" w:eastAsia="zh-CN" w:bidi="ar"/>
              </w:rPr>
            </w:r>
            <w:r/>
          </w:p>
        </w:tc>
        <w:tc>
          <w:tcPr>
            <w:tcW w:w="3359"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软件版，流量授权：5Gbps；</w:t>
            </w:r>
            <w:r>
              <w:rPr>
                <w:rFonts w:hint="eastAsia" w:ascii="宋体" w:hAnsi="宋体" w:eastAsia="宋体" w:cs="宋体"/>
                <w:color w:val="000000"/>
                <w:sz w:val="22"/>
                <w:szCs w:val="22"/>
                <w:highlight w:val="none"/>
                <w:lang w:bidi="ar"/>
              </w:rPr>
              <w:t xml:space="preserve">存储授权</w:t>
            </w:r>
            <w:r>
              <w:rPr>
                <w:rFonts w:hint="eastAsia" w:ascii="宋体" w:hAnsi="宋体" w:eastAsia="宋体" w:cs="宋体"/>
                <w:color w:val="000000"/>
                <w:sz w:val="22"/>
                <w:szCs w:val="22"/>
                <w:highlight w:val="none"/>
                <w:lang w:val="en-US" w:eastAsia="zh-CN" w:bidi="ar"/>
              </w:rPr>
              <w:t xml:space="preserve">不低于</w:t>
            </w:r>
            <w:r>
              <w:rPr>
                <w:rFonts w:hint="eastAsia" w:ascii="宋体" w:hAnsi="宋体" w:eastAsia="宋体" w:cs="宋体"/>
                <w:color w:val="000000"/>
                <w:sz w:val="22"/>
                <w:szCs w:val="22"/>
                <w:highlight w:val="none"/>
                <w:lang w:bidi="ar"/>
              </w:rPr>
              <w:t xml:space="preserve">64TB，含四个采集口</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实现网络关键节点流量的采集、检测分析，发现和分析内网问题主机，内网攻击，全流量实时存储与分析，元数据行为建模，原始数据包的协议解码分析，支持50多种流量分析指标（源IP、源端口、源IP国家、目的IP、目的端口、目的IP国家、协议、数据包类型，数据包个数、会话开始时间、会话结束时间、会话持续时间等）、会话还原、文件还原，异常行为及安全事件的全流量的回溯取证，告警的分析研判，支持威胁情报的导入，流量的动态基线分析，深度包检测，L7深度行为分析。</w:t>
            </w:r>
            <w:r>
              <w:rPr>
                <w:rFonts w:hint="eastAsia" w:ascii="宋体" w:hAnsi="宋体" w:eastAsia="宋体" w:cs="宋体"/>
                <w:i w:val="0"/>
                <w:iCs w:val="0"/>
                <w:color w:val="000000"/>
                <w:sz w:val="22"/>
                <w:szCs w:val="22"/>
                <w:highlight w:val="none"/>
                <w:u w:val="none"/>
                <w:lang w:val="en-US" w:eastAsia="zh-CN" w:bidi="ar"/>
              </w:rPr>
            </w:r>
            <w:r/>
          </w:p>
          <w:p>
            <w:pPr>
              <w:pStyle w:val="885"/>
              <w:jc w:val="left"/>
              <w:keepLines w:val="0"/>
              <w:keepNext w:val="0"/>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系统须按照相关标准和要求开放 API接口。</w:t>
            </w:r>
            <w:r>
              <w:rPr>
                <w:rFonts w:hint="eastAsia" w:ascii="宋体" w:hAnsi="宋体" w:eastAsia="宋体" w:cs="宋体"/>
                <w:color w:val="000000"/>
                <w:sz w:val="22"/>
                <w:szCs w:val="22"/>
                <w:highlight w:val="none"/>
                <w:lang w:bidi="ar"/>
              </w:rPr>
            </w:r>
            <w:r/>
          </w:p>
          <w:p>
            <w:pPr>
              <w:pStyle w:val="885"/>
              <w:jc w:val="left"/>
              <w:keepLines w:val="0"/>
              <w:keepNext w:val="0"/>
              <w:widowControl/>
              <w:rPr>
                <w:rFonts w:hint="eastAsia" w:ascii="宋体" w:hAnsi="宋体" w:eastAsia="宋体" w:cs="宋体"/>
                <w:b w:val="0"/>
                <w:bCs w:val="0"/>
                <w:color w:val="000000"/>
                <w:sz w:val="22"/>
                <w:szCs w:val="22"/>
                <w:highlight w:val="none"/>
                <w:lang w:eastAsia="zh-CN" w:bidi="ar"/>
              </w:rPr>
            </w:pPr>
            <w:r>
              <w:rPr>
                <w:rFonts w:hint="eastAsia" w:ascii="宋体" w:hAnsi="宋体" w:eastAsia="宋体" w:cs="宋体"/>
                <w:b w:val="0"/>
                <w:bCs w:val="0"/>
                <w:color w:val="000000"/>
                <w:sz w:val="22"/>
                <w:szCs w:val="22"/>
                <w:highlight w:val="none"/>
                <w:lang w:val="en-US" w:eastAsia="zh-CN" w:bidi="ar"/>
              </w:rPr>
              <w:t xml:space="preserve">1、</w:t>
            </w:r>
            <w:r>
              <w:rPr>
                <w:rFonts w:hint="eastAsia" w:ascii="宋体" w:hAnsi="宋体" w:eastAsia="宋体" w:cs="宋体"/>
                <w:b w:val="0"/>
                <w:bCs w:val="0"/>
                <w:color w:val="000000"/>
                <w:sz w:val="22"/>
                <w:szCs w:val="22"/>
                <w:highlight w:val="none"/>
                <w:lang w:bidi="ar"/>
              </w:rPr>
              <w:t xml:space="preserve">系统兼容国产硬件和操作系统，</w:t>
            </w:r>
            <w:r>
              <w:rPr>
                <w:rFonts w:hint="eastAsia" w:ascii="宋体" w:hAnsi="宋体" w:eastAsia="宋体" w:cs="宋体"/>
                <w:b w:val="0"/>
                <w:bCs w:val="0"/>
                <w:color w:val="000000"/>
                <w:sz w:val="22"/>
                <w:szCs w:val="22"/>
                <w:highlight w:val="none"/>
                <w:lang w:val="en-US" w:eastAsia="zh-CN" w:bidi="ar"/>
              </w:rPr>
              <w:t xml:space="preserve">如</w:t>
            </w:r>
            <w:r>
              <w:rPr>
                <w:rFonts w:hint="eastAsia" w:ascii="宋体" w:hAnsi="宋体" w:eastAsia="宋体" w:cs="宋体"/>
                <w:b w:val="0"/>
                <w:bCs w:val="0"/>
                <w:color w:val="000000"/>
                <w:sz w:val="22"/>
                <w:szCs w:val="22"/>
                <w:highlight w:val="none"/>
                <w:lang w:bidi="ar"/>
              </w:rPr>
              <w:t xml:space="preserve">CPU：海光系列、鲲鹏系列</w:t>
            </w:r>
            <w:r>
              <w:rPr>
                <w:rFonts w:hint="eastAsia" w:ascii="宋体" w:hAnsi="宋体" w:eastAsia="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bidi="ar"/>
              </w:rPr>
              <w:t xml:space="preserve">操作系统：麒麟v10、统信UOS、OpenEuler等</w:t>
            </w:r>
            <w:r>
              <w:rPr>
                <w:rFonts w:hint="eastAsia" w:ascii="宋体" w:hAnsi="宋体" w:eastAsia="宋体" w:cs="宋体"/>
                <w:b w:val="0"/>
                <w:bCs w:val="0"/>
                <w:color w:val="000000"/>
                <w:sz w:val="22"/>
                <w:szCs w:val="22"/>
                <w:highlight w:val="none"/>
                <w:lang w:eastAsia="zh-CN" w:bidi="ar"/>
              </w:rPr>
              <w:t xml:space="preserve">。</w:t>
            </w:r>
            <w:r>
              <w:rPr>
                <w:rFonts w:hint="eastAsia" w:ascii="宋体" w:hAnsi="宋体" w:eastAsia="宋体" w:cs="宋体"/>
                <w:b w:val="0"/>
                <w:bCs w:val="0"/>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2、</w:t>
            </w:r>
            <w:r>
              <w:rPr>
                <w:rFonts w:hint="eastAsia" w:ascii="宋体" w:hAnsi="宋体" w:eastAsia="宋体" w:cs="宋体"/>
                <w:color w:val="000000"/>
                <w:sz w:val="22"/>
                <w:szCs w:val="22"/>
                <w:highlight w:val="none"/>
                <w:lang w:bidi="ar"/>
              </w:rPr>
              <w:t xml:space="preserve">支持IPv4和IPv6双栈环境部署，支持同时分析和处理IPv4和IPv6流量的同等处理分析能力</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3、</w:t>
            </w:r>
            <w:r>
              <w:rPr>
                <w:rFonts w:hint="eastAsia" w:ascii="宋体" w:hAnsi="宋体" w:eastAsia="宋体" w:cs="宋体"/>
                <w:color w:val="000000"/>
                <w:sz w:val="22"/>
                <w:szCs w:val="22"/>
                <w:highlight w:val="none"/>
                <w:lang w:bidi="ar"/>
              </w:rPr>
              <w:t xml:space="preserve">单台探针支持从多个物理网口采集流量，支持设置聚合采集链路，支持对多个采集接口的流量按需进行灵活组合采集</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bidi="ar"/>
              </w:rPr>
              <w:t xml:space="preserve">支持多种云环境的全流量采集与分析，支持多操作系统环境</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支持云流量采集策略管理与控制策略，支持按需部署Agent采集并转发流量</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5、</w:t>
            </w:r>
            <w:r>
              <w:rPr>
                <w:rFonts w:hint="eastAsia" w:ascii="宋体" w:hAnsi="宋体" w:eastAsia="宋体" w:cs="宋体"/>
                <w:color w:val="000000"/>
                <w:sz w:val="22"/>
                <w:szCs w:val="22"/>
                <w:highlight w:val="none"/>
                <w:lang w:bidi="ar"/>
              </w:rPr>
              <w:t xml:space="preserve">支持通过“与</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或</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非”等组合方式进行流量采集过滤</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支持对采集到的重复流量去重</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6、</w:t>
            </w:r>
            <w:r>
              <w:rPr>
                <w:rFonts w:hint="eastAsia" w:ascii="宋体" w:hAnsi="宋体" w:eastAsia="宋体" w:cs="宋体"/>
                <w:color w:val="000000"/>
                <w:sz w:val="22"/>
                <w:szCs w:val="22"/>
                <w:highlight w:val="none"/>
                <w:lang w:bidi="ar"/>
              </w:rPr>
              <w:t xml:space="preserve">支持7x24小时实时存储全部原始数据包</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及</w:t>
            </w:r>
            <w:r>
              <w:rPr>
                <w:rFonts w:hint="eastAsia" w:ascii="宋体" w:hAnsi="宋体" w:eastAsia="宋体" w:cs="宋体"/>
                <w:color w:val="000000"/>
                <w:sz w:val="22"/>
                <w:szCs w:val="22"/>
                <w:highlight w:val="none"/>
                <w:lang w:bidi="ar"/>
              </w:rPr>
              <w:t xml:space="preserve">解析出的统计表、协议元数据日志、自定义元数据日志、告警日志等日志类数据</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支持数据包压缩存储</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7、</w:t>
            </w:r>
            <w:r>
              <w:rPr>
                <w:rFonts w:hint="eastAsia" w:ascii="宋体" w:hAnsi="宋体" w:eastAsia="宋体" w:cs="宋体"/>
                <w:color w:val="000000"/>
                <w:sz w:val="22"/>
                <w:szCs w:val="22"/>
                <w:highlight w:val="none"/>
                <w:lang w:bidi="ar"/>
              </w:rPr>
              <w:t xml:space="preserve">支持自动提取双层Vlan、Vxla</w:t>
            </w:r>
            <w:r>
              <w:rPr>
                <w:rFonts w:hint="eastAsia" w:ascii="宋体" w:hAnsi="宋体" w:eastAsia="宋体" w:cs="宋体"/>
                <w:color w:val="000000"/>
                <w:sz w:val="22"/>
                <w:szCs w:val="22"/>
                <w:highlight w:val="none"/>
                <w:lang w:val="en-US" w:eastAsia="zh-CN" w:bidi="ar"/>
              </w:rPr>
              <w:t xml:space="preserve">n等</w:t>
            </w:r>
            <w:r>
              <w:rPr>
                <w:rFonts w:hint="eastAsia" w:ascii="宋体" w:hAnsi="宋体" w:eastAsia="宋体" w:cs="宋体"/>
                <w:color w:val="000000"/>
                <w:sz w:val="22"/>
                <w:szCs w:val="22"/>
                <w:highlight w:val="none"/>
                <w:lang w:bidi="ar"/>
              </w:rPr>
              <w:t xml:space="preserve">IP封装协议的真实IP</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8、</w:t>
            </w:r>
            <w:r>
              <w:rPr>
                <w:rFonts w:hint="eastAsia" w:ascii="宋体" w:hAnsi="宋体" w:eastAsia="宋体" w:cs="宋体"/>
                <w:color w:val="000000"/>
                <w:sz w:val="22"/>
                <w:szCs w:val="22"/>
                <w:highlight w:val="none"/>
                <w:lang w:bidi="ar"/>
              </w:rPr>
              <w:t xml:space="preserve">支持RFC文档规定以及常用私有网络通讯协议识别，</w:t>
            </w:r>
            <w:r>
              <w:rPr>
                <w:rFonts w:hint="eastAsia" w:ascii="宋体" w:hAnsi="宋体" w:eastAsia="宋体" w:cs="宋体"/>
                <w:color w:val="000000"/>
                <w:sz w:val="22"/>
                <w:szCs w:val="22"/>
                <w:highlight w:val="none"/>
                <w:lang w:val="en-US" w:eastAsia="zh-CN" w:bidi="ar"/>
              </w:rPr>
              <w:t xml:space="preserve">如</w:t>
            </w:r>
            <w:r>
              <w:rPr>
                <w:rFonts w:hint="eastAsia" w:ascii="宋体" w:hAnsi="宋体" w:eastAsia="宋体" w:cs="宋体"/>
                <w:color w:val="000000"/>
                <w:sz w:val="22"/>
                <w:szCs w:val="22"/>
                <w:highlight w:val="none"/>
                <w:lang w:bidi="ar"/>
              </w:rPr>
              <w:t xml:space="preserve">TCP/IP、VOIP、IoT、工控协议等</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支持</w:t>
            </w:r>
            <w:r>
              <w:rPr>
                <w:rFonts w:hint="eastAsia" w:ascii="宋体" w:hAnsi="宋体" w:eastAsia="宋体" w:cs="宋体"/>
                <w:color w:val="000000"/>
                <w:sz w:val="22"/>
                <w:szCs w:val="22"/>
                <w:highlight w:val="none"/>
                <w:lang w:bidi="ar"/>
              </w:rPr>
              <w:t xml:space="preserve">常见网络应用识别</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9、</w:t>
            </w:r>
            <w:r>
              <w:rPr>
                <w:rFonts w:hint="eastAsia" w:ascii="宋体" w:hAnsi="宋体" w:eastAsia="宋体" w:cs="宋体"/>
                <w:color w:val="000000"/>
                <w:sz w:val="22"/>
                <w:szCs w:val="22"/>
                <w:highlight w:val="none"/>
                <w:lang w:bidi="ar"/>
              </w:rPr>
              <w:t xml:space="preserve">支持多</w:t>
            </w:r>
            <w:r>
              <w:rPr>
                <w:rFonts w:hint="eastAsia" w:ascii="宋体" w:hAnsi="宋体" w:eastAsia="宋体" w:cs="宋体"/>
                <w:color w:val="000000"/>
                <w:sz w:val="22"/>
                <w:szCs w:val="22"/>
                <w:highlight w:val="none"/>
                <w:lang w:val="en-US" w:eastAsia="zh-CN" w:bidi="ar"/>
              </w:rPr>
              <w:t xml:space="preserve">维度</w:t>
            </w:r>
            <w:r>
              <w:rPr>
                <w:rFonts w:hint="eastAsia" w:ascii="宋体" w:hAnsi="宋体" w:eastAsia="宋体" w:cs="宋体"/>
                <w:color w:val="000000"/>
                <w:sz w:val="22"/>
                <w:szCs w:val="22"/>
                <w:highlight w:val="none"/>
                <w:lang w:bidi="ar"/>
              </w:rPr>
              <w:t xml:space="preserve">流量统计，包含物理地址、网段、协议、网络应用、</w:t>
            </w:r>
            <w:r>
              <w:rPr>
                <w:rFonts w:hint="eastAsia" w:ascii="宋体" w:hAnsi="宋体" w:eastAsia="宋体" w:cs="宋体"/>
                <w:color w:val="000000"/>
                <w:sz w:val="22"/>
                <w:szCs w:val="22"/>
                <w:highlight w:val="none"/>
                <w:lang w:val="en-US" w:eastAsia="zh-CN" w:bidi="ar"/>
              </w:rPr>
              <w:t xml:space="preserve">IP、会话</w:t>
            </w:r>
            <w:r>
              <w:rPr>
                <w:rFonts w:hint="eastAsia" w:ascii="宋体" w:hAnsi="宋体" w:eastAsia="宋体" w:cs="宋体"/>
                <w:color w:val="000000"/>
                <w:sz w:val="22"/>
                <w:szCs w:val="22"/>
                <w:highlight w:val="none"/>
                <w:lang w:bidi="ar"/>
              </w:rPr>
              <w:t xml:space="preserve">等</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支持从流量中实时解析并还原流量元数据</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10、</w:t>
            </w:r>
            <w:r>
              <w:rPr>
                <w:rFonts w:hint="eastAsia" w:ascii="宋体" w:hAnsi="宋体" w:eastAsia="宋体" w:cs="宋体"/>
                <w:color w:val="000000"/>
                <w:sz w:val="22"/>
                <w:szCs w:val="22"/>
                <w:highlight w:val="none"/>
                <w:lang w:bidi="ar"/>
              </w:rPr>
              <w:t xml:space="preserve">系统能够发现网络中传输文件的行为并将文件进行还原，支持从HTTP、SMB、FTP、邮件、加密流量中还原出文件</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11、支持</w:t>
            </w:r>
            <w:r>
              <w:rPr>
                <w:rFonts w:hint="eastAsia" w:ascii="宋体" w:hAnsi="宋体" w:eastAsia="宋体" w:cs="宋体"/>
                <w:color w:val="000000"/>
                <w:sz w:val="22"/>
                <w:szCs w:val="22"/>
                <w:highlight w:val="none"/>
                <w:lang w:bidi="ar"/>
              </w:rPr>
              <w:t xml:space="preserve">流量可视化分析</w:t>
            </w:r>
            <w:r>
              <w:rPr>
                <w:rFonts w:hint="eastAsia" w:ascii="宋体" w:hAnsi="宋体" w:eastAsia="宋体" w:cs="宋体"/>
                <w:color w:val="000000"/>
                <w:sz w:val="22"/>
                <w:szCs w:val="22"/>
                <w:highlight w:val="none"/>
                <w:lang w:val="en-US" w:eastAsia="zh-CN" w:bidi="ar"/>
              </w:rPr>
              <w:t xml:space="preserve">以及流量统计数据输出</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12、</w:t>
            </w:r>
            <w:r>
              <w:rPr>
                <w:rFonts w:hint="eastAsia" w:ascii="宋体" w:hAnsi="宋体" w:eastAsia="宋体" w:cs="宋体"/>
                <w:color w:val="000000"/>
                <w:sz w:val="22"/>
                <w:szCs w:val="22"/>
                <w:highlight w:val="none"/>
                <w:lang w:bidi="ar"/>
              </w:rPr>
              <w:t xml:space="preserve">支持常见WEB攻击行为</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漏洞攻击</w:t>
            </w:r>
            <w:r>
              <w:rPr>
                <w:rFonts w:hint="eastAsia" w:ascii="宋体" w:hAnsi="宋体" w:eastAsia="宋体" w:cs="宋体"/>
                <w:color w:val="000000"/>
                <w:sz w:val="22"/>
                <w:szCs w:val="22"/>
                <w:highlight w:val="none"/>
                <w:lang w:val="en-US" w:eastAsia="zh-CN" w:bidi="ar"/>
              </w:rPr>
              <w:t xml:space="preserve">行为</w:t>
            </w:r>
            <w:r>
              <w:rPr>
                <w:rFonts w:hint="eastAsia" w:ascii="宋体" w:hAnsi="宋体" w:eastAsia="宋体" w:cs="宋体"/>
                <w:color w:val="000000"/>
                <w:sz w:val="22"/>
                <w:szCs w:val="22"/>
                <w:highlight w:val="none"/>
                <w:lang w:bidi="ar"/>
              </w:rPr>
              <w:t xml:space="preserve">检测</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13、支持多</w:t>
            </w:r>
            <w:r>
              <w:rPr>
                <w:rFonts w:hint="eastAsia" w:ascii="宋体" w:hAnsi="宋体" w:eastAsia="宋体" w:cs="宋体"/>
                <w:color w:val="000000"/>
                <w:sz w:val="22"/>
                <w:szCs w:val="22"/>
                <w:highlight w:val="none"/>
                <w:lang w:bidi="ar"/>
              </w:rPr>
              <w:t xml:space="preserve">维度的检索条件对网络历史数据进行检索回查</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支持对回查结果直接进行原始数据包下载分析</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val="en-US" w:eastAsia="zh-CN" w:bidi="ar"/>
              </w:rPr>
              <w:t xml:space="preserve">14、具备数据包解析及安全分析工具，可</w:t>
            </w:r>
            <w:r>
              <w:rPr>
                <w:rFonts w:hint="eastAsia" w:ascii="宋体" w:hAnsi="宋体" w:eastAsia="宋体" w:cs="宋体"/>
                <w:color w:val="000000"/>
                <w:sz w:val="22"/>
                <w:szCs w:val="22"/>
                <w:highlight w:val="none"/>
                <w:lang w:bidi="ar"/>
              </w:rPr>
              <w:t xml:space="preserve">将全流量探针导出的数据包进行分析</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val="en-US" w:eastAsia="zh-CN" w:bidi="ar"/>
              </w:rPr>
              <w:t xml:space="preserve">具备多维度</w:t>
            </w:r>
            <w:r>
              <w:rPr>
                <w:rFonts w:hint="eastAsia" w:ascii="宋体" w:hAnsi="宋体" w:eastAsia="宋体" w:cs="宋体"/>
                <w:color w:val="000000"/>
                <w:sz w:val="22"/>
                <w:szCs w:val="22"/>
                <w:highlight w:val="none"/>
                <w:lang w:bidi="ar"/>
              </w:rPr>
              <w:t xml:space="preserve">数据统计</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文件还原</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bidi="ar"/>
              </w:rPr>
              <w:t xml:space="preserve">安全分析</w:t>
            </w:r>
            <w:r>
              <w:rPr>
                <w:rFonts w:hint="eastAsia" w:ascii="宋体" w:hAnsi="宋体" w:eastAsia="宋体" w:cs="宋体"/>
                <w:color w:val="000000"/>
                <w:sz w:val="22"/>
                <w:szCs w:val="22"/>
                <w:highlight w:val="none"/>
                <w:lang w:val="en-US" w:eastAsia="zh-CN" w:bidi="ar"/>
              </w:rPr>
              <w:t xml:space="preserve">功能</w:t>
            </w:r>
            <w:r>
              <w:rPr>
                <w:rFonts w:hint="eastAsia" w:ascii="宋体" w:hAnsi="宋体" w:eastAsia="宋体" w:cs="宋体"/>
                <w:color w:val="000000"/>
                <w:sz w:val="22"/>
                <w:szCs w:val="22"/>
                <w:highlight w:val="none"/>
                <w:lang w:eastAsia="zh-CN" w:bidi="ar"/>
              </w:rPr>
              <w:t xml:space="preserve">。</w:t>
            </w:r>
            <w:r>
              <w:rPr>
                <w:rFonts w:hint="eastAsia" w:ascii="宋体" w:hAnsi="宋体" w:eastAsia="宋体" w:cs="宋体"/>
                <w:color w:val="000000"/>
                <w:sz w:val="22"/>
                <w:szCs w:val="22"/>
                <w:highlight w:val="none"/>
                <w:lang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15、提供3年原厂质保和软件升级服务。</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16、系统须按照相关标准和要求开放API接口，实现与统一安全监测平台进行数据对接。</w:t>
            </w:r>
            <w:r>
              <w:rPr>
                <w:rFonts w:ascii="宋体" w:hAnsi="宋体" w:eastAsia="宋体" w:cs="宋体"/>
                <w:color w:val="000000"/>
                <w:sz w:val="22"/>
                <w:szCs w:val="22"/>
                <w:highlight w:val="none"/>
                <w:lang w:val="en-US" w:eastAsia="zh-CN" w:bidi="ar"/>
              </w:rPr>
            </w:r>
            <w:r/>
          </w:p>
        </w:tc>
        <w:tc>
          <w:tcPr>
            <w:tcW w:w="35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r>
      <w:tr>
        <w:trPr>
          <w:trHeight w:val="479"/>
        </w:trPr>
        <w:tc>
          <w:tcPr>
            <w:tcW w:w="234"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五</w:t>
            </w:r>
            <w:r>
              <w:rPr>
                <w:rFonts w:hint="eastAsia" w:ascii="宋体" w:hAnsi="宋体" w:eastAsia="宋体" w:cs="宋体"/>
                <w:color w:val="000000"/>
                <w:sz w:val="24"/>
                <w:szCs w:val="24"/>
                <w:highlight w:val="none"/>
              </w:rPr>
            </w:r>
            <w:r/>
          </w:p>
        </w:tc>
        <w:tc>
          <w:tcPr>
            <w:gridSpan w:val="2"/>
            <w:tcW w:w="7884" w:type="dxa"/>
            <w:vAlign w:val="center"/>
            <w:textDirection w:val="lrTb"/>
            <w:noWrap w:val="false"/>
          </w:tcPr>
          <w:p>
            <w:pPr>
              <w:pStyle w:val="885"/>
              <w:jc w:val="both"/>
              <w:rPr>
                <w:rFonts w:hint="eastAsia" w:ascii="宋体" w:hAnsi="宋体" w:eastAsia="宋体" w:cs="宋体"/>
                <w:color w:val="000000"/>
                <w:sz w:val="24"/>
                <w:szCs w:val="24"/>
                <w:highlight w:val="none"/>
              </w:rPr>
            </w:pPr>
            <w:r>
              <w:rPr>
                <w:rFonts w:hint="eastAsia" w:ascii="宋体" w:hAnsi="宋体" w:eastAsia="宋体" w:cs="宋体"/>
                <w:b/>
                <w:bCs/>
                <w:i w:val="0"/>
                <w:iCs w:val="0"/>
                <w:color w:val="000000"/>
                <w:sz w:val="22"/>
                <w:szCs w:val="22"/>
                <w:highlight w:val="none"/>
                <w:u w:val="none"/>
                <w:lang w:val="en-US" w:eastAsia="zh-CN" w:bidi="ar"/>
              </w:rPr>
              <w:t xml:space="preserve">其他设备</w:t>
            </w:r>
            <w:r>
              <w:rPr>
                <w:rFonts w:hint="eastAsia" w:ascii="宋体" w:hAnsi="宋体" w:eastAsia="宋体" w:cs="宋体"/>
                <w:color w:val="000000"/>
                <w:sz w:val="24"/>
                <w:szCs w:val="24"/>
                <w:highlight w:val="none"/>
              </w:rPr>
            </w:r>
            <w:r/>
          </w:p>
        </w:tc>
        <w:tc>
          <w:tcPr>
            <w:tcW w:w="355" w:type="dxa"/>
            <w:vAlign w:val="center"/>
            <w:textDirection w:val="lrTb"/>
            <w:noWrap w:val="false"/>
          </w:tcPr>
          <w:p>
            <w:pPr>
              <w:pStyle w:val="88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 w:type="dxa"/>
            <w:vAlign w:val="center"/>
            <w:textDirection w:val="lrTb"/>
            <w:noWrap w:val="false"/>
          </w:tcPr>
          <w:p>
            <w:pPr>
              <w:pStyle w:val="88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b/>
                <w:bCs/>
                <w:color w:val="000000"/>
                <w:sz w:val="24"/>
                <w:szCs w:val="24"/>
                <w:highlight w:val="none"/>
              </w:rPr>
            </w:r>
            <w:r/>
          </w:p>
        </w:tc>
        <w:tc>
          <w:tcPr>
            <w:tcW w:w="64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电源连接器</w:t>
            </w:r>
            <w:r>
              <w:rPr>
                <w:rFonts w:hint="eastAsia" w:ascii="宋体" w:hAnsi="宋体" w:eastAsia="宋体" w:cs="宋体"/>
                <w:b/>
                <w:bCs/>
                <w:color w:val="000000"/>
                <w:sz w:val="24"/>
                <w:szCs w:val="24"/>
                <w:highlight w:val="none"/>
              </w:rPr>
            </w:r>
            <w:r/>
          </w:p>
        </w:tc>
        <w:tc>
          <w:tcPr>
            <w:tcW w:w="3359"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机柜内电源线工业插头、插座,16A</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b/>
                <w:bCs/>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b/>
                <w:bCs/>
                <w:color w:val="000000"/>
                <w:sz w:val="24"/>
                <w:szCs w:val="24"/>
                <w:highlight w:val="none"/>
              </w:rPr>
            </w:r>
            <w:r/>
          </w:p>
        </w:tc>
        <w:tc>
          <w:tcPr>
            <w:tcW w:w="64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辅材</w:t>
            </w:r>
            <w:r>
              <w:rPr>
                <w:rFonts w:hint="eastAsia" w:ascii="宋体" w:hAnsi="宋体" w:eastAsia="宋体" w:cs="宋体"/>
                <w:b/>
                <w:bCs/>
                <w:color w:val="000000"/>
                <w:sz w:val="24"/>
                <w:szCs w:val="24"/>
                <w:highlight w:val="none"/>
              </w:rPr>
            </w:r>
            <w:r/>
          </w:p>
        </w:tc>
        <w:tc>
          <w:tcPr>
            <w:tcW w:w="3359"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系统辅材，包含网络跳线、光纤跳线、转接头、电源线等</w:t>
            </w:r>
            <w:r>
              <w:rPr>
                <w:rFonts w:hint="eastAsia" w:ascii="宋体" w:hAnsi="宋体" w:eastAsia="宋体" w:cs="宋体"/>
                <w:b/>
                <w:bCs/>
                <w:color w:val="000000"/>
                <w:sz w:val="24"/>
                <w:szCs w:val="24"/>
                <w:highlight w:val="none"/>
              </w:rPr>
            </w:r>
            <w:r/>
          </w:p>
        </w:tc>
        <w:tc>
          <w:tcPr>
            <w:tcW w:w="355" w:type="dxa"/>
            <w:vAlign w:val="center"/>
            <w:textDirection w:val="lrTb"/>
            <w:noWrap/>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ascii="宋体" w:hAnsi="宋体" w:eastAsia="宋体" w:cs="宋体"/>
                <w:i w:val="0"/>
                <w:iCs w:val="0"/>
                <w:color w:val="000000"/>
                <w:sz w:val="24"/>
                <w:szCs w:val="24"/>
                <w:highlight w:val="none"/>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color w:val="000000"/>
                <w:sz w:val="24"/>
                <w:szCs w:val="24"/>
                <w:highlight w:val="none"/>
              </w:rPr>
            </w:r>
            <w:r/>
          </w:p>
        </w:tc>
      </w:tr>
      <w:tr>
        <w:trPr>
          <w:trHeight w:val="440"/>
        </w:trPr>
        <w:tc>
          <w:tcPr>
            <w:tcW w:w="234" w:type="dxa"/>
            <w:vAlign w:val="center"/>
            <w:textDirection w:val="lrTb"/>
            <w:noWrap/>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648" w:type="dxa"/>
            <w:vAlign w:val="center"/>
            <w:textDirection w:val="lrTb"/>
            <w:noWrap/>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设备安装调试及网络调整</w:t>
            </w:r>
            <w:r>
              <w:rPr>
                <w:rFonts w:hint="eastAsia" w:ascii="宋体" w:hAnsi="宋体" w:eastAsia="宋体" w:cs="宋体"/>
                <w:i w:val="0"/>
                <w:iCs w:val="0"/>
                <w:color w:val="000000"/>
                <w:sz w:val="22"/>
                <w:szCs w:val="22"/>
                <w:highlight w:val="none"/>
                <w:u w:val="none"/>
                <w:lang w:val="en-US" w:eastAsia="zh-CN" w:bidi="ar"/>
              </w:rPr>
            </w:r>
            <w:r/>
          </w:p>
        </w:tc>
        <w:tc>
          <w:tcPr>
            <w:tcW w:w="3359" w:type="dxa"/>
            <w:vAlign w:val="center"/>
            <w:textDirection w:val="lrTb"/>
            <w:noWrap/>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安装调试及网络架构、安全策略调整，包括：1、项目中路由器、交换机、防火墙、网络安全分析审计系统等设备、软件搬运、安装调试，结合新的网络架构进行设备割接入网、功能合并、配置优化。对应原有交换机、防火墙等设备下架、搬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2、调整大院网络架构，规范统一政务网、互联网出口，提升网络出口能力：简化网络拓扑，出口统一化。调整网络设备配置，以符合新的拓扑图，包括交换机、安全设备等。</w:t>
            </w:r>
            <w:r>
              <w:rPr>
                <w:rFonts w:hint="eastAsia" w:ascii="宋体" w:hAnsi="宋体" w:eastAsia="宋体" w:cs="宋体"/>
                <w:i w:val="0"/>
                <w:iCs w:val="0"/>
                <w:color w:val="000000"/>
                <w:sz w:val="22"/>
                <w:szCs w:val="22"/>
                <w:highlight w:val="none"/>
                <w:u w:val="none"/>
                <w:lang w:val="en-US" w:eastAsia="zh-CN" w:bidi="ar"/>
              </w:rPr>
            </w:r>
            <w:r/>
          </w:p>
        </w:tc>
        <w:tc>
          <w:tcPr>
            <w:tcW w:w="355"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方正仿宋_GBK" w:hAnsi="方正仿宋_GBK" w:eastAsia="方正仿宋_GBK" w:cs="方正仿宋_GBK"/>
                <w:i w:val="0"/>
                <w:iCs w:val="0"/>
                <w:color w:val="000000"/>
                <w:sz w:val="24"/>
                <w:szCs w:val="24"/>
                <w:u w:val="none"/>
                <w:lang w:val="en-US" w:eastAsia="zh-CN" w:bidi="ar"/>
              </w:rPr>
            </w:r>
            <w:r/>
          </w:p>
        </w:tc>
        <w:tc>
          <w:tcPr>
            <w:tcW w:w="401"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r>
    </w:tbl>
    <w:p>
      <w:pPr>
        <w:pStyle w:val="885"/>
        <w:ind w:firstLine="482"/>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885"/>
        <w:ind w:firstLine="482"/>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（二）采购项目交付或者实施的时间：</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建设期：自合同签订之日起180个日历天内完成全部设备的安装、调试、集成及网络割接工作。</w:t>
      </w:r>
      <w:r>
        <w:rPr>
          <w:rFonts w:hint="eastAsia" w:ascii="宋体" w:hAnsi="宋体" w:eastAsia="宋体" w:cs="宋体"/>
          <w:sz w:val="24"/>
          <w:szCs w:val="24"/>
          <w:highlight w:val="none"/>
          <w:lang w:val="en-US" w:eastAsia="zh-CN" w:bidi="ar-SA"/>
        </w:rPr>
      </w:r>
      <w:r/>
    </w:p>
    <w:p>
      <w:pPr>
        <w:pStyle w:val="885"/>
        <w:ind w:firstLine="480"/>
        <w:jc w:val="left"/>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免费维护期：硬件(含软硬一体)质保五年、软件质保三年，自项目终验合格之日起开始计算。</w:t>
      </w:r>
      <w:r>
        <w:rPr>
          <w:rFonts w:hint="eastAsia" w:ascii="宋体" w:hAnsi="宋体" w:eastAsia="宋体" w:cs="宋体"/>
          <w:sz w:val="24"/>
          <w:szCs w:val="24"/>
          <w:highlight w:val="none"/>
          <w:lang w:val="en-US" w:eastAsia="zh-CN" w:bidi="ar-SA"/>
        </w:rPr>
      </w:r>
      <w:r/>
    </w:p>
    <w:p>
      <w:pPr>
        <w:pStyle w:val="885"/>
        <w:ind w:firstLine="482"/>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（三）采购项目交付或者实施的地点：</w:t>
      </w:r>
      <w:r>
        <w:rPr>
          <w:rFonts w:hint="eastAsia" w:ascii="宋体" w:hAnsi="宋体" w:eastAsia="宋体" w:cs="宋体"/>
          <w:b/>
          <w:bCs/>
          <w:sz w:val="24"/>
          <w:szCs w:val="24"/>
          <w:highlight w:val="none"/>
          <w:lang w:val="en-US" w:eastAsia="zh-CN" w:bidi="ar-SA"/>
        </w:rPr>
      </w:r>
      <w:r/>
    </w:p>
    <w:p>
      <w:pPr>
        <w:pStyle w:val="885"/>
        <w:ind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采购人指定地点。</w:t>
      </w:r>
      <w:r>
        <w:rPr>
          <w:rFonts w:hint="eastAsia" w:ascii="宋体" w:hAnsi="宋体" w:eastAsia="宋体" w:cs="宋体"/>
          <w:sz w:val="24"/>
          <w:szCs w:val="24"/>
          <w:highlight w:val="none"/>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五、采购标的需满足的服务标准、期限、效率等要求；</w:t>
      </w:r>
      <w:r>
        <w:rPr>
          <w:rFonts w:hint="eastAsia" w:ascii="宋体" w:hAnsi="宋体" w:eastAsia="宋体" w:cs="宋体"/>
          <w:b/>
          <w:bCs/>
          <w:sz w:val="24"/>
          <w:szCs w:val="24"/>
          <w:highlight w:val="none"/>
          <w:lang w:val="en-US" w:eastAsia="zh-CN" w:bidi="ar-SA"/>
        </w:rPr>
      </w:r>
      <w:r/>
    </w:p>
    <w:p>
      <w:pPr>
        <w:pStyle w:val="885"/>
        <w:ind w:firstLine="480"/>
        <w:spacing w:line="360" w:lineRule="auto"/>
        <w:rPr>
          <w:rFonts w:hint="eastAsia" w:ascii="Times New Roman" w:hAnsi="Times New Roman" w:eastAsia="宋体" w:cs="Times New Roman"/>
          <w:szCs w:val="24"/>
          <w:highlight w:val="none"/>
          <w:lang w:val="en-US" w:eastAsia="zh-CN" w:bidi="ar-SA"/>
        </w:rPr>
      </w:pPr>
      <w:r>
        <w:rPr>
          <w:rFonts w:hint="eastAsia" w:ascii="宋体" w:hAnsi="宋体" w:eastAsia="宋体" w:cs="宋体"/>
          <w:sz w:val="24"/>
          <w:szCs w:val="24"/>
          <w:highlight w:val="none"/>
          <w:lang w:val="en-US" w:eastAsia="zh-CN" w:bidi="ar-SA"/>
        </w:rPr>
        <w:t xml:space="preserve">服务标准：按行业通行标准、厂方出厂标准、招标文件要求和供方投标文件的承诺，并不低于国家相关标准。</w:t>
      </w:r>
      <w:r>
        <w:rPr>
          <w:rFonts w:hint="eastAsia" w:ascii="Times New Roman" w:hAnsi="Times New Roman" w:eastAsia="宋体" w:cs="Times New Roman"/>
          <w:szCs w:val="24"/>
          <w:highlight w:val="none"/>
          <w:lang w:val="en-US" w:eastAsia="zh-CN" w:bidi="ar-SA"/>
        </w:rPr>
      </w:r>
      <w:r/>
    </w:p>
    <w:p>
      <w:pPr>
        <w:pStyle w:val="885"/>
        <w:ind w:firstLine="48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建设期</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自合同签订之日起</w:t>
      </w:r>
      <w:r>
        <w:rPr>
          <w:rFonts w:ascii="宋体" w:hAnsi="宋体" w:eastAsia="宋体" w:cs="宋体"/>
          <w:sz w:val="24"/>
          <w:szCs w:val="24"/>
          <w:highlight w:val="none"/>
          <w:lang w:val="en-US" w:eastAsia="zh-CN" w:bidi="ar-SA"/>
        </w:rPr>
        <w:t xml:space="preserve">180个日历天内完成全部设备的安装、调试、集成及</w:t>
      </w:r>
      <w:r>
        <w:rPr>
          <w:rFonts w:hint="eastAsia" w:ascii="宋体" w:hAnsi="宋体" w:eastAsia="宋体" w:cs="宋体"/>
          <w:sz w:val="24"/>
          <w:szCs w:val="24"/>
          <w:highlight w:val="none"/>
          <w:lang w:val="en-US" w:eastAsia="zh-CN" w:bidi="ar-SA"/>
        </w:rPr>
        <w:t xml:space="preserve">网络</w:t>
      </w:r>
      <w:r>
        <w:rPr>
          <w:rFonts w:ascii="宋体" w:hAnsi="宋体" w:eastAsia="宋体" w:cs="宋体"/>
          <w:sz w:val="24"/>
          <w:szCs w:val="24"/>
          <w:highlight w:val="none"/>
          <w:lang w:val="en-US" w:eastAsia="zh-CN" w:bidi="ar-SA"/>
        </w:rPr>
        <w:t xml:space="preserve">割接工作</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885"/>
        <w:ind w:firstLine="48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sz w:val="24"/>
          <w:szCs w:val="24"/>
          <w:highlight w:val="none"/>
          <w:lang w:val="en-US" w:eastAsia="zh-CN" w:bidi="ar-SA"/>
        </w:rPr>
        <w:t xml:space="preserve">网络</w:t>
      </w:r>
      <w:r>
        <w:rPr>
          <w:rFonts w:ascii="宋体" w:hAnsi="宋体" w:eastAsia="宋体" w:cs="宋体"/>
          <w:sz w:val="24"/>
          <w:szCs w:val="24"/>
          <w:highlight w:val="none"/>
          <w:lang w:val="en-US" w:eastAsia="zh-CN" w:bidi="ar-SA"/>
        </w:rPr>
        <w:t xml:space="preserve">割接应在非工作时间进行，</w:t>
      </w:r>
      <w:r>
        <w:rPr>
          <w:rFonts w:hint="eastAsia" w:ascii="宋体" w:hAnsi="宋体" w:eastAsia="宋体" w:cs="宋体"/>
          <w:sz w:val="24"/>
          <w:szCs w:val="24"/>
          <w:highlight w:val="none"/>
          <w:lang w:val="en-US" w:eastAsia="zh-CN" w:bidi="ar-SA"/>
        </w:rPr>
        <w:t xml:space="preserve">并与采购人协商确认后进行操作。</w:t>
      </w:r>
      <w:r>
        <w:rPr>
          <w:rFonts w:ascii="宋体" w:hAnsi="宋体" w:eastAsia="宋体" w:cs="宋体"/>
          <w:sz w:val="24"/>
          <w:szCs w:val="24"/>
          <w:highlight w:val="none"/>
          <w:lang w:val="en-US" w:eastAsia="zh-CN" w:bidi="ar-SA"/>
        </w:rPr>
        <w:t xml:space="preserve">如中标人未</w:t>
      </w:r>
      <w:r>
        <w:rPr>
          <w:rFonts w:hint="eastAsia" w:ascii="宋体" w:hAnsi="宋体" w:eastAsia="宋体" w:cs="宋体"/>
          <w:sz w:val="24"/>
          <w:szCs w:val="24"/>
          <w:highlight w:val="none"/>
          <w:lang w:val="en-US" w:eastAsia="zh-CN" w:bidi="ar-SA"/>
        </w:rPr>
        <w:t xml:space="preserve">按采购人</w:t>
      </w:r>
      <w:r>
        <w:rPr>
          <w:rFonts w:ascii="宋体" w:hAnsi="宋体" w:eastAsia="宋体" w:cs="宋体"/>
          <w:sz w:val="24"/>
          <w:szCs w:val="24"/>
          <w:highlight w:val="none"/>
          <w:lang w:val="en-US" w:eastAsia="zh-CN" w:bidi="ar-SA"/>
        </w:rPr>
        <w:t xml:space="preserve">规定</w:t>
      </w:r>
      <w:r>
        <w:rPr>
          <w:rFonts w:hint="eastAsia" w:ascii="宋体" w:hAnsi="宋体" w:eastAsia="宋体" w:cs="宋体"/>
          <w:sz w:val="24"/>
          <w:szCs w:val="24"/>
          <w:highlight w:val="none"/>
          <w:lang w:val="en-US" w:eastAsia="zh-CN" w:bidi="ar-SA"/>
        </w:rPr>
        <w:t xml:space="preserve">实施网络割接并造成网络中断</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每次考核3000元。</w:t>
      </w:r>
      <w:r>
        <w:rPr>
          <w:rFonts w:hint="eastAsia" w:ascii="宋体" w:hAnsi="宋体" w:eastAsia="宋体" w:cs="宋体"/>
          <w:b/>
          <w:bCs/>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六、采购标的的验收标准；</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验收工作应依据国家、行业相关标准、招标文件、投标承诺、合同约定及供应商提供的技术方案执行。</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验收内容包括但不限于：设备到货验收、安装调试验收、系统功能验收、性能测试验收、安全合规验收及文档交付验收。</w:t>
      </w:r>
      <w:r>
        <w:rPr>
          <w:rFonts w:hint="eastAsia" w:ascii="宋体" w:hAnsi="宋体" w:eastAsia="宋体" w:cs="宋体"/>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七、采购标的的其他技术、服务等要求;</w:t>
      </w:r>
      <w:r>
        <w:rPr>
          <w:rFonts w:hint="eastAsia" w:ascii="宋体" w:hAnsi="宋体" w:eastAsia="宋体" w:cs="宋体"/>
          <w:b/>
          <w:bCs/>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技术兼容性要求：</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1、广域核心路由器、核心交换机满足无锡市电子政务外网设备对接要求。</w:t>
      </w:r>
      <w:r>
        <w:rPr>
          <w:rFonts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2、超融合一体机、超融合一体机利旧改造两项产品需与采购人现有节点兼容，组成多节点。</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安装调试要求：</w:t>
      </w:r>
      <w:r>
        <w:rPr>
          <w:rFonts w:hint="eastAsia" w:ascii="宋体" w:hAnsi="宋体" w:eastAsia="宋体" w:cs="宋体"/>
          <w:sz w:val="24"/>
          <w:szCs w:val="24"/>
          <w:lang w:val="en-US" w:eastAsia="zh-CN" w:bidi="ar-SA"/>
        </w:rPr>
      </w:r>
      <w:r/>
    </w:p>
    <w:p>
      <w:pPr>
        <w:pStyle w:val="885"/>
        <w:ind w:firstLine="480"/>
        <w:pageBreakBefore w:val="0"/>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括但不限于软件、硬件安装调试、测试等内容。软硬件设备中标人要制定具体的现场安装计划（包括进度表与拟派技术人员）并与采购人进行确认；严格按照规定的时间、地点、环境进行安装，保证达到合同文件的要求。软件系统安装、测试等达到合同规定要求，实现正常运行，达到稳定、流畅等项目预期需求和性能。中标人应保证货物在正确安装、使用和保养条件下其性能质量完全符合技术要求和合同规定。提供的货物维护服务期内出现质量问题，中标人应负责包修、包换，并承担修理、调换的实际费用。</w:t>
      </w:r>
      <w:r>
        <w:rPr>
          <w:rFonts w:ascii="宋体" w:hAnsi="宋体" w:eastAsia="宋体" w:cs="宋体"/>
          <w:sz w:val="24"/>
          <w:szCs w:val="24"/>
          <w:lang w:val="en-US" w:eastAsia="zh-CN" w:bidi="ar-SA"/>
        </w:rPr>
      </w:r>
      <w:r/>
    </w:p>
    <w:p>
      <w:pPr>
        <w:pStyle w:val="885"/>
        <w:ind w:firstLine="482"/>
        <w:jc w:val="both"/>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0"/>
      </w:pPr>
      <w:r>
        <w:rPr>
          <w:rFonts w:hint="eastAsia" w:ascii="宋体" w:hAnsi="宋体" w:eastAsia="宋体" w:cs="宋体"/>
          <w:b/>
          <w:bCs/>
          <w:sz w:val="24"/>
          <w:szCs w:val="24"/>
          <w:lang w:val="en-US" w:eastAsia="zh-CN" w:bidi="ar-SA"/>
        </w:rPr>
        <w:t xml:space="preserve">八、付款方式等;</w:t>
      </w:r>
      <w:r>
        <w:rPr>
          <w:rFonts w:hint="eastAsia" w:ascii="宋体" w:hAnsi="宋体" w:eastAsia="宋体" w:cs="宋体"/>
          <w:b/>
          <w:bCs/>
          <w:sz w:val="24"/>
          <w:szCs w:val="24"/>
          <w:lang w:val="en-US" w:eastAsia="zh-CN" w:bidi="ar-SA"/>
        </w:rPr>
      </w:r>
      <w:r/>
    </w:p>
    <w:p>
      <w:pPr>
        <w:pStyle w:val="885"/>
        <w:ind w:firstLine="48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1）合同签订后30个工作日内支付合同金额的50%；（2）初验合格并出具书面报告、验收报告后30个工作日内支付合同金额的20%；（3）整体竣工验收合格且出具书面交货、验收报告并通过审计后30个工作日内，以合同总价为基准（若发生经甲方确认的变更，则相应调整），支付至经审计金额确认的实际完成工程量对应价款的95%；（4）项目采购软硬件设备质保期满后支付剩余尾款。具体以区财政拨付资金额度及时间为准。</w:t>
      </w:r>
      <w:r>
        <w:rPr>
          <w:rFonts w:hint="eastAsia" w:ascii="宋体" w:hAnsi="宋体" w:eastAsia="宋体" w:cs="Times New Roman"/>
          <w:b/>
          <w:sz w:val="24"/>
          <w:szCs w:val="24"/>
        </w:rPr>
      </w:r>
      <w:r/>
    </w:p>
    <w:p>
      <w:pPr>
        <w:pStyle w:val="885"/>
        <w:jc w:val="left"/>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5"/>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885"/>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rPr>
          <w:rFonts w:hint="eastAsia" w:ascii="宋体" w:hAns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eastAsia="宋体" w:cs="宋体"/>
          <w:sz w:val="24"/>
          <w:szCs w:val="24"/>
        </w:rPr>
        <w:t xml:space="preserve">无锡市滨湖区金城路500号</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885"/>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85"/>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5"/>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5"/>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5"/>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1"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72"/>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972"/>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972"/>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972"/>
        <w:spacing w:before="0" w:after="0" w:line="500" w:lineRule="exact"/>
        <w:rPr>
          <w:rStyle w:val="961"/>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61"/>
          <w:rFonts w:ascii="Times New Roman" w:hAnsi="Times New Roman"/>
          <w:color w:val="000000"/>
        </w:rPr>
      </w:r>
      <w:r/>
    </w:p>
    <w:p>
      <w:pPr>
        <w:pStyle w:val="972"/>
        <w:spacing w:before="0" w:after="0" w:line="500" w:lineRule="exact"/>
        <w:rPr>
          <w:rFonts w:hint="eastAsia" w:cs="Arial"/>
          <w:b/>
          <w:bCs w:val="0"/>
          <w:color w:val="000000"/>
          <w:shd w:val="clear" w:color="ffffff" w:fill="d9d9d9"/>
        </w:rPr>
      </w:pPr>
      <w:r>
        <w:rPr>
          <w:rFonts w:hint="eastAsia" w:ascii="宋体" w:hAnsi="宋体"/>
          <w:b/>
          <w:bCs w:val="0"/>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b/>
          <w:bCs w:val="0"/>
          <w:color w:val="000000"/>
          <w:shd w:val="clear" w:color="ffffff" w:fill="d9d9d9"/>
        </w:rPr>
      </w:r>
      <w:r/>
    </w:p>
    <w:p>
      <w:pPr>
        <w:pStyle w:val="972"/>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972"/>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885"/>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w:t>
      </w:r>
      <w:r>
        <w:rPr>
          <w:rFonts w:hint="eastAsia" w:ascii="宋体" w:hAnsi="宋体"/>
          <w:b/>
          <w:bCs/>
          <w:color w:val="000000"/>
          <w:sz w:val="24"/>
          <w:szCs w:val="24"/>
          <w:lang w:val="en-US" w:eastAsia="zh-CN"/>
        </w:rPr>
        <w:t xml:space="preserve">本项目不</w:t>
      </w:r>
      <w:r>
        <w:rPr>
          <w:rFonts w:hint="eastAsia" w:ascii="宋体" w:hAnsi="宋体"/>
          <w:b/>
          <w:bCs/>
          <w:color w:val="000000"/>
          <w:sz w:val="24"/>
          <w:szCs w:val="24"/>
        </w:rPr>
        <w:t xml:space="preserve">专门面向中小/小微企业</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做价格扣除。</w:t>
      </w:r>
      <w:r>
        <w:rPr>
          <w:rFonts w:hint="eastAsia" w:ascii="宋体" w:hAnsi="宋体"/>
          <w:b/>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）的规定提供由省级以上监狱管理局、戒毒管理局（含新疆生产建设兵团）出具的属于监狱企业的证明文件扫描件。</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85"/>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85"/>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72"/>
        <w:numPr>
          <w:ilvl w:val="0"/>
          <w:numId w:val="7"/>
        </w:numPr>
        <w:ind w:firstLine="360"/>
        <w:spacing w:before="0" w:after="0" w:line="360" w:lineRule="auto"/>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rPr>
          <w:rFonts w:hint="eastAsia" w:ascii="宋体" w:hAnsi="宋体"/>
          <w:b/>
          <w:color w:val="000000"/>
          <w:sz w:val="28"/>
          <w:szCs w:val="28"/>
        </w:rPr>
      </w:r>
      <w:r/>
    </w:p>
    <w:p>
      <w:pPr>
        <w:pStyle w:val="885"/>
        <w:ind w:firstLine="120"/>
        <w:spacing w:line="360" w:lineRule="auto"/>
        <w:rPr>
          <w:rFonts w:ascii="宋体" w:hAnsi="宋体" w:cs="宋体"/>
          <w:sz w:val="24"/>
        </w:rPr>
      </w:pPr>
      <w:r>
        <w:rPr>
          <w:rFonts w:hint="eastAsia" w:ascii="宋体" w:hAnsi="宋体" w:cs="宋体"/>
          <w:sz w:val="24"/>
        </w:rPr>
        <w:t xml:space="preserve">（一）评分项目及总分（总分100分）</w:t>
      </w:r>
      <w:r>
        <w:rPr>
          <w:rFonts w:ascii="宋体" w:hAnsi="宋体" w:cs="宋体"/>
          <w:sz w:val="24"/>
        </w:rPr>
      </w:r>
      <w:r/>
    </w:p>
    <w:p>
      <w:pPr>
        <w:pStyle w:val="885"/>
        <w:ind w:firstLine="482"/>
        <w:spacing w:line="360" w:lineRule="auto"/>
        <w:rPr>
          <w:rFonts w:ascii="宋体" w:hAnsi="宋体" w:eastAsia="宋体" w:cs="宋体"/>
          <w:b/>
          <w:sz w:val="24"/>
        </w:rPr>
      </w:pPr>
      <w:r/>
      <w:bookmarkStart w:id="192" w:name="_Hlk165208094"/>
      <w:r>
        <w:rPr>
          <w:rFonts w:hint="eastAsia" w:ascii="宋体" w:hAnsi="宋体" w:eastAsia="宋体" w:cs="宋体"/>
          <w:b/>
          <w:sz w:val="24"/>
        </w:rPr>
        <w:t xml:space="preserve">1、</w:t>
      </w:r>
      <w:bookmarkEnd w:id="192"/>
      <w:r>
        <w:rPr>
          <w:rFonts w:hint="eastAsia" w:ascii="宋体" w:hAnsi="宋体" w:eastAsia="宋体" w:cs="宋体"/>
          <w:b/>
          <w:sz w:val="24"/>
        </w:rPr>
        <w:t xml:space="preserve">报价                       </w:t>
      </w:r>
      <w:r>
        <w:rPr>
          <w:rFonts w:hint="eastAsia" w:ascii="宋体" w:hAnsi="宋体" w:eastAsia="宋体" w:cs="宋体"/>
          <w:b/>
          <w:sz w:val="24"/>
          <w:lang w:val="en-US" w:eastAsia="zh-CN"/>
        </w:rPr>
        <w:t xml:space="preserve">30</w:t>
      </w:r>
      <w:r>
        <w:rPr>
          <w:rFonts w:hint="eastAsia" w:ascii="宋体" w:hAnsi="宋体" w:eastAsia="宋体" w:cs="宋体"/>
          <w:b/>
          <w:sz w:val="24"/>
        </w:rPr>
        <w:t xml:space="preserve">分</w:t>
      </w:r>
      <w:r>
        <w:rPr>
          <w:rFonts w:ascii="宋体" w:hAnsi="宋体" w:eastAsia="宋体" w:cs="宋体"/>
          <w:b/>
          <w:sz w:val="24"/>
        </w:rPr>
      </w:r>
      <w:r/>
    </w:p>
    <w:p>
      <w:pPr>
        <w:pStyle w:val="885"/>
        <w:ind w:firstLine="482"/>
        <w:spacing w:line="360" w:lineRule="auto"/>
        <w:rPr>
          <w:rFonts w:ascii="宋体" w:hAnsi="宋体" w:eastAsia="宋体" w:cs="宋体"/>
          <w:b/>
          <w:sz w:val="24"/>
        </w:rPr>
      </w:pPr>
      <w:r>
        <w:rPr>
          <w:rFonts w:hint="eastAsia" w:ascii="宋体" w:hAnsi="宋体" w:eastAsia="宋体" w:cs="宋体"/>
          <w:b/>
          <w:sz w:val="24"/>
        </w:rPr>
        <w:t xml:space="preserve">2、报价供应商综合情况         </w:t>
      </w:r>
      <w:r>
        <w:rPr>
          <w:rFonts w:hint="eastAsia" w:ascii="宋体" w:hAnsi="宋体" w:eastAsia="宋体" w:cs="宋体"/>
          <w:b/>
          <w:sz w:val="24"/>
          <w:lang w:val="en-US" w:eastAsia="zh-CN"/>
        </w:rPr>
        <w:t xml:space="preserve">7</w:t>
      </w:r>
      <w:r>
        <w:rPr>
          <w:rFonts w:hint="eastAsia" w:ascii="宋体" w:hAnsi="宋体" w:eastAsia="宋体" w:cs="宋体"/>
          <w:b/>
          <w:sz w:val="24"/>
        </w:rPr>
        <w:t xml:space="preserve">分</w:t>
      </w:r>
      <w:r>
        <w:rPr>
          <w:rFonts w:ascii="宋体" w:hAnsi="宋体" w:eastAsia="宋体" w:cs="宋体"/>
          <w:b/>
          <w:sz w:val="24"/>
        </w:rPr>
      </w:r>
      <w:r/>
    </w:p>
    <w:p>
      <w:pPr>
        <w:pStyle w:val="885"/>
        <w:ind w:firstLine="482"/>
        <w:spacing w:line="360" w:lineRule="auto"/>
        <w:rPr>
          <w:rFonts w:ascii="宋体" w:hAnsi="宋体" w:eastAsia="宋体" w:cs="宋体"/>
          <w:b/>
          <w:sz w:val="24"/>
        </w:rPr>
      </w:pPr>
      <w:r>
        <w:rPr>
          <w:rFonts w:hint="eastAsia" w:ascii="宋体" w:hAnsi="宋体" w:eastAsia="宋体" w:cs="宋体"/>
          <w:b/>
          <w:sz w:val="24"/>
        </w:rPr>
        <w:t xml:space="preserve">3、项目人员配置               </w:t>
      </w:r>
      <w:r>
        <w:rPr>
          <w:rFonts w:hint="eastAsia" w:ascii="宋体" w:hAnsi="宋体" w:eastAsia="宋体" w:cs="宋体"/>
          <w:b/>
          <w:sz w:val="24"/>
          <w:lang w:val="en-US" w:eastAsia="zh-CN"/>
        </w:rPr>
        <w:t xml:space="preserve">6</w:t>
      </w:r>
      <w:r>
        <w:rPr>
          <w:rFonts w:hint="eastAsia" w:ascii="宋体" w:hAnsi="宋体" w:eastAsia="宋体" w:cs="宋体"/>
          <w:b/>
          <w:sz w:val="24"/>
        </w:rPr>
        <w:t xml:space="preserve">分</w:t>
      </w:r>
      <w:r>
        <w:rPr>
          <w:rFonts w:ascii="宋体" w:hAnsi="宋体" w:eastAsia="宋体" w:cs="宋体"/>
          <w:b/>
          <w:sz w:val="24"/>
        </w:rPr>
      </w:r>
      <w:r/>
    </w:p>
    <w:p>
      <w:pPr>
        <w:pStyle w:val="885"/>
        <w:ind w:firstLine="482"/>
        <w:spacing w:line="360" w:lineRule="auto"/>
        <w:rPr>
          <w:rFonts w:hint="eastAsia" w:ascii="宋体" w:hAnsi="宋体" w:eastAsia="宋体" w:cs="宋体"/>
          <w:b/>
          <w:sz w:val="24"/>
        </w:rPr>
      </w:pPr>
      <w:r>
        <w:rPr>
          <w:rFonts w:hint="eastAsia" w:ascii="宋体" w:hAnsi="宋体" w:eastAsia="宋体" w:cs="宋体"/>
          <w:b/>
          <w:sz w:val="24"/>
        </w:rPr>
        <w:t xml:space="preserve">4、</w:t>
      </w:r>
      <w:r>
        <w:rPr>
          <w:rFonts w:hint="eastAsia" w:ascii="宋体" w:hAnsi="宋体" w:eastAsia="宋体" w:cs="宋体"/>
          <w:b/>
          <w:color w:val="000000"/>
          <w:sz w:val="24"/>
          <w:szCs w:val="24"/>
          <w:lang w:val="en-US" w:eastAsia="zh-CN"/>
        </w:rPr>
        <w:t xml:space="preserve">产品配置</w:t>
      </w:r>
      <w:r>
        <w:rPr>
          <w:rFonts w:hint="eastAsia" w:ascii="宋体" w:hAnsi="宋体" w:eastAsia="宋体" w:cs="宋体"/>
          <w:b/>
          <w:sz w:val="24"/>
        </w:rPr>
        <w:t xml:space="preserve">                   </w:t>
      </w:r>
      <w:r>
        <w:rPr>
          <w:rFonts w:hint="eastAsia" w:ascii="宋体" w:hAnsi="宋体" w:eastAsia="宋体" w:cs="宋体"/>
          <w:b/>
          <w:sz w:val="24"/>
          <w:lang w:val="en-US" w:eastAsia="zh-CN"/>
        </w:rPr>
        <w:t xml:space="preserve">10</w:t>
      </w:r>
      <w:r>
        <w:rPr>
          <w:rFonts w:hint="eastAsia" w:ascii="宋体" w:hAnsi="宋体" w:eastAsia="宋体" w:cs="宋体"/>
          <w:b/>
          <w:sz w:val="24"/>
        </w:rPr>
        <w:t xml:space="preserve">分</w:t>
      </w:r>
      <w:r>
        <w:rPr>
          <w:rFonts w:hint="eastAsia" w:ascii="宋体" w:hAnsi="宋体" w:eastAsia="宋体" w:cs="宋体"/>
          <w:b/>
          <w:sz w:val="24"/>
        </w:rPr>
      </w:r>
      <w:r/>
    </w:p>
    <w:p>
      <w:pPr>
        <w:pStyle w:val="885"/>
        <w:ind w:firstLine="482"/>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5、</w:t>
      </w:r>
      <w:r>
        <w:rPr>
          <w:rFonts w:hint="eastAsia" w:ascii="宋体" w:hAnsi="宋体" w:eastAsia="宋体" w:cs="宋体"/>
          <w:b/>
          <w:bCs/>
          <w:sz w:val="24"/>
          <w:szCs w:val="24"/>
          <w:lang w:val="en-US" w:eastAsia="zh-CN" w:bidi="ar-SA"/>
        </w:rPr>
        <w:t xml:space="preserve">节能、环保产品             2分 </w:t>
      </w:r>
      <w:r>
        <w:rPr>
          <w:rFonts w:hint="eastAsia" w:ascii="宋体" w:hAnsi="宋体" w:eastAsia="宋体" w:cs="宋体"/>
          <w:b/>
          <w:sz w:val="24"/>
          <w:lang w:val="en-US" w:eastAsia="zh-CN"/>
        </w:rPr>
      </w:r>
      <w:r/>
    </w:p>
    <w:p>
      <w:pPr>
        <w:pStyle w:val="885"/>
        <w:ind w:firstLine="482"/>
        <w:spacing w:line="360" w:lineRule="auto"/>
        <w:rPr>
          <w:rFonts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、服务方案                   </w:t>
      </w:r>
      <w:r>
        <w:rPr>
          <w:rFonts w:hint="eastAsia" w:ascii="宋体" w:hAnsi="宋体" w:eastAsia="宋体" w:cs="宋体"/>
          <w:b/>
          <w:sz w:val="24"/>
          <w:lang w:val="en-US" w:eastAsia="zh-CN"/>
        </w:rPr>
        <w:t xml:space="preserve">45</w:t>
      </w:r>
      <w:r>
        <w:rPr>
          <w:rFonts w:hint="eastAsia" w:ascii="宋体" w:hAnsi="宋体" w:eastAsia="宋体" w:cs="宋体"/>
          <w:b/>
          <w:sz w:val="24"/>
        </w:rPr>
        <w:t xml:space="preserve">分</w:t>
      </w:r>
      <w:r>
        <w:rPr>
          <w:rFonts w:ascii="宋体" w:hAnsi="宋体" w:eastAsia="宋体" w:cs="宋体"/>
          <w:b/>
          <w:sz w:val="24"/>
        </w:rPr>
      </w:r>
      <w:r/>
    </w:p>
    <w:p>
      <w:pPr>
        <w:pStyle w:val="885"/>
        <w:ind w:firstLine="240"/>
        <w:spacing w:line="360" w:lineRule="auto"/>
        <w:rPr>
          <w:rFonts w:hint="eastAsia" w:ascii="宋体" w:hAnsi="宋体"/>
          <w:b/>
          <w:color w:val="000000"/>
          <w:sz w:val="28"/>
          <w:szCs w:val="28"/>
        </w:rPr>
      </w:pPr>
      <w:r>
        <w:rPr>
          <w:rFonts w:hint="eastAsia" w:ascii="宋体" w:hAnsi="宋体" w:cs="宋体"/>
          <w:sz w:val="24"/>
        </w:rPr>
        <w:t xml:space="preserve">（二）各项目评分标准</w:t>
      </w:r>
      <w:r>
        <w:rPr>
          <w:rFonts w:hint="eastAsia" w:ascii="宋体" w:hAnsi="宋体"/>
          <w:b/>
          <w:color w:val="000000"/>
          <w:sz w:val="28"/>
          <w:szCs w:val="28"/>
        </w:rPr>
      </w:r>
      <w:r/>
    </w:p>
    <w:p>
      <w:pPr>
        <w:pStyle w:val="885"/>
        <w:numPr>
          <w:ilvl w:val="4"/>
          <w:numId w:val="8"/>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价格（30分）：</w:t>
      </w:r>
      <w:r>
        <w:rPr>
          <w:rFonts w:ascii="宋体" w:hAnsi="宋体"/>
          <w:b/>
          <w:bCs/>
          <w:color w:val="000000"/>
          <w:sz w:val="24"/>
          <w:szCs w:val="24"/>
        </w:rPr>
      </w:r>
      <w:r/>
    </w:p>
    <w:p>
      <w:pPr>
        <w:pStyle w:val="88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采用低价优先法计算，即满足招标文件要求且投标价格最低的投标报价为评标基准价，其价格分为满分。其他投标人的价格统一按照下列公式计算：</w:t>
      </w:r>
      <w:r>
        <w:rPr>
          <w:rFonts w:ascii="宋体"/>
          <w:bCs/>
          <w:color w:val="000000"/>
          <w:sz w:val="24"/>
          <w:szCs w:val="24"/>
        </w:rPr>
      </w:r>
      <w:r/>
    </w:p>
    <w:p>
      <w:pPr>
        <w:pStyle w:val="885"/>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5"/>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ascii="宋体" w:hAnsi="宋体"/>
          <w:bCs/>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2.投标人综合情况（7分）</w:t>
      </w:r>
      <w:r>
        <w:rPr>
          <w:rFonts w:hint="eastAsia" w:ascii="宋体" w:hAnsi="宋体"/>
          <w:b/>
          <w:bCs/>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（1）证书（5分）：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①投标人具有有效的信息安全管理体系证书、信息技术服务管理体系证书、知识产权合规管理体系认证证书，有一个证书得1分，最多得3分。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提供证书原件扫描件上传至系统内，未按要求提供不得分）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②投标人具有有效的信息技术服务标准(ITSS)符合性证书（运行维护领域），评估等级为一级的得1分，二级得0.5分，其他不得分。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提供证书原件扫描件上传至系统内，未按要求提供不得分） </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③投标人具有有效的信息安全服务资质认证证书（CCRC），内容为信息系统安全集成或信息系统安全运维，具备一级服务能力的，得1分，其他等级得0.5分。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提供证书原件扫描件上传至系统内，未按要求提供不得分）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（2）业绩（2分）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投标人自2022年1月1日至本项目投标截止日承担过</w:t>
      </w:r>
      <w:r>
        <w:rPr>
          <w:rFonts w:hint="eastAsia" w:ascii="宋体" w:hAnsi="宋体"/>
          <w:b w:val="0"/>
          <w:bCs w:val="0"/>
          <w:color w:val="000000"/>
          <w:sz w:val="24"/>
          <w:szCs w:val="24"/>
          <w:lang w:val="en-US" w:eastAsia="zh-CN"/>
        </w:rPr>
        <w:t xml:space="preserve">同类</w:t>
      </w:r>
      <w:r>
        <w:rPr>
          <w:rFonts w:hint="eastAsia" w:ascii="宋体" w:hAnsi="宋体"/>
          <w:b w:val="0"/>
          <w:bCs w:val="0"/>
          <w:color w:val="000000"/>
          <w:sz w:val="24"/>
          <w:szCs w:val="24"/>
        </w:rPr>
        <w:t xml:space="preserve">项目的，每提供一个得1分，最多得2分。</w:t>
      </w:r>
      <w:r>
        <w:rPr>
          <w:rFonts w:hint="eastAsia" w:ascii="宋体" w:hAnsi="宋体"/>
          <w:b/>
          <w:bCs/>
          <w:color w:val="000000"/>
          <w:sz w:val="24"/>
          <w:szCs w:val="24"/>
        </w:rPr>
        <w:t xml:space="preserve">（时间以合同签订日期为准，</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提供合同原件扫描件签章上传至系统内，不提供不得分）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3．项目人员配置（6分）：以投标人填列的《项目人员配置清单》及按评分要求</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提供证明材料（人员证书原件和投标人为其缴纳的近三个月中任意一个月份（不含投标当月)的社保缴纳证明材料原件并签章上传系统中，否则不得分）。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（1）项目经理（3分）：</w:t>
      </w:r>
      <w:r>
        <w:rPr>
          <w:rFonts w:hint="eastAsia" w:ascii="宋体" w:hAnsi="宋体"/>
          <w:b w:val="0"/>
          <w:bCs w:val="0"/>
          <w:color w:val="000000"/>
          <w:sz w:val="24"/>
          <w:szCs w:val="24"/>
        </w:rPr>
        <w:t xml:space="preserve">拟派的项目经理具备有效的信息系统项目管理师、信息技术应用创新服务经理、信息安全保障人员认证证书（CISAW）（应急服务方向）。每提供一张证书得1分，最多3分。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（2）项目组成员（3分）：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项目组成员具备有效的网络规划设计师、系统架构设计师、软件测试工程师、注册信息安全工程师证书，每提供一类得0.5分，最多得2分。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项目组成员具备有效的ITSS-IT服务工程师证书的，每提供1个得0.5分，最高得1分。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注：项目经理及项目组成员一人多证不重复得分。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bCs/>
          <w:color w:val="000000"/>
          <w:sz w:val="24"/>
          <w:szCs w:val="24"/>
        </w:rPr>
        <w:t xml:space="preserve">4．产品配置（10分）：</w:t>
      </w:r>
      <w:r>
        <w:rPr>
          <w:rFonts w:hint="eastAsia" w:ascii="宋体" w:hAnsi="宋体"/>
          <w:b/>
          <w:bCs/>
          <w:color w:val="000000"/>
          <w:sz w:val="24"/>
          <w:szCs w:val="24"/>
        </w:rPr>
        <w:t xml:space="preserve">重点考察产品的综合性能指标，以各种技术、性能参数为准，满足要求且按要求提供相关证明材料的，否则不得分。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①广域核心路由器（2分）：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支持1G粒度的网络硬切片能力，支持硬切片在线带宽弹性扩容且业务不丢包。满足的得1分。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支持根据不同的网络服务要求如时延、带宽、安全性和可靠性等来划分切片网络，以应对不同的网络应用场景。满足的得1分。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②核心交换机（1分）：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支持安全零配置部署（SZTP），提供更加安全的ZTP开局方案。满足的得1分。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 ③互联网防火墙（2分）：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支持策略路由与ISP地址库、链路负载联动，可根据目标IP所属ISP、链路质量自动选择最优出口链路；具备链路故障自动检测与切换能力，故障时快速切换至备份链路。满足的得1分。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提供设备系统功能截图或具有CMA或CNAS资质的第三方机构出具的检测报告原件扫描件并签章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支持基于硬件Hypervisor技术的底层虚拟化，拥有独立的CPU、内存、接口等资源，各个虚拟防火墙之间逻辑隔离。满足的得1分。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提供设备系统功能截图或具有CMA或CNAS资质的第三方机构出具的检测报告原件扫描件并签章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④超融合一体机（3分）：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软件支持虚拟磁盘页面对齐功能，可根据业务需求设置磁盘页面，定义数据存储单元设置值为4K、8K、16K、32K，从而达到存储页面与业务应用业务最佳匹配以提升存储读写效率。满足的得1分。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软件支持虚拟机的故障疏散/迁移功能，在物理节点发生故障后，虚拟机可自动进行疏散/迁移至正常节点启动，支持5个等级以上自定义故障疏散/迁移优先级，高优先级虚拟机将进行优先疏散/迁移。满足的得1分。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软件支持通过配置虚拟磁盘压缩算法（至少支持LZ4、Gzip_opt、Gzip_high算法），可进行写入数据压缩，提高存储空间的磁盘利用率。满足的得1分。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⑤网络安全分析审计系统（2分）：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支持异常流量检测：</w:t>
      </w:r>
      <w:r>
        <w:rPr>
          <w:rFonts w:hint="eastAsia" w:ascii="宋体" w:hAnsi="宋体"/>
          <w:b w:val="0"/>
          <w:bCs w:val="0"/>
          <w:color w:val="000000"/>
          <w:sz w:val="24"/>
          <w:szCs w:val="24"/>
        </w:rPr>
        <w:t xml:space="preserve">支持对宏观流量阈值检测，包括但不限于流量大小阈值、数据包大小阈值、数据包分布区间阈值、ARP数据包阈值、ICMP数据包阈值、IP包和非IP包流量阈值、TCP流量阈值等；支持对微观流量阈值检测，包括但不限于特定网络协议指标、特定网络应用指标、特定端口指标、特定资产地址指标、特定网段指标等；告警支持按照1s、10s、1min等时间周期触发，可指定触发时间段范围；触发告警能够直接关联原始流量上下文进行回溯分析或原始通讯数据包下载。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提供系统截图或具有CMA或CNAS资质的第三方机构出具的检测报告原件扫描件并签章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数据包解析及安全分析工具具有计算机软件著作权登记证书。工具支持安全分析功能，能对疑似ARP攻击、蠕虫攻击、DOS攻击、TCP端口扫描、可疑会话、可疑IP地址、木马流等场景进行自动化分析。满足的得1分。</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须</w:t>
      </w:r>
      <w:r>
        <w:rPr>
          <w:rFonts w:hint="eastAsia" w:ascii="宋体" w:hAnsi="宋体"/>
          <w:b/>
          <w:bCs/>
          <w:color w:val="000000"/>
          <w:sz w:val="24"/>
          <w:szCs w:val="24"/>
        </w:rPr>
        <w:t xml:space="preserve">提供系统截图或具有CMA或CNAS资质的第三方机构出具的检测报告原件扫描件并签章</w:t>
      </w:r>
      <w:r>
        <w:rPr>
          <w:rFonts w:hint="eastAsia"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否则不得分</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5.节能、环保产品（2分）：</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val="0"/>
          <w:bCs w:val="0"/>
          <w:color w:val="00000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w:t>
      </w:r>
      <w:r>
        <w:rPr>
          <w:rFonts w:hint="eastAsia" w:ascii="宋体" w:hAnsi="宋体"/>
          <w:b w:val="0"/>
          <w:bCs w:val="0"/>
          <w:color w:val="000000"/>
          <w:sz w:val="24"/>
          <w:szCs w:val="24"/>
          <w:lang w:eastAsia="zh-CN"/>
        </w:rPr>
        <w:t xml:space="preserve">。</w:t>
      </w:r>
      <w:r>
        <w:rPr>
          <w:rFonts w:hint="eastAsia" w:ascii="宋体" w:hAnsi="宋体"/>
          <w:b/>
          <w:bCs/>
          <w:color w:val="000000"/>
          <w:sz w:val="24"/>
          <w:szCs w:val="24"/>
        </w:rPr>
        <w:t xml:space="preserve">（投标时须提供所投产品由国家确定的认证机构出具的、处于有效期之内的节能产品认证证书</w:t>
      </w:r>
      <w:r>
        <w:rPr>
          <w:rFonts w:hint="eastAsia" w:ascii="宋体" w:hAnsi="宋体"/>
          <w:b/>
          <w:bCs/>
          <w:color w:val="000000"/>
          <w:sz w:val="24"/>
          <w:szCs w:val="24"/>
          <w:lang w:val="en-US" w:eastAsia="zh-CN"/>
        </w:rPr>
        <w:t xml:space="preserve">原</w:t>
      </w:r>
      <w:r>
        <w:rPr>
          <w:rFonts w:hint="eastAsia" w:ascii="宋体" w:hAnsi="宋体"/>
          <w:b/>
          <w:bCs/>
          <w:color w:val="000000"/>
          <w:sz w:val="24"/>
          <w:szCs w:val="24"/>
        </w:rPr>
        <w:t xml:space="preserve">件、环境标志产品认证证书</w:t>
      </w:r>
      <w:r>
        <w:rPr>
          <w:rFonts w:hint="eastAsia" w:ascii="宋体" w:hAnsi="宋体"/>
          <w:b/>
          <w:bCs/>
          <w:color w:val="000000"/>
          <w:sz w:val="24"/>
          <w:szCs w:val="24"/>
          <w:lang w:val="en-US" w:eastAsia="zh-CN"/>
        </w:rPr>
        <w:t xml:space="preserve">原</w:t>
      </w:r>
      <w:r>
        <w:rPr>
          <w:rFonts w:hint="eastAsia" w:ascii="宋体" w:hAnsi="宋体"/>
          <w:b/>
          <w:bCs/>
          <w:color w:val="000000"/>
          <w:sz w:val="24"/>
          <w:szCs w:val="24"/>
        </w:rPr>
        <w:t xml:space="preserve">件</w:t>
      </w:r>
      <w:r>
        <w:rPr>
          <w:rFonts w:hint="eastAsia" w:ascii="宋体" w:hAnsi="宋体"/>
          <w:b/>
          <w:bCs/>
          <w:color w:val="000000"/>
          <w:sz w:val="24"/>
          <w:szCs w:val="24"/>
          <w:lang w:val="en-US" w:eastAsia="zh-CN"/>
        </w:rPr>
        <w:t xml:space="preserve">扫描并上传，</w:t>
      </w:r>
      <w:r>
        <w:rPr>
          <w:rFonts w:hint="eastAsia" w:ascii="宋体" w:hAnsi="宋体"/>
          <w:b/>
          <w:bCs/>
          <w:color w:val="000000"/>
          <w:sz w:val="24"/>
          <w:szCs w:val="24"/>
        </w:rPr>
        <w:t xml:space="preserve">否则不得分）。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6．服务方案（45分）：考察投标人项目服务方案，在响应采购文件需求的基础上针对下列各部分进行评价，无方案不得分。</w:t>
      </w:r>
      <w:r>
        <w:rPr>
          <w:rFonts w:hint="eastAsia" w:ascii="宋体" w:hAnsi="宋体"/>
          <w:b/>
          <w:bCs/>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（1）对本项目的理解分析（8分）：投标人对项目网络现状、安全现状、维护服务现状以及项目需求、目标等方面进行分析阐述。</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现状分析完整准确、需求目标清晰、内容描述完整的得8分；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现状分析基本完整、需求目标较为清晰、内容描述完整性一般，得5分；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现状分析与实际偏差较大、需求目标不清晰、内容描述不完整性，得2分；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（2）网络建设方案（9分）：结合项目采购的网络设备，按照电子政务外网建设要求，投标人提供建设方案，包括技术路线、网络整体结构、硬件部署、业务迁移以及与市电子政务外网对接方案。</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网络结构设计清晰合理，技术路线与业务迁移方案切实可行，与市电子政务外网对接方案合理，得9分；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网络结构设计符合需求，技术路线与业务迁移方案基本可行，满足与市电子政务外网对接要求，得6分；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网络结构设计笼统，技术路线与业务迁移方案缺乏可实施的具体方案，与市电子政务外网对接方案不合理，得3分；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（3）安全建设方案（9分）：结合项目需求，按照信息系统安全等级保护要求及电子政务外网建设要求，投标人提供安全设备及软件的建设方案，包括整体安全方案、软硬件的部署、功能及说明等。</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整体安全方案详实可行、安全架构完善合理、软硬件功能优于采购需求，得9分；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整体安全方案可行、安全架构基本合理、软硬件功能满足项目需求，得6分；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整体安全方案一般、安全架构不完善、软硬件功能基本满足项目需求，得3分；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4）项目实施方案（6分）：结合项目需求，投标人提供详细的项目实施方案和计划，包括实施方案的可行性、可靠性，实施组织管理、进度管理、质量管理、风险及安全管理、文档管理等各项组织管理能效措施。</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项目实施方案和计划方案清晰、完善、合理，可行性强得6分；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项目实施方案和计划方案较为完善、合理，具有较强可行性得4分；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项目实施方案和计划方案基本满足招标文件要求得2分；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5）验收及培训方案（6分）：结合项目需求，投标人提供详细合理的项目验收及培训方案。包括项目验收内容及标准、验收方式与流程、验收交付成果；项目培训课程内容的设置、培训的人员选择、培训方式、培训计划及效果检验等。</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项目验收及培训方案清晰、完善、合理，可行性强得6分；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项目验收及培训方案较为完善、合理，具有较强可行性得4分；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项目验收及培训方案基本满足招标文件要求得2分；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firstLine="482"/>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（6）售后服务方案（7分）：结合项目需求，投标人提供详细的售后服务方案，包括服务流程及内容、服务质量保证、人员配置及分工、响应时限、应急预案等内容。</w:t>
      </w:r>
      <w:r>
        <w:rPr>
          <w:rFonts w:hint="eastAsia" w:ascii="宋体" w:hAnsi="宋体"/>
          <w:b/>
          <w:bCs/>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售后服务方案全面合理，服务流程及内容具体，质量保证方案完善，人员齐备，响应及时，应急预案合理，得7分；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售后服务方案较为全面，服务流程及内容、质量保证方案较为完善，服务人员配备、响应时限满足需求，得4分；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售后服务方案不全面，服务流程及内容、质量保证方案不完善，服务人员、响应时限基本符合需求，得1分；</w:t>
      </w:r>
      <w:r>
        <w:rPr>
          <w:rFonts w:hint="eastAsia" w:ascii="宋体" w:hAnsi="宋体"/>
          <w:b w:val="0"/>
          <w:bCs w:val="0"/>
          <w:color w:val="000000"/>
          <w:sz w:val="24"/>
          <w:szCs w:val="24"/>
        </w:rPr>
      </w:r>
      <w:r/>
    </w:p>
    <w:p>
      <w:pPr>
        <w:pStyle w:val="885"/>
        <w:ind w:firstLine="480"/>
        <w:spacing w:line="360" w:lineRule="auto"/>
        <w:tabs>
          <w:tab w:val="left" w:pos="945" w:leader="none"/>
          <w:tab w:val="left" w:pos="1155" w:leader="none"/>
          <w:tab w:val="left" w:pos="3823" w:leader="none"/>
        </w:tabs>
        <w:rPr>
          <w:rFonts w:hint="eastAsia" w:ascii="宋体" w:hAnsi="宋体"/>
          <w:b w:val="0"/>
          <w:bCs w:val="0"/>
          <w:color w:val="000000"/>
          <w:sz w:val="24"/>
          <w:szCs w:val="24"/>
        </w:rPr>
      </w:pPr>
      <w:r>
        <w:rPr>
          <w:rFonts w:hint="eastAsia" w:ascii="宋体" w:hAnsi="宋体"/>
          <w:b w:val="0"/>
          <w:bCs w:val="0"/>
          <w:color w:val="000000"/>
          <w:sz w:val="24"/>
          <w:szCs w:val="24"/>
        </w:rPr>
        <w:t xml:space="preserve">未提供方案不得分。</w:t>
      </w:r>
      <w:r>
        <w:rPr>
          <w:rFonts w:hint="eastAsia" w:ascii="宋体" w:hAnsi="宋体"/>
          <w:b w:val="0"/>
          <w:bCs w:val="0"/>
          <w:color w:val="000000"/>
          <w:sz w:val="24"/>
          <w:szCs w:val="24"/>
        </w:rPr>
      </w:r>
      <w:r/>
    </w:p>
    <w:p>
      <w:pPr>
        <w:pStyle w:val="885"/>
        <w:ind w:left="481" w:firstLine="241"/>
        <w:spacing w:line="360" w:lineRule="auto"/>
        <w:tabs>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r>
      <w:r/>
    </w:p>
    <w:p>
      <w:pPr>
        <w:pStyle w:val="885"/>
        <w:ind w:left="481" w:firstLine="240"/>
        <w:spacing w:line="500" w:lineRule="exact"/>
        <w:tabs>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pStyle w:val="885"/>
        <w:jc w:val="center"/>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89"/>
      <w:r/>
      <w:bookmarkEnd w:id="190"/>
      <w:r/>
      <w:bookmarkEnd w:id="191"/>
      <w:r>
        <w:rPr>
          <w:rFonts w:hint="eastAsia" w:ascii="黑体" w:eastAsia="黑体"/>
          <w:bCs/>
          <w:color w:val="000000"/>
          <w:sz w:val="36"/>
          <w:szCs w:val="36"/>
        </w:rPr>
        <w:t xml:space="preserve">投标文件内容与格式</w:t>
      </w:r>
      <w:r>
        <w:rPr>
          <w:rFonts w:hint="eastAsia" w:ascii="黑体" w:eastAsia="黑体"/>
          <w:bCs/>
          <w:color w:val="000000"/>
          <w:sz w:val="36"/>
          <w:szCs w:val="36"/>
        </w:rPr>
      </w:r>
      <w:r/>
    </w:p>
    <w:p>
      <w:pPr>
        <w:pStyle w:val="972"/>
        <w:ind w:firstLine="602"/>
        <w:spacing w:before="0" w:after="0" w:line="500" w:lineRule="exact"/>
        <w:rPr>
          <w:rFonts w:hint="eastAsia" w:cs="Arial"/>
          <w:b/>
          <w:color w:val="000000"/>
          <w:sz w:val="30"/>
          <w:szCs w:val="30"/>
        </w:rPr>
      </w:pPr>
      <w:r/>
      <w:bookmarkStart w:id="193" w:name="_Hlt26955039"/>
      <w:r/>
      <w:bookmarkEnd w:id="193"/>
      <w:r/>
      <w:bookmarkStart w:id="194" w:name="_Toc49090576"/>
      <w:r/>
      <w:bookmarkStart w:id="195" w:name="_Toc26554094"/>
      <w:r/>
      <w:bookmarkStart w:id="196" w:name="_Toc120614282"/>
      <w:r/>
      <w:bookmarkStart w:id="197" w:name="_Hlt26671244"/>
      <w:r/>
      <w:bookmarkEnd w:id="197"/>
      <w:r>
        <w:rPr>
          <w:rFonts w:hint="eastAsia" w:cs="Arial"/>
          <w:b/>
          <w:color w:val="000000"/>
          <w:sz w:val="30"/>
          <w:szCs w:val="30"/>
        </w:rPr>
        <w:t xml:space="preserve">第一部分  投标文件内容</w:t>
      </w:r>
      <w:r>
        <w:rPr>
          <w:rFonts w:hint="eastAsia" w:cs="Arial"/>
          <w:b/>
          <w:color w:val="000000"/>
          <w:sz w:val="30"/>
          <w:szCs w:val="30"/>
        </w:rPr>
      </w:r>
      <w:r/>
    </w:p>
    <w:p>
      <w:pPr>
        <w:pStyle w:val="972"/>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972"/>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rPr>
                <w:rFonts w:hint="eastAsia" w:ascii="宋体" w:hAnsi="宋体" w:cs="宋体"/>
                <w:b/>
                <w:color w:val="000000"/>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rPr>
                <w:rFonts w:hint="eastAsia" w:ascii="宋体" w:hAnsi="宋体" w:cs="宋体"/>
                <w:color w:val="000000"/>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885"/>
              <w:widowControl/>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rPr>
                <w:rFonts w:hint="eastAsia" w:ascii="宋体" w:hAnsi="宋体" w:cs="宋体"/>
                <w:color w:val="000000"/>
                <w:sz w:val="24"/>
                <w:szCs w:val="24"/>
              </w:rPr>
            </w:r>
            <w:r/>
          </w:p>
        </w:tc>
        <w:tc>
          <w:tcPr>
            <w:tcW w:w="2449" w:type="dxa"/>
            <w:vAlign w:val="center"/>
            <w:textDirection w:val="lrTb"/>
            <w:noWrap w:val="false"/>
          </w:tcPr>
          <w:p>
            <w:pPr>
              <w:pStyle w:val="972"/>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72"/>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rPr>
                <w:rFonts w:hint="eastAsia" w:ascii="宋体" w:hAnsi="宋体" w:cs="宋体"/>
                <w:bCs/>
                <w:color w:val="000000"/>
              </w:rPr>
            </w:r>
            <w:r/>
          </w:p>
        </w:tc>
        <w:tc>
          <w:tcPr>
            <w:tcW w:w="2449" w:type="dxa"/>
            <w:vAlign w:val="center"/>
            <w:textDirection w:val="lrTb"/>
            <w:noWrap w:val="false"/>
          </w:tcPr>
          <w:p>
            <w:pPr>
              <w:pStyle w:val="972"/>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885"/>
        <w:numPr>
          <w:ilvl w:val="0"/>
          <w:numId w:val="9"/>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rPr>
          <w:rFonts w:hint="eastAsia" w:ascii="宋体" w:hAnsi="宋体"/>
          <w:color w:val="000000"/>
          <w:sz w:val="24"/>
          <w:szCs w:val="24"/>
        </w:rPr>
      </w:r>
      <w:r/>
    </w:p>
    <w:p>
      <w:pPr>
        <w:pStyle w:val="885"/>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p>
      <w:pPr>
        <w:pStyle w:val="885"/>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360" w:lineRule="auto"/>
              <w:rPr>
                <w:rFonts w:hint="eastAsia" w:cs="Arial"/>
                <w:b/>
                <w:color w:val="000000"/>
              </w:rPr>
            </w:pPr>
            <w:r>
              <w:rPr>
                <w:rFonts w:hint="eastAsia" w:ascii="宋体" w:hAnsi="宋体" w:cs="Arial"/>
                <w:b/>
                <w:color w:val="000000"/>
              </w:rPr>
              <w:t xml:space="preserve">序号</w:t>
            </w:r>
            <w:r>
              <w:rPr>
                <w:rFonts w:hint="eastAsia" w:cs="Arial"/>
                <w:b/>
                <w:color w:val="000000"/>
              </w:rPr>
            </w:r>
            <w:r/>
          </w:p>
        </w:tc>
        <w:tc>
          <w:tcPr>
            <w:tcW w:w="6095" w:type="dxa"/>
            <w:vAlign w:val="center"/>
            <w:textDirection w:val="lrTb"/>
            <w:noWrap w:val="false"/>
          </w:tcPr>
          <w:p>
            <w:pPr>
              <w:pStyle w:val="972"/>
              <w:ind w:firstLine="0"/>
              <w:jc w:val="center"/>
              <w:spacing w:before="0" w:after="0" w:line="360" w:lineRule="auto"/>
              <w:rPr>
                <w:rFonts w:hint="eastAsia" w:cs="Arial"/>
                <w:b/>
                <w:color w:val="000000"/>
              </w:rPr>
            </w:pPr>
            <w:r>
              <w:rPr>
                <w:rFonts w:hint="eastAsia" w:ascii="宋体" w:hAnsi="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972"/>
              <w:ind w:firstLine="0"/>
              <w:jc w:val="center"/>
              <w:spacing w:before="0" w:after="0" w:line="360" w:lineRule="auto"/>
              <w:rPr>
                <w:rFonts w:hint="eastAsia" w:cs="Arial"/>
                <w:b/>
                <w:color w:val="000000"/>
              </w:rPr>
            </w:pPr>
            <w:r>
              <w:rPr>
                <w:rFonts w:hint="eastAsia" w:ascii="宋体" w:hAnsi="宋体" w:cs="Arial"/>
                <w:b/>
                <w:color w:val="000000"/>
              </w:rPr>
              <w:t xml:space="preserve">审查因素</w:t>
            </w:r>
            <w:r>
              <w:rPr>
                <w:rFonts w:hint="eastAsia" w:cs="Arial"/>
                <w:b/>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972"/>
              <w:ind w:firstLine="0"/>
              <w:jc w:val="center"/>
              <w:spacing w:before="0" w:after="0" w:line="360" w:lineRule="auto"/>
              <w:rPr>
                <w:rFonts w:hint="eastAsia" w:cs="Arial"/>
                <w:color w:val="000000"/>
              </w:rPr>
            </w:pPr>
            <w:r>
              <w:rPr>
                <w:rFonts w:hint="eastAsia" w:ascii="宋体" w:hAnsi="宋体" w:cs="Arial"/>
                <w:color w:val="000000"/>
              </w:rPr>
              <w:t xml:space="preserve">商务符合性</w:t>
            </w: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885"/>
              <w:jc w:val="left"/>
              <w:widowControl/>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rPr>
            </w:pPr>
            <w:r>
              <w:rPr>
                <w:rFonts w:hint="eastAsia" w:ascii="宋体" w:hAnsi="宋体" w:cs="Arial"/>
                <w:color w:val="000000"/>
              </w:rPr>
              <w:t xml:space="preserve">项目人员配置考察表</w:t>
            </w:r>
            <w:r>
              <w:rPr>
                <w:rFonts w:hint="eastAsia" w:ascii="宋体" w:hAnsi="宋体"/>
                <w:color w:val="000000"/>
              </w:rPr>
              <w:t xml:space="preserve">（给定格式）</w:t>
            </w:r>
            <w:r>
              <w:rPr>
                <w:rFonts w:hint="eastAsia" w:ascii="宋体" w:hAnsi="宋体" w:cs="Arial"/>
                <w:color w:val="000000"/>
              </w:rPr>
            </w:r>
            <w:r/>
          </w:p>
        </w:tc>
        <w:tc>
          <w:tcPr>
            <w:tcW w:w="1979" w:type="dxa"/>
            <w:vAlign w:val="center"/>
            <w:vMerge w:val="continue"/>
            <w:textDirection w:val="lrTb"/>
            <w:noWrap w:val="false"/>
          </w:tcPr>
          <w:p>
            <w:pPr>
              <w:pStyle w:val="972"/>
              <w:ind w:firstLine="0"/>
              <w:jc w:val="center"/>
              <w:spacing w:before="0" w:after="0"/>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885"/>
              <w:jc w:val="center"/>
              <w:spacing w:line="360" w:lineRule="auto"/>
              <w:widowControl/>
              <w:rPr>
                <w:rFonts w:hint="eastAsia" w:cs="Arial"/>
                <w:color w:val="000000"/>
              </w:rPr>
            </w:pPr>
            <w:r>
              <w:rPr>
                <w:rFonts w:hint="eastAsia" w:ascii="宋体" w:hAnsi="宋体" w:cs="Arial"/>
                <w:color w:val="000000"/>
                <w:sz w:val="24"/>
                <w:szCs w:val="24"/>
              </w:rPr>
              <w:t xml:space="preserve">报价符合性</w:t>
            </w: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885"/>
              <w:spacing w:line="360" w:lineRule="auto"/>
              <w:rPr>
                <w:rFonts w:ascii="宋体" w:hAnsi="宋体" w:cs="Arial"/>
                <w:color w:val="000000"/>
              </w:rPr>
              <w:outlineLvl w:val="0"/>
            </w:pPr>
            <w:r>
              <w:rPr>
                <w:rFonts w:hint="eastAsia" w:ascii="宋体" w:hAnsi="宋体"/>
                <w:color w:val="000000"/>
                <w:sz w:val="24"/>
                <w:szCs w:val="24"/>
              </w:rPr>
              <w:t xml:space="preserve">分项报价表（给定格式）</w:t>
            </w:r>
            <w:r>
              <w:rPr>
                <w:rFonts w:ascii="宋体" w:hAnsi="宋体" w:cs="Arial"/>
                <w:color w:val="000000"/>
              </w:rPr>
            </w:r>
            <w:r/>
          </w:p>
        </w:tc>
        <w:tc>
          <w:tcPr>
            <w:tcW w:w="1979" w:type="dxa"/>
            <w:vAlign w:val="center"/>
            <w:vMerge w:val="continue"/>
            <w:textDirection w:val="lrTb"/>
            <w:noWrap w:val="false"/>
          </w:tcPr>
          <w:p>
            <w:pPr>
              <w:pStyle w:val="885"/>
              <w:jc w:val="center"/>
              <w:widowControl/>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olor w:val="000000"/>
              </w:rPr>
            </w:pPr>
            <w:r>
              <w:rPr>
                <w:rFonts w:hint="eastAsia" w:ascii="宋体" w:hAnsi="宋体"/>
                <w:color w:val="000000"/>
              </w:rPr>
              <w:t xml:space="preserve">投标偏离表（给定格式）</w:t>
            </w:r>
            <w:r>
              <w:rPr>
                <w:rFonts w:hint="eastAsia" w:ascii="宋体" w:hAnsi="宋体"/>
                <w:color w:val="000000"/>
              </w:rPr>
            </w:r>
            <w:r/>
          </w:p>
        </w:tc>
        <w:tc>
          <w:tcPr>
            <w:tcW w:w="1979" w:type="dxa"/>
            <w:vAlign w:val="center"/>
            <w:vMerge w:val="restart"/>
            <w:textDirection w:val="lrTb"/>
            <w:noWrap w:val="false"/>
          </w:tcPr>
          <w:p>
            <w:pPr>
              <w:pStyle w:val="972"/>
              <w:ind w:firstLine="0"/>
              <w:jc w:val="center"/>
              <w:spacing w:before="0" w:after="0" w:line="360" w:lineRule="auto"/>
              <w:rPr>
                <w:rFonts w:hint="eastAsia" w:cs="Arial"/>
                <w:color w:val="000000"/>
              </w:rPr>
            </w:pPr>
            <w:r>
              <w:rPr>
                <w:rFonts w:hint="eastAsia" w:ascii="宋体" w:hAnsi="宋体" w:cs="Arial"/>
                <w:color w:val="000000"/>
              </w:rPr>
              <w:t xml:space="preserve">技术符合性</w:t>
            </w:r>
            <w:r>
              <w:rPr>
                <w:rFonts w:hint="eastAsia" w:cs="Arial"/>
                <w:color w:val="000000"/>
              </w:rPr>
            </w:r>
            <w:r/>
          </w:p>
        </w:tc>
      </w:tr>
      <w:tr>
        <w:trPr>
          <w:cantSplit/>
          <w:trHeight w:val="567"/>
        </w:trPr>
        <w:tc>
          <w:tcPr>
            <w:tcW w:w="823" w:type="dxa"/>
            <w:vAlign w:val="center"/>
            <w:textDirection w:val="lrTb"/>
            <w:noWrap w:val="false"/>
          </w:tcPr>
          <w:p>
            <w:pPr>
              <w:pStyle w:val="972"/>
              <w:ind w:firstLine="0"/>
              <w:jc w:val="center"/>
              <w:spacing w:before="0" w:after="0" w:line="36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6095" w:type="dxa"/>
            <w:vAlign w:val="center"/>
            <w:textDirection w:val="lrTb"/>
            <w:noWrap w:val="false"/>
          </w:tcPr>
          <w:p>
            <w:pPr>
              <w:pStyle w:val="972"/>
              <w:ind w:firstLine="0"/>
              <w:jc w:val="both"/>
              <w:spacing w:before="0" w:after="0" w:line="36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885"/>
              <w:jc w:val="left"/>
              <w:widowControl/>
              <w:rPr>
                <w:rFonts w:hint="eastAsia" w:cs="Arial"/>
                <w:color w:val="000000"/>
              </w:rPr>
            </w:pPr>
            <w:r>
              <w:rPr>
                <w:rFonts w:hint="eastAsia" w:cs="Arial"/>
                <w:color w:val="000000"/>
              </w:rPr>
            </w:r>
            <w:r/>
          </w:p>
        </w:tc>
      </w:tr>
    </w:tbl>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w:t>
      </w:r>
      <w:r>
        <w:rPr>
          <w:rFonts w:hint="eastAsia" w:ascii="宋体" w:hAnsi="宋体"/>
          <w:color w:val="000000"/>
          <w:sz w:val="24"/>
          <w:szCs w:val="24"/>
        </w:rPr>
        <w:t xml:space="preserve">6项必须按要求全部提供（有给定格式的，必须按给定格式的要求正确填报并提供，相应格式见本章第二部分），否则投标文件无效。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w:t>
      </w:r>
      <w:r>
        <w:rPr>
          <w:rFonts w:hint="eastAsia" w:ascii="宋体" w:hAnsi="宋体" w:cs="Arial"/>
          <w:color w:val="000000"/>
          <w:sz w:val="24"/>
          <w:szCs w:val="24"/>
          <w:lang w:val="en-US" w:eastAsia="zh-CN"/>
        </w:rPr>
        <w:t xml:space="preserve">7</w:t>
      </w:r>
      <w:r>
        <w:rPr>
          <w:rFonts w:hint="eastAsia" w:ascii="宋体" w:hAnsi="宋体" w:cs="Arial"/>
          <w:color w:val="000000"/>
          <w:sz w:val="24"/>
          <w:szCs w:val="24"/>
        </w:rPr>
        <w:t xml:space="preserve">项，《采购需求》中如有要求提供证明材料的，须按要求提供，否则投标文件无效。</w:t>
      </w:r>
      <w:r>
        <w:rPr>
          <w:rFonts w:hint="eastAsia" w:ascii="宋体" w:hAnsi="宋体"/>
          <w:color w:val="000000"/>
          <w:sz w:val="24"/>
          <w:szCs w:val="24"/>
        </w:rPr>
      </w:r>
      <w:r/>
    </w:p>
    <w:p>
      <w:pPr>
        <w:pStyle w:val="885"/>
        <w:numPr>
          <w:ilvl w:val="0"/>
          <w:numId w:val="10"/>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项可由联合体主体单位（即联合体牵头人）代表联合体提供。第</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项按《采购需求》中的相应要求（如有）进行提供。</w:t>
      </w:r>
      <w:r>
        <w:rPr>
          <w:rFonts w:hint="eastAsia" w:ascii="宋体" w:hAnsi="宋体" w:cs="宋体"/>
          <w:color w:val="000000"/>
          <w:sz w:val="24"/>
          <w:szCs w:val="24"/>
        </w:rPr>
      </w:r>
      <w:r/>
    </w:p>
    <w:p>
      <w:pPr>
        <w:pStyle w:val="885"/>
        <w:rPr>
          <w:rFonts w:hint="eastAsia"/>
          <w:b/>
          <w:color w:val="000000"/>
          <w:sz w:val="28"/>
          <w:szCs w:val="28"/>
        </w:rPr>
      </w:pPr>
      <w:r>
        <w:rPr>
          <w:rFonts w:hint="eastAsia"/>
          <w:b/>
          <w:color w:val="000000"/>
          <w:sz w:val="28"/>
          <w:szCs w:val="28"/>
        </w:rPr>
      </w:r>
      <w:r/>
    </w:p>
    <w:p>
      <w:pPr>
        <w:pStyle w:val="885"/>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885"/>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885"/>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885"/>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972"/>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ind w:firstLine="2715"/>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采购项目编号：</w:t>
      </w:r>
      <w:r>
        <w:rPr>
          <w:rFonts w:ascii="等线" w:hAnsi="等线"/>
          <w:bCs/>
          <w:color w:val="000000"/>
          <w:sz w:val="28"/>
          <w:szCs w:val="28"/>
        </w:rPr>
      </w:r>
      <w:r/>
    </w:p>
    <w:p>
      <w:pPr>
        <w:pStyle w:val="885"/>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采购项目名称：</w:t>
      </w:r>
      <w:r>
        <w:rPr>
          <w:rFonts w:ascii="等线" w:hAnsi="等线"/>
          <w:bCs/>
          <w:color w:val="000000"/>
          <w:sz w:val="28"/>
          <w:szCs w:val="28"/>
        </w:rPr>
      </w:r>
      <w:r/>
    </w:p>
    <w:p>
      <w:pPr>
        <w:pStyle w:val="885"/>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投标人：</w:t>
      </w:r>
      <w:r>
        <w:rPr>
          <w:rFonts w:ascii="等线" w:hAnsi="等线"/>
          <w:bCs/>
          <w:color w:val="000000"/>
          <w:sz w:val="28"/>
          <w:szCs w:val="28"/>
        </w:rPr>
      </w:r>
      <w:r/>
    </w:p>
    <w:p>
      <w:pPr>
        <w:pStyle w:val="885"/>
        <w:jc w:val="center"/>
        <w:rPr>
          <w:rFonts w:ascii="等线" w:hAnsi="等线"/>
          <w:bCs/>
          <w:color w:val="000000"/>
          <w:sz w:val="36"/>
          <w:szCs w:val="36"/>
        </w:rPr>
      </w:pPr>
      <w:r>
        <w:rPr>
          <w:rFonts w:ascii="等线" w:hAnsi="等线"/>
          <w:bCs/>
          <w:color w:val="000000"/>
          <w:sz w:val="36"/>
          <w:szCs w:val="36"/>
        </w:rPr>
      </w:r>
      <w:r/>
    </w:p>
    <w:p>
      <w:pPr>
        <w:pStyle w:val="885"/>
        <w:jc w:val="center"/>
        <w:rPr>
          <w:rFonts w:ascii="等线" w:hAnsi="等线"/>
          <w:bCs/>
          <w:color w:val="000000"/>
          <w:sz w:val="40"/>
          <w:szCs w:val="40"/>
        </w:rPr>
      </w:pPr>
      <w:r>
        <w:rPr>
          <w:rFonts w:ascii="等线" w:hAnsi="等线"/>
          <w:bCs/>
          <w:color w:val="000000"/>
          <w:sz w:val="40"/>
          <w:szCs w:val="40"/>
        </w:rPr>
      </w:r>
      <w:r/>
    </w:p>
    <w:p>
      <w:pPr>
        <w:pStyle w:val="885"/>
        <w:jc w:val="center"/>
        <w:rPr>
          <w:rFonts w:ascii="等线" w:hAnsi="等线"/>
          <w:bCs/>
          <w:color w:val="000000"/>
          <w:sz w:val="28"/>
          <w:szCs w:val="28"/>
        </w:rPr>
        <w:outlineLvl w:val="0"/>
      </w:pPr>
      <w:r>
        <w:rPr>
          <w:rFonts w:hint="eastAsia" w:ascii="等线" w:hAnsi="等线"/>
          <w:bCs/>
          <w:color w:val="000000"/>
          <w:sz w:val="28"/>
          <w:szCs w:val="28"/>
        </w:rPr>
        <w:t xml:space="preserve">20   年   月</w:t>
      </w:r>
      <w:r>
        <w:rPr>
          <w:rFonts w:ascii="等线" w:hAnsi="等线"/>
          <w:bCs/>
          <w:color w:val="000000"/>
          <w:sz w:val="28"/>
          <w:szCs w:val="28"/>
        </w:rPr>
      </w:r>
      <w:r/>
    </w:p>
    <w:p>
      <w:pPr>
        <w:pStyle w:val="885"/>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85"/>
        <w:jc w:val="center"/>
        <w:spacing w:line="360" w:lineRule="auto"/>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0"/>
        <w:ind w:firstLine="480"/>
        <w:spacing w:line="360" w:lineRule="auto"/>
        <w:tabs>
          <w:tab w:val="left" w:pos="360" w:leader="none"/>
        </w:tabs>
        <w:rPr>
          <w:rFonts w:hint="eastAsia"/>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rPr>
        <w:t xml:space="preserve">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0"/>
        <w:ind w:firstLine="480"/>
        <w:spacing w:line="360" w:lineRule="auto"/>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0"/>
        <w:ind w:firstLine="480"/>
        <w:spacing w:line="360" w:lineRule="auto"/>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0"/>
        <w:ind w:firstLine="480"/>
        <w:spacing w:line="360" w:lineRule="auto"/>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spacing w:line="360" w:lineRule="auto"/>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0"/>
        <w:ind w:firstLine="0"/>
        <w:spacing w:line="360" w:lineRule="auto"/>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0"/>
        <w:ind w:firstLine="0"/>
        <w:spacing w:line="360" w:lineRule="auto"/>
        <w:tabs>
          <w:tab w:val="left" w:pos="360" w:leader="none"/>
        </w:tabs>
        <w:rPr>
          <w:rFonts w:hint="eastAsia"/>
          <w:color w:val="000000"/>
          <w:sz w:val="24"/>
          <w:szCs w:val="24"/>
        </w:rPr>
      </w:pPr>
      <w:r>
        <w:rPr>
          <w:rFonts w:hint="eastAsia"/>
          <w:color w:val="000000"/>
          <w:sz w:val="24"/>
          <w:szCs w:val="24"/>
        </w:rPr>
        <w:t xml:space="preserve">法定代表人签字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70"/>
        <w:ind w:firstLine="0"/>
        <w:spacing w:line="360" w:lineRule="auto"/>
        <w:tabs>
          <w:tab w:val="left" w:pos="360" w:leader="none"/>
        </w:tabs>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0"/>
        <w:ind w:firstLine="0"/>
        <w:spacing w:line="360" w:lineRule="auto"/>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70"/>
        <w:numPr>
          <w:ilvl w:val="0"/>
          <w:numId w:val="11"/>
        </w:numPr>
        <w:ind w:firstLine="480"/>
        <w:spacing w:line="360" w:lineRule="auto"/>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70"/>
        <w:numPr>
          <w:ilvl w:val="0"/>
          <w:numId w:val="11"/>
        </w:numPr>
        <w:ind w:firstLine="480"/>
        <w:spacing w:line="360" w:lineRule="auto"/>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970"/>
        <w:numPr>
          <w:ilvl w:val="0"/>
          <w:numId w:val="11"/>
        </w:numPr>
        <w:ind w:firstLine="480"/>
        <w:spacing w:line="360" w:lineRule="auto"/>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70"/>
        <w:numPr>
          <w:ilvl w:val="0"/>
          <w:numId w:val="11"/>
        </w:numPr>
        <w:ind w:firstLine="480"/>
        <w:spacing w:line="360" w:lineRule="auto"/>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rPr>
      </w:r>
      <w:r/>
    </w:p>
    <w:p>
      <w:pPr>
        <w:pStyle w:val="970"/>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885"/>
        <w:jc w:val="center"/>
        <w:rPr>
          <w:rFonts w:ascii="黑体" w:eastAsia="黑体"/>
          <w:bCs/>
          <w:color w:val="000000"/>
          <w:sz w:val="28"/>
          <w:szCs w:val="28"/>
        </w:rPr>
        <w:outlineLvl w:val="0"/>
      </w:pPr>
      <w:r/>
      <w:bookmarkStart w:id="198" w:name="报价方关于资格的声明函（格式）"/>
      <w:r/>
      <w:bookmarkEnd w:id="198"/>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5"/>
        <w:jc w:val="center"/>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无锡市滨湖区公共资源交易中心：</w:t>
      </w:r>
      <w:r>
        <w:rPr>
          <w:rFonts w:ascii="宋体"/>
          <w:bCs/>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进行投标，并做如下声明</w:t>
      </w:r>
      <w:r>
        <w:rPr>
          <w:rFonts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5"/>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885"/>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5"/>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88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rPr>
          <w:rFonts w:ascii="黑体" w:eastAsia="黑体"/>
          <w:bCs/>
          <w:color w:val="000000"/>
          <w:sz w:val="28"/>
          <w:szCs w:val="28"/>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85"/>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rPr>
      </w:r>
      <w:r/>
    </w:p>
    <w:p>
      <w:pPr>
        <w:pStyle w:val="885"/>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85"/>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rPr>
      </w:r>
      <w:r/>
    </w:p>
    <w:p>
      <w:pPr>
        <w:pStyle w:val="885"/>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885"/>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rPr>
          <w:color w:val="000000"/>
        </w:rPr>
      </w:r>
      <w:r/>
    </w:p>
    <w:p>
      <w:pPr>
        <w:pStyle w:val="885"/>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85"/>
        <w:spacing w:line="360" w:lineRule="auto"/>
        <w:rPr>
          <w:rFonts w:hint="eastAsia"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rPr>
          <w:rFonts w:hint="eastAsia" w:ascii="宋体" w:hAnsi="宋体" w:cs="宋体"/>
          <w:b/>
          <w:color w:val="000000"/>
          <w:sz w:val="30"/>
          <w:szCs w:val="30"/>
        </w:rPr>
      </w:r>
      <w:r/>
    </w:p>
    <w:p>
      <w:pPr>
        <w:pStyle w:val="885"/>
        <w:ind w:firstLine="482"/>
        <w:spacing w:line="440" w:lineRule="exact"/>
        <w:rPr>
          <w:rFonts w:ascii="Arial" w:hAnsi="Arial"/>
          <w:b/>
          <w:color w:val="000000"/>
          <w:sz w:val="24"/>
        </w:rPr>
      </w:pPr>
      <w:r>
        <w:rPr>
          <w:rFonts w:ascii="Arial" w:hAnsi="Arial"/>
          <w:b/>
          <w:color w:val="000000"/>
          <w:sz w:val="24"/>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5"/>
        <w:jc w:val="center"/>
        <w:rPr>
          <w:rFonts w:ascii="黑体" w:eastAsia="黑体"/>
          <w:bCs/>
          <w:color w:val="000000"/>
          <w:sz w:val="28"/>
          <w:szCs w:val="28"/>
        </w:rPr>
      </w:pPr>
      <w:r>
        <w:rPr>
          <w:rFonts w:ascii="黑体" w:eastAsia="黑体"/>
          <w:bCs/>
          <w:color w:val="000000"/>
          <w:sz w:val="28"/>
          <w:szCs w:val="28"/>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rPr>
          <w:rFonts w:hint="eastAsia"/>
          <w:b/>
          <w:color w:val="000000"/>
          <w:sz w:val="30"/>
          <w:szCs w:val="30"/>
        </w:rPr>
      </w:r>
      <w:r/>
    </w:p>
    <w:p>
      <w:pPr>
        <w:pStyle w:val="88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5"/>
        <w:spacing w:line="400" w:lineRule="exact"/>
        <w:rPr>
          <w:rFonts w:ascii="宋体"/>
          <w:bCs/>
          <w:color w:val="000000"/>
          <w:sz w:val="24"/>
          <w:szCs w:val="24"/>
        </w:rPr>
      </w:pPr>
      <w:r>
        <w:rPr>
          <w:rFonts w:hint="eastAsia" w:ascii="宋体" w:hAnsi="宋体"/>
          <w:bCs/>
          <w:color w:val="000000"/>
          <w:sz w:val="24"/>
          <w:szCs w:val="24"/>
        </w:rPr>
        <w:t xml:space="preserve">致无锡市滨湖区公共资源交易中心：</w:t>
      </w:r>
      <w:r>
        <w:rPr>
          <w:rFonts w:ascii="宋体"/>
          <w:bCs/>
          <w:color w:val="000000"/>
          <w:sz w:val="24"/>
          <w:szCs w:val="24"/>
        </w:rPr>
      </w:r>
      <w:r/>
    </w:p>
    <w:p>
      <w:pPr>
        <w:pStyle w:val="885"/>
        <w:ind w:firstLine="48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我方愿意提供无锡市滨湖区公共资源交易中心在招标文件中要求的文件、资料。</w:t>
      </w:r>
      <w:r>
        <w:rPr>
          <w:rStyle w:val="959"/>
          <w:bCs/>
          <w:color w:val="000000"/>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我方同意按照招标文件中的规定，从规定的开标日期起遵循本投标文件，并在规定的投标有效期期满之前均具有约束力。</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5"/>
        <w:jc w:val="right"/>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5"/>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rPr>
          <w:rFonts w:hint="eastAsia"/>
          <w:b/>
          <w:color w:val="000000"/>
          <w:sz w:val="30"/>
          <w:szCs w:val="30"/>
        </w:rPr>
      </w:r>
      <w:r/>
    </w:p>
    <w:p>
      <w:pPr>
        <w:pStyle w:val="885"/>
        <w:jc w:val="center"/>
        <w:rPr>
          <w:rFonts w:hint="eastAsia" w:ascii="黑体" w:eastAsia="黑体"/>
          <w:bCs/>
          <w:color w:val="000000"/>
          <w:sz w:val="28"/>
          <w:szCs w:val="28"/>
        </w:rPr>
      </w:pPr>
      <w:r>
        <w:rPr>
          <w:rFonts w:hint="eastAsia" w:ascii="黑体" w:eastAsia="黑体"/>
          <w:bCs/>
          <w:color w:val="000000"/>
          <w:sz w:val="28"/>
          <w:szCs w:val="28"/>
        </w:rPr>
        <w:t xml:space="preserve">承诺书</w:t>
      </w:r>
      <w:r>
        <w:rPr>
          <w:rFonts w:hint="eastAsia" w:ascii="黑体" w:eastAsia="黑体"/>
          <w:bCs/>
          <w:color w:val="000000"/>
          <w:sz w:val="28"/>
          <w:szCs w:val="28"/>
        </w:rPr>
      </w:r>
      <w:r/>
    </w:p>
    <w:p>
      <w:pPr>
        <w:pStyle w:val="885"/>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rPr>
          <w:rFonts w:ascii="宋体" w:hAnsi="宋体"/>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rPr>
          <w:rFonts w:ascii="宋体" w:hAnsi="宋体"/>
          <w:bCs/>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rPr>
          <w:rFonts w:hint="eastAsia" w:ascii="宋体"/>
          <w:bCs/>
          <w:color w:val="000000"/>
          <w:sz w:val="24"/>
          <w:szCs w:val="24"/>
        </w:rPr>
      </w:r>
      <w:r/>
    </w:p>
    <w:p>
      <w:pPr>
        <w:pStyle w:val="885"/>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85"/>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r>
      <w:r/>
    </w:p>
    <w:p>
      <w:pPr>
        <w:pStyle w:val="885"/>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rPr>
          <w:rFonts w:hint="eastAsia" w:ascii="宋体"/>
          <w:bCs/>
          <w:color w:val="000000"/>
          <w:sz w:val="24"/>
          <w:szCs w:val="24"/>
        </w:rPr>
      </w:r>
      <w:r/>
    </w:p>
    <w:p>
      <w:pPr>
        <w:pStyle w:val="885"/>
        <w:ind w:firstLine="480"/>
        <w:spacing w:line="480" w:lineRule="auto"/>
        <w:rPr>
          <w:rFonts w:hint="eastAsia" w:ascii="宋体"/>
          <w:bCs/>
          <w:color w:val="000000"/>
          <w:sz w:val="24"/>
          <w:szCs w:val="24"/>
        </w:rPr>
      </w:pPr>
      <w:r>
        <w:rPr>
          <w:rFonts w:hint="eastAsia" w:ascii="宋体"/>
          <w:bCs/>
          <w:color w:val="000000"/>
          <w:sz w:val="24"/>
          <w:szCs w:val="24"/>
        </w:rPr>
      </w:r>
      <w:r/>
    </w:p>
    <w:p>
      <w:pPr>
        <w:pStyle w:val="885"/>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85"/>
        <w:ind w:firstLine="5400"/>
        <w:spacing w:line="480" w:lineRule="auto"/>
        <w:rPr>
          <w:rFonts w:ascii="宋体" w:hAnsi="宋体"/>
          <w:bCs/>
          <w:color w:val="000000"/>
          <w:sz w:val="24"/>
          <w:szCs w:val="24"/>
        </w:rPr>
      </w:pPr>
      <w:r>
        <w:rPr>
          <w:rFonts w:ascii="宋体" w:hAnsi="宋体"/>
          <w:bCs/>
          <w:color w:val="000000"/>
          <w:sz w:val="24"/>
          <w:szCs w:val="24"/>
        </w:rPr>
      </w:r>
      <w:r/>
    </w:p>
    <w:p>
      <w:pPr>
        <w:pStyle w:val="885"/>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85"/>
        <w:rPr>
          <w:rFonts w:hint="eastAsia"/>
          <w:b/>
          <w:color w:val="000000"/>
          <w:sz w:val="30"/>
          <w:szCs w:val="30"/>
        </w:rPr>
        <w:outlineLvl w:val="0"/>
      </w:pPr>
      <w:r>
        <w:rPr>
          <w:rFonts w:ascii="宋体" w:hAnsi="宋体"/>
          <w:bCs/>
          <w:color w:val="000000"/>
          <w:sz w:val="24"/>
          <w:szCs w:val="24"/>
        </w:rPr>
        <w:br w:type="page" w:clear="all"/>
      </w:r>
      <w:r>
        <w:rPr>
          <w:rFonts w:hint="eastAsia"/>
          <w:b/>
          <w:color w:val="000000"/>
          <w:sz w:val="30"/>
          <w:szCs w:val="30"/>
        </w:rPr>
        <w:t xml:space="preserve">八、开标一览表（给定格式）：</w:t>
      </w:r>
      <w:r>
        <w:rPr>
          <w:rFonts w:hint="eastAsia"/>
          <w:b/>
          <w:color w:val="000000"/>
          <w:sz w:val="30"/>
          <w:szCs w:val="30"/>
        </w:rPr>
      </w:r>
      <w:r/>
    </w:p>
    <w:p>
      <w:pPr>
        <w:pStyle w:val="885"/>
        <w:ind w:firstLine="482"/>
        <w:spacing w:line="440" w:lineRule="exact"/>
        <w:rPr>
          <w:rFonts w:hint="eastAsia" w:ascii="Arial" w:hAnsi="Arial"/>
          <w:b/>
          <w:color w:val="000000"/>
          <w:sz w:val="24"/>
        </w:rPr>
      </w:pPr>
      <w:r>
        <w:rPr>
          <w:rFonts w:hint="eastAsia" w:ascii="Arial" w:hAnsi="Arial"/>
          <w:b/>
          <w:color w:val="000000"/>
          <w:sz w:val="24"/>
        </w:rPr>
      </w:r>
      <w:r/>
    </w:p>
    <w:p>
      <w:pPr>
        <w:pStyle w:val="88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5"/>
        <w:jc w:val="center"/>
        <w:rPr>
          <w:rFonts w:ascii="黑体" w:eastAsia="黑体"/>
          <w:bCs/>
          <w:color w:val="000000"/>
          <w:sz w:val="28"/>
          <w:szCs w:val="28"/>
        </w:rPr>
        <w:outlineLvl w:val="0"/>
      </w:pPr>
      <w:r>
        <w:rPr>
          <w:rFonts w:ascii="黑体" w:eastAsia="黑体"/>
          <w:bCs/>
          <w:color w:val="000000"/>
          <w:sz w:val="28"/>
          <w:szCs w:val="28"/>
        </w:rPr>
      </w:r>
      <w:r/>
    </w:p>
    <w:p>
      <w:pPr>
        <w:pStyle w:val="885"/>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Ansi="宋体"/>
                <w:bCs/>
                <w:color w:val="000000"/>
                <w:szCs w:val="24"/>
              </w:rPr>
            </w:pPr>
            <w:r>
              <w:rPr>
                <w:rFonts w:hAnsi="宋体"/>
                <w:bCs/>
                <w:color w:val="000000"/>
                <w:szCs w:val="24"/>
              </w:rPr>
            </w:r>
            <w:r/>
          </w:p>
        </w:tc>
        <w:tc>
          <w:tcPr>
            <w:tcW w:w="3188" w:type="dxa"/>
            <w:vAlign w:val="center"/>
            <w:textDirection w:val="lrTb"/>
            <w:noWrap w:val="false"/>
          </w:tcPr>
          <w:p>
            <w:pPr>
              <w:pStyle w:val="998"/>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5"/>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85"/>
        <w:spacing w:line="400" w:lineRule="exact"/>
        <w:rPr>
          <w:rFonts w:ascii="黑体" w:eastAsia="黑体"/>
          <w:bCs/>
          <w:color w:val="000000"/>
          <w:sz w:val="24"/>
          <w:szCs w:val="24"/>
        </w:rPr>
      </w:pPr>
      <w:r>
        <w:rPr>
          <w:rFonts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sz w:val="22"/>
          <w:szCs w:val="22"/>
        </w:rPr>
      </w:pPr>
      <w:r>
        <w:rPr>
          <w:rFonts w:hint="eastAsia" w:ascii="黑体" w:eastAsia="黑体"/>
          <w:bCs/>
          <w:sz w:val="22"/>
          <w:szCs w:val="22"/>
        </w:rPr>
        <w:t xml:space="preserve">注：</w:t>
      </w:r>
      <w:r>
        <w:rPr>
          <w:rFonts w:hint="eastAsia" w:ascii="黑体" w:eastAsia="黑体"/>
          <w:bCs/>
          <w:sz w:val="22"/>
          <w:szCs w:val="22"/>
          <w:lang w:val="en-US" w:eastAsia="zh-CN"/>
        </w:rPr>
        <w:t xml:space="preserve">1.</w:t>
      </w:r>
      <w:r>
        <w:rPr>
          <w:rFonts w:hint="eastAsia" w:ascii="黑体" w:eastAsia="黑体"/>
          <w:bCs/>
          <w:sz w:val="22"/>
          <w:szCs w:val="22"/>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lang w:val="en-US" w:eastAsia="zh-CN"/>
        </w:rPr>
        <w:t xml:space="preserve">2.</w:t>
      </w:r>
      <w:r>
        <w:rPr>
          <w:rFonts w:hint="eastAsia" w:ascii="黑体" w:eastAsia="黑体"/>
          <w:bCs/>
          <w:sz w:val="22"/>
          <w:szCs w:val="22"/>
        </w:rPr>
        <w:t xml:space="preserve">强化政府采购异常低价审查</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rPr>
        <w:t xml:space="preserve">（一）评审过程中出现下列情形之一的，评审委员会应当启动异常低价投标审查程序：</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rPr>
        <w:t xml:space="preserve">1．投标报价低于采购项目预算50%的，即投标报价&lt;采购项目预算×50%；</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rPr>
        <w:t xml:space="preserve">2．投标报价低于采购项目最高限价45%的，即投标报价&lt;采购项目最高限价×45%；</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rPr>
        <w:t xml:space="preserve">3. 评审委员会认定的供应商报价过低、有可能影响产品质量或者不能诚信履约的其他情形。</w:t>
      </w:r>
      <w:r>
        <w:rPr>
          <w:rFonts w:hint="eastAsia" w:ascii="黑体" w:eastAsia="黑体"/>
          <w:bCs/>
          <w:sz w:val="22"/>
          <w:szCs w:val="22"/>
        </w:rPr>
      </w:r>
      <w:r/>
    </w:p>
    <w:p>
      <w:pPr>
        <w:pStyle w:val="885"/>
        <w:spacing w:line="400" w:lineRule="exact"/>
        <w:rPr>
          <w:rFonts w:hint="eastAsia" w:ascii="黑体" w:eastAsia="黑体"/>
          <w:bCs/>
          <w:sz w:val="22"/>
          <w:szCs w:val="22"/>
        </w:rPr>
      </w:pPr>
      <w:r>
        <w:rPr>
          <w:rFonts w:hint="eastAsia" w:ascii="黑体" w:eastAsia="黑体"/>
          <w:bCs/>
          <w:sz w:val="22"/>
          <w:szCs w:val="22"/>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黑体" w:eastAsia="黑体"/>
          <w:bCs/>
          <w:sz w:val="22"/>
          <w:szCs w:val="22"/>
        </w:rPr>
      </w:r>
      <w:r/>
    </w:p>
    <w:p>
      <w:pPr>
        <w:pStyle w:val="885"/>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rPr>
          <w:rFonts w:hint="eastAsia"/>
          <w:b/>
          <w:color w:val="000000"/>
          <w:sz w:val="30"/>
          <w:szCs w:val="30"/>
        </w:rPr>
      </w:r>
      <w:r/>
    </w:p>
    <w:p>
      <w:pPr>
        <w:pStyle w:val="885"/>
        <w:jc w:val="center"/>
        <w:spacing w:line="400" w:lineRule="exact"/>
        <w:rPr>
          <w:rFonts w:ascii="黑体" w:eastAsia="黑体"/>
          <w:bCs/>
          <w:color w:val="000000"/>
          <w:sz w:val="28"/>
          <w:szCs w:val="28"/>
        </w:rPr>
        <w:outlineLvl w:val="0"/>
      </w:pPr>
      <w:r/>
      <w:bookmarkEnd w:id="194"/>
      <w:r/>
      <w:bookmarkEnd w:id="195"/>
      <w:r/>
      <w:bookmarkEnd w:id="196"/>
      <w:r/>
      <w:bookmarkStart w:id="199"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5"/>
        <w:spacing w:line="360" w:lineRule="auto"/>
        <w:rPr>
          <w:rFonts w:ascii="黑体" w:hAnsi="黑体" w:eastAsia="黑体" w:cs="黑体"/>
          <w:sz w:val="24"/>
        </w:rPr>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项目编号：</w:t>
      </w:r>
      <w:r>
        <w:rPr>
          <w:rFonts w:ascii="黑体" w:hAnsi="黑体" w:eastAsia="黑体" w:cs="黑体"/>
          <w:sz w:val="24"/>
        </w:rPr>
      </w:r>
      <w:r/>
    </w:p>
    <w:tbl>
      <w:tblPr>
        <w:tblW w:w="54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997"/>
        <w:gridCol w:w="5260"/>
        <w:gridCol w:w="495"/>
        <w:gridCol w:w="480"/>
        <w:gridCol w:w="780"/>
        <w:gridCol w:w="830"/>
        <w:gridCol w:w="760"/>
      </w:tblGrid>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2"/>
                <w:szCs w:val="22"/>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color w:val="000000"/>
                <w:sz w:val="22"/>
                <w:szCs w:val="22"/>
                <w:highlight w:val="none"/>
                <w:lang w:val="en-US" w:eastAsia="zh-CN" w:bidi="ar-SA"/>
              </w:rPr>
            </w:r>
            <w:r/>
          </w:p>
        </w:tc>
        <w:tc>
          <w:tcPr>
            <w:tcW w:w="495"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分项</w:t>
            </w:r>
            <w:r>
              <w:rPr>
                <w:rFonts w:hint="eastAsia" w:ascii="宋体" w:hAnsi="宋体" w:eastAsia="宋体" w:cs="宋体"/>
                <w:b/>
                <w:bCs/>
                <w:i w:val="0"/>
                <w:iCs w:val="0"/>
                <w:color w:val="000000"/>
                <w:sz w:val="22"/>
                <w:szCs w:val="22"/>
                <w:highlight w:val="none"/>
                <w:u w:val="none"/>
                <w:lang w:val="en-US" w:eastAsia="zh-CN" w:bidi="ar"/>
              </w:rPr>
            </w:r>
            <w:r/>
          </w:p>
          <w:p>
            <w:pPr>
              <w:pStyle w:val="885"/>
              <w:jc w:val="center"/>
              <w:keepLines w:val="0"/>
              <w:keepNext w:val="0"/>
              <w:widowControl/>
              <w:rPr>
                <w:rFonts w:hint="eastAsia" w:ascii="宋体" w:hAnsi="宋体" w:eastAsia="宋体" w:cs="宋体"/>
                <w:b/>
                <w:bCs/>
                <w:color w:val="000000"/>
                <w:sz w:val="22"/>
                <w:szCs w:val="22"/>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color w:val="000000"/>
                <w:sz w:val="22"/>
                <w:szCs w:val="22"/>
                <w:highlight w:val="none"/>
                <w:lang w:val="en-US" w:eastAsia="zh-CN" w:bidi="ar-SA"/>
              </w:rPr>
            </w:r>
            <w:r/>
          </w:p>
        </w:tc>
        <w:tc>
          <w:tcPr>
            <w:tcW w:w="2613" w:type="dxa"/>
            <w:vAlign w:val="center"/>
            <w:textDirection w:val="lrTb"/>
            <w:noWrap/>
          </w:tcPr>
          <w:p>
            <w:pPr>
              <w:pStyle w:val="885"/>
              <w:jc w:val="center"/>
              <w:keepLines w:val="0"/>
              <w:keepNext w:val="0"/>
              <w:widowControl/>
              <w:rPr>
                <w:rFonts w:hint="eastAsia" w:ascii="宋体" w:hAnsi="宋体" w:eastAsia="宋体" w:cs="宋体"/>
                <w:b/>
                <w:bCs/>
                <w:color w:val="000000"/>
                <w:sz w:val="22"/>
                <w:szCs w:val="22"/>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性能指标</w:t>
            </w:r>
            <w:r>
              <w:rPr>
                <w:rFonts w:hint="eastAsia" w:ascii="宋体" w:hAnsi="宋体" w:eastAsia="宋体" w:cs="宋体"/>
                <w:b/>
                <w:bCs/>
                <w:color w:val="000000"/>
                <w:sz w:val="22"/>
                <w:szCs w:val="22"/>
                <w:highlight w:val="none"/>
                <w:lang w:val="en-US" w:eastAsia="zh-CN" w:bidi="ar-SA"/>
              </w:rPr>
            </w:r>
            <w:r/>
          </w:p>
        </w:tc>
        <w:tc>
          <w:tcPr>
            <w:tcW w:w="245" w:type="dxa"/>
            <w:vAlign w:val="center"/>
            <w:textDirection w:val="lrTb"/>
            <w:noWrap/>
          </w:tcPr>
          <w:p>
            <w:pPr>
              <w:pStyle w:val="885"/>
              <w:jc w:val="both"/>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ascii="宋体" w:hAnsi="宋体" w:eastAsia="宋体" w:cs="宋体"/>
                <w:b/>
                <w:bCs/>
                <w:i w:val="0"/>
                <w:iCs w:val="0"/>
                <w:color w:val="000000"/>
                <w:sz w:val="22"/>
                <w:szCs w:val="22"/>
                <w:highlight w:val="none"/>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b/>
                <w:bCs/>
                <w:color w:val="000000"/>
                <w:sz w:val="22"/>
                <w:szCs w:val="22"/>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color w:val="000000"/>
                <w:sz w:val="22"/>
                <w:szCs w:val="22"/>
                <w:highlight w:val="none"/>
                <w:lang w:val="en-US" w:eastAsia="zh-CN" w:bidi="ar-SA"/>
              </w:rPr>
            </w:r>
            <w:r/>
          </w:p>
        </w:tc>
        <w:tc>
          <w:tcPr>
            <w:tcW w:w="387" w:type="dxa"/>
            <w:vAlign w:val="center"/>
            <w:textDirection w:val="lrTb"/>
            <w:noWrap/>
          </w:tcPr>
          <w:p>
            <w:pPr>
              <w:pStyle w:val="88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单价（元）</w:t>
            </w:r>
            <w:r>
              <w:rPr>
                <w:rFonts w:ascii="宋体" w:hAnsi="宋体" w:eastAsia="宋体" w:cs="宋体"/>
                <w:b/>
                <w:bCs/>
                <w:i w:val="0"/>
                <w:iCs w:val="0"/>
                <w:color w:val="000000"/>
                <w:sz w:val="22"/>
                <w:szCs w:val="22"/>
                <w:highlight w:val="none"/>
                <w:u w:val="none"/>
                <w:lang w:val="en-US" w:eastAsia="zh-CN" w:bidi="ar"/>
              </w:rPr>
            </w:r>
            <w:r/>
          </w:p>
        </w:tc>
        <w:tc>
          <w:tcPr>
            <w:tcW w:w="412" w:type="dxa"/>
            <w:vAlign w:val="center"/>
            <w:textDirection w:val="lrTb"/>
            <w:noWrap/>
          </w:tcPr>
          <w:p>
            <w:pPr>
              <w:pStyle w:val="885"/>
              <w:jc w:val="center"/>
              <w:keepLines w:val="0"/>
              <w:keepNext w:val="0"/>
              <w:widowControl/>
              <w:rPr>
                <w:rFonts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总价（元）</w:t>
            </w:r>
            <w:r>
              <w:rPr>
                <w:rFonts w:ascii="宋体" w:hAnsi="宋体" w:eastAsia="宋体" w:cs="宋体"/>
                <w:b/>
                <w:bCs/>
                <w:i w:val="0"/>
                <w:iCs w:val="0"/>
                <w:color w:val="000000"/>
                <w:sz w:val="22"/>
                <w:szCs w:val="22"/>
                <w:highlight w:val="none"/>
                <w:u w:val="none"/>
                <w:lang w:val="en-US" w:eastAsia="zh-CN" w:bidi="ar"/>
              </w:rPr>
            </w:r>
            <w:r/>
          </w:p>
        </w:tc>
        <w:tc>
          <w:tcPr>
            <w:tcW w:w="377"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
              </w:rPr>
              <w:suppressLineNumbers w:val="0"/>
            </w:pPr>
            <w:r>
              <w:rPr>
                <w:rFonts w:hint="eastAsia" w:ascii="宋体" w:hAnsi="宋体" w:eastAsia="宋体" w:cs="宋体"/>
                <w:b/>
                <w:bCs/>
                <w:color w:val="000000"/>
                <w:sz w:val="22"/>
                <w:szCs w:val="22"/>
                <w:highlight w:val="none"/>
                <w:u w:val="none"/>
                <w:lang w:val="en-US" w:eastAsia="zh-CN" w:bidi="ar"/>
              </w:rPr>
              <w:t xml:space="preserve">品牌型号</w:t>
            </w:r>
            <w:r>
              <w:rPr>
                <w:rFonts w:hint="eastAsia" w:ascii="宋体" w:hAnsi="宋体" w:eastAsia="宋体" w:cs="宋体"/>
                <w:b/>
                <w:bCs/>
                <w:i w:val="0"/>
                <w:iCs w:val="0"/>
                <w:color w:val="000000"/>
                <w:sz w:val="22"/>
                <w:szCs w:val="22"/>
                <w:highlight w:val="none"/>
                <w:u w:val="none"/>
                <w:lang w:val="en-US" w:eastAsia="zh-CN" w:bidi="ar"/>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w:t>
            </w:r>
            <w:r>
              <w:rPr>
                <w:rFonts w:hint="eastAsia" w:ascii="宋体" w:hAnsi="宋体" w:eastAsia="宋体" w:cs="宋体"/>
                <w:b/>
                <w:bCs/>
                <w:color w:val="000000"/>
                <w:sz w:val="24"/>
                <w:szCs w:val="24"/>
                <w:highlight w:val="none"/>
                <w:lang w:val="en-US" w:eastAsia="zh-CN" w:bidi="ar-SA"/>
              </w:rPr>
            </w:r>
            <w:r/>
          </w:p>
        </w:tc>
        <w:tc>
          <w:tcPr>
            <w:gridSpan w:val="2"/>
            <w:tcW w:w="6257" w:type="dxa"/>
            <w:vAlign w:val="center"/>
            <w:textDirection w:val="lrTb"/>
            <w:noWrap/>
          </w:tcPr>
          <w:p>
            <w:pPr>
              <w:pStyle w:val="885"/>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i w:val="0"/>
                <w:iCs w:val="0"/>
                <w:color w:val="000000"/>
                <w:sz w:val="22"/>
                <w:szCs w:val="22"/>
                <w:highlight w:val="none"/>
                <w:u w:val="none"/>
                <w:lang w:val="en-US" w:eastAsia="zh-CN" w:bidi="ar"/>
              </w:rPr>
              <w:t xml:space="preserve">网络设备</w:t>
            </w:r>
            <w:r>
              <w:rPr>
                <w:rFonts w:hint="eastAsia"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38"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412"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377"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398"/>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广域核心路由器</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1、交换容量≥230Tbps，包转发率≥54000Mpps；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2、国产化CPU和转发芯片，自主可控。采用双主控架构，电源、风扇等部件冗余设计，支持主控交换板卡、电源、风扇、业务板卡热插拔；整机线卡槽位数≥6个；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网络切片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4、设备支持100GE、50GE、40GE、25GE、10GE、GE、FE、E1、POS、CPOS等接口类型；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5、支持RIP、RIPng、OSPF、OSPFV3、IS-IS、IS-ISV6、BGP、BGPv6、静态路由、IPv4组播、IPv6组播、组播静态等路由协议；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7、支持动态下发EVPN IPv4 L3VPN/VPWS over SRv6 TE policy功能，实现SRv6承载L3VPN/L2VPN业务场景；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8、支持基于硬件的BFD故障探测技术，支持最小发包间隔5ms；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9、支持全面的快速重路由FRR功能：IP/IPv6/LDP/TE/VPN/VPNv6 FRR，倒换时间均≤50ms；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10、支持VRRP、Eth-Trunk、E-Trunk等可靠性技术；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11、支持Telemetry，可实现从设备高速采集数据，支持对随流检测获取到的性能数据进行可视化的运维管理；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12、单台配置：双主控，双电源，10个万兆光接口,含10个万兆单模光模块；实配SR, RSVP-TE, MPLS-TE, VxLAN, HQoS, L3VPN, EVPN, RFC2544,SRV6等功能。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color w:val="000000"/>
                <w:sz w:val="22"/>
                <w:szCs w:val="22"/>
                <w:highlight w:val="none"/>
                <w:lang w:val="en-US" w:eastAsia="zh-CN" w:bidi="ar"/>
              </w:rPr>
              <w:t xml:space="preserve">提供五年原厂硬件质保服务和软件升级服务。</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ascii="宋体" w:hAnsi="宋体" w:eastAsia="宋体" w:cs="宋体"/>
                <w:i w:val="0"/>
                <w:iCs w:val="0"/>
                <w:color w:val="000000"/>
                <w:sz w:val="22"/>
                <w:szCs w:val="22"/>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1、交换容量≥100Tbps，包转发率≥76800 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2、国产化CPU和转发芯片，自主可控。硬件架构：主控引擎≥2；整机业务板槽位数≥4；主控槽位与业务线卡槽位宽度相同，为全宽槽位；支持颗粒化电源，整机电源槽位数≥6；采用前进后出风道设计；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3、符合江苏省电子政务外网技术规范要求；采用网络切片技术为IPv6业务提供确定性带宽保障，支持同一个共享的网络基础设施上提供多个逻辑网络（切片），实配SRV6，网络切片等功能；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4、整机MAC地址≥384K，ARP表项≥140000，ND表项≥80000；IPv4路由转发FIB表项≥256K，IPv6路由转发FIB表项≥80K；</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5、支持静态路由、RIP、RIPng、OSPF、OSPFv3、BGP、BGP4+、ISIS、ISISv6；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6、支持SRV6 BE技术；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7、支持真实业务流的实时检测技术，秒级快速故障定位；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8、支持硬件BFD/OAM，3.3ms稳定均匀发包检测，提高设备的可靠性；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9、单台实配：双主控，双电源，48个千兆电口，48个10G光口，堆叠线缆。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color w:val="000000"/>
                <w:sz w:val="22"/>
                <w:szCs w:val="22"/>
                <w:highlight w:val="none"/>
                <w:lang w:val="en-US" w:eastAsia="zh-CN" w:bidi="ar"/>
              </w:rPr>
              <w:t xml:space="preserve">提供五年原厂硬件质保服务和软件升级服务。</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汇聚交换机</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1、交换容量≥688Gbps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2、转发性能≥207Mpps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3、配置要求：≥48个100/1000BASE-X SFP口，≥6个1/10GE SFP+口，冗余电源，风扇≥3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4、支持完善的堆叠分裂检测机制，堆叠分裂后能自动完成MAC和IP地址的重配置，无需手动干预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5、支持SNMP V1/V2/V3、RMON、SSHV2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6、支持802.1x认证，支持集中式MAC地址认证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7、支持基于端口和VLAN的ACL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8、支持Smartlink，收敛时间≤50ms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9、五年硬件质保</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2、转发性能≥166Mpps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3、接口要求：≥48个10/100/1000BASE-T电口，≥4个1000 BASE-X SFP端口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4、无风扇静音设计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5、支持CPU保护功能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6、支持RRPP（快速环网保护协议），环网故障恢复时间不超过50ms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7、支持基于端口的VLAN，支持基于协议的VLAN，支持基于MAC的VLAN</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8、支持本地端口镜像和远程端口镜像，支持流镜像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9、五年硬件质保</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万兆单模光模块</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SFP+ 万兆单模模块</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千兆多模光模块</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光模块-SFP-GE-多模模块</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千兆单模光模块</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光模块-SFP-GE-单模模块</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堆叠线缆,1G</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b/>
                <w:bCs/>
                <w:color w:val="000000"/>
                <w:sz w:val="24"/>
                <w:szCs w:val="24"/>
                <w:highlight w:val="none"/>
                <w:lang w:val="en-US" w:eastAsia="zh-CN" w:bidi="ar-SA"/>
              </w:rPr>
            </w:r>
            <w:r/>
          </w:p>
        </w:tc>
        <w:tc>
          <w:tcPr>
            <w:tcW w:w="495"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w:t>
            </w:r>
            <w:r>
              <w:rPr>
                <w:rFonts w:hint="eastAsia" w:ascii="宋体" w:hAnsi="宋体" w:eastAsia="宋体" w:cs="宋体"/>
                <w:b/>
                <w:bCs/>
                <w:color w:val="000000"/>
                <w:sz w:val="24"/>
                <w:szCs w:val="24"/>
                <w:highlight w:val="none"/>
                <w:lang w:val="en-US" w:eastAsia="zh-CN" w:bidi="ar-SA"/>
              </w:rPr>
            </w:r>
            <w:r/>
          </w:p>
        </w:tc>
        <w:tc>
          <w:tcPr>
            <w:tcW w:w="2613"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堆叠线缆,10G</w:t>
            </w:r>
            <w:r>
              <w:rPr>
                <w:rFonts w:hint="eastAsia"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1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w:t>
            </w:r>
            <w:r>
              <w:rPr>
                <w:rFonts w:hint="eastAsia" w:ascii="宋体" w:hAnsi="宋体" w:eastAsia="宋体" w:cs="宋体"/>
                <w:color w:val="000000"/>
                <w:sz w:val="24"/>
                <w:szCs w:val="24"/>
                <w:highlight w:val="none"/>
                <w:lang w:val="en-US" w:eastAsia="zh-CN" w:bidi="ar-SA"/>
              </w:rPr>
            </w:r>
            <w:r/>
          </w:p>
        </w:tc>
        <w:tc>
          <w:tcPr>
            <w:gridSpan w:val="2"/>
            <w:tcW w:w="6257" w:type="dxa"/>
            <w:vAlign w:val="center"/>
            <w:textDirection w:val="lrTb"/>
            <w:noWrap w:val="false"/>
          </w:tcPr>
          <w:p>
            <w:pPr>
              <w:pStyle w:val="885"/>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i w:val="0"/>
                <w:iCs w:val="0"/>
                <w:color w:val="000000"/>
                <w:sz w:val="22"/>
                <w:szCs w:val="22"/>
                <w:highlight w:val="none"/>
                <w:u w:val="none"/>
                <w:lang w:val="en-US" w:eastAsia="zh-CN" w:bidi="ar"/>
              </w:rPr>
              <w:t xml:space="preserve">安全设备</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12"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7"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698"/>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互联网防火墙</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标准2U设备，冗余电源；标配≥7个10/100/1000M Base-TX；4个千兆SFP接口，4个万兆口，1个空余扩展槽位；支持下一代防火墙访问控制、入侵防护、防病毒、应用识别功能；支持IPSec VPN和SSL VPN模块；整体网络吞吐量≥60Gbps，开启防火墙入侵防护+防病毒+应用识别功能吞吐量≥35Gbps。最大并发连接数≥900万，每秒新建连接数≥30万/秒。支持双互联网出口，DNS代理。5年硬件质保及5年入侵防护、防病毒、应用识别特征库升级服务。</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415"/>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安全管理防火墙</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2U标准设备，双电源；设备配置≥6个千兆电口，2个千兆光口，2个万兆光口，2个接口扩展槽；支持下一代防火墙访问控制、入侵防御、网络防病毒、上网行为及URL分类管理、流控，支持IPSec VPN和SSL VPN模块；网络吞吐量≥8Gbps，开启防火墙入侵防护+防病毒+应用识别功能吞吐量≥5Gbps。最大并发连接数≥20万，每秒新建连接数≥7万/秒。5年硬件质保及5年入侵防护、防病毒、应用识别特征库升级服务。</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w:t>
            </w:r>
            <w:r>
              <w:rPr>
                <w:rFonts w:hint="eastAsia" w:ascii="宋体" w:hAnsi="宋体" w:eastAsia="宋体" w:cs="宋体"/>
                <w:b/>
                <w:bCs/>
                <w:color w:val="000000"/>
                <w:sz w:val="24"/>
                <w:szCs w:val="24"/>
                <w:highlight w:val="none"/>
                <w:lang w:val="en-US" w:eastAsia="zh-CN" w:bidi="ar-SA"/>
              </w:rPr>
            </w:r>
            <w:r/>
          </w:p>
        </w:tc>
        <w:tc>
          <w:tcPr>
            <w:gridSpan w:val="2"/>
            <w:tcW w:w="6257" w:type="dxa"/>
            <w:vAlign w:val="center"/>
            <w:textDirection w:val="lrTb"/>
            <w:noWrap/>
          </w:tcPr>
          <w:p>
            <w:pPr>
              <w:pStyle w:val="885"/>
              <w:jc w:val="left"/>
              <w:rPr>
                <w:rFonts w:ascii="宋体" w:hAnsi="宋体" w:eastAsia="宋体" w:cs="宋体"/>
                <w:b/>
                <w:bCs/>
                <w:color w:val="000000"/>
                <w:sz w:val="24"/>
                <w:szCs w:val="24"/>
                <w:highlight w:val="none"/>
                <w:lang w:val="en-US" w:eastAsia="zh-CN" w:bidi="ar-SA"/>
              </w:rPr>
            </w:pPr>
            <w:r>
              <w:rPr>
                <w:rFonts w:hint="eastAsia" w:ascii="宋体" w:hAnsi="宋体" w:eastAsia="宋体" w:cs="宋体"/>
                <w:b/>
                <w:bCs/>
                <w:i w:val="0"/>
                <w:iCs w:val="0"/>
                <w:color w:val="000000"/>
                <w:sz w:val="22"/>
                <w:szCs w:val="22"/>
                <w:highlight w:val="none"/>
                <w:u w:val="none"/>
                <w:lang w:val="en-US" w:eastAsia="zh-CN" w:bidi="ar"/>
              </w:rPr>
              <w:t xml:space="preserve">主机设备</w:t>
            </w:r>
            <w:r>
              <w:rPr>
                <w:rFonts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38"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412"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377" w:type="dxa"/>
            <w:vAlign w:val="center"/>
            <w:textDirection w:val="lrTb"/>
            <w:noWrap/>
          </w:tcPr>
          <w:p>
            <w:pPr>
              <w:pStyle w:val="885"/>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b/>
                <w:bCs/>
                <w:color w:val="000000"/>
                <w:sz w:val="24"/>
                <w:szCs w:val="24"/>
                <w:highlight w:val="none"/>
                <w:lang w:val="en-US" w:eastAsia="zh-CN" w:bidi="ar-SA"/>
              </w:rPr>
            </w:r>
            <w:r/>
          </w:p>
        </w:tc>
        <w:tc>
          <w:tcPr>
            <w:tcW w:w="495"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超融合一体机</w:t>
            </w:r>
            <w:r>
              <w:rPr>
                <w:rFonts w:hint="eastAsia" w:ascii="宋体" w:hAnsi="宋体" w:eastAsia="宋体" w:cs="宋体"/>
                <w:b/>
                <w:bCs/>
                <w:color w:val="000000"/>
                <w:sz w:val="24"/>
                <w:szCs w:val="24"/>
                <w:highlight w:val="none"/>
                <w:lang w:val="en-US" w:eastAsia="zh-CN" w:bidi="ar-SA"/>
              </w:rPr>
            </w:r>
            <w:r/>
          </w:p>
        </w:tc>
        <w:tc>
          <w:tcPr>
            <w:tcW w:w="2613"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国产C86处理器 2.5GHz（16C）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32 GB DDR4 * 16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480GB 读密集型 SATA 6Gb SSD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1.92TB 读写密集 SATA 6Gb SSD * 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 TB 7.2K SATA 6Gb HDD * 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(RAID1模式，连接系统盘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(直通模式，连接缓存盘、容量盘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800W 冗余热插拔电源(1+1)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双口万兆以太网卡 (SFP+接口） * 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四口千兆以太网卡 (RJ45接口）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万兆多模SFP+ 光纤模块 * 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含超融合软件，提供计算</w:t>
            </w:r>
            <w:r>
              <w:rPr>
                <w:rFonts w:hint="eastAsia" w:ascii="宋体" w:hAnsi="宋体" w:eastAsia="宋体" w:cs="宋体"/>
                <w:i w:val="0"/>
                <w:iCs w:val="0"/>
                <w:color w:val="000000"/>
                <w:sz w:val="22"/>
                <w:szCs w:val="22"/>
                <w:highlight w:val="none"/>
                <w:u w:val="none"/>
                <w:lang w:val="en-US" w:eastAsia="zh-CN" w:bidi="ar"/>
              </w:rPr>
              <w:t xml:space="preserve">虚拟化，包含自定义CPU配置、CPU QoS、虚拟机热迁移、主机聚合组、故障检测及恢复、故障疏散优先级等功能；提供存储虚拟化，包含无损快照、精简配置、QoS、自定义磁盘页面大小、数据压缩级别、多副本、重建优先级、iSCSI虚拟卷、在线扩展等功能；提供网络虚拟化，包含虚拟网络、安全组、双栈网络、多业务网等功能；提供运维管理功能，包含硬件管理、大屏监控、一键巡检、回收站等功能；支持API、P2V迁移、V2V迁移、可视化部署、无代理备份等功能。含5年7*24技术支持，同版本产品更新与升级，标准硬件服务，五年维保。</w:t>
            </w:r>
            <w:r>
              <w:rPr>
                <w:rFonts w:hint="eastAsia"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超融合一体机利旧改造</w:t>
            </w:r>
            <w:r>
              <w:rPr>
                <w:rFonts w:hint="eastAsia" w:ascii="宋体" w:hAnsi="宋体" w:eastAsia="宋体" w:cs="宋体"/>
                <w:color w:val="000000"/>
                <w:sz w:val="24"/>
                <w:szCs w:val="24"/>
                <w:highlight w:val="none"/>
                <w:lang w:val="en-US" w:eastAsia="zh-CN" w:bidi="ar-SA"/>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color w:val="000000"/>
                <w:sz w:val="22"/>
                <w:szCs w:val="22"/>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480GB 读密集型 SATA 6Gb SSD * 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 TB 7.2K SATA 6Gb HDD * 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支持12Gbps SAS控制器 (直通模式，连接缓存盘、容量盘 )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四口万兆以太网卡 (SFP+接口）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四口千兆以太网卡 (RJ45接口） * 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万兆多模SFP+ 光纤模块 *  4</w:t>
            </w:r>
            <w:r>
              <w:rPr>
                <w:rFonts w:hint="eastAsia" w:ascii="宋体" w:hAnsi="宋体" w:eastAsia="宋体" w:cs="宋体"/>
                <w:color w:val="000000"/>
                <w:sz w:val="22"/>
                <w:szCs w:val="22"/>
                <w:highlight w:val="none"/>
                <w:lang w:val="en-US" w:eastAsia="zh-CN" w:bidi="ar-SA"/>
              </w:rPr>
            </w:r>
            <w:r/>
          </w:p>
        </w:tc>
        <w:tc>
          <w:tcPr>
            <w:tcW w:w="245"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w:t>
            </w:r>
            <w:r>
              <w:rPr>
                <w:rFonts w:hint="eastAsia" w:ascii="宋体" w:hAnsi="宋体" w:eastAsia="宋体" w:cs="宋体"/>
                <w:i w:val="0"/>
                <w:iCs w:val="0"/>
                <w:color w:val="000000"/>
                <w:sz w:val="22"/>
                <w:szCs w:val="22"/>
                <w:highlight w:val="none"/>
                <w:u w:val="none"/>
                <w:lang w:val="en-US" w:eastAsia="zh-CN" w:bidi="ar"/>
              </w:rPr>
            </w:r>
            <w:r/>
          </w:p>
        </w:tc>
        <w:tc>
          <w:tcPr>
            <w:gridSpan w:val="2"/>
            <w:tcW w:w="6257" w:type="dxa"/>
            <w:vAlign w:val="center"/>
            <w:textDirection w:val="lrTb"/>
            <w:noWrap w:val="false"/>
          </w:tcPr>
          <w:p>
            <w:pPr>
              <w:pStyle w:val="885"/>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软件</w:t>
            </w:r>
            <w:r>
              <w:rPr>
                <w:rFonts w:hint="eastAsia" w:ascii="宋体" w:hAnsi="宋体" w:eastAsia="宋体" w:cs="宋体"/>
                <w:i w:val="0"/>
                <w:iCs w:val="0"/>
                <w:color w:val="000000"/>
                <w:sz w:val="22"/>
                <w:szCs w:val="22"/>
                <w:highlight w:val="none"/>
                <w:u w:val="none"/>
                <w:lang w:val="en-US" w:eastAsia="zh-CN" w:bidi="ar"/>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val="false"/>
          </w:tcPr>
          <w:p>
            <w:pPr>
              <w:pStyle w:val="885"/>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49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网络安全分析审计系统</w:t>
            </w:r>
            <w:r>
              <w:rPr>
                <w:rFonts w:hint="eastAsia" w:ascii="宋体" w:hAnsi="宋体" w:eastAsia="宋体" w:cs="宋体"/>
                <w:i w:val="0"/>
                <w:iCs w:val="0"/>
                <w:color w:val="000000"/>
                <w:sz w:val="22"/>
                <w:szCs w:val="22"/>
                <w:highlight w:val="none"/>
                <w:u w:val="none"/>
                <w:lang w:val="en-US" w:eastAsia="zh-CN" w:bidi="ar"/>
              </w:rPr>
            </w:r>
            <w:r/>
          </w:p>
        </w:tc>
        <w:tc>
          <w:tcPr>
            <w:tcW w:w="2613"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软件版，流量授权：5Gbps；</w:t>
            </w:r>
            <w:r>
              <w:rPr>
                <w:rFonts w:hint="eastAsia" w:ascii="宋体" w:hAnsi="宋体" w:eastAsia="宋体" w:cs="宋体"/>
                <w:color w:val="000000"/>
                <w:sz w:val="22"/>
                <w:szCs w:val="22"/>
                <w:highlight w:val="none"/>
                <w:lang w:val="en-US" w:eastAsia="zh-CN" w:bidi="ar"/>
              </w:rPr>
              <w:t xml:space="preserve">存储授权不低于64TB，含四个采集口。</w:t>
            </w:r>
            <w:r>
              <w:rPr>
                <w:rFonts w:hint="eastAsia" w:ascii="宋体" w:hAnsi="宋体" w:eastAsia="宋体" w:cs="宋体"/>
                <w:i w:val="0"/>
                <w:iCs w:val="0"/>
                <w:color w:val="000000"/>
                <w:sz w:val="22"/>
                <w:szCs w:val="22"/>
                <w:highlight w:val="none"/>
                <w:u w:val="none"/>
                <w:lang w:val="en-US" w:eastAsia="zh-CN" w:bidi="ar"/>
              </w:rPr>
              <w:t xml:space="preserve">实现网络关键节点流量的采集、检测分析，发现和分析内网问题主机，内网攻击，全流量实时存储与分析，元数据行为建模，原始数据包的协议解码分析，支持50多种流量分析指标（源IP、源端口、源IP国家、目的IP、目的端口、目的IP国家、协议、数据包类型，数据包个数、会话开始时间、会话结束时间、会话持续时间等）、会话还原、文件还原，异常行为及安全事件的全流量的回溯取证，告警的分析研判，支持威胁情报的导入，流量的动态基线分析，深度包检测，L7深度行为分析。</w:t>
            </w:r>
            <w:r>
              <w:rPr>
                <w:rFonts w:hint="eastAsia" w:ascii="宋体" w:hAnsi="宋体" w:eastAsia="宋体" w:cs="宋体"/>
                <w:i w:val="0"/>
                <w:iCs w:val="0"/>
                <w:color w:val="000000"/>
                <w:sz w:val="22"/>
                <w:szCs w:val="22"/>
                <w:highlight w:val="none"/>
                <w:u w:val="none"/>
                <w:lang w:val="en-US" w:eastAsia="zh-CN" w:bidi="ar"/>
              </w:rPr>
            </w:r>
            <w:r/>
          </w:p>
          <w:p>
            <w:pPr>
              <w:pStyle w:val="885"/>
              <w:jc w:val="left"/>
              <w:keepLines w:val="0"/>
              <w:keepNext w:val="0"/>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系统须按照相关标准和要求开放 API接口。</w:t>
            </w:r>
            <w:r>
              <w:rPr>
                <w:rFonts w:hint="eastAsia" w:ascii="宋体" w:hAnsi="宋体" w:eastAsia="宋体" w:cs="宋体"/>
                <w:color w:val="000000"/>
                <w:sz w:val="22"/>
                <w:szCs w:val="22"/>
                <w:highlight w:val="none"/>
                <w:lang w:val="en-US" w:eastAsia="zh-CN" w:bidi="ar"/>
              </w:rPr>
            </w:r>
            <w:r/>
          </w:p>
          <w:p>
            <w:pPr>
              <w:pStyle w:val="885"/>
              <w:jc w:val="left"/>
              <w:keepLines w:val="0"/>
              <w:keepNext w:val="0"/>
              <w:widowControl/>
              <w:rPr>
                <w:rFonts w:hint="eastAsia" w:ascii="宋体" w:hAnsi="宋体" w:eastAsia="宋体" w:cs="宋体"/>
                <w:b w:val="0"/>
                <w:bCs w:val="0"/>
                <w:color w:val="000000"/>
                <w:sz w:val="22"/>
                <w:szCs w:val="22"/>
                <w:highlight w:val="none"/>
                <w:lang w:val="en-US" w:eastAsia="zh-CN" w:bidi="ar"/>
              </w:rPr>
            </w:pPr>
            <w:r>
              <w:rPr>
                <w:rFonts w:hint="eastAsia" w:ascii="宋体" w:hAnsi="宋体" w:eastAsia="宋体" w:cs="宋体"/>
                <w:b w:val="0"/>
                <w:bCs w:val="0"/>
                <w:color w:val="000000"/>
                <w:sz w:val="22"/>
                <w:szCs w:val="22"/>
                <w:highlight w:val="none"/>
                <w:lang w:val="en-US" w:eastAsia="zh-CN" w:bidi="ar"/>
              </w:rPr>
              <w:t xml:space="preserve">1、系统兼容国产硬件和操作系统，如CPU：海光系列、鲲鹏系列；操作系统：麒麟v10、统信UOS、OpenEuler等。</w:t>
            </w:r>
            <w:r>
              <w:rPr>
                <w:rFonts w:hint="eastAsia" w:ascii="宋体" w:hAnsi="宋体" w:eastAsia="宋体" w:cs="宋体"/>
                <w:b w:val="0"/>
                <w:bCs w:val="0"/>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2、支持IPv4和IPv6双栈环境部署，支持同时分析和处理IPv4和IPv6流量的同等处理分析能力。</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3、单台探针支持从多个物理网口采集流量，支持设置聚合采集链路，支持对多个采集接口的流量按需进行灵活组合采集。</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4、支持多种云环境的全流量采集与分析，支持多操作系统环境，支持云流量采集策略管理与控制策略，支持按需部署Agent采集并转发流量。</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5、支持通过“与、或、非”等组合方式进行流量采集过滤，支持对采集到的重复流量去重。</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6、支持7x24小时实时存储全部原始数据包，及解析出的统计表、协议元数据日志、自定义元数据日志、告警日志等日志类数据。支持数据包压缩存储。</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7、支持自动提取双层Vlan、Vxlan等IP封装协议的真实IP。</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8、支持RFC文档规定以及常用私有网络通讯协议识别，如TCP/IP、VOIP、IoT、工控协议等。支持常见网络应用识别。</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9、支持多维度流量统计，包含物理地址、网段、协议、网络应用、IP、会话等；支持从流量中实时解析并还原流量元数据。</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10、系统能够发现网络中传输文件的行为并将文件进行还原，支持从HTTP、SMB、FTP、邮件、加密流量中还原出文件。</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11、支持流量可视化分析以及流量统计数据输出。</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12、支持常见WEB攻击行为、漏洞攻击行为检测。</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13、支持多维度的检索条件对网络历史数据进行检索回查，支持对回查结果直接进行原始数据包下载分析。</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14、具备数据包解析及安全分析工具，可将全流量探针导出的数据包进行分析，具备多维度数据统计、文件还原、安全分析功能。</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15、提供3年原厂质保和软件升级服务。</w:t>
            </w:r>
            <w:r>
              <w:rPr>
                <w:rFonts w:hint="eastAsia" w:ascii="宋体" w:hAnsi="宋体" w:eastAsia="宋体" w:cs="宋体"/>
                <w:color w:val="000000"/>
                <w:sz w:val="22"/>
                <w:szCs w:val="22"/>
                <w:highlight w:val="none"/>
                <w:lang w:val="en-US" w:eastAsia="zh-CN" w:bidi="ar"/>
              </w:rPr>
            </w:r>
            <w:r/>
          </w:p>
          <w:p>
            <w:pPr>
              <w:pStyle w:val="885"/>
              <w:numPr>
                <w:ilvl w:val="0"/>
                <w:numId w:val="0"/>
              </w:numPr>
              <w:jc w:val="left"/>
              <w:widowControl/>
              <w:rPr>
                <w:rFonts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16、系统须按照相关标准和要求开放API接口，实现与统一安全监测平台进行数据对接。</w:t>
            </w:r>
            <w:r>
              <w:rPr>
                <w:rFonts w:ascii="宋体" w:hAnsi="宋体" w:eastAsia="宋体" w:cs="宋体"/>
                <w:color w:val="000000"/>
                <w:sz w:val="22"/>
                <w:szCs w:val="22"/>
                <w:highlight w:val="none"/>
                <w:lang w:val="en-US" w:eastAsia="zh-CN" w:bidi="ar"/>
              </w:rPr>
            </w:r>
            <w:r/>
          </w:p>
        </w:tc>
        <w:tc>
          <w:tcPr>
            <w:tcW w:w="245"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val="false"/>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i w:val="0"/>
                <w:iCs w:val="0"/>
                <w:color w:val="000000"/>
                <w:sz w:val="24"/>
                <w:szCs w:val="24"/>
                <w:highlight w:val="none"/>
                <w:u w:val="none"/>
                <w:lang w:val="en-US" w:eastAsia="zh-CN" w:bidi="ar"/>
              </w:rPr>
            </w:r>
            <w:r/>
          </w:p>
        </w:tc>
        <w:tc>
          <w:tcPr>
            <w:tcW w:w="38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79"/>
        </w:trPr>
        <w:tc>
          <w:tcPr>
            <w:tcW w:w="229" w:type="dxa"/>
            <w:vAlign w:val="center"/>
            <w:textDirection w:val="lrTb"/>
            <w:noWrap w:val="false"/>
          </w:tcPr>
          <w:p>
            <w:pPr>
              <w:pStyle w:val="885"/>
              <w:jc w:val="center"/>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五</w:t>
            </w:r>
            <w:r>
              <w:rPr>
                <w:rFonts w:hint="eastAsia" w:ascii="宋体" w:hAnsi="宋体" w:eastAsia="宋体" w:cs="宋体"/>
                <w:color w:val="000000"/>
                <w:sz w:val="24"/>
                <w:szCs w:val="24"/>
                <w:highlight w:val="none"/>
                <w:lang w:val="en-US" w:eastAsia="zh-CN" w:bidi="ar-SA"/>
              </w:rPr>
            </w:r>
            <w:r/>
          </w:p>
        </w:tc>
        <w:tc>
          <w:tcPr>
            <w:gridSpan w:val="2"/>
            <w:tcW w:w="6257" w:type="dxa"/>
            <w:vAlign w:val="center"/>
            <w:textDirection w:val="lrTb"/>
            <w:noWrap w:val="false"/>
          </w:tcPr>
          <w:p>
            <w:pPr>
              <w:pStyle w:val="885"/>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i w:val="0"/>
                <w:iCs w:val="0"/>
                <w:color w:val="000000"/>
                <w:sz w:val="22"/>
                <w:szCs w:val="22"/>
                <w:highlight w:val="none"/>
                <w:u w:val="none"/>
                <w:lang w:val="en-US" w:eastAsia="zh-CN" w:bidi="ar"/>
              </w:rPr>
              <w:t xml:space="preserve">其他设备</w:t>
            </w:r>
            <w:r>
              <w:rPr>
                <w:rFonts w:hint="eastAsia" w:ascii="宋体" w:hAnsi="宋体" w:eastAsia="宋体" w:cs="宋体"/>
                <w:color w:val="000000"/>
                <w:sz w:val="24"/>
                <w:szCs w:val="24"/>
                <w:highlight w:val="none"/>
                <w:lang w:val="en-US" w:eastAsia="zh-CN" w:bidi="ar-SA"/>
              </w:rPr>
            </w:r>
            <w:r/>
          </w:p>
        </w:tc>
        <w:tc>
          <w:tcPr>
            <w:tcW w:w="245"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38"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87"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12"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77" w:type="dxa"/>
            <w:vAlign w:val="center"/>
            <w:textDirection w:val="lrTb"/>
            <w:noWrap w:val="false"/>
          </w:tcPr>
          <w:p>
            <w:pPr>
              <w:pStyle w:val="88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b/>
                <w:bCs/>
                <w:color w:val="000000"/>
                <w:sz w:val="24"/>
                <w:szCs w:val="24"/>
                <w:highlight w:val="none"/>
                <w:lang w:val="en-US" w:eastAsia="zh-CN" w:bidi="ar-SA"/>
              </w:rPr>
            </w:r>
            <w:r/>
          </w:p>
        </w:tc>
        <w:tc>
          <w:tcPr>
            <w:tcW w:w="495"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电源连接器</w:t>
            </w:r>
            <w:r>
              <w:rPr>
                <w:rFonts w:hint="eastAsia" w:ascii="宋体" w:hAnsi="宋体" w:eastAsia="宋体" w:cs="宋体"/>
                <w:b/>
                <w:bCs/>
                <w:color w:val="000000"/>
                <w:sz w:val="24"/>
                <w:szCs w:val="24"/>
                <w:highlight w:val="none"/>
                <w:lang w:val="en-US" w:eastAsia="zh-CN" w:bidi="ar-SA"/>
              </w:rPr>
            </w:r>
            <w:r/>
          </w:p>
        </w:tc>
        <w:tc>
          <w:tcPr>
            <w:tcW w:w="2613"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机柜内电源线工业插头、插座,16A</w:t>
            </w:r>
            <w:r>
              <w:rPr>
                <w:rFonts w:hint="eastAsia"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b/>
                <w:bCs/>
                <w:color w:val="000000"/>
                <w:sz w:val="24"/>
                <w:szCs w:val="24"/>
                <w:highlight w:val="none"/>
                <w:lang w:val="en-US" w:eastAsia="zh-CN" w:bidi="ar-SA"/>
              </w:rPr>
            </w:r>
            <w:r/>
          </w:p>
        </w:tc>
        <w:tc>
          <w:tcPr>
            <w:tcW w:w="495"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辅材</w:t>
            </w:r>
            <w:r>
              <w:rPr>
                <w:rFonts w:hint="eastAsia" w:ascii="宋体" w:hAnsi="宋体" w:eastAsia="宋体" w:cs="宋体"/>
                <w:b/>
                <w:bCs/>
                <w:color w:val="000000"/>
                <w:sz w:val="24"/>
                <w:szCs w:val="24"/>
                <w:highlight w:val="none"/>
                <w:lang w:val="en-US" w:eastAsia="zh-CN" w:bidi="ar-SA"/>
              </w:rPr>
            </w:r>
            <w:r/>
          </w:p>
        </w:tc>
        <w:tc>
          <w:tcPr>
            <w:tcW w:w="2613" w:type="dxa"/>
            <w:vAlign w:val="center"/>
            <w:textDirection w:val="lrTb"/>
            <w:noWrap/>
          </w:tcPr>
          <w:p>
            <w:pPr>
              <w:pStyle w:val="885"/>
              <w:jc w:val="left"/>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系统辅材，包含网络跳线、光纤跳线、转接头、电源线等</w:t>
            </w:r>
            <w:r>
              <w:rPr>
                <w:rFonts w:hint="eastAsia" w:ascii="宋体" w:hAnsi="宋体" w:eastAsia="宋体" w:cs="宋体"/>
                <w:b/>
                <w:bCs/>
                <w:color w:val="000000"/>
                <w:sz w:val="24"/>
                <w:szCs w:val="24"/>
                <w:highlight w:val="none"/>
                <w:lang w:val="en-US" w:eastAsia="zh-CN" w:bidi="ar-SA"/>
              </w:rPr>
            </w:r>
            <w:r/>
          </w:p>
        </w:tc>
        <w:tc>
          <w:tcPr>
            <w:tcW w:w="245" w:type="dxa"/>
            <w:vAlign w:val="center"/>
            <w:textDirection w:val="lrTb"/>
            <w:noWrap/>
          </w:tcPr>
          <w:p>
            <w:pPr>
              <w:pStyle w:val="885"/>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ascii="宋体" w:hAnsi="宋体" w:eastAsia="宋体" w:cs="宋体"/>
                <w:i w:val="0"/>
                <w:iCs w:val="0"/>
                <w:color w:val="000000"/>
                <w:sz w:val="24"/>
                <w:szCs w:val="24"/>
                <w:highlight w:val="none"/>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b/>
                <w:bCs/>
                <w:color w:val="000000"/>
                <w:sz w:val="24"/>
                <w:szCs w:val="24"/>
                <w:highlight w:val="none"/>
                <w:lang w:val="en-US" w:eastAsia="zh-CN" w:bidi="ar-SA"/>
              </w:rPr>
            </w:r>
            <w:r/>
          </w:p>
        </w:tc>
        <w:tc>
          <w:tcPr>
            <w:tcW w:w="38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412"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377"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440"/>
        </w:trPr>
        <w:tc>
          <w:tcPr>
            <w:tcW w:w="229" w:type="dxa"/>
            <w:vAlign w:val="center"/>
            <w:textDirection w:val="lrTb"/>
            <w:noWrap/>
          </w:tcPr>
          <w:p>
            <w:pPr>
              <w:pStyle w:val="885"/>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495" w:type="dxa"/>
            <w:vAlign w:val="center"/>
            <w:textDirection w:val="lrTb"/>
            <w:noWrap/>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设备安装调试及网络调整</w:t>
            </w:r>
            <w:r>
              <w:rPr>
                <w:rFonts w:hint="eastAsia" w:ascii="宋体" w:hAnsi="宋体" w:eastAsia="宋体" w:cs="宋体"/>
                <w:i w:val="0"/>
                <w:iCs w:val="0"/>
                <w:color w:val="000000"/>
                <w:sz w:val="22"/>
                <w:szCs w:val="22"/>
                <w:highlight w:val="none"/>
                <w:u w:val="none"/>
                <w:lang w:val="en-US" w:eastAsia="zh-CN" w:bidi="ar"/>
              </w:rPr>
            </w:r>
            <w:r/>
          </w:p>
        </w:tc>
        <w:tc>
          <w:tcPr>
            <w:tcW w:w="2613" w:type="dxa"/>
            <w:vAlign w:val="center"/>
            <w:textDirection w:val="lrTb"/>
            <w:noWrap/>
          </w:tcPr>
          <w:p>
            <w:pPr>
              <w:pStyle w:val="885"/>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安装调试及网络架构、安全策略调整，包括：1、项目中路由器、交换机、防火墙、网络安全分析审计系统等设备、软件搬运、安装调试，结合新的网络架构进行设备割接入网、功能合并、配置优化。对应原有交换机、防火墙等设备下架、搬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2、调整大院网络架构，规范统一政务网、互联网出口，提升网络出口能力：简化网络拓扑，出口统一化。调整网络设备配置，以符合新的拓扑图，包括交换机、安全设备等。</w:t>
            </w:r>
            <w:r>
              <w:rPr>
                <w:rFonts w:hint="eastAsia" w:ascii="宋体" w:hAnsi="宋体" w:eastAsia="宋体" w:cs="宋体"/>
                <w:i w:val="0"/>
                <w:iCs w:val="0"/>
                <w:color w:val="000000"/>
                <w:sz w:val="22"/>
                <w:szCs w:val="22"/>
                <w:highlight w:val="none"/>
                <w:u w:val="none"/>
                <w:lang w:val="en-US" w:eastAsia="zh-CN" w:bidi="ar"/>
              </w:rPr>
            </w:r>
            <w:r/>
          </w:p>
        </w:tc>
        <w:tc>
          <w:tcPr>
            <w:tcW w:w="245"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方正仿宋_GBK" w:hAnsi="方正仿宋_GBK" w:eastAsia="方正仿宋_GBK" w:cs="方正仿宋_GBK"/>
                <w:i w:val="0"/>
                <w:iCs w:val="0"/>
                <w:color w:val="000000"/>
                <w:sz w:val="24"/>
                <w:szCs w:val="24"/>
                <w:u w:val="none"/>
                <w:lang w:val="en-US" w:eastAsia="zh-CN" w:bidi="ar"/>
              </w:rPr>
            </w:r>
            <w:r/>
          </w:p>
        </w:tc>
        <w:tc>
          <w:tcPr>
            <w:tcW w:w="238" w:type="dxa"/>
            <w:vAlign w:val="center"/>
            <w:textDirection w:val="lrTb"/>
            <w:noWrap/>
          </w:tcPr>
          <w:p>
            <w:pPr>
              <w:pStyle w:val="88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387"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r>
            <w:r/>
          </w:p>
        </w:tc>
        <w:tc>
          <w:tcPr>
            <w:tcW w:w="412"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r>
            <w:r/>
          </w:p>
        </w:tc>
        <w:tc>
          <w:tcPr>
            <w:tcW w:w="377"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r>
            <w:r/>
          </w:p>
        </w:tc>
      </w:tr>
      <w:tr>
        <w:trPr>
          <w:trHeight w:val="440"/>
        </w:trPr>
        <w:tc>
          <w:tcPr>
            <w:gridSpan w:val="3"/>
            <w:tcW w:w="6719" w:type="dxa"/>
            <w:vAlign w:val="center"/>
            <w:textDirection w:val="lrTb"/>
            <w:noWrap/>
          </w:tcPr>
          <w:p>
            <w:pPr>
              <w:pStyle w:val="885"/>
              <w:jc w:val="left"/>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合计（元）</w:t>
            </w:r>
            <w:r>
              <w:rPr>
                <w:rFonts w:ascii="宋体" w:hAnsi="宋体" w:eastAsia="宋体" w:cs="宋体"/>
                <w:i w:val="0"/>
                <w:iCs w:val="0"/>
                <w:color w:val="000000"/>
                <w:sz w:val="22"/>
                <w:szCs w:val="22"/>
                <w:highlight w:val="none"/>
                <w:u w:val="none"/>
                <w:lang w:val="en-US" w:eastAsia="zh-CN" w:bidi="ar"/>
              </w:rPr>
            </w:r>
            <w:r/>
          </w:p>
        </w:tc>
        <w:tc>
          <w:tcPr>
            <w:gridSpan w:val="4"/>
            <w:tcW w:w="2585"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r>
            <w:r/>
          </w:p>
        </w:tc>
        <w:tc>
          <w:tcPr>
            <w:tcW w:w="377" w:type="dxa"/>
            <w:vAlign w:val="center"/>
            <w:textDirection w:val="lrTb"/>
            <w:noWrap/>
          </w:tcPr>
          <w:p>
            <w:pPr>
              <w:pStyle w:val="885"/>
              <w:jc w:val="center"/>
              <w:keepLines w:val="0"/>
              <w:keepNext w:val="0"/>
              <w:widowControl/>
              <w:rPr>
                <w:rFonts w:hint="eastAsia" w:ascii="方正仿宋_GBK" w:hAnsi="方正仿宋_GBK" w:eastAsia="方正仿宋_GBK" w:cs="方正仿宋_GBK"/>
                <w:i w:val="0"/>
                <w:iCs w:val="0"/>
                <w:color w:val="000000"/>
                <w:sz w:val="24"/>
                <w:szCs w:val="24"/>
                <w:u w:val="none"/>
                <w:lang w:val="en-US" w:eastAsia="zh-CN" w:bidi="ar"/>
              </w:rPr>
              <w:suppressLineNumbers w:val="0"/>
            </w:pPr>
            <w:r>
              <w:rPr>
                <w:rFonts w:hint="eastAsia" w:ascii="方正仿宋_GBK" w:hAnsi="方正仿宋_GBK" w:eastAsia="方正仿宋_GBK" w:cs="方正仿宋_GBK"/>
                <w:i w:val="0"/>
                <w:iCs w:val="0"/>
                <w:color w:val="000000"/>
                <w:sz w:val="24"/>
                <w:szCs w:val="24"/>
                <w:u w:val="none"/>
                <w:lang w:val="en-US" w:eastAsia="zh-CN" w:bidi="ar"/>
              </w:rPr>
            </w:r>
            <w:r/>
          </w:p>
        </w:tc>
      </w:tr>
    </w:tbl>
    <w:p>
      <w:pPr>
        <w:pStyle w:val="885"/>
        <w:spacing w:before="5" w:line="360" w:lineRule="auto"/>
        <w:rPr>
          <w:rFonts w:ascii="Calibri" w:hAnsi="Calibri" w:eastAsia="宋体" w:cs="Times New Roman"/>
          <w:b/>
          <w:bCs/>
          <w:sz w:val="24"/>
          <w:szCs w:val="24"/>
        </w:rPr>
      </w:pPr>
      <w:r>
        <w:rPr>
          <w:rFonts w:hint="eastAsia" w:ascii="Calibri" w:hAnsi="Calibri" w:eastAsia="宋体" w:cs="Times New Roman"/>
          <w:b/>
          <w:bCs/>
          <w:sz w:val="24"/>
          <w:szCs w:val="24"/>
        </w:rPr>
        <w:t xml:space="preserve">投标人名称（盖章）：</w:t>
      </w:r>
      <w:r>
        <w:rPr>
          <w:rFonts w:ascii="Calibri" w:hAnsi="Calibri" w:eastAsia="宋体" w:cs="Times New Roman"/>
          <w:b/>
          <w:bCs/>
          <w:sz w:val="24"/>
          <w:szCs w:val="24"/>
        </w:rPr>
      </w:r>
      <w:r/>
    </w:p>
    <w:p>
      <w:pPr>
        <w:pStyle w:val="885"/>
        <w:spacing w:line="360" w:lineRule="auto"/>
        <w:rPr>
          <w:rFonts w:ascii="宋体" w:hAnsi="宋体" w:eastAsia="宋体" w:cs="Times New Roman"/>
          <w:b/>
          <w:sz w:val="18"/>
          <w:szCs w:val="18"/>
        </w:rPr>
        <w:outlineLvl w:val="0"/>
      </w:pPr>
      <w:r>
        <w:rPr>
          <w:rFonts w:ascii="宋体" w:hAnsi="宋体" w:eastAsia="宋体" w:cs="Times New Roman"/>
          <w:b/>
          <w:sz w:val="18"/>
          <w:szCs w:val="18"/>
        </w:rPr>
      </w:r>
      <w:r/>
    </w:p>
    <w:p>
      <w:pPr>
        <w:pStyle w:val="885"/>
        <w:spacing w:line="360" w:lineRule="auto"/>
        <w:rPr>
          <w:rFonts w:ascii="宋体" w:hAnsi="宋体" w:eastAsia="宋体" w:cs="宋体"/>
          <w:szCs w:val="21"/>
        </w:rPr>
      </w:pPr>
      <w:r>
        <w:rPr>
          <w:rFonts w:hint="eastAsia" w:ascii="宋体" w:hAnsi="宋体" w:eastAsia="宋体" w:cs="宋体"/>
          <w:sz w:val="22"/>
        </w:rPr>
        <w:t xml:space="preserve">注：1、投标人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r>
        <w:rPr>
          <w:rFonts w:ascii="宋体" w:hAnsi="宋体" w:eastAsia="宋体" w:cs="宋体"/>
          <w:szCs w:val="21"/>
        </w:rPr>
      </w:r>
      <w:r/>
    </w:p>
    <w:p>
      <w:pPr>
        <w:pStyle w:val="885"/>
        <w:ind w:firstLine="420"/>
        <w:spacing w:line="360" w:lineRule="auto"/>
        <w:rPr>
          <w:rFonts w:ascii="宋体" w:hAnsi="宋体" w:eastAsia="宋体" w:cs="宋体"/>
        </w:rPr>
      </w:pPr>
      <w:r>
        <w:rPr>
          <w:rFonts w:hint="eastAsia" w:ascii="宋体" w:hAnsi="宋体" w:eastAsia="宋体" w:cs="宋体"/>
          <w:sz w:val="22"/>
        </w:rPr>
        <w:t xml:space="preserve">2、上述报价表由投标单位参照，不限于此，可根据采购需求自行添加条目进行投报。</w:t>
      </w:r>
      <w:r>
        <w:rPr>
          <w:rFonts w:ascii="宋体" w:hAnsi="宋体" w:eastAsia="宋体" w:cs="宋体"/>
        </w:rPr>
      </w:r>
      <w:r/>
    </w:p>
    <w:p>
      <w:pPr>
        <w:pStyle w:val="885"/>
        <w:ind w:firstLine="420"/>
        <w:spacing w:line="360" w:lineRule="auto"/>
        <w:rPr>
          <w:rFonts w:ascii="宋体" w:hAnsi="宋体" w:eastAsia="宋体" w:cs="宋体"/>
          <w:sz w:val="22"/>
        </w:rPr>
      </w:pPr>
      <w:r>
        <w:rPr>
          <w:rFonts w:hint="eastAsia" w:ascii="宋体" w:hAnsi="宋体" w:eastAsia="宋体" w:cs="宋体"/>
          <w:sz w:val="22"/>
        </w:rPr>
        <w:t xml:space="preserve">3、投标人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r>
        <w:rPr>
          <w:rFonts w:ascii="宋体" w:hAnsi="宋体" w:eastAsia="宋体" w:cs="宋体"/>
          <w:sz w:val="22"/>
        </w:rPr>
      </w:r>
      <w:r/>
    </w:p>
    <w:p>
      <w:pPr>
        <w:pStyle w:val="885"/>
        <w:ind w:firstLine="420"/>
        <w:spacing w:line="360" w:lineRule="auto"/>
        <w:rPr>
          <w:rFonts w:ascii="宋体" w:hAnsi="宋体" w:eastAsia="宋体" w:cs="Times New Roman"/>
          <w:bCs/>
        </w:rPr>
      </w:pPr>
      <w:r>
        <w:rPr>
          <w:rFonts w:hint="eastAsia" w:ascii="宋体" w:hAnsi="宋体" w:eastAsia="宋体" w:cs="宋体"/>
          <w:sz w:val="22"/>
        </w:rPr>
        <w:t xml:space="preserve">4、</w:t>
      </w:r>
      <w:r>
        <w:rPr>
          <w:rFonts w:hint="eastAsia" w:ascii="宋体" w:hAnsi="宋体" w:eastAsia="宋体" w:cs="Times New Roman"/>
          <w:bCs/>
        </w:rPr>
        <w:t xml:space="preserve">投标人应当根据“采购需求”的内容在上表中详细填写。</w:t>
      </w:r>
      <w:r>
        <w:rPr>
          <w:rFonts w:ascii="宋体" w:hAnsi="宋体" w:eastAsia="宋体" w:cs="Times New Roman"/>
          <w:bCs/>
        </w:rPr>
      </w:r>
      <w:r/>
    </w:p>
    <w:p>
      <w:pPr>
        <w:pStyle w:val="885"/>
        <w:ind w:firstLine="420"/>
        <w:spacing w:line="360" w:lineRule="auto"/>
        <w:rPr>
          <w:rFonts w:hint="eastAsia" w:ascii="宋体" w:hAnsi="宋体" w:eastAsia="宋体" w:cs="Times New Roman"/>
        </w:rPr>
      </w:pPr>
      <w:r>
        <w:rPr>
          <w:rFonts w:hint="eastAsia" w:ascii="宋体" w:hAnsi="宋体" w:eastAsia="宋体" w:cs="Times New Roman"/>
          <w:bCs/>
        </w:rPr>
        <w:t xml:space="preserve">5、表格不够可自行延长。</w:t>
      </w:r>
      <w:r>
        <w:rPr>
          <w:rFonts w:hint="eastAsia"/>
          <w:b/>
          <w:color w:val="000000"/>
          <w:sz w:val="30"/>
          <w:szCs w:val="30"/>
        </w:rPr>
      </w:r>
      <w:r/>
    </w:p>
    <w:p>
      <w:pPr>
        <w:ind w:firstLine="420"/>
        <w:spacing w:line="360" w:lineRule="auto"/>
        <w:rPr>
          <w:rFonts w:hint="eastAsia"/>
          <w:b/>
          <w:bCs/>
          <w:color w:val="000000"/>
          <w:sz w:val="30"/>
          <w:szCs w:val="30"/>
        </w:rPr>
      </w:pPr>
      <w:r>
        <w:rPr>
          <w:rFonts w:hint="eastAsia" w:ascii="宋体" w:hAnsi="宋体" w:eastAsia="宋体" w:cs="Times New Roman"/>
          <w:bCs/>
        </w:rPr>
      </w:r>
      <w:r>
        <w:rPr>
          <w:rFonts w:hint="eastAsia" w:ascii="Calibri" w:hAnsi="Calibri" w:eastAsia="宋体" w:cs="Times New Roman"/>
          <w:b/>
          <w:sz w:val="28"/>
          <w:szCs w:val="28"/>
        </w:rPr>
        <w:br w:type="page" w:clear="all"/>
      </w: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pStyle w:val="8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rPr>
            </w:pPr>
            <w:r>
              <w:rPr>
                <w:rFonts w:ascii="宋体"/>
                <w:bCs/>
                <w:color w:val="000000"/>
              </w:rPr>
            </w:r>
            <w:r/>
          </w:p>
        </w:tc>
      </w:tr>
    </w:tbl>
    <w:p>
      <w:pPr>
        <w:pStyle w:val="885"/>
        <w:rPr>
          <w:rFonts w:ascii="黑体" w:eastAsia="黑体"/>
          <w:bCs/>
          <w:color w:val="000000"/>
          <w:sz w:val="24"/>
          <w:szCs w:val="24"/>
        </w:rPr>
      </w:pPr>
      <w:r>
        <w:rPr>
          <w:rFonts w:ascii="黑体" w:eastAsia="黑体"/>
          <w:bCs/>
          <w:color w:val="000000"/>
          <w:sz w:val="24"/>
          <w:szCs w:val="24"/>
        </w:rPr>
      </w:r>
      <w:r/>
    </w:p>
    <w:p>
      <w:pPr>
        <w:pStyle w:val="88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5"/>
        <w:rPr>
          <w:rFonts w:ascii="宋体"/>
          <w:bCs/>
          <w:color w:val="000000"/>
          <w:sz w:val="30"/>
        </w:rPr>
      </w:pPr>
      <w:r>
        <w:rPr>
          <w:rFonts w:ascii="宋体"/>
          <w:bCs/>
          <w:color w:val="000000"/>
          <w:sz w:val="30"/>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w:t>
      </w:r>
      <w:r>
        <w:rPr>
          <w:rFonts w:hint="eastAsia" w:ascii="宋体" w:hAnsi="宋体"/>
          <w:bCs/>
          <w:sz w:val="24"/>
          <w:szCs w:val="24"/>
          <w:lang w:val="en-US" w:eastAsia="zh-CN"/>
        </w:rPr>
        <w:t xml:space="preserve">技术</w:t>
      </w:r>
      <w:r>
        <w:rPr>
          <w:rFonts w:hint="eastAsia" w:ascii="宋体" w:hAnsi="宋体"/>
          <w:bCs/>
          <w:color w:val="000000"/>
          <w:sz w:val="24"/>
          <w:szCs w:val="24"/>
        </w:rPr>
        <w:t xml:space="preserve">偏离，请于本表 “偏离说明”中注明“无偏离”；</w:t>
      </w:r>
      <w:r>
        <w:rPr>
          <w:rFonts w:ascii="宋体" w:hAnsi="宋体"/>
          <w:bCs/>
          <w:color w:val="000000"/>
          <w:sz w:val="24"/>
          <w:szCs w:val="24"/>
        </w:rPr>
      </w:r>
      <w:r/>
    </w:p>
    <w:p>
      <w:pPr>
        <w:pStyle w:val="885"/>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199"/>
      <w:r/>
      <w:bookmarkStart w:id="200" w:name="_格式2__法定代表人授权书"/>
      <w:r/>
      <w:bookmarkEnd w:id="200"/>
      <w:r/>
      <w:bookmarkStart w:id="201" w:name="_Hlt26955066"/>
      <w:r/>
      <w:bookmarkEnd w:id="201"/>
      <w:r/>
      <w:bookmarkStart w:id="202" w:name="_Hlt26609389"/>
      <w:r/>
      <w:bookmarkEnd w:id="202"/>
      <w:r/>
      <w:bookmarkStart w:id="203" w:name="_Hlt26671374"/>
      <w:r/>
      <w:bookmarkEnd w:id="203"/>
      <w:r>
        <w:rPr>
          <w:rFonts w:hint="eastAsia" w:ascii="宋体" w:hAnsi="宋体"/>
          <w:bCs/>
          <w:color w:val="000000"/>
          <w:sz w:val="24"/>
          <w:szCs w:val="24"/>
        </w:rPr>
      </w:r>
      <w:r/>
    </w:p>
    <w:p>
      <w:pPr>
        <w:pStyle w:val="885"/>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十一  项目人员配置清单（格式）</w:t>
      </w:r>
      <w:r>
        <w:rPr>
          <w:b/>
          <w:color w:val="000000"/>
          <w:sz w:val="30"/>
          <w:szCs w:val="30"/>
        </w:rPr>
      </w:r>
      <w:r/>
    </w:p>
    <w:p>
      <w:pPr>
        <w:pStyle w:val="885"/>
        <w:spacing w:line="400" w:lineRule="exact"/>
        <w:rPr>
          <w:rFonts w:ascii="黑体" w:eastAsia="黑体"/>
          <w:bCs/>
          <w:color w:val="000000"/>
          <w:sz w:val="28"/>
          <w:szCs w:val="28"/>
        </w:rPr>
      </w:pPr>
      <w:r>
        <w:rPr>
          <w:rFonts w:ascii="黑体" w:eastAsia="黑体"/>
          <w:bCs/>
          <w:color w:val="000000"/>
          <w:sz w:val="28"/>
          <w:szCs w:val="28"/>
        </w:rPr>
      </w:r>
      <w:r/>
    </w:p>
    <w:p>
      <w:pPr>
        <w:pStyle w:val="885"/>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85"/>
        <w:jc w:val="center"/>
        <w:spacing w:line="400" w:lineRule="exact"/>
        <w:rPr>
          <w:rFonts w:ascii="黑体" w:eastAsia="黑体"/>
          <w:bCs/>
          <w:color w:val="000000"/>
          <w:sz w:val="28"/>
          <w:szCs w:val="28"/>
        </w:rPr>
      </w:pPr>
      <w:r>
        <w:rPr>
          <w:rFonts w:ascii="黑体" w:eastAsia="黑体"/>
          <w:bCs/>
          <w:color w:val="000000"/>
          <w:sz w:val="28"/>
          <w:szCs w:val="28"/>
        </w:rPr>
      </w:r>
      <w:r/>
    </w:p>
    <w:p>
      <w:pPr>
        <w:pStyle w:val="885"/>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3"/>
        <w:gridCol w:w="724"/>
        <w:gridCol w:w="690"/>
        <w:gridCol w:w="807"/>
        <w:gridCol w:w="1218"/>
        <w:gridCol w:w="1226"/>
        <w:gridCol w:w="1753"/>
        <w:gridCol w:w="954"/>
      </w:tblGrid>
      <w:tr>
        <w:trPr>
          <w:trHeight w:val="865"/>
        </w:trPr>
        <w:tc>
          <w:tcPr>
            <w:tcW w:w="766" w:type="dxa"/>
            <w:vAlign w:val="center"/>
            <w:textDirection w:val="lrTb"/>
            <w:noWrap w:val="false"/>
          </w:tcPr>
          <w:p>
            <w:pPr>
              <w:pStyle w:val="885"/>
              <w:jc w:val="center"/>
              <w:spacing w:line="360" w:lineRule="auto"/>
              <w:rPr>
                <w:b/>
                <w:sz w:val="24"/>
              </w:rPr>
            </w:pPr>
            <w:r>
              <w:rPr>
                <w:rFonts w:hint="eastAsia"/>
                <w:b/>
                <w:sz w:val="24"/>
              </w:rPr>
              <w:t xml:space="preserve">序号</w:t>
            </w:r>
            <w:r>
              <w:rPr>
                <w:b/>
                <w:sz w:val="24"/>
              </w:rPr>
            </w:r>
            <w:r/>
          </w:p>
        </w:tc>
        <w:tc>
          <w:tcPr>
            <w:tcW w:w="1098" w:type="dxa"/>
            <w:vAlign w:val="center"/>
            <w:textDirection w:val="lrTb"/>
            <w:noWrap w:val="false"/>
          </w:tcPr>
          <w:p>
            <w:pPr>
              <w:pStyle w:val="885"/>
              <w:jc w:val="center"/>
              <w:spacing w:line="360" w:lineRule="auto"/>
              <w:rPr>
                <w:b/>
                <w:sz w:val="24"/>
              </w:rPr>
            </w:pPr>
            <w:r>
              <w:rPr>
                <w:rFonts w:hint="eastAsia"/>
                <w:b/>
                <w:sz w:val="24"/>
              </w:rPr>
              <w:t xml:space="preserve">姓名</w:t>
            </w:r>
            <w:r>
              <w:rPr>
                <w:b/>
                <w:sz w:val="24"/>
              </w:rPr>
            </w:r>
            <w:r/>
          </w:p>
        </w:tc>
        <w:tc>
          <w:tcPr>
            <w:tcW w:w="744" w:type="dxa"/>
            <w:vAlign w:val="center"/>
            <w:textDirection w:val="lrTb"/>
            <w:noWrap w:val="false"/>
          </w:tcPr>
          <w:p>
            <w:pPr>
              <w:pStyle w:val="885"/>
              <w:jc w:val="center"/>
              <w:spacing w:line="360" w:lineRule="auto"/>
              <w:rPr>
                <w:b/>
                <w:sz w:val="24"/>
              </w:rPr>
            </w:pPr>
            <w:r>
              <w:rPr>
                <w:rFonts w:hint="eastAsia"/>
                <w:b/>
                <w:sz w:val="24"/>
              </w:rPr>
              <w:t xml:space="preserve">性别</w:t>
            </w:r>
            <w:r>
              <w:rPr>
                <w:b/>
                <w:sz w:val="24"/>
              </w:rPr>
            </w:r>
            <w:r/>
          </w:p>
        </w:tc>
        <w:tc>
          <w:tcPr>
            <w:tcW w:w="709" w:type="dxa"/>
            <w:vAlign w:val="center"/>
            <w:textDirection w:val="lrTb"/>
            <w:noWrap w:val="false"/>
          </w:tcPr>
          <w:p>
            <w:pPr>
              <w:pStyle w:val="885"/>
              <w:jc w:val="center"/>
              <w:spacing w:line="360" w:lineRule="auto"/>
              <w:rPr>
                <w:b/>
                <w:sz w:val="24"/>
              </w:rPr>
            </w:pPr>
            <w:r>
              <w:rPr>
                <w:rFonts w:hint="eastAsia"/>
                <w:b/>
                <w:sz w:val="22"/>
                <w:szCs w:val="20"/>
              </w:rPr>
              <w:t xml:space="preserve">年龄</w:t>
            </w:r>
            <w:r>
              <w:rPr>
                <w:b/>
                <w:sz w:val="24"/>
              </w:rPr>
            </w:r>
            <w:r/>
          </w:p>
        </w:tc>
        <w:tc>
          <w:tcPr>
            <w:tcW w:w="834" w:type="dxa"/>
            <w:vAlign w:val="center"/>
            <w:textDirection w:val="lrTb"/>
            <w:noWrap w:val="false"/>
          </w:tcPr>
          <w:p>
            <w:pPr>
              <w:pStyle w:val="885"/>
              <w:jc w:val="center"/>
              <w:spacing w:line="360" w:lineRule="auto"/>
              <w:rPr>
                <w:b/>
                <w:sz w:val="24"/>
              </w:rPr>
            </w:pPr>
            <w:r>
              <w:rPr>
                <w:rFonts w:hint="eastAsia"/>
                <w:b/>
                <w:sz w:val="24"/>
              </w:rPr>
              <w:t xml:space="preserve">学历</w:t>
            </w:r>
            <w:r>
              <w:rPr>
                <w:b/>
                <w:sz w:val="24"/>
              </w:rPr>
            </w:r>
            <w:r/>
          </w:p>
        </w:tc>
        <w:tc>
          <w:tcPr>
            <w:tcW w:w="1276" w:type="dxa"/>
            <w:vAlign w:val="center"/>
            <w:textDirection w:val="lrTb"/>
            <w:noWrap w:val="false"/>
          </w:tcPr>
          <w:p>
            <w:pPr>
              <w:pStyle w:val="885"/>
              <w:jc w:val="center"/>
              <w:spacing w:line="360" w:lineRule="auto"/>
              <w:rPr>
                <w:b/>
                <w:sz w:val="24"/>
              </w:rPr>
            </w:pPr>
            <w:r>
              <w:rPr>
                <w:rFonts w:hint="eastAsia"/>
                <w:b/>
                <w:sz w:val="24"/>
              </w:rPr>
              <w:t xml:space="preserve">岗位职责</w:t>
            </w:r>
            <w:r>
              <w:rPr>
                <w:b/>
                <w:sz w:val="24"/>
              </w:rPr>
            </w:r>
            <w:r/>
          </w:p>
        </w:tc>
        <w:tc>
          <w:tcPr>
            <w:tcW w:w="1285" w:type="dxa"/>
            <w:vAlign w:val="center"/>
            <w:textDirection w:val="lrTb"/>
            <w:noWrap w:val="false"/>
          </w:tcPr>
          <w:p>
            <w:pPr>
              <w:pStyle w:val="885"/>
              <w:jc w:val="center"/>
              <w:spacing w:line="360" w:lineRule="auto"/>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85"/>
              <w:jc w:val="center"/>
              <w:spacing w:line="360" w:lineRule="auto"/>
              <w:rPr>
                <w:b/>
                <w:sz w:val="24"/>
              </w:rPr>
            </w:pPr>
            <w:r>
              <w:rPr>
                <w:rFonts w:hint="eastAsia"/>
                <w:b/>
                <w:sz w:val="24"/>
              </w:rPr>
              <w:t xml:space="preserve">人员经验描述</w:t>
            </w:r>
            <w:r>
              <w:rPr>
                <w:b/>
                <w:sz w:val="24"/>
              </w:rPr>
            </w:r>
            <w:r/>
          </w:p>
          <w:p>
            <w:pPr>
              <w:pStyle w:val="885"/>
              <w:jc w:val="center"/>
              <w:spacing w:line="360" w:lineRule="auto"/>
              <w:rPr>
                <w:b/>
                <w:sz w:val="24"/>
              </w:rPr>
            </w:pPr>
            <w:r>
              <w:rPr>
                <w:rFonts w:hint="eastAsia"/>
                <w:b/>
                <w:sz w:val="24"/>
              </w:rPr>
              <w:t xml:space="preserve">（如有要求）</w:t>
            </w:r>
            <w:r>
              <w:rPr>
                <w:b/>
                <w:sz w:val="24"/>
              </w:rPr>
            </w:r>
            <w:r/>
          </w:p>
        </w:tc>
        <w:tc>
          <w:tcPr>
            <w:tcW w:w="992" w:type="dxa"/>
            <w:vAlign w:val="center"/>
            <w:textDirection w:val="lrTb"/>
            <w:noWrap w:val="false"/>
          </w:tcPr>
          <w:p>
            <w:pPr>
              <w:pStyle w:val="885"/>
              <w:jc w:val="center"/>
              <w:spacing w:line="360" w:lineRule="auto"/>
              <w:rPr>
                <w:b/>
                <w:sz w:val="24"/>
              </w:rPr>
            </w:pPr>
            <w:r>
              <w:rPr>
                <w:rFonts w:hint="eastAsia"/>
                <w:b/>
                <w:sz w:val="24"/>
              </w:rPr>
              <w:t xml:space="preserve">备注</w:t>
            </w:r>
            <w:r>
              <w:rPr>
                <w:b/>
                <w:sz w:val="24"/>
              </w:rPr>
            </w:r>
            <w:r/>
          </w:p>
        </w:tc>
      </w:tr>
      <w:tr>
        <w:trPr>
          <w:trHeight w:val="680"/>
        </w:trPr>
        <w:tc>
          <w:tcPr>
            <w:tcW w:w="766"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spacing w:line="360" w:lineRule="auto"/>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spacing w:line="360" w:lineRule="auto"/>
              <w:rPr>
                <w:rFonts w:ascii="黑体" w:eastAsia="黑体"/>
                <w:bCs/>
                <w:sz w:val="24"/>
                <w:szCs w:val="24"/>
              </w:rPr>
              <w:outlineLvl w:val="0"/>
            </w:pPr>
            <w:r>
              <w:rPr>
                <w:rFonts w:ascii="黑体" w:eastAsia="黑体"/>
                <w:bCs/>
                <w:sz w:val="24"/>
                <w:szCs w:val="24"/>
              </w:rPr>
            </w:r>
            <w:r/>
          </w:p>
        </w:tc>
      </w:tr>
    </w:tbl>
    <w:p>
      <w:pPr>
        <w:pStyle w:val="885"/>
        <w:rPr>
          <w:rFonts w:ascii="黑体" w:eastAsia="黑体"/>
          <w:bCs/>
          <w:color w:val="000000"/>
          <w:sz w:val="24"/>
          <w:szCs w:val="24"/>
        </w:rPr>
      </w:pPr>
      <w:r>
        <w:rPr>
          <w:rFonts w:ascii="黑体" w:eastAsia="黑体"/>
          <w:bCs/>
          <w:color w:val="000000"/>
          <w:sz w:val="24"/>
          <w:szCs w:val="24"/>
        </w:rPr>
      </w:r>
      <w:r/>
    </w:p>
    <w:p>
      <w:pPr>
        <w:pStyle w:val="885"/>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885"/>
        <w:rPr>
          <w:rFonts w:hint="eastAsia" w:ascii="宋体" w:hAnsi="宋体"/>
          <w:bCs/>
          <w:color w:val="000000"/>
        </w:rPr>
      </w:pPr>
      <w:r>
        <w:rPr>
          <w:rFonts w:hint="eastAsia"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rPr>
          <w:rFonts w:ascii="宋体" w:hAnsi="宋体"/>
          <w:bCs/>
          <w:color w:val="000000"/>
        </w:rPr>
      </w:pPr>
      <w:r>
        <w:rPr>
          <w:rFonts w:ascii="宋体" w:hAnsi="宋体"/>
          <w:bCs/>
          <w:color w:val="000000"/>
        </w:rPr>
      </w:r>
      <w:r/>
    </w:p>
    <w:p>
      <w:pPr>
        <w:pStyle w:val="885"/>
        <w:spacing w:line="360" w:lineRule="auto"/>
        <w:rPr>
          <w:rFonts w:ascii="宋体" w:hAnsi="宋体"/>
          <w:bCs/>
        </w:rPr>
      </w:pPr>
      <w:r>
        <w:rPr>
          <w:rFonts w:hint="eastAsia" w:ascii="宋体" w:hAnsi="宋体"/>
          <w:bCs/>
        </w:rPr>
        <w:t xml:space="preserve">注：1. 本表对应</w:t>
      </w:r>
      <w:r>
        <w:rPr>
          <w:rFonts w:hint="eastAsia" w:ascii="宋体" w:hAnsi="宋体"/>
          <w:b/>
          <w:bCs w:val="0"/>
        </w:rPr>
        <w:t xml:space="preserve">评分标准中的项目人员</w:t>
      </w:r>
      <w:r>
        <w:rPr>
          <w:rFonts w:hint="eastAsia" w:ascii="宋体" w:hAnsi="宋体"/>
          <w:bCs/>
        </w:rPr>
        <w:t xml:space="preserve">配置情况，表格不够可自行延长。</w:t>
      </w:r>
      <w:r>
        <w:rPr>
          <w:rFonts w:ascii="宋体" w:hAnsi="宋体"/>
          <w:bCs/>
        </w:rPr>
      </w:r>
      <w:r/>
    </w:p>
    <w:p>
      <w:pPr>
        <w:pStyle w:val="885"/>
        <w:ind w:firstLine="420"/>
        <w:spacing w:line="360" w:lineRule="auto"/>
      </w:pPr>
      <w:r>
        <w:rPr>
          <w:rFonts w:hint="eastAsia" w:ascii="宋体" w:hAnsi="宋体"/>
          <w:bCs/>
        </w:rPr>
        <w:t xml:space="preserve">2. 上表内容须按评分标准中的相关要求提供相应证明材料。</w:t>
      </w:r>
      <w:r/>
    </w:p>
    <w:p>
      <w:pPr>
        <w:pStyle w:val="885"/>
        <w:ind w:firstLine="420"/>
        <w:spacing w:line="360" w:lineRule="auto"/>
        <w:rPr>
          <w:rFonts w:ascii="宋体" w:hAnsi="宋体"/>
          <w:bCs/>
        </w:rPr>
      </w:pPr>
      <w:r>
        <w:rPr>
          <w:rFonts w:hint="eastAsia" w:ascii="宋体" w:hAnsi="宋体"/>
          <w:bCs/>
        </w:rPr>
        <w:t xml:space="preserve">3.证明材料均请附在本表之后。</w:t>
      </w:r>
      <w:r>
        <w:rPr>
          <w:rFonts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仿宋">
    <w:panose1 w:val="0201060906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２</w:t>
    </w:r>
    <w:r>
      <w:rPr>
        <w:rFonts w:ascii="宋体" w:hAnsi="宋体"/>
      </w:rPr>
      <w:fldChar w:fldCharType="end"/>
    </w:r>
    <w:r>
      <w:rPr>
        <w:rStyle w:val="957"/>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3">
    <w:multiLevelType w:val="hybridMultilevel"/>
    <w:lvl w:ilvl="0">
      <w:start w:val="1"/>
      <w:numFmt w:val="upperLetter"/>
      <w:pStyle w:val="964"/>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5">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1"/>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9">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1"/>
  </w:num>
  <w:num w:numId="5">
    <w:abstractNumId w:val="4"/>
  </w:num>
  <w:num w:numId="6">
    <w:abstractNumId w:val="2"/>
  </w:num>
  <w:num w:numId="7">
    <w:abstractNumId w:val="5"/>
  </w:num>
  <w:num w:numId="8">
    <w:abstractNumId w:val="9"/>
  </w:num>
  <w:num w:numId="9">
    <w:abstractNumId w:val="1"/>
  </w:num>
  <w:num w:numId="10">
    <w:abstractNumId w:val="7"/>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99"/>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99"/>
    <w:link w:val="901"/>
    <w:qFormat/>
    <w:pPr>
      <w:keepLines/>
      <w:keepNext/>
      <w:spacing w:before="260" w:after="260" w:line="416" w:lineRule="auto"/>
      <w:outlineLvl w:val="2"/>
    </w:pPr>
    <w:rPr>
      <w:b/>
      <w:bCs/>
      <w:sz w:val="32"/>
      <w:szCs w:val="32"/>
    </w:rPr>
  </w:style>
  <w:style w:type="paragraph" w:styleId="889">
    <w:name w:val="标题 4"/>
    <w:basedOn w:val="885"/>
    <w:next w:val="899"/>
    <w:link w:val="902"/>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899"/>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paragraph" w:styleId="899">
    <w:name w:val="正文缩进"/>
    <w:basedOn w:val="885"/>
    <w:next w:val="899"/>
    <w:link w:val="900"/>
    <w:pPr>
      <w:ind w:firstLine="420"/>
    </w:pPr>
    <w:rPr>
      <w:sz w:val="20"/>
    </w:rPr>
  </w:style>
  <w:style w:type="character" w:styleId="900">
    <w:name w:val="正文缩进 Char"/>
    <w:next w:val="900"/>
    <w:link w:val="899"/>
    <w:rPr>
      <w:rFonts w:ascii="Times New Roman" w:hAnsi="Times New Roman" w:eastAsia="宋体" w:cs="Times New Roman"/>
      <w:szCs w:val="21"/>
    </w:rPr>
  </w:style>
  <w:style w:type="character" w:styleId="901">
    <w:name w:val="标题 3 Char"/>
    <w:next w:val="901"/>
    <w:link w:val="888"/>
    <w:rPr>
      <w:rFonts w:ascii="Times New Roman" w:hAnsi="Times New Roman" w:eastAsia="宋体" w:cs="Times New Roman"/>
      <w:b/>
      <w:bCs/>
      <w:sz w:val="32"/>
      <w:szCs w:val="32"/>
    </w:rPr>
  </w:style>
  <w:style w:type="character" w:styleId="902">
    <w:name w:val="标题 4 Char"/>
    <w:next w:val="902"/>
    <w:link w:val="889"/>
    <w:rPr>
      <w:rFonts w:ascii="Arial" w:hAnsi="Arial" w:eastAsia="黑体" w:cs="Arial"/>
      <w:b/>
      <w:bCs/>
      <w:sz w:val="28"/>
      <w:szCs w:val="28"/>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普通(网站)"/>
    <w:basedOn w:val="885"/>
    <w:next w:val="947"/>
    <w:link w:val="885"/>
    <w:uiPriority w:val="99"/>
    <w:pPr>
      <w:jc w:val="left"/>
      <w:spacing w:before="100" w:beforeAutospacing="1" w:after="100" w:afterAutospacing="1"/>
      <w:widowControl/>
    </w:pPr>
    <w:rPr>
      <w:rFonts w:ascii="宋体" w:hAnsi="宋体" w:cs="宋体"/>
      <w:sz w:val="24"/>
      <w:szCs w:val="24"/>
    </w:rPr>
  </w:style>
  <w:style w:type="paragraph" w:styleId="948">
    <w:name w:val="索引 1"/>
    <w:basedOn w:val="885"/>
    <w:next w:val="885"/>
    <w:link w:val="885"/>
    <w:semiHidden/>
    <w:pPr>
      <w:spacing w:line="240" w:lineRule="atLeast"/>
    </w:pPr>
    <w:rPr>
      <w:b/>
      <w:bCs/>
    </w:rPr>
  </w:style>
  <w:style w:type="paragraph" w:styleId="949">
    <w:name w:val="批注主题"/>
    <w:basedOn w:val="912"/>
    <w:next w:val="912"/>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5"/>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8"/>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6"/>
    <w:next w:val="955"/>
    <w:link w:val="885"/>
    <w:pPr>
      <w:jc w:val="both"/>
      <w:widowControl w:val="off"/>
    </w:pPr>
    <w:rPr>
      <w:rFonts w:ascii="Times New Roman" w:hAnsi="Times New Roman" w:eastAsia="宋体" w:cs="Times New Roman"/>
      <w:sz w:val="20"/>
      <w:szCs w:val="20"/>
    </w:rPr>
    <w:tblPr/>
  </w:style>
  <w:style w:type="character" w:styleId="956">
    <w:name w:val="要点"/>
    <w:next w:val="956"/>
    <w:link w:val="885"/>
    <w:qFormat/>
    <w:rPr>
      <w:b/>
      <w:bCs/>
    </w:rPr>
  </w:style>
  <w:style w:type="character" w:styleId="957">
    <w:name w:val="页码"/>
    <w:next w:val="957"/>
    <w:link w:val="885"/>
  </w:style>
  <w:style w:type="character" w:styleId="958">
    <w:name w:val="已访问的超链接"/>
    <w:next w:val="958"/>
    <w:link w:val="885"/>
    <w:rPr>
      <w:color w:val="800080"/>
      <w:u w:val="single"/>
    </w:rPr>
  </w:style>
  <w:style w:type="character" w:styleId="959">
    <w:name w:val="HTML 打字机"/>
    <w:next w:val="959"/>
    <w:link w:val="885"/>
    <w:uiPriority w:val="99"/>
    <w:rPr>
      <w:rFonts w:ascii="宋体" w:hAnsi="宋体" w:eastAsia="宋体" w:cs="宋体"/>
      <w:sz w:val="24"/>
      <w:szCs w:val="24"/>
    </w:rPr>
  </w:style>
  <w:style w:type="character" w:styleId="960">
    <w:name w:val="超链接"/>
    <w:next w:val="960"/>
    <w:link w:val="885"/>
    <w:rPr>
      <w:color w:val="0000ff"/>
      <w:u w:val="single"/>
    </w:rPr>
  </w:style>
  <w:style w:type="character" w:styleId="961">
    <w:name w:val="批注引用"/>
    <w:next w:val="961"/>
    <w:link w:val="885"/>
    <w:semiHidden/>
    <w:rPr>
      <w:sz w:val="21"/>
      <w:szCs w:val="21"/>
    </w:rPr>
  </w:style>
  <w:style w:type="character" w:styleId="962">
    <w:name w:val="font5 Char"/>
    <w:next w:val="962"/>
    <w:link w:val="885"/>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5"/>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5"/>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5"/>
    <w:next w:val="916"/>
    <w:link w:val="885"/>
    <w:pPr>
      <w:spacing w:after="120"/>
    </w:pPr>
    <w:rPr>
      <w:rFonts w:ascii="宋体" w:hAnsi="Arial"/>
      <w:bCs/>
      <w:iCs/>
      <w:szCs w:val="24"/>
    </w:rPr>
  </w:style>
  <w:style w:type="paragraph" w:styleId="968">
    <w:name w:val="xl27"/>
    <w:basedOn w:val="885"/>
    <w:next w:val="96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5"/>
    <w:next w:val="969"/>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5"/>
    <w:next w:val="970"/>
    <w:link w:val="885"/>
    <w:pPr>
      <w:ind w:firstLine="200"/>
      <w:tabs>
        <w:tab w:val="left" w:pos="360" w:leader="none"/>
      </w:tabs>
    </w:pPr>
    <w:rPr>
      <w:sz w:val="28"/>
      <w:szCs w:val="30"/>
    </w:rPr>
  </w:style>
  <w:style w:type="paragraph" w:styleId="971">
    <w:name w:val=" Char"/>
    <w:basedOn w:val="910"/>
    <w:next w:val="971"/>
    <w:link w:val="885"/>
    <w:rPr>
      <w:rFonts w:ascii="Tahoma" w:hAnsi="Tahoma"/>
      <w:sz w:val="24"/>
      <w:szCs w:val="24"/>
    </w:rPr>
  </w:style>
  <w:style w:type="paragraph" w:styleId="972">
    <w:name w:val="普通正文"/>
    <w:basedOn w:val="885"/>
    <w:next w:val="972"/>
    <w:link w:val="885"/>
    <w:pPr>
      <w:ind w:firstLine="480"/>
      <w:jc w:val="left"/>
      <w:spacing w:before="120" w:after="120" w:line="360" w:lineRule="auto"/>
    </w:pPr>
    <w:rPr>
      <w:rFonts w:ascii="Arial" w:hAnsi="Arial"/>
      <w:sz w:val="24"/>
      <w:szCs w:val="24"/>
    </w:rPr>
  </w:style>
  <w:style w:type="paragraph" w:styleId="973">
    <w:name w:val="table_lines"/>
    <w:basedOn w:val="885"/>
    <w:next w:val="973"/>
    <w:link w:val="885"/>
    <w:pPr>
      <w:jc w:val="left"/>
      <w:widowControl/>
    </w:pPr>
    <w:rPr>
      <w:sz w:val="20"/>
      <w:szCs w:val="20"/>
      <w:lang w:val="de-DE" w:eastAsia="de-DE"/>
    </w:rPr>
  </w:style>
  <w:style w:type="paragraph" w:styleId="974">
    <w:name w:val="附录1"/>
    <w:next w:val="974"/>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5"/>
    <w:next w:val="975"/>
    <w:link w:val="885"/>
    <w:pPr>
      <w:jc w:val="left"/>
      <w:spacing w:before="100" w:beforeAutospacing="1" w:after="100" w:afterAutospacing="1"/>
      <w:widowControl/>
    </w:pPr>
    <w:rPr>
      <w:rFonts w:hint="eastAsia" w:ascii="宋体" w:hAnsi="宋体"/>
      <w:sz w:val="18"/>
      <w:szCs w:val="18"/>
    </w:rPr>
  </w:style>
  <w:style w:type="paragraph" w:styleId="976">
    <w:name w:val=" Char Char Char Char"/>
    <w:basedOn w:val="910"/>
    <w:next w:val="976"/>
    <w:link w:val="885"/>
    <w:pPr>
      <w:spacing w:line="360" w:lineRule="auto"/>
    </w:pPr>
    <w:rPr>
      <w:rFonts w:ascii="Tahoma" w:hAnsi="Tahoma"/>
      <w:sz w:val="24"/>
      <w:szCs w:val="24"/>
    </w:rPr>
  </w:style>
  <w:style w:type="paragraph" w:styleId="977">
    <w:name w:val="列出段落"/>
    <w:basedOn w:val="885"/>
    <w:next w:val="977"/>
    <w:link w:val="885"/>
    <w:uiPriority w:val="34"/>
    <w:qFormat/>
    <w:pPr>
      <w:contextualSpacing/>
      <w:ind w:left="720"/>
      <w:jc w:val="left"/>
      <w:widowControl/>
    </w:pPr>
    <w:rPr>
      <w:rFonts w:ascii="Calibri" w:hAnsi="Calibri"/>
      <w:sz w:val="24"/>
      <w:szCs w:val="24"/>
      <w:lang w:eastAsia="en-US" w:bidi="en-US"/>
    </w:rPr>
  </w:style>
  <w:style w:type="paragraph" w:styleId="978">
    <w:name w:val="4"/>
    <w:basedOn w:val="885"/>
    <w:next w:val="940"/>
    <w:link w:val="885"/>
    <w:pPr>
      <w:ind w:firstLine="420"/>
      <w:spacing w:line="360" w:lineRule="auto"/>
    </w:pPr>
    <w:rPr>
      <w:color w:val="ff0000"/>
      <w:sz w:val="24"/>
      <w:szCs w:val="24"/>
    </w:rPr>
  </w:style>
  <w:style w:type="paragraph" w:styleId="979">
    <w:name w:val="普通 (Web)"/>
    <w:basedOn w:val="885"/>
    <w:next w:val="979"/>
    <w:link w:val="885"/>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5"/>
    <w:next w:val="980"/>
    <w:link w:val="885"/>
    <w:pPr>
      <w:spacing w:line="360" w:lineRule="auto"/>
    </w:pPr>
    <w:rPr>
      <w:sz w:val="24"/>
      <w:szCs w:val="20"/>
    </w:rPr>
  </w:style>
  <w:style w:type="paragraph" w:styleId="981">
    <w:name w:val="样式1"/>
    <w:basedOn w:val="885"/>
    <w:next w:val="981"/>
    <w:link w:val="885"/>
    <w:pPr>
      <w:numPr>
        <w:ilvl w:val="0"/>
        <w:numId w:val="3"/>
      </w:numPr>
      <w:tabs>
        <w:tab w:val="left" w:pos="709" w:leader="none"/>
      </w:tabs>
    </w:pPr>
    <w:rPr>
      <w:rFonts w:ascii="宋体" w:hAnsi="宋体"/>
    </w:rPr>
  </w:style>
  <w:style w:type="paragraph" w:styleId="982">
    <w:name w:val="font6"/>
    <w:basedOn w:val="885"/>
    <w:next w:val="982"/>
    <w:link w:val="885"/>
    <w:pPr>
      <w:jc w:val="left"/>
      <w:spacing w:before="100" w:beforeAutospacing="1" w:after="100" w:afterAutospacing="1"/>
      <w:widowControl/>
    </w:pPr>
    <w:rPr>
      <w:rFonts w:hint="eastAsia" w:ascii="宋体" w:hAnsi="宋体"/>
      <w:sz w:val="28"/>
      <w:szCs w:val="28"/>
      <w:u w:val="single"/>
    </w:rPr>
  </w:style>
  <w:style w:type="paragraph" w:styleId="983">
    <w:name w:val="xl25"/>
    <w:basedOn w:val="885"/>
    <w:next w:val="983"/>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5"/>
    <w:next w:val="885"/>
    <w:link w:val="885"/>
    <w:pPr>
      <w:ind w:firstLine="624"/>
      <w:spacing w:line="590" w:lineRule="atLeast"/>
    </w:pPr>
    <w:rPr>
      <w:rFonts w:ascii="方正黑体_GBK" w:eastAsia="方正黑体_GBK"/>
      <w:sz w:val="32"/>
      <w:szCs w:val="32"/>
    </w:rPr>
  </w:style>
  <w:style w:type="paragraph" w:styleId="986">
    <w:name w:val="xl24"/>
    <w:basedOn w:val="885"/>
    <w:next w:val="986"/>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5"/>
    <w:next w:val="987"/>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5"/>
    <w:next w:val="988"/>
    <w:link w:val="885"/>
    <w:pPr>
      <w:jc w:val="left"/>
      <w:spacing w:after="160" w:line="240" w:lineRule="exact"/>
      <w:widowControl/>
    </w:pPr>
    <w:rPr>
      <w:rFonts w:ascii="Verdana" w:hAnsi="Verdana"/>
      <w:sz w:val="20"/>
      <w:szCs w:val="20"/>
      <w:lang w:eastAsia="en-US"/>
    </w:rPr>
  </w:style>
  <w:style w:type="paragraph" w:styleId="989">
    <w:name w:val="xl28"/>
    <w:basedOn w:val="885"/>
    <w:next w:val="989"/>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5"/>
    <w:next w:val="990"/>
    <w:link w:val="885"/>
    <w:pPr>
      <w:jc w:val="left"/>
      <w:spacing w:after="160" w:line="240" w:lineRule="exact"/>
      <w:widowControl/>
    </w:pPr>
    <w:rPr>
      <w:rFonts w:ascii="Verdana" w:hAnsi="Verdana"/>
      <w:sz w:val="20"/>
      <w:szCs w:val="20"/>
      <w:lang w:eastAsia="en-US"/>
    </w:rPr>
  </w:style>
  <w:style w:type="paragraph" w:styleId="991">
    <w:name w:val="xl30"/>
    <w:basedOn w:val="885"/>
    <w:next w:val="991"/>
    <w:link w:val="885"/>
    <w:pPr>
      <w:jc w:val="center"/>
      <w:spacing w:before="100" w:beforeAutospacing="1" w:after="100" w:afterAutospacing="1"/>
      <w:widowControl/>
    </w:pPr>
    <w:rPr>
      <w:rFonts w:ascii="宋体" w:hAnsi="宋体"/>
      <w:b/>
      <w:bCs/>
      <w:sz w:val="36"/>
      <w:szCs w:val="36"/>
    </w:rPr>
  </w:style>
  <w:style w:type="paragraph" w:styleId="992">
    <w:name w:val="Char Char Char Char"/>
    <w:basedOn w:val="910"/>
    <w:next w:val="992"/>
    <w:link w:val="885"/>
    <w:pPr>
      <w:spacing w:line="360" w:lineRule="auto"/>
    </w:pPr>
    <w:rPr>
      <w:rFonts w:ascii="Tahoma" w:hAnsi="Tahoma"/>
      <w:sz w:val="24"/>
      <w:szCs w:val="24"/>
    </w:rPr>
  </w:style>
  <w:style w:type="paragraph" w:styleId="993">
    <w:name w:val="table_1stline"/>
    <w:basedOn w:val="885"/>
    <w:next w:val="993"/>
    <w:link w:val="885"/>
    <w:pPr>
      <w:jc w:val="left"/>
      <w:spacing w:before="120"/>
      <w:widowControl/>
    </w:pPr>
    <w:rPr>
      <w:bCs/>
      <w:sz w:val="20"/>
      <w:szCs w:val="20"/>
      <w:lang w:val="de-DE" w:eastAsia="de-DE"/>
    </w:rPr>
  </w:style>
  <w:style w:type="paragraph" w:styleId="994">
    <w:name w:val="font5"/>
    <w:basedOn w:val="885"/>
    <w:next w:val="994"/>
    <w:link w:val="885"/>
    <w:pPr>
      <w:jc w:val="left"/>
      <w:spacing w:before="100" w:beforeAutospacing="1" w:after="100" w:afterAutospacing="1"/>
      <w:widowControl/>
    </w:pPr>
    <w:rPr>
      <w:rFonts w:hint="eastAsia" w:ascii="宋体" w:hAnsi="宋体"/>
      <w:sz w:val="28"/>
      <w:szCs w:val="28"/>
    </w:rPr>
  </w:style>
  <w:style w:type="paragraph" w:styleId="995">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5"/>
    <w:uiPriority w:val="99"/>
    <w:semiHidden/>
    <w:rPr>
      <w:rFonts w:ascii="Times New Roman" w:hAnsi="Times New Roman"/>
      <w:sz w:val="21"/>
      <w:szCs w:val="21"/>
      <w:lang w:val="en-US" w:eastAsia="zh-CN" w:bidi="ar-SA"/>
    </w:rPr>
  </w:style>
  <w:style w:type="paragraph" w:styleId="997">
    <w:name w:val="无间隔"/>
    <w:next w:val="997"/>
    <w:link w:val="885"/>
    <w:uiPriority w:val="99"/>
    <w:qFormat/>
    <w:pPr>
      <w:jc w:val="both"/>
      <w:widowControl w:val="off"/>
    </w:pPr>
    <w:rPr>
      <w:rFonts w:ascii="Times New Roman" w:hAnsi="Times New Roman"/>
      <w:sz w:val="21"/>
      <w:szCs w:val="21"/>
      <w:lang w:val="en-US" w:eastAsia="zh-CN" w:bidi="ar-SA"/>
    </w:rPr>
  </w:style>
  <w:style w:type="paragraph" w:styleId="998">
    <w:name w:val="普通文字"/>
    <w:basedOn w:val="885"/>
    <w:next w:val="885"/>
    <w:link w:val="885"/>
    <w:uiPriority w:val="99"/>
    <w:rPr>
      <w:rFonts w:ascii="宋体" w:hAnsi="Times New Roman" w:eastAsia="宋体" w:cs="Times New Roman"/>
      <w:sz w:val="24"/>
      <w:szCs w:val="20"/>
      <w:u w:val="none"/>
    </w:rPr>
  </w:style>
  <w:style w:type="paragraph" w:styleId="999">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5</cp:revision>
  <dcterms:created xsi:type="dcterms:W3CDTF">2024-04-28T06:55:00Z</dcterms:created>
  <dcterms:modified xsi:type="dcterms:W3CDTF">2025-12-09T07:45:25Z</dcterms:modified>
</cp:coreProperties>
</file>