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rPr>
          <w:rFonts w:hint="eastAsia" w:ascii="仿宋" w:hAnsi="仿宋" w:eastAsia="仿宋" w:cs="仿宋"/>
          <w:bCs/>
          <w:color w:val="auto"/>
          <w:spacing w:val="20"/>
          <w:sz w:val="44"/>
          <w:szCs w:val="44"/>
          <w:highlight w:val="none"/>
        </w:rPr>
      </w:pPr>
      <w:r>
        <w:rPr>
          <w:rFonts w:hint="eastAsia" w:ascii="仿宋" w:hAnsi="仿宋" w:eastAsia="仿宋" w:cs="仿宋"/>
          <w:bCs/>
          <w:color w:val="auto"/>
          <w:spacing w:val="20"/>
          <w:sz w:val="44"/>
          <w:szCs w:val="44"/>
          <w:highlight w:val="none"/>
        </w:rPr>
        <w:t xml:space="preserve">苏锡通园区2025年度创建生活垃圾四分类示范小区公开招标采购项目</w:t>
      </w:r>
      <w:r/>
    </w:p>
    <w:p>
      <w:pPr>
        <w:jc w:val="center"/>
        <w:spacing w:line="288" w:lineRule="auto"/>
        <w:rPr>
          <w:rFonts w:hint="eastAsia" w:ascii="仿宋" w:hAnsi="仿宋" w:eastAsia="仿宋" w:cs="仿宋"/>
          <w:bCs/>
          <w:color w:val="auto"/>
          <w:spacing w:val="20"/>
          <w:sz w:val="36"/>
          <w:szCs w:val="36"/>
          <w:highlight w:val="none"/>
        </w:rPr>
      </w:pPr>
      <w:r>
        <w:rPr>
          <w:rFonts w:hint="eastAsia" w:ascii="仿宋" w:hAnsi="仿宋" w:eastAsia="仿宋" w:cs="仿宋"/>
          <w:bCs/>
          <w:color w:val="auto"/>
          <w:spacing w:val="20"/>
          <w:sz w:val="36"/>
          <w:szCs w:val="36"/>
          <w:highlight w:val="none"/>
        </w:rPr>
      </w:r>
      <w:r/>
    </w:p>
    <w:p>
      <w:pPr>
        <w:jc w:val="center"/>
        <w:spacing w:line="288" w:lineRule="auto"/>
        <w:rPr>
          <w:rFonts w:hint="eastAsia"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 xml:space="preserve">政府采购招标文件</w:t>
      </w:r>
      <w:r/>
    </w:p>
    <w:p>
      <w:pPr>
        <w:pStyle w:val="906"/>
        <w:spacing w:line="288"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r>
      <w:r/>
    </w:p>
    <w:p>
      <w:pPr>
        <w:pStyle w:val="906"/>
        <w:jc w:val="both"/>
        <w:spacing w:line="288"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t xml:space="preserve">项目编号： JSZC-320693-SZXY-G2025-0044</w: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pacing w:val="-12"/>
          <w:sz w:val="28"/>
          <w:szCs w:val="28"/>
          <w:highlight w:val="none"/>
        </w:rPr>
      </w:pPr>
      <w:r>
        <w:rPr>
          <w:rFonts w:hint="eastAsia" w:ascii="仿宋" w:hAnsi="仿宋" w:eastAsia="仿宋" w:cs="仿宋"/>
          <w:bCs/>
          <w:color w:val="auto"/>
          <w:spacing w:val="-12"/>
          <w:sz w:val="28"/>
          <w:szCs w:val="28"/>
          <w:highlight w:val="none"/>
        </w:rPr>
        <w:t xml:space="preserve">采购人: 江苏南通苏锡通科技产业园区综合行政执法大队</w:t>
      </w:r>
      <w:r/>
    </w:p>
    <w:p>
      <w:pPr>
        <w:spacing w:line="288" w:lineRule="auto"/>
        <w:rPr>
          <w:rFonts w:hint="eastAsia" w:ascii="仿宋" w:hAnsi="仿宋" w:eastAsia="仿宋" w:cs="仿宋"/>
          <w:bCs/>
          <w:color w:val="auto"/>
          <w:spacing w:val="-12"/>
          <w:sz w:val="28"/>
          <w:szCs w:val="28"/>
          <w:highlight w:val="none"/>
        </w:rPr>
      </w:pPr>
      <w:r>
        <w:rPr>
          <w:rFonts w:hint="eastAsia" w:ascii="仿宋" w:hAnsi="仿宋" w:eastAsia="仿宋" w:cs="仿宋"/>
          <w:bCs/>
          <w:color w:val="auto"/>
          <w:spacing w:val="-12"/>
          <w:sz w:val="28"/>
          <w:szCs w:val="28"/>
          <w:highlight w:val="none"/>
        </w:rPr>
        <w:t xml:space="preserve">招标代理机构:苏州新一造价师价格事务所有限公司  </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pacing w:val="-12"/>
          <w:sz w:val="28"/>
          <w:szCs w:val="28"/>
          <w:highlight w:val="none"/>
        </w:rPr>
        <w:t xml:space="preserve">日         期 : 2025年</w:t>
      </w:r>
      <w:r>
        <w:rPr>
          <w:rFonts w:hint="eastAsia" w:ascii="仿宋" w:hAnsi="仿宋" w:eastAsia="仿宋" w:cs="仿宋"/>
          <w:bCs/>
          <w:color w:val="auto"/>
          <w:spacing w:val="-12"/>
          <w:sz w:val="28"/>
          <w:szCs w:val="28"/>
          <w:highlight w:val="none"/>
          <w:lang w:val="en-US" w:eastAsia="zh-CN"/>
        </w:rPr>
        <w:t xml:space="preserve">10</w:t>
      </w:r>
      <w:r>
        <w:rPr>
          <w:rFonts w:hint="eastAsia" w:ascii="仿宋" w:hAnsi="仿宋" w:eastAsia="仿宋" w:cs="仿宋"/>
          <w:bCs/>
          <w:color w:val="auto"/>
          <w:spacing w:val="-12"/>
          <w:sz w:val="28"/>
          <w:szCs w:val="28"/>
          <w:highlight w:val="none"/>
        </w:rPr>
        <w:t xml:space="preserve">月 </w:t>
      </w:r>
      <w:r/>
    </w:p>
    <w:p>
      <w:pPr>
        <w:jc w:val="center"/>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招标文件备案表</w:t>
      </w:r>
      <w:r/>
    </w:p>
    <w:tbl>
      <w:tblPr>
        <w:tblStyle w:val="712"/>
        <w:tblW w:w="87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40"/>
      </w:tblGrid>
      <w:tr>
        <w:trPr>
          <w:jc w:val="center"/>
          <w:trHeight w:val="3197"/>
        </w:trPr>
        <w:tc>
          <w:tcPr>
            <w:tcBorders>
              <w:top w:val="single" w:color="auto" w:sz="4" w:space="0"/>
              <w:bottom w:val="single" w:color="auto" w:sz="4" w:space="0"/>
            </w:tcBorders>
            <w:tcW w:w="8740" w:type="dxa"/>
            <w:textDirection w:val="lrTb"/>
            <w:noWrap w:val="false"/>
          </w:tcPr>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本编制人承诺：此次提交备案通过的采购文件纸质版本，与最终在江苏省政府采购网发布的电子版本完全一致，如有不同，愿承担一切后果，接受责任追究。</w:t>
            </w:r>
            <w:r/>
          </w:p>
          <w:p>
            <w:pPr>
              <w:ind w:firstLine="4200"/>
              <w:spacing w:line="288" w:lineRule="auto"/>
              <w:tabs>
                <w:tab w:val="left" w:pos="507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46"/>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4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160"/>
              <w:spacing w:line="288" w:lineRule="auto"/>
              <w:tabs>
                <w:tab w:val="left" w:pos="507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160"/>
              <w:spacing w:line="288" w:lineRule="auto"/>
              <w:tabs>
                <w:tab w:val="left" w:pos="507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编制人：代工               </w: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 2025年</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24</w:t>
            </w:r>
            <w:r>
              <w:rPr>
                <w:rFonts w:hint="eastAsia" w:ascii="仿宋" w:hAnsi="仿宋" w:eastAsia="仿宋" w:cs="仿宋"/>
                <w:bCs/>
                <w:color w:val="auto"/>
                <w:sz w:val="28"/>
                <w:szCs w:val="28"/>
                <w:highlight w:val="none"/>
              </w:rPr>
              <w:t xml:space="preserve">日</w:t>
            </w:r>
            <w:r/>
          </w:p>
        </w:tc>
      </w:tr>
      <w:tr>
        <w:trPr>
          <w:jc w:val="center"/>
          <w:trHeight w:val="7302"/>
        </w:trPr>
        <w:tc>
          <w:tcPr>
            <w:tcBorders>
              <w:top w:val="single" w:color="auto" w:sz="4" w:space="0"/>
              <w:bottom w:val="single" w:color="auto" w:sz="4" w:space="0"/>
            </w:tcBorders>
            <w:tcW w:w="8740" w:type="dxa"/>
            <w:textDirection w:val="lrTb"/>
            <w:noWrap w:val="false"/>
          </w:tcPr>
          <w:p>
            <w:pPr>
              <w:pStyle w:val="746"/>
              <w:ind w:firstLine="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8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8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8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采购人(盖章)             法定代表人(签字或盖章)</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46"/>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23"/>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8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招标代理机构(盖章)        法定代表人(签字或盖章)</w:t>
            </w:r>
            <w:r/>
          </w:p>
          <w:p>
            <w:pPr>
              <w:ind w:firstLine="53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3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3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3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日期：2025年</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24</w:t>
            </w:r>
            <w:r>
              <w:rPr>
                <w:rFonts w:hint="eastAsia" w:ascii="仿宋" w:hAnsi="仿宋" w:eastAsia="仿宋" w:cs="仿宋"/>
                <w:bCs/>
                <w:color w:val="auto"/>
                <w:sz w:val="28"/>
                <w:szCs w:val="28"/>
                <w:highlight w:val="none"/>
              </w:rPr>
              <w:t xml:space="preserve">日</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line="288"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目 录</w: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40"/>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z w:val="28"/>
          <w:szCs w:val="28"/>
          <w:highlight w:val="none"/>
        </w:rPr>
        <w:t xml:space="preserve">第一部分  投标邀请</w:t>
      </w:r>
      <w:r/>
    </w:p>
    <w:p>
      <w:pPr>
        <w:ind w:firstLine="640"/>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z w:val="28"/>
          <w:szCs w:val="28"/>
          <w:highlight w:val="none"/>
        </w:rPr>
        <w:t xml:space="preserve">第二部分  投标须知</w:t>
      </w:r>
      <w:r/>
    </w:p>
    <w:p>
      <w:pPr>
        <w:ind w:firstLine="640"/>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z w:val="28"/>
          <w:szCs w:val="28"/>
          <w:highlight w:val="none"/>
        </w:rPr>
        <w:t xml:space="preserve">第三部分  项目需求</w:t>
      </w:r>
      <w:r/>
    </w:p>
    <w:p>
      <w:pPr>
        <w:ind w:firstLine="640"/>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z w:val="28"/>
          <w:szCs w:val="28"/>
          <w:highlight w:val="none"/>
        </w:rPr>
        <w:t xml:space="preserve">第四部分  开标和评标</w:t>
      </w:r>
      <w:r/>
    </w:p>
    <w:p>
      <w:pPr>
        <w:ind w:firstLine="640"/>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z w:val="28"/>
          <w:szCs w:val="28"/>
          <w:highlight w:val="none"/>
        </w:rPr>
        <w:t xml:space="preserve">第五部分  投标文件组成</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288"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288" w:lineRule="auto"/>
        <w:tabs>
          <w:tab w:val="left" w:pos="774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第一部分  </w:t>
      </w:r>
      <w:bookmarkStart w:id="0" w:name="OLE_LINK7"/>
      <w:r/>
      <w:bookmarkStart w:id="1" w:name="OLE_LINK5"/>
      <w:r>
        <w:rPr>
          <w:rFonts w:hint="eastAsia" w:ascii="仿宋" w:hAnsi="仿宋" w:eastAsia="仿宋" w:cs="仿宋"/>
          <w:bCs/>
          <w:color w:val="auto"/>
          <w:sz w:val="36"/>
          <w:szCs w:val="36"/>
          <w:highlight w:val="none"/>
        </w:rPr>
        <w:t xml:space="preserve">投标邀请</w:t>
      </w:r>
      <w:r/>
    </w:p>
    <w:p>
      <w:pPr>
        <w:ind w:firstLine="560"/>
        <w:jc w:val="left"/>
        <w:spacing w:line="288" w:lineRule="auto"/>
        <w:rPr>
          <w:rFonts w:hint="eastAsia" w:ascii="仿宋" w:hAnsi="仿宋" w:eastAsia="仿宋" w:cs="仿宋"/>
          <w:bCs/>
          <w:color w:val="auto"/>
          <w:sz w:val="28"/>
          <w:szCs w:val="28"/>
          <w:highlight w:val="none"/>
        </w:rPr>
      </w:pPr>
      <w:r/>
      <w:bookmarkStart w:id="2" w:name="OLE_LINK6"/>
      <w:r>
        <w:rPr>
          <w:rFonts w:hint="eastAsia" w:ascii="仿宋" w:hAnsi="仿宋" w:eastAsia="仿宋" w:cs="仿宋"/>
          <w:bCs/>
          <w:color w:val="auto"/>
          <w:sz w:val="28"/>
          <w:szCs w:val="28"/>
          <w:highlight w:val="none"/>
        </w:rPr>
        <w:t xml:space="preserve">受江苏南通苏锡通科技产业园区综合行政执法大队的委托，苏州新一造价师价格事务所有限公司就苏锡通园区2025年度创建生活垃圾四分类示范小区公开招标采购项目(项目编号:JSZC-320693-SZXY-G2025-0044 )进行公开招标采购，欢迎符合条件的供应商投标。</w:t>
      </w:r>
      <w:r/>
    </w:p>
    <w:p>
      <w:pPr>
        <w:ind w:firstLine="560"/>
        <w:spacing w:line="288"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rPr>
        <w:t xml:space="preserve">项目概况</w:t>
      </w:r>
      <w:r/>
    </w:p>
    <w:p>
      <w:pPr>
        <w:ind w:firstLine="560"/>
        <w:spacing w:line="288"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rPr>
        <w:t xml:space="preserve">苏锡通园区2025年度创建生活垃圾四分类示范小区公开招标采购项目的潜在投标人应在江苏政府采购网获取招标文件，并于2025年</w:t>
      </w:r>
      <w:r>
        <w:rPr>
          <w:rFonts w:hint="eastAsia" w:ascii="仿宋" w:hAnsi="仿宋" w:eastAsia="仿宋" w:cs="仿宋"/>
          <w:bCs/>
          <w:color w:val="auto"/>
          <w:sz w:val="28"/>
          <w:szCs w:val="28"/>
          <w:highlight w:val="none"/>
          <w:lang w:val="en-US" w:eastAsia="zh-CN"/>
        </w:rPr>
        <w:t xml:space="preserve">11</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13</w:t>
      </w:r>
      <w:r>
        <w:rPr>
          <w:rFonts w:hint="eastAsia" w:ascii="仿宋" w:hAnsi="仿宋" w:eastAsia="仿宋" w:cs="仿宋"/>
          <w:bCs/>
          <w:color w:val="auto"/>
          <w:sz w:val="28"/>
          <w:szCs w:val="28"/>
          <w:highlight w:val="none"/>
        </w:rPr>
        <w:t xml:space="preserve">日 </w:t>
      </w:r>
      <w:r>
        <w:rPr>
          <w:rFonts w:hint="eastAsia" w:ascii="仿宋" w:hAnsi="仿宋" w:eastAsia="仿宋" w:cs="仿宋"/>
          <w:bCs/>
          <w:color w:val="auto"/>
          <w:sz w:val="28"/>
          <w:szCs w:val="28"/>
          <w:highlight w:val="none"/>
          <w:lang w:val="en-US" w:eastAsia="zh-CN"/>
        </w:rPr>
        <w:t xml:space="preserve">14</w:t>
      </w:r>
      <w:r>
        <w:rPr>
          <w:rFonts w:hint="eastAsia" w:ascii="仿宋" w:hAnsi="仿宋" w:eastAsia="仿宋" w:cs="仿宋"/>
          <w:bCs/>
          <w:color w:val="auto"/>
          <w:sz w:val="28"/>
          <w:szCs w:val="28"/>
          <w:highlight w:val="none"/>
        </w:rPr>
        <w:t xml:space="preserve">点</w:t>
      </w:r>
      <w:r>
        <w:rPr>
          <w:rFonts w:hint="eastAsia" w:ascii="仿宋" w:hAnsi="仿宋" w:eastAsia="仿宋" w:cs="仿宋"/>
          <w:bCs/>
          <w:color w:val="auto"/>
          <w:sz w:val="28"/>
          <w:szCs w:val="28"/>
          <w:highlight w:val="none"/>
          <w:lang w:val="en-US" w:eastAsia="zh-CN"/>
        </w:rPr>
        <w:t xml:space="preserve">0</w:t>
      </w:r>
      <w:r>
        <w:rPr>
          <w:rFonts w:hint="eastAsia" w:ascii="仿宋" w:hAnsi="仿宋" w:eastAsia="仿宋" w:cs="仿宋"/>
          <w:bCs/>
          <w:color w:val="auto"/>
          <w:sz w:val="28"/>
          <w:szCs w:val="28"/>
          <w:highlight w:val="none"/>
        </w:rPr>
        <w:t xml:space="preserve">0分（北京时间）前递交投标文件。</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一、项目基本情况</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1、项目编号： JSZC-320693-SZXY-G2025-0044</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2、项目名称：苏锡通园区2025年度创建生活垃圾四分类示范小区公开招标采购项目</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3、采购方式：公开招标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4、项目类型：服务</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5、所属行业：其他未列明行业</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6、预算金额：2</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0万元。</w:t>
      </w:r>
      <w:r/>
    </w:p>
    <w:p>
      <w:pPr>
        <w:pStyle w:val="703"/>
        <w:ind w:firstLine="560"/>
        <w:spacing w:before="0" w:after="0"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7、最高限价：本项目最高限价230万元，各单项投标报价以及总价均不得超过以下各最高限价金额，否则按无效投标处理。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12"/>
        <w:tblW w:w="48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3205"/>
        <w:gridCol w:w="1449"/>
        <w:gridCol w:w="1912"/>
        <w:gridCol w:w="2328"/>
      </w:tblGrid>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数量（座）</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单项最高限价</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（元/座）</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最高限价</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合计金额（元）</w:t>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建设面积约3平米分类房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20000.00</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320000.00</w:t>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建设面积约12平米分类房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50000.00</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250000.00</w:t>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建设面积约35平米分类房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200000.00</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200000.00</w:t>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垃圾分类运维服务</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1530000.00</w:t>
            </w:r>
            <w:r/>
          </w:p>
        </w:tc>
      </w:tr>
      <w:tr>
        <w:trPr>
          <w:jc w:val="center"/>
          <w:trHeight w:val="1047"/>
        </w:trPr>
        <w:tc>
          <w:tcPr>
            <w:gridSpan w:val="4"/>
            <w:tcBorders>
              <w:top w:val="single" w:color="auto" w:sz="4" w:space="0"/>
              <w:left w:val="single" w:color="auto" w:sz="4" w:space="0"/>
              <w:bottom w:val="single" w:color="auto" w:sz="4" w:space="0"/>
              <w:right w:val="single" w:color="auto" w:sz="4" w:space="0"/>
            </w:tcBorders>
            <w:tcW w:w="3794" w:type="pct"/>
            <w:vAlign w:val="center"/>
            <w:textDirection w:val="lrTb"/>
            <w:noWrap w:val="false"/>
          </w:tcPr>
          <w:p>
            <w:pPr>
              <w:pStyle w:val="1039"/>
              <w:ind w:firstLine="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                最高限价总价（元）</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pStyle w:val="1039"/>
              <w:ind w:firstLine="0"/>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2300000.00</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8、采购需求：49个小区开展生活垃圾四分类服务</w:t>
      </w:r>
      <w:r>
        <w:rPr>
          <w:rFonts w:hint="eastAsia" w:ascii="仿宋" w:hAnsi="仿宋" w:eastAsia="仿宋" w:cs="仿宋"/>
          <w:color w:val="auto"/>
          <w:spacing w:val="-2"/>
          <w:sz w:val="28"/>
          <w:szCs w:val="28"/>
          <w:highlight w:val="none"/>
        </w:rPr>
        <w:t xml:space="preserve">，</w:t>
      </w:r>
      <w:r>
        <w:rPr>
          <w:rFonts w:hint="eastAsia" w:ascii="仿宋" w:hAnsi="仿宋" w:eastAsia="仿宋" w:cs="仿宋"/>
          <w:bCs/>
          <w:color w:val="auto"/>
          <w:sz w:val="28"/>
          <w:szCs w:val="28"/>
          <w:highlight w:val="none"/>
        </w:rPr>
        <w:t xml:space="preserve">详见</w:t>
      </w:r>
      <w:r>
        <w:rPr>
          <w:rFonts w:hint="eastAsia" w:ascii="仿宋" w:hAnsi="仿宋" w:eastAsia="仿宋" w:cs="仿宋"/>
          <w:bCs/>
          <w:color w:val="auto"/>
          <w:sz w:val="28"/>
          <w:szCs w:val="28"/>
          <w:highlight w:val="none"/>
          <w:lang w:val="en-US" w:eastAsia="zh-CN"/>
        </w:rPr>
        <w:t xml:space="preserve">招标</w:t>
      </w:r>
      <w:r>
        <w:rPr>
          <w:rFonts w:hint="eastAsia" w:ascii="仿宋" w:hAnsi="仿宋" w:eastAsia="仿宋" w:cs="仿宋"/>
          <w:bCs/>
          <w:color w:val="auto"/>
          <w:sz w:val="28"/>
          <w:szCs w:val="28"/>
          <w:highlight w:val="none"/>
        </w:rPr>
        <w:t xml:space="preserve">文件，请仔细研究。</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小区名单</w:t>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482"/>
        <w:gridCol w:w="1056"/>
        <w:gridCol w:w="498"/>
        <w:gridCol w:w="1636"/>
        <w:gridCol w:w="1196"/>
        <w:gridCol w:w="536"/>
        <w:gridCol w:w="1457"/>
        <w:gridCol w:w="1196"/>
      </w:tblGrid>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482"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899"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c>
          <w:tcPr>
            <w:tcW w:w="498"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636"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1043"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c>
          <w:tcPr>
            <w:tcW w:w="536"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457"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1160"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枫丹悦园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江景瑞园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971/5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好得家悦城</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246/5</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凤凰苑</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1630</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江景雅园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508/5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五洲幸福湾</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867/6</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大东公寓</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356</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雍景澜湾</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364/6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时光樾澜庭</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675/3</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通海新村西区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2680</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537/2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龙禧苑</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3246/25</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星港湾</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1146/5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腾飞新村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449/2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悦珑庭</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568/2</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星河湾</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928/5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林语郡</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474/2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大华铂璟湾</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460/4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江海花园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440/2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260/5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阳光未来悦</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367/4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星苏花园一期</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1768/3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银洋河新村中区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885/6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江海云辰</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467/4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星苏花园二期</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2029/4</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银洋河新村西区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865/7</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绿城柳岸晓风</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460/2</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江湾国际</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1056/5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星河家园东区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1443/6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丽都桥语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1580/7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星河家园西区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1815/7</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溪畔花园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467/3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芝山新村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2460/4</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鹭湾花园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330/1</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锡通花苑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562/2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林溪郡</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260/2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丽景花园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160/1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金科廊桥水岸</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308/2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银洋河公寓</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380/1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金科城</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2287/3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通海新村东区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768/2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云锦雅苑</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时代尚城</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679/5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海上传奇东区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498/5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恒大悦珑湾</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1501/11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海上传奇中区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1157/7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39</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云樾花园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789/5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海上传奇西区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1278/7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银禧家园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560/2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numPr>
          <w:ilvl w:val="0"/>
          <w:numId w:val="2"/>
        </w:num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合同履行期限：4个加*小区</w:t>
      </w:r>
      <w:r>
        <w:rPr>
          <w:rFonts w:hint="eastAsia" w:ascii="仿宋" w:hAnsi="仿宋" w:eastAsia="仿宋" w:cs="仿宋"/>
          <w:color w:val="auto"/>
          <w:sz w:val="28"/>
          <w:szCs w:val="28"/>
          <w:highlight w:val="none"/>
        </w:rPr>
        <w:t xml:space="preserve">新建垃圾分类亭房自合同签订之日起90日历天内完成供货、安装调试并通过验收，质保期自验收合格之日起开始核算，本项目本次生活垃圾分类运营服务</w:t>
      </w:r>
      <w:r>
        <w:rPr>
          <w:rFonts w:hint="eastAsia" w:ascii="仿宋" w:hAnsi="仿宋" w:eastAsia="仿宋" w:cs="仿宋"/>
          <w:bCs/>
          <w:color w:val="auto"/>
          <w:sz w:val="28"/>
          <w:szCs w:val="28"/>
          <w:highlight w:val="none"/>
        </w:rPr>
        <w:t xml:space="preserve">（包含自动称重系统）</w:t>
      </w:r>
      <w:r>
        <w:rPr>
          <w:rFonts w:hint="eastAsia" w:ascii="仿宋" w:hAnsi="仿宋" w:eastAsia="仿宋" w:cs="仿宋"/>
          <w:color w:val="auto"/>
          <w:sz w:val="28"/>
          <w:szCs w:val="28"/>
          <w:highlight w:val="none"/>
        </w:rPr>
        <w:t xml:space="preserve">自质保期开始之日起一年</w:t>
      </w:r>
      <w:r>
        <w:rPr>
          <w:rFonts w:hint="eastAsia" w:ascii="仿宋" w:hAnsi="仿宋" w:eastAsia="仿宋" w:cs="仿宋"/>
          <w:bCs/>
          <w:color w:val="auto"/>
          <w:sz w:val="28"/>
          <w:szCs w:val="28"/>
          <w:highlight w:val="none"/>
        </w:rPr>
        <w:t xml:space="preserve">。</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注明： 以上第8条款中“小区名单”中除加*小区之外的小区，自本合同签订之日起进行</w:t>
      </w:r>
      <w:r>
        <w:rPr>
          <w:rFonts w:hint="eastAsia" w:ascii="仿宋" w:hAnsi="仿宋" w:eastAsia="仿宋" w:cs="仿宋"/>
          <w:color w:val="auto"/>
          <w:sz w:val="28"/>
          <w:szCs w:val="28"/>
          <w:highlight w:val="none"/>
        </w:rPr>
        <w:t xml:space="preserve">生活垃圾分类运营服务。以上所有费用均包含在投标报价中。</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10、本项目不接受联合体投标。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11、本项目不接受分包。</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二、申请人的资格要求</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1、满足《中华人民共和国政府采购法》第二十二条规定；</w:t>
      </w:r>
      <w:r/>
    </w:p>
    <w:p>
      <w:pPr>
        <w:ind w:firstLine="560"/>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288"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bCs/>
          <w:color w:val="auto"/>
          <w:sz w:val="28"/>
          <w:szCs w:val="28"/>
          <w:highlight w:val="none"/>
        </w:rPr>
        <w:t xml:space="preserve">本项目采购标的对应的中小企业划分标准所属行业</w:t>
      </w:r>
      <w:r>
        <w:rPr>
          <w:rFonts w:hint="eastAsia" w:ascii="仿宋" w:hAnsi="仿宋" w:eastAsia="仿宋" w:cs="仿宋"/>
          <w:bCs/>
          <w:color w:val="auto"/>
          <w:sz w:val="28"/>
          <w:szCs w:val="28"/>
          <w:highlight w:val="none"/>
          <w:u w:val="single"/>
        </w:rPr>
        <w:t xml:space="preserve">为其他未列明行业</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（2）残疾人福利性单位按照《关于促进残疾人就业政府采购政策的通知》（财库〔2017〕141号）有关规定执行。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（3）监狱企业按照《关于政府采购支持监狱企业发展有关问题的通知》（财库【2014】68号）有关规定执行。</w:t>
      </w:r>
      <w:r/>
    </w:p>
    <w:p>
      <w:pPr>
        <w:ind w:firstLine="562"/>
        <w:jc w:val="left"/>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备注：本项目专门面向中小企业，不享受价格扣除优惠政策。</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供应商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4、在“信用中国”网站（https://www.creditchina.gov.cn）查询，无被列入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ind w:firstLine="560"/>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6、符合法律、法规规定的其他条件。</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三、获取采购文件</w:t>
      </w:r>
      <w:r/>
    </w:p>
    <w:p>
      <w:pPr>
        <w:ind w:left="279" w:firstLine="464"/>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1.时间：自招标文件公告发布之日起5个工作日</w:t>
      </w:r>
      <w:r/>
    </w:p>
    <w:p>
      <w:pPr>
        <w:ind w:firstLine="8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2.地点：网上注册登记成功后系统内免费下载</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3.获取方式：本项目采用网上注册登记方式。</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3.1潜在供应商访问电子招标响应交易平台的网络地址和方法：</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3.2潜在供应商访问“苏采云”系统的网络地址和方法：“苏采云”系统的网址：http://jszfcg.jsczt.cn/。</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3.3“CA数字证书”的获取：</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3.5招标代理机构（采购代理机构）将数据电文形式的采购文件加载至“苏采云”系统，供潜在供应商下载或者查阅。</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3.6请潜在投标单位提前安装相应的控件（详见《江苏省政府采购管理交易系统（苏采云）供应商操作手册》）并使用谷歌浏览器登录“苏采云”系统参与不见面开评标。</w:t>
      </w:r>
      <w:r/>
    </w:p>
    <w:p>
      <w:pPr>
        <w:ind w:firstLine="48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注：如潜在供应商未按上述要求操作，将自行承担所产生的风险。</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四、提交响应文件截止时间、投标时间和地点</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1.2025年</w:t>
      </w:r>
      <w:r>
        <w:rPr>
          <w:rFonts w:hint="eastAsia" w:ascii="仿宋" w:hAnsi="仿宋" w:eastAsia="仿宋" w:cs="仿宋"/>
          <w:bCs/>
          <w:color w:val="auto"/>
          <w:sz w:val="28"/>
          <w:szCs w:val="28"/>
          <w:highlight w:val="none"/>
          <w:lang w:val="en-US" w:eastAsia="zh-CN"/>
        </w:rPr>
        <w:t xml:space="preserve">11</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13</w:t>
      </w:r>
      <w:r>
        <w:rPr>
          <w:rFonts w:hint="eastAsia" w:ascii="仿宋" w:hAnsi="仿宋" w:eastAsia="仿宋" w:cs="仿宋"/>
          <w:bCs/>
          <w:color w:val="auto"/>
          <w:sz w:val="28"/>
          <w:szCs w:val="28"/>
          <w:highlight w:val="none"/>
        </w:rPr>
        <w:t xml:space="preserve">日 </w:t>
      </w:r>
      <w:r>
        <w:rPr>
          <w:rFonts w:hint="eastAsia" w:ascii="仿宋" w:hAnsi="仿宋" w:eastAsia="仿宋" w:cs="仿宋"/>
          <w:bCs/>
          <w:color w:val="auto"/>
          <w:sz w:val="28"/>
          <w:szCs w:val="28"/>
          <w:highlight w:val="none"/>
          <w:lang w:val="en-US" w:eastAsia="zh-CN"/>
        </w:rPr>
        <w:t xml:space="preserve">14</w:t>
      </w:r>
      <w:r>
        <w:rPr>
          <w:rFonts w:hint="eastAsia" w:ascii="仿宋" w:hAnsi="仿宋" w:eastAsia="仿宋" w:cs="仿宋"/>
          <w:bCs/>
          <w:color w:val="auto"/>
          <w:sz w:val="28"/>
          <w:szCs w:val="28"/>
          <w:highlight w:val="none"/>
        </w:rPr>
        <w:t xml:space="preserve">点</w:t>
      </w:r>
      <w:r>
        <w:rPr>
          <w:rFonts w:hint="eastAsia" w:ascii="仿宋" w:hAnsi="仿宋" w:eastAsia="仿宋" w:cs="仿宋"/>
          <w:bCs/>
          <w:color w:val="auto"/>
          <w:sz w:val="28"/>
          <w:szCs w:val="28"/>
          <w:highlight w:val="none"/>
          <w:lang w:val="en-US" w:eastAsia="zh-CN"/>
        </w:rPr>
        <w:t xml:space="preserve">0</w:t>
      </w:r>
      <w:r>
        <w:rPr>
          <w:rFonts w:hint="eastAsia" w:ascii="仿宋" w:hAnsi="仿宋" w:eastAsia="仿宋" w:cs="仿宋"/>
          <w:bCs/>
          <w:color w:val="auto"/>
          <w:sz w:val="28"/>
          <w:szCs w:val="28"/>
          <w:highlight w:val="none"/>
        </w:rPr>
        <w:t xml:space="preserve">0分（北京时间）。逾时，交易系统将拒绝接受上传响应文件电子文档。</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注：各供应商请关注开标大厅交流区，在开标结束后，请勿离开开标大厅。</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2.线上开标地点：“苏采云”系统（网址：http://jszfcg.jsczt.cn/）“开标大厅”。</w:t>
      </w:r>
      <w:r/>
    </w:p>
    <w:p>
      <w:pPr>
        <w:ind w:firstLine="480"/>
        <w:spacing w:line="288" w:lineRule="auto"/>
        <w:rPr>
          <w:rFonts w:hint="eastAsia" w:ascii="仿宋" w:hAnsi="仿宋" w:eastAsia="仿宋" w:cs="仿宋"/>
          <w:bCs/>
          <w:i/>
          <w:color w:val="auto"/>
          <w:sz w:val="28"/>
          <w:szCs w:val="28"/>
          <w:highlight w:val="none"/>
        </w:rPr>
      </w:pPr>
      <w:r>
        <w:rPr>
          <w:rFonts w:hint="eastAsia" w:ascii="仿宋" w:hAnsi="仿宋" w:eastAsia="仿宋" w:cs="仿宋"/>
          <w:bCs/>
          <w:color w:val="auto"/>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w:t>
      </w:r>
      <w:r>
        <w:rPr>
          <w:rFonts w:hint="eastAsia" w:ascii="仿宋" w:hAnsi="仿宋" w:eastAsia="仿宋" w:cs="仿宋"/>
          <w:bCs/>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仿宋" w:hAnsi="仿宋" w:eastAsia="仿宋" w:cs="仿宋"/>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五、公告期限</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自本公告发布之日起5个工作日。</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六、其他补充事宜</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1.投标保证金：免收。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2.项目开标活动模式：不见面远程开标模式，投标人在各自地点通过不见面交易系统参加开标会。</w:t>
      </w:r>
      <w:r/>
    </w:p>
    <w:p>
      <w:pPr>
        <w:ind w:firstLine="560"/>
        <w:spacing w:line="288" w:lineRule="auto"/>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rPr>
        <w:t xml:space="preserve">3.项目样品：无</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288" w:lineRule="auto"/>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auto"/>
          <w:sz w:val="28"/>
          <w:szCs w:val="28"/>
          <w:highlight w:val="none"/>
        </w:rPr>
        <w:t xml:space="preserve">5.有关本次采购的事项若存在变动或修改，敬请及时关注“江苏政府采购网”发布的信息更正公告。</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7.本项目5个工作日后仍可下载招标文件，但不作为投标供应商权益受到损害的证明材料和依据。</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七、对本次招标提出询问，请按以下方式联系。</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1.采购人信息</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名称：江苏南通苏锡通科技产业园区综合行政执法大队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    址：苏锡通园区江成路1088号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项目主要负责人：康楠    相关负责人：顾金华</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 系 方 式：0513-89196639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2.采购代理机构信息</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名    称：苏州新一造价师价格事务所有限公司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   址：南通市开发区长通路9号飞马国际中心A幢1205室</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 系 方 式：代工 0513-69895668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电子邮箱：</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"mailto:ntxyjhy@163.com" </w:instrText>
      </w:r>
      <w:r>
        <w:rPr>
          <w:rFonts w:hint="eastAsia" w:ascii="仿宋" w:hAnsi="仿宋" w:eastAsia="仿宋" w:cs="仿宋"/>
          <w:color w:val="auto"/>
          <w:highlight w:val="none"/>
        </w:rPr>
        <w:fldChar w:fldCharType="separate"/>
      </w:r>
      <w:r>
        <w:rPr>
          <w:rStyle w:val="749"/>
          <w:rFonts w:hint="eastAsia" w:ascii="仿宋" w:hAnsi="仿宋" w:eastAsia="仿宋" w:cs="仿宋"/>
          <w:bCs/>
          <w:color w:val="auto"/>
          <w:sz w:val="28"/>
          <w:szCs w:val="28"/>
          <w:highlight w:val="none"/>
        </w:rPr>
        <w:t xml:space="preserve">ntxyjhy@163.com</w:t>
      </w:r>
      <w:r>
        <w:rPr>
          <w:rStyle w:val="749"/>
          <w:rFonts w:hint="eastAsia" w:ascii="仿宋" w:hAnsi="仿宋" w:eastAsia="仿宋" w:cs="仿宋"/>
          <w:bCs/>
          <w:color w:val="auto"/>
          <w:sz w:val="28"/>
          <w:szCs w:val="28"/>
          <w:highlight w:val="none"/>
        </w:rPr>
        <w:fldChar w:fldCharType="end"/>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3.软件技术支持：0519-86722801。</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附件:1.招标文件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2、采购人信用承诺</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3、“苏采云”系统供应商操作手册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4、公平竞争审查表</w:t>
      </w:r>
      <w:r/>
    </w:p>
    <w:p>
      <w:pPr>
        <w:ind w:firstLine="560"/>
        <w:jc w:val="center"/>
        <w:spacing w:line="288"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28"/>
          <w:szCs w:val="28"/>
          <w:highlight w:val="none"/>
        </w:rPr>
        <w:t xml:space="preserve">5、政采贷和履约保函（保险）告知函</w:t>
      </w: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第二部分  投标须知</w:t>
      </w:r>
      <w:r/>
    </w:p>
    <w:p>
      <w:pPr>
        <w:pStyle w:val="903"/>
        <w:spacing w:before="0" w:after="0" w:line="288" w:lineRule="auto"/>
        <w:rPr>
          <w:rFonts w:hint="eastAsia" w:ascii="仿宋" w:hAnsi="仿宋" w:eastAsia="仿宋" w:cs="仿宋"/>
          <w:b w:val="0"/>
          <w:color w:val="auto"/>
          <w:sz w:val="28"/>
          <w:szCs w:val="28"/>
          <w:highlight w:val="none"/>
        </w:rPr>
      </w:pPr>
      <w:r/>
      <w:bookmarkStart w:id="3" w:name="_Toc20823275"/>
      <w:r/>
      <w:bookmarkStart w:id="4" w:name="_Toc120614214"/>
      <w:r/>
      <w:bookmarkStart w:id="5" w:name="_Toc16938519"/>
      <w:r/>
      <w:bookmarkStart w:id="6" w:name="_Toc513029203"/>
      <w:r>
        <w:rPr>
          <w:rFonts w:hint="eastAsia" w:ascii="仿宋" w:hAnsi="仿宋" w:eastAsia="仿宋" w:cs="仿宋"/>
          <w:b w:val="0"/>
          <w:color w:val="auto"/>
          <w:sz w:val="28"/>
          <w:szCs w:val="28"/>
          <w:highlight w:val="none"/>
        </w:rPr>
        <w:t xml:space="preserve">（一）总则</w:t>
      </w:r>
      <w:bookmarkEnd w:id="3"/>
      <w:r/>
      <w:bookmarkEnd w:id="4"/>
      <w:r/>
      <w:bookmarkEnd w:id="5"/>
      <w:r/>
      <w:bookmarkEnd w:id="6"/>
      <w:r/>
      <w:r/>
    </w:p>
    <w:p>
      <w:pPr>
        <w:pStyle w:val="904"/>
        <w:ind w:firstLine="560"/>
        <w:jc w:val="both"/>
        <w:spacing w:line="288" w:lineRule="auto"/>
        <w:rPr>
          <w:rFonts w:hint="eastAsia" w:ascii="仿宋" w:hAnsi="仿宋" w:eastAsia="仿宋" w:cs="仿宋"/>
          <w:bCs/>
          <w:color w:val="auto"/>
          <w:sz w:val="28"/>
          <w:szCs w:val="28"/>
          <w:highlight w:val="none"/>
        </w:rPr>
      </w:pPr>
      <w:r/>
      <w:bookmarkStart w:id="7" w:name="_Hlt16619475"/>
      <w:r/>
      <w:bookmarkEnd w:id="7"/>
      <w:r/>
      <w:bookmarkStart w:id="8" w:name="_Toc458694821"/>
      <w:r/>
      <w:bookmarkStart w:id="9" w:name="_Toc16938520"/>
      <w:r/>
      <w:bookmarkStart w:id="10" w:name="_Toc513029204"/>
      <w:r/>
      <w:bookmarkStart w:id="11" w:name="_Toc20823276"/>
      <w:r>
        <w:rPr>
          <w:rFonts w:hint="eastAsia" w:ascii="仿宋" w:hAnsi="仿宋" w:eastAsia="仿宋" w:cs="仿宋"/>
          <w:bCs/>
          <w:color w:val="auto"/>
          <w:sz w:val="28"/>
          <w:szCs w:val="28"/>
          <w:highlight w:val="none"/>
        </w:rPr>
        <w:t xml:space="preserve">1</w:t>
      </w:r>
      <w:bookmarkEnd w:id="8"/>
      <w:r>
        <w:rPr>
          <w:rFonts w:hint="eastAsia" w:ascii="仿宋" w:hAnsi="仿宋" w:eastAsia="仿宋" w:cs="仿宋"/>
          <w:bCs/>
          <w:color w:val="auto"/>
          <w:sz w:val="28"/>
          <w:szCs w:val="28"/>
          <w:highlight w:val="none"/>
        </w:rPr>
        <w:t xml:space="preserve">.招标方式</w:t>
      </w:r>
      <w:bookmarkEnd w:id="9"/>
      <w:r/>
      <w:bookmarkEnd w:id="10"/>
      <w:r/>
      <w:bookmarkEnd w:id="11"/>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本次招标采取公开招标方式，本招标文件仅适用于招标公告中所述项目。</w:t>
      </w:r>
      <w:r/>
    </w:p>
    <w:p>
      <w:pPr>
        <w:pStyle w:val="904"/>
        <w:ind w:firstLine="560"/>
        <w:jc w:val="both"/>
        <w:spacing w:line="288" w:lineRule="auto"/>
        <w:rPr>
          <w:rFonts w:hint="eastAsia" w:ascii="仿宋" w:hAnsi="仿宋" w:eastAsia="仿宋" w:cs="仿宋"/>
          <w:bCs/>
          <w:color w:val="auto"/>
          <w:sz w:val="28"/>
          <w:szCs w:val="28"/>
          <w:highlight w:val="none"/>
        </w:rPr>
      </w:pPr>
      <w:r/>
      <w:bookmarkStart w:id="12" w:name="_Toc513029205"/>
      <w:r/>
      <w:bookmarkStart w:id="13" w:name="_Toc16938521"/>
      <w:r/>
      <w:bookmarkStart w:id="14" w:name="_Toc20823277"/>
      <w:r>
        <w:rPr>
          <w:rFonts w:hint="eastAsia" w:ascii="仿宋" w:hAnsi="仿宋" w:eastAsia="仿宋" w:cs="仿宋"/>
          <w:bCs/>
          <w:color w:val="auto"/>
          <w:sz w:val="28"/>
          <w:szCs w:val="28"/>
          <w:highlight w:val="none"/>
        </w:rPr>
        <w:t xml:space="preserve">2.合格的投标人</w:t>
      </w:r>
      <w:bookmarkEnd w:id="12"/>
      <w:r/>
      <w:bookmarkEnd w:id="13"/>
      <w:r/>
      <w:bookmarkEnd w:id="14"/>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2.1满足招标公告中供应商的资格要求的规定。</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满足本文件实质性条款的规定。</w:t>
      </w:r>
      <w:r/>
    </w:p>
    <w:p>
      <w:pPr>
        <w:pStyle w:val="904"/>
        <w:ind w:firstLine="560"/>
        <w:jc w:val="both"/>
        <w:spacing w:line="288" w:lineRule="auto"/>
        <w:rPr>
          <w:rFonts w:hint="eastAsia" w:ascii="仿宋" w:hAnsi="仿宋" w:eastAsia="仿宋" w:cs="仿宋"/>
          <w:bCs/>
          <w:color w:val="auto"/>
          <w:sz w:val="28"/>
          <w:szCs w:val="28"/>
          <w:highlight w:val="none"/>
        </w:rPr>
      </w:pPr>
      <w:r/>
      <w:bookmarkStart w:id="15" w:name="_Toc16938522"/>
      <w:r/>
      <w:bookmarkStart w:id="16" w:name="_Toc513029206"/>
      <w:r/>
      <w:bookmarkStart w:id="17" w:name="_Toc20823278"/>
      <w:r>
        <w:rPr>
          <w:rFonts w:hint="eastAsia" w:ascii="仿宋" w:hAnsi="仿宋" w:eastAsia="仿宋" w:cs="仿宋"/>
          <w:bCs/>
          <w:color w:val="auto"/>
          <w:sz w:val="28"/>
          <w:szCs w:val="28"/>
          <w:highlight w:val="none"/>
        </w:rPr>
        <w:t xml:space="preserve">3.适用法律</w:t>
      </w:r>
      <w:bookmarkEnd w:id="15"/>
      <w:r/>
      <w:bookmarkEnd w:id="16"/>
      <w:r/>
      <w:bookmarkEnd w:id="17"/>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本次招标及由此产生的合同受中华人民共和国有关的法律法规制约和保护。</w:t>
      </w:r>
      <w:r/>
    </w:p>
    <w:p>
      <w:pPr>
        <w:pStyle w:val="904"/>
        <w:ind w:firstLine="560"/>
        <w:jc w:val="both"/>
        <w:spacing w:line="288" w:lineRule="auto"/>
        <w:rPr>
          <w:rFonts w:hint="eastAsia" w:ascii="仿宋" w:hAnsi="仿宋" w:eastAsia="仿宋" w:cs="仿宋"/>
          <w:bCs/>
          <w:color w:val="auto"/>
          <w:sz w:val="28"/>
          <w:szCs w:val="28"/>
          <w:highlight w:val="none"/>
        </w:rPr>
      </w:pPr>
      <w:r/>
      <w:bookmarkStart w:id="18" w:name="_Toc462564067"/>
      <w:r/>
      <w:bookmarkStart w:id="19" w:name="_Toc20823279"/>
      <w:r/>
      <w:bookmarkStart w:id="20" w:name="_Toc513029207"/>
      <w:r/>
      <w:bookmarkStart w:id="21" w:name="_Toc16938523"/>
      <w:r>
        <w:rPr>
          <w:rFonts w:hint="eastAsia" w:ascii="仿宋" w:hAnsi="仿宋" w:eastAsia="仿宋" w:cs="仿宋"/>
          <w:bCs/>
          <w:color w:val="auto"/>
          <w:sz w:val="28"/>
          <w:szCs w:val="28"/>
          <w:highlight w:val="none"/>
        </w:rPr>
        <w:t xml:space="preserve">4.投标费用</w:t>
      </w:r>
      <w:bookmarkEnd w:id="18"/>
      <w:r/>
      <w:bookmarkEnd w:id="19"/>
      <w:r/>
      <w:bookmarkEnd w:id="20"/>
      <w:r/>
      <w:bookmarkEnd w:id="21"/>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供应商应自行承担所有与参加招标有关的费用，无论招标过程中的做法和结果如何，采购人在任何情况下均无义务和责任承担这些费用。</w:t>
      </w:r>
      <w:r/>
    </w:p>
    <w:p>
      <w:pPr>
        <w:ind w:firstLine="560"/>
        <w:keepNext/>
        <w:spacing w:line="288" w:lineRule="auto"/>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4.2被确认成交供应商须向采购代理机构支付招标代理服务费，本项目成交服务费收取人民币5000元</w:t>
      </w:r>
      <w:r>
        <w:rPr>
          <w:rStyle w:val="750"/>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专家评审费用由采购人支付。本项目投标报价中包含以上费用，请各投标供应商合理报价，中标后须在领取中标通知书前汇款至招标代理指定账户(请中标单位使用数字人民币支付）。</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5.招标文件的约束力</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投标人一旦参加本项目采购活动，即被认为接受了本招标文件的规定和约束。</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6.招标文件的解释</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6.1招标文件需求部分（供应商资格要求、项目需求、商务技术评分标准）由采购人解释，其它部分由采购代理机构解释。</w:t>
      </w:r>
      <w:r/>
    </w:p>
    <w:p>
      <w:pPr>
        <w:pStyle w:val="903"/>
        <w:spacing w:before="0" w:after="0" w:line="288" w:lineRule="auto"/>
        <w:rPr>
          <w:rFonts w:hint="eastAsia" w:ascii="仿宋" w:hAnsi="仿宋" w:eastAsia="仿宋" w:cs="仿宋"/>
          <w:b w:val="0"/>
          <w:color w:val="auto"/>
          <w:sz w:val="28"/>
          <w:szCs w:val="28"/>
          <w:highlight w:val="none"/>
        </w:rPr>
      </w:pPr>
      <w:r/>
      <w:bookmarkStart w:id="22" w:name="_Toc513029209"/>
      <w:r/>
      <w:bookmarkStart w:id="23" w:name="_Toc120614215"/>
      <w:r/>
      <w:bookmarkStart w:id="24" w:name="_Toc20823281"/>
      <w:r/>
      <w:bookmarkStart w:id="25" w:name="_Toc16938525"/>
      <w:r>
        <w:rPr>
          <w:rFonts w:hint="eastAsia" w:ascii="仿宋" w:hAnsi="仿宋" w:eastAsia="仿宋" w:cs="仿宋"/>
          <w:b w:val="0"/>
          <w:color w:val="auto"/>
          <w:sz w:val="28"/>
          <w:szCs w:val="28"/>
          <w:highlight w:val="none"/>
        </w:rPr>
        <w:t xml:space="preserve">（二）招标文件</w:t>
      </w:r>
      <w:bookmarkEnd w:id="22"/>
      <w:r/>
      <w:bookmarkEnd w:id="23"/>
      <w:r/>
      <w:bookmarkEnd w:id="24"/>
      <w:r/>
      <w:bookmarkEnd w:id="25"/>
      <w:r/>
      <w:r/>
    </w:p>
    <w:p>
      <w:pPr>
        <w:pStyle w:val="904"/>
        <w:ind w:firstLine="560"/>
        <w:jc w:val="both"/>
        <w:spacing w:line="288" w:lineRule="auto"/>
        <w:rPr>
          <w:rFonts w:hint="eastAsia" w:ascii="仿宋" w:hAnsi="仿宋" w:eastAsia="仿宋" w:cs="仿宋"/>
          <w:bCs/>
          <w:color w:val="auto"/>
          <w:sz w:val="28"/>
          <w:szCs w:val="28"/>
          <w:highlight w:val="none"/>
        </w:rPr>
      </w:pPr>
      <w:r/>
      <w:bookmarkStart w:id="26" w:name="_Toc16938526"/>
      <w:r/>
      <w:bookmarkStart w:id="27" w:name="_Toc513029210"/>
      <w:r/>
      <w:bookmarkStart w:id="28" w:name="_Toc20823282"/>
      <w:r>
        <w:rPr>
          <w:rFonts w:hint="eastAsia" w:ascii="仿宋" w:hAnsi="仿宋" w:eastAsia="仿宋" w:cs="仿宋"/>
          <w:bCs/>
          <w:color w:val="auto"/>
          <w:sz w:val="28"/>
          <w:szCs w:val="28"/>
          <w:highlight w:val="none"/>
        </w:rPr>
        <w:t xml:space="preserve">1.招标文件构成</w:t>
      </w:r>
      <w:bookmarkEnd w:id="26"/>
      <w:r/>
      <w:bookmarkEnd w:id="27"/>
      <w:r/>
      <w:bookmarkEnd w:id="28"/>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招标文件由以下部分组成：</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（1）投标邀请</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（2）投标须知</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（3）项目需求</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（4）开标和评标</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（5）投标文件组成</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（6）附件（如有）</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请仔细检查招标文件是否齐全，如有缺漏请立即与采购人或采购代理机构联系解决。</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4"/>
        <w:ind w:firstLine="560"/>
        <w:jc w:val="both"/>
        <w:spacing w:line="288" w:lineRule="auto"/>
        <w:rPr>
          <w:rFonts w:hint="eastAsia" w:ascii="仿宋" w:hAnsi="仿宋" w:eastAsia="仿宋" w:cs="仿宋"/>
          <w:bCs/>
          <w:color w:val="auto"/>
          <w:sz w:val="28"/>
          <w:szCs w:val="28"/>
          <w:highlight w:val="none"/>
        </w:rPr>
      </w:pPr>
      <w:r/>
      <w:bookmarkStart w:id="29" w:name="_Toc462564070"/>
      <w:r/>
      <w:bookmarkStart w:id="30" w:name="_Toc513029211"/>
      <w:r/>
      <w:bookmarkStart w:id="31" w:name="_Toc20823283"/>
      <w:r/>
      <w:bookmarkStart w:id="32" w:name="_Toc16938527"/>
      <w:r>
        <w:rPr>
          <w:rFonts w:hint="eastAsia" w:ascii="仿宋" w:hAnsi="仿宋" w:eastAsia="仿宋" w:cs="仿宋"/>
          <w:bCs/>
          <w:color w:val="auto"/>
          <w:sz w:val="28"/>
          <w:szCs w:val="28"/>
          <w:highlight w:val="none"/>
        </w:rPr>
        <w:t xml:space="preserve">2.招标文件的澄清</w:t>
      </w:r>
      <w:bookmarkEnd w:id="29"/>
      <w:r/>
      <w:bookmarkEnd w:id="30"/>
      <w:r/>
      <w:bookmarkEnd w:id="31"/>
      <w:r/>
      <w:bookmarkEnd w:id="32"/>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2.2采购人视情组织答疑会</w:t>
      </w:r>
      <w:r/>
    </w:p>
    <w:p>
      <w:pPr>
        <w:pStyle w:val="904"/>
        <w:ind w:firstLine="560"/>
        <w:jc w:val="both"/>
        <w:spacing w:line="288" w:lineRule="auto"/>
        <w:rPr>
          <w:rFonts w:hint="eastAsia" w:ascii="仿宋" w:hAnsi="仿宋" w:eastAsia="仿宋" w:cs="仿宋"/>
          <w:bCs/>
          <w:color w:val="auto"/>
          <w:sz w:val="28"/>
          <w:szCs w:val="28"/>
          <w:highlight w:val="none"/>
        </w:rPr>
      </w:pPr>
      <w:r/>
      <w:bookmarkStart w:id="33" w:name="_Toc513029212"/>
      <w:r/>
      <w:bookmarkStart w:id="34" w:name="_Toc20823284"/>
      <w:r/>
      <w:bookmarkStart w:id="35" w:name="_Toc16938528"/>
      <w:r/>
      <w:bookmarkStart w:id="36" w:name="_Toc462564071"/>
      <w:r>
        <w:rPr>
          <w:rFonts w:hint="eastAsia" w:ascii="仿宋" w:hAnsi="仿宋" w:eastAsia="仿宋" w:cs="仿宋"/>
          <w:bCs/>
          <w:color w:val="auto"/>
          <w:sz w:val="28"/>
          <w:szCs w:val="28"/>
          <w:highlight w:val="none"/>
        </w:rPr>
        <w:t xml:space="preserve">3.招标文件的修改</w:t>
      </w:r>
      <w:bookmarkEnd w:id="33"/>
      <w:r/>
      <w:bookmarkEnd w:id="34"/>
      <w:r/>
      <w:bookmarkEnd w:id="35"/>
      <w:r/>
      <w:bookmarkEnd w:id="36"/>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在投标截止时间前，采购人或采购代理机构可以对招标文件进行修改。</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 采购人或采购代理机构有权按照法定的要求推迟投标截止日期和开标日期。</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 招标文件的修改将在江苏政府采购网公布，补充文件将作为招标文件的组成部分，并对投标人具有约束力。</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903"/>
        <w:spacing w:before="0" w:after="0" w:line="288" w:lineRule="auto"/>
        <w:rPr>
          <w:rFonts w:hint="eastAsia" w:ascii="仿宋" w:hAnsi="仿宋" w:eastAsia="仿宋" w:cs="仿宋"/>
          <w:b w:val="0"/>
          <w:color w:val="auto"/>
          <w:sz w:val="28"/>
          <w:szCs w:val="28"/>
          <w:highlight w:val="none"/>
        </w:rPr>
      </w:pPr>
      <w:r/>
      <w:bookmarkStart w:id="37" w:name="_Toc20823285"/>
      <w:r/>
      <w:bookmarkStart w:id="38" w:name="_Toc462564072"/>
      <w:r/>
      <w:bookmarkStart w:id="39" w:name="_Toc120614216"/>
      <w:r/>
      <w:bookmarkStart w:id="40" w:name="_Toc16938529"/>
      <w:r/>
      <w:bookmarkStart w:id="41" w:name="_Toc513029213"/>
      <w:r>
        <w:rPr>
          <w:rFonts w:hint="eastAsia" w:ascii="仿宋" w:hAnsi="仿宋" w:eastAsia="仿宋" w:cs="仿宋"/>
          <w:b w:val="0"/>
          <w:color w:val="auto"/>
          <w:sz w:val="28"/>
          <w:szCs w:val="28"/>
          <w:highlight w:val="none"/>
        </w:rPr>
        <w:t xml:space="preserve">（三）投标文件的编制</w:t>
      </w:r>
      <w:bookmarkEnd w:id="37"/>
      <w:r/>
      <w:bookmarkEnd w:id="38"/>
      <w:r/>
      <w:bookmarkEnd w:id="39"/>
      <w:r/>
      <w:bookmarkEnd w:id="40"/>
      <w:r/>
      <w:bookmarkEnd w:id="41"/>
      <w:r/>
      <w:r/>
    </w:p>
    <w:p>
      <w:pPr>
        <w:pStyle w:val="904"/>
        <w:ind w:firstLine="560"/>
        <w:jc w:val="both"/>
        <w:spacing w:line="288" w:lineRule="auto"/>
        <w:rPr>
          <w:rFonts w:hint="eastAsia" w:ascii="仿宋" w:hAnsi="仿宋" w:eastAsia="仿宋" w:cs="仿宋"/>
          <w:bCs/>
          <w:color w:val="auto"/>
          <w:sz w:val="28"/>
          <w:szCs w:val="28"/>
          <w:highlight w:val="none"/>
        </w:rPr>
      </w:pPr>
      <w:r/>
      <w:bookmarkStart w:id="42" w:name="_Toc20823286"/>
      <w:r/>
      <w:bookmarkStart w:id="43" w:name="_Toc16938530"/>
      <w:r/>
      <w:bookmarkStart w:id="44" w:name="_Toc513029214"/>
      <w:r/>
      <w:bookmarkStart w:id="45" w:name="_Toc462564073"/>
      <w:r>
        <w:rPr>
          <w:rFonts w:hint="eastAsia" w:ascii="仿宋" w:hAnsi="仿宋" w:eastAsia="仿宋" w:cs="仿宋"/>
          <w:bCs/>
          <w:color w:val="auto"/>
          <w:sz w:val="28"/>
          <w:szCs w:val="28"/>
          <w:highlight w:val="none"/>
        </w:rPr>
        <w:t xml:space="preserve">1.投标文件的语言及度量衡单位</w:t>
      </w:r>
      <w:bookmarkEnd w:id="42"/>
      <w:r/>
      <w:bookmarkEnd w:id="43"/>
      <w:r/>
      <w:bookmarkEnd w:id="44"/>
      <w:r/>
      <w:bookmarkEnd w:id="45"/>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除技术性能另有规定外，投标文件所使用的度量衡单位，均须采用国家法定计量单位。</w:t>
      </w:r>
      <w:r/>
    </w:p>
    <w:p>
      <w:pPr>
        <w:pStyle w:val="904"/>
        <w:ind w:firstLine="560"/>
        <w:jc w:val="both"/>
        <w:spacing w:line="288" w:lineRule="auto"/>
        <w:rPr>
          <w:rFonts w:hint="eastAsia" w:ascii="仿宋" w:hAnsi="仿宋" w:eastAsia="仿宋" w:cs="仿宋"/>
          <w:bCs/>
          <w:color w:val="auto"/>
          <w:sz w:val="28"/>
          <w:szCs w:val="28"/>
          <w:highlight w:val="none"/>
        </w:rPr>
      </w:pPr>
      <w:r/>
      <w:bookmarkStart w:id="46" w:name="_Toc462564074"/>
      <w:r/>
      <w:bookmarkStart w:id="47" w:name="_Toc513029215"/>
      <w:r/>
      <w:bookmarkStart w:id="48" w:name="_Toc16938531"/>
      <w:r/>
      <w:bookmarkStart w:id="49" w:name="_Toc20823287"/>
      <w:r>
        <w:rPr>
          <w:rFonts w:hint="eastAsia" w:ascii="仿宋" w:hAnsi="仿宋" w:eastAsia="仿宋" w:cs="仿宋"/>
          <w:bCs/>
          <w:color w:val="auto"/>
          <w:sz w:val="28"/>
          <w:szCs w:val="28"/>
          <w:highlight w:val="none"/>
        </w:rPr>
        <w:t xml:space="preserve">2.投标文件构成</w:t>
      </w:r>
      <w:bookmarkEnd w:id="46"/>
      <w:r/>
      <w:bookmarkEnd w:id="47"/>
      <w:r/>
      <w:bookmarkEnd w:id="48"/>
      <w:r/>
      <w:bookmarkEnd w:id="49"/>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投标人编写的投标文件应包括资格审查证明材料文件，商务、技术标文件，价格标文件。供应商按“第五部分 投标文件组成”要求编写投标文件</w:t>
      </w:r>
      <w:r/>
    </w:p>
    <w:p>
      <w:pPr>
        <w:pStyle w:val="904"/>
        <w:ind w:firstLine="560"/>
        <w:jc w:val="both"/>
        <w:spacing w:line="288" w:lineRule="auto"/>
        <w:rPr>
          <w:rFonts w:hint="eastAsia" w:ascii="仿宋" w:hAnsi="仿宋" w:eastAsia="仿宋" w:cs="仿宋"/>
          <w:bCs/>
          <w:color w:val="auto"/>
          <w:sz w:val="28"/>
          <w:szCs w:val="28"/>
          <w:highlight w:val="none"/>
        </w:rPr>
      </w:pPr>
      <w:r/>
      <w:bookmarkStart w:id="50" w:name="_Hlt26670360"/>
      <w:r/>
      <w:bookmarkEnd w:id="50"/>
      <w:r/>
      <w:bookmarkStart w:id="51" w:name="_Hlt26668975"/>
      <w:r/>
      <w:bookmarkEnd w:id="51"/>
      <w:r/>
      <w:bookmarkStart w:id="52" w:name="_Hlt26954838"/>
      <w:r/>
      <w:bookmarkEnd w:id="52"/>
      <w:r/>
      <w:bookmarkStart w:id="53" w:name="_Toc14577360"/>
      <w:r/>
      <w:bookmarkStart w:id="54" w:name="_Toc49090511"/>
      <w:r>
        <w:rPr>
          <w:rFonts w:hint="eastAsia" w:ascii="仿宋" w:hAnsi="仿宋" w:eastAsia="仿宋" w:cs="仿宋"/>
          <w:bCs/>
          <w:color w:val="auto"/>
          <w:sz w:val="28"/>
          <w:szCs w:val="28"/>
          <w:highlight w:val="none"/>
        </w:rPr>
        <w:t xml:space="preserve">3.投标有效期</w:t>
      </w:r>
      <w:bookmarkEnd w:id="53"/>
      <w:r/>
      <w:bookmarkEnd w:id="54"/>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3.1投标有效期为招标文件规定的开标之日后</w:t>
      </w:r>
      <w:r>
        <w:rPr>
          <w:rFonts w:hint="eastAsia" w:ascii="仿宋" w:hAnsi="仿宋" w:eastAsia="仿宋" w:cs="仿宋"/>
          <w:bCs/>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。投标有效期比规定短的将被视为非响应性投标而予以拒绝。</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4.投标有效期的延长</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5.电子响应文件其他要求</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5.2投标人应对CA证书妥善保管，如被他人盗用投标，因此带来的结果均由供应商自行承担。</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5.3投标人应当对采购文件提出的实质性要求和条件作出实质性响应，并在电子投标系统逐条应答。</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03"/>
        <w:spacing w:before="0" w:after="0" w:line="288" w:lineRule="auto"/>
        <w:rPr>
          <w:rFonts w:hint="eastAsia" w:ascii="仿宋" w:hAnsi="仿宋" w:eastAsia="仿宋" w:cs="仿宋"/>
          <w:b w:val="0"/>
          <w:color w:val="auto"/>
          <w:sz w:val="28"/>
          <w:szCs w:val="28"/>
          <w:highlight w:val="none"/>
        </w:rPr>
      </w:pPr>
      <w:r/>
      <w:bookmarkStart w:id="55" w:name="_Hlt26954852"/>
      <w:r/>
      <w:bookmarkEnd w:id="55"/>
      <w:r/>
      <w:bookmarkStart w:id="56" w:name="_Hlt26954739"/>
      <w:r/>
      <w:bookmarkEnd w:id="56"/>
      <w:r/>
      <w:bookmarkStart w:id="57" w:name="_Toc20823296"/>
      <w:r/>
      <w:bookmarkStart w:id="58" w:name="_Toc16938540"/>
      <w:r/>
      <w:bookmarkStart w:id="59" w:name="_Toc120614217"/>
      <w:r/>
      <w:bookmarkStart w:id="60" w:name="_Toc513029224"/>
      <w:r>
        <w:rPr>
          <w:rFonts w:hint="eastAsia" w:ascii="仿宋" w:hAnsi="仿宋" w:eastAsia="仿宋" w:cs="仿宋"/>
          <w:b w:val="0"/>
          <w:color w:val="auto"/>
          <w:sz w:val="28"/>
          <w:szCs w:val="28"/>
          <w:highlight w:val="none"/>
        </w:rPr>
        <w:t xml:space="preserve">（四）投标文件的递交</w:t>
      </w:r>
      <w:bookmarkEnd w:id="57"/>
      <w:r/>
      <w:bookmarkEnd w:id="58"/>
      <w:r/>
      <w:bookmarkEnd w:id="59"/>
      <w:r/>
      <w:bookmarkEnd w:id="60"/>
      <w:r/>
      <w:r/>
    </w:p>
    <w:p>
      <w:pPr>
        <w:pStyle w:val="904"/>
        <w:ind w:firstLine="560"/>
        <w:jc w:val="both"/>
        <w:spacing w:line="288" w:lineRule="auto"/>
        <w:rPr>
          <w:rFonts w:hint="eastAsia" w:ascii="仿宋" w:hAnsi="仿宋" w:eastAsia="仿宋" w:cs="仿宋"/>
          <w:bCs/>
          <w:color w:val="auto"/>
          <w:sz w:val="28"/>
          <w:szCs w:val="28"/>
          <w:highlight w:val="none"/>
        </w:rPr>
      </w:pPr>
      <w:r/>
      <w:bookmarkStart w:id="61" w:name="_Toc20823297"/>
      <w:r/>
      <w:bookmarkStart w:id="62" w:name="_Toc16938541"/>
      <w:r/>
      <w:bookmarkStart w:id="63" w:name="_Toc462564084"/>
      <w:r/>
      <w:bookmarkStart w:id="64" w:name="_Toc513029225"/>
      <w:r>
        <w:rPr>
          <w:rFonts w:hint="eastAsia" w:ascii="仿宋" w:hAnsi="仿宋" w:eastAsia="仿宋" w:cs="仿宋"/>
          <w:bCs/>
          <w:color w:val="auto"/>
          <w:sz w:val="28"/>
          <w:szCs w:val="28"/>
          <w:highlight w:val="none"/>
        </w:rPr>
        <w:t xml:space="preserve">1.投标文件</w:t>
      </w:r>
      <w:bookmarkEnd w:id="61"/>
      <w:r/>
      <w:bookmarkEnd w:id="62"/>
      <w:r/>
      <w:bookmarkEnd w:id="63"/>
      <w:r/>
      <w:bookmarkEnd w:id="64"/>
      <w:r>
        <w:rPr>
          <w:rFonts w:hint="eastAsia" w:ascii="仿宋" w:hAnsi="仿宋" w:eastAsia="仿宋" w:cs="仿宋"/>
          <w:bCs/>
          <w:color w:val="auto"/>
          <w:sz w:val="28"/>
          <w:szCs w:val="28"/>
          <w:highlight w:val="none"/>
        </w:rPr>
        <w:t xml:space="preserve">的递交</w:t>
      </w:r>
      <w:r/>
    </w:p>
    <w:p>
      <w:pPr>
        <w:ind w:firstLine="556"/>
        <w:spacing w:line="288" w:lineRule="auto"/>
        <w:rPr>
          <w:rFonts w:hint="eastAsia" w:ascii="仿宋" w:hAnsi="仿宋" w:eastAsia="仿宋" w:cs="仿宋"/>
          <w:bCs/>
          <w:color w:val="auto"/>
          <w:sz w:val="28"/>
          <w:szCs w:val="28"/>
          <w:highlight w:val="none"/>
        </w:rPr>
      </w:pPr>
      <w:r/>
      <w:bookmarkStart w:id="65" w:name="_Toc16938542"/>
      <w:r/>
      <w:bookmarkStart w:id="66" w:name="_Toc513029226"/>
      <w:r/>
      <w:bookmarkStart w:id="67" w:name="_Toc20823298"/>
      <w:r>
        <w:rPr>
          <w:rFonts w:hint="eastAsia" w:ascii="仿宋" w:hAnsi="仿宋" w:eastAsia="仿宋" w:cs="仿宋"/>
          <w:bCs/>
          <w:color w:val="auto"/>
          <w:sz w:val="28"/>
          <w:szCs w:val="28"/>
          <w:highlight w:val="none"/>
        </w:rPr>
        <w:t xml:space="preserve">1.1线上提交与接收地点：供应商应当通过“苏采云”系统提交数据电文形式的响应文件（即电子投标），“苏采云”系统自动接收。</w:t>
      </w:r>
      <w:r/>
    </w:p>
    <w:p>
      <w:pPr>
        <w:ind w:firstLine="55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2.投标截止日期</w:t>
      </w:r>
      <w:bookmarkEnd w:id="65"/>
      <w:r/>
      <w:bookmarkEnd w:id="66"/>
      <w:r/>
      <w:bookmarkEnd w:id="67"/>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投标人上传电子投标文件的时间不得迟于招标公告中规定的投标截止时间。</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3.投标文件的密封（加密）要求：</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3.2投标人须通过“苏采云”系统提供的政府采购客户端工具（使用“CA数字证书”）加盖电子签章。</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3.3投标人未按规定加密的投标文件，“苏采云”系统应当拒收并提示。</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4.投标文件</w:t>
      </w:r>
      <w:bookmarkEnd w:id="68"/>
      <w:r/>
      <w:bookmarkEnd w:id="69"/>
      <w:r/>
      <w:bookmarkEnd w:id="70"/>
      <w:r>
        <w:rPr>
          <w:rFonts w:hint="eastAsia" w:ascii="仿宋" w:hAnsi="仿宋" w:eastAsia="仿宋" w:cs="仿宋"/>
          <w:bCs/>
          <w:color w:val="auto"/>
          <w:sz w:val="28"/>
          <w:szCs w:val="28"/>
          <w:highlight w:val="none"/>
        </w:rPr>
        <w:t xml:space="preserve">的拒收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采购人或采购代理机构拒绝接收在其规定的投标截止时间后上传的任何投标文件。</w:t>
      </w:r>
      <w:r/>
    </w:p>
    <w:p>
      <w:pPr>
        <w:pStyle w:val="904"/>
        <w:ind w:firstLine="560"/>
        <w:jc w:val="both"/>
        <w:spacing w:line="288" w:lineRule="auto"/>
        <w:rPr>
          <w:rFonts w:hint="eastAsia" w:ascii="仿宋" w:hAnsi="仿宋" w:eastAsia="仿宋" w:cs="仿宋"/>
          <w:bCs/>
          <w:color w:val="auto"/>
          <w:sz w:val="28"/>
          <w:szCs w:val="28"/>
          <w:highlight w:val="none"/>
        </w:rPr>
      </w:pPr>
      <w:r/>
      <w:bookmarkStart w:id="71" w:name="_Toc20823300"/>
      <w:r/>
      <w:bookmarkStart w:id="72" w:name="_Toc513029228"/>
      <w:r/>
      <w:bookmarkStart w:id="73" w:name="_Toc16938544"/>
      <w:r>
        <w:rPr>
          <w:rFonts w:hint="eastAsia" w:ascii="仿宋" w:hAnsi="仿宋" w:eastAsia="仿宋" w:cs="仿宋"/>
          <w:bCs/>
          <w:color w:val="auto"/>
          <w:sz w:val="28"/>
          <w:szCs w:val="28"/>
          <w:highlight w:val="none"/>
        </w:rPr>
        <w:t xml:space="preserve">5.投标文件的撤回和修改</w:t>
      </w:r>
      <w:bookmarkEnd w:id="71"/>
      <w:r/>
      <w:bookmarkEnd w:id="72"/>
      <w:r/>
      <w:bookmarkEnd w:id="73"/>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投标文件的撤回</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电子投标文件的撤回</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投标人可在投标截止时间前，撤回其电子投标文件，具体操作方法见《江苏省政府采购（供应商）CA数字证书及电子签章办理指南》。</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投标人撤回电子投标文件，则认为其不再参与本项目投标活动。</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投标文件的修改</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投标人可在投标截止时间前，对其电子投标文件进行修改》。</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在投标截止时间之后，投标人不得对其电子投标文件作任何修改。</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在投标截止时间至招标文件中规定的投标有效期满之间的这段时间内，投标人不得撤回其投标。</w:t>
      </w:r>
      <w:r/>
    </w:p>
    <w:p>
      <w:pPr>
        <w:pStyle w:val="903"/>
        <w:spacing w:before="0" w:after="0" w:line="288" w:lineRule="auto"/>
        <w:rPr>
          <w:rFonts w:hint="eastAsia" w:ascii="仿宋" w:hAnsi="仿宋" w:eastAsia="仿宋" w:cs="仿宋"/>
          <w:b w:val="0"/>
          <w:color w:val="auto"/>
          <w:sz w:val="28"/>
          <w:szCs w:val="28"/>
          <w:highlight w:val="none"/>
        </w:rPr>
      </w:pPr>
      <w:r/>
      <w:bookmarkStart w:id="74" w:name="_Toc513029229"/>
      <w:r/>
      <w:bookmarkStart w:id="75" w:name="_Toc16938545"/>
      <w:r/>
      <w:bookmarkStart w:id="76" w:name="_Toc20823301"/>
      <w:r/>
      <w:bookmarkStart w:id="77" w:name="_Toc120614218"/>
      <w:r>
        <w:rPr>
          <w:rFonts w:hint="eastAsia" w:ascii="仿宋" w:hAnsi="仿宋" w:eastAsia="仿宋" w:cs="仿宋"/>
          <w:b w:val="0"/>
          <w:color w:val="auto"/>
          <w:sz w:val="28"/>
          <w:szCs w:val="28"/>
          <w:highlight w:val="none"/>
        </w:rPr>
        <w:t xml:space="preserve">（五）开标与评标</w:t>
      </w:r>
      <w:bookmarkEnd w:id="74"/>
      <w:r/>
      <w:bookmarkEnd w:id="75"/>
      <w:r/>
      <w:bookmarkEnd w:id="76"/>
      <w:r/>
      <w:bookmarkEnd w:id="77"/>
      <w:r/>
      <w:r/>
    </w:p>
    <w:p>
      <w:pPr>
        <w:pStyle w:val="904"/>
        <w:ind w:firstLine="560"/>
        <w:jc w:val="both"/>
        <w:spacing w:line="288" w:lineRule="auto"/>
        <w:rPr>
          <w:rFonts w:hint="eastAsia" w:ascii="仿宋" w:hAnsi="仿宋" w:eastAsia="仿宋" w:cs="仿宋"/>
          <w:bCs/>
          <w:color w:val="auto"/>
          <w:sz w:val="28"/>
          <w:szCs w:val="28"/>
          <w:highlight w:val="none"/>
        </w:rPr>
      </w:pPr>
      <w:r/>
      <w:bookmarkStart w:id="78" w:name="_Toc20823302"/>
      <w:r/>
      <w:bookmarkStart w:id="79" w:name="_Toc513029230"/>
      <w:r/>
      <w:bookmarkStart w:id="80" w:name="_Toc16938546"/>
      <w:r>
        <w:rPr>
          <w:rFonts w:hint="eastAsia" w:ascii="仿宋" w:hAnsi="仿宋" w:eastAsia="仿宋" w:cs="仿宋"/>
          <w:bCs/>
          <w:color w:val="auto"/>
          <w:sz w:val="28"/>
          <w:szCs w:val="28"/>
          <w:highlight w:val="none"/>
        </w:rPr>
        <w:t xml:space="preserve">1.开标</w:t>
      </w:r>
      <w:bookmarkEnd w:id="78"/>
      <w:r/>
      <w:bookmarkEnd w:id="79"/>
      <w:r/>
      <w:bookmarkEnd w:id="80"/>
      <w:r/>
      <w:r/>
    </w:p>
    <w:p>
      <w:pPr>
        <w:ind w:firstLine="55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采购人或采购代理机构将在招标公告中规定的时间和地点组织公开开标。</w:t>
      </w:r>
      <w:r/>
    </w:p>
    <w:p>
      <w:pPr>
        <w:ind w:firstLine="55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开标当天投标人及时登录不见面开标大厅，投标文件递交截止时间后，采购</w:t>
      </w:r>
      <w:r>
        <w:rPr>
          <w:rFonts w:hint="eastAsia" w:ascii="仿宋" w:hAnsi="仿宋" w:eastAsia="仿宋" w:cs="仿宋"/>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1.2开标仪式由采购代理机构组织，在不见面交易系统中进行开标，并公布各投标人的《开标一览表》。</w:t>
      </w:r>
      <w:r/>
    </w:p>
    <w:p>
      <w:pPr>
        <w:pStyle w:val="904"/>
        <w:ind w:firstLine="560"/>
        <w:jc w:val="both"/>
        <w:spacing w:line="288" w:lineRule="auto"/>
        <w:rPr>
          <w:rFonts w:hint="eastAsia" w:ascii="仿宋" w:hAnsi="仿宋" w:eastAsia="仿宋" w:cs="仿宋"/>
          <w:bCs/>
          <w:color w:val="auto"/>
          <w:sz w:val="28"/>
          <w:szCs w:val="28"/>
          <w:highlight w:val="none"/>
        </w:rPr>
      </w:pPr>
      <w:r/>
      <w:bookmarkStart w:id="81" w:name="_Toc513029231"/>
      <w:r/>
      <w:bookmarkStart w:id="82" w:name="_Toc20823303"/>
      <w:r/>
      <w:bookmarkStart w:id="83" w:name="_Toc16938547"/>
      <w:r>
        <w:rPr>
          <w:rFonts w:hint="eastAsia" w:ascii="仿宋" w:hAnsi="仿宋" w:eastAsia="仿宋" w:cs="仿宋"/>
          <w:bCs/>
          <w:color w:val="auto"/>
          <w:sz w:val="28"/>
          <w:szCs w:val="28"/>
          <w:highlight w:val="none"/>
        </w:rPr>
        <w:t xml:space="preserve">2.评标委员会</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开标后，采购人或采购代理机构将立即组织评标委员会（以下简称评委会）进行评标。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评委会由采购人代表和有关技术、经济等方面的专家组成，且人员构成符合政府采购有关规定。</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2.3评委会独立工作，负责评审所有投标文件并确定中标侯选人。</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3.评标过程的保密与公正</w:t>
      </w:r>
      <w:bookmarkEnd w:id="81"/>
      <w:r/>
      <w:bookmarkEnd w:id="82"/>
      <w:r/>
      <w:bookmarkEnd w:id="83"/>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3.2在评标过程中，投标人不得以任何行为影响评标过程，否则其投标文件将被作为无效投标文件。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3.3在评标期间，采购代理机构将设专门人员与投标人联系。</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3.5采用综合评分法的项目，公布评标结果时一并公布所有投标人的评审得分及排序情况。</w:t>
      </w:r>
      <w:r/>
    </w:p>
    <w:p>
      <w:pPr>
        <w:pStyle w:val="904"/>
        <w:ind w:firstLine="560"/>
        <w:jc w:val="both"/>
        <w:spacing w:line="288" w:lineRule="auto"/>
        <w:rPr>
          <w:rFonts w:hint="eastAsia" w:ascii="仿宋" w:hAnsi="仿宋" w:eastAsia="仿宋" w:cs="仿宋"/>
          <w:bCs/>
          <w:color w:val="auto"/>
          <w:sz w:val="28"/>
          <w:szCs w:val="28"/>
          <w:highlight w:val="none"/>
        </w:rPr>
      </w:pPr>
      <w:r/>
      <w:bookmarkStart w:id="84" w:name="_Toc20823304"/>
      <w:r/>
      <w:bookmarkStart w:id="85" w:name="_Toc513029232"/>
      <w:r/>
      <w:bookmarkStart w:id="86" w:name="_Toc16938548"/>
      <w:r>
        <w:rPr>
          <w:rFonts w:hint="eastAsia" w:ascii="仿宋" w:hAnsi="仿宋" w:eastAsia="仿宋" w:cs="仿宋"/>
          <w:bCs/>
          <w:color w:val="auto"/>
          <w:sz w:val="28"/>
          <w:szCs w:val="28"/>
          <w:highlight w:val="none"/>
        </w:rPr>
        <w:t xml:space="preserve">4.投标的澄清</w:t>
      </w:r>
      <w:bookmarkEnd w:id="84"/>
      <w:r/>
      <w:bookmarkEnd w:id="85"/>
      <w:r/>
      <w:bookmarkEnd w:id="86"/>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4.3 接到评委会澄清要求的投标人如未按规定做出澄清，其风险由投标人自行承担。</w:t>
      </w:r>
      <w:r/>
    </w:p>
    <w:p>
      <w:pPr>
        <w:pStyle w:val="904"/>
        <w:ind w:firstLine="560"/>
        <w:jc w:val="both"/>
        <w:spacing w:line="288" w:lineRule="auto"/>
        <w:rPr>
          <w:rFonts w:hint="eastAsia" w:ascii="仿宋" w:hAnsi="仿宋" w:eastAsia="仿宋" w:cs="仿宋"/>
          <w:bCs/>
          <w:color w:val="auto"/>
          <w:sz w:val="28"/>
          <w:szCs w:val="28"/>
          <w:highlight w:val="none"/>
        </w:rPr>
      </w:pPr>
      <w:r/>
      <w:bookmarkStart w:id="87" w:name="_Toc16938549"/>
      <w:r/>
      <w:bookmarkStart w:id="88" w:name="_Toc20823305"/>
      <w:r/>
      <w:bookmarkStart w:id="89" w:name="_Toc513029233"/>
      <w:r>
        <w:rPr>
          <w:rFonts w:hint="eastAsia" w:ascii="仿宋" w:hAnsi="仿宋" w:eastAsia="仿宋" w:cs="仿宋"/>
          <w:bCs/>
          <w:color w:val="auto"/>
          <w:sz w:val="28"/>
          <w:szCs w:val="28"/>
          <w:highlight w:val="none"/>
        </w:rPr>
        <w:t xml:space="preserve">5.对投标文件的初审</w:t>
      </w:r>
      <w:bookmarkEnd w:id="87"/>
      <w:r/>
      <w:bookmarkEnd w:id="88"/>
      <w:r/>
      <w:bookmarkEnd w:id="89"/>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5.1投标文件初审分为资格审查和符合性审查。</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（1）投标文件中开标一览表内容与投标文件中相应内容不一致的，以开标一览表为准。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（3）单价金额小数点或者百分比有明显错位的，以开标一览表的总价为准，并修改单价。</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288" w:lineRule="auto"/>
        <w:rPr>
          <w:rFonts w:hint="eastAsia" w:ascii="仿宋" w:hAnsi="仿宋" w:eastAsia="仿宋" w:cs="仿宋"/>
          <w:bCs/>
          <w:color w:val="auto"/>
          <w:sz w:val="28"/>
          <w:szCs w:val="28"/>
          <w:highlight w:val="none"/>
        </w:rPr>
      </w:pPr>
      <w:r/>
      <w:bookmarkStart w:id="90" w:name="_Toc16938550"/>
      <w:r/>
      <w:bookmarkStart w:id="91" w:name="_Toc513029234"/>
      <w:r/>
      <w:bookmarkStart w:id="92" w:name="_Toc20823306"/>
      <w:r>
        <w:rPr>
          <w:rFonts w:hint="eastAsia" w:ascii="仿宋" w:hAnsi="仿宋" w:eastAsia="仿宋" w:cs="仿宋"/>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5.8 投标人在开、评标全过程中应保持通讯畅通，并安排专人与采购人或采购代理机构及评标委员会联系。</w:t>
      </w:r>
      <w:bookmarkEnd w:id="90"/>
      <w:r/>
      <w:bookmarkEnd w:id="91"/>
      <w:r/>
      <w:bookmarkEnd w:id="92"/>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6.无效投标条款和废标条款</w:t>
      </w:r>
      <w:r/>
    </w:p>
    <w:p>
      <w:pPr>
        <w:ind w:firstLine="560"/>
        <w:spacing w:line="288" w:lineRule="auto"/>
        <w:rPr>
          <w:rFonts w:hint="eastAsia" w:ascii="仿宋" w:hAnsi="仿宋" w:eastAsia="仿宋" w:cs="仿宋"/>
          <w:bCs/>
          <w:color w:val="auto"/>
          <w:sz w:val="28"/>
          <w:szCs w:val="28"/>
          <w:highlight w:val="none"/>
        </w:rPr>
      </w:pPr>
      <w:r/>
      <w:bookmarkStart w:id="93" w:name="_Toc513029235"/>
      <w:r/>
      <w:bookmarkStart w:id="94" w:name="_Toc20823307"/>
      <w:r/>
      <w:bookmarkStart w:id="95" w:name="_Toc16938551"/>
      <w:r>
        <w:rPr>
          <w:rFonts w:hint="eastAsia" w:ascii="仿宋" w:hAnsi="仿宋" w:eastAsia="仿宋" w:cs="仿宋"/>
          <w:bCs/>
          <w:color w:val="auto"/>
          <w:sz w:val="28"/>
          <w:szCs w:val="28"/>
          <w:highlight w:val="none"/>
        </w:rPr>
        <w:t xml:space="preserve">6.1无效投标条款</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 投标人在规定的时间内未成功解密电子投标文件的。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6.1.2 投标人未按照招标文件要求上传电子投标文件的。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6.1.3同一投标人提交两个（含两个）以上不同的投标报价的。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6.1.4投标人不具备招标文件中规定资格要求的。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6.1.5投标人的报价超过了采购预算或最高限价的。</w:t>
      </w:r>
      <w:r/>
    </w:p>
    <w:p>
      <w:pPr>
        <w:ind w:firstLine="560"/>
        <w:spacing w:line="288"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6.1.6未通过符合性检查的。</w:t>
      </w:r>
      <w:r/>
    </w:p>
    <w:p>
      <w:pPr>
        <w:ind w:firstLine="420"/>
        <w:spacing w:line="288"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 6.1.7不符合招标文件中规定的其他实质性要求和条件的。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6.1.8 在“信用中国”网站（https://www.creditchina.gov.cn）查询，被列入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6.1.9 投标文件含有采购人不能接受的附加条件的。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6.1.10评标委员会认为投标人的报价明显低于其他通过符合性审查投标人的报价，有可能影响产品质量或者不能诚信履约的，将通过“不见面交易系统”要求其在合理的时间内提供说明，必要时提交相关证明材料；投标人不能证明其报价合理性的，评标委员会应当将其作为无效投标处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6.1.11投标文件未按照招标文件要求加盖电子签章。</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6.1.12不同的投标人投标文件制作机器码、文件创建标识码一致的。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6.1.13投标人的商务、技术部分得分相差悬殊，评标委员会认为得分畸低者没有实质性响应的。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6.1.14其他法律、法规及本招标文件规定的属无效投标的情形。</w:t>
      </w:r>
      <w:r/>
    </w:p>
    <w:p>
      <w:pPr>
        <w:ind w:firstLine="560"/>
        <w:spacing w:line="288"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 xml:space="preserve">6.1.15评标小组认为投标单位的报价出现（苏财购〔2025〕62号）规定的异常低价情形之一的，将通过“不见面交易系统”启动异常低价投标（响应）审查程序，要求其在在评标现场合理的时间内，提供本项目具体成本测算等与报价合理性相关的书面说明及相关证明材料，对投标（响应）价格作出解释；投标（响应）供应商不提供书面说明、证明材料，或者提供的书面说明、证明材料不能证明其报价合理性的，评标小组将其作为无效投标（响应）处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6.2废标条款：</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6.2.1符合专业条件的供应商或者对招标文件作实质响应的供应商不足三家的。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6.2.2出现影响采购公正的违法、违规行为的。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6.2.3因重大变故，采购任务取消的。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6.2.4评标委员会认定招标文件存在歧义、重大缺陷导致评审工作无法进行。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6.2.5 因系统故障原因造成开标不成功的。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 投标截止时间结束后参加投标的供应商不足三家的处理：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7.投标文件线上格式要求</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7.1投标人应当通过“苏采云”系统提交数据电文形式的投标文件（即电子投标）。</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7.2通过“苏采云”系统提交政府采购客户端工具导出加密的投标文件（后缀名为zip）。投标文件不得超过150M！</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7.3本项目采用线上投标，即投标人的投标文件从政府采购客户端工具制作通过“苏采云”系统提交，未提供线上投标文件的，投标无效。</w:t>
      </w:r>
      <w:bookmarkEnd w:id="93"/>
      <w:r/>
      <w:bookmarkEnd w:id="94"/>
      <w:r/>
      <w:bookmarkEnd w:id="95"/>
      <w:r/>
      <w:r/>
    </w:p>
    <w:p>
      <w:pPr>
        <w:pStyle w:val="903"/>
        <w:spacing w:before="0" w:after="0" w:line="288" w:lineRule="auto"/>
        <w:rPr>
          <w:rFonts w:hint="eastAsia" w:ascii="仿宋" w:hAnsi="仿宋" w:eastAsia="仿宋" w:cs="仿宋"/>
          <w:b w:val="0"/>
          <w:color w:val="auto"/>
          <w:sz w:val="28"/>
          <w:szCs w:val="28"/>
          <w:highlight w:val="none"/>
        </w:rPr>
      </w:pPr>
      <w:r/>
      <w:bookmarkStart w:id="96" w:name="_Toc120614219"/>
      <w:r>
        <w:rPr>
          <w:rFonts w:hint="eastAsia" w:ascii="仿宋" w:hAnsi="仿宋" w:eastAsia="仿宋" w:cs="仿宋"/>
          <w:b w:val="0"/>
          <w:color w:val="auto"/>
          <w:sz w:val="28"/>
          <w:szCs w:val="28"/>
          <w:highlight w:val="none"/>
        </w:rPr>
        <w:t xml:space="preserve">（六）定标</w:t>
      </w:r>
      <w:bookmarkEnd w:id="96"/>
      <w:r/>
      <w:r/>
    </w:p>
    <w:p>
      <w:pPr>
        <w:pStyle w:val="904"/>
        <w:ind w:firstLine="560"/>
        <w:jc w:val="both"/>
        <w:spacing w:line="288" w:lineRule="auto"/>
        <w:rPr>
          <w:rFonts w:hint="eastAsia" w:ascii="仿宋" w:hAnsi="仿宋" w:eastAsia="仿宋" w:cs="仿宋"/>
          <w:bCs/>
          <w:color w:val="auto"/>
          <w:sz w:val="28"/>
          <w:szCs w:val="28"/>
          <w:highlight w:val="none"/>
        </w:rPr>
      </w:pPr>
      <w:r/>
      <w:bookmarkStart w:id="97" w:name="_Toc20823310"/>
      <w:r/>
      <w:bookmarkStart w:id="98" w:name="_Toc16938554"/>
      <w:r>
        <w:rPr>
          <w:rFonts w:hint="eastAsia" w:ascii="仿宋" w:hAnsi="仿宋" w:eastAsia="仿宋" w:cs="仿宋"/>
          <w:bCs/>
          <w:color w:val="auto"/>
          <w:sz w:val="28"/>
          <w:szCs w:val="28"/>
          <w:highlight w:val="none"/>
        </w:rPr>
        <w:t xml:space="preserve">1.确定</w:t>
      </w:r>
      <w:bookmarkEnd w:id="97"/>
      <w:r/>
      <w:bookmarkEnd w:id="98"/>
      <w:r>
        <w:rPr>
          <w:rFonts w:hint="eastAsia" w:ascii="仿宋" w:hAnsi="仿宋" w:eastAsia="仿宋" w:cs="仿宋"/>
          <w:bCs/>
          <w:color w:val="auto"/>
          <w:sz w:val="28"/>
          <w:szCs w:val="28"/>
          <w:highlight w:val="none"/>
        </w:rPr>
        <w:t xml:space="preserve">中标单位</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1.1中标候选人的选取原则和数量见招标文件第四部分规定。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1.2采购人应根据评标委员会推荐的中标候选供应商确定成交供应商。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采购人或采购代理机构将在“江苏政府采购网”发布中标公告，公告期限为1个工作日。</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1.4若有充分证据证明，中标人出现下列情况之一的，一经查实，将被取消中标资格：</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1.4.1提供虚假材料谋取中标的。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1.4.2向采购人或采购代理机构行贿或者评审专家提供其他不正当利益的。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1.4.3恶意竞争，投标总报价明显低于其自身合理成本且又无法提供证明的。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1.4.4属于本文件规定的无效条件，但在评标过程中又未被评委会发现的。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1.4.5与采购人或者其他供应商恶意串通的。</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1.4.6采取不正当手段诋毁、排挤其他供应商的。</w:t>
      </w:r>
      <w:r/>
    </w:p>
    <w:p>
      <w:pPr>
        <w:ind w:firstLine="560"/>
        <w:spacing w:line="288" w:lineRule="auto"/>
        <w:rPr>
          <w:rFonts w:hint="eastAsia" w:ascii="仿宋" w:hAnsi="仿宋" w:eastAsia="仿宋" w:cs="仿宋"/>
          <w:bCs/>
          <w:color w:val="auto"/>
          <w:sz w:val="28"/>
          <w:szCs w:val="28"/>
          <w:highlight w:val="none"/>
        </w:rPr>
      </w:pPr>
      <w:r/>
      <w:bookmarkStart w:id="99" w:name="_Toc200451960"/>
      <w:r>
        <w:rPr>
          <w:rFonts w:hint="eastAsia" w:ascii="仿宋" w:hAnsi="仿宋" w:eastAsia="仿宋" w:cs="仿宋"/>
          <w:bCs/>
          <w:color w:val="auto"/>
          <w:sz w:val="28"/>
          <w:szCs w:val="28"/>
          <w:highlight w:val="none"/>
        </w:rPr>
        <w:t xml:space="preserve">1.5有下列情形之一的，视为投标人串通投标，投标无效：</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1.5.1不同投标人的投标文件由同一单位或者个人编制；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1.5.2不同投标人委托同一单位或者个人办理投标事宜；</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1.5.3不同投标人的投标文件载明的项目管理成员或者联系人员为同一人；</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1.5.4不同投标人的投标文件异常一致或者投标报价呈规律性差异；</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1.5.5不同投标人的投标文件相互混装；</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2.质疑处理</w:t>
      </w:r>
      <w:bookmarkEnd w:id="99"/>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2.2.1对可以质疑的采购文件提出质疑的，为收到采购文件之日或者采购文件公告期限届满之日；</w:t>
      </w:r>
      <w:r/>
    </w:p>
    <w:p>
      <w:pPr>
        <w:ind w:firstLine="560"/>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注明：本项目5个工作日后仍可下载招标文件，但不作为投标供应商权益受到损害的证明材料和依据。</w:t>
      </w:r>
      <w:r/>
    </w:p>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2.2.2对采购过程提出质疑的，为各采购程序环节结束之日；</w:t>
      </w:r>
      <w:r/>
    </w:p>
    <w:p>
      <w:pPr>
        <w:ind w:firstLine="560"/>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2.2.3对中标或者成交结果提出质疑的，为中标或者成交结果公告期限届满之日。</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供应商应当在法定质疑期内一次性提出针对同一采购程序环节的质疑。</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2.4质疑答复依据《政府采购质疑和投诉办法》（财政部令第94号）。</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采购人质疑接收人及联系方式，见招标文件第一部分。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2.5以下情形的质疑不予受理</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2.5.1内容不符合《政府采购质疑和投诉办法》第十二条规定的质疑。</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2.5.2超出政府采购法定期限的质疑。</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2.5.3未参加投标活动的供应商或在投标活动中自身权益未受到损害的供应商所提出的质疑。</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2.5.4供应商组成联合体参加投标，联合体中任何一方或多方未按要求签字、盖章、加盖公章的质疑。</w:t>
      </w:r>
      <w:r/>
    </w:p>
    <w:p>
      <w:pPr>
        <w:ind w:firstLine="546"/>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3.l 中标结果确定后，采购人或采购代理机构将向中标供应商发出中标通知书。</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03"/>
        <w:spacing w:before="0" w:after="0" w:line="288" w:lineRule="auto"/>
        <w:rPr>
          <w:rFonts w:hint="eastAsia" w:ascii="仿宋" w:hAnsi="仿宋" w:eastAsia="仿宋" w:cs="仿宋"/>
          <w:b w:val="0"/>
          <w:color w:val="auto"/>
          <w:sz w:val="28"/>
          <w:szCs w:val="28"/>
          <w:highlight w:val="none"/>
        </w:rPr>
      </w:pPr>
      <w:r/>
      <w:bookmarkStart w:id="100" w:name="_Toc16938552"/>
      <w:r/>
      <w:bookmarkStart w:id="101" w:name="_Toc120614220"/>
      <w:r/>
      <w:bookmarkStart w:id="102" w:name="_Toc20823308"/>
      <w:r/>
      <w:bookmarkStart w:id="103" w:name="_Toc513029236"/>
      <w:r>
        <w:rPr>
          <w:rFonts w:hint="eastAsia" w:ascii="仿宋" w:hAnsi="仿宋" w:eastAsia="仿宋" w:cs="仿宋"/>
          <w:b w:val="0"/>
          <w:color w:val="auto"/>
          <w:sz w:val="28"/>
          <w:szCs w:val="28"/>
          <w:highlight w:val="none"/>
        </w:rPr>
        <w:t xml:space="preserve">（七）授予合同</w:t>
      </w:r>
      <w:bookmarkEnd w:id="100"/>
      <w:r/>
      <w:bookmarkEnd w:id="101"/>
      <w:r/>
      <w:bookmarkEnd w:id="102"/>
      <w:r/>
      <w:bookmarkEnd w:id="103"/>
      <w:r/>
      <w:r/>
    </w:p>
    <w:p>
      <w:pPr>
        <w:pStyle w:val="904"/>
        <w:ind w:firstLine="560"/>
        <w:jc w:val="both"/>
        <w:spacing w:line="288" w:lineRule="auto"/>
        <w:rPr>
          <w:rFonts w:hint="eastAsia" w:ascii="仿宋" w:hAnsi="仿宋" w:eastAsia="仿宋" w:cs="仿宋"/>
          <w:bCs/>
          <w:color w:val="auto"/>
          <w:sz w:val="28"/>
          <w:szCs w:val="28"/>
          <w:highlight w:val="none"/>
        </w:rPr>
      </w:pPr>
      <w:r/>
      <w:bookmarkStart w:id="104" w:name="_Toc16938553"/>
      <w:r/>
      <w:bookmarkStart w:id="105" w:name="_Toc513029237"/>
      <w:r/>
      <w:bookmarkStart w:id="106" w:name="_Toc20823309"/>
      <w:r>
        <w:rPr>
          <w:rFonts w:hint="eastAsia" w:ascii="仿宋" w:hAnsi="仿宋" w:eastAsia="仿宋" w:cs="仿宋"/>
          <w:bCs/>
          <w:color w:val="auto"/>
          <w:sz w:val="28"/>
          <w:szCs w:val="28"/>
          <w:highlight w:val="none"/>
        </w:rPr>
        <w:t xml:space="preserve">1.签订合同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1.l中标人应当在中标通知书发出之日起三十日内，按照招标文件确定的事项与采购人签订政府采购合同。</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1.2招标文件、中标人的投标文件及招标过程中有关澄清、承诺文件均应作为合同附件。</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04"/>
        <w:ind w:firstLine="560"/>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2.货物和服务的追加、减少和添购。</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904"/>
        <w:ind w:firstLine="562"/>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3.政府采购履约保证资金、合同信用融资扶持政策</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3.1中标供应商如需获得履约保证金支持，可在江苏政府采购网直接线上办理线上履约保证保险申请，详情请见江苏政府采购网首页 “易企服”综合服务平台-金融产品全周期-履约保证保险专栏。</w:t>
      </w:r>
      <w:r/>
    </w:p>
    <w:p>
      <w:pPr>
        <w:pStyle w:val="904"/>
        <w:ind w:firstLine="551"/>
        <w:jc w:val="both"/>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3.2根</w:t>
      </w:r>
      <w:r>
        <w:rPr>
          <w:rFonts w:hint="eastAsia" w:ascii="仿宋" w:hAnsi="仿宋" w:eastAsia="仿宋" w:cs="仿宋"/>
          <w:bCs/>
          <w:color w:val="auto"/>
          <w:sz w:val="28"/>
          <w:szCs w:val="28"/>
          <w:highlight w:val="none"/>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 “易企服”综合服务平台-金融产品全周期-贷款产品专栏。</w:t>
      </w:r>
      <w:r/>
    </w:p>
    <w:p>
      <w:pPr>
        <w:ind w:firstLine="42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2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3.3.1确定融资意向。中标(成交) 供应商取得中标 (成交 ) 通知书后，联系意向金融机构，商治融资事项，确定融资意向。</w:t>
      </w:r>
      <w:r/>
    </w:p>
    <w:p>
      <w:pPr>
        <w:ind w:firstLine="42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42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3.3.3提交融资申请。中标(成交) 供应商登录“中征平台”进行用户注册，查看“政采贷”融资产品，向确定合作的金融机构提交融资申请。</w:t>
      </w:r>
      <w:r/>
    </w:p>
    <w:p>
      <w:pPr>
        <w:ind w:firstLine="42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3.3.4确认回款账户。金融机构填写需要锁定的回款账户信息后中标(成交)供应商应登录“中征平台”确认账户信息，以实现回款账户的锁定。</w:t>
      </w:r>
      <w:r/>
    </w:p>
    <w:p>
      <w:pPr>
        <w:jc w:val="center"/>
        <w:spacing w:line="288" w:lineRule="auto"/>
        <w:rPr>
          <w:rFonts w:hint="eastAsia" w:ascii="仿宋" w:hAnsi="仿宋" w:eastAsia="仿宋" w:cs="仿宋"/>
          <w:color w:val="auto"/>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36"/>
          <w:szCs w:val="36"/>
          <w:highlight w:val="none"/>
        </w:rPr>
        <w:t xml:space="preserve">第三部分 项目需求</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60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（一）采购标的需实现的功能或者目标, 以及为落实政府采购政策需满足的要求：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根据《南通市推进城乡生活垃圾分类高质量发展行动方案（2022-2025年）》、《南通市城市房产项目配建环卫设施设置标准（试行）》要求，本项目采购垃圾分类亭，具体内容如下：</w:t>
      </w:r>
      <w:r/>
    </w:p>
    <w:p>
      <w:pPr>
        <w:ind w:firstLine="562"/>
        <w:spacing w:line="360" w:lineRule="auto"/>
        <w:rPr>
          <w:rFonts w:hint="eastAsia" w:ascii="仿宋" w:hAnsi="仿宋" w:eastAsia="仿宋" w:cs="仿宋"/>
          <w:color w:val="auto"/>
          <w:sz w:val="28"/>
          <w:szCs w:val="28"/>
          <w:highlight w:val="none"/>
        </w:rPr>
        <w:outlineLvl w:val="2"/>
      </w:pPr>
      <w:r>
        <w:rPr>
          <w:rFonts w:hint="eastAsia" w:ascii="仿宋" w:hAnsi="仿宋" w:eastAsia="仿宋" w:cs="仿宋"/>
          <w:b/>
          <w:bCs/>
          <w:color w:val="auto"/>
          <w:sz w:val="28"/>
          <w:szCs w:val="28"/>
          <w:highlight w:val="none"/>
        </w:rPr>
        <w:t xml:space="preserve">一、项目概况：</w:t>
      </w:r>
      <w:r/>
    </w:p>
    <w:p>
      <w:pPr>
        <w:ind w:firstLine="560"/>
        <w:spacing w:line="360" w:lineRule="auto"/>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为深入贯彻习近平以人民为中心思想和生态文明思想，落实国家、省、市垃圾分类有关决策部署，根据《南通市推进城乡生活垃圾分类高质量发展行动方案（2022-2025年）》、《南通市城市房产项目配建环卫设施设置标准（试行）》、《南通市环境卫生和垃圾分类2025年工作计划》，对江苏南通苏锡通科技产业园区49个居民小区开展生活垃圾四分类服务。上述49个居民小区全部实施“三定一督”工作，其中4个小区（小区名单中带*的小区）需供应商另行设置建设垃圾分类亭房。</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二、服务范围： 49个小区开展生活垃圾四分类服务</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小区名单</w:t>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482"/>
        <w:gridCol w:w="1056"/>
        <w:gridCol w:w="498"/>
        <w:gridCol w:w="1636"/>
        <w:gridCol w:w="1196"/>
        <w:gridCol w:w="536"/>
        <w:gridCol w:w="1457"/>
        <w:gridCol w:w="1196"/>
      </w:tblGrid>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482"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899"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c>
          <w:tcPr>
            <w:tcW w:w="498"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636"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1043"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c>
          <w:tcPr>
            <w:tcW w:w="536"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W w:w="1457"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小区名称</w:t>
            </w:r>
            <w:r/>
          </w:p>
        </w:tc>
        <w:tc>
          <w:tcPr>
            <w:tcW w:w="1160" w:type="dxa"/>
            <w:vAlign w:val="center"/>
            <w:textDirection w:val="lrTb"/>
            <w:noWrap w:val="false"/>
          </w:tcPr>
          <w:p>
            <w:pPr>
              <w:jc w:val="center"/>
              <w:spacing w:line="2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入住户数/分类亭数</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枫丹悦园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江景瑞园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971/5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好得家悦城</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246/5</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凤凰苑</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1630</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江景雅园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508/5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五洲幸福湾</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867/6</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大东公寓</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356</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雍景澜湾</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364/6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时光樾澜庭</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675/3</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通海新村西区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2680</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537/2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龙禧苑</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3246/25</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星港湾</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1146/5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腾飞新村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449/2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悦珑庭</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568/2</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星河湾</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928/5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林语郡</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474/2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大华铂璟湾</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460/4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江海花园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440/2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260/5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阳光未来悦</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367/4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星苏花园一期</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1768/3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银洋河新村中区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885/6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江海云辰</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467/4</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星苏花园二期</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2029/4</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银洋河新村西区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865/7</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w:t>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绿城柳岸晓风</w:t>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460/2</w:t>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江湾国际</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1056/5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星河家园东区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1443/6</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丽都桥语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1580/7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星河家园西区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1815/7</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溪畔花园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467/3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芝山新村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2460/4</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鹭湾花园</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330/1</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锡通花苑</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562/2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林溪郡</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260/2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丽景花园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160/1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金科廊桥水岸</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308/2</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银洋河公寓</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380/1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金科城</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2287/3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通海新村东区</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768/2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云锦雅苑</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500/3</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时代尚城</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679/5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海上传奇东区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498/5</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恒大悦珑湾</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1501/11</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海上传奇中区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1157/7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39</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云樾花园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789/5</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3"/>
        </w:trPr>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w:t>
            </w:r>
            <w:r/>
          </w:p>
        </w:tc>
        <w:tc>
          <w:tcPr>
            <w:tcW w:w="1482"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海上传奇西区</w:t>
            </w:r>
            <w:r/>
          </w:p>
        </w:tc>
        <w:tc>
          <w:tcPr>
            <w:tcW w:w="899"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1278/7</w:t>
            </w:r>
            <w:r/>
          </w:p>
        </w:tc>
        <w:tc>
          <w:tcPr>
            <w:tcW w:w="498"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w:t>
            </w:r>
            <w:r/>
          </w:p>
        </w:tc>
        <w:tc>
          <w:tcPr>
            <w:tcW w:w="16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银禧家园</w:t>
            </w:r>
            <w:r/>
          </w:p>
        </w:tc>
        <w:tc>
          <w:tcPr>
            <w:tcW w:w="1043"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560/2</w:t>
            </w:r>
            <w:r/>
          </w:p>
        </w:tc>
        <w:tc>
          <w:tcPr>
            <w:tcW w:w="536"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57"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60" w:type="dxa"/>
            <w:vAlign w:val="center"/>
            <w:textDirection w:val="lrTb"/>
            <w:noWrap w:val="false"/>
          </w:tcPr>
          <w:p>
            <w:pPr>
              <w:jc w:val="center"/>
              <w:spacing w:line="2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上述49个居民小区全部实施“三定一督”工作，其中4个小区（小区名单中带*的小区）需供应商另行设置建设垃圾分类亭房(</w:t>
      </w:r>
      <w:bookmarkStart w:id="107" w:name="_Hlk205557617"/>
      <w:r>
        <w:rPr>
          <w:rFonts w:hint="eastAsia" w:ascii="仿宋" w:hAnsi="仿宋" w:eastAsia="仿宋" w:cs="仿宋"/>
          <w:color w:val="auto"/>
          <w:sz w:val="28"/>
          <w:szCs w:val="28"/>
          <w:highlight w:val="none"/>
        </w:rPr>
        <w:t xml:space="preserve">建设面积约3平米的点位16个，按2万元一座的标准进行建设，具体要求为：整体单体框架结构，材质为厚度大于等于1.3mm的sus304不锈钢，配置4个204L的四分类垃圾桶；建设面积约12平米的点位5个，按5万元一座的标准进行建设</w:t>
      </w:r>
      <w:bookmarkEnd w:id="107"/>
      <w:r>
        <w:rPr>
          <w:rFonts w:hint="eastAsia" w:ascii="仿宋" w:hAnsi="仿宋" w:eastAsia="仿宋" w:cs="仿宋"/>
          <w:color w:val="auto"/>
          <w:sz w:val="28"/>
          <w:szCs w:val="28"/>
          <w:highlight w:val="none"/>
        </w:rPr>
        <w:t xml:space="preserve">，具体要求为：整体单体框架结构，材质为厚度大于等于1.3mm的sus304不锈钢，接通水电污，配置洗手池、拖把池、壁扇、排气扇、灭蝇灯、LED滚动字幕、8个240L的四分类垃圾桶；建设面积约35平米的点位1个，按20万元一座的标准进行建设，具体要求为：整体单体框架结构，顶部设有吊点，可整体吊装移动，主体结构采用管壁截面大于等于3mm的80mm*80mm镀锌钢管制作，接通水电污，配置移动高压冲洗设备、洗手池、拖把池、壁扇、排气扇、灭蝇灯、LED滚动字幕、8个240L的四分类垃圾桶)。</w:t>
      </w:r>
      <w:r/>
    </w:p>
    <w:p>
      <w:p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（二）采购标的需执行的国家相关标准、行业标准、地方标准或者其他标准、规范：</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采购标的标准按《南通市推进城乡生活垃圾分类高质量发展行动方案（2022-2025年）》、《南通市城市房产项目配建环卫设施设置标准（试行）》中的要求执行。</w:t>
      </w:r>
      <w:r/>
    </w:p>
    <w:p>
      <w:pPr>
        <w:ind w:firstLine="48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（三）采购标的需满足的质量、安全、技术规格、物理特性等要求。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color w:val="auto"/>
          <w:sz w:val="28"/>
          <w:szCs w:val="28"/>
          <w:highlight w:val="none"/>
        </w:rPr>
        <w:t xml:space="preserve">1、本项目配备项目经理1人：</w:t>
      </w:r>
      <w:r/>
    </w:p>
    <w:p>
      <w:pPr>
        <w:pStyle w:val="722"/>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项目经理资质要求：项目经理具有大专以上学历</w:t>
      </w:r>
      <w:r>
        <w:rPr>
          <w:rFonts w:hint="eastAsia" w:ascii="仿宋" w:hAnsi="仿宋" w:eastAsia="仿宋" w:cs="仿宋"/>
          <w:color w:val="auto"/>
          <w:highlight w:val="none"/>
        </w:rPr>
        <w:t xml:space="preserve">，</w:t>
      </w:r>
      <w:r>
        <w:rPr>
          <w:rFonts w:hint="eastAsia" w:ascii="仿宋" w:hAnsi="仿宋" w:eastAsia="仿宋" w:cs="仿宋"/>
          <w:color w:val="auto"/>
          <w:sz w:val="28"/>
          <w:szCs w:val="28"/>
          <w:highlight w:val="none"/>
        </w:rPr>
        <w:t xml:space="preserve">具有与本项目生活垃圾分类服务相关项目从业管理业绩。（学历以提供</w:t>
      </w:r>
      <w:r>
        <w:rPr>
          <w:rFonts w:hint="eastAsia" w:ascii="仿宋" w:hAnsi="仿宋" w:eastAsia="仿宋" w:cs="仿宋"/>
          <w:color w:val="auto"/>
          <w:sz w:val="28"/>
          <w:szCs w:val="28"/>
          <w:highlight w:val="none"/>
          <w:lang w:val="zh-CN"/>
        </w:rPr>
        <w:t xml:space="preserve">学历证书（或学位证书原件扫描件）</w:t>
      </w:r>
      <w:r>
        <w:rPr>
          <w:rFonts w:hint="eastAsia" w:ascii="仿宋" w:hAnsi="仿宋" w:eastAsia="仿宋" w:cs="仿宋"/>
          <w:color w:val="auto"/>
          <w:sz w:val="28"/>
          <w:szCs w:val="28"/>
          <w:highlight w:val="none"/>
        </w:rPr>
        <w:t xml:space="preserve">及相关证明材料为准，业绩以</w:t>
      </w:r>
      <w:r>
        <w:rPr>
          <w:rFonts w:hint="eastAsia" w:ascii="仿宋" w:hAnsi="仿宋" w:eastAsia="仿宋" w:cs="仿宋"/>
          <w:color w:val="auto"/>
          <w:sz w:val="28"/>
          <w:szCs w:val="28"/>
          <w:highlight w:val="none"/>
          <w:lang w:val="zh-CN"/>
        </w:rPr>
        <w:t xml:space="preserve">提供相关合同</w:t>
      </w:r>
      <w:r>
        <w:rPr>
          <w:rFonts w:hint="eastAsia" w:ascii="仿宋" w:hAnsi="仿宋" w:eastAsia="仿宋" w:cs="仿宋"/>
          <w:color w:val="auto"/>
          <w:sz w:val="28"/>
          <w:szCs w:val="28"/>
          <w:highlight w:val="none"/>
        </w:rPr>
        <w:t xml:space="preserve">扫描件及相关证明材料为准</w:t>
      </w:r>
      <w:r>
        <w:rPr>
          <w:rFonts w:hint="eastAsia" w:ascii="仿宋" w:hAnsi="仿宋" w:eastAsia="仿宋" w:cs="仿宋"/>
          <w:color w:val="auto"/>
          <w:sz w:val="28"/>
          <w:szCs w:val="28"/>
          <w:highlight w:val="none"/>
          <w:lang w:val="zh-CN"/>
        </w:rPr>
        <w:t xml:space="preserve">）</w:t>
      </w:r>
      <w:r/>
    </w:p>
    <w:p>
      <w:pPr>
        <w:ind w:left="210" w:firstLine="562"/>
        <w:spacing w:line="44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u w:val="single"/>
        </w:rPr>
        <w:t xml:space="preserve">注明：本项目需求中涉及到加</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b/>
          <w:bCs/>
          <w:color w:val="auto"/>
          <w:sz w:val="28"/>
          <w:szCs w:val="28"/>
          <w:highlight w:val="none"/>
          <w:u w:val="single"/>
        </w:rPr>
        <w:t xml:space="preserve">条款的所有内容，</w:t>
      </w:r>
      <w:r>
        <w:rPr>
          <w:rFonts w:hint="eastAsia" w:ascii="仿宋" w:hAnsi="仿宋" w:eastAsia="仿宋" w:cs="仿宋"/>
          <w:b/>
          <w:color w:val="auto"/>
          <w:sz w:val="28"/>
          <w:szCs w:val="28"/>
          <w:highlight w:val="none"/>
          <w:u w:val="single"/>
        </w:rPr>
        <w:t xml:space="preserve">响应供应商未能在商务技术标符合性条款中提交相关证明材料的，经评标小组核实将被判为不满足评标文件实质性要求，作为无效响应处理。</w:t>
      </w:r>
      <w:r/>
    </w:p>
    <w:p>
      <w:pPr>
        <w:pStyle w:val="723"/>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2、对园区全域范围内的垃圾分类亭房进行维护，负责水电等设施正常运行，水电费由中标单位承担；</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3、苏锡通49个分类小区，实现社区端生活垃圾分类包括：其他垃圾、可回收物、厨余垃圾及有害垃圾的分类投放，分类收集，实现垃圾源头减量；</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4、在苏锡通园区开展垃圾分类宣传；</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5、对49个小区内的四分类垃圾桶，进行统一编号，并同时在小区内设置生活垃圾分类引导指示牌、示意图、宣传栏，方便居民分类投放；</w:t>
      </w:r>
      <w:r/>
    </w:p>
    <w:p>
      <w:pPr>
        <w:ind w:firstLine="482"/>
        <w:spacing w:line="500" w:lineRule="exact"/>
        <w:rPr>
          <w:rFonts w:hint="eastAsia" w:ascii="仿宋" w:hAnsi="仿宋" w:eastAsia="仿宋" w:cs="仿宋"/>
          <w:color w:val="auto"/>
          <w:sz w:val="28"/>
          <w:szCs w:val="28"/>
          <w:highlight w:val="none"/>
        </w:rPr>
      </w:pPr>
      <w:r/>
      <w:bookmarkStart w:id="108" w:name="OLE_LINK17"/>
      <w:r/>
      <w:bookmarkStart w:id="109" w:name="OLE_LINK16"/>
      <w:r>
        <w:rPr>
          <w:rFonts w:hint="eastAsia" w:ascii="仿宋" w:hAnsi="仿宋" w:eastAsia="仿宋" w:cs="仿宋"/>
          <w:color w:val="auto"/>
          <w:sz w:val="28"/>
          <w:szCs w:val="28"/>
          <w:highlight w:val="none"/>
        </w:rPr>
        <w:t xml:space="preserve">6、</w:t>
      </w:r>
      <w:bookmarkEnd w:id="108"/>
      <w:r/>
      <w:bookmarkEnd w:id="109"/>
      <w:r>
        <w:rPr>
          <w:rFonts w:hint="eastAsia" w:ascii="仿宋" w:hAnsi="仿宋" w:eastAsia="仿宋" w:cs="仿宋"/>
          <w:color w:val="auto"/>
          <w:sz w:val="28"/>
          <w:szCs w:val="28"/>
          <w:highlight w:val="none"/>
        </w:rPr>
        <w:t xml:space="preserve">在项目期间内，小区内举办垃圾分类的宣传互动活动； </w:t>
      </w:r>
      <w:r/>
    </w:p>
    <w:p>
      <w:pPr>
        <w:pStyle w:val="1038"/>
        <w:ind w:firstLine="48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建立分拣中心管理人员、分拣人员、维修人员、宣传员、督查员、台账录入人员等团队，配备的团队人员应为经过专业培训、职业道德素质良好、操控能力强、身体健康的人员；运营服务公司应对项目团队人员进行安全教育和上岗培训，并承担人员的安全管理职责，包括支付补贴、处理工伤赔偿等事宜。同时人员应着装统一，且有明显所属单位标志。下述人员为本项目最低配置：</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50"/>
        <w:gridCol w:w="1116"/>
        <w:gridCol w:w="5130"/>
      </w:tblGrid>
      <w:tr>
        <w:trPr>
          <w:jc w:val="center"/>
          <w:trHeight w:val="533"/>
        </w:trPr>
        <w:tc>
          <w:tcPr>
            <w:tcW w:w="72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工种</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人员配置</w:t>
            </w:r>
            <w:r/>
          </w:p>
        </w:tc>
        <w:tc>
          <w:tcPr>
            <w:tcW w:w="513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职责</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项目工作督导、考核，人员统筹协调</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分拣中心管理人员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保障分拣中心的安全与高效日常运作，并对分拣质量、环保合规及团队管理负总责。</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分拣人员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负责在流水线上准确、快速地识别、分类和分拣各类可回收物料，并严格遵守安全与操作规程。</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维修人员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对垃圾房内的设施设备维护，损坏时及时维修</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宣传员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配合协调街道、社区垃圾分类宣传推广工作</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督查员（兼职）</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负责“桶边指导”,落实开袋检查，对居民进行精准分类指导服务，提高分类准确率，负责小区居民日常投放工作及回收称重、兑换积分等日常工作，并配合完成各类的清运工作。</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驾驶员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做到一人一车，必须持证（驾驶证）上岗，驾驶适证车辆。保证安全、文明驾驶，进站、装载、运输、倾倒等作业保证文明有序。驾驶人员要严格遵守《道路交通安全法》，携带驾驶证件上岗，严格遵守操作规程，严禁开快车、病车、赌气车；严禁疲劳驾驶、酒后开车；在转运过程中应保持车辆号牌清晰，不得遮挡公司标识及车辆号牌；每天作业完成后应清洗干净按规定停放运输车辆；要自觉接受媒体及社会的监督。</w:t>
            </w:r>
            <w:r/>
          </w:p>
        </w:tc>
      </w:tr>
      <w:tr>
        <w:trPr>
          <w:jc w:val="center"/>
          <w:trHeight w:val="533"/>
        </w:trPr>
        <w:tc>
          <w:tcPr>
            <w:tcW w:w="726" w:type="dxa"/>
            <w:vAlign w:val="center"/>
            <w:textDirection w:val="lrTb"/>
            <w:noWrap w:val="false"/>
          </w:tcPr>
          <w:p>
            <w:pPr>
              <w:numPr>
                <w:ilvl w:val="0"/>
                <w:numId w:val="3"/>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台账录入人员</w:t>
            </w:r>
            <w:r/>
          </w:p>
        </w:tc>
        <w:tc>
          <w:tcPr>
            <w:tcW w:w="111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5130"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建立垃圾分类台账资料，为政府提供准确数据</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49个小区完成撤桶并点工作。撤桶并点的核心是通过集中管理、定时投放和精准督导，促进居民养成分类习惯，提升分类准确率。撤桶并点的原则是便民利管、分类集中、源头减量。标准：居民小区有满足投放需求分类亭房的，要将小区所有的桶撤到分类亭房内；分类亭房数量未满足投放需求的小区，可根据实际情况，按“两分类”（厨余垃圾和其他垃圾）配置240升分类收集容器，比例为1：3至1：5，通常按每200户设置一个集中投放点；</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9、中标单位自行设置并运行分拣中心，负责分拣中心日常工作，分拣中心的水、电、网络等费用由中标单位承担。</w:t>
      </w:r>
      <w:r/>
    </w:p>
    <w:p>
      <w:pPr>
        <w:pStyle w:val="713"/>
        <w:ind w:firstLine="280"/>
        <w:spacing w:line="500" w:lineRule="exact"/>
        <w:rPr>
          <w:rFonts w:hint="eastAsia" w:ascii="仿宋" w:hAnsi="仿宋" w:eastAsia="仿宋" w:cs="仿宋"/>
          <w:color w:val="auto"/>
          <w:highlight w:val="none"/>
          <w:lang w:val="en-US"/>
        </w:rPr>
      </w:pPr>
      <w:r>
        <w:rPr>
          <w:rFonts w:hint="eastAsia" w:ascii="仿宋" w:hAnsi="仿宋" w:eastAsia="仿宋" w:cs="仿宋"/>
          <w:color w:val="auto"/>
          <w:sz w:val="28"/>
          <w:szCs w:val="28"/>
          <w:highlight w:val="none"/>
        </w:rPr>
        <w:t xml:space="preserve">10、自动称重系统用于园区厨余垃圾出站称重，要求磅面长10米或以上，宽3米或以上，称重50吨或以上，含自动称重系统（包括摄像头、电脑等）。合同签订之日起10日内完成地磅建设，并按采购方要求对地磅进行校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地磅不需要移交</w:t>
      </w:r>
      <w:r>
        <w:rPr>
          <w:rFonts w:hint="eastAsia" w:ascii="仿宋" w:hAnsi="仿宋" w:eastAsia="仿宋" w:cs="仿宋"/>
          <w:color w:val="auto"/>
          <w:sz w:val="28"/>
          <w:szCs w:val="28"/>
          <w:highlight w:val="none"/>
          <w:lang w:eastAsia="zh-CN"/>
        </w:rPr>
        <w:t xml:space="preserve">）</w:t>
      </w:r>
      <w:r/>
    </w:p>
    <w:p>
      <w:pPr>
        <w:ind w:firstLine="560"/>
        <w:jc w:val="left"/>
        <w:spacing w:line="50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（四）采购标的数量、采购项目交付或者实施的时间和地点。</w:t>
      </w:r>
      <w:r/>
    </w:p>
    <w:p>
      <w:pPr>
        <w:pStyle w:val="713"/>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rPr>
        <w:t xml:space="preserve">合同履行期限：</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4个加*小区</w:t>
      </w:r>
      <w:r>
        <w:rPr>
          <w:rFonts w:hint="eastAsia" w:ascii="仿宋" w:hAnsi="仿宋" w:eastAsia="仿宋" w:cs="仿宋"/>
          <w:color w:val="auto"/>
          <w:sz w:val="28"/>
          <w:szCs w:val="28"/>
          <w:highlight w:val="none"/>
        </w:rPr>
        <w:t xml:space="preserve">新建垃圾分类亭房自合同签订之日起90日历天内完成供货、安装调试并通过验收，质保期自验收合格之日起开始核算，本项目本次生活垃圾分类运营服务</w:t>
      </w:r>
      <w:r>
        <w:rPr>
          <w:rFonts w:hint="eastAsia" w:ascii="仿宋" w:hAnsi="仿宋" w:eastAsia="仿宋" w:cs="仿宋"/>
          <w:bCs/>
          <w:color w:val="auto"/>
          <w:sz w:val="28"/>
          <w:szCs w:val="28"/>
          <w:highlight w:val="none"/>
        </w:rPr>
        <w:t xml:space="preserve">（包含自动称重系统）</w:t>
      </w:r>
      <w:r>
        <w:rPr>
          <w:rFonts w:hint="eastAsia" w:ascii="仿宋" w:hAnsi="仿宋" w:eastAsia="仿宋" w:cs="仿宋"/>
          <w:color w:val="auto"/>
          <w:sz w:val="28"/>
          <w:szCs w:val="28"/>
          <w:highlight w:val="none"/>
        </w:rPr>
        <w:t xml:space="preserve">自质保期开始之日起一年</w:t>
      </w:r>
      <w:r>
        <w:rPr>
          <w:rFonts w:hint="eastAsia" w:ascii="仿宋" w:hAnsi="仿宋" w:eastAsia="仿宋" w:cs="仿宋"/>
          <w:bCs/>
          <w:color w:val="auto"/>
          <w:sz w:val="28"/>
          <w:szCs w:val="28"/>
          <w:highlight w:val="none"/>
        </w:rPr>
        <w:t xml:space="preserve">。</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注明： 以上“小区名单”中除加*小区之外的小区，自本合同签订之日起进行</w:t>
      </w:r>
      <w:r>
        <w:rPr>
          <w:rFonts w:hint="eastAsia" w:ascii="仿宋" w:hAnsi="仿宋" w:eastAsia="仿宋" w:cs="仿宋"/>
          <w:color w:val="auto"/>
          <w:sz w:val="28"/>
          <w:szCs w:val="28"/>
          <w:highlight w:val="none"/>
        </w:rPr>
        <w:t xml:space="preserve">生活垃圾分类运营服务。以上所有费用均包含在投标报价中。</w:t>
      </w:r>
      <w:r/>
    </w:p>
    <w:p>
      <w:p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（五）采购标的需满足的服务标准、期限、效率等要求。</w:t>
      </w:r>
      <w:r/>
    </w:p>
    <w:p>
      <w:pPr>
        <w:ind w:firstLine="622"/>
        <w:spacing w:line="500" w:lineRule="exact"/>
        <w:rPr>
          <w:rFonts w:hint="eastAsia" w:ascii="仿宋" w:hAnsi="仿宋" w:eastAsia="仿宋" w:cs="仿宋"/>
          <w:color w:val="auto"/>
          <w:sz w:val="28"/>
          <w:szCs w:val="28"/>
          <w:highlight w:val="none"/>
        </w:rPr>
      </w:pPr>
      <w:r/>
      <w:bookmarkStart w:id="110" w:name="_Hlk208497009"/>
      <w:r>
        <w:rPr>
          <w:rFonts w:hint="eastAsia" w:ascii="仿宋" w:hAnsi="仿宋" w:eastAsia="仿宋" w:cs="仿宋"/>
          <w:color w:val="auto"/>
          <w:sz w:val="28"/>
          <w:szCs w:val="28"/>
          <w:highlight w:val="none"/>
        </w:rPr>
        <w:t xml:space="preserve">1.</w:t>
      </w:r>
      <w:bookmarkEnd w:id="110"/>
      <w:r>
        <w:rPr>
          <w:rFonts w:hint="eastAsia" w:ascii="仿宋" w:hAnsi="仿宋" w:eastAsia="仿宋" w:cs="仿宋"/>
          <w:color w:val="auto"/>
          <w:sz w:val="28"/>
          <w:szCs w:val="28"/>
          <w:highlight w:val="none"/>
        </w:rPr>
        <w:t xml:space="preserve">按照四分类小区要求，可回收物分类标准可进一步细化，居民的厨余垃圾分类收集；</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2.提高垃圾分类覆盖面，在江苏省级达标小区垃圾分类推广覆盖面100%；</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3.分类知识宣传入户入脑入心，知晓率90%以上；</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4.小区分类参与率达70%以上；</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5.小区生活垃圾分类亭房设施硬件亮点提升，成为居民日常生活休闲之余好去处；</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6.完善所有生活垃圾分类投放后的分类收运、分类处置体系，使得小区内实现生活垃圾“应分尽分”、“应收尽收”；</w:t>
      </w:r>
      <w:r/>
    </w:p>
    <w:p>
      <w:pPr>
        <w:ind w:firstLine="62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7.服务要求：</w:t>
      </w:r>
      <w:r/>
    </w:p>
    <w:tbl>
      <w:tblPr>
        <w:tblStyle w:val="712"/>
        <w:tblW w:w="48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406"/>
        <w:gridCol w:w="7406"/>
      </w:tblGrid>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要求类别</w:t>
            </w:r>
            <w:r/>
          </w:p>
        </w:tc>
        <w:tc>
          <w:tcPr>
            <w:tcW w:w="3834"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要求详细内容</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宣传活动</w:t>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建立小区宣传阵地，在小区主要活动场所、出入口等位置设置垃圾分类宣传栏（每个小区各主要活动场所、出入口至少1处宣传栏）；小区内要有一定数量的分类宣传牌、横幅、标语等，每个楼道口设置分类指南、分类宣传栏。</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（1）保持浓厚的宣传氛围。</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（2）定期进行分类宣传栏的分类知识和公示运营管理信息的更新（至少每季度1次）；</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定期开展小区垃圾分类宣传引导活动。（每月1次在小区业主群发布垃圾分类宣传微信，必须包含投放位置内容、呼吁居民参与、分类知识普及，保留微信群完成截图，地面宣传记录时间、地点、参与人员、主题等相关内容，运用其他多元化手段有效开展宣传。制定年度垃圾分类宣传计划，及时更新完成情况，完成清晰记录宣传开展情况和内容。每季度开展地面宣传。</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培训指导</w:t>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（1）每年至少分别组织1次物业管理人员、清洁人员、志愿者和督查员的在岗培训指导；</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（2）对专项问题进行相关服务人员的针对性培训；</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（3）做好培训指导的培训相关记录。</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（4）合理制定年度垃圾分类培训计划，及时更新完成情况，完整清晰记录培训开展情况和内容。</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（5）对新入职的相关人员，入职前1个月进行岗前培训。</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激励机制</w:t>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（1）至少3种激励机制；</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（2）必须包含兑换活动、“红黑榜”2种方式，其他再选取至少1种有奖活动激励方式；</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（3）每月“红黑榜”名单的产生过程要有相关记录，要在红黑榜旁边张贴分类错误的照片，每月在小区各主要活动场所、出入口、各楼道口公示。</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（4）每月兑换活动及其他有奖活动须有相关活动记录、照片。</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（5）在小区明显位置设置激励公示栏。</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入户宣传</w:t>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（1）会同物业管理人员、社区工作人员或其他垃圾分类入户宣传人员牵头做好入户宣传的相关宣传资料准备，并发放宣传资料；</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（2）会同物业管理人员、社区工作人员或其他垃圾分类入户宣传人员牵头进行入户宣传并做好记录工作。</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（3）每季度进行入户宣传，入户宣传户数不低于小区户数的25%，内容包含垃圾分类信息、投放知识、投放位置、普法教育等，并做好完整工作台账。</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分类台账数据要求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（1）每季度组织社区、物业、业主委员会进行协商会，并做好会议记录；</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（2）引导居民做好分类账号的注册工作；</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（3）指导各小区做好垃圾分类投放清运记录工作；</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每季度进行一次服务区域内居民知晓率、参与率、准确投放率、满意度的考评统计，须有相关佐证材料；制定考核机制，并按季度进行居民垃圾分类知晓率、参与率、投放准确率、满意度的统计；知晓率、参与度和满意度分别抽取若干人（不少于10位）居民进行问卷调查。</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（5）建立志愿者清单，每季度至少开展一次志愿者活动，记录服务时间、地点、人员、主要内容并拍摄照片，统计人员信息清单（至少包含姓名、性别、年龄、联系方式）。</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（6）小区配备、明确垃圾分类统筹指导工作和垃圾分类宣传工作各1人专人负责</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督查考核要求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安排人员对垃圾房的运营情况进行考核，包括督导员在岗情况、垃圾房开放情况、督查员指导居民情况、垃圾分类情况、垃圾房内部整洁等，每日上报考核情况</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w:t>
            </w:r>
            <w:r/>
          </w:p>
        </w:tc>
        <w:tc>
          <w:tcPr>
            <w:tcW w:w="728"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运营维护要求</w:t>
            </w:r>
            <w:r/>
          </w:p>
        </w:tc>
        <w:tc>
          <w:tcPr>
            <w:tcW w:w="3834" w:type="pct"/>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对园区全域范围内的垃圾分类亭房进行维护</w:t>
            </w:r>
            <w:r>
              <w:rPr>
                <w:rFonts w:hint="eastAsia" w:ascii="仿宋" w:hAnsi="仿宋" w:eastAsia="仿宋" w:cs="仿宋"/>
                <w:bCs/>
                <w:color w:val="auto"/>
                <w:sz w:val="24"/>
                <w:highlight w:val="none"/>
              </w:rPr>
              <w:t xml:space="preserve">，设备设施损坏及时安排人员进行维修，确保垃圾房的正常运营。</w:t>
            </w:r>
            <w:r/>
          </w:p>
        </w:tc>
      </w:tr>
      <w:tr>
        <w:trPr>
          <w:jc w:val="center"/>
          <w:trHeight w:val="590"/>
        </w:trPr>
        <w:tc>
          <w:tcPr>
            <w:tcW w:w="437" w:type="pct"/>
            <w:vAlign w:val="center"/>
            <w:textDirection w:val="lrTb"/>
            <w:noWrap w:val="false"/>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tcW w:w="728" w:type="pct"/>
            <w:vAlign w:val="center"/>
            <w:textDirection w:val="lrTb"/>
            <w:noWrap w:val="false"/>
          </w:tcPr>
          <w:p>
            <w:pPr>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自动称重系统配置</w:t>
            </w:r>
            <w:r/>
          </w:p>
        </w:tc>
        <w:tc>
          <w:tcPr>
            <w:tcW w:w="3834" w:type="pct"/>
            <w:vAlign w:val="center"/>
            <w:textDirection w:val="lrTb"/>
            <w:noWrap w:val="false"/>
          </w:tcPr>
          <w:p>
            <w:pPr>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自动称重系统用于园区厨余垃圾出站称重，要求磅面长10米或以上，宽3米或以上，称重50吨或以上，含自动称重系统（包括摄像头、电脑等）。</w:t>
            </w:r>
            <w:r/>
          </w:p>
        </w:tc>
      </w:tr>
    </w:tbl>
    <w:p>
      <w:pPr>
        <w:pStyle w:val="987"/>
        <w:ind w:firstLine="562"/>
        <w:spacing w:line="396"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color w:val="auto"/>
          <w:sz w:val="28"/>
          <w:szCs w:val="28"/>
          <w:highlight w:val="none"/>
        </w:rPr>
        <w:t xml:space="preserve">8.配备</w:t>
      </w:r>
      <w:bookmarkStart w:id="111" w:name="OLE_LINK28"/>
      <w:r/>
      <w:bookmarkStart w:id="112" w:name="OLE_LINK29"/>
      <w:r>
        <w:rPr>
          <w:rFonts w:hint="eastAsia" w:ascii="仿宋" w:hAnsi="仿宋" w:eastAsia="仿宋" w:cs="仿宋"/>
          <w:color w:val="auto"/>
          <w:sz w:val="28"/>
          <w:szCs w:val="28"/>
          <w:highlight w:val="none"/>
        </w:rPr>
        <w:t xml:space="preserve">可回收物</w:t>
      </w:r>
      <w:bookmarkEnd w:id="111"/>
      <w:r/>
      <w:bookmarkEnd w:id="112"/>
      <w:r>
        <w:rPr>
          <w:rFonts w:hint="eastAsia" w:ascii="仿宋" w:hAnsi="仿宋" w:eastAsia="仿宋" w:cs="仿宋"/>
          <w:color w:val="auto"/>
          <w:sz w:val="28"/>
          <w:szCs w:val="28"/>
          <w:highlight w:val="none"/>
        </w:rPr>
        <w:t xml:space="preserve">、厨余垃圾和有害垃圾收运体系</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（1）配备可回收物收运体系</w:t>
      </w:r>
      <w:r/>
    </w:p>
    <w:p>
      <w:pPr>
        <w:ind w:firstLine="622"/>
        <w:spacing w:line="396" w:lineRule="auto"/>
        <w:rPr>
          <w:rFonts w:hint="eastAsia" w:ascii="仿宋" w:hAnsi="仿宋" w:eastAsia="仿宋" w:cs="仿宋"/>
          <w:color w:val="auto"/>
          <w:sz w:val="28"/>
          <w:szCs w:val="28"/>
          <w:highlight w:val="none"/>
        </w:rPr>
      </w:pPr>
      <w:r/>
      <w:bookmarkStart w:id="113" w:name="OLE_LINK32"/>
      <w:r>
        <w:rPr>
          <w:rFonts w:hint="eastAsia" w:ascii="仿宋" w:hAnsi="仿宋" w:eastAsia="仿宋" w:cs="仿宋"/>
          <w:color w:val="auto"/>
          <w:sz w:val="28"/>
          <w:szCs w:val="28"/>
          <w:highlight w:val="none"/>
        </w:rPr>
        <w:t xml:space="preserve">按照小区收运数量至少配备一辆可回收物清运车辆，</w:t>
      </w:r>
      <w:bookmarkEnd w:id="113"/>
      <w:r>
        <w:rPr>
          <w:rFonts w:hint="eastAsia" w:ascii="仿宋" w:hAnsi="仿宋" w:eastAsia="仿宋" w:cs="仿宋"/>
          <w:color w:val="auto"/>
          <w:sz w:val="28"/>
          <w:szCs w:val="28"/>
          <w:highlight w:val="none"/>
        </w:rPr>
        <w:t xml:space="preserve">运输到</w:t>
      </w:r>
      <w:bookmarkStart w:id="114" w:name="OLE_LINK33"/>
      <w:r/>
      <w:bookmarkStart w:id="115" w:name="OLE_LINK34"/>
      <w:r>
        <w:rPr>
          <w:rFonts w:hint="eastAsia" w:ascii="仿宋" w:hAnsi="仿宋" w:eastAsia="仿宋" w:cs="仿宋"/>
          <w:color w:val="auto"/>
          <w:sz w:val="28"/>
          <w:szCs w:val="28"/>
          <w:highlight w:val="none"/>
        </w:rPr>
        <w:t xml:space="preserve">可回收物分拣中心</w:t>
      </w:r>
      <w:bookmarkEnd w:id="114"/>
      <w:r/>
      <w:bookmarkEnd w:id="115"/>
      <w:r>
        <w:rPr>
          <w:rFonts w:hint="eastAsia" w:ascii="仿宋" w:hAnsi="仿宋" w:eastAsia="仿宋" w:cs="仿宋"/>
          <w:color w:val="auto"/>
          <w:sz w:val="28"/>
          <w:szCs w:val="28"/>
          <w:highlight w:val="none"/>
        </w:rPr>
        <w:t xml:space="preserve">；</w:t>
      </w:r>
      <w:r/>
    </w:p>
    <w:p>
      <w:pPr>
        <w:ind w:firstLine="622"/>
        <w:spacing w:line="396" w:lineRule="auto"/>
        <w:rPr>
          <w:rFonts w:hint="eastAsia" w:ascii="仿宋" w:hAnsi="仿宋" w:eastAsia="仿宋" w:cs="仿宋"/>
          <w:color w:val="auto"/>
          <w:sz w:val="28"/>
          <w:szCs w:val="28"/>
          <w:highlight w:val="none"/>
        </w:rPr>
      </w:pPr>
      <w:r/>
      <w:bookmarkStart w:id="116" w:name="OLE_LINK25"/>
      <w:r/>
      <w:bookmarkStart w:id="117" w:name="OLE_LINK24"/>
      <w:r/>
      <w:bookmarkStart w:id="118" w:name="OLE_LINK31"/>
      <w:r/>
      <w:bookmarkStart w:id="119" w:name="OLE_LINK30"/>
      <w:r>
        <w:rPr>
          <w:rFonts w:hint="eastAsia" w:ascii="仿宋" w:hAnsi="仿宋" w:eastAsia="仿宋" w:cs="仿宋"/>
          <w:color w:val="auto"/>
          <w:sz w:val="28"/>
          <w:szCs w:val="28"/>
          <w:highlight w:val="none"/>
        </w:rPr>
        <w:t xml:space="preserve">（2）</w:t>
      </w:r>
      <w:bookmarkEnd w:id="116"/>
      <w:r/>
      <w:bookmarkEnd w:id="117"/>
      <w:r/>
      <w:bookmarkStart w:id="120" w:name="OLE_LINK26"/>
      <w:r/>
      <w:bookmarkStart w:id="121" w:name="OLE_LINK27"/>
      <w:r>
        <w:rPr>
          <w:rFonts w:hint="eastAsia" w:ascii="仿宋" w:hAnsi="仿宋" w:eastAsia="仿宋" w:cs="仿宋"/>
          <w:color w:val="auto"/>
          <w:sz w:val="28"/>
          <w:szCs w:val="28"/>
          <w:highlight w:val="none"/>
        </w:rPr>
        <w:t xml:space="preserve">配备厨余垃圾收运体系</w:t>
      </w:r>
      <w:bookmarkEnd w:id="118"/>
      <w:r/>
      <w:bookmarkEnd w:id="119"/>
      <w:r/>
      <w:bookmarkEnd w:id="120"/>
      <w:r/>
      <w:bookmarkEnd w:id="121"/>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按照小区收运数量至少配备一辆厨余垃圾清运车辆，运输到指定地点，可桶换桶，满足餐厨废弃物处置企业垃圾收运车上门收运；</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（3）配备有害垃圾收运体系</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按照小区收运数量至少配备一辆有害垃圾清运车辆，清运至可回收物分拣中心暂存，与有害垃圾处置资质的企业签订协议，定期处置有害垃圾。</w:t>
      </w:r>
      <w:r/>
    </w:p>
    <w:p>
      <w:pPr>
        <w:pStyle w:val="713"/>
        <w:rPr>
          <w:rFonts w:hint="eastAsia" w:ascii="仿宋" w:hAnsi="仿宋" w:eastAsia="仿宋" w:cs="仿宋"/>
          <w:color w:val="auto"/>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注明：</w:t>
      </w:r>
      <w:r>
        <w:rPr>
          <w:rFonts w:hint="eastAsia" w:ascii="仿宋" w:hAnsi="仿宋" w:eastAsia="仿宋" w:cs="仿宋"/>
          <w:color w:val="auto"/>
          <w:sz w:val="28"/>
          <w:szCs w:val="28"/>
          <w:highlight w:val="none"/>
        </w:rPr>
        <w:t xml:space="preserve">与有害垃圾处置资质的企业签订协议，定期处置有害垃圾。</w:t>
      </w:r>
      <w:r>
        <w:rPr>
          <w:rFonts w:hint="eastAsia" w:ascii="仿宋" w:hAnsi="仿宋" w:eastAsia="仿宋" w:cs="仿宋"/>
          <w:color w:val="auto"/>
          <w:sz w:val="28"/>
          <w:szCs w:val="28"/>
          <w:highlight w:val="none"/>
          <w:lang w:val="en-US" w:eastAsia="zh-CN"/>
        </w:rPr>
        <w:t xml:space="preserve">需提供承诺，中标后</w:t>
      </w:r>
      <w:r>
        <w:rPr>
          <w:rFonts w:hint="eastAsia" w:ascii="仿宋" w:hAnsi="仿宋" w:eastAsia="仿宋" w:cs="仿宋"/>
          <w:color w:val="auto"/>
          <w:sz w:val="28"/>
          <w:szCs w:val="28"/>
          <w:highlight w:val="none"/>
        </w:rPr>
        <w:t xml:space="preserve">与有害垃圾处置资质的企业签订协议，定期处置有害垃圾。</w:t>
      </w:r>
      <w:r>
        <w:rPr>
          <w:rFonts w:hint="eastAsia" w:ascii="仿宋" w:hAnsi="仿宋" w:eastAsia="仿宋" w:cs="仿宋"/>
          <w:color w:val="auto"/>
          <w:sz w:val="28"/>
          <w:szCs w:val="28"/>
          <w:highlight w:val="none"/>
          <w:lang w:val="en-US" w:eastAsia="zh-CN"/>
        </w:rPr>
        <w:t xml:space="preserve">如不提供承诺书符合性审查不通过。(承诺书格式自拟）</w:t>
      </w:r>
      <w:r/>
    </w:p>
    <w:p>
      <w:pPr>
        <w:ind w:firstLine="482"/>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color w:val="auto"/>
          <w:sz w:val="28"/>
          <w:szCs w:val="28"/>
          <w:highlight w:val="none"/>
        </w:rPr>
        <w:t xml:space="preserve">9、车辆要求：</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自有或租赁桶装厨余垃圾运输车1辆（车总质量2.0吨及以上，尾板带液压升降装卸垃圾桶功能，尾板设定安全黄线区和超载红线区，需提供工信部车辆公告查询截图作为满足响应的佐证）。自有车辆提供行驶证、机动车登记证，车辆照片。租赁车辆需要提供租赁合同、行驶证、交易付款凭证及车辆租赁发票。</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自有或租赁有毒有害危化品中型特殊结构货车（9类）1辆，自有车辆需提供行驶证、机动车登记证、危化品运输车道路运输证（经营范围包含9类）。租赁车辆需要提供租赁合同、行驶证、危化品运输车道路运输证（经营范围包含9类）、交易付款凭证及车辆租赁发票。</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自有或租赁密闭箱式可回收物运输车1辆（封闭式货车总质量在4.0吨及以上，需提供工信部车辆公告查询截图作为满足响应的佐证），自有车辆提供行驶证、机动车登记证，车辆照片。租赁车辆需要提供租赁合同、行驶证、交易付款凭证及车辆租赁发票。</w:t>
      </w:r>
      <w:r/>
    </w:p>
    <w:p>
      <w:pPr>
        <w:pStyle w:val="713"/>
        <w:rPr>
          <w:rFonts w:hint="eastAsia" w:ascii="仿宋" w:hAnsi="仿宋" w:eastAsia="仿宋" w:cs="仿宋"/>
          <w:color w:val="auto"/>
          <w:highlight w:val="none"/>
        </w:rPr>
      </w:pPr>
      <w:r>
        <w:rPr>
          <w:rFonts w:hint="eastAsia" w:ascii="仿宋" w:hAnsi="仿宋" w:eastAsia="仿宋" w:cs="仿宋"/>
          <w:b/>
          <w:bCs/>
          <w:color w:val="auto"/>
          <w:sz w:val="28"/>
          <w:szCs w:val="28"/>
          <w:highlight w:val="none"/>
          <w:u w:val="single"/>
        </w:rPr>
        <w:t xml:space="preserve">注明：本项目需求中涉及到加</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b/>
          <w:bCs/>
          <w:color w:val="auto"/>
          <w:sz w:val="28"/>
          <w:szCs w:val="28"/>
          <w:highlight w:val="none"/>
          <w:u w:val="single"/>
        </w:rPr>
        <w:t xml:space="preserve">条款的所有内容，</w:t>
      </w:r>
      <w:r>
        <w:rPr>
          <w:rFonts w:hint="eastAsia" w:ascii="仿宋" w:hAnsi="仿宋" w:eastAsia="仿宋" w:cs="仿宋"/>
          <w:b/>
          <w:color w:val="auto"/>
          <w:sz w:val="28"/>
          <w:szCs w:val="28"/>
          <w:highlight w:val="none"/>
          <w:u w:val="single"/>
        </w:rPr>
        <w:t xml:space="preserve">响应供应商未能在商务技术标符合性条款中提交相关证明材料的，经评标小组核实将被判为不满足评标文件实质性要求，作为无效响应处理。</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10、其他</w:t>
      </w:r>
      <w:r/>
    </w:p>
    <w:p>
      <w:pPr>
        <w:ind w:firstLine="622"/>
        <w:spacing w:line="396" w:lineRule="auto"/>
        <w:rPr>
          <w:rFonts w:hint="eastAsia" w:ascii="仿宋" w:hAnsi="仿宋" w:eastAsia="仿宋" w:cs="仿宋"/>
          <w:color w:val="auto"/>
          <w:sz w:val="28"/>
          <w:szCs w:val="28"/>
          <w:highlight w:val="none"/>
        </w:rPr>
      </w:pPr>
      <w:r/>
      <w:bookmarkStart w:id="122" w:name="_Hlk208497153"/>
      <w:r>
        <w:rPr>
          <w:rFonts w:hint="eastAsia" w:ascii="仿宋" w:hAnsi="仿宋" w:eastAsia="仿宋" w:cs="仿宋"/>
          <w:color w:val="auto"/>
          <w:sz w:val="28"/>
          <w:szCs w:val="28"/>
          <w:highlight w:val="none"/>
        </w:rPr>
        <w:t xml:space="preserve">(1)</w:t>
      </w:r>
      <w:bookmarkEnd w:id="122"/>
      <w:r>
        <w:rPr>
          <w:rFonts w:hint="eastAsia" w:ascii="仿宋" w:hAnsi="仿宋" w:eastAsia="仿宋" w:cs="仿宋"/>
          <w:color w:val="auto"/>
          <w:sz w:val="28"/>
          <w:szCs w:val="28"/>
          <w:highlight w:val="none"/>
        </w:rPr>
        <w:t xml:space="preserve">分类小区垃圾分类工作，重点推进服务区域社区；</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(2)中标供应商应创新合作模式，积极主动和配合苏锡通园区本地的公共机构及相关企业、公共场所及窗口单位的生活垃圾分类工作；</w:t>
      </w:r>
      <w:r/>
    </w:p>
    <w:p>
      <w:pPr>
        <w:ind w:firstLine="622"/>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有害垃圾由中标供应商自行收集并对接省、市、区相应具备正规资质的有害垃圾专业处置企业进行清运并处置，并自觉接受各级主管部门的检查考核，处置费用由中标单位承担。收集的垃圾量和处置过程需每月形成工作报表和工作日志上报招标人存档；</w:t>
      </w:r>
      <w:r/>
    </w:p>
    <w:p>
      <w:pPr>
        <w:ind w:firstLine="560"/>
        <w:spacing w:line="396"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（六）采购标的的验收标准。</w:t>
      </w:r>
      <w:r/>
    </w:p>
    <w:p>
      <w:pPr>
        <w:pStyle w:val="71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1.垃圾分类运维服务</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中标供应商报送周报给采购方，每个季度提供49个小区的服务电子台账（按照采购方要求），采购单位形成季度检查台账，根据垃圾分类服务情况打分，出现服务不到位的扣除相应分值，并扣除相应服务费。</w:t>
      </w:r>
      <w:bookmarkStart w:id="123" w:name="OLE_LINK40"/>
      <w:r/>
      <w:bookmarkStart w:id="124" w:name="OLE_LINK39"/>
      <w:r>
        <w:rPr>
          <w:rFonts w:hint="eastAsia" w:ascii="仿宋" w:hAnsi="仿宋" w:eastAsia="仿宋" w:cs="仿宋"/>
          <w:color w:val="auto"/>
          <w:sz w:val="28"/>
          <w:szCs w:val="28"/>
          <w:highlight w:val="none"/>
        </w:rPr>
        <w:t xml:space="preserve">考核方式：考核遵循“以质量标准为准绳、考核细则为依据”原则，按照每月考核,每季度取平均分作为当季最终考核得分,对该项目中标人工作运营情况实行全面考核，考核结果及时通报给中标人。 </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度打分标准按照《住房和城乡建设部关于印发省级统筹推进生活垃圾分类工作评估办法和城市生活垃圾分类工作评估办法的通知》，每月进行一次，以随机抽签方式选择考核小区，每月抽取不少于5个居民小区。日常抽查采取随机方式，随机检查标段内垃圾分类工作情况，现场通知中标单位，现场予以扣分。考核中采用影像资料等手段对发现的问题进行扣分记录，并下发考核整改告知书，告知整改时限，整改标准，验收时间，并确定专人予以验收。</w:t>
      </w:r>
      <w:r/>
    </w:p>
    <w:p>
      <w:pPr>
        <w:pStyle w:val="713"/>
        <w:spacing w:line="396"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苏锡通园区居民小区生活垃圾分类日常考核内容与评分标准：</w:t>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638"/>
        <w:gridCol w:w="3182"/>
        <w:gridCol w:w="2928"/>
        <w:gridCol w:w="874"/>
      </w:tblGrid>
      <w:tr>
        <w:trPr>
          <w:jc w:val="center"/>
          <w:trHeight w:val="347"/>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考核项目</w:t>
            </w:r>
            <w:r/>
          </w:p>
        </w:tc>
        <w:tc>
          <w:tcPr>
            <w:shd w:val="clear" w:color="auto" w:fill="auto"/>
            <w:tcMar>
              <w:left w:w="301" w:type="dxa"/>
              <w:top w:w="201" w:type="dxa"/>
              <w:right w:w="301" w:type="dxa"/>
              <w:bottom w:w="201" w:type="dxa"/>
            </w:tcMar>
            <w:tcW w:w="3182"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检查内容</w:t>
            </w:r>
            <w:r/>
          </w:p>
        </w:tc>
        <w:tc>
          <w:tcPr>
            <w:shd w:val="clear" w:color="auto" w:fill="auto"/>
            <w:tcMar>
              <w:left w:w="301" w:type="dxa"/>
              <w:top w:w="201" w:type="dxa"/>
              <w:right w:w="301" w:type="dxa"/>
              <w:bottom w:w="201" w:type="dxa"/>
            </w:tcMar>
            <w:tcW w:w="2928"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评分标准</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tc>
      </w:tr>
      <w:tr>
        <w:trPr>
          <w:jc w:val="center"/>
          <w:trHeight w:val="1421"/>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1. 垃圾分类亭房运行监管（25分）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亭房设施完好性（除臭设备、洗手池、监控、雨棚等）</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亭房清洁度及周边环境</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督导员到岗率及分类指导记录</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误时投放点设置及管理</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设施损坏未修复，</w:t>
            </w:r>
            <w:r>
              <w:rPr>
                <w:rFonts w:hint="eastAsia" w:ascii="仿宋" w:hAnsi="仿宋" w:eastAsia="仿宋" w:cs="仿宋"/>
                <w:b/>
                <w:bCs/>
                <w:color w:val="auto"/>
                <w:sz w:val="24"/>
                <w:highlight w:val="none"/>
              </w:rPr>
              <w:t xml:space="preserve">扣 2 分 / 处</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厢房脏乱或异味，</w:t>
            </w:r>
            <w:r>
              <w:rPr>
                <w:rFonts w:hint="eastAsia" w:ascii="仿宋" w:hAnsi="仿宋" w:eastAsia="仿宋" w:cs="仿宋"/>
                <w:b/>
                <w:bCs/>
                <w:color w:val="auto"/>
                <w:sz w:val="24"/>
                <w:highlight w:val="none"/>
              </w:rPr>
              <w:t xml:space="preserve">扣 1 分 / 次</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督导员未到岗，</w:t>
            </w:r>
            <w:r>
              <w:rPr>
                <w:rFonts w:hint="eastAsia" w:ascii="仿宋" w:hAnsi="仿宋" w:eastAsia="仿宋" w:cs="仿宋"/>
                <w:b/>
                <w:bCs/>
                <w:color w:val="auto"/>
                <w:sz w:val="24"/>
                <w:highlight w:val="none"/>
              </w:rPr>
              <w:t xml:space="preserve">扣 3 分 / 次</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未设误时投放点，</w:t>
            </w:r>
            <w:r>
              <w:rPr>
                <w:rFonts w:hint="eastAsia" w:ascii="仿宋" w:hAnsi="仿宋" w:eastAsia="仿宋" w:cs="仿宋"/>
                <w:b/>
                <w:bCs/>
                <w:color w:val="auto"/>
                <w:sz w:val="24"/>
                <w:highlight w:val="none"/>
              </w:rPr>
              <w:t xml:space="preserve">扣 2 分 / 小区</w:t>
            </w:r>
            <w:r>
              <w:rPr>
                <w:rFonts w:hint="eastAsia" w:ascii="仿宋" w:hAnsi="仿宋" w:eastAsia="仿宋" w:cs="仿宋"/>
                <w:color w:val="auto"/>
                <w:sz w:val="24"/>
                <w:highlight w:val="none"/>
              </w:rPr>
              <w:t xml:space="preserve">。</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2. 分类收运规范（25分）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可回收物与其他垃圾混装、有害垃圾与其他垃圾混装情况</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厨余垃圾、有害垃圾收运记录完整性</w:t>
            </w:r>
            <w:r/>
          </w:p>
          <w:p>
            <w:pPr>
              <w:pStyle w:val="713"/>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 每天收运处置作业车辆收车后必须停放在甲方指定停车区域</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混装混运，</w:t>
            </w:r>
            <w:r>
              <w:rPr>
                <w:rFonts w:hint="eastAsia" w:ascii="仿宋" w:hAnsi="仿宋" w:eastAsia="仿宋" w:cs="仿宋"/>
                <w:b/>
                <w:bCs/>
                <w:color w:val="auto"/>
                <w:sz w:val="24"/>
                <w:highlight w:val="none"/>
              </w:rPr>
              <w:t xml:space="preserve">扣 3分 / 次</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收运记录缺失，</w:t>
            </w:r>
            <w:r>
              <w:rPr>
                <w:rFonts w:hint="eastAsia" w:ascii="仿宋" w:hAnsi="仿宋" w:eastAsia="仿宋" w:cs="仿宋"/>
                <w:b/>
                <w:bCs/>
                <w:color w:val="auto"/>
                <w:sz w:val="24"/>
                <w:highlight w:val="none"/>
              </w:rPr>
              <w:t xml:space="preserve">扣 2 分 / 天；</w:t>
            </w:r>
            <w:r/>
          </w:p>
          <w:p>
            <w:pPr>
              <w:pStyle w:val="713"/>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 违规作业或未停放在指定停车区域，</w:t>
            </w:r>
            <w:r>
              <w:rPr>
                <w:rFonts w:hint="eastAsia" w:ascii="仿宋" w:hAnsi="仿宋" w:eastAsia="仿宋" w:cs="仿宋"/>
                <w:b/>
                <w:bCs/>
                <w:color w:val="auto"/>
                <w:highlight w:val="none"/>
              </w:rPr>
              <w:t xml:space="preserve">扣 3分 / 次。</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377"/>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3. 信息、宣传教育管理（20分）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日常周报、每季度报送各小区运行台账，要求数据报送及时性、真实性</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-日常开展宣传教育，不断提升知晓率和参与率</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数据未按时报送、弄虚作假的，</w:t>
            </w:r>
            <w:r>
              <w:rPr>
                <w:rFonts w:hint="eastAsia" w:ascii="仿宋" w:hAnsi="仿宋" w:eastAsia="仿宋" w:cs="仿宋"/>
                <w:b/>
                <w:bCs/>
                <w:color w:val="auto"/>
                <w:sz w:val="24"/>
                <w:highlight w:val="none"/>
              </w:rPr>
              <w:t xml:space="preserve">扣 3 分 / 次</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日常宣传教育未开展的，</w:t>
            </w:r>
            <w:r>
              <w:rPr>
                <w:rFonts w:hint="eastAsia" w:ascii="仿宋" w:hAnsi="仿宋" w:eastAsia="仿宋" w:cs="仿宋"/>
                <w:b/>
                <w:bCs/>
                <w:color w:val="auto"/>
                <w:sz w:val="24"/>
                <w:highlight w:val="none"/>
              </w:rPr>
              <w:t xml:space="preserve">扣 1 分 / 次</w:t>
            </w:r>
            <w:r>
              <w:rPr>
                <w:rFonts w:hint="eastAsia" w:ascii="仿宋" w:hAnsi="仿宋" w:eastAsia="仿宋" w:cs="仿宋"/>
                <w:color w:val="auto"/>
                <w:sz w:val="24"/>
                <w:highlight w:val="none"/>
              </w:rPr>
              <w:t xml:space="preserve">。</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4. 二次污染防控（10分）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收运、处置过程中是否造成场地或周边污染</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厨余垃圾满溢或未及时清运</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出现污染或满溢，</w:t>
            </w:r>
            <w:r>
              <w:rPr>
                <w:rFonts w:hint="eastAsia" w:ascii="仿宋" w:hAnsi="仿宋" w:eastAsia="仿宋" w:cs="仿宋"/>
                <w:b/>
                <w:bCs/>
                <w:color w:val="auto"/>
                <w:sz w:val="24"/>
                <w:highlight w:val="none"/>
              </w:rPr>
              <w:t xml:space="preserve">扣 1 分 / 次</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未及时清运，</w:t>
            </w:r>
            <w:r>
              <w:rPr>
                <w:rFonts w:hint="eastAsia" w:ascii="仿宋" w:hAnsi="仿宋" w:eastAsia="仿宋" w:cs="仿宋"/>
                <w:b/>
                <w:bCs/>
                <w:color w:val="auto"/>
                <w:sz w:val="24"/>
                <w:highlight w:val="none"/>
              </w:rPr>
              <w:t xml:space="preserve">扣 2 分 / 次</w:t>
            </w:r>
            <w:r>
              <w:rPr>
                <w:rFonts w:hint="eastAsia" w:ascii="仿宋" w:hAnsi="仿宋" w:eastAsia="仿宋" w:cs="仿宋"/>
                <w:color w:val="auto"/>
                <w:sz w:val="24"/>
                <w:highlight w:val="none"/>
              </w:rPr>
              <w:t xml:space="preserve">。</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43"/>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5. 制度建设（10分）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是否建立分类亭房管理制度、督导员岗位职责、安全生产制度</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缺 1 项制度，</w:t>
            </w:r>
            <w:r>
              <w:rPr>
                <w:rFonts w:hint="eastAsia" w:ascii="仿宋" w:hAnsi="仿宋" w:eastAsia="仿宋" w:cs="仿宋"/>
                <w:b/>
                <w:bCs/>
                <w:color w:val="auto"/>
                <w:sz w:val="24"/>
                <w:highlight w:val="none"/>
              </w:rPr>
              <w:t xml:space="preserve">扣 1 分</w:t>
            </w:r>
            <w:r>
              <w:rPr>
                <w:rFonts w:hint="eastAsia" w:ascii="仿宋" w:hAnsi="仿宋" w:eastAsia="仿宋" w:cs="仿宋"/>
                <w:color w:val="auto"/>
                <w:sz w:val="24"/>
                <w:highlight w:val="none"/>
              </w:rPr>
              <w:t xml:space="preserve">。</w:t>
            </w:r>
            <w:r/>
          </w:p>
        </w:tc>
        <w:tc>
          <w:tcPr>
            <w:shd w:val="clear" w:color="auto" w:fill="auto"/>
            <w:tcMar>
              <w:left w:w="301" w:type="dxa"/>
              <w:top w:w="201" w:type="dxa"/>
              <w:right w:w="301" w:type="dxa"/>
              <w:bottom w:w="201" w:type="dxa"/>
            </w:tcMar>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6. 问题整改落实（10分）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上级反馈问题整改及时性及反馈情况</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居民投诉处理满意度</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未及时整改或未反馈，</w:t>
            </w:r>
            <w:r>
              <w:rPr>
                <w:rFonts w:hint="eastAsia" w:ascii="仿宋" w:hAnsi="仿宋" w:eastAsia="仿宋" w:cs="仿宋"/>
                <w:b/>
                <w:bCs/>
                <w:color w:val="auto"/>
                <w:sz w:val="24"/>
                <w:highlight w:val="none"/>
              </w:rPr>
              <w:t xml:space="preserve">扣 1 分 / 次</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投诉处理不及时，</w:t>
            </w:r>
            <w:r>
              <w:rPr>
                <w:rFonts w:hint="eastAsia" w:ascii="仿宋" w:hAnsi="仿宋" w:eastAsia="仿宋" w:cs="仿宋"/>
                <w:b/>
                <w:bCs/>
                <w:color w:val="auto"/>
                <w:sz w:val="24"/>
                <w:highlight w:val="none"/>
              </w:rPr>
              <w:t xml:space="preserve">扣 2 分 / 次</w:t>
            </w:r>
            <w:r>
              <w:rPr>
                <w:rFonts w:hint="eastAsia" w:ascii="仿宋" w:hAnsi="仿宋" w:eastAsia="仿宋" w:cs="仿宋"/>
                <w:color w:val="auto"/>
                <w:sz w:val="24"/>
                <w:highlight w:val="none"/>
              </w:rPr>
              <w:t xml:space="preserve">。</w:t>
            </w:r>
            <w:r/>
          </w:p>
        </w:tc>
        <w:tc>
          <w:tcPr>
            <w:shd w:val="clear" w:color="auto" w:fill="auto"/>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 创新管理举措（5分）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亭房增设便民设施（如积分兑换机、宣传屏）- 开展特色分类活动</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新增便民设施，</w:t>
            </w:r>
            <w:r>
              <w:rPr>
                <w:rFonts w:hint="eastAsia" w:ascii="仿宋" w:hAnsi="仿宋" w:eastAsia="仿宋" w:cs="仿宋"/>
                <w:b/>
                <w:bCs/>
                <w:color w:val="auto"/>
                <w:sz w:val="24"/>
                <w:highlight w:val="none"/>
              </w:rPr>
              <w:t xml:space="preserve">加 1 分 / 项</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特色活动覆盖≥50% 小区，</w:t>
            </w:r>
            <w:r>
              <w:rPr>
                <w:rFonts w:hint="eastAsia" w:ascii="仿宋" w:hAnsi="仿宋" w:eastAsia="仿宋" w:cs="仿宋"/>
                <w:b/>
                <w:bCs/>
                <w:color w:val="auto"/>
                <w:sz w:val="24"/>
                <w:highlight w:val="none"/>
              </w:rPr>
              <w:t xml:space="preserve">加 3 分</w:t>
            </w:r>
            <w:r>
              <w:rPr>
                <w:rFonts w:hint="eastAsia" w:ascii="仿宋" w:hAnsi="仿宋" w:eastAsia="仿宋" w:cs="仿宋"/>
                <w:color w:val="auto"/>
                <w:sz w:val="24"/>
                <w:highlight w:val="none"/>
              </w:rPr>
              <w:t xml:space="preserve">。创新举措最高</w:t>
            </w:r>
            <w:r>
              <w:rPr>
                <w:rFonts w:hint="eastAsia" w:ascii="仿宋" w:hAnsi="仿宋" w:eastAsia="仿宋" w:cs="仿宋"/>
                <w:b/>
                <w:color w:val="auto"/>
                <w:sz w:val="24"/>
                <w:highlight w:val="none"/>
              </w:rPr>
              <w:t xml:space="preserve">加5分</w:t>
            </w:r>
            <w:r>
              <w:rPr>
                <w:rFonts w:hint="eastAsia" w:ascii="仿宋" w:hAnsi="仿宋" w:eastAsia="仿宋" w:cs="仿宋"/>
                <w:color w:val="auto"/>
                <w:sz w:val="24"/>
                <w:highlight w:val="none"/>
              </w:rPr>
              <w:t xml:space="preserve">。</w:t>
            </w:r>
            <w:r/>
          </w:p>
        </w:tc>
        <w:tc>
          <w:tcPr>
            <w:shd w:val="clear" w:color="auto" w:fill="auto"/>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 居民满意度（5分）</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居民分类参与率≥90%</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分类知晓率≥95%</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参与率达标，</w:t>
            </w:r>
            <w:r>
              <w:rPr>
                <w:rFonts w:hint="eastAsia" w:ascii="仿宋" w:hAnsi="仿宋" w:eastAsia="仿宋" w:cs="仿宋"/>
                <w:b/>
                <w:bCs/>
                <w:color w:val="auto"/>
                <w:sz w:val="24"/>
                <w:highlight w:val="none"/>
              </w:rPr>
              <w:t xml:space="preserve">加 2 分</w:t>
            </w:r>
            <w:r>
              <w:rPr>
                <w:rFonts w:hint="eastAsia" w:ascii="仿宋" w:hAnsi="仿宋" w:eastAsia="仿宋" w:cs="仿宋"/>
                <w:color w:val="auto"/>
                <w:sz w:val="24"/>
                <w:highlight w:val="none"/>
              </w:rPr>
              <w:t xml:space="preserve">；</w:t>
            </w:r>
            <w:r/>
          </w:p>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知晓率达标，</w:t>
            </w:r>
            <w:r>
              <w:rPr>
                <w:rFonts w:hint="eastAsia" w:ascii="仿宋" w:hAnsi="仿宋" w:eastAsia="仿宋" w:cs="仿宋"/>
                <w:b/>
                <w:bCs/>
                <w:color w:val="auto"/>
                <w:sz w:val="24"/>
                <w:highlight w:val="none"/>
              </w:rPr>
              <w:t xml:space="preserve">加 3 分</w:t>
            </w:r>
            <w:r>
              <w:rPr>
                <w:rFonts w:hint="eastAsia" w:ascii="仿宋" w:hAnsi="仿宋" w:eastAsia="仿宋" w:cs="仿宋"/>
                <w:color w:val="auto"/>
                <w:sz w:val="24"/>
                <w:highlight w:val="none"/>
              </w:rPr>
              <w:t xml:space="preserve">。</w:t>
            </w:r>
            <w:r/>
          </w:p>
        </w:tc>
        <w:tc>
          <w:tcPr>
            <w:shd w:val="clear" w:color="auto" w:fill="auto"/>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shd w:val="clear" w:color="auto" w:fill="auto"/>
            <w:tcMar>
              <w:left w:w="301" w:type="dxa"/>
              <w:top w:w="201" w:type="dxa"/>
              <w:right w:w="301" w:type="dxa"/>
              <w:bottom w:w="201" w:type="dxa"/>
            </w:tcMar>
            <w:tcW w:w="1638" w:type="dxa"/>
            <w:vAlign w:val="center"/>
            <w:textDirection w:val="lrTb"/>
            <w:noWrap w:val="false"/>
          </w:tcPr>
          <w:p>
            <w:pPr>
              <w:jc w:val="center"/>
              <w:spacing w:line="3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9减分项</w:t>
            </w:r>
            <w:r/>
          </w:p>
        </w:tc>
        <w:tc>
          <w:tcPr>
            <w:shd w:val="clear" w:color="auto" w:fill="auto"/>
            <w:tcMar>
              <w:left w:w="301" w:type="dxa"/>
              <w:top w:w="201" w:type="dxa"/>
              <w:right w:w="301" w:type="dxa"/>
              <w:bottom w:w="201" w:type="dxa"/>
            </w:tcMar>
            <w:tcW w:w="3182"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发生重大舆情或被上级通报批评的</w:t>
            </w:r>
            <w:r/>
          </w:p>
        </w:tc>
        <w:tc>
          <w:tcPr>
            <w:shd w:val="clear" w:color="auto" w:fill="auto"/>
            <w:tcMar>
              <w:left w:w="301" w:type="dxa"/>
              <w:top w:w="201" w:type="dxa"/>
              <w:right w:w="301" w:type="dxa"/>
              <w:bottom w:w="201" w:type="dxa"/>
            </w:tcMar>
            <w:tcW w:w="2928" w:type="dxa"/>
            <w:vAlign w:val="center"/>
            <w:textDirection w:val="lrTb"/>
            <w:noWrap w:val="false"/>
          </w:tcPr>
          <w:p>
            <w:pPr>
              <w:jc w:val="left"/>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发生1次</w:t>
            </w:r>
            <w:r>
              <w:rPr>
                <w:rFonts w:hint="eastAsia" w:ascii="仿宋" w:hAnsi="仿宋" w:eastAsia="仿宋" w:cs="仿宋"/>
                <w:b/>
                <w:color w:val="auto"/>
                <w:sz w:val="24"/>
                <w:highlight w:val="none"/>
              </w:rPr>
              <w:t xml:space="preserve">扣10分</w:t>
            </w:r>
            <w:r>
              <w:rPr>
                <w:rFonts w:hint="eastAsia" w:ascii="仿宋" w:hAnsi="仿宋" w:eastAsia="仿宋" w:cs="仿宋"/>
                <w:color w:val="auto"/>
                <w:sz w:val="24"/>
                <w:highlight w:val="none"/>
              </w:rPr>
              <w:t xml:space="preserve">，2次(含2次)以上直接终止合同。</w:t>
            </w:r>
            <w:r/>
          </w:p>
        </w:tc>
        <w:tc>
          <w:tcPr>
            <w:shd w:val="clear" w:color="auto" w:fill="auto"/>
            <w:tcW w:w="874"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640"/>
        <w:spacing w:line="440" w:lineRule="exact"/>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考核结果应用</w:t>
      </w:r>
      <w:r/>
    </w:p>
    <w:p>
      <w:pPr>
        <w:ind w:firstLine="640"/>
        <w:spacing w:line="440" w:lineRule="exact"/>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shd w:val="clear" w:color="auto" w:fill="ffffff"/>
        </w:rPr>
        <w:t xml:space="preserve">月度考核总分100分（加分项10分、减分项10分），季度考核为当季三个月考核的平均分。  </w:t>
      </w:r>
      <w:r/>
    </w:p>
    <w:p>
      <w:pPr>
        <w:ind w:firstLine="640"/>
        <w:spacing w:line="440" w:lineRule="exact"/>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shd w:val="clear" w:color="auto" w:fill="ffffff"/>
        </w:rPr>
        <w:t xml:space="preserve">等级划分：（1）优秀（≥90分）、（2）合格（80-89分）、（3）基本合格（70-79分）、（4）不合格（&lt;70分）。 </w:t>
      </w:r>
      <w:r/>
    </w:p>
    <w:p>
      <w:pPr>
        <w:ind w:firstLine="640"/>
        <w:spacing w:line="440" w:lineRule="exact"/>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shd w:val="clear" w:color="auto" w:fill="ffffff"/>
        </w:rPr>
        <w:t xml:space="preserve">考核运用：季度考核90分（含90分）以上，全额支付季度服务费；季度考核90分以下扣减相应服务费用，每一分扣减服务费用2000元，月度考核得分在70分以下的，甲方不再支付当季服务费用并有权中止或解除合同，同时重新招标。</w:t>
      </w:r>
      <w:r/>
    </w:p>
    <w:p>
      <w:pPr>
        <w:pStyle w:val="713"/>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2.新建分类亭房</w:t>
      </w:r>
      <w:r/>
    </w:p>
    <w:p>
      <w:pPr>
        <w:pStyle w:val="713"/>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按照《南通市城市房产项目配建环卫设施设置标准（试行）》标准进行建设，建设完成验收合格后按实际完成数量支付（合同签订之日起90日历天未能建设完成则不再予以支付）。</w:t>
      </w:r>
      <w:bookmarkEnd w:id="123"/>
      <w:r/>
      <w:bookmarkEnd w:id="124"/>
      <w:r>
        <w:rPr>
          <w:rFonts w:hint="eastAsia" w:ascii="仿宋" w:hAnsi="仿宋" w:eastAsia="仿宋" w:cs="仿宋"/>
          <w:color w:val="auto"/>
          <w:sz w:val="28"/>
          <w:szCs w:val="28"/>
          <w:highlight w:val="none"/>
        </w:rPr>
        <w:t xml:space="preserve">分类亭房建设满足四分类投放要求，面积约3平米的点位16个，具体要求为：整体单体框架结构，材质为厚度大于等于1.3mm的sus304不</w:t>
      </w:r>
      <w:r>
        <w:rPr>
          <w:rFonts w:hint="eastAsia" w:ascii="仿宋" w:hAnsi="仿宋" w:eastAsia="仿宋" w:cs="仿宋"/>
          <w:color w:val="auto"/>
          <w:sz w:val="28"/>
          <w:szCs w:val="28"/>
          <w:highlight w:val="none"/>
        </w:rPr>
        <w:t xml:space="preserve">锈钢，配置4个204L的四分类垃圾桶；面积约12平米的点位5个，具体要求为：整体单体框架结构，材质为厚度大于等于1.3mm的sus304不锈钢，接通水电污，配置洗手池、拖把池、壁扇、排气扇、灭蝇灯、LED滚动字幕、8个240L的四分类垃圾桶；面积约35平米的点位1个，具体要求为：整体单体框架结构，顶部设有吊点，可整体吊装移动，主体结构采用管壁截面大于等于3mm的80mm*80mm镀锌钢管制作，接通水电污，配置移动高压冲洗设备、洗手池、拖把池、壁扇、排气扇、灭蝇灯、LED滚动字幕、8个240L的四分类垃圾桶。</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（七）采购标的其他技术、服务等要求。</w:t>
      </w:r>
      <w:r>
        <w:rPr>
          <w:rFonts w:hint="eastAsia" w:ascii="仿宋" w:hAnsi="仿宋" w:eastAsia="仿宋" w:cs="仿宋"/>
          <w:color w:val="auto"/>
          <w:sz w:val="28"/>
          <w:szCs w:val="28"/>
          <w:highlight w:val="none"/>
        </w:rPr>
        <w:t xml:space="preserve"> </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（八）付款方式</w:t>
      </w:r>
      <w:r>
        <w:rPr>
          <w:rFonts w:hint="eastAsia" w:ascii="仿宋" w:hAnsi="仿宋" w:eastAsia="仿宋" w:cs="仿宋"/>
          <w:color w:val="auto"/>
          <w:sz w:val="28"/>
          <w:szCs w:val="28"/>
          <w:highlight w:val="none"/>
        </w:rPr>
        <w:t xml:space="preserve">：</w:t>
      </w:r>
      <w:bookmarkStart w:id="125" w:name="OLE_LINK19"/>
      <w:r/>
      <w:bookmarkStart w:id="126" w:name="OLE_LINK18"/>
      <w:r>
        <w:rPr>
          <w:rFonts w:hint="eastAsia" w:ascii="仿宋" w:hAnsi="仿宋" w:eastAsia="仿宋" w:cs="仿宋"/>
          <w:color w:val="auto"/>
          <w:sz w:val="28"/>
          <w:szCs w:val="28"/>
          <w:highlight w:val="none"/>
        </w:rPr>
        <w:t xml:space="preserve">合同签订后支付中标价的30%预付款，每个季度进行服务费用支付，每季度支付服务费为中标价减去预付款减去新建分类房费用后的25%，并扣除考核核减费用（季度支付服务费=(中标价-77万)/4-考核扣款），新建分类房根据采购方要求，经验收合格后按实际完成数量与当季度服务费用一起请款支付</w:t>
      </w:r>
      <w:bookmarkEnd w:id="125"/>
      <w:r/>
      <w:bookmarkEnd w:id="126"/>
      <w:r>
        <w:rPr>
          <w:rFonts w:hint="eastAsia" w:ascii="仿宋" w:hAnsi="仿宋" w:eastAsia="仿宋" w:cs="仿宋"/>
          <w:color w:val="auto"/>
          <w:sz w:val="28"/>
          <w:szCs w:val="28"/>
          <w:highlight w:val="none"/>
        </w:rPr>
        <w:t xml:space="preserve">。</w:t>
      </w:r>
      <w:r/>
    </w:p>
    <w:p>
      <w:pPr>
        <w:ind w:firstLine="560"/>
        <w:spacing w:line="396"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（九）履约保证金：</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2.成交供应商全部履约合同义务，经采购单位验收合格无质量、进度等问题的，采购人在验收合格后一次性退还履约保证金，采购人若逾期退还履约保证金的，按照逾期部分的每日 0.05%支付违约金。</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3.发生以下情况的，履约保证金不予退还或部分退还：</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a.签订合同后，成交供应商不履行合同义务的，采购单位有权全额扣除履约保证金，全额不予退还，同时采购单位亦有权终止合同，中标供应商还须承担相应的法律赔偿责任。</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713"/>
        <w:ind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0"/>
      <w:bookmarkEnd w:id="1"/>
      <w:bookmarkEnd w:id="2"/>
      <w:r/>
    </w:p>
    <w:p>
      <w:pPr>
        <w:jc w:val="cente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jc w:val="both"/>
        <w:spacing w:line="288"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288"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t xml:space="preserve">第四部分  开标和评标</w:t>
      </w:r>
      <w:r/>
    </w:p>
    <w:p>
      <w:pPr>
        <w:pStyle w:val="971"/>
        <w:ind w:left="0" w:right="0" w:firstLine="562"/>
        <w:jc w:val="left"/>
        <w:spacing w:before="0" w:after="0"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一、开标</w:t>
      </w:r>
      <w:r/>
    </w:p>
    <w:p>
      <w:pPr>
        <w:ind w:firstLine="537"/>
        <w:spacing w:line="288"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不见面远程开标模式：投标人在各自地点通过“苏采云”不见面交易系统参加开标会。</w:t>
      </w:r>
      <w:r/>
    </w:p>
    <w:p>
      <w:pPr>
        <w:pStyle w:val="971"/>
        <w:ind w:left="0" w:right="0" w:firstLine="562"/>
        <w:jc w:val="left"/>
        <w:spacing w:before="0" w:after="0"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本项目投标小组启动异常低价投标（响应）审查的情形和具体要求如下：</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（一）评审过程中出现下列情形之一的，评审委员会应当启动异常低价投标（响应）审查程序：</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1．投标（响应）报价低于采购项目预算50%的，即投标（响应）报价&lt;采购项目预算×50%；</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2．投标（响应）报价低于采购项目最高限价45%的，即投标（响应）报价&lt;采购项目最高限价×45%；</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 评审委员会认定的供应商报价过低、有可能影响产品质量或者不能诚信履约的其他情形。</w:t>
      </w:r>
      <w:r/>
    </w:p>
    <w:p>
      <w:pPr>
        <w:ind w:firstLine="555"/>
        <w:spacing w:line="288"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 xml:space="preserve">（二）本项目启动异常低价投标（响应）审查</w:t>
      </w:r>
      <w:r>
        <w:rPr>
          <w:rFonts w:hint="eastAsia" w:ascii="仿宋" w:hAnsi="仿宋" w:eastAsia="仿宋" w:cs="仿宋"/>
          <w:bCs/>
          <w:color w:val="auto"/>
          <w:sz w:val="28"/>
          <w:szCs w:val="28"/>
          <w:highlight w:val="none"/>
        </w:rPr>
        <w:t xml:space="preserve">后，供应商根据评标小组在评标现场规定时间内，提供本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或者供应商拒绝说明的，评标小组应当将其作为无效投标（响应）处理。审查相关情况应当在评审报告中进行记录。评标小组有权取消其成交资格，按顺序由报价次低的供应商递补，以此类推。</w:t>
      </w:r>
      <w:r/>
    </w:p>
    <w:p>
      <w:pPr>
        <w:ind w:firstLine="55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评委在认真审阅投标文件的基础上，根据各投标文件的响应程度独立评判，不得统一打分。</w:t>
      </w:r>
      <w:r/>
    </w:p>
    <w:p>
      <w:pPr>
        <w:ind w:firstLine="413"/>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（一）采购人（代表）对投标人资格进行审查。</w:t>
      </w:r>
      <w:r/>
    </w:p>
    <w:p>
      <w:pPr>
        <w:pStyle w:val="975"/>
        <w:ind w:firstLine="577"/>
        <w:spacing w:line="288"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投标人资格不合格的，其投标文件判定为无效投标文件。</w:t>
      </w:r>
      <w:r/>
    </w:p>
    <w:p>
      <w:pPr>
        <w:ind w:firstLine="413"/>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（二）评标委员会对符合资格投标人的投标文件进行符合性审查。</w: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符合性审查要求</w:t>
      </w:r>
      <w:r/>
    </w:p>
    <w:tbl>
      <w:tblPr>
        <w:tblStyle w:val="712"/>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按《招标文件》要求</w:t>
            </w:r>
            <w:r>
              <w:rPr>
                <w:rFonts w:hint="eastAsia" w:ascii="仿宋" w:hAnsi="仿宋" w:eastAsia="仿宋" w:cs="仿宋"/>
                <w:bCs/>
                <w:color w:val="auto"/>
                <w:sz w:val="28"/>
                <w:szCs w:val="28"/>
                <w:highlight w:val="none"/>
              </w:rPr>
              <w:t xml:space="preserve">提供承诺书</w:t>
            </w:r>
            <w:r>
              <w:rPr>
                <w:rFonts w:hint="eastAsia" w:ascii="仿宋" w:hAnsi="仿宋" w:eastAsia="仿宋" w:cs="仿宋"/>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满足《</w:t>
            </w:r>
            <w:r>
              <w:rPr>
                <w:rFonts w:hint="eastAsia" w:ascii="仿宋" w:hAnsi="仿宋" w:eastAsia="仿宋" w:cs="仿宋"/>
                <w:b/>
                <w:color w:val="auto"/>
                <w:sz w:val="28"/>
                <w:szCs w:val="28"/>
                <w:highlight w:val="none"/>
              </w:rPr>
              <w:t xml:space="preserve">招标</w:t>
            </w:r>
            <w:r>
              <w:rPr>
                <w:rFonts w:hint="eastAsia" w:ascii="仿宋" w:hAnsi="仿宋" w:eastAsia="仿宋" w:cs="仿宋"/>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没有串通投标情形。</w:t>
            </w:r>
            <w:r/>
          </w:p>
        </w:tc>
      </w:tr>
    </w:tbl>
    <w:p>
      <w:pPr>
        <w:pStyle w:val="975"/>
        <w:ind w:firstLine="577"/>
        <w:spacing w:line="288" w:lineRule="auto"/>
        <w:rPr>
          <w:rFonts w:hint="eastAsia" w:ascii="仿宋" w:hAnsi="仿宋" w:eastAsia="仿宋" w:cs="仿宋"/>
          <w:b/>
          <w:color w:val="auto"/>
          <w:sz w:val="28"/>
          <w:highlight w:val="none"/>
          <w:u w:val="single"/>
        </w:rPr>
      </w:pPr>
      <w:r>
        <w:rPr>
          <w:rFonts w:hint="eastAsia" w:ascii="仿宋" w:hAnsi="仿宋" w:eastAsia="仿宋" w:cs="仿宋"/>
          <w:b/>
          <w:color w:val="auto"/>
          <w:sz w:val="28"/>
          <w:highlight w:val="none"/>
          <w:u w:val="single"/>
          <w:lang w:val="zh-CN"/>
        </w:rPr>
        <w:t xml:space="preserve">本</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文件有“★”标明的条款，请各供应商仔细研读且作为符合性审查要求，未通过符合性审查的响应文件，经</w:t>
      </w:r>
      <w:r>
        <w:rPr>
          <w:rFonts w:hint="eastAsia" w:ascii="仿宋" w:hAnsi="仿宋" w:eastAsia="仿宋" w:cs="仿宋"/>
          <w:b/>
          <w:color w:val="auto"/>
          <w:sz w:val="28"/>
          <w:highlight w:val="none"/>
          <w:u w:val="single"/>
        </w:rPr>
        <w:t xml:space="preserve">评标</w:t>
      </w:r>
      <w:r>
        <w:rPr>
          <w:rFonts w:hint="eastAsia" w:ascii="仿宋" w:hAnsi="仿宋" w:eastAsia="仿宋" w:cs="仿宋"/>
          <w:b/>
          <w:color w:val="auto"/>
          <w:sz w:val="28"/>
          <w:highlight w:val="none"/>
          <w:u w:val="single"/>
          <w:lang w:val="zh-CN"/>
        </w:rPr>
        <w:t xml:space="preserve">小组核实将被判为不满足</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文件实质性要求，</w:t>
      </w:r>
      <w:r>
        <w:rPr>
          <w:rFonts w:hint="eastAsia" w:ascii="仿宋" w:hAnsi="仿宋" w:eastAsia="仿宋" w:cs="仿宋"/>
          <w:b/>
          <w:color w:val="auto"/>
          <w:sz w:val="28"/>
          <w:highlight w:val="none"/>
          <w:u w:val="single"/>
        </w:rPr>
        <w:t xml:space="preserve">作无效响应处理。符合性审查资料请放置在商务技术标资料中，并提供索引及目录，若因供应商提供的资料混乱、不清晰导致符合性审查未能通过的，由供应商自行承担后果。</w:t>
      </w:r>
      <w:r/>
    </w:p>
    <w:p>
      <w:pPr>
        <w:pStyle w:val="1004"/>
        <w:ind w:firstLine="280"/>
        <w:spacing w:before="0" w:beforeAutospacing="0" w:after="0" w:afterAutospacing="0"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商务技术分：70分（</w:t>
      </w:r>
      <w:r>
        <w:rPr>
          <w:rFonts w:hint="eastAsia" w:ascii="仿宋" w:hAnsi="仿宋" w:eastAsia="仿宋" w:cs="仿宋"/>
          <w:bCs/>
          <w:color w:val="auto"/>
          <w:sz w:val="28"/>
          <w:szCs w:val="28"/>
          <w:highlight w:val="none"/>
          <w:lang w:val="zh-CN"/>
        </w:rPr>
        <w:t xml:space="preserve">各投标供应商得分为评委会成员评分的算术平均分，分值保留小数点后两位）。</w:t>
      </w:r>
      <w:r/>
    </w:p>
    <w:p>
      <w:pPr>
        <w:spacing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1036"/>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764"/>
        <w:gridCol w:w="1040"/>
        <w:gridCol w:w="5645"/>
      </w:tblGrid>
      <w:tr>
        <w:trPr>
          <w:trHeight w:val="635"/>
        </w:trPr>
        <w:tc>
          <w:tcPr>
            <w:gridSpan w:val="3"/>
            <w:tcW w:w="3818" w:type="dxa"/>
            <w:textDirection w:val="lrTb"/>
            <w:noWrap w:val="false"/>
          </w:tcPr>
          <w:p>
            <w:pPr>
              <w:ind w:left="700"/>
              <w:spacing w:before="177"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分值构成（100</w:t>
            </w:r>
            <w:r>
              <w:rPr>
                <w:rFonts w:hint="eastAsia" w:ascii="仿宋" w:hAnsi="仿宋" w:eastAsia="仿宋" w:cs="仿宋"/>
                <w:color w:val="auto"/>
                <w:spacing w:val="-47"/>
                <w:sz w:val="28"/>
                <w:szCs w:val="28"/>
                <w:highlight w:val="none"/>
              </w:rPr>
              <w:t xml:space="preserve"> </w:t>
            </w:r>
            <w:r>
              <w:rPr>
                <w:rFonts w:hint="eastAsia" w:ascii="仿宋" w:hAnsi="仿宋" w:eastAsia="仿宋" w:cs="仿宋"/>
                <w:color w:val="auto"/>
                <w:spacing w:val="-4"/>
                <w:sz w:val="28"/>
                <w:szCs w:val="28"/>
                <w:highlight w:val="none"/>
              </w:rPr>
              <w:t xml:space="preserve">分）</w:t>
            </w:r>
            <w:r/>
          </w:p>
        </w:tc>
        <w:tc>
          <w:tcPr>
            <w:tcW w:w="5645" w:type="dxa"/>
            <w:textDirection w:val="lrTb"/>
            <w:noWrap w:val="false"/>
          </w:tcPr>
          <w:p>
            <w:pPr>
              <w:ind w:left="878"/>
              <w:spacing w:before="177"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商务技术标</w:t>
            </w:r>
            <w:r>
              <w:rPr>
                <w:rFonts w:hint="eastAsia" w:ascii="仿宋" w:hAnsi="仿宋" w:eastAsia="仿宋" w:cs="仿宋"/>
                <w:color w:val="auto"/>
                <w:spacing w:val="-54"/>
                <w:sz w:val="28"/>
                <w:szCs w:val="28"/>
                <w:highlight w:val="none"/>
              </w:rPr>
              <w:t xml:space="preserve"> </w:t>
            </w:r>
            <w:r>
              <w:rPr>
                <w:rFonts w:hint="eastAsia" w:ascii="仿宋" w:hAnsi="仿宋" w:eastAsia="仿宋" w:cs="仿宋"/>
                <w:color w:val="auto"/>
                <w:spacing w:val="-4"/>
                <w:sz w:val="28"/>
                <w:szCs w:val="28"/>
                <w:highlight w:val="none"/>
              </w:rPr>
              <w:t xml:space="preserve">70</w:t>
            </w:r>
            <w:r>
              <w:rPr>
                <w:rFonts w:hint="eastAsia" w:ascii="仿宋" w:hAnsi="仿宋" w:eastAsia="仿宋" w:cs="仿宋"/>
                <w:color w:val="auto"/>
                <w:spacing w:val="-54"/>
                <w:sz w:val="28"/>
                <w:szCs w:val="28"/>
                <w:highlight w:val="none"/>
              </w:rPr>
              <w:t xml:space="preserve"> </w:t>
            </w:r>
            <w:r>
              <w:rPr>
                <w:rFonts w:hint="eastAsia" w:ascii="仿宋" w:hAnsi="仿宋" w:eastAsia="仿宋" w:cs="仿宋"/>
                <w:color w:val="auto"/>
                <w:spacing w:val="-4"/>
                <w:sz w:val="28"/>
                <w:szCs w:val="28"/>
                <w:highlight w:val="none"/>
              </w:rPr>
              <w:t xml:space="preserve">分，报价标</w:t>
            </w:r>
            <w:r>
              <w:rPr>
                <w:rFonts w:hint="eastAsia" w:ascii="仿宋" w:hAnsi="仿宋" w:eastAsia="仿宋" w:cs="仿宋"/>
                <w:color w:val="auto"/>
                <w:spacing w:val="-62"/>
                <w:sz w:val="28"/>
                <w:szCs w:val="28"/>
                <w:highlight w:val="none"/>
              </w:rPr>
              <w:t xml:space="preserve"> </w:t>
            </w:r>
            <w:r>
              <w:rPr>
                <w:rFonts w:hint="eastAsia" w:ascii="仿宋" w:hAnsi="仿宋" w:eastAsia="仿宋" w:cs="仿宋"/>
                <w:color w:val="auto"/>
                <w:spacing w:val="-4"/>
                <w:sz w:val="28"/>
                <w:szCs w:val="28"/>
                <w:highlight w:val="none"/>
              </w:rPr>
              <w:t xml:space="preserve">30</w:t>
            </w:r>
            <w:r>
              <w:rPr>
                <w:rFonts w:hint="eastAsia" w:ascii="仿宋" w:hAnsi="仿宋" w:eastAsia="仿宋" w:cs="仿宋"/>
                <w:color w:val="auto"/>
                <w:spacing w:val="-54"/>
                <w:sz w:val="28"/>
                <w:szCs w:val="28"/>
                <w:highlight w:val="none"/>
              </w:rPr>
              <w:t xml:space="preserve"> </w:t>
            </w:r>
            <w:r>
              <w:rPr>
                <w:rFonts w:hint="eastAsia" w:ascii="仿宋" w:hAnsi="仿宋" w:eastAsia="仿宋" w:cs="仿宋"/>
                <w:color w:val="auto"/>
                <w:spacing w:val="-4"/>
                <w:sz w:val="28"/>
                <w:szCs w:val="28"/>
                <w:highlight w:val="none"/>
              </w:rPr>
              <w:t xml:space="preserve">分</w:t>
            </w:r>
            <w:r/>
          </w:p>
        </w:tc>
      </w:tr>
      <w:tr>
        <w:trPr>
          <w:trHeight w:val="652"/>
        </w:trPr>
        <w:tc>
          <w:tcPr>
            <w:tcW w:w="1014" w:type="dxa"/>
            <w:textDirection w:val="lrTb"/>
            <w:noWrap w:val="false"/>
          </w:tcPr>
          <w:p>
            <w:pPr>
              <w:ind w:left="234"/>
              <w:spacing w:before="182"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序号</w:t>
            </w:r>
            <w:r/>
          </w:p>
        </w:tc>
        <w:tc>
          <w:tcPr>
            <w:tcW w:w="1764" w:type="dxa"/>
            <w:textDirection w:val="lrTb"/>
            <w:noWrap w:val="false"/>
          </w:tcPr>
          <w:p>
            <w:pPr>
              <w:ind w:left="206"/>
              <w:spacing w:before="183"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评分因素</w:t>
            </w:r>
            <w:r/>
          </w:p>
        </w:tc>
        <w:tc>
          <w:tcPr>
            <w:gridSpan w:val="2"/>
            <w:tcW w:w="6685" w:type="dxa"/>
            <w:textDirection w:val="lrTb"/>
            <w:noWrap w:val="false"/>
          </w:tcPr>
          <w:p>
            <w:pPr>
              <w:ind w:left="2909"/>
              <w:spacing w:before="183"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评分标准</w:t>
            </w:r>
            <w:r/>
          </w:p>
        </w:tc>
      </w:tr>
      <w:tr>
        <w:trPr>
          <w:trHeight w:val="553"/>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整体运营方案（4分）</w:t>
            </w:r>
            <w:r/>
          </w:p>
        </w:tc>
        <w:tc>
          <w:tcPr>
            <w:gridSpan w:val="2"/>
            <w:tcW w:w="6685" w:type="dxa"/>
            <w:textDirection w:val="lrTb"/>
            <w:noWrap w:val="false"/>
          </w:tcPr>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根据本项目性质特点及实际情况，针对项目现状进行调查剖析，制定整体运营管理方案，包括不限于组织机构配置、日常管理制度、安全生产、信访投诉、分类房设置过程中与社区、物业、业主关系协调等。方案详细、管理方案完整、科学可行性强的得4分；方案较完整，可行性较强的得2分；方案一般、可行性一般的得1分；不提供或不符合本项目需求的不得分。</w:t>
            </w:r>
            <w:r/>
          </w:p>
        </w:tc>
      </w:tr>
      <w:tr>
        <w:trPr>
          <w:trHeight w:val="1362"/>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分类宣传方案（4分）</w:t>
            </w:r>
            <w:r/>
          </w:p>
        </w:tc>
        <w:tc>
          <w:tcPr>
            <w:gridSpan w:val="2"/>
            <w:tcW w:w="6685" w:type="dxa"/>
            <w:textDirection w:val="lrTb"/>
            <w:noWrap w:val="false"/>
          </w:tcPr>
          <w:p>
            <w:pPr>
              <w:ind w:left="111" w:right="106" w:firstLine="24"/>
              <w:spacing w:before="26"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垃圾分类宣传方案，活动方案具备多样性，形式新颖，方案合理可行，并对不同宣传对象具有针对性、适用性，能够吸引人群进行打分。方案详细，可行性好的得4分；方案较详细，可行性较好的得2分；方案粗糙，可行性一般的得1分；不提供或不符合本项目需求的不得分。</w:t>
            </w:r>
            <w:r/>
          </w:p>
        </w:tc>
      </w:tr>
      <w:tr>
        <w:trPr>
          <w:trHeight w:val="90"/>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可回收物收集、转运、处置方案（4分）</w:t>
            </w:r>
            <w:r/>
          </w:p>
        </w:tc>
        <w:tc>
          <w:tcPr>
            <w:gridSpan w:val="2"/>
            <w:tcW w:w="6685" w:type="dxa"/>
            <w:textDirection w:val="lrTb"/>
            <w:noWrap w:val="false"/>
          </w:tcPr>
          <w:p>
            <w:pPr>
              <w:spacing w:before="82"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完善的可回收物收集、转运、处置方案，要求做到全过程控制和监管，可行性强，具有完整的台账，方案需求完善，设计合理，项目实施计划完整的得4分；方案需求较为完善，设计且较为可行，项目实施计划的完整性较强的得2分；方案需求粗糙，设计合理性和可行性性项目实施计划完整性一般的得1分；不提供或不符合本项目需求的不得分。</w:t>
            </w:r>
            <w:r/>
          </w:p>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b/>
                <w:bCs/>
                <w:color w:val="auto"/>
                <w:spacing w:val="1"/>
                <w:sz w:val="28"/>
                <w:szCs w:val="28"/>
                <w:highlight w:val="none"/>
              </w:rPr>
            </w:r>
            <w:r/>
          </w:p>
        </w:tc>
      </w:tr>
      <w:tr>
        <w:trPr>
          <w:trHeight w:val="2240"/>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有害垃圾收集、转运、处置方案（4分）</w:t>
            </w:r>
            <w:r/>
          </w:p>
        </w:tc>
        <w:tc>
          <w:tcPr>
            <w:gridSpan w:val="2"/>
            <w:tcW w:w="6685" w:type="dxa"/>
            <w:textDirection w:val="lrTb"/>
            <w:noWrap w:val="false"/>
          </w:tcPr>
          <w:p>
            <w:pPr>
              <w:spacing w:before="82"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完善的有害垃圾收集、转运、处置方案，要求具有切实可行且完善的污染防治和控制措施，具有完整的台账，方案需求完善，设计合理，项目实施计划完整的得4分；方案需求较为完善，设计且较为可行，项目实施计划的完整性较强的得2分；方案需求粗糙，设计合理性和可行性性项目实施计划完整性一般的得1分；不提供或不符合本项目需求的不得分。</w:t>
            </w:r>
            <w:r/>
          </w:p>
          <w:p>
            <w:pPr>
              <w:ind w:right="106"/>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b/>
                <w:bCs/>
                <w:color w:val="auto"/>
                <w:spacing w:val="1"/>
                <w:sz w:val="28"/>
                <w:szCs w:val="28"/>
                <w:highlight w:val="none"/>
              </w:rPr>
            </w:r>
            <w:r/>
          </w:p>
        </w:tc>
      </w:tr>
      <w:tr>
        <w:trPr>
          <w:trHeight w:val="1064"/>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厨余垃圾收集、转运、处置方案（4分）</w:t>
            </w:r>
            <w:r/>
          </w:p>
        </w:tc>
        <w:tc>
          <w:tcPr>
            <w:gridSpan w:val="2"/>
            <w:tcW w:w="6685" w:type="dxa"/>
            <w:textDirection w:val="lrTb"/>
            <w:noWrap w:val="false"/>
          </w:tcPr>
          <w:p>
            <w:pPr>
              <w:spacing w:before="82"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提供完善的厨余垃圾收集、转运、处置方案，就地就近处理并资源化利用，具有完整的台账，方案需求完善，设计合理，项目实施计划完整的得4分；方案需求较为完善，设计且较为可行，项目实施计划的完整性较强的得2分；方案需求粗糙，设计合理性和可行性性项目实施计划完整性一般的得1分；不提供或不符合本项目需求的不得分。</w:t>
            </w:r>
            <w:r/>
          </w:p>
        </w:tc>
      </w:tr>
      <w:tr>
        <w:trPr>
          <w:trHeight w:val="2081"/>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764" w:type="dxa"/>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应急处置</w:t>
            </w:r>
            <w:r/>
          </w:p>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方案（4分）</w:t>
            </w:r>
            <w:r/>
          </w:p>
        </w:tc>
        <w:tc>
          <w:tcPr>
            <w:gridSpan w:val="2"/>
            <w:tcW w:w="6685" w:type="dxa"/>
            <w:textDirection w:val="lrTb"/>
            <w:noWrap w:val="false"/>
          </w:tcPr>
          <w:p>
            <w:pPr>
              <w:spacing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投标人提供应急处置方案，根据方案的应急预案、应对措施和保障手段是否齐全、完善、科学、可行进行打分。提供的方案合理、完善、可操作性强的得4分；提供的方案合理、完善、可操作性较强的得2分；提供的方案合理、完善、可操作性一般的得1分；不提供或不符合本项目需求的不得分。</w:t>
            </w:r>
            <w:r/>
          </w:p>
        </w:tc>
      </w:tr>
      <w:tr>
        <w:trPr>
          <w:trHeight w:val="701"/>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764" w:type="dxa"/>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质量控制</w:t>
            </w:r>
            <w:r/>
          </w:p>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方案（4分）</w:t>
            </w:r>
            <w:r/>
          </w:p>
        </w:tc>
        <w:tc>
          <w:tcPr>
            <w:gridSpan w:val="2"/>
            <w:tcW w:w="6685" w:type="dxa"/>
            <w:textDirection w:val="lrTb"/>
            <w:noWrap w:val="false"/>
          </w:tcPr>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投标人针对项目需求提供作业质量控制方案，根据方案的针对性和可行性进行打分。提供的方案需求完善，设计合理，可操作性强的得4分；提供的方案需求完善，设计合理，可操作性较强的得2分；提供的方案需求完善，设计合理，可操作性一般的得1分；不提供或不符合本项目需求的不得分。</w:t>
            </w:r>
            <w:r/>
          </w:p>
        </w:tc>
      </w:tr>
      <w:tr>
        <w:trPr>
          <w:trHeight w:val="2081"/>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764" w:type="dxa"/>
            <w:textDirection w:val="lrTb"/>
            <w:noWrap w:val="false"/>
          </w:tcPr>
          <w:p>
            <w:pPr>
              <w:ind w:left="192"/>
              <w:spacing w:before="40" w:line="240" w:lineRule="atLeast"/>
              <w:rPr>
                <w:rFonts w:hint="eastAsia" w:ascii="仿宋" w:hAnsi="仿宋" w:eastAsia="仿宋" w:cs="仿宋"/>
                <w:color w:val="auto"/>
                <w:sz w:val="28"/>
                <w:szCs w:val="28"/>
                <w:highlight w:val="none"/>
              </w:rPr>
            </w:pPr>
            <w:r>
              <w:rPr>
                <w:rFonts w:hint="eastAsia" w:ascii="仿宋" w:hAnsi="仿宋" w:eastAsia="仿宋" w:cs="仿宋"/>
                <w:color w:val="auto"/>
                <w:spacing w:val="15"/>
                <w:sz w:val="28"/>
                <w:szCs w:val="28"/>
                <w:highlight w:val="none"/>
              </w:rPr>
              <w:t xml:space="preserve">垃圾分类作业方案（4分）</w:t>
            </w:r>
            <w:r/>
          </w:p>
        </w:tc>
        <w:tc>
          <w:tcPr>
            <w:gridSpan w:val="2"/>
            <w:tcW w:w="6685" w:type="dxa"/>
            <w:textDirection w:val="lrTb"/>
            <w:noWrap w:val="false"/>
          </w:tcPr>
          <w:p>
            <w:pPr>
              <w:ind w:left="111" w:right="106" w:firstLine="24"/>
              <w:spacing w:before="26"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本项目实际情况，提供垃圾分类作业方案，包括人员安排、作业流程、质量标准及要求等内容。方案内容详细完整、方案实施科学合理、内容针对性适用性强的得4分；方案内容详细较完整、方案实施科学较合理、内容针对性适用性较强的得2分；方案内容详细完整性一般、方案实施科学合理性一般、内容针对性适用性一般的得1分；不提供或不符合本项目需求的不得分。</w:t>
            </w:r>
            <w:r/>
          </w:p>
        </w:tc>
      </w:tr>
      <w:tr>
        <w:trPr>
          <w:trHeight w:val="90"/>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车辆（18分）</w:t>
            </w:r>
            <w:r/>
          </w:p>
        </w:tc>
        <w:tc>
          <w:tcPr>
            <w:gridSpan w:val="2"/>
            <w:tcW w:w="6685" w:type="dxa"/>
            <w:textDirection w:val="lrTb"/>
            <w:noWrap w:val="false"/>
          </w:tcPr>
          <w:p>
            <w:pPr>
              <w:spacing w:line="39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自有或租赁桶装厨余垃圾运输车（每辆车总质量2.0吨及以上，尾板带液压升降装卸垃圾桶功能，尾板设定安全黄线区和超载红线区，需提供工信部车辆公告查询截图作为满足响应的佐证）自有车辆提供行驶证、机动车登记证，车辆照片。租赁车辆需要提供租赁合同、行驶证、交易付款凭证及车辆租赁发票。高于项目需求的多一辆的得2分，最高得6分，没有的不得分。自有车辆提供行驶证、机动车登记证及车辆照片。租赁车辆需要提供租赁合同、行驶证、交易付款凭证及车辆租赁发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自有或租赁有毒有害危化品中型特殊结构货车（9类）高于项目需求的多一辆的得2分，最高得6分，没有的不得分。自有车辆需提供行驶证、机动车登记证、危化品运输车道路运输证（经营范围包含9类）。租赁车辆需要提供租赁合同、行驶证、危化品运输车道路运输证（经营范围包含9类）、交易付款凭证及车辆租赁发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自有或租赁密闭箱式可回收物运输车（每辆封闭式货车总质量在4.0吨及以上，需提供工信部车辆公告查询截图作为满足响应的佐证），高于项目需求的多一辆的得2分，最高得6分，没有的不得分。自有车辆提供行驶证、机动车登记证，车辆照片。租赁车辆需要提供租赁合同、行驶证、交易付款凭证及车辆租赁发票。</w:t>
            </w:r>
            <w:r/>
          </w:p>
          <w:p>
            <w:pPr>
              <w:ind w:right="106"/>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以上相关证明材料提供复印件并加盖投标人公章，所提供的证明材料</w:t>
            </w:r>
            <w:bookmarkStart w:id="306" w:name="_GoBack"/>
            <w:r/>
            <w:bookmarkEnd w:id="306"/>
            <w:r>
              <w:rPr>
                <w:rFonts w:hint="eastAsia" w:ascii="仿宋" w:hAnsi="仿宋" w:eastAsia="仿宋" w:cs="仿宋"/>
                <w:color w:val="auto"/>
                <w:sz w:val="28"/>
                <w:szCs w:val="28"/>
                <w:highlight w:val="none"/>
              </w:rPr>
              <w:t xml:space="preserve">须在</w:t>
            </w:r>
            <w:r>
              <w:rPr>
                <w:rFonts w:hint="eastAsia" w:ascii="仿宋" w:hAnsi="仿宋" w:eastAsia="仿宋" w:cs="仿宋"/>
                <w:color w:val="auto"/>
                <w:sz w:val="28"/>
                <w:szCs w:val="28"/>
                <w:highlight w:val="none"/>
                <w:lang w:val="en-US" w:eastAsia="zh-CN"/>
              </w:rPr>
              <w:t xml:space="preserve">递交投标文件截止日期</w:t>
            </w:r>
            <w:r>
              <w:rPr>
                <w:rFonts w:hint="eastAsia" w:ascii="仿宋" w:hAnsi="仿宋" w:eastAsia="仿宋" w:cs="仿宋"/>
                <w:color w:val="auto"/>
                <w:sz w:val="28"/>
                <w:szCs w:val="28"/>
                <w:highlight w:val="none"/>
              </w:rPr>
              <w:t xml:space="preserve">前，否则不得分。</w:t>
            </w:r>
            <w:r/>
          </w:p>
        </w:tc>
      </w:tr>
      <w:tr>
        <w:trPr>
          <w:trHeight w:val="2735"/>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pacing w:val="15"/>
                <w:sz w:val="28"/>
                <w:szCs w:val="28"/>
                <w:highlight w:val="none"/>
              </w:rPr>
              <w:t xml:space="preserve">认证证书（4分）</w:t>
            </w:r>
            <w:r/>
          </w:p>
        </w:tc>
        <w:tc>
          <w:tcPr>
            <w:gridSpan w:val="2"/>
            <w:tcW w:w="6685" w:type="dxa"/>
            <w:textDirection w:val="lrTb"/>
            <w:noWrap w:val="false"/>
          </w:tcPr>
          <w:p>
            <w:pPr>
              <w:numPr>
                <w:ilvl w:val="0"/>
                <w:numId w:val="4"/>
              </w:numP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投标单位具有有效的质量管理体系认证证书、环境管理体系认证证书、职业健康安全管理体系认证证书的，每具备一项得1分；最高为3分。</w:t>
            </w:r>
            <w:r/>
          </w:p>
          <w:p>
            <w:pPr>
              <w:numPr>
                <w:ilvl w:val="0"/>
                <w:numId w:val="4"/>
              </w:numP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投标人具有生活垃圾分类能力认证证书的，得1分，提供证书复印件，未提供证书不得分。</w:t>
            </w:r>
            <w:r/>
          </w:p>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以上证书相关证明材料提供原件彩色扫描并加盖投标人公章。</w:t>
            </w:r>
            <w:r/>
          </w:p>
        </w:tc>
      </w:tr>
      <w:tr>
        <w:trPr>
          <w:trHeight w:val="1715"/>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针对项目的人员配置（8分）</w:t>
            </w:r>
            <w:r/>
          </w:p>
        </w:tc>
        <w:tc>
          <w:tcPr>
            <w:gridSpan w:val="2"/>
            <w:tcW w:w="6685" w:type="dxa"/>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1、针对本项目配备的项目经理（1人）：2分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1.1项目经理具有本科及以上学历得1分；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1.2项目经理具有垃圾分类工程师资质的得1分。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2、针对本项目配备的项目成员（除项目经理外）：6分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2.1拟投入的项目组成员中具有应急管理局颁发的低压电工证，每具有一人得1分，最高为3分；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2.2拟投入的项目组成员中具有应急管理局颁发的焊工证，每具有一人得1分，最高为1分。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2.3拟投入的项目组成员中具有大专以上学历、且具有垃圾分类管理员资质的（除项目经理外），每具有一人得1分，最高为2分；</w:t>
            </w:r>
            <w:r/>
          </w:p>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注：上述人员提供学信网查询截图、资质证书扫描件和投标单位为其投保最近1个月社保证明材料并加盖投标单位公章，未提供不得分。</w:t>
            </w:r>
            <w:r/>
          </w:p>
        </w:tc>
      </w:tr>
      <w:tr>
        <w:trPr>
          <w:trHeight w:val="727"/>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764" w:type="dxa"/>
            <w:textDirection w:val="lrTb"/>
            <w:noWrap w:val="false"/>
          </w:tcPr>
          <w:p>
            <w:pPr>
              <w:ind w:left="192"/>
              <w:spacing w:before="40" w:line="240" w:lineRule="atLeast"/>
              <w:rPr>
                <w:rFonts w:hint="eastAsia" w:ascii="仿宋" w:hAnsi="仿宋" w:eastAsia="仿宋" w:cs="仿宋"/>
                <w:color w:val="auto"/>
                <w:spacing w:val="-10"/>
                <w:sz w:val="28"/>
                <w:szCs w:val="28"/>
                <w:highlight w:val="none"/>
              </w:rPr>
            </w:pPr>
            <w:r>
              <w:rPr>
                <w:rFonts w:hint="eastAsia" w:ascii="仿宋" w:hAnsi="仿宋" w:eastAsia="仿宋" w:cs="仿宋"/>
                <w:color w:val="auto"/>
                <w:sz w:val="28"/>
                <w:szCs w:val="28"/>
                <w:highlight w:val="none"/>
              </w:rPr>
              <w:t xml:space="preserve">企业业绩（6分）</w:t>
            </w:r>
            <w:r/>
          </w:p>
        </w:tc>
        <w:tc>
          <w:tcPr>
            <w:gridSpan w:val="2"/>
            <w:tcW w:w="6685"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投标人2022年1月1日以来至投标截止之日，承担过垃圾分类房建设或者垃圾分类运营或垃圾分类房维护的项目业绩，提供一个，得2分，满分6分。（同一个招标人的业绩只按一个计算）</w:t>
            </w:r>
            <w:r/>
          </w:p>
          <w:p>
            <w:pPr>
              <w:ind w:left="111" w:right="106" w:firstLine="24"/>
              <w:spacing w:before="26" w:line="240" w:lineRule="atLeast"/>
              <w:rPr>
                <w:rFonts w:hint="eastAsia" w:ascii="仿宋" w:hAnsi="仿宋" w:eastAsia="仿宋" w:cs="仿宋"/>
                <w:b/>
                <w:bCs/>
                <w:color w:val="auto"/>
                <w:spacing w:val="1"/>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每份业绩的合同和对应的发票缺一不可，须提供原件扫描件加盖供应商公章，否则不予得分</w:t>
            </w:r>
            <w:r>
              <w:rPr>
                <w:rFonts w:hint="eastAsia" w:ascii="仿宋" w:hAnsi="仿宋" w:eastAsia="仿宋" w:cs="仿宋"/>
                <w:color w:val="auto"/>
                <w:sz w:val="28"/>
                <w:szCs w:val="28"/>
                <w:highlight w:val="none"/>
              </w:rPr>
              <w:t xml:space="preserve">）</w:t>
            </w:r>
            <w:r/>
          </w:p>
        </w:tc>
      </w:tr>
      <w:tr>
        <w:trPr>
          <w:trHeight w:val="2360"/>
        </w:trPr>
        <w:tc>
          <w:tcPr>
            <w:tcW w:w="1014" w:type="dxa"/>
            <w:textDirection w:val="lrTb"/>
            <w:noWrap w:val="false"/>
          </w:tcPr>
          <w:p>
            <w:pPr>
              <w:ind w:left="443"/>
              <w:spacing w:before="91"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4" w:type="dxa"/>
            <w:textDirection w:val="lrTb"/>
            <w:noWrap w:val="false"/>
          </w:tcPr>
          <w:p>
            <w:pPr>
              <w:ind w:left="192"/>
              <w:spacing w:before="40" w:line="240" w:lineRule="atLeast"/>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节能环保</w:t>
            </w:r>
            <w:r>
              <w:rPr>
                <w:rFonts w:hint="eastAsia" w:ascii="仿宋" w:hAnsi="仿宋" w:eastAsia="仿宋" w:cs="仿宋"/>
                <w:color w:val="auto"/>
                <w:sz w:val="28"/>
                <w:szCs w:val="28"/>
                <w:highlight w:val="none"/>
              </w:rPr>
              <w:t xml:space="preserve"> </w:t>
            </w:r>
            <w:r>
              <w:rPr>
                <w:rFonts w:hint="eastAsia" w:ascii="仿宋" w:hAnsi="仿宋" w:eastAsia="仿宋" w:cs="仿宋"/>
                <w:color w:val="auto"/>
                <w:spacing w:val="-12"/>
                <w:sz w:val="28"/>
                <w:szCs w:val="28"/>
                <w:highlight w:val="none"/>
              </w:rPr>
              <w:t xml:space="preserve">（2分）</w:t>
            </w:r>
            <w:r/>
          </w:p>
        </w:tc>
        <w:tc>
          <w:tcPr>
            <w:gridSpan w:val="2"/>
            <w:tcW w:w="6685" w:type="dxa"/>
            <w:textDirection w:val="lrTb"/>
            <w:noWrap w:val="false"/>
          </w:tcPr>
          <w:p>
            <w:pPr>
              <w:ind w:left="111" w:right="104" w:firstLine="3"/>
              <w:spacing w:before="43" w:line="288" w:lineRule="auto"/>
              <w:rPr>
                <w:rFonts w:hint="eastAsia" w:ascii="仿宋" w:hAnsi="仿宋" w:eastAsia="仿宋" w:cs="仿宋"/>
                <w:color w:val="auto"/>
                <w:sz w:val="28"/>
                <w:szCs w:val="28"/>
                <w:highlight w:val="none"/>
              </w:rPr>
            </w:pPr>
            <w:r>
              <w:rPr>
                <w:rFonts w:hint="eastAsia" w:ascii="仿宋" w:hAnsi="仿宋" w:eastAsia="仿宋" w:cs="仿宋"/>
                <w:color w:val="auto"/>
                <w:spacing w:val="11"/>
                <w:sz w:val="28"/>
                <w:szCs w:val="28"/>
                <w:highlight w:val="none"/>
              </w:rPr>
              <w:t xml:space="preserve">投标产品属于财政部、国家发改委公布的“节能产品品目清单”范围内的，投标人提供国家确定的认证机构出具的，处于有效期之内的该节能产品认证证书原</w:t>
            </w:r>
            <w:r>
              <w:rPr>
                <w:rFonts w:hint="eastAsia" w:ascii="仿宋" w:hAnsi="仿宋" w:eastAsia="仿宋" w:cs="仿宋"/>
                <w:color w:val="auto"/>
                <w:spacing w:val="-2"/>
                <w:sz w:val="28"/>
                <w:szCs w:val="28"/>
                <w:highlight w:val="none"/>
              </w:rPr>
              <w:t xml:space="preserve">件彩色扫描件的,有</w:t>
            </w:r>
            <w:r>
              <w:rPr>
                <w:rFonts w:hint="eastAsia" w:ascii="仿宋" w:hAnsi="仿宋" w:eastAsia="仿宋" w:cs="仿宋"/>
                <w:color w:val="auto"/>
                <w:spacing w:val="-43"/>
                <w:sz w:val="28"/>
                <w:szCs w:val="28"/>
                <w:highlight w:val="none"/>
              </w:rPr>
              <w:t xml:space="preserve"> </w:t>
            </w:r>
            <w:r>
              <w:rPr>
                <w:rFonts w:hint="eastAsia" w:ascii="仿宋" w:hAnsi="仿宋" w:eastAsia="仿宋" w:cs="仿宋"/>
                <w:color w:val="auto"/>
                <w:spacing w:val="-2"/>
                <w:sz w:val="28"/>
                <w:szCs w:val="28"/>
                <w:highlight w:val="none"/>
              </w:rPr>
              <w:t xml:space="preserve">1</w:t>
            </w:r>
            <w:r>
              <w:rPr>
                <w:rFonts w:hint="eastAsia" w:ascii="仿宋" w:hAnsi="仿宋" w:eastAsia="仿宋" w:cs="仿宋"/>
                <w:color w:val="auto"/>
                <w:spacing w:val="-56"/>
                <w:sz w:val="28"/>
                <w:szCs w:val="28"/>
                <w:highlight w:val="none"/>
              </w:rPr>
              <w:t xml:space="preserve"> </w:t>
            </w:r>
            <w:r>
              <w:rPr>
                <w:rFonts w:hint="eastAsia" w:ascii="仿宋" w:hAnsi="仿宋" w:eastAsia="仿宋" w:cs="仿宋"/>
                <w:color w:val="auto"/>
                <w:spacing w:val="-2"/>
                <w:sz w:val="28"/>
                <w:szCs w:val="28"/>
                <w:highlight w:val="none"/>
              </w:rPr>
              <w:t xml:space="preserve">个得 0.5</w:t>
            </w:r>
            <w:r>
              <w:rPr>
                <w:rFonts w:hint="eastAsia" w:ascii="仿宋" w:hAnsi="仿宋" w:eastAsia="仿宋" w:cs="仿宋"/>
                <w:color w:val="auto"/>
                <w:spacing w:val="-51"/>
                <w:sz w:val="28"/>
                <w:szCs w:val="28"/>
                <w:highlight w:val="none"/>
              </w:rPr>
              <w:t xml:space="preserve"> </w:t>
            </w:r>
            <w:r>
              <w:rPr>
                <w:rFonts w:hint="eastAsia" w:ascii="仿宋" w:hAnsi="仿宋" w:eastAsia="仿宋" w:cs="仿宋"/>
                <w:color w:val="auto"/>
                <w:spacing w:val="-2"/>
                <w:sz w:val="28"/>
                <w:szCs w:val="28"/>
                <w:highlight w:val="none"/>
              </w:rPr>
              <w:t xml:space="preserve">分，最多得</w:t>
            </w:r>
            <w:r>
              <w:rPr>
                <w:rFonts w:hint="eastAsia" w:ascii="仿宋" w:hAnsi="仿宋" w:eastAsia="仿宋" w:cs="仿宋"/>
                <w:color w:val="auto"/>
                <w:spacing w:val="-43"/>
                <w:sz w:val="28"/>
                <w:szCs w:val="28"/>
                <w:highlight w:val="none"/>
              </w:rPr>
              <w:t xml:space="preserve"> </w:t>
            </w:r>
            <w:r>
              <w:rPr>
                <w:rFonts w:hint="eastAsia" w:ascii="仿宋" w:hAnsi="仿宋" w:eastAsia="仿宋" w:cs="仿宋"/>
                <w:color w:val="auto"/>
                <w:spacing w:val="-2"/>
                <w:sz w:val="28"/>
                <w:szCs w:val="28"/>
                <w:highlight w:val="none"/>
              </w:rPr>
              <w:t xml:space="preserve">1</w:t>
            </w:r>
            <w:r>
              <w:rPr>
                <w:rFonts w:hint="eastAsia" w:ascii="仿宋" w:hAnsi="仿宋" w:eastAsia="仿宋" w:cs="仿宋"/>
                <w:color w:val="auto"/>
                <w:spacing w:val="-50"/>
                <w:sz w:val="28"/>
                <w:szCs w:val="28"/>
                <w:highlight w:val="none"/>
              </w:rPr>
              <w:t xml:space="preserve"> </w:t>
            </w:r>
            <w:r>
              <w:rPr>
                <w:rFonts w:hint="eastAsia" w:ascii="仿宋" w:hAnsi="仿宋" w:eastAsia="仿宋" w:cs="仿宋"/>
                <w:color w:val="auto"/>
                <w:spacing w:val="-2"/>
                <w:sz w:val="28"/>
                <w:szCs w:val="28"/>
                <w:highlight w:val="none"/>
              </w:rPr>
              <w:t xml:space="preserve">分。</w:t>
            </w:r>
            <w:r>
              <w:rPr>
                <w:rFonts w:hint="eastAsia" w:ascii="仿宋" w:hAnsi="仿宋" w:eastAsia="仿宋" w:cs="仿宋"/>
                <w:color w:val="auto"/>
                <w:spacing w:val="-3"/>
                <w:sz w:val="28"/>
                <w:szCs w:val="28"/>
                <w:highlight w:val="none"/>
              </w:rPr>
              <w:t xml:space="preserve">如投</w:t>
            </w:r>
            <w:r>
              <w:rPr>
                <w:rFonts w:hint="eastAsia" w:ascii="仿宋" w:hAnsi="仿宋" w:eastAsia="仿宋" w:cs="仿宋"/>
                <w:color w:val="auto"/>
                <w:spacing w:val="24"/>
                <w:sz w:val="28"/>
                <w:szCs w:val="28"/>
                <w:highlight w:val="none"/>
              </w:rPr>
              <w:t xml:space="preserve">标产品均属于政府强制采购节能产品品目清单范围</w:t>
            </w:r>
            <w:r>
              <w:rPr>
                <w:rFonts w:hint="eastAsia" w:ascii="仿宋" w:hAnsi="仿宋" w:eastAsia="仿宋" w:cs="仿宋"/>
                <w:color w:val="auto"/>
                <w:spacing w:val="-1"/>
                <w:sz w:val="28"/>
                <w:szCs w:val="28"/>
                <w:highlight w:val="none"/>
              </w:rPr>
              <w:t xml:space="preserve">内，本项不得分。</w:t>
            </w:r>
            <w:r/>
          </w:p>
          <w:p>
            <w:pPr>
              <w:ind w:left="111" w:right="106" w:firstLine="24"/>
              <w:spacing w:before="26" w:line="240" w:lineRule="atLeast"/>
              <w:rPr>
                <w:rFonts w:hint="eastAsia" w:ascii="仿宋" w:hAnsi="仿宋" w:eastAsia="仿宋" w:cs="仿宋"/>
                <w:color w:val="auto"/>
                <w:sz w:val="28"/>
                <w:szCs w:val="28"/>
                <w:highlight w:val="none"/>
              </w:rPr>
            </w:pPr>
            <w:r>
              <w:rPr>
                <w:rFonts w:hint="eastAsia" w:ascii="仿宋" w:hAnsi="仿宋" w:eastAsia="仿宋" w:cs="仿宋"/>
                <w:color w:val="auto"/>
                <w:spacing w:val="11"/>
                <w:sz w:val="28"/>
                <w:szCs w:val="28"/>
                <w:highlight w:val="none"/>
              </w:rPr>
              <w:t xml:space="preserve">投标产品属于财政部、生态环境部公布的“环境标志</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11"/>
                <w:sz w:val="28"/>
                <w:szCs w:val="28"/>
                <w:highlight w:val="none"/>
              </w:rPr>
              <w:t xml:space="preserve">产品品目清单”范国内的，投标人提供国家确定的认</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11"/>
                <w:sz w:val="28"/>
                <w:szCs w:val="28"/>
                <w:highlight w:val="none"/>
              </w:rPr>
              <w:t xml:space="preserve">证机构出具的、处于有效期内的该环保产品认证证书</w:t>
            </w:r>
            <w:r>
              <w:rPr>
                <w:rFonts w:hint="eastAsia" w:ascii="仿宋" w:hAnsi="仿宋" w:eastAsia="仿宋" w:cs="仿宋"/>
                <w:color w:val="auto"/>
                <w:spacing w:val="10"/>
                <w:sz w:val="28"/>
                <w:szCs w:val="28"/>
                <w:highlight w:val="none"/>
              </w:rPr>
              <w:t xml:space="preserve"> </w:t>
            </w:r>
            <w:r>
              <w:rPr>
                <w:rFonts w:hint="eastAsia" w:ascii="仿宋" w:hAnsi="仿宋" w:eastAsia="仿宋" w:cs="仿宋"/>
                <w:color w:val="auto"/>
                <w:spacing w:val="-5"/>
                <w:sz w:val="28"/>
                <w:szCs w:val="28"/>
                <w:highlight w:val="none"/>
              </w:rPr>
              <w:t xml:space="preserve">原件彩色扫描件的，有</w:t>
            </w:r>
            <w:r>
              <w:rPr>
                <w:rFonts w:hint="eastAsia" w:ascii="仿宋" w:hAnsi="仿宋" w:eastAsia="仿宋" w:cs="仿宋"/>
                <w:color w:val="auto"/>
                <w:spacing w:val="-36"/>
                <w:sz w:val="28"/>
                <w:szCs w:val="28"/>
                <w:highlight w:val="none"/>
              </w:rPr>
              <w:t xml:space="preserve"> </w:t>
            </w:r>
            <w:r>
              <w:rPr>
                <w:rFonts w:hint="eastAsia" w:ascii="仿宋" w:hAnsi="仿宋" w:eastAsia="仿宋" w:cs="仿宋"/>
                <w:color w:val="auto"/>
                <w:spacing w:val="-5"/>
                <w:sz w:val="28"/>
                <w:szCs w:val="28"/>
                <w:highlight w:val="none"/>
              </w:rPr>
              <w:t xml:space="preserve">1</w:t>
            </w:r>
            <w:r>
              <w:rPr>
                <w:rFonts w:hint="eastAsia" w:ascii="仿宋" w:hAnsi="仿宋" w:eastAsia="仿宋" w:cs="仿宋"/>
                <w:color w:val="auto"/>
                <w:spacing w:val="-58"/>
                <w:sz w:val="28"/>
                <w:szCs w:val="28"/>
                <w:highlight w:val="none"/>
              </w:rPr>
              <w:t xml:space="preserve"> </w:t>
            </w:r>
            <w:r>
              <w:rPr>
                <w:rFonts w:hint="eastAsia" w:ascii="仿宋" w:hAnsi="仿宋" w:eastAsia="仿宋" w:cs="仿宋"/>
                <w:color w:val="auto"/>
                <w:spacing w:val="-5"/>
                <w:sz w:val="28"/>
                <w:szCs w:val="28"/>
                <w:highlight w:val="none"/>
              </w:rPr>
              <w:t xml:space="preserve">个得</w:t>
            </w:r>
            <w:r>
              <w:rPr>
                <w:rFonts w:hint="eastAsia" w:ascii="仿宋" w:hAnsi="仿宋" w:eastAsia="仿宋" w:cs="仿宋"/>
                <w:color w:val="auto"/>
                <w:spacing w:val="-64"/>
                <w:sz w:val="28"/>
                <w:szCs w:val="28"/>
                <w:highlight w:val="none"/>
              </w:rPr>
              <w:t xml:space="preserve"> </w:t>
            </w:r>
            <w:r>
              <w:rPr>
                <w:rFonts w:hint="eastAsia" w:ascii="仿宋" w:hAnsi="仿宋" w:eastAsia="仿宋" w:cs="仿宋"/>
                <w:color w:val="auto"/>
                <w:spacing w:val="-5"/>
                <w:sz w:val="28"/>
                <w:szCs w:val="28"/>
                <w:highlight w:val="none"/>
              </w:rPr>
              <w:t xml:space="preserve">0.5</w:t>
            </w:r>
            <w:r>
              <w:rPr>
                <w:rFonts w:hint="eastAsia" w:ascii="仿宋" w:hAnsi="仿宋" w:eastAsia="仿宋" w:cs="仿宋"/>
                <w:color w:val="auto"/>
                <w:spacing w:val="-52"/>
                <w:sz w:val="28"/>
                <w:szCs w:val="28"/>
                <w:highlight w:val="none"/>
              </w:rPr>
              <w:t xml:space="preserve"> </w:t>
            </w:r>
            <w:r>
              <w:rPr>
                <w:rFonts w:hint="eastAsia" w:ascii="仿宋" w:hAnsi="仿宋" w:eastAsia="仿宋" w:cs="仿宋"/>
                <w:color w:val="auto"/>
                <w:spacing w:val="-5"/>
                <w:sz w:val="28"/>
                <w:szCs w:val="28"/>
                <w:highlight w:val="none"/>
              </w:rPr>
              <w:t xml:space="preserve">分，最多得</w:t>
            </w:r>
            <w:r>
              <w:rPr>
                <w:rFonts w:hint="eastAsia" w:ascii="仿宋" w:hAnsi="仿宋" w:eastAsia="仿宋" w:cs="仿宋"/>
                <w:color w:val="auto"/>
                <w:spacing w:val="-48"/>
                <w:sz w:val="28"/>
                <w:szCs w:val="28"/>
                <w:highlight w:val="none"/>
              </w:rPr>
              <w:t xml:space="preserve"> </w:t>
            </w:r>
            <w:r>
              <w:rPr>
                <w:rFonts w:hint="eastAsia" w:ascii="仿宋" w:hAnsi="仿宋" w:eastAsia="仿宋" w:cs="仿宋"/>
                <w:color w:val="auto"/>
                <w:spacing w:val="-5"/>
                <w:sz w:val="28"/>
                <w:szCs w:val="28"/>
                <w:highlight w:val="none"/>
              </w:rPr>
              <w:t xml:space="preserve">1</w:t>
            </w:r>
            <w:r>
              <w:rPr>
                <w:rFonts w:hint="eastAsia" w:ascii="仿宋" w:hAnsi="仿宋" w:eastAsia="仿宋" w:cs="仿宋"/>
                <w:color w:val="auto"/>
                <w:spacing w:val="-51"/>
                <w:sz w:val="28"/>
                <w:szCs w:val="28"/>
                <w:highlight w:val="none"/>
              </w:rPr>
              <w:t xml:space="preserve"> </w:t>
            </w:r>
            <w:r>
              <w:rPr>
                <w:rFonts w:hint="eastAsia" w:ascii="仿宋" w:hAnsi="仿宋" w:eastAsia="仿宋" w:cs="仿宋"/>
                <w:color w:val="auto"/>
                <w:spacing w:val="-5"/>
                <w:sz w:val="28"/>
                <w:szCs w:val="28"/>
                <w:highlight w:val="none"/>
              </w:rPr>
              <w:t xml:space="preserve">分。</w:t>
            </w:r>
            <w:r/>
          </w:p>
        </w:tc>
      </w:tr>
    </w:tbl>
    <w:p>
      <w:pPr>
        <w:spacing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pacing w:val="-5"/>
          <w:sz w:val="28"/>
          <w:szCs w:val="28"/>
          <w:highlight w:val="none"/>
        </w:rPr>
        <w:t xml:space="preserve">（四）价格分：30</w:t>
      </w:r>
      <w:r>
        <w:rPr>
          <w:rFonts w:hint="eastAsia" w:ascii="仿宋" w:hAnsi="仿宋" w:eastAsia="仿宋" w:cs="仿宋"/>
          <w:color w:val="auto"/>
          <w:spacing w:val="-52"/>
          <w:sz w:val="28"/>
          <w:szCs w:val="28"/>
          <w:highlight w:val="none"/>
        </w:rPr>
        <w:t xml:space="preserve"> </w:t>
      </w:r>
      <w:r>
        <w:rPr>
          <w:rFonts w:hint="eastAsia" w:ascii="仿宋" w:hAnsi="仿宋" w:eastAsia="仿宋" w:cs="仿宋"/>
          <w:b/>
          <w:bCs/>
          <w:color w:val="auto"/>
          <w:spacing w:val="-5"/>
          <w:sz w:val="28"/>
          <w:szCs w:val="28"/>
          <w:highlight w:val="none"/>
        </w:rPr>
        <w:t xml:space="preserve">分</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价格分统一采用低价优先法计算，即满足招标文件要求且投标 价格最低的投标报价为评标基准价，其价格分为满分。其他投标人 的价格分统一按照下列公式计算：</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投标报价得分=（评标基准价/投标报价）×价格权值30%×100</w:t>
      </w:r>
      <w:r/>
    </w:p>
    <w:p>
      <w:pPr>
        <w:pStyle w:val="971"/>
        <w:ind w:left="0" w:right="0" w:firstLine="0"/>
        <w:jc w:val="both"/>
        <w:spacing w:before="0" w:after="0"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（五）政府采购政策功能落实</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1、小微型企业价格扣除</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（1）本项目对小型和微型企业产品给予10%的扣除价格，用扣除后的价格参与评审。</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（2）供应商需按照《政府采购促进中小企业发展管理办法》（财库﹝2020﹞46 号）的规定提供相应的《中小企业声明函》。</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（3）企业标准请参照《关于印发中小企业划型标准规定的通知》（工信部联企业[2011]300号）文件规定自行填写。</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2、残疾人福利单位价格扣除</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（1）本项目对残疾人福利性单位，给予10%的价格扣除，用扣除后的价格参与评审。</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（2）残疾人福利单位需按照采购文件的要求提供《残疾人福利性单位声明函》。</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（3）残疾人福利单位标准请参照《关于促进残疾人就业政府采购政策的通知》（财库〔2017〕141号）。</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3、监狱和戒毒企业价格扣除</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（1）本项目对监狱和戒毒企业（简称监狱企业）给予10%的价格扣除，用扣除后的价格参与评审。</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（3）监狱企业标准请参照《关于政府采购支持监狱企业发展有关问题的通知》（财库[2014]68号）。</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4、残疾人福利单位、监狱企业属于小型、微型企业的，不重复享受政策。</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7、专门面向中小企业采购的项目或者采购包，不再执行价格评审优惠的扶持政策。</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8、根据《江苏省政府采购信用管理暂行办法》的规定，供应商信用评价结果为三星的扣2分，评价结果为二星的扣3分，评价结果为一星的扣4分。</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（六）中标人的确定</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评委会汇总各评委评分后，按照得分从高到低的顺序推荐三名中标候选人，并编写评标报告。</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采购人委托评标委员会直接确定排名第一的中标候选人为中标人。</w:t>
      </w:r>
      <w:r/>
    </w:p>
    <w:p>
      <w:pPr>
        <w:ind w:firstLine="557"/>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（七）采购人代表宣布评标结果。</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（八）公告中标结果</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自确定中标人之日起2个工作日内，在江苏政府采购网公告中标结果，公告期限为1个工作日。</w:t>
      </w:r>
      <w:r/>
    </w:p>
    <w:p>
      <w:pPr>
        <w:ind w:firstLine="56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（九）发放中标通知书</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公告中标结果的同时，采购人或采购代理机构向中标供应商发放中标通知书。</w:t>
      </w:r>
      <w:r/>
    </w:p>
    <w:p>
      <w:pPr>
        <w:ind w:firstLine="57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中标通知书发出后，采购人不得违法改变中标结果，中标供应商无正当理由不得放弃中标。</w:t>
      </w:r>
      <w:r/>
    </w:p>
    <w:p>
      <w:pPr>
        <w:ind w:firstLine="554"/>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单位在中标公示期后、领取中标通知书前必须按要求提供纸质响应文件（资格审查材料、技术标、报价标）肆份及电子格式投标文件（光盘贰份），以供存档。纸质响应文件应使用CA系统打印，且必须保证与评标时的电子标书完全一致，否则不予签订合同。</w:t>
      </w:r>
      <w:r/>
    </w:p>
    <w:p>
      <w:pPr>
        <w:jc w:val="center"/>
        <w:spacing w:line="288"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第五部分  投标文件组成</w:t>
      </w:r>
      <w:r/>
    </w:p>
    <w:p>
      <w:pPr>
        <w:ind w:firstLine="555"/>
        <w:jc w:val="left"/>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投标文件由资格审查证明材料、符合性审查材料、商务技术标、价格标、四部分组成。</w:t>
      </w:r>
      <w:r>
        <w:rPr>
          <w:rFonts w:hint="eastAsia" w:ascii="仿宋" w:hAnsi="仿宋" w:eastAsia="仿宋" w:cs="仿宋"/>
          <w:bCs/>
          <w:color w:val="auto"/>
          <w:sz w:val="28"/>
          <w:szCs w:val="28"/>
          <w:highlight w:val="none"/>
          <w:lang w:val="zh-CN"/>
        </w:rPr>
        <w:t xml:space="preserve">请投标人根据本招标文件的要求在以上</w:t>
      </w:r>
      <w:r>
        <w:rPr>
          <w:rFonts w:hint="eastAsia" w:ascii="仿宋" w:hAnsi="仿宋" w:eastAsia="仿宋" w:cs="仿宋"/>
          <w:bCs/>
          <w:color w:val="auto"/>
          <w:sz w:val="28"/>
          <w:szCs w:val="28"/>
          <w:highlight w:val="none"/>
        </w:rPr>
        <w:t xml:space="preserve">四部分中</w:t>
      </w:r>
      <w:r>
        <w:rPr>
          <w:rFonts w:hint="eastAsia" w:ascii="仿宋" w:hAnsi="仿宋" w:eastAsia="仿宋" w:cs="仿宋"/>
          <w:bCs/>
          <w:color w:val="auto"/>
          <w:sz w:val="28"/>
          <w:szCs w:val="28"/>
          <w:highlight w:val="none"/>
          <w:lang w:val="zh-CN"/>
        </w:rPr>
        <w:t xml:space="preserve">分别上传响应的投标材料。</w:t>
      </w:r>
      <w:r/>
    </w:p>
    <w:p>
      <w:pPr>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一、资格审查证明材料（不能出现商务技术标、价格标）</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1.投标人符合《政府采购法》第二十二条规定条件的承诺函（格式见附件）；</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2.法定代表人身份证明书（格式见附件）；</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3.法定代表人授权委托书原件，</w:t>
      </w:r>
      <w:r>
        <w:rPr>
          <w:rFonts w:hint="eastAsia" w:ascii="仿宋" w:hAnsi="仿宋" w:eastAsia="仿宋" w:cs="仿宋"/>
          <w:bCs/>
          <w:color w:val="auto"/>
          <w:sz w:val="28"/>
          <w:szCs w:val="28"/>
          <w:highlight w:val="none"/>
        </w:rPr>
        <w:t xml:space="preserve">投标</w:t>
      </w:r>
      <w:r>
        <w:rPr>
          <w:rFonts w:hint="eastAsia" w:ascii="仿宋" w:hAnsi="仿宋" w:eastAsia="仿宋" w:cs="仿宋"/>
          <w:bCs/>
          <w:color w:val="auto"/>
          <w:sz w:val="28"/>
          <w:szCs w:val="28"/>
          <w:highlight w:val="none"/>
          <w:lang w:val="zh-CN"/>
        </w:rPr>
        <w:t xml:space="preserve">代表本人身份证复印件（格式见附件）；</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val="zh-CN"/>
        </w:rPr>
        <w:t xml:space="preserve">.投标供应商</w:t>
      </w:r>
      <w:r>
        <w:rPr>
          <w:rFonts w:hint="eastAsia" w:ascii="仿宋" w:hAnsi="仿宋" w:eastAsia="仿宋" w:cs="仿宋"/>
          <w:bCs/>
          <w:color w:val="auto"/>
          <w:sz w:val="28"/>
          <w:szCs w:val="28"/>
          <w:highlight w:val="none"/>
        </w:rPr>
        <w:t xml:space="preserve">未</w:t>
      </w:r>
      <w:r>
        <w:rPr>
          <w:rFonts w:hint="eastAsia" w:ascii="仿宋" w:hAnsi="仿宋" w:eastAsia="仿宋" w:cs="仿宋"/>
          <w:bCs/>
          <w:color w:val="auto"/>
          <w:sz w:val="28"/>
          <w:szCs w:val="28"/>
          <w:highlight w:val="none"/>
          <w:lang w:val="zh-CN"/>
        </w:rPr>
        <w:t xml:space="preserve">被“信用中国”网站列入失信被执行人或重大税收违法案件当事人名单或政府采购严重失信行为记录名单，或查询“信用中国”网站后发现投标供应商</w:t>
      </w:r>
      <w:r>
        <w:rPr>
          <w:rFonts w:hint="eastAsia" w:ascii="仿宋" w:hAnsi="仿宋" w:eastAsia="仿宋" w:cs="仿宋"/>
          <w:bCs/>
          <w:color w:val="auto"/>
          <w:sz w:val="28"/>
          <w:szCs w:val="28"/>
          <w:highlight w:val="none"/>
        </w:rPr>
        <w:t xml:space="preserve">不</w:t>
      </w:r>
      <w:r>
        <w:rPr>
          <w:rFonts w:hint="eastAsia" w:ascii="仿宋" w:hAnsi="仿宋" w:eastAsia="仿宋" w:cs="仿宋"/>
          <w:bCs/>
          <w:color w:val="auto"/>
          <w:sz w:val="28"/>
          <w:szCs w:val="28"/>
          <w:highlight w:val="none"/>
          <w:lang w:val="zh-CN"/>
        </w:rPr>
        <w:t xml:space="preserve">存在其他不符合资格条件规定的信用记录的。</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5</w:t>
      </w:r>
      <w:r>
        <w:rPr>
          <w:rFonts w:hint="eastAsia" w:ascii="仿宋" w:hAnsi="仿宋" w:eastAsia="仿宋" w:cs="仿宋"/>
          <w:bCs/>
          <w:color w:val="auto"/>
          <w:sz w:val="28"/>
          <w:szCs w:val="28"/>
          <w:highlight w:val="none"/>
          <w:lang w:val="zh-CN"/>
        </w:rPr>
        <w:t xml:space="preserve">.提供中小企业声明函（格式见附件）或残疾人福利性单位声明函（格式见附件）或监狱或戒毒企业证明材料（格式见附件）</w:t>
      </w:r>
      <w:r/>
    </w:p>
    <w:p>
      <w:pPr>
        <w:ind w:firstLine="560"/>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6、供应商信用承诺书（格式见</w:t>
      </w:r>
      <w:r>
        <w:rPr>
          <w:rFonts w:hint="eastAsia" w:ascii="仿宋" w:hAnsi="仿宋" w:eastAsia="仿宋" w:cs="仿宋"/>
          <w:bCs/>
          <w:color w:val="auto"/>
          <w:sz w:val="28"/>
          <w:szCs w:val="28"/>
          <w:highlight w:val="none"/>
          <w:lang w:val="zh-CN"/>
        </w:rPr>
        <w:t xml:space="preserve">附件</w:t>
      </w:r>
      <w:r>
        <w:rPr>
          <w:rFonts w:hint="eastAsia" w:ascii="仿宋" w:hAnsi="仿宋" w:eastAsia="仿宋" w:cs="仿宋"/>
          <w:bCs/>
          <w:color w:val="auto"/>
          <w:sz w:val="28"/>
          <w:szCs w:val="28"/>
          <w:highlight w:val="none"/>
        </w:rPr>
        <w:t xml:space="preserve">）</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7</w:t>
      </w:r>
      <w:r>
        <w:rPr>
          <w:rFonts w:hint="eastAsia" w:ascii="仿宋" w:hAnsi="仿宋" w:eastAsia="仿宋" w:cs="仿宋"/>
          <w:bCs/>
          <w:color w:val="auto"/>
          <w:sz w:val="28"/>
          <w:szCs w:val="28"/>
          <w:highlight w:val="none"/>
          <w:lang w:val="zh-CN"/>
        </w:rPr>
        <w:t xml:space="preserve">.招标公告资格要求提供相应的佐证材料；</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8</w:t>
      </w:r>
      <w:r>
        <w:rPr>
          <w:rFonts w:hint="eastAsia" w:ascii="仿宋" w:hAnsi="仿宋" w:eastAsia="仿宋" w:cs="仿宋"/>
          <w:bCs/>
          <w:color w:val="auto"/>
          <w:sz w:val="28"/>
          <w:szCs w:val="28"/>
          <w:highlight w:val="none"/>
          <w:lang w:val="zh-CN"/>
        </w:rPr>
        <w:t xml:space="preserve">.其它需要提交的资格审查证明材料。</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如采购</w:t>
      </w:r>
      <w:r>
        <w:rPr>
          <w:rFonts w:hint="eastAsia" w:ascii="仿宋" w:hAnsi="仿宋" w:eastAsia="仿宋" w:cs="仿宋"/>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5"/>
        </w:numPr>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符合性审查</w:t>
      </w:r>
      <w:r/>
    </w:p>
    <w:p>
      <w:pPr>
        <w:pStyle w:val="725"/>
        <w:ind w:left="0" w:firstLine="562"/>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zh-CN"/>
        </w:rPr>
        <w:t xml:space="preserve">没有《</w:t>
      </w:r>
      <w:r>
        <w:rPr>
          <w:rFonts w:hint="eastAsia" w:ascii="仿宋" w:hAnsi="仿宋" w:eastAsia="仿宋" w:cs="仿宋"/>
          <w:bCs/>
          <w:color w:val="auto"/>
          <w:sz w:val="28"/>
          <w:szCs w:val="28"/>
          <w:highlight w:val="none"/>
        </w:rPr>
        <w:t xml:space="preserve">招标</w:t>
      </w:r>
      <w:r>
        <w:rPr>
          <w:rFonts w:hint="eastAsia" w:ascii="仿宋" w:hAnsi="仿宋" w:eastAsia="仿宋" w:cs="仿宋"/>
          <w:bCs/>
          <w:color w:val="auto"/>
          <w:sz w:val="28"/>
          <w:szCs w:val="28"/>
          <w:highlight w:val="none"/>
          <w:lang w:val="zh-CN"/>
        </w:rPr>
        <w:t xml:space="preserve">文件》不允许的附加条件。</w:t>
      </w:r>
      <w:r/>
    </w:p>
    <w:p>
      <w:pPr>
        <w:ind w:firstLine="562"/>
        <w:spacing w:line="400" w:lineRule="exact"/>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招标</w:t>
      </w:r>
      <w:r>
        <w:rPr>
          <w:rFonts w:hint="eastAsia" w:ascii="仿宋" w:hAnsi="仿宋" w:eastAsia="仿宋" w:cs="仿宋"/>
          <w:bCs/>
          <w:color w:val="auto"/>
          <w:sz w:val="28"/>
          <w:szCs w:val="28"/>
          <w:highlight w:val="none"/>
          <w:lang w:val="zh-CN"/>
        </w:rPr>
        <w:t xml:space="preserve">文件》要求提供承诺书</w:t>
      </w:r>
      <w:r>
        <w:rPr>
          <w:rFonts w:hint="eastAsia" w:ascii="仿宋" w:hAnsi="仿宋" w:eastAsia="仿宋" w:cs="仿宋"/>
          <w:bCs/>
          <w:color w:val="auto"/>
          <w:sz w:val="28"/>
          <w:szCs w:val="28"/>
          <w:highlight w:val="none"/>
        </w:rPr>
        <w:t xml:space="preserve">或设计方案</w:t>
      </w:r>
      <w:r>
        <w:rPr>
          <w:rFonts w:hint="eastAsia" w:ascii="仿宋" w:hAnsi="仿宋" w:eastAsia="仿宋" w:cs="仿宋"/>
          <w:bCs/>
          <w:color w:val="auto"/>
          <w:sz w:val="28"/>
          <w:szCs w:val="28"/>
          <w:highlight w:val="none"/>
          <w:lang w:val="zh-CN"/>
        </w:rPr>
        <w:t xml:space="preserve">。</w:t>
      </w:r>
      <w:r/>
    </w:p>
    <w:p>
      <w:pPr>
        <w:ind w:firstLine="562"/>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zh-CN"/>
        </w:rPr>
        <w:t xml:space="preserve">商务部分正负偏离表；（格式见附件）</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★4、技术部分正负偏离表；（格式见附件）</w:t>
      </w:r>
      <w:r/>
    </w:p>
    <w:p>
      <w:pPr>
        <w:ind w:firstLine="560"/>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zh-CN"/>
        </w:rPr>
        <w:t xml:space="preserve">★5、</w:t>
      </w:r>
      <w:r>
        <w:rPr>
          <w:rFonts w:hint="eastAsia" w:ascii="仿宋" w:hAnsi="仿宋" w:eastAsia="仿宋" w:cs="仿宋"/>
          <w:bCs/>
          <w:color w:val="auto"/>
          <w:sz w:val="28"/>
          <w:szCs w:val="28"/>
          <w:highlight w:val="none"/>
        </w:rPr>
        <w:t xml:space="preserve">本招标文件项目需求中</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号</w:t>
      </w:r>
      <w:r>
        <w:rPr>
          <w:rFonts w:hint="eastAsia" w:ascii="仿宋" w:hAnsi="仿宋" w:eastAsia="仿宋" w:cs="仿宋"/>
          <w:bCs/>
          <w:color w:val="auto"/>
          <w:sz w:val="28"/>
          <w:szCs w:val="28"/>
          <w:highlight w:val="none"/>
          <w:lang w:val="zh-CN"/>
        </w:rPr>
        <w:t xml:space="preserve">标明</w:t>
      </w:r>
      <w:r>
        <w:rPr>
          <w:rFonts w:hint="eastAsia" w:ascii="仿宋" w:hAnsi="仿宋" w:eastAsia="仿宋" w:cs="仿宋"/>
          <w:bCs/>
          <w:color w:val="auto"/>
          <w:sz w:val="28"/>
          <w:szCs w:val="28"/>
          <w:highlight w:val="none"/>
        </w:rPr>
        <w:t xml:space="preserve">的所有</w:t>
      </w:r>
      <w:r>
        <w:rPr>
          <w:rFonts w:hint="eastAsia" w:ascii="仿宋" w:hAnsi="仿宋" w:eastAsia="仿宋" w:cs="仿宋"/>
          <w:bCs/>
          <w:color w:val="auto"/>
          <w:sz w:val="28"/>
          <w:szCs w:val="28"/>
          <w:highlight w:val="none"/>
          <w:lang w:val="zh-CN"/>
        </w:rPr>
        <w:t xml:space="preserve">条款</w:t>
      </w:r>
      <w:r>
        <w:rPr>
          <w:rFonts w:hint="eastAsia" w:ascii="仿宋" w:hAnsi="仿宋" w:eastAsia="仿宋" w:cs="仿宋"/>
          <w:bCs/>
          <w:color w:val="auto"/>
          <w:sz w:val="28"/>
          <w:szCs w:val="28"/>
          <w:highlight w:val="none"/>
        </w:rPr>
        <w:t xml:space="preserve">要求提交的</w:t>
      </w:r>
      <w:r>
        <w:rPr>
          <w:rFonts w:hint="eastAsia" w:ascii="仿宋" w:hAnsi="仿宋" w:eastAsia="仿宋" w:cs="仿宋"/>
          <w:bCs/>
          <w:color w:val="auto"/>
          <w:sz w:val="28"/>
          <w:szCs w:val="28"/>
          <w:highlight w:val="none"/>
          <w:lang w:val="zh-CN"/>
        </w:rPr>
        <w:t xml:space="preserve">相关</w:t>
      </w:r>
      <w:r>
        <w:rPr>
          <w:rFonts w:hint="eastAsia" w:ascii="仿宋" w:hAnsi="仿宋" w:eastAsia="仿宋" w:cs="仿宋"/>
          <w:bCs/>
          <w:color w:val="auto"/>
          <w:sz w:val="28"/>
          <w:szCs w:val="28"/>
          <w:highlight w:val="none"/>
        </w:rPr>
        <w:t xml:space="preserve">佐证材料</w:t>
      </w:r>
      <w:r>
        <w:rPr>
          <w:rFonts w:hint="eastAsia" w:ascii="仿宋" w:hAnsi="仿宋" w:eastAsia="仿宋" w:cs="仿宋"/>
          <w:bCs/>
          <w:color w:val="auto"/>
          <w:sz w:val="28"/>
          <w:szCs w:val="28"/>
          <w:highlight w:val="none"/>
          <w:lang w:val="en-US" w:eastAsia="zh-CN"/>
        </w:rPr>
        <w:t xml:space="preserve">及相关承诺书</w:t>
      </w:r>
      <w:r/>
    </w:p>
    <w:p>
      <w:pPr>
        <w:ind w:firstLine="281"/>
        <w:spacing w:line="500" w:lineRule="exact"/>
        <w:rPr>
          <w:rFonts w:hint="eastAsia" w:ascii="仿宋" w:hAnsi="仿宋" w:eastAsia="仿宋" w:cs="仿宋"/>
          <w:color w:val="auto"/>
          <w:highlight w:val="none"/>
        </w:rPr>
      </w:pPr>
      <w:r>
        <w:rPr>
          <w:rFonts w:hint="eastAsia" w:ascii="仿宋" w:hAnsi="仿宋" w:eastAsia="仿宋" w:cs="仿宋"/>
          <w:b/>
          <w:color w:val="auto"/>
          <w:sz w:val="24"/>
          <w:highlight w:val="none"/>
          <w:u w:val="single"/>
        </w:rPr>
        <w:t xml:space="preserve">注明：（上述1-5条款材料为符合性检查项，未提供或不符合要求均按无效处理）</w:t>
      </w:r>
      <w:r/>
    </w:p>
    <w:p>
      <w:pPr>
        <w:pStyle w:val="725"/>
        <w:ind w:left="0"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上述材料为符合性检查项，未提供或不符合要求均按无效标处理。</w:t>
      </w:r>
      <w:r/>
    </w:p>
    <w:p>
      <w:pPr>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三</w:t>
      </w:r>
      <w:r>
        <w:rPr>
          <w:rFonts w:hint="eastAsia" w:ascii="仿宋" w:hAnsi="仿宋" w:eastAsia="仿宋" w:cs="仿宋"/>
          <w:bCs/>
          <w:color w:val="auto"/>
          <w:sz w:val="28"/>
          <w:szCs w:val="28"/>
          <w:highlight w:val="none"/>
          <w:lang w:val="zh-CN"/>
        </w:rPr>
        <w:t xml:space="preserve">、商务技术标（不能出现价格标）</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zh-CN"/>
        </w:rPr>
        <w:t xml:space="preserve">.投标方案。</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zh-CN"/>
        </w:rPr>
        <w:t xml:space="preserve">.商务技术评分标准中须提供的相关得分佐证材料；</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zh-CN"/>
        </w:rPr>
        <w:t xml:space="preserve">.投标人认为需要提交的其他商务技术材料。</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（招标文件要求提供的商务技术标材料中没有对应的接口上传的资料，可以在本部分的其他材料的接口中上传）</w:t>
      </w:r>
      <w:r/>
    </w:p>
    <w:p>
      <w:pPr>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四</w:t>
      </w:r>
      <w:r>
        <w:rPr>
          <w:rFonts w:hint="eastAsia" w:ascii="仿宋" w:hAnsi="仿宋" w:eastAsia="仿宋" w:cs="仿宋"/>
          <w:bCs/>
          <w:color w:val="auto"/>
          <w:sz w:val="28"/>
          <w:szCs w:val="28"/>
          <w:highlight w:val="none"/>
          <w:lang w:val="zh-CN"/>
        </w:rPr>
        <w:t xml:space="preserve">、价格标</w:t>
      </w:r>
      <w:r/>
    </w:p>
    <w:p>
      <w:pPr>
        <w:ind w:firstLine="560"/>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1.开标一览表（格式见附件）；</w:t>
      </w:r>
      <w:r/>
    </w:p>
    <w:p>
      <w:pPr>
        <w:ind w:firstLine="560"/>
        <w:spacing w:line="400" w:lineRule="exact"/>
        <w:rPr>
          <w:rFonts w:hint="eastAsia" w:eastAsia="仿宋"/>
          <w:lang w:val="en-US" w:eastAsia="zh-CN"/>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32"/>
          <w:szCs w:val="32"/>
          <w:highlight w:val="none"/>
        </w:rPr>
        <w:t xml:space="preserve">分项报价明细</w:t>
      </w:r>
      <w:r>
        <w:rPr>
          <w:rFonts w:hint="eastAsia" w:ascii="仿宋" w:hAnsi="仿宋" w:eastAsia="仿宋" w:cs="仿宋"/>
          <w:bCs/>
          <w:color w:val="auto"/>
          <w:sz w:val="32"/>
          <w:szCs w:val="32"/>
          <w:highlight w:val="none"/>
          <w:lang w:val="en-US" w:eastAsia="zh-CN"/>
        </w:rPr>
        <w:t xml:space="preserve">表</w:t>
      </w:r>
      <w:r>
        <w:rPr>
          <w:rFonts w:hint="eastAsia" w:ascii="仿宋" w:hAnsi="仿宋" w:eastAsia="仿宋" w:cs="仿宋"/>
          <w:bCs/>
          <w:color w:val="auto"/>
          <w:sz w:val="28"/>
          <w:szCs w:val="28"/>
          <w:highlight w:val="none"/>
          <w:lang w:val="zh-CN"/>
        </w:rPr>
        <w:t xml:space="preserve">（格式见附件）；</w:t>
      </w:r>
      <w:r/>
    </w:p>
    <w:p>
      <w:pPr>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400" w:lineRule="exact"/>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br w:type="page" w:clear="all"/>
      </w:r>
      <w:r/>
    </w:p>
    <w:p>
      <w:pPr>
        <w:jc w:val="center"/>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投标人符合《中华人民共和国政府采购法》第二十二条规定条件的声明函</w:t>
      </w:r>
      <w:r/>
    </w:p>
    <w:p>
      <w:pPr>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48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我单位参加</w:t>
      </w:r>
      <w:r>
        <w:rPr>
          <w:rFonts w:hint="eastAsia" w:ascii="仿宋" w:hAnsi="仿宋" w:eastAsia="仿宋" w:cs="仿宋"/>
          <w:bCs/>
          <w:color w:val="auto"/>
          <w:sz w:val="28"/>
          <w:szCs w:val="28"/>
          <w:highlight w:val="none"/>
          <w:u w:val="single"/>
        </w:rPr>
        <w:t xml:space="preserve">________________ _</w:t>
      </w:r>
      <w:r>
        <w:rPr>
          <w:rFonts w:hint="eastAsia" w:ascii="仿宋" w:hAnsi="仿宋" w:eastAsia="仿宋" w:cs="仿宋"/>
          <w:bCs/>
          <w:color w:val="auto"/>
          <w:sz w:val="28"/>
          <w:szCs w:val="28"/>
          <w:highlight w:val="none"/>
        </w:rPr>
        <w:t xml:space="preserve">（项目名称），</w:t>
      </w:r>
      <w:r>
        <w:rPr>
          <w:rFonts w:hint="eastAsia" w:ascii="仿宋" w:hAnsi="仿宋" w:eastAsia="仿宋" w:cs="仿宋"/>
          <w:bCs/>
          <w:color w:val="auto"/>
          <w:sz w:val="28"/>
          <w:szCs w:val="28"/>
          <w:highlight w:val="none"/>
          <w:u w:val="single"/>
        </w:rPr>
        <w:t xml:space="preserve">_______ __________</w:t>
      </w:r>
      <w:r>
        <w:rPr>
          <w:rFonts w:hint="eastAsia" w:ascii="仿宋" w:hAnsi="仿宋" w:eastAsia="仿宋" w:cs="仿宋"/>
          <w:bCs/>
          <w:color w:val="auto"/>
          <w:sz w:val="28"/>
          <w:szCs w:val="28"/>
          <w:highlight w:val="none"/>
        </w:rPr>
        <w:t xml:space="preserve">（项目编号）投标活动。针对《中华人民共和国政府采购法》第二十二条规定做出如下声明：</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1.我单位具有独立承担民事责任的能力；</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2.我单位具有良好的商业信誉和健全的财务会计制度；</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3.我单位具有履行合同所必需的设备和专业技术能力；</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4.我单位有依法缴纳税收和社会保障资金的良好记录；</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6.我单位满足法律、行政法规规定的其他条件。</w:t>
      </w:r>
      <w:r/>
    </w:p>
    <w:p>
      <w:pPr>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承诺人名称（公章）：</w:t>
      </w:r>
      <w:r/>
    </w:p>
    <w:p>
      <w:pPr>
        <w:jc w:val="right"/>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jc w:val="right"/>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法定代表人身份证明</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先生/女士： 现任我单位</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职务，为法定代表人，特此证明。</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身份证号码：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pStyle w:val="1015"/>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注：提供法定代表人的身份证复印件盖公章。</w:t>
      </w:r>
      <w:r/>
    </w:p>
    <w:p>
      <w:pPr>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288"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288"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法定代表人授权委托书</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（姓名）系</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（授权单位名称）的法定代表人，现委托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（姓名）（身份证号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）为我方代理人，以我方名义全权处理与本次采购项目（编号：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）有关的一切事务，其法律后果由我方承担。</w:t>
      </w:r>
      <w:r/>
    </w:p>
    <w:p>
      <w:pPr>
        <w:ind w:firstLine="56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本授权书于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日起生效。代理人无转委托权。</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代理人(被授权人):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授权单位名称（盖章）：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ind w:firstLine="42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授权单位法定代表人（签字或盖章）：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jc w:val="righ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righ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注：提供投标代表本人身份证复印件盖公章。</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jc w:val="center"/>
        <w:spacing w:line="288"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2"/>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23"/>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contextualSpacing/>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商务部分正负偏离表</w:t>
      </w:r>
      <w:r/>
    </w:p>
    <w:p>
      <w:pPr>
        <w:ind w:firstLine="560"/>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1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40"/>
      </w:tblGrid>
      <w:tr>
        <w:trPr>
          <w:trHeight w:val="994"/>
        </w:trPr>
        <w:tc>
          <w:tcPr>
            <w:tcW w:w="460"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招标文件要求的商务条款</w:t>
            </w:r>
            <w:r/>
          </w:p>
        </w:tc>
        <w:tc>
          <w:tcPr>
            <w:tcW w:w="1413"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2"/>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技术部分正负偏离表</w:t>
      </w:r>
      <w:r/>
    </w:p>
    <w:p>
      <w:pPr>
        <w:ind w:firstLine="560"/>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1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40"/>
      </w:tblGrid>
      <w:tr>
        <w:trPr>
          <w:trHeight w:val="994"/>
        </w:trPr>
        <w:tc>
          <w:tcPr>
            <w:tcW w:w="460"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招标文件要求的技术要求</w:t>
            </w:r>
            <w:r/>
          </w:p>
        </w:tc>
        <w:tc>
          <w:tcPr>
            <w:tcW w:w="1413" w:type="dxa"/>
            <w:vAlign w:val="center"/>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2"/>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2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rPr>
          <w:rFonts w:hint="eastAsia" w:ascii="仿宋" w:hAnsi="仿宋" w:eastAsia="仿宋" w:cs="仿宋"/>
          <w:color w:val="auto"/>
          <w:sz w:val="28"/>
          <w:szCs w:val="28"/>
          <w:highlight w:val="none"/>
        </w:rPr>
      </w:pPr>
      <w:r>
        <w:rPr>
          <w:rStyle w:val="954"/>
          <w:rFonts w:hint="eastAsia" w:ascii="仿宋" w:hAnsi="仿宋" w:eastAsia="仿宋" w:cs="仿宋"/>
          <w:b w:val="0"/>
          <w:color w:val="auto"/>
          <w:sz w:val="28"/>
          <w:szCs w:val="28"/>
          <w:highlight w:val="none"/>
        </w:rPr>
        <w:t xml:space="preserve">开标一览表</w:t>
      </w:r>
      <w:r/>
    </w:p>
    <w:p>
      <w:pPr>
        <w:pStyle w:val="95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项目编号：  </w:t>
      </w:r>
      <w:r/>
    </w:p>
    <w:p>
      <w:pPr>
        <w:pStyle w:val="95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w:t>
      </w:r>
      <w:r/>
    </w:p>
    <w:p>
      <w:pPr>
        <w:pStyle w:val="950"/>
        <w:spacing w:line="240" w:lineRule="atLeas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货币单位：人民币元</w:t>
      </w:r>
      <w:r/>
    </w:p>
    <w:tbl>
      <w:tblPr>
        <w:tblStyle w:val="712"/>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w:t>
            </w:r>
            <w:r/>
          </w:p>
        </w:tc>
        <w:tc>
          <w:tcPr>
            <w:tcW w:w="2700"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项目内容</w:t>
            </w:r>
            <w:r/>
          </w:p>
        </w:tc>
        <w:tc>
          <w:tcPr>
            <w:tcW w:w="3453"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总价（小写）</w:t>
            </w:r>
            <w:r/>
          </w:p>
        </w:tc>
      </w:tr>
      <w:tr>
        <w:trPr>
          <w:tblCellSpacing w:w="15" w:type="dxa"/>
        </w:trPr>
        <w:tc>
          <w:tcPr>
            <w:tcW w:w="2892"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 </w:t>
            </w:r>
            <w:r/>
          </w:p>
        </w:tc>
        <w:tc>
          <w:tcPr>
            <w:tcW w:w="2700"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详见投标文件</w:t>
            </w:r>
            <w:r/>
          </w:p>
        </w:tc>
        <w:tc>
          <w:tcPr>
            <w:tcW w:w="3453"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color w:val="auto"/>
                <w:sz w:val="28"/>
                <w:szCs w:val="28"/>
                <w:highlight w:val="none"/>
              </w:rPr>
              <w:instrText xml:space="preserve"> CONTROL Forms.HTML:Text.1 \s </w:instrText>
            </w:r>
            <w:r>
              <w:rPr>
                <w:rFonts w:hint="eastAsia" w:ascii="仿宋" w:hAnsi="仿宋" w:eastAsia="仿宋" w:cs="仿宋"/>
                <w:bCs/>
                <w:color w:val="auto"/>
                <w:sz w:val="28"/>
                <w:szCs w:val="28"/>
                <w:highlight w:val="none"/>
              </w:rPr>
              <w:fldChar w:fldCharType="separate"/>
            </w:r>
            <w:r>
              <w:rPr>
                <w:rFonts w:hint="eastAsia" w:ascii="仿宋" w:hAnsi="仿宋" w:eastAsia="仿宋" w:cs="仿宋"/>
                <w:bCs/>
                <w:color w:val="auto"/>
                <w:sz w:val="28"/>
                <w:szCs w:val="28"/>
                <w:highlight w:val="none"/>
              </w:rPr>
              <mc:AlternateContent>
                <mc:Choice Requires="wpg">
                  <w:drawing>
                    <wp:inline xmlns:wp="http://schemas.openxmlformats.org/drawingml/2006/wordprocessingDrawing" distT="0" distB="0" distL="0" distR="0">
                      <wp:extent cx="685800" cy="2286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元</w:t>
            </w:r>
            <w:r/>
          </w:p>
        </w:tc>
      </w:tr>
      <w:tr>
        <w:trPr>
          <w:tblCellSpacing w:w="15" w:type="dxa"/>
        </w:trPr>
        <w:tc>
          <w:tcPr>
            <w:tcW w:w="2892"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总价（大写）：</w:t>
            </w:r>
            <w:r/>
          </w:p>
        </w:tc>
        <w:tc>
          <w:tcPr>
            <w:gridSpan w:val="2"/>
            <w:tcW w:w="6183" w:type="dxa"/>
            <w:vAlign w:val="center"/>
            <w:textDirection w:val="lrTb"/>
            <w:noWrap w:val="false"/>
          </w:tcPr>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大写 </w:t>
            </w:r>
            <w:r/>
          </w:p>
        </w:tc>
      </w:tr>
    </w:tbl>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盖章（公章）：</w:t>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50"/>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32"/>
          <w:szCs w:val="32"/>
          <w:highlight w:val="none"/>
        </w:rPr>
        <w:t xml:space="preserve">分项报价明细</w:t>
      </w:r>
      <w:r>
        <w:rPr>
          <w:rFonts w:hint="eastAsia" w:ascii="仿宋" w:hAnsi="仿宋" w:eastAsia="仿宋" w:cs="仿宋"/>
          <w:bCs/>
          <w:color w:val="auto"/>
          <w:sz w:val="32"/>
          <w:szCs w:val="32"/>
          <w:highlight w:val="none"/>
          <w:lang w:val="en-US" w:eastAsia="zh-CN"/>
        </w:rPr>
        <w:t xml:space="preserve">表</w:t>
      </w:r>
      <w:r/>
    </w:p>
    <w:p>
      <w:pPr>
        <w:contextualSpacing/>
        <w:ind w:firstLine="540"/>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项目名称：</w:t>
      </w:r>
      <w:r/>
    </w:p>
    <w:p>
      <w:pPr>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项目编号：</w:t>
      </w:r>
      <w:r/>
    </w:p>
    <w:tbl>
      <w:tblPr>
        <w:tblStyle w:val="712"/>
        <w:tblW w:w="48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3205"/>
        <w:gridCol w:w="1449"/>
        <w:gridCol w:w="1912"/>
        <w:gridCol w:w="2328"/>
      </w:tblGrid>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数量（座）</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单项报价</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（元/座）</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合计投标报价（元）</w:t>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建设面积约3平米分类房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建设面积约12平米分类房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建设面积约35平米分类房</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659" w:type="pct"/>
            <w:vAlign w:val="center"/>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垃圾分类运维服务</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88"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jc w:val="center"/>
          <w:trHeight w:val="1047"/>
        </w:trPr>
        <w:tc>
          <w:tcPr>
            <w:gridSpan w:val="4"/>
            <w:tcBorders>
              <w:top w:val="single" w:color="auto" w:sz="4" w:space="0"/>
              <w:left w:val="single" w:color="auto" w:sz="4" w:space="0"/>
              <w:bottom w:val="single" w:color="auto" w:sz="4" w:space="0"/>
              <w:right w:val="single" w:color="auto" w:sz="4" w:space="0"/>
            </w:tcBorders>
            <w:tcW w:w="3794" w:type="pct"/>
            <w:vAlign w:val="center"/>
            <w:textDirection w:val="lrTb"/>
            <w:noWrap w:val="false"/>
          </w:tcPr>
          <w:p>
            <w:pPr>
              <w:pStyle w:val="1039"/>
              <w:ind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投标报价总价金额（元）</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pStyle w:val="1039"/>
              <w:ind w:firstLine="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bl>
    <w:p>
      <w:pPr>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投标供应商：（盖章）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法定代表人或被授权人（签字或盖章）：</w:t>
      </w:r>
      <w:r/>
    </w:p>
    <w:p>
      <w:pPr>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t xml:space="preserve">日期：</w:t>
      </w:r>
      <w:r/>
    </w:p>
    <w:p>
      <w:pPr>
        <w:spacing w:line="440" w:lineRule="exact"/>
        <w:rPr>
          <w:rFonts w:hint="eastAsia"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注明：1、本表</w:t>
      </w:r>
      <w:r>
        <w:rPr>
          <w:rFonts w:hint="eastAsia" w:ascii="仿宋" w:hAnsi="仿宋" w:eastAsia="仿宋" w:cs="仿宋"/>
          <w:b/>
          <w:color w:val="auto"/>
          <w:sz w:val="24"/>
          <w:highlight w:val="none"/>
          <w:lang w:val="zh-CN"/>
        </w:rPr>
        <w:t xml:space="preserve">各分项报价合计应当与</w:t>
      </w:r>
      <w:r>
        <w:rPr>
          <w:rFonts w:hint="eastAsia" w:ascii="仿宋" w:hAnsi="仿宋" w:eastAsia="仿宋" w:cs="仿宋"/>
          <w:b/>
          <w:color w:val="auto"/>
          <w:sz w:val="24"/>
          <w:highlight w:val="none"/>
        </w:rPr>
        <w:t xml:space="preserve">投标总价</w:t>
      </w:r>
      <w:r>
        <w:rPr>
          <w:rFonts w:hint="eastAsia" w:ascii="仿宋" w:hAnsi="仿宋" w:eastAsia="仿宋" w:cs="仿宋"/>
          <w:b/>
          <w:color w:val="auto"/>
          <w:sz w:val="24"/>
          <w:highlight w:val="none"/>
          <w:lang w:val="zh-CN"/>
        </w:rPr>
        <w:t xml:space="preserve">相等。请各供应商务必按照以上要求填报，否则作为无效投标处理。</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2、报价小数点后保留后两位，报价超过小数点后两位做无效响应处理。</w:t>
      </w:r>
      <w:r/>
    </w:p>
    <w:p>
      <w:pPr>
        <w:ind w:firstLine="361"/>
        <w:jc w:val="center"/>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22"/>
        <w:jc w:val="cente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jc w:val="cente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jc w:val="cente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contextualSpacing/>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contextualSpacing/>
        <w:jc w:val="center"/>
        <w:spacing w:line="400" w:lineRule="exact"/>
        <w:rPr>
          <w:rFonts w:hint="eastAsia" w:ascii="仿宋" w:hAnsi="仿宋" w:eastAsia="仿宋" w:cs="仿宋"/>
          <w:b/>
          <w:bCs/>
          <w:color w:val="auto"/>
          <w:sz w:val="28"/>
          <w:szCs w:val="28"/>
          <w:highlight w:val="none"/>
          <w:lang w:bidi="zh-CN"/>
        </w:rPr>
      </w:pPr>
      <w:r>
        <w:rPr>
          <w:rFonts w:hint="eastAsia" w:ascii="仿宋" w:hAnsi="仿宋" w:eastAsia="仿宋" w:cs="仿宋"/>
          <w:b/>
          <w:bCs/>
          <w:color w:val="auto"/>
          <w:sz w:val="28"/>
          <w:szCs w:val="28"/>
          <w:highlight w:val="none"/>
        </w:rPr>
        <w:t xml:space="preserve">中小企业声明函（服务）</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8"/>
          <w:szCs w:val="28"/>
          <w:highlight w:val="none"/>
          <w:u w:val="single"/>
          <w:lang w:bidi="zh-CN"/>
        </w:rPr>
        <w:t xml:space="preserve">（单位名称）</w:t>
      </w:r>
      <w:r>
        <w:rPr>
          <w:rFonts w:hint="eastAsia" w:ascii="仿宋" w:hAnsi="仿宋" w:eastAsia="仿宋" w:cs="仿宋"/>
          <w:color w:val="auto"/>
          <w:sz w:val="28"/>
          <w:szCs w:val="28"/>
          <w:highlight w:val="none"/>
          <w:lang w:bidi="zh-CN"/>
        </w:rPr>
        <w:t xml:space="preserve">的</w:t>
      </w:r>
      <w:r>
        <w:rPr>
          <w:rFonts w:hint="eastAsia" w:ascii="仿宋" w:hAnsi="仿宋" w:eastAsia="仿宋" w:cs="仿宋"/>
          <w:color w:val="auto"/>
          <w:sz w:val="28"/>
          <w:szCs w:val="28"/>
          <w:highlight w:val="none"/>
          <w:u w:val="single"/>
          <w:lang w:bidi="zh-CN"/>
        </w:rPr>
        <w:t xml:space="preserve">（项目名称）</w:t>
      </w:r>
      <w:r>
        <w:rPr>
          <w:rFonts w:hint="eastAsia" w:ascii="仿宋" w:hAnsi="仿宋" w:eastAsia="仿宋" w:cs="仿宋"/>
          <w:color w:val="auto"/>
          <w:sz w:val="28"/>
          <w:szCs w:val="28"/>
          <w:highlight w:val="none"/>
          <w:lang w:bidi="zh-CN"/>
        </w:rPr>
        <w:t xml:space="preserve">采购活动，服务全部由符合政策要求的中小企业承接）。相关企业（含联合 体中的中小企业、签订分包意向协议的中小企业）的具体情况如下：</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1.</w:t>
      </w:r>
      <w:r>
        <w:rPr>
          <w:rFonts w:hint="eastAsia" w:ascii="仿宋" w:hAnsi="仿宋" w:eastAsia="仿宋" w:cs="仿宋"/>
          <w:color w:val="auto"/>
          <w:sz w:val="28"/>
          <w:szCs w:val="28"/>
          <w:highlight w:val="none"/>
          <w:u w:val="single"/>
          <w:lang w:bidi="zh-CN"/>
        </w:rPr>
        <w:t xml:space="preserve">（标的名称）</w:t>
      </w:r>
      <w:r>
        <w:rPr>
          <w:rFonts w:hint="eastAsia" w:ascii="仿宋" w:hAnsi="仿宋" w:eastAsia="仿宋" w:cs="仿宋"/>
          <w:color w:val="auto"/>
          <w:sz w:val="28"/>
          <w:szCs w:val="28"/>
          <w:highlight w:val="none"/>
          <w:lang w:bidi="zh-CN"/>
        </w:rPr>
        <w:t xml:space="preserve">，属于</w:t>
      </w:r>
      <w:r>
        <w:rPr>
          <w:rFonts w:hint="eastAsia" w:ascii="仿宋" w:hAnsi="仿宋" w:eastAsia="仿宋" w:cs="仿宋"/>
          <w:color w:val="auto"/>
          <w:sz w:val="28"/>
          <w:szCs w:val="28"/>
          <w:highlight w:val="none"/>
          <w:u w:val="single"/>
          <w:lang w:bidi="zh-CN"/>
        </w:rPr>
        <w:t xml:space="preserve">其他未列明行业</w:t>
      </w:r>
      <w:r>
        <w:rPr>
          <w:rFonts w:hint="eastAsia" w:ascii="仿宋" w:hAnsi="仿宋" w:eastAsia="仿宋" w:cs="仿宋"/>
          <w:color w:val="auto"/>
          <w:sz w:val="28"/>
          <w:szCs w:val="28"/>
          <w:highlight w:val="none"/>
          <w:lang w:bidi="zh-CN"/>
        </w:rPr>
        <w:t xml:space="preserve">（</w:t>
      </w:r>
      <w:r>
        <w:rPr>
          <w:rFonts w:hint="eastAsia" w:ascii="仿宋" w:hAnsi="仿宋" w:eastAsia="仿宋" w:cs="仿宋"/>
          <w:color w:val="auto"/>
          <w:sz w:val="28"/>
          <w:szCs w:val="28"/>
          <w:highlight w:val="none"/>
          <w:u w:val="single"/>
          <w:lang w:bidi="zh-CN"/>
        </w:rPr>
        <w:t xml:space="preserve">采购文件中明确的所属行业）</w:t>
      </w:r>
      <w:r>
        <w:rPr>
          <w:rFonts w:hint="eastAsia" w:ascii="仿宋" w:hAnsi="仿宋" w:eastAsia="仿宋" w:cs="仿宋"/>
          <w:color w:val="auto"/>
          <w:sz w:val="28"/>
          <w:szCs w:val="28"/>
          <w:highlight w:val="none"/>
          <w:lang w:bidi="zh-CN"/>
        </w:rPr>
        <w:t xml:space="preserve">；承建（承接）企业为</w:t>
      </w:r>
      <w:r>
        <w:rPr>
          <w:rFonts w:hint="eastAsia" w:ascii="仿宋" w:hAnsi="仿宋" w:eastAsia="仿宋" w:cs="仿宋"/>
          <w:color w:val="auto"/>
          <w:sz w:val="28"/>
          <w:szCs w:val="28"/>
          <w:highlight w:val="none"/>
          <w:u w:val="single"/>
          <w:lang w:bidi="zh-CN"/>
        </w:rPr>
        <w:t xml:space="preserve">（企业名称）</w:t>
      </w:r>
      <w:r>
        <w:rPr>
          <w:rFonts w:hint="eastAsia" w:ascii="仿宋" w:hAnsi="仿宋" w:eastAsia="仿宋" w:cs="仿宋"/>
          <w:color w:val="auto"/>
          <w:sz w:val="28"/>
          <w:szCs w:val="28"/>
          <w:highlight w:val="none"/>
          <w:lang w:bidi="zh-CN"/>
        </w:rPr>
        <w:t xml:space="preserve">，从业人员</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人，营业收入为</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万元，资产总额为</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万元，属于</w:t>
      </w:r>
      <w:r>
        <w:rPr>
          <w:rFonts w:hint="eastAsia" w:ascii="仿宋" w:hAnsi="仿宋" w:eastAsia="仿宋" w:cs="仿宋"/>
          <w:color w:val="auto"/>
          <w:sz w:val="28"/>
          <w:szCs w:val="28"/>
          <w:highlight w:val="none"/>
          <w:u w:val="single"/>
          <w:lang w:bidi="zh-CN"/>
        </w:rPr>
        <w:t xml:space="preserve">（□中型企业 □小型企业 □微型企业）</w:t>
      </w:r>
      <w:r>
        <w:rPr>
          <w:rFonts w:hint="eastAsia" w:ascii="仿宋" w:hAnsi="仿宋" w:eastAsia="仿宋" w:cs="仿宋"/>
          <w:color w:val="auto"/>
          <w:sz w:val="28"/>
          <w:szCs w:val="28"/>
          <w:highlight w:val="none"/>
          <w:lang w:bidi="zh-CN"/>
        </w:rPr>
        <w:t xml:space="preserve">；</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2.</w:t>
      </w:r>
      <w:r>
        <w:rPr>
          <w:rFonts w:hint="eastAsia" w:ascii="仿宋" w:hAnsi="仿宋" w:eastAsia="仿宋" w:cs="仿宋"/>
          <w:color w:val="auto"/>
          <w:sz w:val="28"/>
          <w:szCs w:val="28"/>
          <w:highlight w:val="none"/>
          <w:u w:val="single"/>
          <w:lang w:bidi="zh-CN"/>
        </w:rPr>
        <w:t xml:space="preserve">（标的名称）</w:t>
      </w:r>
      <w:r>
        <w:rPr>
          <w:rFonts w:hint="eastAsia" w:ascii="仿宋" w:hAnsi="仿宋" w:eastAsia="仿宋" w:cs="仿宋"/>
          <w:color w:val="auto"/>
          <w:sz w:val="28"/>
          <w:szCs w:val="28"/>
          <w:highlight w:val="none"/>
          <w:lang w:bidi="zh-CN"/>
        </w:rPr>
        <w:t xml:space="preserve">，属于</w:t>
      </w:r>
      <w:r>
        <w:rPr>
          <w:rFonts w:hint="eastAsia" w:ascii="仿宋" w:hAnsi="仿宋" w:eastAsia="仿宋" w:cs="仿宋"/>
          <w:color w:val="auto"/>
          <w:sz w:val="28"/>
          <w:szCs w:val="28"/>
          <w:highlight w:val="none"/>
          <w:u w:val="single"/>
          <w:lang w:bidi="zh-CN"/>
        </w:rPr>
        <w:t xml:space="preserve">其他未列明行业</w:t>
      </w:r>
      <w:r>
        <w:rPr>
          <w:rFonts w:hint="eastAsia" w:ascii="仿宋" w:hAnsi="仿宋" w:eastAsia="仿宋" w:cs="仿宋"/>
          <w:color w:val="auto"/>
          <w:sz w:val="28"/>
          <w:szCs w:val="28"/>
          <w:highlight w:val="none"/>
          <w:lang w:bidi="zh-CN"/>
        </w:rPr>
        <w:t xml:space="preserve">（</w:t>
      </w:r>
      <w:r>
        <w:rPr>
          <w:rFonts w:hint="eastAsia" w:ascii="仿宋" w:hAnsi="仿宋" w:eastAsia="仿宋" w:cs="仿宋"/>
          <w:color w:val="auto"/>
          <w:sz w:val="28"/>
          <w:szCs w:val="28"/>
          <w:highlight w:val="none"/>
          <w:u w:val="single"/>
          <w:lang w:bidi="zh-CN"/>
        </w:rPr>
        <w:t xml:space="preserve">采购文件中明确的所属行业）</w:t>
      </w:r>
      <w:r>
        <w:rPr>
          <w:rFonts w:hint="eastAsia" w:ascii="仿宋" w:hAnsi="仿宋" w:eastAsia="仿宋" w:cs="仿宋"/>
          <w:color w:val="auto"/>
          <w:sz w:val="28"/>
          <w:szCs w:val="28"/>
          <w:highlight w:val="none"/>
          <w:lang w:bidi="zh-CN"/>
        </w:rPr>
        <w:t xml:space="preserve">；承建（承接）企业为</w:t>
      </w:r>
      <w:r>
        <w:rPr>
          <w:rFonts w:hint="eastAsia" w:ascii="仿宋" w:hAnsi="仿宋" w:eastAsia="仿宋" w:cs="仿宋"/>
          <w:color w:val="auto"/>
          <w:sz w:val="28"/>
          <w:szCs w:val="28"/>
          <w:highlight w:val="none"/>
          <w:u w:val="single"/>
          <w:lang w:bidi="zh-CN"/>
        </w:rPr>
        <w:t xml:space="preserve">（企业名称）</w:t>
      </w:r>
      <w:r>
        <w:rPr>
          <w:rFonts w:hint="eastAsia" w:ascii="仿宋" w:hAnsi="仿宋" w:eastAsia="仿宋" w:cs="仿宋"/>
          <w:color w:val="auto"/>
          <w:sz w:val="28"/>
          <w:szCs w:val="28"/>
          <w:highlight w:val="none"/>
          <w:lang w:bidi="zh-CN"/>
        </w:rPr>
        <w:t xml:space="preserve">，从业人员</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人，营业收入为</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万元，资产总额为</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万元，属于 </w:t>
      </w:r>
      <w:r>
        <w:rPr>
          <w:rFonts w:hint="eastAsia" w:ascii="仿宋" w:hAnsi="仿宋" w:eastAsia="仿宋" w:cs="仿宋"/>
          <w:color w:val="auto"/>
          <w:sz w:val="28"/>
          <w:szCs w:val="28"/>
          <w:highlight w:val="none"/>
          <w:u w:val="single"/>
          <w:lang w:bidi="zh-CN"/>
        </w:rPr>
        <w:t xml:space="preserve">（□中型企业 □小型企业 □微型企业）</w:t>
      </w:r>
      <w:r>
        <w:rPr>
          <w:rFonts w:hint="eastAsia" w:ascii="仿宋" w:hAnsi="仿宋" w:eastAsia="仿宋" w:cs="仿宋"/>
          <w:color w:val="auto"/>
          <w:sz w:val="28"/>
          <w:szCs w:val="28"/>
          <w:highlight w:val="none"/>
          <w:lang w:bidi="zh-CN"/>
        </w:rPr>
        <w:t xml:space="preserve">；</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本企业对上述声明内容的真实性负责。如有虚假，将依法承担相应责任。</w:t>
      </w:r>
      <w:r/>
    </w:p>
    <w:p>
      <w:pPr>
        <w:spacing w:line="240" w:lineRule="atLeast"/>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r>
      <w:r/>
    </w:p>
    <w:p>
      <w:pPr>
        <w:ind w:firstLine="4900"/>
        <w:spacing w:line="240" w:lineRule="atLeast"/>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企业名称（盖章）：</w:t>
      </w:r>
      <w:r/>
    </w:p>
    <w:p>
      <w:pPr>
        <w:ind w:firstLine="4900"/>
        <w:spacing w:line="240" w:lineRule="atLeas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lang w:bidi="zh-CN"/>
        </w:rPr>
        <w:t xml:space="preserve">日期：</w:t>
      </w:r>
      <w:r/>
    </w:p>
    <w:p>
      <w:pPr>
        <w:ind w:firstLine="480"/>
        <w:spacing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1.从业人员、营业收入、资产总额填报上一年度数据，无上一年度数据的新成立企业可不填报。</w:t>
      </w:r>
      <w:r/>
    </w:p>
    <w:p>
      <w:pPr>
        <w:ind w:firstLine="482"/>
        <w:spacing w:line="240" w:lineRule="atLeas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0"/>
        <w:spacing w:line="24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3.供应商自行勾选承接企业的企业规模类型。</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1405"/>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残疾人福利性单位声明函</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注：1.供应商如不提供此声明函，价格将不做相应扣除。 </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spacing w:line="588"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right="1560" w:firstLine="584"/>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140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监狱和戒毒企业证明材料</w:t>
      </w:r>
      <w:r/>
    </w:p>
    <w:p>
      <w:pPr>
        <w:ind w:firstLine="5720"/>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6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注：1.供应商如不提供此声明函，价格将不做相应扣除。 </w:t>
      </w:r>
      <w:r/>
    </w:p>
    <w:p>
      <w:pPr>
        <w:ind w:firstLine="56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before="240" w:line="288" w:lineRule="auto"/>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lang w:bidi="ar"/>
        </w:rPr>
        <w:t xml:space="preserve">供应商信用承诺书</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七、上述承诺已向本单位员工作了宣传教育；</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如有违反上述承诺的不良行为，本单位同意将其予以上网公示。</w:t>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2"/>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3904"/>
        <w:jc w:val="left"/>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投标供应商全称(盖公章)：</w:t>
      </w:r>
      <w:r/>
    </w:p>
    <w:p>
      <w:pPr>
        <w:ind w:firstLine="3904"/>
        <w:jc w:val="left"/>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法定代表人（签字或盖章）：</w:t>
      </w:r>
      <w:r/>
    </w:p>
    <w:p>
      <w:pPr>
        <w:ind w:firstLine="3904"/>
        <w:jc w:val="left"/>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时间：  年  月   日</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4"/>
          <w:highlight w:val="none"/>
        </w:rPr>
        <w:br w:type="page" w:clear="all"/>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质疑函范本</w:t>
      </w:r>
      <w:r/>
    </w:p>
    <w:p>
      <w:pPr>
        <w:spacing w:before="312"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质疑供应商：</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u w:val="single"/>
        </w:rPr>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288"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签字(签章)：                   公章：                      </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    </w:t>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质疑函制作说明：</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1.供应商提出质疑时，应提交质疑函和必要的证明材料。</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3.质疑供应商若对项目的某一分包进行质疑，质疑函中应列明具体分包号。</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4.质疑函的质疑事项应具体、明确，并有必要的事实依据和法律依据。</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5.质疑函的质疑请求应与质疑事项相关。</w:t>
      </w:r>
      <w:r/>
    </w:p>
    <w:p>
      <w:pPr>
        <w:ind w:firstLine="640"/>
        <w:jc w:val="left"/>
        <w:spacing w:line="288"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spacing w:line="288"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br w:type="page" w:clear="all"/>
      </w:r>
      <w:r/>
    </w:p>
    <w:p>
      <w:pPr>
        <w:jc w:val="center"/>
        <w:spacing w:line="480" w:lineRule="auto"/>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t xml:space="preserve">政府采购合同参考范本</w:t>
      </w:r>
      <w:r/>
    </w:p>
    <w:p>
      <w:pPr>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907"/>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7"/>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7"/>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7"/>
        <w:ind w:firstLine="0"/>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第一部分 合同书</w:t>
      </w:r>
      <w:r/>
    </w:p>
    <w:p>
      <w:pPr>
        <w:pStyle w:val="907"/>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7"/>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苏锡通园区2025年度创建生活垃圾四分类示范小区公开招标采购项目</w:t>
      </w:r>
      <w:r/>
    </w:p>
    <w:p>
      <w:pPr>
        <w:ind w:firstLine="840"/>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left="960"/>
        <w:spacing w:before="120" w:line="22" w:lineRule="atLeast"/>
        <w:rPr>
          <w:rFonts w:hint="eastAsia" w:ascii="仿宋" w:hAnsi="仿宋" w:eastAsia="仿宋" w:cs="仿宋"/>
          <w:b/>
          <w:bCs/>
          <w:color w:val="auto"/>
          <w:sz w:val="24"/>
          <w:highlight w:val="none"/>
          <w:u w:val="single"/>
        </w:rPr>
      </w:pPr>
      <w:r>
        <w:rPr>
          <w:rFonts w:hint="eastAsia" w:ascii="仿宋" w:hAnsi="仿宋" w:eastAsia="仿宋" w:cs="仿宋"/>
          <w:color w:val="auto"/>
          <w:sz w:val="24"/>
          <w:highlight w:val="none"/>
        </w:rPr>
        <w:t xml:space="preserve">甲方： </w:t>
      </w:r>
      <w:r>
        <w:rPr>
          <w:rFonts w:hint="eastAsia" w:ascii="仿宋" w:hAnsi="仿宋" w:eastAsia="仿宋" w:cs="仿宋"/>
          <w:color w:val="auto"/>
          <w:sz w:val="24"/>
          <w:highlight w:val="none"/>
          <w:u w:val="single"/>
        </w:rPr>
        <w:t xml:space="preserve">     </w:t>
      </w:r>
      <w:r>
        <w:rPr>
          <w:rFonts w:hint="eastAsia" w:ascii="仿宋" w:hAnsi="仿宋" w:eastAsia="仿宋" w:cs="仿宋"/>
          <w:b/>
          <w:bCs/>
          <w:color w:val="auto"/>
          <w:sz w:val="24"/>
          <w:highlight w:val="none"/>
          <w:u w:val="single"/>
        </w:rPr>
        <w:t xml:space="preserve">                                                            </w:t>
      </w:r>
      <w:r/>
    </w:p>
    <w:p>
      <w:pPr>
        <w:spacing w:before="120" w:line="22" w:lineRule="atLeast"/>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r>
      <w:r/>
    </w:p>
    <w:p>
      <w:pPr>
        <w:ind w:left="96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64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color w:val="auto"/>
          <w:sz w:val="24"/>
          <w:highlight w:val="none"/>
        </w:rPr>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为该项目中标供应商。现于中标通知书发出之日起十日内，按照采购文件确定的事项签订本合同。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firstLine="482"/>
        <w:spacing w:line="560" w:lineRule="exact"/>
        <w:rPr>
          <w:rFonts w:hint="eastAsia" w:ascii="仿宋" w:hAnsi="仿宋" w:eastAsia="仿宋" w:cs="仿宋"/>
          <w:color w:val="auto"/>
          <w:sz w:val="24"/>
          <w:highlight w:val="none"/>
        </w:rPr>
        <w:outlineLvl w:val="0"/>
      </w:pPr>
      <w:r/>
      <w:bookmarkStart w:id="127" w:name="_Toc22967"/>
      <w:r/>
      <w:bookmarkStart w:id="128" w:name="_Toc15367"/>
      <w:r/>
      <w:bookmarkStart w:id="129" w:name="_Toc19273"/>
      <w:r/>
      <w:bookmarkStart w:id="130" w:name="_Toc28855"/>
      <w:r/>
      <w:bookmarkStart w:id="131" w:name="_Toc20421"/>
      <w:r>
        <w:rPr>
          <w:rFonts w:hint="eastAsia" w:ascii="仿宋" w:hAnsi="仿宋" w:eastAsia="仿宋" w:cs="仿宋"/>
          <w:b/>
          <w:color w:val="auto"/>
          <w:sz w:val="24"/>
          <w:highlight w:val="none"/>
        </w:rPr>
        <w:t xml:space="preserve">1.1 合同组成部分</w:t>
      </w:r>
      <w:bookmarkEnd w:id="127"/>
      <w:r/>
      <w:bookmarkEnd w:id="128"/>
      <w:r/>
      <w:bookmarkEnd w:id="129"/>
      <w:r/>
      <w:bookmarkEnd w:id="130"/>
      <w:r/>
      <w:bookmarkEnd w:id="131"/>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投标文件（含澄清或者说明文件）；</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招标文件（含澄清或者修改文件）；</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firstLine="482"/>
        <w:spacing w:line="560" w:lineRule="exact"/>
        <w:rPr>
          <w:rFonts w:hint="eastAsia" w:ascii="仿宋" w:hAnsi="仿宋" w:eastAsia="仿宋" w:cs="仿宋"/>
          <w:b/>
          <w:color w:val="auto"/>
          <w:sz w:val="24"/>
          <w:highlight w:val="none"/>
        </w:rPr>
        <w:outlineLvl w:val="0"/>
      </w:pPr>
      <w:r/>
      <w:bookmarkStart w:id="132" w:name="_Toc6773"/>
      <w:r/>
      <w:bookmarkStart w:id="133" w:name="_Toc6311"/>
      <w:r/>
      <w:bookmarkStart w:id="134" w:name="_Toc2918"/>
      <w:r/>
      <w:bookmarkStart w:id="135" w:name="_Toc22185"/>
      <w:r/>
      <w:bookmarkStart w:id="136" w:name="_Toc18585"/>
      <w:r>
        <w:rPr>
          <w:rFonts w:hint="eastAsia" w:ascii="仿宋" w:hAnsi="仿宋" w:eastAsia="仿宋" w:cs="仿宋"/>
          <w:b/>
          <w:color w:val="auto"/>
          <w:sz w:val="24"/>
          <w:highlight w:val="none"/>
        </w:rPr>
        <w:t xml:space="preserve">1.2 标的</w:t>
      </w:r>
      <w:bookmarkEnd w:id="132"/>
      <w:r/>
      <w:bookmarkEnd w:id="133"/>
      <w:r/>
      <w:bookmarkEnd w:id="134"/>
      <w:r/>
      <w:bookmarkEnd w:id="135"/>
      <w:r/>
      <w:bookmarkEnd w:id="136"/>
      <w:r/>
      <w:r/>
    </w:p>
    <w:p>
      <w:pPr>
        <w:ind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2"/>
        <w:spacing w:line="560" w:lineRule="exact"/>
        <w:rPr>
          <w:rFonts w:hint="eastAsia" w:ascii="仿宋" w:hAnsi="仿宋" w:eastAsia="仿宋" w:cs="仿宋"/>
          <w:b/>
          <w:color w:val="auto"/>
          <w:sz w:val="24"/>
          <w:highlight w:val="none"/>
        </w:rPr>
        <w:outlineLvl w:val="0"/>
      </w:pPr>
      <w:r/>
      <w:bookmarkStart w:id="137" w:name="_Toc21124"/>
      <w:r/>
      <w:bookmarkStart w:id="138" w:name="_Toc13918"/>
      <w:r/>
      <w:bookmarkStart w:id="139" w:name="_Toc5635"/>
      <w:r/>
      <w:bookmarkStart w:id="140" w:name="_Toc1386"/>
      <w:r/>
      <w:bookmarkStart w:id="141" w:name="_Toc4929"/>
      <w:r>
        <w:rPr>
          <w:rFonts w:hint="eastAsia" w:ascii="仿宋" w:hAnsi="仿宋" w:eastAsia="仿宋" w:cs="仿宋"/>
          <w:b/>
          <w:color w:val="auto"/>
          <w:sz w:val="24"/>
          <w:highlight w:val="none"/>
        </w:rPr>
        <w:t xml:space="preserve">1.3 价款</w:t>
      </w:r>
      <w:bookmarkEnd w:id="137"/>
      <w:r/>
      <w:bookmarkEnd w:id="138"/>
      <w:r/>
      <w:bookmarkEnd w:id="139"/>
      <w:r/>
      <w:bookmarkEnd w:id="140"/>
      <w:r/>
      <w:bookmarkEnd w:id="141"/>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元人民币）。</w:t>
      </w:r>
      <w:r/>
    </w:p>
    <w:p>
      <w:pPr>
        <w:ind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33"/>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分项名称</w:t>
            </w:r>
            <w:r/>
          </w:p>
        </w:tc>
        <w:tc>
          <w:tcPr>
            <w:tcW w:w="2552" w:type="dxa"/>
            <w:vAlign w:val="center"/>
            <w:textDirection w:val="lrTb"/>
            <w:noWrap w:val="false"/>
          </w:tcPr>
          <w:p>
            <w:pPr>
              <w:pStyle w:val="933"/>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c>
          <w:tcPr>
            <w:tcW w:w="2552" w:type="dxa"/>
            <w:vAlign w:val="center"/>
            <w:textDirection w:val="lrTb"/>
            <w:noWrap w:val="false"/>
          </w:tcPr>
          <w:p>
            <w:pPr>
              <w:pStyle w:val="933"/>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2"/>
        <w:spacing w:line="560" w:lineRule="exact"/>
        <w:rPr>
          <w:rFonts w:hint="eastAsia" w:ascii="仿宋" w:hAnsi="仿宋" w:eastAsia="仿宋" w:cs="仿宋"/>
          <w:b/>
          <w:color w:val="auto"/>
          <w:sz w:val="24"/>
          <w:highlight w:val="none"/>
        </w:rPr>
        <w:outlineLvl w:val="0"/>
      </w:pPr>
      <w:r/>
      <w:bookmarkStart w:id="142" w:name="_Toc30506"/>
      <w:r/>
      <w:bookmarkStart w:id="143" w:name="_Toc30158"/>
      <w:r/>
      <w:bookmarkStart w:id="144" w:name="_Toc14993"/>
      <w:r/>
      <w:bookmarkStart w:id="145" w:name="_Toc26916"/>
      <w:r/>
      <w:bookmarkStart w:id="146" w:name="_Toc3654"/>
      <w:r>
        <w:rPr>
          <w:rFonts w:hint="eastAsia" w:ascii="仿宋" w:hAnsi="仿宋" w:eastAsia="仿宋" w:cs="仿宋"/>
          <w:b/>
          <w:color w:val="auto"/>
          <w:sz w:val="24"/>
          <w:highlight w:val="none"/>
        </w:rPr>
        <w:t xml:space="preserve">1.4 付款方式和发票开具方式</w:t>
      </w:r>
      <w:bookmarkEnd w:id="142"/>
      <w:r/>
      <w:bookmarkEnd w:id="143"/>
      <w:r/>
      <w:bookmarkEnd w:id="144"/>
      <w:r/>
      <w:bookmarkEnd w:id="145"/>
      <w:r/>
      <w:bookmarkEnd w:id="14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1.4.1付款方式：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2"/>
        <w:spacing w:line="560" w:lineRule="exact"/>
        <w:rPr>
          <w:rFonts w:hint="eastAsia" w:ascii="仿宋" w:hAnsi="仿宋" w:eastAsia="仿宋" w:cs="仿宋"/>
          <w:b/>
          <w:color w:val="auto"/>
          <w:sz w:val="24"/>
          <w:highlight w:val="none"/>
        </w:rPr>
        <w:outlineLvl w:val="0"/>
      </w:pPr>
      <w:r/>
      <w:bookmarkStart w:id="147" w:name="_Toc31421"/>
      <w:r/>
      <w:bookmarkStart w:id="148" w:name="_Toc8772"/>
      <w:r/>
      <w:bookmarkStart w:id="149" w:name="_Toc3625"/>
      <w:r/>
      <w:bookmarkStart w:id="150" w:name="_Toc11108"/>
      <w:r/>
      <w:bookmarkStart w:id="151" w:name="_Toc4760"/>
      <w:r>
        <w:rPr>
          <w:rFonts w:hint="eastAsia" w:ascii="仿宋" w:hAnsi="仿宋" w:eastAsia="仿宋" w:cs="仿宋"/>
          <w:b/>
          <w:color w:val="auto"/>
          <w:sz w:val="24"/>
          <w:highlight w:val="none"/>
        </w:rPr>
        <w:t xml:space="preserve">1.5 履行期限、地点和方式</w:t>
      </w:r>
      <w:bookmarkEnd w:id="147"/>
      <w:r/>
      <w:bookmarkEnd w:id="148"/>
      <w:r/>
      <w:bookmarkEnd w:id="149"/>
      <w:r/>
      <w:bookmarkEnd w:id="150"/>
      <w:r/>
      <w:bookmarkEnd w:id="151"/>
      <w:r/>
      <w:r/>
    </w:p>
    <w:p>
      <w:pPr>
        <w:ind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2"/>
        <w:spacing w:line="560" w:lineRule="exact"/>
        <w:rPr>
          <w:rFonts w:hint="eastAsia" w:ascii="仿宋" w:hAnsi="仿宋" w:eastAsia="仿宋" w:cs="仿宋"/>
          <w:color w:val="auto"/>
          <w:sz w:val="24"/>
          <w:highlight w:val="none"/>
          <w:u w:val="single"/>
        </w:rPr>
        <w:outlineLvl w:val="0"/>
      </w:pPr>
      <w:r/>
      <w:bookmarkStart w:id="152" w:name="_Toc8586"/>
      <w:r/>
      <w:bookmarkStart w:id="153" w:name="_Toc2375"/>
      <w:r/>
      <w:bookmarkStart w:id="154" w:name="_Toc5698"/>
      <w:r/>
      <w:bookmarkStart w:id="155" w:name="_Toc24662"/>
      <w:r/>
      <w:bookmarkStart w:id="156" w:name="_Toc3079"/>
      <w:r>
        <w:rPr>
          <w:rFonts w:hint="eastAsia" w:ascii="仿宋" w:hAnsi="仿宋" w:eastAsia="仿宋" w:cs="仿宋"/>
          <w:b/>
          <w:color w:val="auto"/>
          <w:sz w:val="24"/>
          <w:highlight w:val="none"/>
        </w:rPr>
        <w:t xml:space="preserve">1.6 违约责任</w:t>
      </w:r>
      <w:bookmarkEnd w:id="152"/>
      <w:r/>
      <w:bookmarkEnd w:id="153"/>
      <w:r/>
      <w:bookmarkEnd w:id="154"/>
      <w:r/>
      <w:bookmarkEnd w:id="155"/>
      <w:r/>
      <w:bookmarkEnd w:id="15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仿宋" w:hAnsi="仿宋" w:eastAsia="仿宋" w:cs="仿宋"/>
          <w:b/>
          <w:color w:val="auto"/>
          <w:sz w:val="24"/>
          <w:highlight w:val="none"/>
        </w:rPr>
        <w:outlineLvl w:val="0"/>
      </w:pPr>
      <w:r/>
      <w:bookmarkStart w:id="157" w:name="_Toc30329"/>
      <w:r/>
      <w:bookmarkStart w:id="158" w:name="_Toc18683"/>
      <w:r/>
      <w:bookmarkStart w:id="159" w:name="_Toc26807"/>
      <w:r/>
      <w:bookmarkStart w:id="160" w:name="_Toc32454"/>
      <w:r/>
      <w:bookmarkStart w:id="161" w:name="_Toc9497"/>
      <w:r>
        <w:rPr>
          <w:rFonts w:hint="eastAsia" w:ascii="仿宋" w:hAnsi="仿宋" w:eastAsia="仿宋" w:cs="仿宋"/>
          <w:b/>
          <w:color w:val="auto"/>
          <w:sz w:val="24"/>
          <w:highlight w:val="none"/>
        </w:rPr>
        <w:t xml:space="preserve">1.7 合同争议的解决</w:t>
      </w:r>
      <w:bookmarkEnd w:id="157"/>
      <w:r/>
      <w:bookmarkEnd w:id="158"/>
      <w:r/>
      <w:bookmarkEnd w:id="159"/>
      <w:r/>
      <w:bookmarkEnd w:id="160"/>
      <w:r/>
      <w:bookmarkEnd w:id="161"/>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firstLine="482"/>
        <w:spacing w:line="560" w:lineRule="exact"/>
        <w:rPr>
          <w:rFonts w:hint="eastAsia" w:ascii="仿宋" w:hAnsi="仿宋" w:eastAsia="仿宋" w:cs="仿宋"/>
          <w:b/>
          <w:color w:val="auto"/>
          <w:sz w:val="24"/>
          <w:highlight w:val="none"/>
        </w:rPr>
        <w:outlineLvl w:val="0"/>
      </w:pPr>
      <w:r/>
      <w:bookmarkStart w:id="162" w:name="_Toc12273"/>
      <w:r/>
      <w:bookmarkStart w:id="163" w:name="_Toc16417"/>
      <w:r/>
      <w:bookmarkStart w:id="164" w:name="_Toc26227"/>
      <w:r/>
      <w:bookmarkStart w:id="165" w:name="_Toc23784"/>
      <w:r/>
      <w:bookmarkStart w:id="166" w:name="_Toc15827"/>
      <w:r>
        <w:rPr>
          <w:rFonts w:hint="eastAsia" w:ascii="仿宋" w:hAnsi="仿宋" w:eastAsia="仿宋" w:cs="仿宋"/>
          <w:b/>
          <w:color w:val="auto"/>
          <w:sz w:val="24"/>
          <w:highlight w:val="none"/>
        </w:rPr>
        <w:t xml:space="preserve">1.8 合同生效</w:t>
      </w:r>
      <w:bookmarkEnd w:id="162"/>
      <w:r/>
      <w:bookmarkEnd w:id="163"/>
      <w:r/>
      <w:bookmarkEnd w:id="164"/>
      <w:r/>
      <w:bookmarkEnd w:id="165"/>
      <w:r/>
      <w:bookmarkEnd w:id="166"/>
      <w:r/>
      <w:r/>
    </w:p>
    <w:p>
      <w:pPr>
        <w:ind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jc w:val="left"/>
        <w:spacing w:line="560" w:lineRule="exact"/>
        <w:widowControl/>
        <w:rPr>
          <w:rFonts w:hint="eastAsia" w:ascii="仿宋" w:hAnsi="仿宋" w:eastAsia="仿宋" w:cs="仿宋"/>
          <w:b/>
          <w:color w:val="auto"/>
          <w:highlight w:val="none"/>
        </w:rPr>
      </w:pPr>
      <w:r/>
      <w:bookmarkStart w:id="167" w:name="_Toc331685783"/>
      <w:r/>
      <w:r/>
    </w:p>
    <w:p>
      <w:pPr>
        <w:jc w:val="left"/>
        <w:spacing w:line="56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left"/>
        <w:spacing w:line="56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left"/>
        <w:spacing w:line="56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left"/>
        <w:spacing w:line="56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left"/>
        <w:spacing w:line="56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907"/>
        <w:ind w:firstLine="200"/>
        <w:jc w:val="center"/>
        <w:spacing w:line="56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907"/>
        <w:ind w:firstLine="200"/>
        <w:jc w:val="center"/>
        <w:spacing w:line="56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907"/>
        <w:ind w:firstLine="200"/>
        <w:jc w:val="center"/>
        <w:spacing w:line="56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907"/>
        <w:ind w:firstLine="200"/>
        <w:jc w:val="center"/>
        <w:spacing w:line="56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第二部分 合同一般条款</w:t>
      </w:r>
      <w:bookmarkEnd w:id="167"/>
      <w:r/>
      <w:r/>
    </w:p>
    <w:p>
      <w:pPr>
        <w:ind w:firstLine="482"/>
        <w:spacing w:line="560" w:lineRule="exact"/>
        <w:rPr>
          <w:rFonts w:hint="eastAsia" w:ascii="仿宋" w:hAnsi="仿宋" w:eastAsia="仿宋" w:cs="仿宋"/>
          <w:b/>
          <w:color w:val="auto"/>
          <w:sz w:val="24"/>
          <w:highlight w:val="none"/>
        </w:rPr>
        <w:outlineLvl w:val="0"/>
      </w:pPr>
      <w:r/>
      <w:bookmarkStart w:id="168" w:name="_Ref467379101"/>
      <w:r/>
      <w:bookmarkStart w:id="169" w:name="_Ref467378463"/>
      <w:r/>
      <w:bookmarkStart w:id="170" w:name="_Ref467378404"/>
      <w:r/>
      <w:bookmarkStart w:id="171" w:name="_Ref467379195"/>
      <w:r/>
      <w:bookmarkStart w:id="172" w:name="_Toc25079"/>
      <w:r/>
      <w:bookmarkStart w:id="173" w:name="_Ref467379214"/>
      <w:r/>
      <w:bookmarkStart w:id="174" w:name="_Toc279701240"/>
      <w:r/>
      <w:bookmarkStart w:id="175" w:name="_Ref467379225"/>
      <w:r/>
      <w:bookmarkStart w:id="176" w:name="_Ref467378499"/>
      <w:r/>
      <w:bookmarkStart w:id="177" w:name="_Ref467379205"/>
      <w:r/>
      <w:bookmarkStart w:id="178" w:name="_Toc259093669"/>
      <w:r/>
      <w:bookmarkStart w:id="179" w:name="_Toc5228"/>
      <w:r/>
      <w:bookmarkStart w:id="180" w:name="_Ref467379109"/>
      <w:r/>
      <w:bookmarkStart w:id="181" w:name="_Toc14021"/>
      <w:r/>
      <w:bookmarkStart w:id="182" w:name="_Ref467379094"/>
      <w:r/>
      <w:bookmarkStart w:id="183" w:name="_Toc31297"/>
      <w:r/>
      <w:bookmarkStart w:id="184" w:name="_Toc487900349"/>
      <w:r/>
      <w:bookmarkStart w:id="185" w:name="_Toc19680"/>
      <w:r>
        <w:rPr>
          <w:rFonts w:hint="eastAsia" w:ascii="仿宋" w:hAnsi="仿宋" w:eastAsia="仿宋" w:cs="仿宋"/>
          <w:b/>
          <w:color w:val="auto"/>
          <w:sz w:val="24"/>
          <w:highlight w:val="none"/>
        </w:rPr>
        <w:t xml:space="preserve">2.1 定义</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仿宋" w:hAnsi="仿宋" w:eastAsia="仿宋" w:cs="仿宋"/>
          <w:color w:val="auto"/>
          <w:sz w:val="24"/>
          <w:highlight w:val="none"/>
        </w:rPr>
      </w:pPr>
      <w:r/>
      <w:bookmarkStart w:id="186" w:name="_Ref467378840"/>
      <w:r>
        <w:rPr>
          <w:rFonts w:hint="eastAsia" w:ascii="仿宋" w:hAnsi="仿宋" w:eastAsia="仿宋" w:cs="仿宋"/>
          <w:color w:val="auto"/>
          <w:sz w:val="24"/>
          <w:highlight w:val="none"/>
        </w:rPr>
        <w:t xml:space="preserve">2.1.4 “甲方”系指与中标供应商签署合同的采购人</w:t>
      </w:r>
      <w:bookmarkEnd w:id="186"/>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仿宋" w:hAnsi="仿宋" w:eastAsia="仿宋" w:cs="仿宋"/>
          <w:color w:val="auto"/>
          <w:sz w:val="24"/>
          <w:highlight w:val="none"/>
        </w:rPr>
      </w:pPr>
      <w:r/>
      <w:bookmarkStart w:id="187" w:name="_Ref467379400"/>
      <w:r>
        <w:rPr>
          <w:rFonts w:hint="eastAsia" w:ascii="仿宋" w:hAnsi="仿宋" w:eastAsia="仿宋" w:cs="仿宋"/>
          <w:color w:val="auto"/>
          <w:sz w:val="24"/>
          <w:highlight w:val="none"/>
        </w:rPr>
        <w:t xml:space="preserve">2.1.5 “乙方”系指根据合同约定提供服务的中标供应商</w:t>
      </w:r>
      <w:bookmarkEnd w:id="187"/>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仿宋" w:hAnsi="仿宋" w:eastAsia="仿宋" w:cs="仿宋"/>
          <w:color w:val="auto"/>
          <w:sz w:val="24"/>
          <w:highlight w:val="none"/>
        </w:rPr>
      </w:pPr>
      <w:r/>
      <w:bookmarkStart w:id="188" w:name="_Ref467379436"/>
      <w:r>
        <w:rPr>
          <w:rFonts w:hint="eastAsia" w:ascii="仿宋" w:hAnsi="仿宋" w:eastAsia="仿宋" w:cs="仿宋"/>
          <w:color w:val="auto"/>
          <w:sz w:val="24"/>
          <w:highlight w:val="none"/>
        </w:rPr>
        <w:t xml:space="preserve">2.1.6 “现场”系指合同约定提供服务的地点。</w:t>
      </w:r>
      <w:bookmarkEnd w:id="188"/>
      <w:r/>
      <w:r/>
    </w:p>
    <w:p>
      <w:pPr>
        <w:ind w:firstLine="482"/>
        <w:spacing w:line="560" w:lineRule="exact"/>
        <w:rPr>
          <w:rFonts w:hint="eastAsia" w:ascii="仿宋" w:hAnsi="仿宋" w:eastAsia="仿宋" w:cs="仿宋"/>
          <w:b/>
          <w:color w:val="auto"/>
          <w:sz w:val="24"/>
          <w:highlight w:val="none"/>
        </w:rPr>
        <w:outlineLvl w:val="0"/>
      </w:pPr>
      <w:r/>
      <w:bookmarkStart w:id="189" w:name="_Toc487900350"/>
      <w:r/>
      <w:bookmarkStart w:id="190" w:name="_Toc3769"/>
      <w:r/>
      <w:bookmarkStart w:id="191" w:name="_Toc19539"/>
      <w:r/>
      <w:bookmarkStart w:id="192" w:name="_Toc16752"/>
      <w:r/>
      <w:bookmarkStart w:id="193" w:name="_Toc259093670"/>
      <w:r/>
      <w:bookmarkStart w:id="194" w:name="_Toc23289"/>
      <w:r/>
      <w:bookmarkStart w:id="195" w:name="_Toc279701241"/>
      <w:r/>
      <w:bookmarkStart w:id="196" w:name="_Toc31402"/>
      <w:r>
        <w:rPr>
          <w:rFonts w:hint="eastAsia" w:ascii="仿宋" w:hAnsi="仿宋" w:eastAsia="仿宋" w:cs="仿宋"/>
          <w:b/>
          <w:color w:val="auto"/>
          <w:sz w:val="24"/>
          <w:highlight w:val="none"/>
        </w:rPr>
        <w:t xml:space="preserve">2.2 技术规范</w:t>
      </w:r>
      <w:bookmarkEnd w:id="189"/>
      <w:r/>
      <w:bookmarkEnd w:id="190"/>
      <w:r/>
      <w:bookmarkEnd w:id="191"/>
      <w:r/>
      <w:bookmarkEnd w:id="192"/>
      <w:r/>
      <w:bookmarkEnd w:id="193"/>
      <w:r/>
      <w:bookmarkEnd w:id="194"/>
      <w:r/>
      <w:bookmarkEnd w:id="195"/>
      <w:r/>
      <w:bookmarkEnd w:id="19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仿宋" w:hAnsi="仿宋" w:eastAsia="仿宋" w:cs="仿宋"/>
          <w:b/>
          <w:color w:val="auto"/>
          <w:sz w:val="24"/>
          <w:highlight w:val="none"/>
        </w:rPr>
        <w:outlineLvl w:val="0"/>
      </w:pPr>
      <w:r/>
      <w:bookmarkStart w:id="197" w:name="_Toc487900351"/>
      <w:r/>
      <w:bookmarkStart w:id="198" w:name="_Toc259093671"/>
      <w:r/>
      <w:bookmarkStart w:id="199" w:name="_Toc279701242"/>
      <w:r/>
      <w:bookmarkStart w:id="200" w:name="_Toc4133"/>
      <w:r/>
      <w:bookmarkStart w:id="201" w:name="_Toc27945"/>
      <w:r/>
      <w:bookmarkStart w:id="202" w:name="_Toc9161"/>
      <w:r/>
      <w:bookmarkStart w:id="203" w:name="_Toc13673"/>
      <w:r/>
      <w:bookmarkStart w:id="204" w:name="_Toc12412"/>
      <w:r>
        <w:rPr>
          <w:rFonts w:hint="eastAsia" w:ascii="仿宋" w:hAnsi="仿宋" w:eastAsia="仿宋" w:cs="仿宋"/>
          <w:b/>
          <w:color w:val="auto"/>
          <w:sz w:val="24"/>
          <w:highlight w:val="none"/>
        </w:rPr>
        <w:t xml:space="preserve">2.3 知识产权</w:t>
      </w:r>
      <w:bookmarkEnd w:id="197"/>
      <w:r/>
      <w:bookmarkEnd w:id="198"/>
      <w:r/>
      <w:bookmarkEnd w:id="199"/>
      <w:r/>
      <w:bookmarkEnd w:id="200"/>
      <w:r/>
      <w:bookmarkEnd w:id="201"/>
      <w:r/>
      <w:bookmarkEnd w:id="202"/>
      <w:r/>
      <w:bookmarkEnd w:id="203"/>
      <w:r/>
      <w:bookmarkEnd w:id="204"/>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firstLine="480"/>
        <w:spacing w:line="560" w:lineRule="exact"/>
        <w:rPr>
          <w:rFonts w:hint="eastAsia" w:ascii="仿宋" w:hAnsi="仿宋" w:eastAsia="仿宋" w:cs="仿宋"/>
          <w:color w:val="auto"/>
          <w:sz w:val="24"/>
          <w:highlight w:val="none"/>
        </w:rPr>
      </w:pPr>
      <w:r/>
      <w:bookmarkStart w:id="205" w:name="_Ref467379657"/>
      <w:r>
        <w:rPr>
          <w:rFonts w:hint="eastAsia" w:ascii="仿宋" w:hAnsi="仿宋" w:eastAsia="仿宋" w:cs="仿宋"/>
          <w:color w:val="auto"/>
          <w:sz w:val="24"/>
          <w:highlight w:val="none"/>
        </w:rPr>
        <w:t xml:space="preserve">2.4.1</w:t>
      </w:r>
      <w:bookmarkEnd w:id="205"/>
      <w:r/>
      <w:bookmarkStart w:id="206" w:name="_Toc186431854"/>
      <w:r/>
      <w:bookmarkStart w:id="207" w:name="_Ref467379793"/>
      <w:r/>
      <w:bookmarkStart w:id="208" w:name="_Toc279701247"/>
      <w:r/>
      <w:bookmarkStart w:id="209" w:name="_Toc487900357"/>
      <w:r/>
      <w:bookmarkStart w:id="210" w:name="_Toc259093676"/>
      <w:r/>
      <w:bookmarkStart w:id="211" w:name="_Ref467379807"/>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206"/>
      <w:r/>
      <w:bookmarkStart w:id="212" w:name="_Toc186431855"/>
      <w:r>
        <w:rPr>
          <w:rFonts w:hint="eastAsia" w:ascii="仿宋" w:hAnsi="仿宋" w:eastAsia="仿宋" w:cs="仿宋"/>
          <w:color w:val="auto"/>
          <w:sz w:val="24"/>
          <w:highlight w:val="none"/>
        </w:rPr>
        <w:t xml:space="preserve">。</w:t>
      </w:r>
      <w:bookmarkEnd w:id="212"/>
      <w:r/>
    </w:p>
    <w:p>
      <w:pPr>
        <w:ind w:firstLine="482"/>
        <w:spacing w:line="560" w:lineRule="exact"/>
        <w:rPr>
          <w:rFonts w:hint="eastAsia" w:ascii="仿宋" w:hAnsi="仿宋" w:eastAsia="仿宋" w:cs="仿宋"/>
          <w:b/>
          <w:color w:val="auto"/>
          <w:sz w:val="24"/>
          <w:highlight w:val="none"/>
        </w:rPr>
        <w:outlineLvl w:val="0"/>
      </w:pPr>
      <w:r/>
      <w:bookmarkStart w:id="213" w:name="_Toc31233"/>
      <w:r/>
      <w:bookmarkStart w:id="214" w:name="_Toc15447"/>
      <w:r/>
      <w:bookmarkStart w:id="215" w:name="_Toc32670"/>
      <w:r/>
      <w:bookmarkStart w:id="216" w:name="_Toc22011"/>
      <w:r/>
      <w:bookmarkStart w:id="217" w:name="_Toc26555"/>
      <w:r>
        <w:rPr>
          <w:rFonts w:hint="eastAsia" w:ascii="仿宋" w:hAnsi="仿宋" w:eastAsia="仿宋" w:cs="仿宋"/>
          <w:b/>
          <w:color w:val="auto"/>
          <w:sz w:val="24"/>
          <w:highlight w:val="none"/>
        </w:rPr>
        <w:t xml:space="preserve">2.5 结算方式和付款条件</w:t>
      </w:r>
      <w:bookmarkEnd w:id="207"/>
      <w:r/>
      <w:bookmarkEnd w:id="208"/>
      <w:r/>
      <w:bookmarkEnd w:id="209"/>
      <w:r/>
      <w:bookmarkEnd w:id="210"/>
      <w:r/>
      <w:bookmarkEnd w:id="211"/>
      <w:r/>
      <w:bookmarkEnd w:id="213"/>
      <w:r/>
      <w:bookmarkEnd w:id="214"/>
      <w:r/>
      <w:bookmarkEnd w:id="215"/>
      <w:r/>
      <w:bookmarkEnd w:id="216"/>
      <w:r/>
      <w:bookmarkEnd w:id="217"/>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firstLine="482"/>
        <w:spacing w:line="560" w:lineRule="exact"/>
        <w:rPr>
          <w:rFonts w:hint="eastAsia" w:ascii="仿宋" w:hAnsi="仿宋" w:eastAsia="仿宋" w:cs="仿宋"/>
          <w:b/>
          <w:color w:val="auto"/>
          <w:sz w:val="24"/>
          <w:highlight w:val="none"/>
        </w:rPr>
        <w:outlineLvl w:val="0"/>
      </w:pPr>
      <w:r/>
      <w:bookmarkStart w:id="218" w:name="_Toc279701248"/>
      <w:r/>
      <w:bookmarkStart w:id="219" w:name="_Toc259093677"/>
      <w:r/>
      <w:bookmarkStart w:id="220" w:name="_Ref467379863"/>
      <w:r/>
      <w:bookmarkStart w:id="221" w:name="_Toc487900358"/>
      <w:r/>
      <w:bookmarkStart w:id="222" w:name="_Ref467379923"/>
      <w:r/>
      <w:bookmarkStart w:id="223" w:name="_Ref467379852"/>
      <w:r/>
      <w:bookmarkStart w:id="224" w:name="_Toc13154"/>
      <w:r/>
      <w:bookmarkStart w:id="225" w:name="_Toc16163"/>
      <w:r/>
      <w:bookmarkStart w:id="226" w:name="_Toc30507"/>
      <w:r/>
      <w:bookmarkStart w:id="227" w:name="_Toc18990"/>
      <w:r/>
      <w:bookmarkStart w:id="228" w:name="_Toc13467"/>
      <w:r>
        <w:rPr>
          <w:rFonts w:hint="eastAsia" w:ascii="仿宋" w:hAnsi="仿宋" w:eastAsia="仿宋" w:cs="仿宋"/>
          <w:b/>
          <w:color w:val="auto"/>
          <w:sz w:val="24"/>
          <w:highlight w:val="none"/>
        </w:rPr>
        <w:t xml:space="preserve">2.6 技术资料</w:t>
      </w:r>
      <w:bookmarkEnd w:id="218"/>
      <w:r/>
      <w:bookmarkEnd w:id="219"/>
      <w:r/>
      <w:bookmarkEnd w:id="220"/>
      <w:r/>
      <w:bookmarkEnd w:id="221"/>
      <w:r/>
      <w:bookmarkEnd w:id="222"/>
      <w:r/>
      <w:bookmarkEnd w:id="223"/>
      <w:r>
        <w:rPr>
          <w:rFonts w:hint="eastAsia" w:ascii="仿宋" w:hAnsi="仿宋" w:eastAsia="仿宋" w:cs="仿宋"/>
          <w:b/>
          <w:color w:val="auto"/>
          <w:sz w:val="24"/>
          <w:highlight w:val="none"/>
        </w:rPr>
        <w:t xml:space="preserve">和保密义务</w:t>
      </w:r>
      <w:bookmarkEnd w:id="224"/>
      <w:r/>
      <w:bookmarkEnd w:id="225"/>
      <w:r/>
      <w:bookmarkEnd w:id="226"/>
      <w:r/>
      <w:bookmarkEnd w:id="227"/>
      <w:r/>
      <w:bookmarkEnd w:id="228"/>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仿宋" w:hAnsi="仿宋" w:eastAsia="仿宋" w:cs="仿宋"/>
          <w:b/>
          <w:color w:val="auto"/>
          <w:sz w:val="24"/>
          <w:highlight w:val="none"/>
        </w:rPr>
        <w:outlineLvl w:val="0"/>
      </w:pPr>
      <w:r/>
      <w:bookmarkStart w:id="229" w:name="_Toc19069"/>
      <w:r/>
      <w:bookmarkStart w:id="230" w:name="_Toc259093681"/>
      <w:r/>
      <w:bookmarkStart w:id="231" w:name="_Toc487900362"/>
      <w:r/>
      <w:bookmarkStart w:id="232" w:name="_Toc279701252"/>
      <w:r>
        <w:rPr>
          <w:rFonts w:hint="eastAsia" w:ascii="仿宋" w:hAnsi="仿宋" w:eastAsia="仿宋" w:cs="仿宋"/>
          <w:b/>
          <w:color w:val="auto"/>
          <w:sz w:val="24"/>
          <w:highlight w:val="none"/>
        </w:rPr>
        <w:t xml:space="preserve">2.7 质量保证</w:t>
      </w:r>
      <w:bookmarkEnd w:id="229"/>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仿宋" w:hAnsi="仿宋" w:eastAsia="仿宋" w:cs="仿宋"/>
          <w:b/>
          <w:color w:val="auto"/>
          <w:sz w:val="24"/>
          <w:highlight w:val="none"/>
        </w:rPr>
        <w:outlineLvl w:val="0"/>
      </w:pPr>
      <w:r/>
      <w:bookmarkStart w:id="233" w:name="_Toc22267"/>
      <w:r>
        <w:rPr>
          <w:rFonts w:hint="eastAsia" w:ascii="仿宋" w:hAnsi="仿宋" w:eastAsia="仿宋" w:cs="仿宋"/>
          <w:b/>
          <w:color w:val="auto"/>
          <w:sz w:val="24"/>
          <w:highlight w:val="none"/>
        </w:rPr>
        <w:t xml:space="preserve">2.8 延迟</w:t>
      </w:r>
      <w:bookmarkEnd w:id="230"/>
      <w:r/>
      <w:bookmarkEnd w:id="231"/>
      <w:r/>
      <w:bookmarkEnd w:id="232"/>
      <w:r>
        <w:rPr>
          <w:rFonts w:hint="eastAsia" w:ascii="仿宋" w:hAnsi="仿宋" w:eastAsia="仿宋" w:cs="仿宋"/>
          <w:b/>
          <w:color w:val="auto"/>
          <w:sz w:val="24"/>
          <w:highlight w:val="none"/>
        </w:rPr>
        <w:t xml:space="preserve">履行</w:t>
      </w:r>
      <w:bookmarkEnd w:id="233"/>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仿宋" w:hAnsi="仿宋" w:eastAsia="仿宋" w:cs="仿宋"/>
          <w:b/>
          <w:color w:val="auto"/>
          <w:sz w:val="24"/>
          <w:highlight w:val="none"/>
        </w:rPr>
        <w:outlineLvl w:val="0"/>
      </w:pPr>
      <w:r/>
      <w:bookmarkStart w:id="234" w:name="_Toc10611"/>
      <w:r/>
      <w:bookmarkStart w:id="235" w:name="_Toc279701254"/>
      <w:r/>
      <w:bookmarkStart w:id="236" w:name="_Ref467378121"/>
      <w:r/>
      <w:bookmarkStart w:id="237" w:name="_Toc259093683"/>
      <w:r/>
      <w:bookmarkStart w:id="238" w:name="_Toc487900364"/>
      <w:r>
        <w:rPr>
          <w:rFonts w:hint="eastAsia" w:ascii="仿宋" w:hAnsi="仿宋" w:eastAsia="仿宋" w:cs="仿宋"/>
          <w:b/>
          <w:color w:val="auto"/>
          <w:sz w:val="24"/>
          <w:highlight w:val="none"/>
        </w:rPr>
        <w:t xml:space="preserve">2.9 合同变更</w:t>
      </w:r>
      <w:bookmarkEnd w:id="234"/>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9" w:name="_Toc259093688"/>
      <w:r/>
      <w:bookmarkStart w:id="240" w:name="_Toc487900369"/>
      <w:r/>
      <w:bookmarkStart w:id="241" w:name="_Toc279701259"/>
      <w:r/>
      <w:r/>
    </w:p>
    <w:p>
      <w:pPr>
        <w:ind w:firstLine="482"/>
        <w:spacing w:line="560" w:lineRule="exact"/>
        <w:rPr>
          <w:rFonts w:hint="eastAsia" w:ascii="仿宋" w:hAnsi="仿宋" w:eastAsia="仿宋" w:cs="仿宋"/>
          <w:b/>
          <w:color w:val="auto"/>
          <w:sz w:val="24"/>
          <w:highlight w:val="none"/>
        </w:rPr>
        <w:outlineLvl w:val="0"/>
      </w:pPr>
      <w:r/>
      <w:bookmarkStart w:id="242" w:name="_Toc10663"/>
      <w:r/>
      <w:bookmarkStart w:id="243" w:name="_Toc42"/>
      <w:r/>
      <w:bookmarkStart w:id="244" w:name="_Toc23368"/>
      <w:r/>
      <w:bookmarkStart w:id="245" w:name="_Toc21830"/>
      <w:r/>
      <w:bookmarkStart w:id="246" w:name="_Toc26689"/>
      <w:r>
        <w:rPr>
          <w:rFonts w:hint="eastAsia" w:ascii="仿宋" w:hAnsi="仿宋" w:eastAsia="仿宋" w:cs="仿宋"/>
          <w:b/>
          <w:color w:val="auto"/>
          <w:sz w:val="24"/>
          <w:highlight w:val="none"/>
        </w:rPr>
        <w:t xml:space="preserve">2.10 合同转让</w:t>
      </w:r>
      <w:bookmarkEnd w:id="239"/>
      <w:r/>
      <w:bookmarkEnd w:id="240"/>
      <w:r/>
      <w:bookmarkEnd w:id="241"/>
      <w:r>
        <w:rPr>
          <w:rFonts w:hint="eastAsia" w:ascii="仿宋" w:hAnsi="仿宋" w:eastAsia="仿宋" w:cs="仿宋"/>
          <w:b/>
          <w:color w:val="auto"/>
          <w:sz w:val="24"/>
          <w:highlight w:val="none"/>
        </w:rPr>
        <w:t xml:space="preserve">和分包</w:t>
      </w:r>
      <w:bookmarkEnd w:id="242"/>
      <w:r/>
      <w:bookmarkEnd w:id="243"/>
      <w:r/>
      <w:bookmarkEnd w:id="244"/>
      <w:r/>
      <w:bookmarkEnd w:id="245"/>
      <w:r/>
      <w:bookmarkEnd w:id="24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仿宋" w:hAnsi="仿宋" w:eastAsia="仿宋" w:cs="仿宋"/>
          <w:b/>
          <w:color w:val="auto"/>
          <w:sz w:val="24"/>
          <w:highlight w:val="none"/>
        </w:rPr>
        <w:outlineLvl w:val="0"/>
      </w:pPr>
      <w:r/>
      <w:bookmarkStart w:id="247" w:name="_Toc25571"/>
      <w:r/>
      <w:bookmarkStart w:id="248" w:name="_Toc14371"/>
      <w:r/>
      <w:bookmarkStart w:id="249" w:name="_Toc32494"/>
      <w:r/>
      <w:bookmarkStart w:id="250" w:name="_Toc4720"/>
      <w:r/>
      <w:bookmarkStart w:id="251" w:name="_Toc26633"/>
      <w:r>
        <w:rPr>
          <w:rFonts w:hint="eastAsia" w:ascii="仿宋" w:hAnsi="仿宋" w:eastAsia="仿宋" w:cs="仿宋"/>
          <w:b/>
          <w:color w:val="auto"/>
          <w:sz w:val="24"/>
          <w:highlight w:val="none"/>
        </w:rPr>
        <w:t xml:space="preserve">2.11 不可抗力</w:t>
      </w:r>
      <w:bookmarkEnd w:id="247"/>
      <w:r/>
      <w:bookmarkEnd w:id="248"/>
      <w:r/>
      <w:bookmarkEnd w:id="249"/>
      <w:r/>
      <w:bookmarkEnd w:id="250"/>
      <w:r/>
      <w:bookmarkEnd w:id="251"/>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firstLine="482"/>
        <w:spacing w:line="560" w:lineRule="exact"/>
        <w:rPr>
          <w:rFonts w:hint="eastAsia" w:ascii="仿宋" w:hAnsi="仿宋" w:eastAsia="仿宋" w:cs="仿宋"/>
          <w:b/>
          <w:color w:val="auto"/>
          <w:sz w:val="24"/>
          <w:highlight w:val="none"/>
        </w:rPr>
        <w:outlineLvl w:val="0"/>
      </w:pPr>
      <w:r/>
      <w:bookmarkStart w:id="252" w:name="_Toc25783"/>
      <w:r/>
      <w:bookmarkStart w:id="253" w:name="_Toc279701255"/>
      <w:r/>
      <w:bookmarkStart w:id="254" w:name="_Toc24465"/>
      <w:r/>
      <w:bookmarkStart w:id="255" w:name="_Toc14115"/>
      <w:r/>
      <w:bookmarkStart w:id="256" w:name="_Toc259093684"/>
      <w:r/>
      <w:bookmarkStart w:id="257" w:name="_Toc487900365"/>
      <w:r/>
      <w:bookmarkStart w:id="258" w:name="_Toc3638"/>
      <w:r/>
      <w:bookmarkStart w:id="259" w:name="_Toc23854"/>
      <w:r>
        <w:rPr>
          <w:rFonts w:hint="eastAsia" w:ascii="仿宋" w:hAnsi="仿宋" w:eastAsia="仿宋" w:cs="仿宋"/>
          <w:b/>
          <w:color w:val="auto"/>
          <w:sz w:val="24"/>
          <w:highlight w:val="none"/>
        </w:rPr>
        <w:t xml:space="preserve">2.12 税费</w:t>
      </w:r>
      <w:bookmarkEnd w:id="252"/>
      <w:r/>
      <w:bookmarkEnd w:id="253"/>
      <w:r/>
      <w:bookmarkEnd w:id="254"/>
      <w:r/>
      <w:bookmarkEnd w:id="255"/>
      <w:r/>
      <w:bookmarkEnd w:id="256"/>
      <w:r/>
      <w:bookmarkEnd w:id="257"/>
      <w:r/>
      <w:bookmarkEnd w:id="258"/>
      <w:r/>
      <w:bookmarkEnd w:id="259"/>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firstLine="482"/>
        <w:spacing w:line="560" w:lineRule="exact"/>
        <w:rPr>
          <w:rFonts w:hint="eastAsia" w:ascii="仿宋" w:hAnsi="仿宋" w:eastAsia="仿宋" w:cs="仿宋"/>
          <w:b/>
          <w:color w:val="auto"/>
          <w:sz w:val="24"/>
          <w:highlight w:val="none"/>
        </w:rPr>
        <w:outlineLvl w:val="0"/>
      </w:pPr>
      <w:r/>
      <w:bookmarkStart w:id="260" w:name="_Toc259093687"/>
      <w:r/>
      <w:bookmarkStart w:id="261" w:name="_Toc279701258"/>
      <w:r/>
      <w:bookmarkStart w:id="262" w:name="_Toc25525"/>
      <w:r/>
      <w:bookmarkStart w:id="263" w:name="_Toc30105"/>
      <w:r/>
      <w:bookmarkStart w:id="264" w:name="_Toc487900368"/>
      <w:r/>
      <w:bookmarkStart w:id="265" w:name="_Toc14814"/>
      <w:r/>
      <w:bookmarkStart w:id="266" w:name="_Toc7315"/>
      <w:r/>
      <w:bookmarkStart w:id="267" w:name="_Toc26883"/>
      <w:r>
        <w:rPr>
          <w:rFonts w:hint="eastAsia" w:ascii="仿宋" w:hAnsi="仿宋" w:eastAsia="仿宋" w:cs="仿宋"/>
          <w:b/>
          <w:color w:val="auto"/>
          <w:sz w:val="24"/>
          <w:highlight w:val="none"/>
        </w:rPr>
        <w:t xml:space="preserve">2.13 乙方破产</w:t>
      </w:r>
      <w:bookmarkEnd w:id="260"/>
      <w:r/>
      <w:bookmarkEnd w:id="261"/>
      <w:r/>
      <w:bookmarkEnd w:id="262"/>
      <w:r/>
      <w:bookmarkEnd w:id="263"/>
      <w:r/>
      <w:bookmarkEnd w:id="264"/>
      <w:r/>
      <w:bookmarkEnd w:id="265"/>
      <w:r/>
      <w:bookmarkEnd w:id="266"/>
      <w:r/>
      <w:bookmarkEnd w:id="267"/>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仿宋" w:hAnsi="仿宋" w:eastAsia="仿宋" w:cs="仿宋"/>
          <w:b/>
          <w:color w:val="auto"/>
          <w:sz w:val="24"/>
          <w:highlight w:val="none"/>
        </w:rPr>
        <w:outlineLvl w:val="0"/>
      </w:pPr>
      <w:r/>
      <w:bookmarkStart w:id="268" w:name="_Toc23323"/>
      <w:r/>
      <w:bookmarkStart w:id="269" w:name="_Toc2016"/>
      <w:r/>
      <w:bookmarkStart w:id="270" w:name="_Toc1123"/>
      <w:r>
        <w:rPr>
          <w:rFonts w:hint="eastAsia" w:ascii="仿宋" w:hAnsi="仿宋" w:eastAsia="仿宋" w:cs="仿宋"/>
          <w:b/>
          <w:color w:val="auto"/>
          <w:sz w:val="24"/>
          <w:highlight w:val="none"/>
        </w:rPr>
        <w:t xml:space="preserve">2.14 合同中止、终止</w:t>
      </w:r>
      <w:bookmarkEnd w:id="268"/>
      <w:r/>
      <w:bookmarkEnd w:id="269"/>
      <w:r/>
      <w:bookmarkEnd w:id="270"/>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仿宋" w:hAnsi="仿宋" w:eastAsia="仿宋" w:cs="仿宋"/>
          <w:b/>
          <w:color w:val="auto"/>
          <w:sz w:val="24"/>
          <w:highlight w:val="none"/>
        </w:rPr>
        <w:outlineLvl w:val="0"/>
      </w:pPr>
      <w:r/>
      <w:bookmarkStart w:id="271" w:name="_Toc1969"/>
      <w:r/>
      <w:bookmarkStart w:id="272" w:name="_Toc17363"/>
      <w:r/>
      <w:bookmarkStart w:id="273" w:name="_Toc14525"/>
      <w:r>
        <w:rPr>
          <w:rFonts w:hint="eastAsia" w:ascii="仿宋" w:hAnsi="仿宋" w:eastAsia="仿宋" w:cs="仿宋"/>
          <w:b/>
          <w:color w:val="auto"/>
          <w:sz w:val="24"/>
          <w:highlight w:val="none"/>
        </w:rPr>
        <w:t xml:space="preserve">2.15 检验和验收</w:t>
      </w:r>
      <w:bookmarkEnd w:id="271"/>
      <w:r/>
      <w:bookmarkEnd w:id="272"/>
      <w:r/>
      <w:bookmarkEnd w:id="273"/>
      <w:r/>
      <w:r/>
    </w:p>
    <w:p>
      <w:pPr>
        <w:ind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35"/>
      <w:bookmarkEnd w:id="236"/>
      <w:bookmarkEnd w:id="237"/>
      <w:bookmarkEnd w:id="238"/>
      <w:r/>
    </w:p>
    <w:p>
      <w:pPr>
        <w:ind w:firstLine="482"/>
        <w:spacing w:line="560" w:lineRule="exact"/>
        <w:rPr>
          <w:rFonts w:hint="eastAsia" w:ascii="仿宋" w:hAnsi="仿宋" w:eastAsia="仿宋" w:cs="仿宋"/>
          <w:b/>
          <w:color w:val="auto"/>
          <w:sz w:val="24"/>
          <w:highlight w:val="none"/>
        </w:rPr>
        <w:outlineLvl w:val="0"/>
      </w:pPr>
      <w:r/>
      <w:bookmarkStart w:id="274" w:name="_Toc487900371"/>
      <w:r/>
      <w:bookmarkStart w:id="275" w:name="_Toc279701261"/>
      <w:r/>
      <w:bookmarkStart w:id="276" w:name="_Toc259093690"/>
      <w:r/>
      <w:bookmarkStart w:id="277" w:name="_Toc9808"/>
      <w:r/>
      <w:bookmarkStart w:id="278" w:name="_Toc25198"/>
      <w:r/>
      <w:bookmarkStart w:id="279" w:name="_Toc2308"/>
      <w:r/>
      <w:bookmarkStart w:id="280" w:name="_Toc31892"/>
      <w:r/>
      <w:bookmarkStart w:id="281" w:name="_Toc12666"/>
      <w:r>
        <w:rPr>
          <w:rFonts w:hint="eastAsia" w:ascii="仿宋" w:hAnsi="仿宋" w:eastAsia="仿宋" w:cs="仿宋"/>
          <w:b/>
          <w:color w:val="auto"/>
          <w:sz w:val="24"/>
          <w:highlight w:val="none"/>
        </w:rPr>
        <w:t xml:space="preserve">2.16 通知</w:t>
      </w:r>
      <w:bookmarkEnd w:id="274"/>
      <w:r/>
      <w:bookmarkEnd w:id="275"/>
      <w:r/>
      <w:bookmarkEnd w:id="276"/>
      <w:r>
        <w:rPr>
          <w:rFonts w:hint="eastAsia" w:ascii="仿宋" w:hAnsi="仿宋" w:eastAsia="仿宋" w:cs="仿宋"/>
          <w:b/>
          <w:color w:val="auto"/>
          <w:sz w:val="24"/>
          <w:highlight w:val="none"/>
        </w:rPr>
        <w:t xml:space="preserve">和送达</w:t>
      </w:r>
      <w:bookmarkEnd w:id="277"/>
      <w:r/>
      <w:bookmarkEnd w:id="278"/>
      <w:r/>
      <w:bookmarkEnd w:id="279"/>
      <w:r/>
      <w:bookmarkEnd w:id="280"/>
      <w:r/>
      <w:bookmarkEnd w:id="281"/>
      <w:r/>
      <w:r/>
    </w:p>
    <w:p>
      <w:pPr>
        <w:ind w:firstLine="480"/>
        <w:spacing w:line="560" w:lineRule="exact"/>
        <w:rPr>
          <w:rFonts w:hint="eastAsia" w:ascii="仿宋" w:hAnsi="仿宋" w:eastAsia="仿宋" w:cs="仿宋"/>
          <w:color w:val="auto"/>
          <w:sz w:val="24"/>
          <w:highlight w:val="none"/>
        </w:rPr>
      </w:pPr>
      <w:r/>
      <w:bookmarkStart w:id="282" w:name="_Toc29220"/>
      <w:r/>
      <w:bookmarkStart w:id="283" w:name="_Toc7073"/>
      <w:r/>
      <w:bookmarkStart w:id="284" w:name="_Toc259093691"/>
      <w:r/>
      <w:bookmarkStart w:id="285" w:name="_Toc279701262"/>
      <w:r/>
      <w:bookmarkStart w:id="286" w:name="_Toc48790037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82"/>
      <w:r/>
      <w:bookmarkEnd w:id="283"/>
      <w:r/>
      <w:r/>
    </w:p>
    <w:p>
      <w:pPr>
        <w:ind w:firstLine="480"/>
        <w:spacing w:line="560" w:lineRule="exact"/>
        <w:rPr>
          <w:rFonts w:hint="eastAsia" w:ascii="仿宋" w:hAnsi="仿宋" w:eastAsia="仿宋" w:cs="仿宋"/>
          <w:color w:val="auto"/>
          <w:sz w:val="24"/>
          <w:highlight w:val="none"/>
        </w:rPr>
      </w:pPr>
      <w:r/>
      <w:bookmarkStart w:id="287" w:name="_Toc18401"/>
      <w:r/>
      <w:bookmarkStart w:id="288"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7"/>
      <w:r/>
      <w:bookmarkEnd w:id="288"/>
      <w:r/>
      <w:bookmarkEnd w:id="284"/>
      <w:bookmarkEnd w:id="285"/>
      <w:bookmarkEnd w:id="286"/>
      <w:r/>
    </w:p>
    <w:p>
      <w:pPr>
        <w:ind w:firstLine="482"/>
        <w:spacing w:line="560" w:lineRule="exact"/>
        <w:rPr>
          <w:rFonts w:hint="eastAsia" w:ascii="仿宋" w:hAnsi="仿宋" w:eastAsia="仿宋" w:cs="仿宋"/>
          <w:b/>
          <w:color w:val="auto"/>
          <w:sz w:val="24"/>
          <w:highlight w:val="none"/>
        </w:rPr>
        <w:outlineLvl w:val="0"/>
      </w:pPr>
      <w:r/>
      <w:bookmarkStart w:id="289" w:name="_Toc20808"/>
      <w:r/>
      <w:bookmarkStart w:id="290" w:name="_Toc487900373"/>
      <w:r/>
      <w:bookmarkStart w:id="291" w:name="_Toc259093692"/>
      <w:r/>
      <w:bookmarkStart w:id="292" w:name="_Toc28906"/>
      <w:r/>
      <w:bookmarkStart w:id="293" w:name="_Toc279701263"/>
      <w:r/>
      <w:bookmarkStart w:id="294" w:name="_Toc5063"/>
      <w:r/>
      <w:bookmarkStart w:id="295" w:name="_Toc27644"/>
      <w:r/>
      <w:bookmarkStart w:id="296" w:name="_Toc12254"/>
      <w:r>
        <w:rPr>
          <w:rFonts w:hint="eastAsia" w:ascii="仿宋" w:hAnsi="仿宋" w:eastAsia="仿宋" w:cs="仿宋"/>
          <w:b/>
          <w:color w:val="auto"/>
          <w:sz w:val="24"/>
          <w:highlight w:val="none"/>
        </w:rPr>
        <w:t xml:space="preserve">2.17 合同使用的文字和适用的法律</w:t>
      </w:r>
      <w:bookmarkEnd w:id="289"/>
      <w:r/>
      <w:bookmarkEnd w:id="290"/>
      <w:r/>
      <w:bookmarkEnd w:id="291"/>
      <w:r/>
      <w:bookmarkEnd w:id="292"/>
      <w:r/>
      <w:bookmarkEnd w:id="293"/>
      <w:r/>
      <w:bookmarkEnd w:id="294"/>
      <w:r/>
      <w:bookmarkEnd w:id="295"/>
      <w:r/>
      <w:bookmarkEnd w:id="29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firstLine="482"/>
        <w:spacing w:line="560" w:lineRule="exact"/>
        <w:rPr>
          <w:rFonts w:hint="eastAsia" w:ascii="仿宋" w:hAnsi="仿宋" w:eastAsia="仿宋" w:cs="仿宋"/>
          <w:b/>
          <w:color w:val="auto"/>
          <w:sz w:val="24"/>
          <w:highlight w:val="none"/>
        </w:rPr>
        <w:outlineLvl w:val="0"/>
      </w:pPr>
      <w:r/>
      <w:bookmarkStart w:id="297" w:name="_Toc259093693"/>
      <w:r/>
      <w:bookmarkStart w:id="298" w:name="_Toc279701264"/>
      <w:r/>
      <w:bookmarkStart w:id="299" w:name="_Toc30096"/>
      <w:r/>
      <w:bookmarkStart w:id="300" w:name="_Toc1492"/>
      <w:r/>
      <w:bookmarkStart w:id="301" w:name="_Toc22266"/>
      <w:r/>
      <w:bookmarkStart w:id="302" w:name="_Toc27127"/>
      <w:r/>
      <w:bookmarkStart w:id="303" w:name="_Toc27403"/>
      <w:r/>
      <w:bookmarkStart w:id="304" w:name="_Toc487900374"/>
      <w:r>
        <w:rPr>
          <w:rFonts w:hint="eastAsia" w:ascii="仿宋" w:hAnsi="仿宋" w:eastAsia="仿宋" w:cs="仿宋"/>
          <w:b/>
          <w:color w:val="auto"/>
          <w:sz w:val="24"/>
          <w:highlight w:val="none"/>
        </w:rPr>
        <w:t xml:space="preserve">2.18 履约保证金</w:t>
      </w:r>
      <w:bookmarkEnd w:id="297"/>
      <w:r/>
      <w:bookmarkEnd w:id="298"/>
      <w:r/>
      <w:bookmarkEnd w:id="299"/>
      <w:r/>
      <w:bookmarkEnd w:id="300"/>
      <w:r/>
      <w:bookmarkEnd w:id="301"/>
      <w:r/>
      <w:bookmarkEnd w:id="302"/>
      <w:r/>
      <w:bookmarkEnd w:id="303"/>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约定的方式，以支票、汇票、本票或者金融机构、担保机构出具的保函等非现金形式，提交不超过合同价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的履约保证金；</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个工作日内，甲方应将履约保证金退还乙方；</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04"/>
      <w:r/>
    </w:p>
    <w:p>
      <w:pPr>
        <w:ind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907"/>
        <w:ind w:firstLine="0"/>
        <w:jc w:val="center"/>
        <w:spacing w:line="560" w:lineRule="exact"/>
        <w:rPr>
          <w:rFonts w:hint="eastAsia" w:ascii="仿宋" w:hAnsi="仿宋" w:eastAsia="仿宋" w:cs="仿宋"/>
          <w:b/>
          <w:color w:val="auto"/>
          <w:highlight w:val="none"/>
        </w:rPr>
      </w:pPr>
      <w:r>
        <w:rPr>
          <w:rFonts w:hint="eastAsia" w:ascii="仿宋" w:hAnsi="仿宋" w:eastAsia="仿宋" w:cs="仿宋"/>
          <w:color w:val="auto"/>
          <w:highlight w:val="none"/>
        </w:rPr>
        <w:br w:type="page" w:clear="all"/>
      </w:r>
      <w:bookmarkStart w:id="305" w:name="_Toc331685784"/>
      <w:r>
        <w:rPr>
          <w:rFonts w:hint="eastAsia" w:ascii="仿宋" w:hAnsi="仿宋" w:eastAsia="仿宋" w:cs="仿宋"/>
          <w:b/>
          <w:color w:val="auto"/>
          <w:highlight w:val="none"/>
        </w:rPr>
        <w:t xml:space="preserve">第三部分  合同专用条款</w:t>
      </w:r>
      <w:bookmarkEnd w:id="305"/>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12"/>
        <w:tblW w:w="0" w:type="auto"/>
        <w:tblInd w:w="-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spacing w:after="156"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28"/>
          <w:szCs w:val="28"/>
          <w:highlight w:val="none"/>
        </w:rPr>
        <w:t xml:space="preserve">注明：甲方对合同保留修改和完善的权利，但不得与磋商文件、乙方投标文件的实质性内容相背离。</w:t>
      </w:r>
      <w:r/>
    </w:p>
    <w:p>
      <w:pPr>
        <w:pStyle w:val="746"/>
        <w:ind w:left="0" w:firstLine="0"/>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r>
      <w:r/>
    </w:p>
    <w:p>
      <w:pPr>
        <w:pStyle w:val="752"/>
        <w:spacing w:line="288"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ourier New">
    <w:panose1 w:val="02070309020205020404"/>
  </w:font>
  <w:font w:name="楷体_GB2312">
    <w:panose1 w:val="02010609060101010101"/>
  </w:font>
  <w:font w:name="ˎ̥">
    <w:panose1 w:val="020B0503020202020204"/>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56</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56</w:t>
                    </w:r>
                    <w:r>
                      <w:rPr>
                        <w:lang w:val="zh-CN"/>
                      </w:rPr>
                      <w:fldChar w:fldCharType="end"/>
                    </w:r>
                    <w:r/>
                  </w:p>
                </w:txbxContent>
              </v:textbox>
            </v:shape>
          </w:pict>
        </mc:Fallback>
      </mc:AlternateContent>
    </w:r>
    <w:r/>
  </w:p>
  <w:p>
    <w:pPr>
      <w:pStyle w:val="733"/>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right"/>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isLgl w:val="false"/>
      <w:suff w:val="nothing"/>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15">
    <w:name w:val="Heading 2 Char"/>
    <w:basedOn w:val="711"/>
    <w:link w:val="703"/>
    <w:uiPriority w:val="9"/>
    <w:rPr>
      <w:rFonts w:ascii="Arial" w:hAnsi="Arial" w:eastAsia="Arial" w:cs="Arial"/>
      <w:sz w:val="34"/>
    </w:rPr>
  </w:style>
  <w:style w:type="character" w:styleId="17">
    <w:name w:val="Heading 3 Char"/>
    <w:basedOn w:val="711"/>
    <w:link w:val="704"/>
    <w:uiPriority w:val="9"/>
    <w:rPr>
      <w:rFonts w:ascii="Arial" w:hAnsi="Arial" w:eastAsia="Arial" w:cs="Arial"/>
      <w:sz w:val="30"/>
      <w:szCs w:val="30"/>
    </w:rPr>
  </w:style>
  <w:style w:type="character" w:styleId="19">
    <w:name w:val="Heading 4 Char"/>
    <w:basedOn w:val="711"/>
    <w:link w:val="705"/>
    <w:uiPriority w:val="9"/>
    <w:rPr>
      <w:rFonts w:ascii="Arial" w:hAnsi="Arial" w:eastAsia="Arial" w:cs="Arial"/>
      <w:b/>
      <w:bCs/>
      <w:sz w:val="26"/>
      <w:szCs w:val="26"/>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43"/>
    <w:uiPriority w:val="10"/>
    <w:rPr>
      <w:sz w:val="48"/>
      <w:szCs w:val="48"/>
    </w:rPr>
  </w:style>
  <w:style w:type="character" w:styleId="36">
    <w:name w:val="Subtitle Char"/>
    <w:basedOn w:val="711"/>
    <w:link w:val="737"/>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character" w:styleId="42">
    <w:name w:val="Header Char"/>
    <w:basedOn w:val="711"/>
    <w:link w:val="734"/>
    <w:uiPriority w:val="99"/>
  </w:style>
  <w:style w:type="character" w:styleId="46">
    <w:name w:val="Caption Char"/>
    <w:basedOn w:val="719"/>
    <w:link w:val="733"/>
    <w:uiPriority w:val="99"/>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8"/>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link w:val="753"/>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54"/>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55"/>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56"/>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7"/>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link w:val="758"/>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60"/>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61"/>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正文首行缩进1"/>
    <w:basedOn w:val="714"/>
    <w:link w:val="952"/>
    <w:uiPriority w:val="0"/>
    <w:qFormat/>
    <w:pPr>
      <w:ind w:firstLine="420"/>
      <w:spacing w:after="120"/>
    </w:pPr>
    <w:rPr>
      <w:rFonts w:ascii="Times New Roman" w:eastAsia="宋体"/>
      <w:szCs w:val="24"/>
    </w:rPr>
  </w:style>
  <w:style w:type="paragraph" w:styleId="714" w:customStyle="1">
    <w:name w:val="正文文本1"/>
    <w:basedOn w:val="715"/>
    <w:next w:val="701"/>
    <w:link w:val="928"/>
    <w:uiPriority w:val="0"/>
    <w:qFormat/>
    <w:rPr>
      <w:rFonts w:ascii="仿宋_GB2312" w:eastAsia="仿宋_GB2312"/>
      <w:sz w:val="24"/>
      <w:szCs w:val="20"/>
    </w:rPr>
  </w:style>
  <w:style w:type="paragraph" w:styleId="715" w:customStyle="1">
    <w:name w:val="正文11"/>
    <w:next w:val="714"/>
    <w:uiPriority w:val="99"/>
    <w:qFormat/>
    <w:pPr>
      <w:jc w:val="both"/>
      <w:widowControl w:val="off"/>
    </w:pPr>
    <w:rPr>
      <w:rFonts w:ascii="Calibri" w:hAnsi="Calibri" w:eastAsia="宋体" w:cs="Times New Roman"/>
      <w:sz w:val="21"/>
      <w:szCs w:val="21"/>
      <w:lang w:val="en-US" w:eastAsia="zh-CN" w:bidi="ar-SA"/>
    </w:rPr>
  </w:style>
  <w:style w:type="paragraph" w:styleId="716">
    <w:name w:val="toc 7"/>
    <w:basedOn w:val="701"/>
    <w:next w:val="701"/>
    <w:uiPriority w:val="39"/>
    <w:unhideWhenUsed/>
    <w:qFormat/>
    <w:pPr>
      <w:ind w:left="1701"/>
      <w:spacing w:after="57"/>
    </w:pPr>
  </w:style>
  <w:style w:type="paragraph" w:styleId="717">
    <w:name w:val="table of authorities"/>
    <w:basedOn w:val="701"/>
    <w:next w:val="701"/>
    <w:uiPriority w:val="0"/>
    <w:qFormat/>
    <w:pPr>
      <w:ind w:left="420"/>
      <w:spacing w:line="300" w:lineRule="auto"/>
    </w:pPr>
    <w:rPr>
      <w:rFonts w:ascii="Calibri" w:hAnsi="Calibri"/>
    </w:rPr>
  </w:style>
  <w:style w:type="paragraph" w:styleId="718">
    <w:name w:val="Normal Indent"/>
    <w:basedOn w:val="701"/>
    <w:uiPriority w:val="0"/>
    <w:qFormat/>
    <w:pPr>
      <w:ind w:firstLine="420"/>
      <w:jc w:val="left"/>
    </w:pPr>
    <w:rPr>
      <w:rFonts w:eastAsia="楷体_GB2312"/>
      <w:sz w:val="24"/>
    </w:rPr>
  </w:style>
  <w:style w:type="paragraph" w:styleId="719">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1"/>
    <w:link w:val="1030"/>
    <w:uiPriority w:val="0"/>
    <w:qFormat/>
    <w:pPr>
      <w:jc w:val="left"/>
    </w:pPr>
  </w:style>
  <w:style w:type="paragraph" w:styleId="721">
    <w:name w:val="Body Text"/>
    <w:basedOn w:val="701"/>
    <w:next w:val="701"/>
    <w:uiPriority w:val="0"/>
    <w:qFormat/>
    <w:pPr>
      <w:spacing w:after="120"/>
    </w:pPr>
  </w:style>
  <w:style w:type="paragraph" w:styleId="722">
    <w:name w:val="Body Text Indent"/>
    <w:basedOn w:val="701"/>
    <w:next w:val="723"/>
    <w:uiPriority w:val="0"/>
    <w:qFormat/>
    <w:pPr>
      <w:ind w:left="420"/>
      <w:spacing w:after="120"/>
    </w:pPr>
  </w:style>
  <w:style w:type="paragraph" w:styleId="723">
    <w:name w:val="envelope return"/>
    <w:basedOn w:val="701"/>
    <w:uiPriority w:val="99"/>
    <w:unhideWhenUsed/>
    <w:qFormat/>
    <w:rPr>
      <w:rFonts w:ascii="Arial" w:hAnsi="Arial"/>
    </w:rPr>
  </w:style>
  <w:style w:type="paragraph" w:styleId="724">
    <w:name w:val="Block Text"/>
    <w:basedOn w:val="701"/>
    <w:uiPriority w:val="99"/>
    <w:unhideWhenUsed/>
    <w:qFormat/>
    <w:pPr>
      <w:ind w:left="1440" w:right="700"/>
    </w:pPr>
    <w:rPr>
      <w:rFonts w:ascii="Verdana" w:hAnsi="Verdana"/>
      <w:szCs w:val="20"/>
    </w:rPr>
  </w:style>
  <w:style w:type="paragraph" w:styleId="725">
    <w:name w:val="index 4"/>
    <w:basedOn w:val="701"/>
    <w:next w:val="701"/>
    <w:uiPriority w:val="99"/>
    <w:unhideWhenUsed/>
    <w:qFormat/>
    <w:pPr>
      <w:ind w:left="600"/>
    </w:pPr>
  </w:style>
  <w:style w:type="paragraph" w:styleId="726">
    <w:name w:val="toc 5"/>
    <w:basedOn w:val="701"/>
    <w:next w:val="701"/>
    <w:uiPriority w:val="39"/>
    <w:unhideWhenUsed/>
    <w:qFormat/>
    <w:pPr>
      <w:ind w:left="1134"/>
      <w:spacing w:after="57"/>
    </w:pPr>
  </w:style>
  <w:style w:type="paragraph" w:styleId="727">
    <w:name w:val="toc 3"/>
    <w:basedOn w:val="701"/>
    <w:next w:val="701"/>
    <w:uiPriority w:val="39"/>
    <w:unhideWhenUsed/>
    <w:qFormat/>
    <w:pPr>
      <w:ind w:left="567"/>
      <w:spacing w:after="57"/>
    </w:pPr>
  </w:style>
  <w:style w:type="paragraph" w:styleId="728">
    <w:name w:val="Plain Text"/>
    <w:basedOn w:val="701"/>
    <w:uiPriority w:val="0"/>
    <w:qFormat/>
    <w:rPr>
      <w:rFonts w:ascii="宋体" w:hAnsi="Courier New" w:cs="Courier New"/>
      <w:szCs w:val="21"/>
    </w:rPr>
  </w:style>
  <w:style w:type="paragraph" w:styleId="729">
    <w:name w:val="toc 8"/>
    <w:basedOn w:val="701"/>
    <w:next w:val="701"/>
    <w:uiPriority w:val="39"/>
    <w:unhideWhenUsed/>
    <w:qFormat/>
    <w:pPr>
      <w:ind w:left="1984"/>
      <w:spacing w:after="57"/>
    </w:pPr>
  </w:style>
  <w:style w:type="paragraph" w:styleId="730">
    <w:name w:val="Body Text Indent 2"/>
    <w:basedOn w:val="701"/>
    <w:uiPriority w:val="0"/>
    <w:semiHidden/>
    <w:unhideWhenUsed/>
    <w:qFormat/>
    <w:pPr>
      <w:ind w:firstLine="560"/>
      <w:spacing w:line="500" w:lineRule="exact"/>
    </w:pPr>
    <w:rPr>
      <w:rFonts w:eastAsia="仿宋_GB2312"/>
      <w:sz w:val="28"/>
      <w:szCs w:val="20"/>
    </w:rPr>
  </w:style>
  <w:style w:type="paragraph" w:styleId="731">
    <w:name w:val="endnote text"/>
    <w:basedOn w:val="701"/>
    <w:link w:val="899"/>
    <w:uiPriority w:val="99"/>
    <w:semiHidden/>
    <w:unhideWhenUsed/>
    <w:qFormat/>
    <w:rPr>
      <w:sz w:val="20"/>
    </w:rPr>
  </w:style>
  <w:style w:type="paragraph" w:styleId="732">
    <w:name w:val="Balloon Text"/>
    <w:basedOn w:val="701"/>
    <w:link w:val="1029"/>
    <w:uiPriority w:val="99"/>
    <w:semiHidden/>
    <w:unhideWhenUsed/>
    <w:qFormat/>
    <w:rPr>
      <w:sz w:val="18"/>
      <w:szCs w:val="18"/>
    </w:rPr>
  </w:style>
  <w:style w:type="paragraph" w:styleId="733">
    <w:name w:val="Footer"/>
    <w:basedOn w:val="701"/>
    <w:link w:val="772"/>
    <w:uiPriority w:val="99"/>
    <w:unhideWhenUsed/>
    <w:qFormat/>
    <w:pPr>
      <w:tabs>
        <w:tab w:val="center" w:pos="7143" w:leader="none"/>
        <w:tab w:val="right" w:pos="14287" w:leader="none"/>
      </w:tabs>
    </w:pPr>
  </w:style>
  <w:style w:type="paragraph" w:styleId="734">
    <w:name w:val="Header"/>
    <w:basedOn w:val="701"/>
    <w:link w:val="770"/>
    <w:uiPriority w:val="99"/>
    <w:unhideWhenUsed/>
    <w:qFormat/>
    <w:pPr>
      <w:tabs>
        <w:tab w:val="center" w:pos="7143" w:leader="none"/>
        <w:tab w:val="right" w:pos="14287" w:leader="none"/>
      </w:tabs>
    </w:pPr>
  </w:style>
  <w:style w:type="paragraph" w:styleId="735">
    <w:name w:val="toc 1"/>
    <w:basedOn w:val="701"/>
    <w:next w:val="701"/>
    <w:uiPriority w:val="39"/>
    <w:unhideWhenUsed/>
    <w:qFormat/>
    <w:pPr>
      <w:spacing w:after="57"/>
    </w:pPr>
  </w:style>
  <w:style w:type="paragraph" w:styleId="736">
    <w:name w:val="toc 4"/>
    <w:basedOn w:val="701"/>
    <w:next w:val="701"/>
    <w:uiPriority w:val="39"/>
    <w:unhideWhenUsed/>
    <w:qFormat/>
    <w:pPr>
      <w:ind w:left="850"/>
      <w:spacing w:after="57"/>
    </w:pPr>
  </w:style>
  <w:style w:type="paragraph" w:styleId="737">
    <w:name w:val="Subtitle"/>
    <w:basedOn w:val="701"/>
    <w:next w:val="701"/>
    <w:link w:val="765"/>
    <w:uiPriority w:val="11"/>
    <w:qFormat/>
    <w:pPr>
      <w:spacing w:before="200" w:after="200"/>
    </w:pPr>
    <w:rPr>
      <w:sz w:val="24"/>
    </w:rPr>
  </w:style>
  <w:style w:type="paragraph" w:styleId="738">
    <w:name w:val="footnote text"/>
    <w:basedOn w:val="701"/>
    <w:link w:val="898"/>
    <w:uiPriority w:val="99"/>
    <w:semiHidden/>
    <w:unhideWhenUsed/>
    <w:qFormat/>
    <w:pPr>
      <w:spacing w:after="40"/>
    </w:pPr>
    <w:rPr>
      <w:sz w:val="18"/>
    </w:rPr>
  </w:style>
  <w:style w:type="paragraph" w:styleId="739">
    <w:name w:val="toc 6"/>
    <w:basedOn w:val="701"/>
    <w:next w:val="701"/>
    <w:uiPriority w:val="39"/>
    <w:unhideWhenUsed/>
    <w:qFormat/>
    <w:pPr>
      <w:ind w:left="1417"/>
      <w:spacing w:after="57"/>
    </w:pPr>
  </w:style>
  <w:style w:type="paragraph" w:styleId="740">
    <w:name w:val="table of figures"/>
    <w:basedOn w:val="701"/>
    <w:next w:val="701"/>
    <w:uiPriority w:val="99"/>
    <w:unhideWhenUsed/>
    <w:qFormat/>
  </w:style>
  <w:style w:type="paragraph" w:styleId="741">
    <w:name w:val="toc 2"/>
    <w:basedOn w:val="701"/>
    <w:next w:val="701"/>
    <w:uiPriority w:val="39"/>
    <w:unhideWhenUsed/>
    <w:qFormat/>
    <w:pPr>
      <w:ind w:left="283"/>
      <w:spacing w:after="57"/>
    </w:pPr>
  </w:style>
  <w:style w:type="paragraph" w:styleId="742">
    <w:name w:val="toc 9"/>
    <w:basedOn w:val="701"/>
    <w:next w:val="701"/>
    <w:uiPriority w:val="39"/>
    <w:unhideWhenUsed/>
    <w:qFormat/>
    <w:pPr>
      <w:ind w:left="2268"/>
      <w:spacing w:after="57"/>
    </w:pPr>
  </w:style>
  <w:style w:type="paragraph" w:styleId="743">
    <w:name w:val="Title"/>
    <w:basedOn w:val="701"/>
    <w:next w:val="701"/>
    <w:link w:val="764"/>
    <w:uiPriority w:val="10"/>
    <w:qFormat/>
    <w:pPr>
      <w:contextualSpacing/>
      <w:spacing w:before="300" w:after="200"/>
    </w:pPr>
    <w:rPr>
      <w:sz w:val="48"/>
      <w:szCs w:val="48"/>
    </w:rPr>
  </w:style>
  <w:style w:type="paragraph" w:styleId="744">
    <w:name w:val="annotation subject"/>
    <w:basedOn w:val="720"/>
    <w:next w:val="720"/>
    <w:link w:val="1031"/>
    <w:uiPriority w:val="99"/>
    <w:semiHidden/>
    <w:unhideWhenUsed/>
    <w:qFormat/>
    <w:rPr>
      <w:b/>
      <w:bCs/>
    </w:rPr>
  </w:style>
  <w:style w:type="paragraph" w:styleId="745">
    <w:name w:val="Body Text First Indent"/>
    <w:basedOn w:val="721"/>
    <w:uiPriority w:val="0"/>
    <w:qFormat/>
    <w:pPr>
      <w:ind w:firstLine="482"/>
      <w:spacing w:line="360" w:lineRule="auto"/>
    </w:pPr>
    <w:rPr>
      <w:b/>
      <w:sz w:val="24"/>
    </w:rPr>
  </w:style>
  <w:style w:type="paragraph" w:styleId="746">
    <w:name w:val="Body Text First Indent 2"/>
    <w:basedOn w:val="722"/>
    <w:uiPriority w:val="99"/>
    <w:unhideWhenUsed/>
    <w:qFormat/>
    <w:pPr>
      <w:ind w:firstLine="200"/>
    </w:p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annotation reference"/>
    <w:basedOn w:val="711"/>
    <w:uiPriority w:val="99"/>
    <w:semiHidden/>
    <w:unhideWhenUsed/>
    <w:qFormat/>
    <w:rPr>
      <w:sz w:val="21"/>
      <w:szCs w:val="21"/>
    </w:rPr>
  </w:style>
  <w:style w:type="character" w:styleId="751">
    <w:name w:val="footnote reference"/>
    <w:uiPriority w:val="99"/>
    <w:unhideWhenUsed/>
    <w:qFormat/>
    <w:rPr>
      <w:vertAlign w:val="superscript"/>
    </w:rPr>
  </w:style>
  <w:style w:type="paragraph" w:styleId="752"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53" w:customStyle="1">
    <w:name w:val="标题 1 字符1"/>
    <w:link w:val="702"/>
    <w:uiPriority w:val="9"/>
    <w:qFormat/>
    <w:rPr>
      <w:rFonts w:ascii="Arial" w:hAnsi="Arial" w:eastAsia="Arial" w:cs="Arial"/>
      <w:sz w:val="40"/>
      <w:szCs w:val="40"/>
    </w:rPr>
  </w:style>
  <w:style w:type="character" w:styleId="754" w:customStyle="1">
    <w:name w:val="标题 2 字符1"/>
    <w:link w:val="703"/>
    <w:uiPriority w:val="9"/>
    <w:qFormat/>
    <w:rPr>
      <w:rFonts w:ascii="Arial" w:hAnsi="Arial" w:eastAsia="Arial" w:cs="Arial"/>
      <w:sz w:val="34"/>
    </w:rPr>
  </w:style>
  <w:style w:type="character" w:styleId="755" w:customStyle="1">
    <w:name w:val="标题 3 字符1"/>
    <w:link w:val="704"/>
    <w:uiPriority w:val="9"/>
    <w:qFormat/>
    <w:rPr>
      <w:rFonts w:ascii="Arial" w:hAnsi="Arial" w:eastAsia="Arial" w:cs="Arial"/>
      <w:sz w:val="30"/>
      <w:szCs w:val="30"/>
    </w:rPr>
  </w:style>
  <w:style w:type="character" w:styleId="756" w:customStyle="1">
    <w:name w:val="标题 4 字符1"/>
    <w:link w:val="705"/>
    <w:uiPriority w:val="9"/>
    <w:qFormat/>
    <w:rPr>
      <w:rFonts w:ascii="Arial" w:hAnsi="Arial" w:eastAsia="Arial" w:cs="Arial"/>
      <w:b/>
      <w:bCs/>
      <w:sz w:val="26"/>
      <w:szCs w:val="26"/>
    </w:rPr>
  </w:style>
  <w:style w:type="character" w:styleId="757" w:customStyle="1">
    <w:name w:val="标题 5 字符1"/>
    <w:link w:val="706"/>
    <w:uiPriority w:val="9"/>
    <w:qFormat/>
    <w:rPr>
      <w:rFonts w:ascii="Arial" w:hAnsi="Arial" w:eastAsia="Arial" w:cs="Arial"/>
      <w:b/>
      <w:bCs/>
      <w:sz w:val="24"/>
      <w:szCs w:val="24"/>
    </w:rPr>
  </w:style>
  <w:style w:type="character" w:styleId="758" w:customStyle="1">
    <w:name w:val="标题 6 字符1"/>
    <w:link w:val="707"/>
    <w:uiPriority w:val="9"/>
    <w:qFormat/>
    <w:rPr>
      <w:rFonts w:ascii="Arial" w:hAnsi="Arial" w:eastAsia="Arial" w:cs="Arial"/>
      <w:b/>
      <w:bCs/>
      <w:sz w:val="22"/>
      <w:szCs w:val="22"/>
    </w:rPr>
  </w:style>
  <w:style w:type="character" w:styleId="759" w:customStyle="1">
    <w:name w:val="标题 7 字符1"/>
    <w:link w:val="708"/>
    <w:uiPriority w:val="9"/>
    <w:qFormat/>
    <w:rPr>
      <w:rFonts w:ascii="Arial" w:hAnsi="Arial" w:eastAsia="Arial" w:cs="Arial"/>
      <w:b/>
      <w:bCs/>
      <w:i/>
      <w:iCs/>
      <w:sz w:val="22"/>
      <w:szCs w:val="22"/>
    </w:rPr>
  </w:style>
  <w:style w:type="character" w:styleId="760" w:customStyle="1">
    <w:name w:val="标题 8 字符1"/>
    <w:link w:val="709"/>
    <w:uiPriority w:val="9"/>
    <w:qFormat/>
    <w:rPr>
      <w:rFonts w:ascii="Arial" w:hAnsi="Arial" w:eastAsia="Arial" w:cs="Arial"/>
      <w:i/>
      <w:iCs/>
      <w:sz w:val="22"/>
      <w:szCs w:val="22"/>
    </w:rPr>
  </w:style>
  <w:style w:type="character" w:styleId="761" w:customStyle="1">
    <w:name w:val="标题 9 字符1"/>
    <w:link w:val="710"/>
    <w:uiPriority w:val="9"/>
    <w:qFormat/>
    <w:rPr>
      <w:rFonts w:ascii="Arial" w:hAnsi="Arial" w:eastAsia="Arial" w:cs="Arial"/>
      <w:i/>
      <w:iCs/>
      <w:sz w:val="21"/>
      <w:szCs w:val="21"/>
    </w:rPr>
  </w:style>
  <w:style w:type="paragraph" w:styleId="762">
    <w:name w:val="List Paragraph"/>
    <w:basedOn w:val="701"/>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标题 字符"/>
    <w:link w:val="743"/>
    <w:uiPriority w:val="10"/>
    <w:qFormat/>
    <w:rPr>
      <w:sz w:val="48"/>
      <w:szCs w:val="48"/>
    </w:rPr>
  </w:style>
  <w:style w:type="character" w:styleId="765" w:customStyle="1">
    <w:name w:val="副标题 字符"/>
    <w:link w:val="737"/>
    <w:uiPriority w:val="11"/>
    <w:qFormat/>
    <w:rPr>
      <w:sz w:val="24"/>
      <w:szCs w:val="24"/>
    </w:rPr>
  </w:style>
  <w:style w:type="paragraph" w:styleId="766">
    <w:name w:val="Quote"/>
    <w:basedOn w:val="701"/>
    <w:next w:val="701"/>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701"/>
    <w:next w:val="701"/>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页眉 字符1"/>
    <w:link w:val="734"/>
    <w:uiPriority w:val="99"/>
    <w:qFormat/>
  </w:style>
  <w:style w:type="character" w:styleId="771" w:customStyle="1">
    <w:name w:val="Footer Char"/>
    <w:uiPriority w:val="99"/>
    <w:qFormat/>
  </w:style>
  <w:style w:type="character" w:styleId="772" w:customStyle="1">
    <w:name w:val="页脚 字符1"/>
    <w:link w:val="733"/>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字符"/>
    <w:link w:val="738"/>
    <w:uiPriority w:val="99"/>
    <w:qFormat/>
    <w:rPr>
      <w:sz w:val="18"/>
    </w:rPr>
  </w:style>
  <w:style w:type="character" w:styleId="899" w:customStyle="1">
    <w:name w:val="尾注文本 字符"/>
    <w:link w:val="731"/>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01"/>
    <w:next w:val="701"/>
    <w:link w:val="913"/>
    <w:uiPriority w:val="0"/>
    <w:qFormat/>
    <w:pPr>
      <w:keepLines/>
      <w:keepNext/>
      <w:spacing w:before="340" w:after="330" w:line="578" w:lineRule="auto"/>
      <w:outlineLvl w:val="0"/>
    </w:pPr>
    <w:rPr>
      <w:b/>
      <w:bCs/>
      <w:sz w:val="44"/>
      <w:szCs w:val="44"/>
    </w:rPr>
  </w:style>
  <w:style w:type="paragraph" w:styleId="902" w:customStyle="1">
    <w:name w:val="标题 21"/>
    <w:basedOn w:val="701"/>
    <w:next w:val="701"/>
    <w:link w:val="914"/>
    <w:uiPriority w:val="0"/>
    <w:qFormat/>
    <w:pPr>
      <w:keepLines/>
      <w:keepNext/>
      <w:spacing w:before="260" w:after="260" w:line="416" w:lineRule="auto"/>
      <w:outlineLvl w:val="1"/>
    </w:pPr>
    <w:rPr>
      <w:rFonts w:ascii="Arial" w:hAnsi="Arial" w:eastAsia="黑体"/>
      <w:b/>
      <w:bCs/>
      <w:sz w:val="32"/>
      <w:szCs w:val="32"/>
    </w:rPr>
  </w:style>
  <w:style w:type="paragraph" w:styleId="903" w:customStyle="1">
    <w:name w:val="标题 31"/>
    <w:basedOn w:val="701"/>
    <w:next w:val="701"/>
    <w:link w:val="915"/>
    <w:uiPriority w:val="0"/>
    <w:qFormat/>
    <w:pPr>
      <w:keepLines/>
      <w:keepNext/>
      <w:spacing w:before="260" w:after="260" w:line="416" w:lineRule="auto"/>
      <w:outlineLvl w:val="2"/>
    </w:pPr>
    <w:rPr>
      <w:b/>
      <w:bCs/>
      <w:sz w:val="32"/>
      <w:szCs w:val="32"/>
    </w:rPr>
  </w:style>
  <w:style w:type="paragraph" w:styleId="904" w:customStyle="1">
    <w:name w:val="标题 41"/>
    <w:basedOn w:val="701"/>
    <w:next w:val="701"/>
    <w:link w:val="916"/>
    <w:uiPriority w:val="0"/>
    <w:qFormat/>
    <w:pPr>
      <w:jc w:val="center"/>
      <w:keepNext/>
      <w:outlineLvl w:val="3"/>
    </w:pPr>
    <w:rPr>
      <w:rFonts w:eastAsia="新宋体"/>
      <w:sz w:val="30"/>
      <w:szCs w:val="21"/>
    </w:rPr>
  </w:style>
  <w:style w:type="paragraph" w:styleId="905" w:customStyle="1">
    <w:name w:val="标题 51"/>
    <w:basedOn w:val="701"/>
    <w:next w:val="701"/>
    <w:link w:val="917"/>
    <w:uiPriority w:val="0"/>
    <w:qFormat/>
    <w:pPr>
      <w:keepLines/>
      <w:keepNext/>
      <w:spacing w:before="280" w:after="290" w:line="376" w:lineRule="auto"/>
      <w:outlineLvl w:val="4"/>
    </w:pPr>
    <w:rPr>
      <w:b/>
      <w:bCs/>
      <w:sz w:val="28"/>
      <w:szCs w:val="28"/>
    </w:rPr>
  </w:style>
  <w:style w:type="paragraph" w:styleId="906" w:customStyle="1">
    <w:name w:val="标题 61"/>
    <w:basedOn w:val="701"/>
    <w:next w:val="907"/>
    <w:link w:val="918"/>
    <w:uiPriority w:val="0"/>
    <w:qFormat/>
    <w:pPr>
      <w:jc w:val="center"/>
      <w:keepNext/>
      <w:outlineLvl w:val="5"/>
    </w:pPr>
    <w:rPr>
      <w:b/>
      <w:sz w:val="44"/>
      <w:szCs w:val="20"/>
    </w:rPr>
  </w:style>
  <w:style w:type="paragraph" w:styleId="907" w:customStyle="1">
    <w:name w:val="正文缩进1"/>
    <w:basedOn w:val="701"/>
    <w:link w:val="919"/>
    <w:uiPriority w:val="0"/>
    <w:qFormat/>
    <w:pPr>
      <w:ind w:firstLine="420"/>
    </w:pPr>
    <w:rPr>
      <w:sz w:val="20"/>
      <w:szCs w:val="20"/>
    </w:rPr>
  </w:style>
  <w:style w:type="paragraph" w:styleId="908" w:customStyle="1">
    <w:name w:val="标题 71"/>
    <w:basedOn w:val="701"/>
    <w:next w:val="701"/>
    <w:link w:val="920"/>
    <w:uiPriority w:val="0"/>
    <w:qFormat/>
    <w:pPr>
      <w:keepLines/>
      <w:keepNext/>
      <w:spacing w:before="240" w:after="64" w:line="320" w:lineRule="auto"/>
      <w:outlineLvl w:val="6"/>
    </w:pPr>
    <w:rPr>
      <w:b/>
      <w:bCs/>
      <w:sz w:val="24"/>
    </w:rPr>
  </w:style>
  <w:style w:type="paragraph" w:styleId="909" w:customStyle="1">
    <w:name w:val="标题 81"/>
    <w:basedOn w:val="701"/>
    <w:next w:val="701"/>
    <w:link w:val="921"/>
    <w:uiPriority w:val="0"/>
    <w:qFormat/>
    <w:pPr>
      <w:keepLines/>
      <w:keepNext/>
      <w:spacing w:before="240" w:after="64" w:line="320" w:lineRule="auto"/>
      <w:outlineLvl w:val="7"/>
    </w:pPr>
    <w:rPr>
      <w:rFonts w:ascii="Arial" w:hAnsi="Arial" w:eastAsia="黑体"/>
      <w:sz w:val="24"/>
    </w:rPr>
  </w:style>
  <w:style w:type="paragraph" w:styleId="910" w:customStyle="1">
    <w:name w:val="标题 91"/>
    <w:basedOn w:val="701"/>
    <w:next w:val="701"/>
    <w:link w:val="922"/>
    <w:uiPriority w:val="0"/>
    <w:qFormat/>
    <w:pPr>
      <w:keepLines/>
      <w:keepNext/>
      <w:spacing w:before="240" w:after="64" w:line="320" w:lineRule="auto"/>
      <w:outlineLvl w:val="8"/>
    </w:pPr>
    <w:rPr>
      <w:rFonts w:ascii="Arial" w:hAnsi="Arial" w:eastAsia="黑体"/>
      <w:sz w:val="24"/>
      <w:szCs w:val="21"/>
    </w:rPr>
  </w:style>
  <w:style w:type="character" w:styleId="911" w:customStyle="1">
    <w:name w:val="默认段落字体1"/>
    <w:uiPriority w:val="1"/>
    <w:unhideWhenUsed/>
    <w:qFormat/>
  </w:style>
  <w:style w:type="table" w:styleId="912" w:customStyle="1">
    <w:name w:val="普通表格1"/>
    <w:uiPriority w:val="99"/>
    <w:unhideWhenUsed/>
    <w:qFormat/>
    <w:tblPr>
      <w:tblCellMar>
        <w:left w:w="0" w:type="dxa"/>
        <w:top w:w="0" w:type="dxa"/>
        <w:right w:w="0" w:type="dxa"/>
        <w:bottom w:w="0" w:type="dxa"/>
      </w:tblCellMar>
    </w:tblPr>
  </w:style>
  <w:style w:type="character" w:styleId="913" w:customStyle="1">
    <w:name w:val="标题 1 字符"/>
    <w:link w:val="901"/>
    <w:uiPriority w:val="0"/>
    <w:qFormat/>
    <w:rPr>
      <w:rFonts w:ascii="Times New Roman" w:hAnsi="Times New Roman" w:eastAsia="宋体" w:cs="Times New Roman"/>
      <w:b/>
      <w:bCs/>
      <w:sz w:val="44"/>
      <w:szCs w:val="44"/>
    </w:rPr>
  </w:style>
  <w:style w:type="character" w:styleId="914" w:customStyle="1">
    <w:name w:val="标题 2 字符"/>
    <w:link w:val="902"/>
    <w:uiPriority w:val="0"/>
    <w:qFormat/>
    <w:rPr>
      <w:rFonts w:ascii="Arial" w:hAnsi="Arial" w:eastAsia="黑体" w:cs="Times New Roman"/>
      <w:b/>
      <w:bCs/>
      <w:sz w:val="32"/>
      <w:szCs w:val="32"/>
    </w:rPr>
  </w:style>
  <w:style w:type="character" w:styleId="915" w:customStyle="1">
    <w:name w:val="标题 3 字符"/>
    <w:link w:val="903"/>
    <w:uiPriority w:val="0"/>
    <w:qFormat/>
    <w:rPr>
      <w:rFonts w:ascii="Times New Roman" w:hAnsi="Times New Roman" w:eastAsia="宋体" w:cs="Times New Roman"/>
      <w:b/>
      <w:bCs/>
      <w:sz w:val="32"/>
      <w:szCs w:val="32"/>
    </w:rPr>
  </w:style>
  <w:style w:type="character" w:styleId="916" w:customStyle="1">
    <w:name w:val="标题 4 字符"/>
    <w:link w:val="904"/>
    <w:uiPriority w:val="0"/>
    <w:qFormat/>
    <w:rPr>
      <w:rFonts w:ascii="Times New Roman" w:hAnsi="Times New Roman" w:eastAsia="新宋体" w:cs="Times New Roman"/>
      <w:sz w:val="30"/>
      <w:szCs w:val="21"/>
    </w:rPr>
  </w:style>
  <w:style w:type="character" w:styleId="917" w:customStyle="1">
    <w:name w:val="标题 5 字符"/>
    <w:link w:val="905"/>
    <w:uiPriority w:val="0"/>
    <w:qFormat/>
    <w:rPr>
      <w:rFonts w:ascii="Times New Roman" w:hAnsi="Times New Roman" w:eastAsia="宋体" w:cs="Times New Roman"/>
      <w:b/>
      <w:bCs/>
      <w:sz w:val="28"/>
      <w:szCs w:val="28"/>
    </w:rPr>
  </w:style>
  <w:style w:type="character" w:styleId="918" w:customStyle="1">
    <w:name w:val="标题 6 字符"/>
    <w:link w:val="906"/>
    <w:uiPriority w:val="0"/>
    <w:qFormat/>
    <w:rPr>
      <w:rFonts w:ascii="Times New Roman" w:hAnsi="Times New Roman" w:eastAsia="宋体" w:cs="Times New Roman"/>
      <w:b/>
      <w:sz w:val="44"/>
      <w:szCs w:val="20"/>
    </w:rPr>
  </w:style>
  <w:style w:type="character" w:styleId="919" w:customStyle="1">
    <w:name w:val="正文缩进 字符"/>
    <w:link w:val="907"/>
    <w:uiPriority w:val="0"/>
    <w:qFormat/>
    <w:rPr>
      <w:rFonts w:ascii="Times New Roman" w:hAnsi="Times New Roman" w:eastAsia="宋体" w:cs="Times New Roman"/>
      <w:sz w:val="20"/>
      <w:szCs w:val="20"/>
    </w:rPr>
  </w:style>
  <w:style w:type="character" w:styleId="920" w:customStyle="1">
    <w:name w:val="标题 7 字符"/>
    <w:link w:val="908"/>
    <w:uiPriority w:val="0"/>
    <w:qFormat/>
    <w:rPr>
      <w:rFonts w:ascii="Times New Roman" w:hAnsi="Times New Roman" w:eastAsia="宋体" w:cs="Times New Roman"/>
      <w:b/>
      <w:bCs/>
      <w:sz w:val="24"/>
      <w:szCs w:val="24"/>
    </w:rPr>
  </w:style>
  <w:style w:type="character" w:styleId="921" w:customStyle="1">
    <w:name w:val="标题 8 字符"/>
    <w:link w:val="909"/>
    <w:uiPriority w:val="0"/>
    <w:qFormat/>
    <w:rPr>
      <w:rFonts w:ascii="Arial" w:hAnsi="Arial" w:eastAsia="黑体" w:cs="Times New Roman"/>
      <w:sz w:val="24"/>
      <w:szCs w:val="24"/>
    </w:rPr>
  </w:style>
  <w:style w:type="character" w:styleId="922" w:customStyle="1">
    <w:name w:val="标题 9 字符"/>
    <w:link w:val="910"/>
    <w:uiPriority w:val="0"/>
    <w:qFormat/>
    <w:rPr>
      <w:rFonts w:ascii="Arial" w:hAnsi="Arial" w:eastAsia="黑体" w:cs="Times New Roman"/>
      <w:sz w:val="24"/>
      <w:szCs w:val="21"/>
    </w:rPr>
  </w:style>
  <w:style w:type="paragraph" w:styleId="923" w:customStyle="1">
    <w:name w:val="文档结构图1"/>
    <w:basedOn w:val="701"/>
    <w:link w:val="924"/>
    <w:uiPriority w:val="0"/>
    <w:semiHidden/>
    <w:qFormat/>
    <w:pPr>
      <w:shd w:val="clear" w:color="auto" w:fill="000080"/>
    </w:pPr>
    <w:rPr>
      <w:sz w:val="20"/>
    </w:rPr>
  </w:style>
  <w:style w:type="character" w:styleId="924" w:customStyle="1">
    <w:name w:val="文档结构图 字符"/>
    <w:link w:val="923"/>
    <w:uiPriority w:val="0"/>
    <w:semiHidden/>
    <w:qFormat/>
    <w:rPr>
      <w:szCs w:val="24"/>
      <w:shd w:val="clear" w:color="auto" w:fill="000080"/>
    </w:rPr>
  </w:style>
  <w:style w:type="paragraph" w:styleId="925" w:customStyle="1">
    <w:name w:val="正文文本 31"/>
    <w:basedOn w:val="701"/>
    <w:link w:val="926"/>
    <w:uiPriority w:val="0"/>
    <w:qFormat/>
    <w:pPr>
      <w:spacing w:after="120"/>
    </w:pPr>
    <w:rPr>
      <w:sz w:val="16"/>
      <w:szCs w:val="16"/>
    </w:rPr>
  </w:style>
  <w:style w:type="character" w:styleId="926" w:customStyle="1">
    <w:name w:val="正文文本 3 字符"/>
    <w:link w:val="925"/>
    <w:uiPriority w:val="0"/>
    <w:qFormat/>
    <w:rPr>
      <w:rFonts w:ascii="Times New Roman" w:hAnsi="Times New Roman" w:eastAsia="宋体" w:cs="Times New Roman"/>
      <w:sz w:val="16"/>
      <w:szCs w:val="16"/>
    </w:rPr>
  </w:style>
  <w:style w:type="paragraph" w:styleId="927" w:customStyle="1">
    <w:name w:val="正文文本 21"/>
    <w:basedOn w:val="701"/>
    <w:next w:val="714"/>
    <w:link w:val="929"/>
    <w:uiPriority w:val="0"/>
    <w:qFormat/>
    <w:rPr>
      <w:b/>
      <w:bCs/>
      <w:sz w:val="18"/>
    </w:rPr>
  </w:style>
  <w:style w:type="character" w:styleId="928" w:customStyle="1">
    <w:name w:val="正文文本 字符"/>
    <w:link w:val="714"/>
    <w:uiPriority w:val="0"/>
    <w:qFormat/>
    <w:rPr>
      <w:rFonts w:ascii="仿宋_GB2312" w:hAnsi="Times New Roman" w:eastAsia="仿宋_GB2312" w:cs="Times New Roman"/>
      <w:sz w:val="24"/>
      <w:szCs w:val="20"/>
    </w:rPr>
  </w:style>
  <w:style w:type="character" w:styleId="929" w:customStyle="1">
    <w:name w:val="正文文本 2 字符"/>
    <w:link w:val="927"/>
    <w:uiPriority w:val="0"/>
    <w:qFormat/>
    <w:rPr>
      <w:rFonts w:ascii="Times New Roman" w:hAnsi="Times New Roman" w:eastAsia="宋体" w:cs="Times New Roman"/>
      <w:b/>
      <w:bCs/>
      <w:sz w:val="18"/>
      <w:szCs w:val="24"/>
    </w:rPr>
  </w:style>
  <w:style w:type="paragraph" w:styleId="930" w:customStyle="1">
    <w:name w:val="正文文本缩进1"/>
    <w:basedOn w:val="701"/>
    <w:next w:val="931"/>
    <w:link w:val="932"/>
    <w:uiPriority w:val="0"/>
    <w:qFormat/>
    <w:pPr>
      <w:ind w:left="765"/>
    </w:pPr>
    <w:rPr>
      <w:rFonts w:ascii="仿宋_GB2312" w:eastAsia="仿宋_GB2312"/>
      <w:sz w:val="28"/>
      <w:szCs w:val="20"/>
    </w:rPr>
  </w:style>
  <w:style w:type="paragraph" w:styleId="931" w:customStyle="1">
    <w:name w:val="寄信人地址1"/>
    <w:basedOn w:val="701"/>
    <w:uiPriority w:val="99"/>
    <w:unhideWhenUsed/>
    <w:qFormat/>
    <w:rPr>
      <w:rFonts w:ascii="Arial" w:hAnsi="Arial"/>
    </w:rPr>
  </w:style>
  <w:style w:type="character" w:styleId="932" w:customStyle="1">
    <w:name w:val="正文文本缩进 字符"/>
    <w:link w:val="930"/>
    <w:uiPriority w:val="0"/>
    <w:qFormat/>
    <w:rPr>
      <w:rFonts w:ascii="仿宋_GB2312" w:hAnsi="Times New Roman" w:eastAsia="仿宋_GB2312" w:cs="Times New Roman"/>
      <w:sz w:val="28"/>
      <w:szCs w:val="20"/>
    </w:rPr>
  </w:style>
  <w:style w:type="paragraph" w:styleId="933" w:customStyle="1">
    <w:name w:val="纯文本1"/>
    <w:basedOn w:val="701"/>
    <w:link w:val="934"/>
    <w:uiPriority w:val="0"/>
    <w:qFormat/>
    <w:rPr>
      <w:rFonts w:ascii="宋体" w:hAnsi="Courier New"/>
      <w:sz w:val="20"/>
      <w:szCs w:val="21"/>
    </w:rPr>
  </w:style>
  <w:style w:type="character" w:styleId="934" w:customStyle="1">
    <w:name w:val="纯文本 字符"/>
    <w:link w:val="933"/>
    <w:uiPriority w:val="0"/>
    <w:qFormat/>
    <w:rPr>
      <w:rFonts w:ascii="宋体" w:hAnsi="Courier New" w:eastAsia="宋体" w:cs="Courier New"/>
      <w:szCs w:val="21"/>
    </w:rPr>
  </w:style>
  <w:style w:type="paragraph" w:styleId="935" w:customStyle="1">
    <w:name w:val="日期1"/>
    <w:basedOn w:val="701"/>
    <w:next w:val="701"/>
    <w:link w:val="936"/>
    <w:uiPriority w:val="0"/>
    <w:qFormat/>
    <w:rPr>
      <w:sz w:val="24"/>
      <w:szCs w:val="20"/>
    </w:rPr>
  </w:style>
  <w:style w:type="character" w:styleId="936" w:customStyle="1">
    <w:name w:val="日期 字符"/>
    <w:link w:val="935"/>
    <w:uiPriority w:val="0"/>
    <w:qFormat/>
    <w:rPr>
      <w:rFonts w:ascii="Times New Roman" w:hAnsi="Times New Roman" w:eastAsia="宋体" w:cs="Times New Roman"/>
      <w:sz w:val="24"/>
      <w:szCs w:val="20"/>
    </w:rPr>
  </w:style>
  <w:style w:type="paragraph" w:styleId="937" w:customStyle="1">
    <w:name w:val="正文文本缩进 21"/>
    <w:basedOn w:val="701"/>
    <w:link w:val="938"/>
    <w:uiPriority w:val="0"/>
    <w:qFormat/>
    <w:pPr>
      <w:ind w:firstLine="560"/>
      <w:spacing w:line="500" w:lineRule="exact"/>
    </w:pPr>
    <w:rPr>
      <w:rFonts w:eastAsia="仿宋_GB2312"/>
      <w:sz w:val="28"/>
      <w:szCs w:val="20"/>
    </w:rPr>
  </w:style>
  <w:style w:type="character" w:styleId="938" w:customStyle="1">
    <w:name w:val="正文文本缩进 2 字符"/>
    <w:link w:val="937"/>
    <w:uiPriority w:val="0"/>
    <w:qFormat/>
    <w:rPr>
      <w:rFonts w:ascii="Times New Roman" w:hAnsi="Times New Roman" w:eastAsia="仿宋_GB2312" w:cs="Times New Roman"/>
      <w:sz w:val="28"/>
      <w:szCs w:val="20"/>
    </w:rPr>
  </w:style>
  <w:style w:type="paragraph" w:styleId="939" w:customStyle="1">
    <w:name w:val="批注框文本1"/>
    <w:basedOn w:val="701"/>
    <w:link w:val="940"/>
    <w:uiPriority w:val="0"/>
    <w:semiHidden/>
    <w:qFormat/>
    <w:rPr>
      <w:sz w:val="18"/>
      <w:szCs w:val="18"/>
    </w:rPr>
  </w:style>
  <w:style w:type="character" w:styleId="940" w:customStyle="1">
    <w:name w:val="批注框文本 字符"/>
    <w:link w:val="939"/>
    <w:uiPriority w:val="0"/>
    <w:semiHidden/>
    <w:qFormat/>
    <w:rPr>
      <w:sz w:val="18"/>
      <w:szCs w:val="18"/>
    </w:rPr>
  </w:style>
  <w:style w:type="paragraph" w:styleId="941" w:customStyle="1">
    <w:name w:val="页脚1"/>
    <w:basedOn w:val="701"/>
    <w:link w:val="942"/>
    <w:uiPriority w:val="99"/>
    <w:qFormat/>
    <w:pPr>
      <w:jc w:val="left"/>
      <w:tabs>
        <w:tab w:val="center" w:pos="4153" w:leader="none"/>
        <w:tab w:val="right" w:pos="8306" w:leader="none"/>
      </w:tabs>
    </w:pPr>
    <w:rPr>
      <w:sz w:val="18"/>
      <w:szCs w:val="20"/>
    </w:rPr>
  </w:style>
  <w:style w:type="character" w:styleId="942" w:customStyle="1">
    <w:name w:val="页脚 字符"/>
    <w:link w:val="941"/>
    <w:uiPriority w:val="99"/>
    <w:qFormat/>
    <w:rPr>
      <w:rFonts w:ascii="Times New Roman" w:hAnsi="Times New Roman" w:eastAsia="宋体" w:cs="Times New Roman"/>
      <w:sz w:val="18"/>
      <w:szCs w:val="20"/>
    </w:rPr>
  </w:style>
  <w:style w:type="paragraph" w:styleId="943" w:customStyle="1">
    <w:name w:val="页眉1"/>
    <w:basedOn w:val="701"/>
    <w:link w:val="944"/>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字符"/>
    <w:link w:val="943"/>
    <w:uiPriority w:val="0"/>
    <w:qFormat/>
    <w:rPr>
      <w:rFonts w:ascii="Times New Roman" w:hAnsi="Times New Roman" w:eastAsia="宋体" w:cs="Times New Roman"/>
      <w:sz w:val="18"/>
      <w:szCs w:val="18"/>
    </w:rPr>
  </w:style>
  <w:style w:type="paragraph" w:styleId="945" w:customStyle="1">
    <w:name w:val="目录 11"/>
    <w:basedOn w:val="701"/>
    <w:next w:val="701"/>
    <w:uiPriority w:val="0"/>
    <w:semiHidden/>
    <w:qFormat/>
    <w:rPr>
      <w:sz w:val="24"/>
    </w:rPr>
  </w:style>
  <w:style w:type="paragraph" w:styleId="946" w:customStyle="1">
    <w:name w:val="列表1"/>
    <w:basedOn w:val="701"/>
    <w:uiPriority w:val="0"/>
    <w:qFormat/>
    <w:pPr>
      <w:ind w:left="200" w:hanging="200"/>
    </w:pPr>
  </w:style>
  <w:style w:type="paragraph" w:styleId="947" w:customStyle="1">
    <w:name w:val="脚注文本1"/>
    <w:basedOn w:val="701"/>
    <w:uiPriority w:val="99"/>
    <w:unhideWhenUsed/>
    <w:qFormat/>
    <w:pPr>
      <w:jc w:val="left"/>
    </w:pPr>
    <w:rPr>
      <w:sz w:val="18"/>
      <w:szCs w:val="18"/>
    </w:rPr>
  </w:style>
  <w:style w:type="paragraph" w:styleId="948" w:customStyle="1">
    <w:name w:val="正文文本缩进 31"/>
    <w:basedOn w:val="701"/>
    <w:link w:val="949"/>
    <w:uiPriority w:val="0"/>
    <w:qFormat/>
    <w:pPr>
      <w:ind w:left="420"/>
      <w:spacing w:after="120"/>
    </w:pPr>
    <w:rPr>
      <w:sz w:val="16"/>
      <w:szCs w:val="16"/>
    </w:rPr>
  </w:style>
  <w:style w:type="character" w:styleId="949" w:customStyle="1">
    <w:name w:val="正文文本缩进 3 字符"/>
    <w:link w:val="948"/>
    <w:uiPriority w:val="0"/>
    <w:qFormat/>
    <w:rPr>
      <w:rFonts w:ascii="Times New Roman" w:hAnsi="Times New Roman" w:eastAsia="宋体" w:cs="Times New Roman"/>
      <w:sz w:val="16"/>
      <w:szCs w:val="16"/>
    </w:rPr>
  </w:style>
  <w:style w:type="paragraph" w:styleId="950" w:customStyle="1">
    <w:name w:val="普通(网站)1"/>
    <w:basedOn w:val="701"/>
    <w:uiPriority w:val="0"/>
    <w:qFormat/>
    <w:pPr>
      <w:jc w:val="left"/>
      <w:spacing w:before="100" w:beforeAutospacing="1" w:after="100" w:afterAutospacing="1"/>
      <w:widowControl/>
    </w:pPr>
    <w:rPr>
      <w:rFonts w:ascii="宋体" w:hAnsi="宋体"/>
      <w:color w:val="000000"/>
      <w:sz w:val="24"/>
    </w:rPr>
  </w:style>
  <w:style w:type="paragraph" w:styleId="951" w:customStyle="1">
    <w:name w:val="正文文本11"/>
    <w:basedOn w:val="701"/>
    <w:uiPriority w:val="99"/>
    <w:qFormat/>
    <w:rPr>
      <w:rFonts w:ascii="楷体_GB2312" w:hAnsi="Arial" w:eastAsia="楷体_GB2312"/>
      <w:sz w:val="28"/>
      <w:szCs w:val="20"/>
    </w:rPr>
  </w:style>
  <w:style w:type="character" w:styleId="952" w:customStyle="1">
    <w:name w:val="正文首行缩进 字符"/>
    <w:link w:val="713"/>
    <w:uiPriority w:val="0"/>
    <w:qFormat/>
    <w:rPr>
      <w:rFonts w:ascii="Times New Roman" w:hAnsi="Times New Roman" w:eastAsia="宋体" w:cs="Times New Roman"/>
      <w:sz w:val="24"/>
      <w:szCs w:val="24"/>
    </w:rPr>
  </w:style>
  <w:style w:type="table" w:styleId="953" w:customStyle="1">
    <w:name w:val="网格型11"/>
    <w:basedOn w:val="912"/>
    <w:uiPriority w:val="59"/>
    <w:qFormat/>
    <w:tblPr/>
  </w:style>
  <w:style w:type="character" w:styleId="954" w:customStyle="1">
    <w:name w:val="要点1"/>
    <w:uiPriority w:val="0"/>
    <w:qFormat/>
    <w:rPr>
      <w:b/>
      <w:bCs/>
    </w:rPr>
  </w:style>
  <w:style w:type="character" w:styleId="955" w:customStyle="1">
    <w:name w:val="页码1"/>
    <w:uiPriority w:val="0"/>
    <w:qFormat/>
  </w:style>
  <w:style w:type="character" w:styleId="956" w:customStyle="1">
    <w:name w:val="已访问的超链接1"/>
    <w:uiPriority w:val="0"/>
    <w:qFormat/>
    <w:rPr>
      <w:color w:val="800080"/>
      <w:u w:val="none"/>
    </w:rPr>
  </w:style>
  <w:style w:type="character" w:styleId="957" w:customStyle="1">
    <w:name w:val="强调1"/>
    <w:uiPriority w:val="20"/>
    <w:qFormat/>
    <w:rPr>
      <w:b/>
      <w:bCs/>
    </w:rPr>
  </w:style>
  <w:style w:type="character" w:styleId="958" w:customStyle="1">
    <w:name w:val="HTML 定义1"/>
    <w:uiPriority w:val="99"/>
    <w:unhideWhenUsed/>
    <w:qFormat/>
  </w:style>
  <w:style w:type="character" w:styleId="959" w:customStyle="1">
    <w:name w:val="HTML 打字机1"/>
    <w:uiPriority w:val="99"/>
    <w:unhideWhenUsed/>
    <w:qFormat/>
    <w:rPr>
      <w:rFonts w:ascii="monospace" w:hAnsi="monospace" w:eastAsia="monospace" w:cs="monospace"/>
      <w:sz w:val="20"/>
    </w:rPr>
  </w:style>
  <w:style w:type="character" w:styleId="960" w:customStyle="1">
    <w:name w:val="HTML 缩写1"/>
    <w:uiPriority w:val="99"/>
    <w:unhideWhenUsed/>
    <w:qFormat/>
  </w:style>
  <w:style w:type="character" w:styleId="961" w:customStyle="1">
    <w:name w:val="HTML 变量1"/>
    <w:uiPriority w:val="99"/>
    <w:unhideWhenUsed/>
    <w:qFormat/>
  </w:style>
  <w:style w:type="character" w:styleId="962" w:customStyle="1">
    <w:name w:val="超链接1"/>
    <w:uiPriority w:val="0"/>
    <w:qFormat/>
    <w:rPr>
      <w:color w:val="0000ff"/>
      <w:u w:val="none"/>
    </w:rPr>
  </w:style>
  <w:style w:type="character" w:styleId="963" w:customStyle="1">
    <w:name w:val="HTML 代码1"/>
    <w:uiPriority w:val="99"/>
    <w:unhideWhenUsed/>
    <w:qFormat/>
    <w:rPr>
      <w:rFonts w:ascii="monospace" w:hAnsi="monospace" w:eastAsia="monospace" w:cs="monospace"/>
      <w:sz w:val="20"/>
    </w:rPr>
  </w:style>
  <w:style w:type="character" w:styleId="964" w:customStyle="1">
    <w:name w:val="HTML 引文1"/>
    <w:uiPriority w:val="99"/>
    <w:unhideWhenUsed/>
    <w:qFormat/>
  </w:style>
  <w:style w:type="character" w:styleId="965" w:customStyle="1">
    <w:name w:val="HTML 键盘1"/>
    <w:uiPriority w:val="99"/>
    <w:unhideWhenUsed/>
    <w:qFormat/>
    <w:rPr>
      <w:rFonts w:ascii="monospace" w:hAnsi="monospace" w:eastAsia="monospace" w:cs="monospace"/>
      <w:sz w:val="20"/>
    </w:rPr>
  </w:style>
  <w:style w:type="character" w:styleId="966" w:customStyle="1">
    <w:name w:val="HTML 样本1"/>
    <w:uiPriority w:val="99"/>
    <w:unhideWhenUsed/>
    <w:qFormat/>
    <w:rPr>
      <w:rFonts w:ascii="monospace" w:hAnsi="monospace" w:eastAsia="monospace" w:cs="monospace"/>
    </w:rPr>
  </w:style>
  <w:style w:type="character" w:styleId="967" w:customStyle="1">
    <w:name w:val="列出段落 字符"/>
    <w:link w:val="968"/>
    <w:uiPriority w:val="99"/>
    <w:qFormat/>
  </w:style>
  <w:style w:type="paragraph" w:styleId="968" w:customStyle="1">
    <w:name w:val="列出段落1"/>
    <w:basedOn w:val="701"/>
    <w:link w:val="967"/>
    <w:uiPriority w:val="99"/>
    <w:qFormat/>
    <w:pPr>
      <w:ind w:firstLine="420"/>
    </w:pPr>
    <w:rPr>
      <w:sz w:val="20"/>
      <w:szCs w:val="20"/>
    </w:rPr>
  </w:style>
  <w:style w:type="character" w:styleId="969" w:customStyle="1">
    <w:name w:val="文档结构图 Char1"/>
    <w:uiPriority w:val="99"/>
    <w:semiHidden/>
    <w:qFormat/>
    <w:rPr>
      <w:rFonts w:ascii="宋体" w:hAnsi="Times New Roman" w:eastAsia="宋体" w:cs="Times New Roman"/>
      <w:sz w:val="18"/>
      <w:szCs w:val="18"/>
    </w:rPr>
  </w:style>
  <w:style w:type="character" w:styleId="970" w:customStyle="1">
    <w:name w:val="普通正文 Char"/>
    <w:link w:val="971"/>
    <w:uiPriority w:val="0"/>
    <w:qFormat/>
    <w:rPr>
      <w:rFonts w:ascii="Arial" w:hAnsi="Arial"/>
      <w:sz w:val="24"/>
      <w:szCs w:val="24"/>
    </w:rPr>
  </w:style>
  <w:style w:type="paragraph" w:styleId="971" w:customStyle="1">
    <w:name w:val="普通正文"/>
    <w:basedOn w:val="701"/>
    <w:link w:val="970"/>
    <w:uiPriority w:val="0"/>
    <w:qFormat/>
    <w:pPr>
      <w:ind w:left="-2" w:right="120" w:firstLine="480"/>
      <w:jc w:val="center"/>
      <w:spacing w:before="120" w:after="120" w:line="360" w:lineRule="auto"/>
    </w:pPr>
    <w:rPr>
      <w:rFonts w:ascii="Arial" w:hAnsi="Arial"/>
      <w:sz w:val="24"/>
    </w:rPr>
  </w:style>
  <w:style w:type="character" w:styleId="972" w:customStyle="1">
    <w:name w:val="FA正文 Char"/>
    <w:link w:val="973"/>
    <w:uiPriority w:val="0"/>
    <w:qFormat/>
    <w:rPr>
      <w:rFonts w:ascii="宋体" w:hAnsi="宋体" w:eastAsia="宋体" w:cs="Times New Roman"/>
      <w:sz w:val="28"/>
      <w:szCs w:val="28"/>
    </w:rPr>
  </w:style>
  <w:style w:type="paragraph" w:styleId="973" w:customStyle="1">
    <w:name w:val="FA正文"/>
    <w:basedOn w:val="701"/>
    <w:link w:val="972"/>
    <w:uiPriority w:val="0"/>
    <w:qFormat/>
    <w:pPr>
      <w:ind w:firstLine="538"/>
      <w:spacing w:line="440" w:lineRule="atLeast"/>
      <w:tabs>
        <w:tab w:val="left" w:pos="3375" w:leader="none"/>
      </w:tabs>
    </w:pPr>
    <w:rPr>
      <w:rFonts w:ascii="宋体" w:hAnsi="宋体"/>
      <w:sz w:val="28"/>
      <w:szCs w:val="28"/>
    </w:rPr>
  </w:style>
  <w:style w:type="character" w:styleId="974" w:customStyle="1">
    <w:name w:val="正文缩进2格 Char"/>
    <w:link w:val="975"/>
    <w:uiPriority w:val="0"/>
    <w:qFormat/>
    <w:rPr>
      <w:rFonts w:ascii="仿宋_GB2312" w:hAnsi="宋体" w:eastAsia="仿宋_GB2312" w:cs="Times New Roman"/>
      <w:sz w:val="31"/>
      <w:szCs w:val="28"/>
    </w:rPr>
  </w:style>
  <w:style w:type="paragraph" w:styleId="975" w:customStyle="1">
    <w:name w:val="正文缩进2格"/>
    <w:basedOn w:val="701"/>
    <w:link w:val="974"/>
    <w:uiPriority w:val="0"/>
    <w:qFormat/>
    <w:pPr>
      <w:ind w:firstLine="639"/>
      <w:spacing w:line="600" w:lineRule="exact"/>
    </w:pPr>
    <w:rPr>
      <w:rFonts w:ascii="仿宋_GB2312" w:hAnsi="宋体" w:eastAsia="仿宋_GB2312"/>
      <w:sz w:val="31"/>
      <w:szCs w:val="28"/>
    </w:rPr>
  </w:style>
  <w:style w:type="character" w:styleId="976" w:customStyle="1">
    <w:name w:val="cn_text1"/>
    <w:uiPriority w:val="0"/>
    <w:qFormat/>
    <w:rPr>
      <w:rFonts w:ascii="ˎ̥" w:hAnsi="ˎ̥"/>
      <w:color w:val="003399"/>
      <w:spacing w:val="15"/>
      <w:sz w:val="18"/>
      <w:szCs w:val="18"/>
    </w:rPr>
  </w:style>
  <w:style w:type="character" w:styleId="977" w:customStyle="1">
    <w:name w:val="ssss Char"/>
    <w:uiPriority w:val="0"/>
    <w:qFormat/>
    <w:rPr>
      <w:rFonts w:eastAsia="宋体"/>
      <w:sz w:val="24"/>
      <w:szCs w:val="24"/>
      <w:lang w:val="en-US" w:eastAsia="zh-CN" w:bidi="ar-SA"/>
    </w:rPr>
  </w:style>
  <w:style w:type="character" w:styleId="978" w:customStyle="1">
    <w:name w:val="ssss Char1"/>
    <w:link w:val="979"/>
    <w:uiPriority w:val="0"/>
    <w:qFormat/>
    <w:rPr>
      <w:rFonts w:ascii="Times New Roman" w:hAnsi="Times New Roman" w:eastAsia="宋体" w:cs="Times New Roman"/>
      <w:sz w:val="24"/>
      <w:szCs w:val="24"/>
    </w:rPr>
  </w:style>
  <w:style w:type="paragraph" w:styleId="979" w:customStyle="1">
    <w:name w:val="ssss"/>
    <w:basedOn w:val="701"/>
    <w:link w:val="978"/>
    <w:uiPriority w:val="0"/>
    <w:qFormat/>
    <w:pPr>
      <w:ind w:firstLine="480"/>
      <w:spacing w:line="360" w:lineRule="auto"/>
    </w:pPr>
    <w:rPr>
      <w:sz w:val="24"/>
    </w:rPr>
  </w:style>
  <w:style w:type="character" w:styleId="980" w:customStyle="1">
    <w:name w:val="标题 4 Char1"/>
    <w:uiPriority w:val="0"/>
    <w:qFormat/>
    <w:rPr>
      <w:rFonts w:ascii="Arial" w:hAnsi="Arial" w:eastAsia="黑体"/>
      <w:b/>
      <w:bCs/>
      <w:sz w:val="28"/>
      <w:szCs w:val="28"/>
      <w:lang w:val="en-US" w:eastAsia="zh-CN" w:bidi="ar-SA"/>
    </w:rPr>
  </w:style>
  <w:style w:type="character" w:styleId="981" w:customStyle="1">
    <w:name w:val="列表段落 字符"/>
    <w:uiPriority w:val="34"/>
    <w:qFormat/>
    <w:rPr>
      <w:rFonts w:ascii="Calibri" w:hAnsi="Calibri"/>
      <w:sz w:val="21"/>
      <w:szCs w:val="22"/>
    </w:rPr>
  </w:style>
  <w:style w:type="character" w:styleId="982" w:customStyle="1">
    <w:name w:val="批注框文本 Char1"/>
    <w:uiPriority w:val="99"/>
    <w:semiHidden/>
    <w:qFormat/>
    <w:rPr>
      <w:rFonts w:ascii="Times New Roman" w:hAnsi="Times New Roman" w:eastAsia="宋体" w:cs="Times New Roman"/>
      <w:sz w:val="18"/>
      <w:szCs w:val="18"/>
    </w:rPr>
  </w:style>
  <w:style w:type="character" w:styleId="983" w:customStyle="1">
    <w:name w:val="样式 ssss + 宋体 五号1 Char"/>
    <w:link w:val="984"/>
    <w:uiPriority w:val="0"/>
    <w:qFormat/>
    <w:rPr>
      <w:rFonts w:ascii="宋体" w:hAnsi="宋体" w:eastAsia="宋体" w:cs="Times New Roman"/>
      <w:sz w:val="24"/>
      <w:szCs w:val="24"/>
    </w:rPr>
  </w:style>
  <w:style w:type="paragraph" w:styleId="984" w:customStyle="1">
    <w:name w:val="样式 ssss + 宋体 五号1"/>
    <w:basedOn w:val="979"/>
    <w:link w:val="983"/>
    <w:uiPriority w:val="0"/>
    <w:qFormat/>
    <w:rPr>
      <w:rFonts w:ascii="宋体" w:hAnsi="宋体"/>
    </w:rPr>
  </w:style>
  <w:style w:type="character" w:styleId="985" w:customStyle="1">
    <w:name w:val="point_normal1"/>
    <w:uiPriority w:val="0"/>
    <w:qFormat/>
    <w:rPr>
      <w:rFonts w:ascii="Arial" w:hAnsi="Arial" w:cs="Arial"/>
      <w:sz w:val="16"/>
      <w:szCs w:val="16"/>
    </w:rPr>
  </w:style>
  <w:style w:type="paragraph" w:styleId="986" w:customStyle="1">
    <w:name w:val="样式 正文文本缩进 3 + 四号"/>
    <w:basedOn w:val="948"/>
    <w:uiPriority w:val="0"/>
    <w:qFormat/>
    <w:pPr>
      <w:ind w:left="0" w:firstLine="437"/>
      <w:spacing w:after="0" w:line="360" w:lineRule="auto"/>
    </w:pPr>
    <w:rPr>
      <w:sz w:val="24"/>
      <w:szCs w:val="21"/>
    </w:rPr>
  </w:style>
  <w:style w:type="paragraph" w:styleId="987" w:customStyle="1">
    <w:name w:val="2cxsplast"/>
    <w:basedOn w:val="701"/>
    <w:uiPriority w:val="0"/>
    <w:qFormat/>
    <w:pPr>
      <w:jc w:val="left"/>
      <w:spacing w:before="100" w:beforeAutospacing="1" w:after="100" w:afterAutospacing="1"/>
      <w:widowControl/>
    </w:pPr>
    <w:rPr>
      <w:rFonts w:ascii="宋体" w:hAnsi="宋体" w:cs="宋体"/>
      <w:sz w:val="24"/>
    </w:rPr>
  </w:style>
  <w:style w:type="paragraph" w:styleId="988" w:customStyle="1">
    <w:name w:val="ec_msonormal"/>
    <w:basedOn w:val="701"/>
    <w:uiPriority w:val="0"/>
    <w:qFormat/>
    <w:pPr>
      <w:jc w:val="left"/>
      <w:spacing w:before="100" w:beforeAutospacing="1" w:after="100" w:afterAutospacing="1"/>
      <w:widowControl/>
    </w:pPr>
    <w:rPr>
      <w:rFonts w:ascii="宋体" w:hAnsi="宋体"/>
      <w:sz w:val="24"/>
    </w:rPr>
  </w:style>
  <w:style w:type="paragraph" w:styleId="989" w:customStyle="1">
    <w:name w:val="Char Char Char Char"/>
    <w:basedOn w:val="701"/>
    <w:uiPriority w:val="0"/>
    <w:qFormat/>
    <w:rPr>
      <w:rFonts w:ascii="Tahoma" w:hAnsi="Tahoma"/>
      <w:sz w:val="24"/>
      <w:szCs w:val="20"/>
    </w:rPr>
  </w:style>
  <w:style w:type="paragraph" w:styleId="990" w:customStyle="1">
    <w:name w:val="Char Char Char Char Char Char Char Char Char Char Char Char Char"/>
    <w:basedOn w:val="701"/>
    <w:uiPriority w:val="0"/>
    <w:qFormat/>
  </w:style>
  <w:style w:type="paragraph" w:styleId="991" w:customStyle="1">
    <w:name w:val="表格正文"/>
    <w:basedOn w:val="701"/>
    <w:uiPriority w:val="0"/>
    <w:qFormat/>
    <w:pPr>
      <w:jc w:val="left"/>
      <w:spacing w:line="360" w:lineRule="auto"/>
    </w:pPr>
    <w:rPr>
      <w:rFonts w:ascii="Calibri" w:hAnsi="Calibri"/>
      <w:color w:val="000000"/>
      <w:szCs w:val="28"/>
    </w:rPr>
  </w:style>
  <w:style w:type="paragraph" w:styleId="992"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93" w:customStyle="1">
    <w:name w:val="Char Char Char Char1"/>
    <w:basedOn w:val="701"/>
    <w:uiPriority w:val="0"/>
    <w:qFormat/>
    <w:rPr>
      <w:rFonts w:ascii="Tahoma" w:hAnsi="Tahoma"/>
      <w:sz w:val="24"/>
      <w:szCs w:val="20"/>
    </w:rPr>
  </w:style>
  <w:style w:type="paragraph" w:styleId="994" w:customStyle="1">
    <w:name w:val="Char Char Char"/>
    <w:basedOn w:val="701"/>
    <w:uiPriority w:val="0"/>
    <w:qFormat/>
    <w:rPr>
      <w:rFonts w:ascii="Tahoma" w:hAnsi="Tahoma"/>
      <w:sz w:val="24"/>
      <w:szCs w:val="20"/>
    </w:rPr>
  </w:style>
  <w:style w:type="paragraph" w:styleId="995" w:customStyle="1">
    <w:name w:val="标题-----3"/>
    <w:basedOn w:val="903"/>
    <w:uiPriority w:val="0"/>
    <w:qFormat/>
    <w:pPr>
      <w:spacing w:before="0" w:after="0" w:line="240" w:lineRule="auto"/>
      <w:outlineLvl w:val="0"/>
    </w:pPr>
    <w:rPr>
      <w:rFonts w:ascii="宋体" w:hAnsi="宋体"/>
      <w:b w:val="0"/>
      <w:bCs w:val="0"/>
      <w:sz w:val="28"/>
      <w:szCs w:val="28"/>
    </w:rPr>
  </w:style>
  <w:style w:type="paragraph" w:styleId="996" w:customStyle="1">
    <w:name w:val="样式 ssss + 居中"/>
    <w:basedOn w:val="979"/>
    <w:uiPriority w:val="0"/>
    <w:qFormat/>
    <w:pPr>
      <w:jc w:val="center"/>
    </w:pPr>
    <w:rPr>
      <w:rFonts w:cs="宋体"/>
      <w:szCs w:val="20"/>
    </w:rPr>
  </w:style>
  <w:style w:type="paragraph" w:styleId="997" w:customStyle="1">
    <w:name w:val="样式 宋体 四号 黑色 左侧:  0.74 厘米 首行缩进:  0.74 厘米 行距: 1.5 倍行距"/>
    <w:basedOn w:val="701"/>
    <w:uiPriority w:val="0"/>
    <w:qFormat/>
    <w:pPr>
      <w:ind w:firstLine="420"/>
      <w:spacing w:line="360" w:lineRule="auto"/>
    </w:pPr>
    <w:rPr>
      <w:rFonts w:ascii="宋体"/>
      <w:color w:val="000000"/>
      <w:sz w:val="24"/>
      <w:szCs w:val="21"/>
    </w:rPr>
  </w:style>
  <w:style w:type="paragraph" w:styleId="998" w:customStyle="1">
    <w:name w:val="样式 样式 ssss + 宋体 五号 + 首行缩进:  2 字符"/>
    <w:basedOn w:val="999"/>
    <w:uiPriority w:val="0"/>
    <w:qFormat/>
    <w:pPr>
      <w:ind w:firstLine="480"/>
    </w:pPr>
  </w:style>
  <w:style w:type="paragraph" w:styleId="999" w:customStyle="1">
    <w:name w:val="样式 ssss + 宋体 五号"/>
    <w:basedOn w:val="979"/>
    <w:uiPriority w:val="0"/>
    <w:qFormat/>
    <w:pPr>
      <w:ind w:firstLine="420"/>
    </w:pPr>
    <w:rPr>
      <w:rFonts w:ascii="宋体" w:hAnsi="宋体" w:cs="宋体"/>
      <w:szCs w:val="20"/>
    </w:rPr>
  </w:style>
  <w:style w:type="paragraph" w:styleId="1000" w:customStyle="1">
    <w:name w:val="msonormalcxsplast"/>
    <w:basedOn w:val="701"/>
    <w:uiPriority w:val="0"/>
    <w:qFormat/>
    <w:pPr>
      <w:jc w:val="left"/>
      <w:spacing w:before="100" w:beforeAutospacing="1" w:after="100" w:afterAutospacing="1"/>
      <w:widowControl/>
    </w:pPr>
    <w:rPr>
      <w:rFonts w:ascii="宋体" w:hAnsi="宋体" w:cs="宋体"/>
      <w:sz w:val="24"/>
    </w:rPr>
  </w:style>
  <w:style w:type="paragraph" w:styleId="1001" w:customStyle="1">
    <w:name w:val="Char"/>
    <w:basedOn w:val="701"/>
    <w:uiPriority w:val="0"/>
    <w:qFormat/>
    <w:rPr>
      <w:rFonts w:ascii="Tahoma" w:hAnsi="Tahoma"/>
      <w:sz w:val="24"/>
      <w:szCs w:val="20"/>
    </w:rPr>
  </w:style>
  <w:style w:type="paragraph" w:styleId="1002" w:customStyle="1">
    <w:name w:val="xl25"/>
    <w:basedOn w:val="70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3" w:customStyle="1">
    <w:name w:val="标题------4"/>
    <w:basedOn w:val="90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04" w:customStyle="1">
    <w:name w:val="msonormalcxspmiddle"/>
    <w:basedOn w:val="701"/>
    <w:uiPriority w:val="0"/>
    <w:qFormat/>
    <w:pPr>
      <w:jc w:val="left"/>
      <w:spacing w:before="100" w:beforeAutospacing="1" w:after="100" w:afterAutospacing="1"/>
      <w:widowControl/>
    </w:pPr>
    <w:rPr>
      <w:rFonts w:ascii="宋体" w:hAnsi="宋体" w:cs="宋体"/>
      <w:sz w:val="24"/>
    </w:rPr>
  </w:style>
  <w:style w:type="paragraph" w:styleId="1005" w:customStyle="1">
    <w:name w:val="Char Char Char Char Char Char Char Char Char Char Char Char Char1"/>
    <w:basedOn w:val="701"/>
    <w:uiPriority w:val="0"/>
    <w:qFormat/>
    <w:rPr>
      <w:sz w:val="24"/>
    </w:rPr>
  </w:style>
  <w:style w:type="paragraph" w:styleId="1006" w:customStyle="1">
    <w:name w:val="表格"/>
    <w:basedOn w:val="701"/>
    <w:uiPriority w:val="0"/>
    <w:qFormat/>
    <w:rPr>
      <w:rFonts w:ascii="Arial" w:hAnsi="Arial"/>
      <w:sz w:val="24"/>
    </w:rPr>
  </w:style>
  <w:style w:type="paragraph" w:styleId="1007" w:customStyle="1">
    <w:name w:val="正文样式1"/>
    <w:basedOn w:val="701"/>
    <w:uiPriority w:val="0"/>
    <w:qFormat/>
    <w:pPr>
      <w:ind w:firstLine="480"/>
      <w:spacing w:before="120" w:after="120" w:line="360" w:lineRule="auto"/>
    </w:pPr>
    <w:rPr>
      <w:sz w:val="24"/>
      <w:szCs w:val="20"/>
    </w:rPr>
  </w:style>
  <w:style w:type="paragraph" w:styleId="1008" w:customStyle="1">
    <w:name w:val="Char Char1 Char Char Char Char Char Char"/>
    <w:basedOn w:val="701"/>
    <w:uiPriority w:val="0"/>
    <w:qFormat/>
    <w:pPr>
      <w:jc w:val="left"/>
      <w:spacing w:after="160" w:line="240" w:lineRule="exact"/>
      <w:widowControl/>
    </w:pPr>
    <w:rPr>
      <w:rFonts w:ascii="Verdana" w:hAnsi="Verdana" w:eastAsia="仿宋_GB2312"/>
      <w:sz w:val="24"/>
      <w:szCs w:val="20"/>
      <w:lang w:eastAsia="en-US"/>
    </w:rPr>
  </w:style>
  <w:style w:type="paragraph" w:styleId="1009" w:customStyle="1">
    <w:name w:val="Char Char Char Char Char Char Char Char Char Char"/>
    <w:basedOn w:val="701"/>
    <w:uiPriority w:val="0"/>
    <w:qFormat/>
    <w:rPr>
      <w:rFonts w:ascii="Tahoma" w:hAnsi="Tahoma"/>
      <w:sz w:val="24"/>
      <w:szCs w:val="20"/>
    </w:rPr>
  </w:style>
  <w:style w:type="paragraph" w:styleId="1010" w:customStyle="1">
    <w:name w:val="Char1"/>
    <w:basedOn w:val="701"/>
    <w:uiPriority w:val="0"/>
    <w:qFormat/>
    <w:pPr>
      <w:tabs>
        <w:tab w:val="left" w:pos="360" w:leader="none"/>
      </w:tabs>
    </w:pPr>
    <w:rPr>
      <w:sz w:val="24"/>
    </w:rPr>
  </w:style>
  <w:style w:type="paragraph" w:styleId="1011" w:customStyle="1">
    <w:name w:val="标题1"/>
    <w:basedOn w:val="701"/>
    <w:next w:val="7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Header2"/>
    <w:basedOn w:val="701"/>
    <w:uiPriority w:val="0"/>
    <w:qFormat/>
    <w:pPr>
      <w:numPr>
        <w:ilvl w:val="0"/>
        <w:numId w:val="1"/>
      </w:numPr>
    </w:pPr>
  </w:style>
  <w:style w:type="paragraph" w:styleId="1013" w:customStyle="1">
    <w:name w:val="Char Char 字元 字元 字元 Char Char Char Char"/>
    <w:basedOn w:val="701"/>
    <w:uiPriority w:val="0"/>
    <w:qFormat/>
    <w:pPr>
      <w:spacing w:line="360" w:lineRule="auto"/>
    </w:pPr>
    <w:rPr>
      <w:sz w:val="24"/>
      <w:szCs w:val="20"/>
    </w:rPr>
  </w:style>
  <w:style w:type="paragraph" w:styleId="1014" w:customStyle="1">
    <w:name w:val="2cxspmiddle"/>
    <w:basedOn w:val="701"/>
    <w:uiPriority w:val="0"/>
    <w:qFormat/>
    <w:pPr>
      <w:jc w:val="left"/>
      <w:spacing w:before="100" w:beforeAutospacing="1" w:after="100" w:afterAutospacing="1"/>
      <w:widowControl/>
    </w:pPr>
    <w:rPr>
      <w:rFonts w:ascii="宋体" w:hAnsi="宋体" w:cs="宋体"/>
      <w:sz w:val="24"/>
    </w:rPr>
  </w:style>
  <w:style w:type="paragraph" w:styleId="101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17" w:customStyle="1">
    <w:name w:val="网格型1"/>
    <w:basedOn w:val="912"/>
    <w:uiPriority w:val="39"/>
    <w:qFormat/>
    <w:rPr>
      <w:rFonts w:ascii="等线" w:hAnsi="等线" w:eastAsia="等线"/>
      <w:sz w:val="21"/>
      <w:szCs w:val="22"/>
    </w:rPr>
    <w:tblPr/>
  </w:style>
  <w:style w:type="paragraph" w:styleId="1018"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19" w:customStyle="1">
    <w:name w:val="mini-tree-nodetext3"/>
    <w:uiPriority w:val="0"/>
    <w:qFormat/>
  </w:style>
  <w:style w:type="paragraph" w:styleId="1020" w:customStyle="1">
    <w:name w:val="正文首行缩进 211"/>
    <w:basedOn w:val="930"/>
    <w:next w:val="701"/>
    <w:uiPriority w:val="0"/>
    <w:qFormat/>
    <w:pPr>
      <w:ind w:left="0" w:firstLine="420"/>
      <w:spacing w:line="360" w:lineRule="auto"/>
    </w:pPr>
    <w:rPr>
      <w:rFonts w:ascii="宋体" w:hAnsi="宋体"/>
      <w:sz w:val="20"/>
    </w:rPr>
  </w:style>
  <w:style w:type="paragraph" w:styleId="1021" w:customStyle="1">
    <w:name w:val="列出段落11"/>
    <w:basedOn w:val="701"/>
    <w:uiPriority w:val="99"/>
    <w:qFormat/>
    <w:pPr>
      <w:jc w:val="left"/>
      <w:spacing w:before="100" w:beforeAutospacing="1" w:after="100" w:afterAutospacing="1"/>
      <w:widowControl/>
    </w:pPr>
    <w:rPr>
      <w:rFonts w:ascii="Arial" w:hAnsi="Arial" w:cs="Arial"/>
      <w:color w:val="000000"/>
      <w:sz w:val="18"/>
      <w:szCs w:val="18"/>
    </w:rPr>
  </w:style>
  <w:style w:type="paragraph" w:styleId="1022" w:customStyle="1">
    <w:name w:val="正文缩进11"/>
    <w:basedOn w:val="701"/>
    <w:uiPriority w:val="0"/>
    <w:qFormat/>
    <w:pPr>
      <w:ind w:firstLine="420"/>
    </w:pPr>
    <w:rPr>
      <w:szCs w:val="20"/>
    </w:rPr>
  </w:style>
  <w:style w:type="paragraph" w:styleId="1023" w:customStyle="1">
    <w:name w:val="段"/>
    <w:next w:val="701"/>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24" w:customStyle="1">
    <w:name w:val="font71"/>
    <w:basedOn w:val="711"/>
    <w:uiPriority w:val="0"/>
    <w:qFormat/>
    <w:rPr>
      <w:rFonts w:hint="eastAsia" w:ascii="仿宋" w:hAnsi="仿宋" w:eastAsia="仿宋" w:cs="仿宋"/>
      <w:color w:val="000000"/>
      <w:sz w:val="24"/>
      <w:szCs w:val="24"/>
      <w:u w:val="none"/>
    </w:rPr>
  </w:style>
  <w:style w:type="character" w:styleId="1025" w:customStyle="1">
    <w:name w:val="font31"/>
    <w:basedOn w:val="711"/>
    <w:uiPriority w:val="0"/>
    <w:qFormat/>
    <w:rPr>
      <w:rFonts w:hint="eastAsia" w:ascii="仿宋" w:hAnsi="仿宋" w:eastAsia="仿宋" w:cs="仿宋"/>
      <w:color w:val="000000"/>
      <w:sz w:val="24"/>
      <w:szCs w:val="24"/>
      <w:u w:val="none"/>
    </w:rPr>
  </w:style>
  <w:style w:type="character" w:styleId="1026" w:customStyle="1">
    <w:name w:val="font01"/>
    <w:basedOn w:val="711"/>
    <w:uiPriority w:val="0"/>
    <w:qFormat/>
    <w:rPr>
      <w:rFonts w:hint="eastAsia" w:ascii="宋体" w:hAnsi="宋体" w:eastAsia="宋体" w:cs="宋体"/>
      <w:color w:val="000000"/>
      <w:sz w:val="24"/>
      <w:szCs w:val="24"/>
      <w:u w:val="none"/>
    </w:rPr>
  </w:style>
  <w:style w:type="character" w:styleId="1027" w:customStyle="1">
    <w:name w:val="font11"/>
    <w:basedOn w:val="711"/>
    <w:uiPriority w:val="0"/>
    <w:qFormat/>
    <w:rPr>
      <w:rFonts w:hint="eastAsia" w:ascii="仿宋" w:hAnsi="仿宋" w:eastAsia="仿宋" w:cs="仿宋"/>
      <w:color w:val="000000"/>
      <w:sz w:val="24"/>
      <w:szCs w:val="24"/>
      <w:u w:val="none"/>
    </w:rPr>
  </w:style>
  <w:style w:type="character" w:styleId="1028" w:customStyle="1">
    <w:name w:val="font61"/>
    <w:basedOn w:val="711"/>
    <w:uiPriority w:val="0"/>
    <w:qFormat/>
    <w:rPr>
      <w:rFonts w:hint="eastAsia" w:ascii="MS Gothic" w:hAnsi="MS Gothic" w:eastAsia="MS Gothic" w:cs="MS Gothic"/>
      <w:color w:val="000000"/>
      <w:sz w:val="24"/>
      <w:szCs w:val="24"/>
      <w:u w:val="none"/>
    </w:rPr>
  </w:style>
  <w:style w:type="character" w:styleId="1029" w:customStyle="1">
    <w:name w:val="批注框文本 字符1"/>
    <w:basedOn w:val="711"/>
    <w:link w:val="732"/>
    <w:uiPriority w:val="99"/>
    <w:semiHidden/>
    <w:qFormat/>
    <w:rPr>
      <w:sz w:val="18"/>
      <w:szCs w:val="18"/>
    </w:rPr>
  </w:style>
  <w:style w:type="character" w:styleId="1030" w:customStyle="1">
    <w:name w:val="批注文字 字符"/>
    <w:basedOn w:val="711"/>
    <w:link w:val="720"/>
    <w:uiPriority w:val="0"/>
    <w:qFormat/>
    <w:rPr>
      <w:sz w:val="21"/>
      <w:szCs w:val="24"/>
    </w:rPr>
  </w:style>
  <w:style w:type="character" w:styleId="1031" w:customStyle="1">
    <w:name w:val="批注主题 字符"/>
    <w:basedOn w:val="1030"/>
    <w:link w:val="744"/>
    <w:uiPriority w:val="99"/>
    <w:semiHidden/>
    <w:qFormat/>
    <w:rPr>
      <w:b/>
      <w:bCs/>
      <w:sz w:val="21"/>
      <w:szCs w:val="24"/>
    </w:rPr>
  </w:style>
  <w:style w:type="paragraph" w:styleId="1032" w:customStyle="1">
    <w:name w:val="批注文字1"/>
    <w:basedOn w:val="701"/>
    <w:uiPriority w:val="0"/>
    <w:unhideWhenUsed/>
    <w:qFormat/>
    <w:pPr>
      <w:jc w:val="left"/>
    </w:pPr>
  </w:style>
  <w:style w:type="paragraph" w:styleId="1033" w:customStyle="1">
    <w:name w:val="纯文本2"/>
    <w:basedOn w:val="701"/>
    <w:uiPriority w:val="0"/>
    <w:qFormat/>
    <w:rPr>
      <w:rFonts w:ascii="宋体" w:hAnsi="Courier New"/>
      <w:sz w:val="28"/>
    </w:rPr>
  </w:style>
  <w:style w:type="paragraph" w:styleId="10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5" w:customStyle="1">
    <w:name w:val="Table Text"/>
    <w:basedOn w:val="701"/>
    <w:uiPriority w:val="0"/>
    <w:semiHidden/>
    <w:qFormat/>
  </w:style>
  <w:style w:type="table" w:styleId="1036" w:customStyle="1">
    <w:name w:val="Table Normal"/>
    <w:uiPriority w:val="0"/>
    <w:semiHidden/>
    <w:unhideWhenUsed/>
    <w:qFormat/>
    <w:tblPr>
      <w:tblCellMar>
        <w:left w:w="0" w:type="dxa"/>
        <w:top w:w="0" w:type="dxa"/>
        <w:right w:w="0" w:type="dxa"/>
        <w:bottom w:w="0" w:type="dxa"/>
      </w:tblCellMar>
    </w:tblPr>
  </w:style>
  <w:style w:type="paragraph" w:styleId="1037" w:customStyle="1">
    <w:name w:val="索引 11"/>
    <w:basedOn w:val="701"/>
    <w:next w:val="701"/>
    <w:uiPriority w:val="0"/>
    <w:qFormat/>
    <w:pPr>
      <w:spacing w:line="360" w:lineRule="auto"/>
    </w:pPr>
    <w:rPr>
      <w:rFonts w:ascii="仿宋_GB2312" w:eastAsia="仿宋_GB2312"/>
      <w:sz w:val="24"/>
      <w:szCs w:val="20"/>
    </w:rPr>
  </w:style>
  <w:style w:type="paragraph" w:styleId="1038" w:customStyle="1">
    <w:name w:val="_正文段落"/>
    <w:basedOn w:val="701"/>
    <w:uiPriority w:val="0"/>
    <w:qFormat/>
    <w:pPr>
      <w:ind w:firstLine="200"/>
      <w:spacing w:line="560" w:lineRule="exact"/>
    </w:pPr>
    <w:rPr>
      <w:rFonts w:ascii="Calibri" w:hAnsi="Calibri" w:eastAsia="仿宋_GB2312"/>
      <w:color w:val="000000"/>
      <w:sz w:val="32"/>
    </w:rPr>
  </w:style>
  <w:style w:type="paragraph" w:styleId="1039" w:customStyle="1">
    <w:name w:val="DAS正文"/>
    <w:basedOn w:val="701"/>
    <w:uiPriority w:val="0"/>
    <w:qFormat/>
    <w:pPr>
      <w:ind w:right="181" w:firstLine="480"/>
      <w:spacing w:line="360" w:lineRule="auto"/>
    </w:pPr>
    <w:rPr>
      <w:rFonts w:ascii="Verdana" w:hAnsi="Verdana"/>
    </w:rPr>
  </w:style>
  <w:style w:type="numbering" w:styleId="137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张秋燕</cp:lastModifiedBy>
  <cp:revision>17</cp:revision>
  <dcterms:created xsi:type="dcterms:W3CDTF">2025-09-24T06:08:00Z</dcterms:created>
  <dcterms:modified xsi:type="dcterms:W3CDTF">2025-10-24T06:25:58Z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191C74C05F1B4D4E8C0BFBCAA647BF37_13</vt:lpwstr>
  </property>
  <property fmtid="{D5CDD505-2E9C-101B-9397-08002B2CF9AE}" pid="4" name="KSOTemplateDocerSaveRecord">
    <vt:lpwstr>eyJoZGlkIjoiMzZkYzgyNDdlYmFhNWUwNjZkOWRkMmE5YmU1MTU1MDIiLCJ1c2VySWQiOiI1MTQxNjY5NDEifQ==</vt:lpwstr>
  </property>
</Properties>
</file>