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响水县2024年耕地占补平衡竣工勘测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JSZC-320921-DXGC-G2024-0006</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采购单位：响水县自然资源和规划局</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采购代理机构：江苏导向工程咨询有限责任公司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2024</w:t>
      </w:r>
      <w:r>
        <w:rPr>
          <w:rFonts w:ascii="SimSun" w:hAnsi="SimSun" w:eastAsia="SimSun" w:cs="SimSun"/>
          <w:b/>
          <w:color w:val="000000"/>
          <w:sz w:val="32"/>
        </w:rPr>
        <w:t xml:space="preserve">年</w:t>
      </w:r>
      <w:r>
        <w:rPr>
          <w:rFonts w:ascii="Arial" w:hAnsi="Arial" w:eastAsia="Arial" w:cs="Arial"/>
          <w:b/>
          <w:color w:val="000000"/>
          <w:sz w:val="32"/>
        </w:rPr>
        <w:t xml:space="preserve">10</w:t>
      </w:r>
      <w:r>
        <w:rPr>
          <w:rFonts w:ascii="SimSun" w:hAnsi="SimSun" w:eastAsia="SimSun" w:cs="SimSun"/>
          <w:b/>
          <w:color w:val="000000"/>
          <w:sz w:val="32"/>
        </w:rPr>
        <w:t xml:space="preserve">月</w:t>
      </w:r>
      <w:r>
        <w:rPr>
          <w:rFonts w:ascii="Arial" w:hAnsi="Arial" w:eastAsia="Arial" w:cs="Arial"/>
          <w:b/>
          <w:color w:val="000000"/>
          <w:sz w:val="32"/>
        </w:rPr>
        <w:t xml:space="preserve">30</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br w:type="page" w:clear="all"/>
      </w:r>
      <w:r/>
      <w:r>
        <w:rPr>
          <w:rFonts w:ascii="Calibri" w:hAnsi="Calibri" w:eastAsia="Calibri" w:cs="Calibri"/>
          <w:sz w:val="24"/>
        </w:rP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SimSun" w:hAnsi="SimSun" w:eastAsia="SimSun" w:cs="SimSun"/>
          <w:color w:val="000000"/>
          <w:sz w:val="36"/>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0"/>
        <w:jc w:val="both"/>
        <w:spacing w:before="240" w:after="24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响水县2024年耕地占补平衡竣工勘测</w:t>
      </w:r>
      <w:r>
        <w:rPr>
          <w:rFonts w:ascii="FangSong" w:hAnsi="FangSong" w:eastAsia="FangSong" w:cs="FangSong"/>
          <w:color w:val="000000"/>
          <w:sz w:val="28"/>
        </w:rPr>
        <w:t xml:space="preserve">招标项目的潜在投标人可在</w:t>
      </w:r>
      <w:r>
        <w:rPr>
          <w:rFonts w:ascii="FangSong" w:hAnsi="FangSong" w:eastAsia="FangSong" w:cs="FangSong"/>
          <w:color w:val="000000"/>
          <w:sz w:val="28"/>
          <w:u w:val="single"/>
        </w:rPr>
        <w:t xml:space="preserve">“中国政府采购网、江苏政府采购网、盐城市政府采购网”</w:t>
      </w:r>
      <w:r>
        <w:rPr>
          <w:rFonts w:ascii="FangSong" w:hAnsi="FangSong" w:eastAsia="FangSong" w:cs="FangSong"/>
          <w:color w:val="000000"/>
          <w:sz w:val="28"/>
        </w:rPr>
        <w:t xml:space="preserve">获取招标文件，并</w:t>
      </w:r>
      <w:r>
        <w:rPr>
          <w:rFonts w:ascii="FangSong" w:hAnsi="FangSong" w:eastAsia="FangSong" w:cs="FangSong"/>
          <w:color w:val="000000"/>
          <w:sz w:val="28"/>
          <w:u w:val="single"/>
        </w:rPr>
        <w:t xml:space="preserve">2024年11月20日9点00分（</w:t>
      </w:r>
      <w:r>
        <w:rPr>
          <w:rFonts w:ascii="FangSong" w:hAnsi="FangSong" w:eastAsia="FangSong" w:cs="FangSong"/>
          <w:color w:val="000000"/>
          <w:sz w:val="28"/>
        </w:rPr>
        <w:t xml:space="preserve">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1.项目编号：JSZC-320921-DXGC-G2024-0006</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2.项目名称：响水县2024年耕地占补平衡竣工勘测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3.采购方式：公开招标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4.预算金额：80万元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5.最高限价：80万元</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采购需求（简介）：对响水县2024年度通过市局立项的耕地占补平衡项目新增耕地进行测绘，实地拍摄照片，提供竣工测绘报告、整理实施前中后照片等验收资料，配合县局、自然资源所做好县级、市级验收工作并整理制作装订完善电子资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7.合同履行期限：一年。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8.</w:t>
      </w:r>
      <w:r>
        <w:rPr>
          <w:rFonts w:ascii="FangSong" w:hAnsi="FangSong" w:eastAsia="FangSong" w:cs="FangSong"/>
          <w:color w:val="000000"/>
          <w:sz w:val="28"/>
        </w:rPr>
        <w:t xml:space="preserve">本项目不接受联合体参与招标。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1.满足《中华人民共和国政府采购法》第二十二条规定，并提供下列材料：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1.2上一年度的财务状况报表（成立不满一年无需提供）；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1.5参加政府采购活动前3年内在经营活动中没有重大违法记录的书面声明。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1.6法律、行政法规规定的其他条件。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1.8单位负责人为同一人或者存在直接控股、管理关系的不同供应商，不得参加同一合同项下的政府采购活动。</w:t>
      </w:r>
      <w:r/>
    </w:p>
    <w:p>
      <w:pPr>
        <w:numPr>
          <w:ilvl w:val="0"/>
          <w:numId w:val="3"/>
        </w:numPr>
        <w:spacing w:before="12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落实政府采购政策需满足的资格要求：</w:t>
      </w:r>
      <w:r/>
    </w:p>
    <w:p>
      <w:pPr>
        <w:ind w:left="0" w:right="0" w:firstLine="560"/>
        <w:spacing w:before="12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对小微型企业产品给予20%的扣除价格，用扣除后的价格参与评审。监狱和戒毒企业或残疾人福利性单位视同小型、微型企业，给予20%的价格扣除，用扣除后的价格参与评审。残疾人福利单位、监狱企业属于小型、微型企业的，不重复享受政策。</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3.本项目的特定资格要求：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3.1投标人须具备测绘乙级及以上资质，且专业范围同时包含摄影测量与遥感、地理信息系统工程。</w:t>
      </w:r>
      <w:r/>
    </w:p>
    <w:p>
      <w:pPr>
        <w:ind w:left="55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55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1.时间：2024年10月31日至2024年11月6日（提供期限自本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公告发布之日起不得少于5个工作日），每天上午0点00分至12点00分，下午12点00分至23点59分（北京时间，法定节假日除外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2.地点：中国政府采购网、江苏政府采购网、盐城市政府采购网</w:t>
      </w:r>
      <w:r/>
    </w:p>
    <w:p>
      <w:pPr>
        <w:ind w:left="0" w:right="0" w:firstLine="54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3.方式：在“中国政府采购网”“江苏政府采购网”“盐城市政府采购网”自行免费下载招标文件。须在“苏采云”系统中获取采购文件，方能参与政府采购项目。</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4.售价：0元。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5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333333"/>
          <w:sz w:val="28"/>
          <w:highlight w:val="white"/>
        </w:rPr>
        <w:t xml:space="preserve">2024年11月20日9点00分</w:t>
      </w:r>
      <w:r>
        <w:rPr>
          <w:rFonts w:ascii="FangSong" w:hAnsi="FangSong" w:eastAsia="FangSong" w:cs="FangSong"/>
          <w:color w:val="000000"/>
          <w:sz w:val="28"/>
        </w:rPr>
        <w:t xml:space="preserve">（北京时间）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http://www.ccgp-jiangsu.gov.cn/jiangsu/zlxz/ee/ee3a4bc5a3454aa2b0d9312230633ce9.html.</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2.有关本次招标的事项若存在变动或修改，敬请及时关注江苏导向工程咨询有限责任公司在“</w:t>
      </w:r>
      <w:r>
        <w:rPr>
          <w:rFonts w:ascii="FangSong" w:hAnsi="FangSong" w:eastAsia="FangSong" w:cs="FangSong"/>
          <w:color w:val="000000"/>
          <w:sz w:val="28"/>
        </w:rPr>
        <w:t xml:space="preserve">中国政府采购网</w:t>
      </w:r>
      <w:r>
        <w:rPr>
          <w:rFonts w:ascii="FangSong" w:hAnsi="FangSong" w:eastAsia="FangSong" w:cs="FangSong"/>
          <w:color w:val="333333"/>
          <w:sz w:val="28"/>
          <w:highlight w:val="white"/>
        </w:rPr>
        <w:t xml:space="preserve">”“江苏政府采购网”“盐城市政府采购网”发布的更正公告。</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3.本次招标不收取投标保证金，不收取质量保证金。</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4.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w:t>
      </w:r>
      <w:r>
        <w:rPr>
          <w:rFonts w:ascii="FangSong" w:hAnsi="FangSong" w:eastAsia="FangSong" w:cs="FangSong"/>
          <w:color w:val="333333"/>
          <w:sz w:val="28"/>
          <w:highlight w:val="white"/>
        </w:rPr>
        <w:t xml:space="preserve">（保险）的通知》（苏财购〔2023〕150号）等政策。</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5.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6、因供应商的系统环境、操作等原因导致报名、开评标过程中出现问题由供应商自行承担负责。</w:t>
      </w:r>
      <w:r/>
    </w:p>
    <w:p>
      <w:pPr>
        <w:pStyle w:val="811"/>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333333"/>
          <w:sz w:val="28"/>
          <w:highlight w:val="white"/>
        </w:rPr>
        <w:t xml:space="preserve">七、对本次招标提出询问，请按以下方式联系。</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FangSong" w:hAnsi="FangSong" w:eastAsia="FangSong" w:cs="FangSong"/>
          <w:color w:val="333333"/>
          <w:sz w:val="28"/>
          <w:highlight w:val="white"/>
        </w:rPr>
        <w:t xml:space="preserve">1.采购人信息</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名 称： 响水县自然资源和规划局</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地址： 响水县长江中路296号 </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联系人： 黄金岩             </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联系方式：17625459576           </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2.采购代理机构信息</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名 称： 江苏导向工程咨询有限责任公司</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地 址：江苏导向工程咨询有限责任公司</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联系人： 张淼                    </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联系方式：15851107492                   </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3.项目联系方式</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项目联系人：张淼</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电　　 话：15851107492　　</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 </w:t>
      </w:r>
      <w:r/>
    </w:p>
    <w:p>
      <w:pPr>
        <w:ind w:left="0" w:right="0" w:firstLine="561"/>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 </w:t>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Sun" w:hAnsi="SimSun" w:eastAsia="SimSun" w:cs="SimSun"/>
          <w:color w:val="000000"/>
          <w:sz w:val="28"/>
        </w:rPr>
        <w:t xml:space="preserve">、招标方式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Sun" w:hAnsi="SimSun" w:eastAsia="SimSun" w:cs="SimSun"/>
          <w:color w:val="000000"/>
          <w:sz w:val="28"/>
        </w:rPr>
        <w:t xml:space="preserve">、合格的投标人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Sun" w:hAnsi="SimSun" w:eastAsia="SimSun" w:cs="SimSun"/>
          <w:color w:val="000000"/>
          <w:sz w:val="28"/>
        </w:rPr>
        <w:t xml:space="preserve">、适用法律</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Sun" w:hAnsi="SimSun" w:eastAsia="SimSun" w:cs="SimSun"/>
          <w:color w:val="000000"/>
          <w:sz w:val="28"/>
        </w:rPr>
        <w:t xml:space="preserve">、投标费用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4.1投标人应自行承担所有与参加投标有关的费用，无论投标过程中的做法和结果如何，采购人和采购代理机构在任何情况下均无义务和责任承担这些费用。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4.2本次招标采购代理机构和采购人不收取标书工本费与中标服务费。</w:t>
      </w:r>
      <w:r/>
    </w:p>
    <w:p>
      <w:pPr>
        <w:ind w:left="0" w:right="0" w:firstLine="60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Sun" w:hAnsi="SimSun" w:eastAsia="SimSun" w:cs="SimSun"/>
          <w:color w:val="000000"/>
          <w:sz w:val="28"/>
        </w:rPr>
        <w:t xml:space="preserve">、招标文件构成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Sun" w:hAnsi="SimSun" w:eastAsia="SimSun" w:cs="SimSun"/>
          <w:color w:val="000000"/>
          <w:sz w:val="28"/>
        </w:rPr>
        <w:t xml:space="preserve">、招标文件的澄清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w:t>
      </w:r>
      <w:r>
        <w:rPr>
          <w:rFonts w:ascii="SimSun" w:hAnsi="SimSun" w:eastAsia="SimSun" w:cs="SimSun"/>
          <w:color w:val="000000"/>
          <w:sz w:val="24"/>
        </w:rPr>
        <w:t xml:space="preserve">按招标公告中的通讯地址，以书面形式通知采购人和采购代理机构。</w:t>
      </w:r>
      <w:r/>
    </w:p>
    <w:p>
      <w:pPr>
        <w:ind w:left="0" w:right="0" w:firstLine="56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Sun" w:hAnsi="SimSun" w:eastAsia="SimSun" w:cs="SimSun"/>
          <w:color w:val="000000"/>
          <w:sz w:val="28"/>
        </w:rPr>
        <w:t xml:space="preserve">、招标文件的修改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8.1在投标截止时间前，采购人可以对招标文件进行修改。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8.2采购人有权按照法定的要求推迟投标截止日期和开标日期。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482"/>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Sun" w:hAnsi="SimSun" w:eastAsia="SimSun" w:cs="SimSun"/>
          <w:color w:val="000000"/>
          <w:sz w:val="28"/>
        </w:rPr>
        <w:t xml:space="preserve">、投标文件的语言及度量衡单位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9.1投标人提交的投标文件以及投标人与采购人和采购代理机构就有关投标的所有来往通知、函件和文件均应使用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Sun" w:hAnsi="SimSun" w:eastAsia="SimSun" w:cs="SimSun"/>
          <w:color w:val="000000"/>
          <w:sz w:val="28"/>
        </w:rPr>
        <w:t xml:space="preserve">、投标文件构成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Sun" w:hAnsi="SimSun" w:eastAsia="SimSun" w:cs="SimSun"/>
          <w:color w:val="000000"/>
          <w:sz w:val="28"/>
        </w:rPr>
        <w:t xml:space="preserve">、证明投标人及投标标的符合招标文件规定的文件</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11.1投标人应按照法律法规、规章和规范性文件以及招标文件要求提交证明文件，证明其及投标标的符合招标文件规定。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Sun" w:hAnsi="SimSun" w:eastAsia="SimSun" w:cs="SimSun"/>
          <w:color w:val="000000"/>
          <w:sz w:val="28"/>
        </w:rPr>
        <w:t xml:space="preserve">、投标分项报价表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12.3本项目采购代理服务费按照苏招协〔2022〕2号文件规定标准计取服务费用，由成交供应商在领取成交通知书前一次性支付。（本条不单独列表报价，自行综合考虑在投标报价中，中标后采购人不再另行支付）。</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Sun" w:hAnsi="SimSun" w:eastAsia="SimSun" w:cs="SimSun"/>
          <w:color w:val="000000"/>
          <w:sz w:val="28"/>
        </w:rPr>
        <w:t xml:space="preserve">、技术要求响应及偏离表、商务要求响应及偏离表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Sun" w:hAnsi="SimSun" w:eastAsia="SimSun" w:cs="SimSun"/>
          <w:color w:val="000000"/>
          <w:sz w:val="28"/>
        </w:rPr>
        <w:t xml:space="preserve">、投标函和开标一览表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Sun" w:hAnsi="SimSun" w:eastAsia="SimSun" w:cs="SimSun"/>
          <w:color w:val="000000"/>
          <w:sz w:val="28"/>
        </w:rPr>
        <w:t xml:space="preserve">、投标有效期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Sun" w:hAnsi="SimSun" w:eastAsia="SimSun" w:cs="SimSun"/>
          <w:color w:val="000000"/>
          <w:sz w:val="28"/>
        </w:rPr>
        <w:t xml:space="preserve">、投标有效期的延长</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Sun" w:hAnsi="SimSun" w:eastAsia="SimSun" w:cs="SimSun"/>
          <w:color w:val="000000"/>
          <w:sz w:val="28"/>
        </w:rPr>
        <w:t xml:space="preserve">、</w:t>
      </w:r>
      <w:r>
        <w:rPr>
          <w:rFonts w:ascii="SimHei" w:hAnsi="SimHei" w:eastAsia="SimHei" w:cs="SimHei"/>
          <w:color w:val="000000"/>
          <w:sz w:val="28"/>
        </w:rPr>
        <w:t xml:space="preserve">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标文件。</w:t>
      </w:r>
      <w:r/>
    </w:p>
    <w:p>
      <w:pPr>
        <w:ind w:left="0" w:right="0" w:firstLine="420"/>
        <w:jc w:val="both"/>
        <w:spacing w:before="280" w:after="29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Sun" w:hAnsi="SimSun" w:eastAsia="SimSun" w:cs="SimSun"/>
          <w:color w:val="000000"/>
          <w:sz w:val="28"/>
        </w:rPr>
        <w:t xml:space="preserve">、投标截止时间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Sun" w:hAnsi="SimSun" w:eastAsia="SimSun" w:cs="SimSun"/>
          <w:color w:val="000000"/>
          <w:sz w:val="28"/>
        </w:rPr>
        <w:t xml:space="preserve">、投标文件的拒收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19.1采购人和采购代理机构拒绝接收在其规定的投标截止时间后上传的任何投标文件。</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Sun" w:hAnsi="SimSun" w:eastAsia="SimSun" w:cs="SimSun"/>
          <w:color w:val="000000"/>
          <w:sz w:val="28"/>
        </w:rPr>
        <w:t xml:space="preserve">、投标文件的撤回和修改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Sun" w:hAnsi="SimSun" w:eastAsia="SimSun" w:cs="SimSun"/>
          <w:color w:val="000000"/>
          <w:sz w:val="28"/>
        </w:rPr>
        <w:t xml:space="preserve">、开标</w:t>
      </w:r>
      <w:r/>
    </w:p>
    <w:p>
      <w:pPr>
        <w:ind w:left="0" w:right="0" w:firstLine="36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21.3投标人在开标过程中涉及的投标文件解密、开标结果确认等工作，应按照《操作手册》规定执行。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Sun" w:hAnsi="SimSun" w:eastAsia="SimSun" w:cs="SimSun"/>
          <w:color w:val="000000"/>
          <w:sz w:val="28"/>
        </w:rPr>
        <w:t xml:space="preserve">、评标委员会</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22.1开标后，采购人将立即组织评标委员会（以下简称评委会）进行评标。</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22.3评委会独立工作，负责评审所有投标文件并确定中标候选人。</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23.3采购人和评标委员会不向未中标的投标人解释未中标原因，也不公布评标过程中的相关细节。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Sun" w:hAnsi="SimSun" w:eastAsia="SimSun" w:cs="SimSun"/>
          <w:color w:val="000000"/>
          <w:sz w:val="28"/>
        </w:rPr>
        <w:t xml:space="preserve">、投标文件的澄清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24.3接到评委会澄清、说明和补正要求的投标人如未按规定作出澄清、说明和补正，其风险由投标人自行承担。</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Sun" w:hAnsi="SimSun" w:eastAsia="SimSun" w:cs="SimSun"/>
          <w:color w:val="000000"/>
          <w:sz w:val="28"/>
        </w:rPr>
        <w:t xml:space="preserve">、对投标文件的初审</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和采购代理机构将在苏采云系统中告知未通过资格审查或符合性审查的原因，评标结束后，采购人和采购代理机构将不再告知未通过资格审查和符合性审查的原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25.6投标人在开、评标全过程中应保持通讯畅通，及时登录苏采云系统查阅、答复相关信息，并安排专人与采购人和采购代理机构及评标委员会联系。</w:t>
      </w:r>
      <w:r/>
    </w:p>
    <w:p>
      <w:pPr>
        <w:ind w:left="0" w:right="0" w:firstLine="420"/>
        <w:jc w:val="both"/>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Sun" w:hAnsi="SimSun" w:eastAsia="SimSun" w:cs="SimSun"/>
          <w:color w:val="000000"/>
          <w:sz w:val="28"/>
        </w:rPr>
        <w:t xml:space="preserve">、无效投标条款和废标条款</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26.2.1符合专业条件的供应商或者对招标文件做实质响应的供应商不足三家的。</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26.2.5因苏采云系统故障原因造成开标不成功的。</w:t>
      </w:r>
      <w:r/>
    </w:p>
    <w:p>
      <w:pPr>
        <w:ind w:left="479"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27.3采购人将在“中国政府采购网”“江苏政府采购网”“盐城市政府采购网”发布中标公告，公告期限为1个工作日。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和采购代理机构提出，由采购人和采购代理机构负责答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及采购人只接收以纸质原件形式送达的质疑，采购人和采购代理机构不接受未填写快递运单的快件。质疑接收部门为江苏导向工程咨询有限责任公司，联系地址：响水县黄海路177号，联系电话：15851107492。</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30.签订合同</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31、服务（包含与服务相关的货物）的追加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color w:val="000000"/>
          <w:sz w:val="30"/>
        </w:rPr>
        <w:t xml:space="preserve">34、其他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34.2本文件中若涉及数据中心采购，应按照《〈绿色数据中心政府采购需求标准（试行）〉的通知》（财库〔2023〕7号）执行。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本项目落实预付款制度，预付款比例为30%。在签订合同时，中标、成交供应商明确书面表示无需预付款或者主动要求降低预付款比例的，采购人可就预付款比例做相应调整。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确需收取履约保证金的，履约保证金的缴纳形式：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79" w:lineRule="atLeast"/>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rPr>
      </w:r>
      <w:r>
        <w:rPr>
          <w:rFonts w:ascii="Calibri" w:hAnsi="Calibri" w:eastAsia="Calibri" w:cs="Calibri"/>
          <w:sz w:val="24"/>
        </w:rPr>
      </w:r>
    </w:p>
    <w:p>
      <w:pPr>
        <w:ind w:left="0" w:right="0" w:firstLine="0"/>
        <w:jc w:val="both"/>
        <w:spacing w:before="240" w:after="240" w:line="479" w:lineRule="atLeast"/>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根据《中华人民共和国政府采购法》《中华人民共和国民法典》等法律法规的规定，遵循平等、自愿、公平和诚实信用的原则，双方就</w:t>
      </w:r>
      <w:r>
        <w:rPr>
          <w:rFonts w:ascii="FangSong" w:hAnsi="FangSong" w:eastAsia="FangSong" w:cs="FangSong"/>
          <w:color w:val="000000"/>
          <w:sz w:val="24"/>
          <w:u w:val="single"/>
        </w:rPr>
        <w:t xml:space="preserve">    （项目名称）</w:t>
      </w:r>
      <w:r>
        <w:rPr>
          <w:rFonts w:ascii="FangSong" w:hAnsi="FangSong" w:eastAsia="FangSong" w:cs="FangSong"/>
          <w:color w:val="000000"/>
          <w:sz w:val="24"/>
        </w:rPr>
        <w:t xml:space="preserve">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第一条：合同标的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乙方根据甲方需求提供下列服务：</w:t>
      </w:r>
      <w:r>
        <w:rPr>
          <w:rFonts w:ascii="FangSong" w:hAnsi="FangSong" w:eastAsia="FangSong" w:cs="FangSong"/>
          <w:color w:val="000000"/>
          <w:sz w:val="24"/>
          <w:u w:val="single"/>
        </w:rPr>
        <w:t xml:space="preserve">       （行数不够，自行添加）</w:t>
      </w:r>
      <w:r>
        <w:rPr>
          <w:rFonts w:ascii="FangSong" w:hAnsi="FangSong" w:eastAsia="FangSong" w:cs="FangSong"/>
          <w:color w:val="000000"/>
          <w:sz w:val="24"/>
        </w:rPr>
        <w:t xml:space="preserve">，具体服务内容详见乙方响应性文件等。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第二条：合同总价款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金额（大写）（人民币）：；￥：元。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第三条：组成本合同的有关文件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下列关于</w:t>
      </w:r>
      <w:r>
        <w:rPr>
          <w:rFonts w:ascii="FangSong" w:hAnsi="FangSong" w:eastAsia="FangSong" w:cs="FangSong"/>
          <w:color w:val="000000"/>
          <w:sz w:val="24"/>
          <w:u w:val="single"/>
        </w:rPr>
        <w:t xml:space="preserve"> （采购编号）</w:t>
      </w:r>
      <w:r>
        <w:rPr>
          <w:rFonts w:ascii="FangSong" w:hAnsi="FangSong" w:eastAsia="FangSong" w:cs="FangSong"/>
          <w:color w:val="000000"/>
          <w:sz w:val="24"/>
        </w:rPr>
        <w:t xml:space="preserve">标的采购文件或与本次采购活动方式相适应的文件及有关附件是本合同不可分割的组成部分，与本合同具有同等法律效力，这些文件包括但不限于：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（1）乙方提供的投标文件；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（2）成交通知书；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（3）甲乙双方商定的其他文件等。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第四条：权利保证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乙方应保证甲方在使用该服务或其任何一部分时不受第三方提出侵犯其专利权、版权、商标权或其他权利的起诉。一旦出现侵权，乙方应承担全部责任。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第五条：质量保证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乙方所提供的服务的技术规格应与采购文件规定的技术规格及所附的“技术条款偏离表”相一致；若技术性能无特殊说明，则按国家有关部门最新颁布的标准及规范为准。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第六条：交付和验收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1、服务时间： 年 月 日至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2、乙方应当在</w:t>
      </w:r>
      <w:r>
        <w:rPr>
          <w:rFonts w:ascii="FangSong" w:hAnsi="FangSong" w:eastAsia="FangSong" w:cs="FangSong"/>
          <w:b/>
          <w:color w:val="000000"/>
          <w:sz w:val="24"/>
          <w:u w:val="single"/>
        </w:rPr>
        <w:t xml:space="preserve">合同签订后   日历天内</w:t>
      </w:r>
      <w:r>
        <w:rPr>
          <w:rFonts w:ascii="FangSong" w:hAnsi="FangSong" w:eastAsia="FangSong" w:cs="FangSong"/>
          <w:color w:val="000000"/>
          <w:sz w:val="24"/>
        </w:rPr>
        <w:t xml:space="preserve">完成服务事项。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3、验收标准：按行业通行标准和乙方投标文件的承诺。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第七条：合同款支付</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1、本合同项下所有款项均以人民币支付。</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2、本合同项下的采购资金由甲方自行支付，乙方向甲方开具发票。</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3、付款方式：合同签订后30天内付合同价款的30%作为预付款，完成合同服务内容并提交经确认的成果文件获得市级验收批复后支付至合同价款的70%，剩余尾款待服务项目完成省级备案后一次性拨付。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第八条：违约责任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1、甲方无正当理由拒收服务、拒付服务款的，由甲方向乙方偿付合同总价的5%违约金。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2、甲方未按合同规定的期限向乙方支付服务款的，每逾期 1 天甲方向乙方偿付欠款总额的5‰滞纳金，但累计滞纳金总额不超过欠款总额的5% 。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3、如乙方不能交付服务的，乙方应向甲方支付合同总价 5%的违约金。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4、乙方逾期交付的，每逾期1天，乙方向甲方偿付合同总额的5‰的滞纳金。如乙方逾期交付达10天，甲方有权解除合同，解除合同的通知自到达乙方时生效。</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5、乙方所交付的服务不符合合同规定的，甲方有权拒收。乙方应按合同规定整改，整改后仍不符合合同规定的向甲方支付合同总款5%的违约金。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6、乙方未按本合同的规定和“服务承诺”提供伴随服务/售后服务的，应按合同总价款的5%向甲方承担违约责任。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7、乙方在承担上述 4-6 款一项或多项违约责任后，仍应继续履行合同规定的义务（甲方解除合同的除外）。甲方未能及时追究乙方的任何一项违约责任并不表明甲方放弃追究乙方该项或其他违约责任。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8、乙方投标属虚假承诺，或经权威部门监测提供的服务不能满足招标文件要求，或是由于乙方的过错造成合同无法继续履行的，乙方应向甲方支付不少于合同总价30%赔偿金。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第九条：合同的变更和终止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1、除《中华人民共和国政府采购法》第 50 条第二款规定的情形外，本合同一经签订，甲乙双方不得擅自变更、中止或终止合同。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2、除发生法律规定的不能预见、不能避免并不能克服的客观情况外，甲乙双方不得放弃或拒绝履行合同。乙方放弃或拒绝履行合同，保证金不予退还。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第十条：合同的转让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乙方不得擅自部分或全部转让其应履行的合同义务。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第十一条：争议的解决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2、因履行本合同引起的或与本合同有关的争议，甲、乙双方应首先通过友好协商解决，如果协商不能解决争议，则采取以下第（1）种方式解决争议：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（2）向甲方所在地的仲裁委员会按其仲裁规则申请仲裁。 如没有约定，默认采取第 2 种方式解决争议。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3、在仲裁期间，本合同应继续履行。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第十二条：诚实信用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乙方应诚实信用，严格按照招标文件要求和投标承诺履行合同，不向甲方进行商业贿赂或者提供不正当利益。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第十三条：合同生效及其他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1、本合同自双方签字盖章之日起生效。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2、本合同一式陆份，甲乙双方各执叁份，具有同等法律效力。</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3、本合同应按照中华人民共和国的现行法律进行解释。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甲方（采购人）：（盖章）乙方（供应商）：（盖章）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                                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或授权委托人：                            或授权委托人：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开户银行：开户银行：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账号：账号：</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Hei" w:hAnsi="SimHei" w:eastAsia="SimHei" w:cs="SimHei"/>
          <w:color w:val="000000"/>
          <w:sz w:val="44"/>
        </w:rPr>
        <w:t xml:space="preserve">第四章 采购需求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非农业建设占用耕地“占一补一”制度，切实做好补充耕地工作，改善土地利用条件，促进土地资源可持续利用，提高土地利用率和土地质量，优化土地利用结构，全面落实“十分珍惜、合理利用土地和切实保护耕地”的基本国策，促进响水县经济社会的全面、稳定、可持续和协调发展，实现社会效益、生态效益和经济效益的协调统一，根据自然资源部办公厅《关于进一步加强补充耕地项目管理严格新增耕地核实认定的通知》（自然资办发〔2022〕36号）、江苏省自然资源厅《关于进一步规范耕地占补平衡管理的通知》（江苏自然资发〔2022〕369号）等</w:t>
      </w:r>
      <w:r>
        <w:rPr>
          <w:rFonts w:ascii="SimSun" w:hAnsi="SimSun" w:eastAsia="SimSun" w:cs="SimSun"/>
          <w:color w:val="000000"/>
          <w:sz w:val="24"/>
        </w:rPr>
        <w:t xml:space="preserve">文件精神，开展响水县2024年度耕地占补平衡补充耕地项目竣工勘测。</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响水县2024年度通过市局立项的耕地占补平衡项目新增耕地进行测绘，实地拍摄照片，提供竣工测绘报告、整理实施前中后照片等验收资料，配合县局、自然资源所做好县级、市级验收工作并整理制作装订完善电子资料。</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三、项目成果要求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地形勘测成果符合国家、省关于耕地占补平衡补充耕地项目库申报与验收要求，确保通过市级验收。</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四、采购标的对应的中小企业划分标准所属行业一览表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941"/>
        <w:gridCol w:w="2533"/>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w:t>
            </w:r>
            <w:r>
              <w:rPr>
                <w:rFonts w:ascii="Calibri" w:hAnsi="Calibri" w:eastAsia="Calibri" w:cs="Calibri"/>
                <w:color w:val="000000"/>
                <w:sz w:val="24"/>
              </w:rPr>
              <w:t xml:space="preserve">2024</w:t>
            </w:r>
            <w:r>
              <w:rPr>
                <w:rFonts w:ascii="SimSun" w:hAnsi="SimSun" w:eastAsia="SimSun" w:cs="SimSun"/>
                <w:color w:val="000000"/>
                <w:sz w:val="24"/>
              </w:rPr>
              <w:t xml:space="preserve">年耕地占补平衡竣工勘测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其他未列明行业</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240" w:after="240"/>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b/>
          <w:color w:val="000000"/>
          <w:sz w:val="24"/>
        </w:rPr>
        <w:t xml:space="preserve">一、定标原则</w:t>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7、本文件中若涉及数据中心采购，应按照《〈绿色数据中心政府采购需求标准（试行）〉的通知》（财库〔2023〕7号）执行。</w:t>
      </w:r>
      <w:r/>
    </w:p>
    <w:p>
      <w:pPr>
        <w:ind w:left="0" w:right="0" w:firstLine="473"/>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三、评标方法与评标标准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8"/>
        <w:gridCol w:w="1174"/>
        <w:gridCol w:w="6892"/>
        <w:gridCol w:w="531"/>
      </w:tblGrid>
      <w:tr>
        <w:trPr>
          <w:trHeight w:val="10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w:t>
            </w:r>
            <w:r/>
          </w:p>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10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用低价优先法计算，即满足磋商文件要求且最后报价最低的供应商的价格为磋商基准价，其价格分为满分。其他供应商的价格分统一按照下列公式计算：磋商报价得分=（磋商基准价/最后磋商报价）×10（小数点保留两位，第三位四舍五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10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vMerge w:val="restart"/>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总体技术方案：投标人结合本项目采购需求，制定本项目的总体技术方案，对本项目任务及目标进行解读。</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对项目的理解，总体技术方案内容、应对措施优于招标文件要求的得5分；符合招标文件要求的得3分；不满足招标文件或未提供的不得分。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07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项目组织管理：项目组织机构齐全，各项制度健全，责任分工明确。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对项目组织结构、制度健全、保障措施可行性、人员配备合理性优于招标文件要求的得5分；符合招标文件要求的得3分；不满足招标文件或未提供的不得分。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安全保密保障：考察投标人项目保密管理和安全生产管理、保密措施保障方案，内容应包含但不限于安全保密措施、应急预案、与采购人沟通机制等。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与采购需求结合紧密，安全质量与保密措施控制合理性、全面性优于招标要求的得5分；符合招标文件要求的得3分；不满足招标文件或未提供的不得分。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进度保障措施：考察投标人项目工期进度设置。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对进度措施充分详细程度，项目实施计划和方案时间利用合理性、工作方案内容全面性、科学性、合理性优于招标要求的得4分；符合招标文件要求的得2分；不满足招标文件或未提供的不得分。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3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项目质量保障：考察投标人项目方案中质量目标及质量保证措施内容。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质量保证措施内容覆盖全面性、要点突出性，内容完整详实度优于招标文件要求的得5分；符合招标文件要求的得3分；不满足招标文件或未提供的不得分。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07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合理化建议：对项目实施提出合理化建议进行综合评分；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针对该采购项目的合理化建议优于招标文件要求的得5分；符合招标文件要求的得3分；不满足招标文件或未提供的不得分。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07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服务履约承诺方案：投标人承诺项目实施过程的工作方案和项目完成后为采购人提供有关地理信息技术服务方案。</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方案内容详细程度、措施科学合理性优于招标文件要求的得4分；符合招标文件要求的得2分；不满足招标文件或未提供的不得分。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0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项目组成人员</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1.项目负责人具有测绘类正高级工程师得4分，有测绘类高级工程师得2分，有注册测绘师资格证书得2分，本项满分得6分。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2.技术负责人具有测绘类高级工程师得2分，具有注册测绘师资格得2分，满分4分。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3.质量负责人具有测绘类高级工程师得2分，具有注册测绘师资格得2分，满分4分。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4.项目组其他人员中（项目负责人、技术负责人、项目质量负责人除外）：</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4.1项目组其他人员具有测绘类高级工程师或注册测绘师证书，每提供一个得2分，最高得4分。每人计取一次，不可重复计取。</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4.2项目组其他成员（除4.1外）中具有省级及以上主管部门颁发的测绘地理信息技术能手的，有一个得2分，最高得6分。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投标人须保证以上人员为本单位的正式职工，提供投标截止之日近三个月任意一个月本单位保险证明扫描件，并提供相关职称证书、资格证书等相关证书的扫描件。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r>
      <w:tr>
        <w:trPr>
          <w:trHeight w:val="10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项目设备（6分）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1.供应商具有全站仪设备得2分；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2.供应商具有GPS或CNSS的得2分；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3.供应商具有多平台移动三维激光雷达扫描设备的得2分。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提供购买发票证明材料扫描件，否则不得分。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0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业绩</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2021年1月1日以来（时间以合同签订时间为准），供应商承担过乱占耕地摸排项目、占补平衡等类似项目的，有一个得1分，最高得8分。</w:t>
            </w:r>
            <w:r/>
          </w:p>
          <w:p>
            <w:pPr>
              <w:ind w:left="0" w:right="0" w:firstLine="0"/>
              <w:jc w:val="both"/>
              <w:spacing w:before="128"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（须提供合同和中标通知书的电子扫描件，时间以合同签订时间为准，提供的证明材料须能反映出上述工作内容，否则视为未提供）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0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企业实力（19分）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2" w:type="dxa"/>
            <w:vAlign w:val="center"/>
            <w:textDirection w:val="lrTb"/>
            <w:noWrap w:val="false"/>
          </w:tcPr>
          <w:p>
            <w:pPr>
              <w:numPr>
                <w:ilvl w:val="0"/>
                <w:numId w:val="4"/>
              </w:numPr>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供应商具有基础地理变化信息多源遥感快速获取类成果登记证书的得2分；供应商具有数据管理能力类证书的，得2分，最高得4分。（提供证书证明材料电子扫描件，否则不得分）</w:t>
            </w:r>
            <w:r/>
          </w:p>
          <w:p>
            <w:pPr>
              <w:numPr>
                <w:ilvl w:val="0"/>
                <w:numId w:val="4"/>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供应商具有GIS数据处理、耕地信息管理、测绘生产管理软件著作权证书的，有一个得1分，本项最高得3分；（提供证书证明材料电子扫描件，否则不得分）</w:t>
            </w:r>
            <w:r/>
          </w:p>
          <w:p>
            <w:pPr>
              <w:numPr>
                <w:ilvl w:val="0"/>
                <w:numId w:val="4"/>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供应商承担的项目获得行政主管部门颁发的测绘相关奖项有一个得2分，最高得6分。（提供获奖证书电子扫描件，否则不得分）</w:t>
            </w:r>
            <w:r/>
          </w:p>
          <w:p>
            <w:pPr>
              <w:numPr>
                <w:ilvl w:val="0"/>
                <w:numId w:val="4"/>
              </w:numP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质量管理体系认证、信息安全管理体系认证、信息技术服务管理体系认证、服务认证、测量管理体系认证，有一个认证证书得1分，最高得5分。（提供证书扫描件及全国认证认可信息公共服务平台认证信息查询截图，否则不得分）</w:t>
            </w:r>
            <w:r/>
          </w:p>
          <w:p>
            <w:pPr>
              <w:numPr>
                <w:ilvl w:val="0"/>
                <w:numId w:val="4"/>
              </w:numPr>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供应商具有检验检测机构资质认证证书得</w:t>
            </w:r>
            <w:r>
              <w:rPr>
                <w:rFonts w:ascii="Calibri" w:hAnsi="Calibri" w:eastAsia="Calibri" w:cs="Calibri"/>
                <w:color w:val="000000"/>
                <w:sz w:val="24"/>
              </w:rPr>
              <w:t xml:space="preserve">1</w:t>
            </w:r>
            <w:r>
              <w:rPr>
                <w:rFonts w:ascii="SimSun" w:hAnsi="SimSun" w:eastAsia="SimSun" w:cs="SimSun"/>
                <w:color w:val="000000"/>
                <w:sz w:val="24"/>
              </w:rPr>
              <w:t xml:space="preserve">分。（提供证书证明材料电子扫描件，否则不得分）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十一、拟派项目成员组成表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十三、拟投入项目设备清单</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十四、技术方案</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十五、招标文件中规定要求提供的证明材料和投标人认为需要提供的其他材料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十六、响水县政府采购事前信用承诺书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both"/>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r>
        <w:rPr>
          <w:rFonts w:ascii="Calibri" w:hAnsi="Calibri" w:eastAsia="Calibri" w:cs="Calibri"/>
          <w:color w:val="000000"/>
          <w:sz w:val="24"/>
        </w:rPr>
        <w:t xml:space="preserve"> </w:t>
      </w:r>
      <w:r/>
      <w:r>
        <w:rPr>
          <w:rFonts w:ascii="SimHei" w:hAnsi="SimHei" w:eastAsia="SimHei" w:cs="SimHei"/>
          <w:bCs/>
          <w:i/>
          <w:color w:val="000000"/>
          <w:sz w:val="32"/>
          <w:szCs w:val="32"/>
          <w:highlight w:val="none"/>
          <w:u w:val="single"/>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r>
        <w:rPr>
          <w:rFonts w:ascii="Calibri" w:hAnsi="Calibri" w:eastAsia="Calibri" w:cs="Calibri"/>
          <w:color w:val="000000"/>
          <w:sz w:val="24"/>
        </w:rPr>
      </w:r>
      <w:r/>
      <w:r>
        <w:rPr>
          <w:rFonts w:ascii="Calibri" w:hAnsi="Calibri" w:eastAsia="Calibri" w:cs="Calibri"/>
          <w:sz w:val="24"/>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r>
        <w:rPr>
          <w:rFonts w:ascii="Calibri" w:hAnsi="Calibri" w:eastAsia="Calibri" w:cs="Calibri"/>
          <w:color w:val="000000"/>
          <w:sz w:val="24"/>
        </w:rPr>
      </w:r>
      <w:r/>
      <w:r>
        <w:rPr>
          <w:rFonts w:ascii="Calibri" w:hAnsi="Calibri" w:eastAsia="Calibri" w:cs="Calibri"/>
          <w:sz w:val="24"/>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JSZC-320921-DXGC-G2024-0006</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color w:val="000000"/>
          <w:sz w:val="32"/>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致：响水县自然资源和规划局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根据贵方的JSZC-320921-DXGC-G2024-0006号招标文件，正式授权下述签字人______（姓名）代表我方______________（投标人的名称），全权处理本次项目投标的有关事宜。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九、小微企业声明函（服务）</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本公司（联合体）郑重声明，根据《政府采购促进中小企业发展管理办法》（财库〔2020〕46号）的规定，本公司（联合体）参加响水县自然资源和规划局组织的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
      <w:r>
        <w:rPr>
          <w:rFonts w:ascii="Calibri" w:hAnsi="Calibri" w:eastAsia="Calibri" w:cs="Calibri"/>
          <w:sz w:val="24"/>
        </w:rP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十一、拟派项目成员组成表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Calibri" w:hAnsi="Calibri" w:eastAsia="Calibri" w:cs="Calibri"/>
          <w:color w:val="000000"/>
          <w:sz w:val="24"/>
        </w:rPr>
        <w:t xml:space="preserve"> </w:t>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0"/>
        <w:gridCol w:w="1290"/>
        <w:gridCol w:w="825"/>
        <w:gridCol w:w="720"/>
        <w:gridCol w:w="1635"/>
        <w:gridCol w:w="1215"/>
        <w:gridCol w:w="1245"/>
      </w:tblGrid>
      <w:tr>
        <w:trPr>
          <w:trHeight w:val="1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构成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证书名称及编号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项目质量负责人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注：栏目不足可以续表。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1560" w:firstLine="624"/>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0" w:right="1560" w:firstLine="48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
        <w:rPr>
          <w:rFonts w:ascii="Calibri" w:hAnsi="Calibri" w:eastAsia="Calibri" w:cs="Calibri"/>
          <w:color w:val="000000"/>
          <w:sz w:val="24"/>
        </w:rPr>
        <w:t xml:space="preserve"> </w:t>
      </w:r>
      <w:r/>
      <w:r>
        <w:rPr>
          <w:rFonts w:ascii="Calibri" w:hAnsi="Calibri" w:eastAsia="Calibri" w:cs="Calibri"/>
          <w:sz w:val="22"/>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210" w:after="120"/>
        <w:rPr>
          <w:rFonts w:ascii="Calibri" w:hAnsi="Calibri" w:eastAsia="Calibri" w:cs="Calibri"/>
          <w:color w:val="000000"/>
          <w:sz w:val="22"/>
          <w:szCs w:val="22"/>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r/>
      <w:r/>
      <w:r>
        <w:rPr>
          <w:rFonts w:ascii="Calibri" w:hAnsi="Calibri" w:eastAsia="Calibri" w:cs="Calibri"/>
          <w:sz w:val="22"/>
        </w:rPr>
      </w:r>
      <w:r>
        <w:rPr>
          <w:rFonts w:ascii="Calibri" w:hAnsi="Calibri" w:eastAsia="Calibri" w:cs="Calibri"/>
          <w:sz w:val="22"/>
        </w:rPr>
      </w:r>
      <w:r>
        <w:rPr>
          <w:rFonts w:ascii="Calibri" w:hAnsi="Calibri" w:eastAsia="Calibri" w:cs="Calibri"/>
          <w:sz w:val="22"/>
        </w:rP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highlight w:val="none"/>
        </w:rPr>
      </w:r>
      <w:r>
        <w:rPr>
          <w:rFonts w:ascii="Calibri" w:hAnsi="Calibri" w:eastAsia="Calibri" w:cs="Calibri"/>
          <w:color w:val="000000"/>
          <w:sz w:val="22"/>
          <w:highlight w:val="none"/>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十三、拟投入项目设备清单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49"/>
        <w:gridCol w:w="1723"/>
        <w:gridCol w:w="1723"/>
        <w:gridCol w:w="17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c>
      </w:tr>
    </w:tbl>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注：栏目不足可以续表。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1560" w:firstLine="624"/>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0" w:right="1560" w:firstLine="48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
      <w:r/>
      <w:r>
        <w:rPr>
          <w:rFonts w:ascii="Calibri" w:hAnsi="Calibri" w:eastAsia="Calibri" w:cs="Calibri"/>
          <w:sz w:val="24"/>
        </w:rPr>
      </w:r>
      <w:r>
        <w:rPr>
          <w:rFonts w:ascii="Calibri" w:hAnsi="Calibri" w:eastAsia="Calibri" w:cs="Calibri"/>
          <w:sz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十四、技术方案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十五、招标文件中规定要求提供的证明材料和投标人认为需要提供的其他材料</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420"/>
        <w:jc w:val="both"/>
        <w:spacing w:before="210" w:after="12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十六、响水县政府采购事前信用承诺书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为营造我县公开、公平、公正、诚实守信的政府采购交易环境，树立诚信守法的供应商形象，本人代表本单位作出以下承诺：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（八）本人已认真阅读了上述承诺，并向本单位员工做了宣传教育。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822"/>
        <w:spacing w:before="120" w:beforeAutospacing="0" w:after="120" w:afterAutospacing="0" w:line="360" w:lineRule="auto"/>
      </w:pPr>
      <w:r/>
      <w:r/>
      <w:r/>
    </w:p>
    <w:p>
      <w:r/>
      <w:r/>
    </w:p>
    <w:sectPr>
      <w:footnotePr/>
      <w:endnotePr/>
      <w:type w:val="nextPage"/>
      <w:pgSz w:w="11906" w:h="16838" w:orient="portrait"/>
      <w:pgMar w:top="1440" w:right="170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0"/>
    <w:next w:val="810"/>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2"/>
    <w:link w:val="638"/>
    <w:uiPriority w:val="9"/>
    <w:rPr>
      <w:rFonts w:ascii="Arial" w:hAnsi="Arial" w:eastAsia="Arial" w:cs="Arial"/>
      <w:sz w:val="40"/>
      <w:szCs w:val="40"/>
    </w:rPr>
  </w:style>
  <w:style w:type="character" w:styleId="640">
    <w:name w:val="Heading 2 Char"/>
    <w:basedOn w:val="812"/>
    <w:link w:val="811"/>
    <w:uiPriority w:val="9"/>
    <w:rPr>
      <w:rFonts w:ascii="Arial" w:hAnsi="Arial" w:eastAsia="Arial" w:cs="Arial"/>
      <w:sz w:val="34"/>
    </w:rPr>
  </w:style>
  <w:style w:type="paragraph" w:styleId="641">
    <w:name w:val="Heading 3"/>
    <w:basedOn w:val="810"/>
    <w:next w:val="810"/>
    <w:link w:val="642"/>
    <w:uiPriority w:val="9"/>
    <w:unhideWhenUsed/>
    <w:qFormat/>
    <w:pPr>
      <w:keepLines/>
      <w:keepNext/>
      <w:spacing w:before="320" w:after="200"/>
      <w:outlineLvl w:val="2"/>
    </w:pPr>
    <w:rPr>
      <w:rFonts w:ascii="Arial" w:hAnsi="Arial" w:eastAsia="Arial" w:cs="Arial"/>
      <w:sz w:val="30"/>
      <w:szCs w:val="30"/>
    </w:rPr>
  </w:style>
  <w:style w:type="character" w:styleId="642">
    <w:name w:val="Heading 3 Char"/>
    <w:basedOn w:val="812"/>
    <w:link w:val="641"/>
    <w:uiPriority w:val="9"/>
    <w:rPr>
      <w:rFonts w:ascii="Arial" w:hAnsi="Arial" w:eastAsia="Arial" w:cs="Arial"/>
      <w:sz w:val="30"/>
      <w:szCs w:val="30"/>
    </w:rPr>
  </w:style>
  <w:style w:type="paragraph" w:styleId="643">
    <w:name w:val="Heading 4"/>
    <w:basedOn w:val="810"/>
    <w:next w:val="810"/>
    <w:link w:val="644"/>
    <w:uiPriority w:val="9"/>
    <w:unhideWhenUsed/>
    <w:qFormat/>
    <w:pPr>
      <w:keepLines/>
      <w:keepNext/>
      <w:spacing w:before="320" w:after="200"/>
      <w:outlineLvl w:val="3"/>
    </w:pPr>
    <w:rPr>
      <w:rFonts w:ascii="Arial" w:hAnsi="Arial" w:eastAsia="Arial" w:cs="Arial"/>
      <w:b/>
      <w:bCs/>
      <w:sz w:val="26"/>
      <w:szCs w:val="26"/>
    </w:rPr>
  </w:style>
  <w:style w:type="character" w:styleId="644">
    <w:name w:val="Heading 4 Char"/>
    <w:basedOn w:val="812"/>
    <w:link w:val="643"/>
    <w:uiPriority w:val="9"/>
    <w:rPr>
      <w:rFonts w:ascii="Arial" w:hAnsi="Arial" w:eastAsia="Arial" w:cs="Arial"/>
      <w:b/>
      <w:bCs/>
      <w:sz w:val="26"/>
      <w:szCs w:val="26"/>
    </w:rPr>
  </w:style>
  <w:style w:type="paragraph" w:styleId="645">
    <w:name w:val="Heading 5"/>
    <w:basedOn w:val="810"/>
    <w:next w:val="810"/>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2"/>
    <w:link w:val="645"/>
    <w:uiPriority w:val="9"/>
    <w:rPr>
      <w:rFonts w:ascii="Arial" w:hAnsi="Arial" w:eastAsia="Arial" w:cs="Arial"/>
      <w:b/>
      <w:bCs/>
      <w:sz w:val="24"/>
      <w:szCs w:val="24"/>
    </w:rPr>
  </w:style>
  <w:style w:type="paragraph" w:styleId="647">
    <w:name w:val="Heading 6"/>
    <w:basedOn w:val="810"/>
    <w:next w:val="810"/>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2"/>
    <w:link w:val="647"/>
    <w:uiPriority w:val="9"/>
    <w:rPr>
      <w:rFonts w:ascii="Arial" w:hAnsi="Arial" w:eastAsia="Arial" w:cs="Arial"/>
      <w:b/>
      <w:bCs/>
      <w:sz w:val="22"/>
      <w:szCs w:val="22"/>
    </w:rPr>
  </w:style>
  <w:style w:type="paragraph" w:styleId="649">
    <w:name w:val="Heading 7"/>
    <w:basedOn w:val="810"/>
    <w:next w:val="810"/>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2"/>
    <w:link w:val="649"/>
    <w:uiPriority w:val="9"/>
    <w:rPr>
      <w:rFonts w:ascii="Arial" w:hAnsi="Arial" w:eastAsia="Arial" w:cs="Arial"/>
      <w:b/>
      <w:bCs/>
      <w:i/>
      <w:iCs/>
      <w:sz w:val="22"/>
      <w:szCs w:val="22"/>
    </w:rPr>
  </w:style>
  <w:style w:type="paragraph" w:styleId="651">
    <w:name w:val="Heading 8"/>
    <w:basedOn w:val="810"/>
    <w:next w:val="810"/>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2"/>
    <w:link w:val="651"/>
    <w:uiPriority w:val="9"/>
    <w:rPr>
      <w:rFonts w:ascii="Arial" w:hAnsi="Arial" w:eastAsia="Arial" w:cs="Arial"/>
      <w:i/>
      <w:iCs/>
      <w:sz w:val="22"/>
      <w:szCs w:val="22"/>
    </w:rPr>
  </w:style>
  <w:style w:type="paragraph" w:styleId="653">
    <w:name w:val="Heading 9"/>
    <w:basedOn w:val="810"/>
    <w:next w:val="810"/>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2"/>
    <w:link w:val="653"/>
    <w:uiPriority w:val="9"/>
    <w:rPr>
      <w:rFonts w:ascii="Arial" w:hAnsi="Arial" w:eastAsia="Arial" w:cs="Arial"/>
      <w:i/>
      <w:iCs/>
      <w:sz w:val="21"/>
      <w:szCs w:val="21"/>
    </w:rPr>
  </w:style>
  <w:style w:type="paragraph" w:styleId="655">
    <w:name w:val="Title"/>
    <w:basedOn w:val="810"/>
    <w:next w:val="810"/>
    <w:link w:val="656"/>
    <w:uiPriority w:val="10"/>
    <w:qFormat/>
    <w:pPr>
      <w:contextualSpacing/>
      <w:spacing w:before="300" w:after="200"/>
    </w:pPr>
    <w:rPr>
      <w:sz w:val="48"/>
      <w:szCs w:val="48"/>
    </w:rPr>
  </w:style>
  <w:style w:type="character" w:styleId="656">
    <w:name w:val="Title Char"/>
    <w:basedOn w:val="812"/>
    <w:link w:val="655"/>
    <w:uiPriority w:val="10"/>
    <w:rPr>
      <w:sz w:val="48"/>
      <w:szCs w:val="48"/>
    </w:rPr>
  </w:style>
  <w:style w:type="paragraph" w:styleId="657">
    <w:name w:val="Subtitle"/>
    <w:basedOn w:val="810"/>
    <w:next w:val="810"/>
    <w:link w:val="658"/>
    <w:uiPriority w:val="11"/>
    <w:qFormat/>
    <w:pPr>
      <w:spacing w:before="200" w:after="200"/>
    </w:pPr>
    <w:rPr>
      <w:sz w:val="24"/>
      <w:szCs w:val="24"/>
    </w:rPr>
  </w:style>
  <w:style w:type="character" w:styleId="658">
    <w:name w:val="Subtitle Char"/>
    <w:basedOn w:val="812"/>
    <w:link w:val="657"/>
    <w:uiPriority w:val="11"/>
    <w:rPr>
      <w:sz w:val="24"/>
      <w:szCs w:val="24"/>
    </w:rPr>
  </w:style>
  <w:style w:type="paragraph" w:styleId="659">
    <w:name w:val="Quote"/>
    <w:basedOn w:val="810"/>
    <w:next w:val="810"/>
    <w:link w:val="660"/>
    <w:uiPriority w:val="29"/>
    <w:qFormat/>
    <w:pPr>
      <w:ind w:left="720" w:right="720"/>
    </w:pPr>
    <w:rPr>
      <w:i/>
    </w:rPr>
  </w:style>
  <w:style w:type="character" w:styleId="660">
    <w:name w:val="Quote Char"/>
    <w:link w:val="659"/>
    <w:uiPriority w:val="29"/>
    <w:rPr>
      <w:i/>
    </w:rPr>
  </w:style>
  <w:style w:type="paragraph" w:styleId="661">
    <w:name w:val="Intense Quote"/>
    <w:basedOn w:val="810"/>
    <w:next w:val="810"/>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2"/>
    <w:link w:val="821"/>
    <w:uiPriority w:val="99"/>
  </w:style>
  <w:style w:type="character" w:styleId="664">
    <w:name w:val="Footer Char"/>
    <w:basedOn w:val="812"/>
    <w:link w:val="820"/>
    <w:uiPriority w:val="99"/>
  </w:style>
  <w:style w:type="paragraph" w:styleId="665">
    <w:name w:val="Caption"/>
    <w:basedOn w:val="810"/>
    <w:next w:val="810"/>
    <w:uiPriority w:val="35"/>
    <w:semiHidden/>
    <w:unhideWhenUsed/>
    <w:qFormat/>
    <w:pPr>
      <w:spacing w:line="276" w:lineRule="auto"/>
    </w:pPr>
    <w:rPr>
      <w:b/>
      <w:bCs/>
      <w:color w:val="4f81bd" w:themeColor="accent1"/>
      <w:sz w:val="18"/>
      <w:szCs w:val="18"/>
    </w:rPr>
  </w:style>
  <w:style w:type="character" w:styleId="666">
    <w:name w:val="Caption Char"/>
    <w:basedOn w:val="665"/>
    <w:link w:val="820"/>
    <w:uiPriority w:val="99"/>
  </w:style>
  <w:style w:type="table" w:styleId="667">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8">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5">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6">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7">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8">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9">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0">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2">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3">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4">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5">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6">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7">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6">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7">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8">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9">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0">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1">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3">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4">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5">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6">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7">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8">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0">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1">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2">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3">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4">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7">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1">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2">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4">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5">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6">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7">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8">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9">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1">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2">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3">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4">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5">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6">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8">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9">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0">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1">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2">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3">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5">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6">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7">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8">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9">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0">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9">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0">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1">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2">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3">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4">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5">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6">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7">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8">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9">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0">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1">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2">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3">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4">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5">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6">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7">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8">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9">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0">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1">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2">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3">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4">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5">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6">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7">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8">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9">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0">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1">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2">
    <w:name w:val="Hyperlink"/>
    <w:uiPriority w:val="99"/>
    <w:unhideWhenUsed/>
    <w:rPr>
      <w:color w:val="0000ff" w:themeColor="hyperlink"/>
      <w:u w:val="single"/>
    </w:rPr>
  </w:style>
  <w:style w:type="paragraph" w:styleId="793">
    <w:name w:val="footnote text"/>
    <w:basedOn w:val="810"/>
    <w:link w:val="794"/>
    <w:uiPriority w:val="99"/>
    <w:semiHidden/>
    <w:unhideWhenUsed/>
    <w:pPr>
      <w:spacing w:after="40" w:line="240" w:lineRule="auto"/>
    </w:pPr>
    <w:rPr>
      <w:sz w:val="18"/>
    </w:rPr>
  </w:style>
  <w:style w:type="character" w:styleId="794">
    <w:name w:val="Footnote Text Char"/>
    <w:link w:val="793"/>
    <w:uiPriority w:val="99"/>
    <w:rPr>
      <w:sz w:val="18"/>
    </w:rPr>
  </w:style>
  <w:style w:type="character" w:styleId="795">
    <w:name w:val="footnote reference"/>
    <w:basedOn w:val="812"/>
    <w:uiPriority w:val="99"/>
    <w:unhideWhenUsed/>
    <w:rPr>
      <w:vertAlign w:val="superscript"/>
    </w:rPr>
  </w:style>
  <w:style w:type="paragraph" w:styleId="796">
    <w:name w:val="endnote text"/>
    <w:basedOn w:val="810"/>
    <w:link w:val="797"/>
    <w:uiPriority w:val="99"/>
    <w:semiHidden/>
    <w:unhideWhenUsed/>
    <w:pPr>
      <w:spacing w:after="0" w:line="240" w:lineRule="auto"/>
    </w:pPr>
    <w:rPr>
      <w:sz w:val="20"/>
    </w:rPr>
  </w:style>
  <w:style w:type="character" w:styleId="797">
    <w:name w:val="Endnote Text Char"/>
    <w:link w:val="796"/>
    <w:uiPriority w:val="99"/>
    <w:rPr>
      <w:sz w:val="20"/>
    </w:rPr>
  </w:style>
  <w:style w:type="character" w:styleId="798">
    <w:name w:val="endnote reference"/>
    <w:basedOn w:val="812"/>
    <w:uiPriority w:val="99"/>
    <w:semiHidden/>
    <w:unhideWhenUsed/>
    <w:rPr>
      <w:vertAlign w:val="superscript"/>
    </w:rPr>
  </w:style>
  <w:style w:type="paragraph" w:styleId="799">
    <w:name w:val="toc 1"/>
    <w:basedOn w:val="810"/>
    <w:next w:val="810"/>
    <w:uiPriority w:val="39"/>
    <w:unhideWhenUsed/>
    <w:pPr>
      <w:ind w:left="0" w:right="0" w:firstLine="0"/>
      <w:spacing w:after="57"/>
    </w:pPr>
  </w:style>
  <w:style w:type="paragraph" w:styleId="800">
    <w:name w:val="toc 2"/>
    <w:basedOn w:val="810"/>
    <w:next w:val="810"/>
    <w:uiPriority w:val="39"/>
    <w:unhideWhenUsed/>
    <w:pPr>
      <w:ind w:left="283" w:right="0" w:firstLine="0"/>
      <w:spacing w:after="57"/>
    </w:pPr>
  </w:style>
  <w:style w:type="paragraph" w:styleId="801">
    <w:name w:val="toc 3"/>
    <w:basedOn w:val="810"/>
    <w:next w:val="810"/>
    <w:uiPriority w:val="39"/>
    <w:unhideWhenUsed/>
    <w:pPr>
      <w:ind w:left="567" w:right="0" w:firstLine="0"/>
      <w:spacing w:after="57"/>
    </w:pPr>
  </w:style>
  <w:style w:type="paragraph" w:styleId="802">
    <w:name w:val="toc 4"/>
    <w:basedOn w:val="810"/>
    <w:next w:val="810"/>
    <w:uiPriority w:val="39"/>
    <w:unhideWhenUsed/>
    <w:pPr>
      <w:ind w:left="850" w:right="0" w:firstLine="0"/>
      <w:spacing w:after="57"/>
    </w:pPr>
  </w:style>
  <w:style w:type="paragraph" w:styleId="803">
    <w:name w:val="toc 5"/>
    <w:basedOn w:val="810"/>
    <w:next w:val="810"/>
    <w:uiPriority w:val="39"/>
    <w:unhideWhenUsed/>
    <w:pPr>
      <w:ind w:left="1134" w:right="0" w:firstLine="0"/>
      <w:spacing w:after="57"/>
    </w:pPr>
  </w:style>
  <w:style w:type="paragraph" w:styleId="804">
    <w:name w:val="toc 6"/>
    <w:basedOn w:val="810"/>
    <w:next w:val="810"/>
    <w:uiPriority w:val="39"/>
    <w:unhideWhenUsed/>
    <w:pPr>
      <w:ind w:left="1417" w:right="0" w:firstLine="0"/>
      <w:spacing w:after="57"/>
    </w:pPr>
  </w:style>
  <w:style w:type="paragraph" w:styleId="805">
    <w:name w:val="toc 7"/>
    <w:basedOn w:val="810"/>
    <w:next w:val="810"/>
    <w:uiPriority w:val="39"/>
    <w:unhideWhenUsed/>
    <w:pPr>
      <w:ind w:left="1701" w:right="0" w:firstLine="0"/>
      <w:spacing w:after="57"/>
    </w:pPr>
  </w:style>
  <w:style w:type="paragraph" w:styleId="806">
    <w:name w:val="toc 8"/>
    <w:basedOn w:val="810"/>
    <w:next w:val="810"/>
    <w:uiPriority w:val="39"/>
    <w:unhideWhenUsed/>
    <w:pPr>
      <w:ind w:left="1984" w:right="0" w:firstLine="0"/>
      <w:spacing w:after="57"/>
    </w:pPr>
  </w:style>
  <w:style w:type="paragraph" w:styleId="807">
    <w:name w:val="toc 9"/>
    <w:basedOn w:val="810"/>
    <w:next w:val="810"/>
    <w:uiPriority w:val="39"/>
    <w:unhideWhenUsed/>
    <w:pPr>
      <w:ind w:left="2268" w:right="0" w:firstLine="0"/>
      <w:spacing w:after="57"/>
    </w:pPr>
  </w:style>
  <w:style w:type="paragraph" w:styleId="808">
    <w:name w:val="TOC Heading"/>
    <w:uiPriority w:val="39"/>
    <w:unhideWhenUsed/>
  </w:style>
  <w:style w:type="paragraph" w:styleId="809">
    <w:name w:val="table of figures"/>
    <w:basedOn w:val="810"/>
    <w:next w:val="810"/>
    <w:uiPriority w:val="99"/>
    <w:unhideWhenUsed/>
    <w:pPr>
      <w:spacing w:after="0" w:afterAutospacing="0"/>
    </w:pPr>
  </w:style>
  <w:style w:type="paragraph" w:styleId="81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1">
    <w:name w:val="Heading 2"/>
    <w:basedOn w:val="810"/>
    <w:next w:val="81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Body Text"/>
    <w:basedOn w:val="810"/>
    <w:next w:val="815"/>
    <w:link w:val="833"/>
    <w:uiPriority w:val="0"/>
    <w:qFormat/>
    <w:rPr>
      <w:rFonts w:ascii="楷体_GB2312" w:hAnsi="Arial" w:eastAsia="楷体_GB2312"/>
      <w:sz w:val="28"/>
      <w:szCs w:val="28"/>
    </w:rPr>
  </w:style>
  <w:style w:type="paragraph" w:styleId="815" w:customStyle="1">
    <w:name w:val="一级条标题"/>
    <w:basedOn w:val="816"/>
    <w:next w:val="8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6" w:customStyle="1">
    <w:name w:val="章标题"/>
    <w:basedOn w:val="810"/>
    <w:next w:val="810"/>
    <w:uiPriority w:val="0"/>
    <w:qFormat/>
    <w:pPr>
      <w:jc w:val="center"/>
      <w:spacing w:before="158" w:after="153" w:line="1292" w:lineRule="atLeast"/>
      <w:widowControl/>
    </w:pPr>
    <w:rPr>
      <w:rFonts w:ascii="Arial" w:eastAsia="黑体" w:cs="黑体"/>
      <w:sz w:val="31"/>
      <w:lang w:eastAsia="en-US" w:bidi="en-US"/>
    </w:rPr>
  </w:style>
  <w:style w:type="paragraph" w:styleId="817" w:customStyle="1">
    <w:name w:val="段"/>
    <w:basedOn w:val="810"/>
    <w:next w:val="810"/>
    <w:uiPriority w:val="0"/>
    <w:qFormat/>
    <w:pPr>
      <w:ind w:firstLine="200"/>
      <w:widowControl/>
    </w:pPr>
    <w:rPr>
      <w:rFonts w:hint="eastAsia" w:ascii="宋体"/>
    </w:rPr>
  </w:style>
  <w:style w:type="paragraph" w:styleId="818">
    <w:name w:val="Body Text Indent"/>
    <w:basedOn w:val="810"/>
    <w:next w:val="819"/>
    <w:uiPriority w:val="0"/>
    <w:qFormat/>
    <w:pPr>
      <w:spacing w:after="120"/>
    </w:pPr>
    <w:rPr>
      <w:rFonts w:ascii="宋体" w:hAnsi="宋体"/>
    </w:rPr>
  </w:style>
  <w:style w:type="paragraph" w:styleId="819">
    <w:name w:val="envelope return"/>
    <w:basedOn w:val="810"/>
    <w:uiPriority w:val="0"/>
    <w:qFormat/>
    <w:rPr>
      <w:rFonts w:ascii="Arial" w:hAnsi="Arial"/>
    </w:rPr>
  </w:style>
  <w:style w:type="paragraph" w:styleId="820">
    <w:name w:val="Footer"/>
    <w:basedOn w:val="810"/>
    <w:link w:val="827"/>
    <w:uiPriority w:val="0"/>
    <w:qFormat/>
    <w:pPr>
      <w:jc w:val="left"/>
      <w:tabs>
        <w:tab w:val="center" w:pos="4153" w:leader="none"/>
        <w:tab w:val="right" w:pos="8306" w:leader="none"/>
      </w:tabs>
    </w:pPr>
    <w:rPr>
      <w:sz w:val="18"/>
      <w:szCs w:val="18"/>
    </w:rPr>
  </w:style>
  <w:style w:type="paragraph" w:styleId="821">
    <w:name w:val="Header"/>
    <w:basedOn w:val="810"/>
    <w:link w:val="826"/>
    <w:uiPriority w:val="0"/>
    <w:qFormat/>
    <w:pPr>
      <w:jc w:val="center"/>
      <w:tabs>
        <w:tab w:val="center" w:pos="4153" w:leader="none"/>
        <w:tab w:val="right" w:pos="8306" w:leader="none"/>
      </w:tabs>
      <w:pBdr>
        <w:bottom w:val="single" w:color="auto" w:sz="6" w:space="1"/>
      </w:pBdr>
    </w:pPr>
    <w:rPr>
      <w:sz w:val="18"/>
      <w:szCs w:val="18"/>
    </w:rPr>
  </w:style>
  <w:style w:type="paragraph" w:styleId="822">
    <w:name w:val="Normal (Web)"/>
    <w:basedOn w:val="810"/>
    <w:uiPriority w:val="0"/>
    <w:qFormat/>
    <w:pPr>
      <w:jc w:val="left"/>
      <w:spacing w:beforeAutospacing="1" w:afterAutospacing="1"/>
    </w:pPr>
    <w:rPr>
      <w:rFonts w:cs="Times New Roman"/>
      <w:sz w:val="24"/>
    </w:rPr>
  </w:style>
  <w:style w:type="paragraph" w:styleId="823">
    <w:name w:val="Body Text First Indent"/>
    <w:basedOn w:val="814"/>
    <w:link w:val="832"/>
    <w:uiPriority w:val="99"/>
    <w:semiHidden/>
    <w:unhideWhenUsed/>
    <w:qFormat/>
    <w:pPr>
      <w:ind w:firstLine="420"/>
      <w:spacing w:after="120"/>
    </w:pPr>
    <w:rPr>
      <w:rFonts w:ascii="Calibri" w:hAnsi="Calibri" w:eastAsia="宋体"/>
      <w:sz w:val="21"/>
      <w:szCs w:val="22"/>
    </w:rPr>
  </w:style>
  <w:style w:type="paragraph" w:styleId="824">
    <w:name w:val="Body Text First Indent 2"/>
    <w:basedOn w:val="818"/>
    <w:uiPriority w:val="99"/>
    <w:qFormat/>
    <w:pPr>
      <w:ind w:firstLine="420"/>
    </w:pPr>
  </w:style>
  <w:style w:type="table" w:styleId="825">
    <w:name w:val="Table Grid"/>
    <w:basedOn w:val="8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6" w:customStyle="1">
    <w:name w:val="页眉 Char"/>
    <w:basedOn w:val="812"/>
    <w:link w:val="821"/>
    <w:uiPriority w:val="0"/>
    <w:qFormat/>
    <w:rPr>
      <w:rFonts w:asciiTheme="minorHAnsi" w:hAnsiTheme="minorHAnsi" w:eastAsiaTheme="minorEastAsia" w:cstheme="minorBidi"/>
      <w:sz w:val="18"/>
      <w:szCs w:val="18"/>
    </w:rPr>
  </w:style>
  <w:style w:type="character" w:styleId="827" w:customStyle="1">
    <w:name w:val="页脚 Char"/>
    <w:basedOn w:val="812"/>
    <w:link w:val="820"/>
    <w:uiPriority w:val="0"/>
    <w:qFormat/>
    <w:rPr>
      <w:rFonts w:asciiTheme="minorHAnsi" w:hAnsiTheme="minorHAnsi" w:eastAsiaTheme="minorEastAsia" w:cstheme="minorBidi"/>
      <w:sz w:val="18"/>
      <w:szCs w:val="18"/>
    </w:rPr>
  </w:style>
  <w:style w:type="paragraph" w:styleId="828">
    <w:name w:val="List Paragraph"/>
    <w:basedOn w:val="810"/>
    <w:next w:val="810"/>
    <w:uiPriority w:val="0"/>
    <w:qFormat/>
    <w:pPr>
      <w:ind w:firstLine="420"/>
    </w:pPr>
    <w:rPr>
      <w:rFonts w:ascii="Calibri" w:hAnsi="Calibri"/>
      <w:szCs w:val="22"/>
    </w:rPr>
  </w:style>
  <w:style w:type="paragraph" w:styleId="82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30" w:customStyle="1">
    <w:name w:val="列出段落11"/>
    <w:basedOn w:val="810"/>
    <w:uiPriority w:val="0"/>
    <w:qFormat/>
    <w:pPr>
      <w:ind w:firstLine="420"/>
    </w:pPr>
    <w:rPr>
      <w:rFonts w:ascii="Calibri" w:hAnsi="Calibri"/>
    </w:rPr>
  </w:style>
  <w:style w:type="character" w:styleId="831" w:customStyle="1">
    <w:name w:val="NormalCharacter"/>
    <w:uiPriority w:val="0"/>
    <w:semiHidden/>
    <w:qFormat/>
    <w:rPr>
      <w:sz w:val="21"/>
      <w:szCs w:val="24"/>
      <w:lang w:val="en-US" w:eastAsia="zh-CN" w:bidi="ar-SA"/>
    </w:rPr>
  </w:style>
  <w:style w:type="character" w:styleId="832" w:customStyle="1">
    <w:name w:val="正文首行缩进 Char"/>
    <w:link w:val="823"/>
    <w:uiPriority w:val="99"/>
    <w:qFormat/>
    <w:rPr>
      <w:rFonts w:ascii="Calibri" w:hAnsi="Calibri" w:eastAsia="宋体"/>
      <w:sz w:val="21"/>
      <w:szCs w:val="22"/>
    </w:rPr>
  </w:style>
  <w:style w:type="character" w:styleId="833" w:customStyle="1">
    <w:name w:val="正文文本 Char"/>
    <w:link w:val="814"/>
    <w:uiPriority w:val="0"/>
    <w:qFormat/>
    <w:rPr>
      <w:rFonts w:ascii="楷体_GB2312" w:hAnsi="Arial" w:eastAsia="楷体_GB2312"/>
      <w:sz w:val="28"/>
      <w:szCs w:val="28"/>
    </w:rPr>
  </w:style>
  <w:style w:type="paragraph" w:styleId="834"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张淼</cp:lastModifiedBy>
  <cp:revision>276</cp:revision>
  <dcterms:created xsi:type="dcterms:W3CDTF">2014-10-29T12:08:00Z</dcterms:created>
  <dcterms:modified xsi:type="dcterms:W3CDTF">2024-10-29T09:10:21Z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92F2AB4D564145F2872DC87DF9BEAEAE_13</vt:lpwstr>
  </property>
</Properties>
</file>