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pacing w:val="76"/>
          <w:sz w:val="84"/>
          <w:szCs w:val="84"/>
          <w:highlight w:val="none"/>
        </w:rPr>
      </w:pPr>
      <w:r>
        <w:rPr>
          <w:rFonts w:ascii="宋体" w:hAnsi="宋体" w:cs="宋体"/>
          <w:b/>
          <w:color w:val="auto"/>
          <w:spacing w:val="76"/>
          <w:sz w:val="84"/>
          <w:szCs w:val="84"/>
          <w:highlight w:val="none"/>
        </w:rPr>
      </w:r>
      <w:r/>
    </w:p>
    <w:p>
      <w:pPr>
        <w:jc w:val="right"/>
        <w:rPr>
          <w:rFonts w:ascii="宋体" w:hAnsi="宋体" w:cs="宋体"/>
          <w:b/>
          <w:color w:val="auto"/>
          <w:spacing w:val="76"/>
          <w:sz w:val="84"/>
          <w:szCs w:val="84"/>
          <w:highlight w:val="none"/>
        </w:rPr>
      </w:pPr>
      <w:r>
        <w:rPr>
          <w:rFonts w:hint="eastAsia" w:ascii="宋体" w:hAnsi="宋体" w:eastAsia="宋体" w:cs="宋体"/>
          <w:b/>
          <w:color w:val="auto"/>
          <w:spacing w:val="76"/>
          <w:sz w:val="96"/>
          <w:szCs w:val="21"/>
          <w:highlight w:val="none"/>
          <w:lang w:eastAsia="zh-CN"/>
        </w:rPr>
        <mc:AlternateContent>
          <mc:Choice Requires="wpg">
            <w:drawing>
              <wp:inline xmlns:wp="http://schemas.openxmlformats.org/drawingml/2006/wordprocessingDrawing" distT="0" distB="0" distL="0" distR="0">
                <wp:extent cx="2651125" cy="1153795"/>
                <wp:effectExtent l="0" t="0" r="15875" b="8255"/>
                <wp:docPr id="8" name="图片 1" descr="8aa6e78d350af1034de2ab5018cea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8aa6e78d350af1034de2ab5018ceaaa"/>
                        <pic:cNvPicPr>
                          <a:picLocks noChangeAspect="1"/>
                        </pic:cNvPicPr>
                        <pic:nvPr/>
                      </pic:nvPicPr>
                      <pic:blipFill>
                        <a:blip r:embed="rId24"/>
                        <a:stretch/>
                      </pic:blipFill>
                      <pic:spPr bwMode="auto">
                        <a:xfrm>
                          <a:off x="0" y="0"/>
                          <a:ext cx="2651125" cy="1153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8.8pt;height:90.8pt;mso-wrap-distance-left:0.0pt;mso-wrap-distance-top:0.0pt;mso-wrap-distance-right:0.0pt;mso-wrap-distance-bottom:0.0pt;" stroked="f">
                <v:path textboxrect="0,0,0,0"/>
                <v:imagedata r:id="rId24" o:title=""/>
              </v:shape>
            </w:pict>
          </mc:Fallback>
        </mc:AlternateContent>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jc w:val="center"/>
        <w:rPr>
          <w:rFonts w:ascii="宋体" w:hAnsi="宋体" w:cs="宋体"/>
          <w:b/>
          <w:color w:val="auto"/>
          <w:spacing w:val="76"/>
          <w:sz w:val="84"/>
          <w:szCs w:val="84"/>
          <w:highlight w:val="none"/>
        </w:rPr>
      </w:pPr>
      <w:r>
        <w:rPr>
          <w:rFonts w:hint="eastAsia" w:ascii="宋体" w:hAnsi="宋体" w:cs="宋体"/>
          <w:b/>
          <w:color w:val="auto"/>
          <w:spacing w:val="76"/>
          <w:sz w:val="84"/>
          <w:szCs w:val="84"/>
          <w:highlight w:val="none"/>
        </w:rPr>
        <w:t xml:space="preserve">招标文件</w:t>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ind w:firstLine="1280"/>
        <w:rPr>
          <w:rFonts w:hint="eastAsia" w:ascii="宋体" w:hAnsi="宋体" w:eastAsia="宋体" w:cs="宋体"/>
          <w:color w:val="auto"/>
          <w:sz w:val="32"/>
          <w:highlight w:val="none"/>
          <w:lang w:eastAsia="zh-CN"/>
        </w:rPr>
        <w:outlineLvl w:val="0"/>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JSZC-320382-JSZR-G2024-0052</w:t>
      </w:r>
      <w:r/>
    </w:p>
    <w:p>
      <w:pPr>
        <w:rPr>
          <w:rFonts w:ascii="宋体" w:hAnsi="宋体" w:cs="宋体"/>
          <w:color w:val="auto"/>
          <w:sz w:val="32"/>
          <w:highlight w:val="none"/>
        </w:rPr>
      </w:pPr>
      <w:r>
        <w:rPr>
          <w:rFonts w:ascii="宋体" w:hAnsi="宋体" w:cs="宋体"/>
          <w:color w:val="auto"/>
          <w:sz w:val="32"/>
          <w:highlight w:val="none"/>
        </w:rPr>
      </w:r>
      <w:r/>
    </w:p>
    <w:p>
      <w:pPr>
        <w:ind w:left="2877" w:hanging="1600"/>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邳州市城市管理局农村生活垃圾运输服务</w:t>
      </w:r>
      <w:r/>
    </w:p>
    <w:p>
      <w:pPr>
        <w:ind w:left="2873"/>
        <w:rPr>
          <w:rFonts w:ascii="宋体" w:hAnsi="宋体" w:cs="宋体"/>
          <w:color w:val="auto"/>
          <w:sz w:val="32"/>
          <w:highlight w:val="none"/>
        </w:rPr>
      </w:pPr>
      <w:r>
        <w:rPr>
          <w:rFonts w:ascii="宋体" w:hAnsi="宋体" w:cs="宋体"/>
          <w:color w:val="auto"/>
          <w:sz w:val="32"/>
          <w:highlight w:val="none"/>
        </w:rPr>
      </w:r>
      <w:r/>
    </w:p>
    <w:p>
      <w:pPr>
        <w:ind w:firstLine="1280"/>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邳州市城市管理局</w:t>
      </w:r>
      <w:r/>
    </w:p>
    <w:p>
      <w:pPr>
        <w:rPr>
          <w:rFonts w:ascii="宋体" w:hAnsi="宋体" w:cs="宋体"/>
          <w:color w:val="auto"/>
          <w:sz w:val="44"/>
          <w:highlight w:val="none"/>
        </w:rPr>
      </w:pPr>
      <w:r>
        <w:rPr>
          <w:rFonts w:ascii="宋体" w:hAnsi="宋体" w:cs="宋体"/>
          <w:color w:val="auto"/>
          <w:sz w:val="44"/>
          <w:highlight w:val="none"/>
        </w:rPr>
      </w:r>
      <w:r/>
    </w:p>
    <w:p>
      <w:pPr>
        <w:ind w:right="-159" w:firstLine="2112"/>
        <w:spacing w:line="300" w:lineRule="auto"/>
        <w:rPr>
          <w:rFonts w:ascii="宋体" w:hAnsi="宋体" w:cs="宋体"/>
          <w:color w:val="auto"/>
          <w:sz w:val="44"/>
          <w:highlight w:val="none"/>
        </w:rPr>
      </w:pPr>
      <w:r>
        <w:rPr>
          <w:rFonts w:ascii="宋体" w:hAnsi="宋体" w:cs="宋体"/>
          <w:color w:val="auto"/>
          <w:sz w:val="44"/>
          <w:highlight w:val="none"/>
        </w:rPr>
      </w:r>
      <w:r/>
    </w:p>
    <w:p>
      <w:pPr>
        <w:ind w:right="-159"/>
        <w:spacing w:line="30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30"/>
          <w:highlight w:val="none"/>
        </w:rPr>
      </w:pPr>
      <w:r>
        <w:rPr>
          <w:rFonts w:ascii="宋体" w:hAnsi="宋体" w:cs="宋体"/>
          <w:color w:val="auto"/>
          <w:sz w:val="30"/>
          <w:highlight w:val="none"/>
        </w:rPr>
      </w:r>
      <w:r/>
    </w:p>
    <w:p>
      <w:pPr>
        <w:jc w:val="center"/>
        <w:spacing w:line="360" w:lineRule="auto"/>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360" w:lineRule="auto"/>
        <w:rPr>
          <w:rFonts w:ascii="宋体" w:hAnsi="宋体" w:cs="宋体"/>
          <w:color w:val="auto"/>
          <w:sz w:val="24"/>
          <w:highlight w:val="none"/>
        </w:rPr>
        <w:sectPr>
          <w:headerReference w:type="default" r:id="rId9"/>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四</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五</w:t>
      </w:r>
      <w:r>
        <w:rPr>
          <w:rFonts w:hint="eastAsia" w:ascii="宋体" w:hAnsi="宋体" w:cs="宋体"/>
          <w:bCs/>
          <w:color w:val="auto"/>
          <w:sz w:val="32"/>
          <w:szCs w:val="32"/>
          <w:highlight w:val="none"/>
        </w:rPr>
        <w:t xml:space="preserve">月</w:t>
      </w:r>
      <w:r/>
    </w:p>
    <w:p>
      <w:pPr>
        <w:pStyle w:val="1197"/>
        <w:ind w:firstLine="0"/>
        <w:jc w:val="center"/>
        <w:rPr>
          <w:rFonts w:ascii="宋体" w:hAnsi="宋体" w:cs="宋体"/>
          <w:color w:val="auto"/>
          <w:sz w:val="44"/>
          <w:highlight w:val="none"/>
        </w:rPr>
      </w:pPr>
      <w:r>
        <w:rPr>
          <w:rFonts w:hint="eastAsia" w:ascii="宋体" w:hAnsi="宋体" w:cs="宋体"/>
          <w:color w:val="auto"/>
          <w:sz w:val="44"/>
          <w:highlight w:val="none"/>
        </w:rPr>
        <w:t xml:space="preserve">总目录</w:t>
      </w:r>
      <w:r/>
    </w:p>
    <w:p>
      <w:pPr>
        <w:pStyle w:val="1197"/>
        <w:ind w:firstLine="0"/>
        <w:jc w:val="center"/>
        <w:rPr>
          <w:rFonts w:ascii="宋体" w:hAnsi="宋体" w:cs="宋体"/>
          <w:color w:val="auto"/>
          <w:sz w:val="44"/>
          <w:highlight w:val="none"/>
        </w:rPr>
      </w:pPr>
      <w:r>
        <w:rPr>
          <w:rFonts w:ascii="宋体" w:hAnsi="宋体" w:cs="宋体"/>
          <w:color w:val="auto"/>
          <w:sz w:val="44"/>
          <w:highlight w:val="none"/>
        </w:rPr>
      </w:r>
      <w:r/>
    </w:p>
    <w:p>
      <w:pPr>
        <w:jc w:val="both"/>
        <w:spacing w:line="8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第一章 投标邀请…………………………………………1</w:t>
      </w:r>
      <w:r/>
    </w:p>
    <w:p>
      <w:pPr>
        <w:jc w:val="both"/>
        <w:spacing w:line="8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第二章 投标人须知………………………………………3</w:t>
      </w:r>
      <w:r/>
    </w:p>
    <w:p>
      <w:pPr>
        <w:jc w:val="both"/>
        <w:spacing w:line="8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第三章 投标资料表………………………………………13</w:t>
      </w:r>
      <w:r/>
    </w:p>
    <w:p>
      <w:pPr>
        <w:jc w:val="both"/>
        <w:spacing w:line="8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第四章 评标标准…………………………………………21</w:t>
      </w:r>
      <w:r/>
    </w:p>
    <w:p>
      <w:pPr>
        <w:jc w:val="both"/>
        <w:spacing w:line="8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第五章 采购需求……………………………………………2</w:t>
      </w:r>
      <w:r>
        <w:rPr>
          <w:rFonts w:hint="eastAsia" w:ascii="宋体" w:hAnsi="宋体" w:cs="宋体"/>
          <w:color w:val="auto"/>
          <w:sz w:val="32"/>
          <w:szCs w:val="32"/>
          <w:highlight w:val="none"/>
          <w:lang w:val="en-US" w:eastAsia="zh-CN"/>
        </w:rPr>
        <w:t xml:space="preserve">3</w:t>
      </w:r>
      <w:r/>
    </w:p>
    <w:p>
      <w:pPr>
        <w:jc w:val="both"/>
        <w:spacing w:line="8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第六章 拟签订的合同文本…………………………………2</w:t>
      </w:r>
      <w:r>
        <w:rPr>
          <w:rFonts w:hint="eastAsia" w:ascii="宋体" w:hAnsi="宋体" w:cs="宋体"/>
          <w:color w:val="auto"/>
          <w:sz w:val="32"/>
          <w:szCs w:val="32"/>
          <w:highlight w:val="none"/>
          <w:lang w:val="en-US" w:eastAsia="zh-CN"/>
        </w:rPr>
        <w:t xml:space="preserve">6</w:t>
      </w:r>
      <w:r/>
    </w:p>
    <w:p>
      <w:pPr>
        <w:jc w:val="both"/>
        <w:spacing w:line="800" w:lineRule="exact"/>
        <w:rPr>
          <w:rFonts w:ascii="宋体" w:hAnsi="宋体" w:cs="宋体"/>
          <w:color w:val="auto"/>
          <w:sz w:val="30"/>
          <w:szCs w:val="3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szCs w:val="32"/>
          <w:highlight w:val="none"/>
        </w:rPr>
        <w:t xml:space="preserve">第七章 投标文件相关格式………………………………</w:t>
      </w:r>
      <w:r>
        <w:rPr>
          <w:rFonts w:hint="eastAsia" w:ascii="宋体" w:hAnsi="宋体" w:cs="宋体"/>
          <w:color w:val="auto"/>
          <w:sz w:val="32"/>
          <w:szCs w:val="32"/>
          <w:highlight w:val="none"/>
          <w:lang w:val="en-US" w:eastAsia="zh-CN"/>
        </w:rPr>
        <w:t xml:space="preserve">3</w:t>
      </w:r>
      <w:r>
        <w:rPr>
          <w:rFonts w:hint="eastAsia" w:ascii="宋体" w:hAnsi="宋体" w:cs="宋体"/>
          <w:color w:val="auto"/>
          <w:sz w:val="32"/>
          <w:szCs w:val="32"/>
          <w:highlight w:val="none"/>
        </w:rPr>
        <w:t xml:space="preserve">4</w:t>
      </w:r>
      <w:r/>
    </w:p>
    <w:p>
      <w:pPr>
        <w:jc w:val="center"/>
        <w:spacing w:line="312"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邳州市城市管理局</w:t>
      </w:r>
      <w:r/>
    </w:p>
    <w:p>
      <w:pPr>
        <w:pStyle w:val="1201"/>
        <w:ind w:left="0" w:right="0" w:firstLine="0"/>
        <w:jc w:val="center"/>
        <w:spacing w:line="312" w:lineRule="auto"/>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w:t>
      </w:r>
      <w:r>
        <w:rPr>
          <w:rFonts w:hint="eastAsia" w:ascii="宋体" w:hAnsi="宋体" w:eastAsia="宋体" w:cs="宋体"/>
          <w:b/>
          <w:bCs/>
          <w:color w:val="auto"/>
          <w:szCs w:val="28"/>
          <w:highlight w:val="none"/>
          <w:lang w:eastAsia="zh-CN"/>
        </w:rPr>
        <w:t xml:space="preserve">邳州市城市管理局农村生活垃圾运输服务</w:t>
      </w:r>
      <w:r>
        <w:rPr>
          <w:rFonts w:hint="eastAsia" w:ascii="宋体" w:hAnsi="宋体" w:eastAsia="宋体" w:cs="宋体"/>
          <w:b/>
          <w:bCs/>
          <w:color w:val="auto"/>
          <w:szCs w:val="28"/>
          <w:highlight w:val="none"/>
        </w:rPr>
        <w:t xml:space="preserve">》</w:t>
      </w:r>
      <w:r/>
    </w:p>
    <w:p>
      <w:pPr>
        <w:pStyle w:val="1201"/>
        <w:ind w:left="0" w:right="0" w:firstLine="0"/>
        <w:jc w:val="center"/>
        <w:spacing w:line="312" w:lineRule="auto"/>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招标文件</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第一章  投标邀请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江苏中瑞建设项目管理有限公司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邳州市城市管理局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邳州市城市管理局农村生活垃圾运输服务</w:t>
      </w:r>
      <w:r>
        <w:rPr>
          <w:rFonts w:hint="eastAsia" w:ascii="宋体" w:hAnsi="宋体" w:cs="宋体"/>
          <w:color w:val="auto"/>
          <w:sz w:val="24"/>
          <w:highlight w:val="none"/>
        </w:rPr>
        <w:t xml:space="preserve">进行公开招标采购，现欢迎符合相关条件的投标人投标。</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邳州市城市管理局农村生活垃圾运输服务</w:t>
      </w:r>
      <w:r/>
    </w:p>
    <w:p>
      <w:pPr>
        <w:ind w:firstLine="480"/>
        <w:jc w:val="left"/>
        <w:spacing w:line="312" w:lineRule="auto"/>
        <w:rPr>
          <w:rFonts w:hint="eastAsia" w:ascii="宋体" w:hAnsi="宋体" w:eastAsia="宋体" w:cs="宋体"/>
          <w:color w:val="auto"/>
          <w:sz w:val="24"/>
          <w:highlight w:val="none"/>
          <w:lang w:eastAsia="zh-CN"/>
        </w:rPr>
        <w:outlineLvl w:val="0"/>
      </w:pPr>
      <w:r>
        <w:rPr>
          <w:rFonts w:hint="eastAsia" w:ascii="宋体" w:hAnsi="宋体" w:cs="宋体"/>
          <w:color w:val="auto"/>
          <w:sz w:val="24"/>
          <w:highlight w:val="none"/>
        </w:rPr>
        <w:t xml:space="preserve">2、项目编号：</w:t>
      </w:r>
      <w:r>
        <w:rPr>
          <w:rFonts w:hint="eastAsia" w:ascii="宋体" w:hAnsi="宋体" w:cs="宋体"/>
          <w:color w:val="auto"/>
          <w:sz w:val="24"/>
          <w:highlight w:val="none"/>
          <w:lang w:eastAsia="zh-CN"/>
        </w:rPr>
        <w:t xml:space="preserve">JSZC-320382-JSZR-G2024-0052</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二、投标人的资格要求：</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见本项目公开招标公告。</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三、获取招标文件</w:t>
      </w:r>
      <w:r/>
    </w:p>
    <w:p>
      <w:pPr>
        <w:pStyle w:val="1019"/>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（1）潜在供应商访问电子招标投标交易平台的网络地址和方法：</w:t>
      </w:r>
      <w:r/>
    </w:p>
    <w:p>
      <w:pPr>
        <w:pStyle w:val="1019"/>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①登录http://jszfcg.jsczt.cn/，或进入徐州政府采购网--业务工作--用户登录，点击“苏采云”进入系统。</w:t>
      </w:r>
      <w:r/>
    </w:p>
    <w:p>
      <w:pPr>
        <w:pStyle w:val="1019"/>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的获取：</w:t>
      </w:r>
      <w:r>
        <w:rPr>
          <w:rFonts w:ascii="宋体" w:hAnsi="宋体" w:eastAsia="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19"/>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（2）采购代理机构将数据电文形式的招标文件加载至“苏采云”系统，供潜在供应商下载或者查阅。</w:t>
      </w:r>
      <w:r/>
    </w:p>
    <w:p>
      <w:pPr>
        <w:pStyle w:val="1019"/>
        <w:ind w:firstLine="480"/>
        <w:jc w:val="left"/>
        <w:spacing w:line="312" w:lineRule="auto"/>
        <w:rPr>
          <w:rFonts w:ascii="宋体" w:hAnsi="宋体"/>
          <w:bCs/>
          <w:color w:val="auto"/>
          <w:sz w:val="24"/>
          <w:szCs w:val="28"/>
          <w:highlight w:val="none"/>
        </w:rPr>
      </w:pPr>
      <w:r>
        <w:rPr>
          <w:rFonts w:hint="eastAsia" w:ascii="宋体" w:hAnsi="宋体"/>
          <w:bCs/>
          <w:color w:val="auto"/>
          <w:sz w:val="24"/>
          <w:szCs w:val="28"/>
          <w:highlight w:val="none"/>
        </w:rPr>
        <w:t xml:space="preserve">（3）售价：免费。</w:t>
      </w:r>
      <w:bookmarkStart w:id="4" w:name="_GoBack"/>
      <w:r/>
      <w:bookmarkEnd w:id="4"/>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left="719" w:hanging="240"/>
        <w:jc w:val="left"/>
        <w:spacing w:line="312" w:lineRule="auto"/>
        <w:rPr>
          <w:rFonts w:ascii="宋体" w:hAnsi="宋体" w:cs="宋体"/>
          <w:b/>
          <w:bCs/>
          <w:color w:val="auto"/>
          <w:sz w:val="24"/>
          <w:highlight w:val="none"/>
        </w:rPr>
      </w:pPr>
      <w:r>
        <w:rPr>
          <w:rFonts w:hint="eastAsia" w:ascii="宋体" w:hAnsi="宋体" w:cs="宋体"/>
          <w:color w:val="auto"/>
          <w:sz w:val="24"/>
          <w:highlight w:val="none"/>
        </w:rPr>
        <w:t xml:space="preserve">1.投标截止时间：202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9点30分</w:t>
      </w:r>
      <w:r>
        <w:rPr>
          <w:rFonts w:hint="eastAsia" w:ascii="宋体" w:hAnsi="宋体" w:cs="宋体"/>
          <w:color w:val="auto"/>
          <w:sz w:val="24"/>
          <w:highlight w:val="none"/>
        </w:rPr>
        <w:t xml:space="preserve">（北京时间）</w:t>
      </w:r>
      <w:r/>
    </w:p>
    <w:p>
      <w:pPr>
        <w:ind w:left="719" w:hanging="240"/>
        <w:jc w:val="left"/>
        <w:spacing w:line="312" w:lineRule="auto"/>
        <w:rPr>
          <w:rFonts w:ascii="宋体" w:hAnsi="宋体" w:cs="宋体"/>
          <w:b/>
          <w:bCs/>
          <w:color w:val="auto"/>
          <w:sz w:val="24"/>
          <w:highlight w:val="none"/>
        </w:rPr>
      </w:pPr>
      <w:r>
        <w:rPr>
          <w:rFonts w:hint="eastAsia" w:ascii="宋体" w:hAnsi="宋体" w:cs="宋体"/>
          <w:color w:val="auto"/>
          <w:sz w:val="24"/>
          <w:highlight w:val="none"/>
        </w:rPr>
        <w:t xml:space="preserve">2.开标时间：202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9点30分</w:t>
      </w:r>
      <w:r>
        <w:rPr>
          <w:rFonts w:hint="eastAsia" w:ascii="宋体" w:hAnsi="宋体" w:cs="宋体"/>
          <w:color w:val="auto"/>
          <w:sz w:val="24"/>
          <w:highlight w:val="none"/>
        </w:rPr>
        <w:t xml:space="preserve">（北京时间）</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3.线上开标地点：线上开标地点：“苏采云”系统（网址：http://jszfcg.jsczt.cn/）“开标大厅”或进入徐州政府采购网（网址： http://czj.xz.gov.cn/Home/HomeIndex）--业务工作--用户登录，点击“苏采云”进入系统“开标大厅”。</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五、公告发布媒介：</w:t>
      </w:r>
      <w:r>
        <w:rPr>
          <w:rFonts w:hint="eastAsia" w:ascii="宋体" w:hAnsi="宋体" w:cs="宋体"/>
          <w:bCs/>
          <w:color w:val="auto"/>
          <w:sz w:val="24"/>
          <w:highlight w:val="none"/>
        </w:rPr>
        <w:t xml:space="preserve">在中国政府采购网（http://www.ccgp.gov.cn/）、徐州政府采购网（hhttp://218.3.177.171:8088/Home/HomeIndex）上发布</w:t>
      </w:r>
      <w:r>
        <w:rPr>
          <w:rFonts w:hint="eastAsia" w:ascii="宋体" w:hAnsi="宋体" w:cs="宋体"/>
          <w:color w:val="auto"/>
          <w:sz w:val="24"/>
          <w:highlight w:val="none"/>
        </w:rPr>
        <w:t xml:space="preserve">，其他媒介转载无效。</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六、采购人</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1.采购人：</w:t>
      </w:r>
      <w:r>
        <w:rPr>
          <w:rFonts w:hint="eastAsia" w:ascii="宋体" w:hAnsi="宋体" w:cs="宋体"/>
          <w:color w:val="auto"/>
          <w:sz w:val="24"/>
          <w:highlight w:val="none"/>
          <w:lang w:eastAsia="zh-CN"/>
        </w:rPr>
        <w:t xml:space="preserve">邳州市城市管理局</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2.地址：邳州市花园路40号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3.项目联系人：李馥均</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4.联系方式：18752199501</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七、采购代理机构</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eastAsia="zh-CN"/>
        </w:rPr>
        <w:t xml:space="preserve">江苏中瑞建设项目管理有限公司</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徐州市云龙区郭庄路世茂广场SOHO3号楼17楼</w:t>
      </w:r>
      <w:r/>
    </w:p>
    <w:p>
      <w:pPr>
        <w:ind w:firstLine="480"/>
        <w:jc w:val="left"/>
        <w:spacing w:line="312"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3.采购项目联系人：</w:t>
      </w:r>
      <w:r>
        <w:rPr>
          <w:rFonts w:hint="eastAsia" w:ascii="宋体" w:hAnsi="宋体" w:cs="宋体"/>
          <w:color w:val="auto"/>
          <w:sz w:val="24"/>
          <w:highlight w:val="none"/>
          <w:lang w:val="en-US" w:eastAsia="zh-CN"/>
        </w:rPr>
        <w:t xml:space="preserve">赵长城</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4.联系方式：</w:t>
      </w:r>
      <w:r>
        <w:rPr>
          <w:rFonts w:hint="eastAsia" w:ascii="宋体" w:hAnsi="宋体" w:cs="宋体"/>
          <w:color w:val="auto"/>
          <w:sz w:val="24"/>
          <w:highlight w:val="none"/>
          <w:lang w:eastAsia="zh-CN"/>
        </w:rPr>
        <w:t xml:space="preserve">0516-83906677</w:t>
      </w:r>
      <w:r/>
    </w:p>
    <w:p>
      <w:pPr>
        <w:spacing w:line="288" w:lineRule="auto"/>
        <w:rPr>
          <w:rFonts w:ascii="宋体" w:hAnsi="宋体" w:cs="宋体"/>
          <w:color w:val="auto"/>
          <w:sz w:val="24"/>
          <w:highlight w:val="none"/>
        </w:rPr>
      </w:pPr>
      <w:r>
        <w:rPr>
          <w:rFonts w:ascii="宋体" w:hAnsi="宋体" w:cs="宋体"/>
          <w:color w:val="auto"/>
          <w:sz w:val="24"/>
          <w:highlight w:val="none"/>
        </w:rPr>
      </w:r>
      <w:r/>
    </w:p>
    <w:p>
      <w:pPr>
        <w:jc w:val="right"/>
        <w:spacing w:line="288"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28</w:t>
      </w:r>
      <w:r>
        <w:rPr>
          <w:rFonts w:hint="eastAsia" w:ascii="宋体" w:hAnsi="宋体" w:cs="宋体"/>
          <w:color w:val="auto"/>
          <w:sz w:val="24"/>
          <w:highlight w:val="none"/>
        </w:rPr>
        <w:t xml:space="preserve">日</w:t>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第二章  投标人须知</w:t>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目录</w:t>
      </w:r>
      <w:r/>
    </w:p>
    <w:p>
      <w:pPr>
        <w:ind w:left="4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一、总则</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二、招标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三、投标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四、开标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五、评标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六、定标</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七、政府采购合同</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八、询问和质疑</w:t>
      </w:r>
      <w:r/>
    </w:p>
    <w:p>
      <w:pPr>
        <w:ind w:left="189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九、电子招标投标交易平台</w:t>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24"/>
          <w:highlight w:val="none"/>
        </w:rPr>
        <w:t xml:space="preserve">一、总则</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（一）采购人。采购人是指依法进行政府采购的国家机关、事业单位、团体组织。</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（二）政府采购方式。政府采购货物或者服务（以下简称“货物服务”）招标分为公开招标和邀请招标。</w:t>
      </w:r>
      <w:r/>
    </w:p>
    <w:p>
      <w:pPr>
        <w:ind w:firstLine="42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（五）采购人委托采购代理机构代理招标的，采购代理机构应当在采购人委托的范围内依法开展采购活动。本项目采购代理机构是指</w:t>
      </w:r>
      <w:r>
        <w:rPr>
          <w:rFonts w:hint="eastAsia" w:ascii="宋体" w:hAnsi="宋体" w:cs="宋体"/>
          <w:color w:val="auto"/>
          <w:sz w:val="24"/>
          <w:highlight w:val="none"/>
          <w:lang w:eastAsia="zh-CN"/>
        </w:rPr>
        <w:t xml:space="preserve">江苏中瑞建设项目管理有限公司</w:t>
      </w:r>
      <w:r>
        <w:rPr>
          <w:rFonts w:hint="eastAsia" w:ascii="宋体" w:hAnsi="宋体" w:cs="宋体"/>
          <w:color w:val="auto"/>
          <w:sz w:val="24"/>
          <w:highlight w:val="none"/>
        </w:rPr>
        <w:t xml:space="preserve">。</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二、招标</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（八）招标文件的内容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1.招标文件包括以下内容：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第三章 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第四章 评标标准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第五章 拟签订的合同文本</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第六章 采购需求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第七章 投标文件相关格式</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3.样品 本项目对样品的要求：见招标文件第三章《投标资料表》。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2.现场考察以招标文件第三章《投标资料表》中的要求为准。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3.开标前答疑会以招标文件第三章《投标资料表》中的要求为准。</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三、投标</w:t>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    （十）投标人应当按照招标文件的要求编制投标文件。投标文件应对招标文件提出的要求和条件作出实质性响应。</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1.投标文件的构成以招标文件第三章《投标资料表》中的要求为准。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1.投标函和价格表：要求见本章12、13，格式见招标文件第七章《投标文件相关格式》中《投标函》和《开标一览表》。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2.商务条件：以招标文件第三章《投标资料表》中的要求为准。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3.交货和提供服务的时间：以招标文件第三章《投标资料表》中的要求为准。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（十五）投标货币。以招标文件第三章《投标资料表》中的要求为准。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1.投标有效期为开标之日后90天。采购人可以要求对投标有效期延长一次，但该延长期最长不超过30天。</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（十七）本项目为电子投标，电子投标文件编制要求和签署要求：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（1）电子招标投标交易平台（即“苏采云”系统）相关要求是本招标文件的组成部分。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（3）投标人应对 CA 证书妥善保管，如被他人盗用投标，因此带来的结果均由投标人自行承担。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（4）投标人应当对招标文件提出的要求和条件作出实质性响应，并在电子投标系统逐条应答。</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（6）投标文件的份数：详见招标文件第三章《投标资料表》。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（7）投标文件的退还：详见招标文件第三章《投标资料表》。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hAnsi="宋体" w:cs="宋体"/>
          <w:color w:val="auto"/>
          <w:sz w:val="24"/>
          <w:highlight w:val="none"/>
        </w:rPr>
        <w:t xml:space="preserve">投标文件中承诺的投标有效期应当不少于招标文件中载明的投标有效期</w:t>
      </w:r>
      <w:r>
        <w:rPr>
          <w:rFonts w:hint="eastAsia" w:ascii="宋体" w:hAnsi="宋体" w:cs="宋体"/>
          <w:color w:val="auto"/>
          <w:sz w:val="24"/>
          <w:highlight w:val="none"/>
        </w:rPr>
        <w:t xml:space="preserve">。</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（十八）线上投标文件的密封、签署、盖章要求：以本文件第三章《投标资料表》中所提要求为准。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（十九）投标文件递交要求：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（二十）提交投标文件的截止时间（投标截止时间）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在招标文件要求提交投标文件的截止时间之后送达的投标文件，为无效投标文件，采购代理机构应当拒收。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（二十一）提交投标文件的截止时间和收到投标文件后注意事项：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投标人在投标截止时间前，可以对所递交的投标文件进行补充、修改或者撤回。</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2"/>
        <w:jc w:val="left"/>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（二十四）有下列情形之一的，其投标无效：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1.不同投标人委托同一单位或者个人办理投标事宜的；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2.不同投标人的投标文件中，所载明的项目管理成员或联系人为同一人；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3.不同投标人的投标文件，异常一致或者投标报价呈规律性差异；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5.不同投标人的单位负责人为同一人或者存在直接控股、管理关系的；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7.投标文件未按招标文件规定的内容和要求填写的；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8.投标文件未按招标文件要求签署、盖章的；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9.不具备招标文件中规定的资格要求或未按招标文件规定的要求提供资格、资信证明文件的；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10.项目（标段）投标总价超过本项目（标段）预算或最高限价的；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11.投标文件含有采购人不能接受的附加条件的；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12.投标人的法定代表人授权代表，无法定代表人授权委托书的；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13.被列入“信用中国”网站（www.creditchina.gov.cn）失信被执行人、重大税收违法案件 当事人名单、政府采购严重违法失信行为记录名单的；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14.投标文件中有招标文件未允许提供的选择性内容；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15.提供虚假材料的（包括工商营业执照、财务报表、资格证明文件等）；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17.除单一来源采购项目外，为采购项目提供整体设计、规范编制或者项目管理、监理、检测等服务的；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18.投标文件内容不全或不符合招标文件中规定的其它实质性要求的；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19.投标人未在规定时间内解密电子投标文件的；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20.投标文件未按招标文件规定的内容和要求填写的；没有在投标系统指定位置上传对应文件、材料的；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21.法律法规和招标文件规定的其它无效情形。 </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四、开标</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line="312" w:lineRule="auto"/>
        <w:rPr>
          <w:rFonts w:ascii="宋体" w:hAnsi="宋体" w:cs="宋体"/>
          <w:b/>
          <w:color w:val="auto"/>
          <w:sz w:val="24"/>
          <w:highlight w:val="none"/>
        </w:rPr>
      </w:pPr>
      <w:r>
        <w:rPr>
          <w:rFonts w:hint="eastAsia" w:ascii="宋体" w:hAnsi="宋体" w:cs="宋体"/>
          <w:bCs/>
          <w:iCs/>
          <w:color w:val="auto"/>
          <w:sz w:val="24"/>
          <w:highlight w:val="none"/>
        </w:rPr>
        <w:t xml:space="preserve">1.开标由</w:t>
      </w:r>
      <w:r>
        <w:rPr>
          <w:rFonts w:hint="eastAsia" w:ascii="宋体" w:hAnsi="宋体" w:cs="宋体"/>
          <w:color w:val="auto"/>
          <w:sz w:val="24"/>
          <w:highlight w:val="none"/>
        </w:rPr>
        <w:t xml:space="preserve">采购人或</w:t>
      </w:r>
      <w:r>
        <w:rPr>
          <w:rFonts w:hint="eastAsia" w:ascii="宋体" w:hAnsi="宋体" w:cs="宋体"/>
          <w:bCs/>
          <w:iCs/>
          <w:color w:val="auto"/>
          <w:sz w:val="24"/>
          <w:highlight w:val="none"/>
        </w:rPr>
        <w:t xml:space="preserve">采购代理机构主持，邀请投标人参加。</w:t>
      </w:r>
      <w:r>
        <w:rPr>
          <w:rFonts w:hint="eastAsia" w:ascii="宋体" w:hAnsi="宋体" w:cs="宋体"/>
          <w:color w:val="auto"/>
          <w:sz w:val="24"/>
          <w:highlight w:val="none"/>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4.所有投标单位使用 CA 证书在开标时间时，解密各自投标文件，由工作人员操作系统进行开标，投标人不足3家的，不得评标。</w:t>
      </w:r>
      <w:r/>
    </w:p>
    <w:p>
      <w:pPr>
        <w:pStyle w:val="1201"/>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5.投标人原因造成投标文件未解密的，视为撤销其投标文件；因投标人之外的原因造成投标文件未解密的，视为撤回其投标文件。部分投标文件未解密的，其他投标文件的开标可以继续进行。</w:t>
      </w:r>
      <w:r/>
    </w:p>
    <w:p>
      <w:pPr>
        <w:pStyle w:val="1201"/>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6.开标时，投标文件中开标一览表内容与投标文件中明细表内容不一致的，以开标一览表为准。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7.开标过程由采购代理机构负责记录，由参加开标的相关工作人员签字确认后随采购文件一并存档。</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8.投标人代表对开标过程和开标记录有疑义，以及认为采购人、采购代理机构相关工作人员有需要回避的情形的，应当场提出询问或者回避申请。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9.投标人未参加开标的，视同认可开标结果。</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五、评标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36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（二十七）评标方法、评标标准。评标方法分为最低评标价法和综合评分法。</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（4）推荐中标候选投标人名单。</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中标结果公告发布媒介：</w:t>
      </w:r>
      <w:r>
        <w:rPr>
          <w:rFonts w:hint="eastAsia" w:ascii="宋体" w:hAnsi="宋体" w:cs="宋体"/>
          <w:bCs/>
          <w:color w:val="auto"/>
          <w:sz w:val="24"/>
          <w:highlight w:val="none"/>
        </w:rPr>
        <w:t xml:space="preserve">徐州政府采购网（hhttp://218.3.177.171:8088/Home/HomeIndex）上发布</w:t>
      </w:r>
      <w:r>
        <w:rPr>
          <w:rFonts w:hint="eastAsia" w:ascii="宋体" w:hAnsi="宋体" w:cs="宋体"/>
          <w:color w:val="auto"/>
          <w:sz w:val="24"/>
          <w:highlight w:val="none"/>
        </w:rPr>
        <w:t xml:space="preserve">，其他媒介转载无效。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七、政府采购合同</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1.中标人应当在评审结果公示日起三日内，向采购人提交本文件第三章《投标资料表》中规定金额的履约保证金。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2.投标人应注意《合同通用条款》关于腐败和欺诈行为的相关规定。</w:t>
      </w:r>
      <w:r/>
    </w:p>
    <w:p>
      <w:pPr>
        <w:ind w:firstLine="480"/>
        <w:jc w:val="left"/>
        <w:spacing w:line="308" w:lineRule="auto"/>
        <w:rPr>
          <w:rFonts w:ascii="宋体" w:hAnsi="宋体" w:cs="宋体"/>
          <w:color w:val="auto"/>
          <w:sz w:val="24"/>
          <w:highlight w:val="none"/>
        </w:rPr>
      </w:pPr>
      <w:r>
        <w:rPr>
          <w:rFonts w:ascii="宋体" w:hAnsi="宋体" w:cs="宋体"/>
          <w:color w:val="auto"/>
          <w:sz w:val="24"/>
          <w:highlight w:val="none"/>
        </w:rPr>
      </w:r>
      <w:r/>
    </w:p>
    <w:p>
      <w:pPr>
        <w:ind w:firstLine="482"/>
        <w:jc w:val="center"/>
        <w:spacing w:line="308" w:lineRule="auto"/>
        <w:rPr>
          <w:rFonts w:ascii="宋体" w:hAnsi="宋体" w:cs="宋体"/>
          <w:b/>
          <w:color w:val="auto"/>
          <w:sz w:val="24"/>
          <w:highlight w:val="none"/>
        </w:rPr>
      </w:pPr>
      <w:r>
        <w:rPr>
          <w:rFonts w:hint="eastAsia" w:ascii="宋体" w:hAnsi="宋体" w:cs="宋体"/>
          <w:b/>
          <w:color w:val="auto"/>
          <w:sz w:val="24"/>
          <w:highlight w:val="none"/>
        </w:rPr>
        <w:t xml:space="preserve">八、询问和质疑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jc w:val="left"/>
        <w:spacing w:line="308" w:lineRule="auto"/>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九、电子招标投标交易平台</w:t>
      </w:r>
      <w:r/>
    </w:p>
    <w:p>
      <w:pPr>
        <w:ind w:firstLine="480"/>
        <w:spacing w:line="312"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Times New Roman" w:hAnsi="Times New Roman" w:cs="宋体"/>
          <w:color w:val="auto"/>
          <w:sz w:val="24"/>
          <w:highlight w:val="none"/>
        </w:rPr>
        <w:t xml:space="preserve">）相关要求是本招标文件的组成部分。</w:t>
      </w:r>
      <w:r/>
    </w:p>
    <w:p>
      <w:pPr>
        <w:ind w:firstLine="480"/>
        <w:spacing w:line="312" w:lineRule="auto"/>
        <w:rPr>
          <w:rFonts w:ascii="Times New Roman" w:hAnsi="Times New Roman" w:cs="宋体"/>
          <w:color w:val="auto"/>
          <w:sz w:val="24"/>
          <w:highlight w:val="none"/>
        </w:rPr>
      </w:pPr>
      <w:r>
        <w:rPr>
          <w:rFonts w:ascii="Times New Roman" w:hAnsi="Times New Roman"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288"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第三章  投标资料表</w:t>
      </w:r>
      <w:r/>
    </w:p>
    <w:p>
      <w:pPr>
        <w:pStyle w:val="1208"/>
        <w:ind w:firstLine="48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p>
      <w:pPr>
        <w:spacing w:line="288" w:lineRule="auto"/>
        <w:rPr>
          <w:rFonts w:ascii="宋体" w:hAnsi="宋体" w:cs="宋体"/>
          <w:color w:val="auto"/>
          <w:highlight w:val="none"/>
        </w:rPr>
      </w:pPr>
      <w:r>
        <w:rPr>
          <w:rFonts w:ascii="宋体" w:hAnsi="宋体" w:cs="宋体"/>
          <w:color w:val="auto"/>
          <w:highlight w:val="none"/>
        </w:rPr>
      </w:r>
      <w:r/>
    </w:p>
    <w:tbl>
      <w:tblPr>
        <w:tblStyle w:val="1006"/>
        <w:tblW w:w="999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4"/>
                <w:highlight w:val="none"/>
              </w:rPr>
            </w:pPr>
            <w:r>
              <w:rPr>
                <w:rFonts w:hint="eastAsia" w:ascii="宋体" w:hAnsi="宋体" w:cs="宋体"/>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一、总则</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邳州市城市管理局</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p>
            <w:pPr>
              <w:rPr>
                <w:rFonts w:hint="eastAsia" w:eastAsia="宋体"/>
                <w:color w:val="auto"/>
                <w:highlight w:val="none"/>
                <w:lang w:eastAsia="zh-CN"/>
              </w:rPr>
            </w:pPr>
            <w:r>
              <w:rPr>
                <w:rFonts w:hint="eastAsia" w:ascii="宋体" w:hAnsi="宋体" w:cs="宋体"/>
                <w:color w:val="auto"/>
                <w:sz w:val="24"/>
                <w:highlight w:val="none"/>
              </w:rPr>
              <w:t xml:space="preserve">本项目是否为专门面向中小微企业采购的项目：</w:t>
            </w:r>
            <w:r>
              <w:rPr>
                <w:rFonts w:hint="eastAsia" w:ascii="宋体" w:hAnsi="宋体" w:cs="宋体"/>
                <w:color w:val="auto"/>
                <w:sz w:val="24"/>
                <w:highlight w:val="none"/>
                <w:lang w:val="en-US" w:eastAsia="zh-CN"/>
              </w:rPr>
              <w:t xml:space="preserve">否</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江苏中瑞建设项目管理有限公司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2、单位负责人为同一人或者存在实际控制、直接控股、管理关系的不同供应商，不得参加同一合同项下的政府采购活动。</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4、查询及使用供应商信用记录：</w:t>
            </w:r>
            <w:r/>
          </w:p>
          <w:p>
            <w:pPr>
              <w:ind w:firstLine="480"/>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⑴</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由采购人查询信用信息。</w:t>
            </w:r>
            <w:r/>
          </w:p>
          <w:p>
            <w:pPr>
              <w:ind w:firstLine="480"/>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⑵</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查询渠道包括：</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①“信用中国”网（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②中国政府采购网（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③“信用江苏”网（www.jscredit.gov.cn）；</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④“诚信徐州”网（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3 \* GB2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⑶</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截止时点（查询环节）：评标结束前。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⑷信用信息查询记录和证据留存的具体方式：</w:t>
            </w:r>
            <w:r/>
          </w:p>
          <w:p>
            <w:pPr>
              <w:ind w:firstLine="720"/>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⑸信用信息的使用规则：</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rPr>
                <w:rFonts w:ascii="宋体" w:hAnsi="宋体" w:cs="宋体"/>
                <w:color w:val="auto"/>
                <w:sz w:val="24"/>
                <w:highlight w:val="none"/>
              </w:rPr>
            </w:pPr>
            <w:r>
              <w:rPr>
                <w:rFonts w:hint="eastAsia" w:ascii="宋体" w:hAnsi="宋体" w:cs="宋体"/>
                <w:bCs/>
                <w:color w:val="auto"/>
                <w:sz w:val="24"/>
                <w:highlight w:val="none"/>
              </w:rPr>
              <w:t xml:space="preserve">供应商信用评价结果参考期限从项目开标之日前三年起算，具体按照《江苏省政府采购信用管理暂行办法》（苏财规[2018]18号）执行。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招标代理服务费由中标人支付，标准不高于《招标代理服务收费标准》（见附件）。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二、招标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（九）1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rPr>
                <w:rFonts w:ascii="宋体" w:hAnsi="宋体" w:cs="宋体"/>
                <w:color w:val="auto"/>
                <w:sz w:val="24"/>
                <w:highlight w:val="none"/>
              </w:rPr>
            </w:pPr>
            <w:r>
              <w:rPr>
                <w:rFonts w:hint="eastAsia" w:ascii="宋体" w:hAnsi="宋体" w:cs="宋体"/>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olor w:val="auto"/>
                <w:sz w:val="24"/>
                <w:highlight w:val="none"/>
              </w:rPr>
            </w:pPr>
            <w:r>
              <w:rPr>
                <w:rFonts w:hint="eastAsia" w:ascii="宋体" w:hAnsi="宋体" w:cs="宋体"/>
                <w:color w:val="auto"/>
                <w:sz w:val="24"/>
                <w:highlight w:val="none"/>
              </w:rPr>
              <w:t xml:space="preserve">不安排现场考察。</w:t>
            </w:r>
            <w:r/>
          </w:p>
        </w:tc>
      </w:tr>
      <w:tr>
        <w:trPr>
          <w:jc w:val="center"/>
          <w:trHeight w:val="543"/>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三、投标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019"/>
              <w:jc w:val="left"/>
              <w:spacing w:line="264"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投标人须用政府采购客户端工具导入“苏采云”系统下载的招标文件后，离线编制投标文件。招标文件、供应商操作手册及政府采购客户端工具可通过“苏采云”系统（网址：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w:t>
            </w:r>
            <w:bookmarkStart w:id="0" w:name="_Hlt91509264"/>
            <w:r/>
            <w:bookmarkStart w:id="1" w:name="_Hlt91509263"/>
            <w:r>
              <w:rPr>
                <w:rFonts w:hint="eastAsia" w:ascii="宋体" w:hAnsi="宋体" w:cs="宋体"/>
                <w:color w:val="auto"/>
                <w:sz w:val="24"/>
                <w:highlight w:val="none"/>
              </w:rPr>
              <w:t xml:space="preserve">z</w:t>
            </w:r>
            <w:bookmarkEnd w:id="0"/>
            <w:r/>
            <w:bookmarkEnd w:id="1"/>
            <w:r>
              <w:rPr>
                <w:rFonts w:hint="eastAsia" w:ascii="宋体" w:hAnsi="宋体" w:cs="宋体"/>
                <w:color w:val="auto"/>
                <w:sz w:val="24"/>
                <w:highlight w:val="none"/>
              </w:rPr>
              <w:t xml:space="preserve">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特别说明：政府采购客户端工具需要导出加密的投标文件（后缀名为zip）。投标文件不得超过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50M！（以系统为准）</w:t>
            </w:r>
            <w:r/>
          </w:p>
        </w:tc>
      </w:tr>
      <w:tr>
        <w:trPr>
          <w:jc w:val="center"/>
          <w:trHeight w:val="879"/>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线上投标文件编制要求：</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请按照以下要求（包括但不限于以下要求）制作：</w:t>
            </w:r>
            <w:r/>
          </w:p>
          <w:p>
            <w:pPr>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一、基本目录</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1、目录</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2、《开标一览表》（加盖电子签章，政府采购客户端工具输入报价自动生成）。</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、投标人认为需要提供的其他资料（如有）</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必须提供，否则投标无效）</w:t>
            </w:r>
            <w:r/>
          </w:p>
          <w:p>
            <w:pPr>
              <w:spacing w:line="264" w:lineRule="auto"/>
              <w:rPr>
                <w:rFonts w:hint="eastAsia" w:ascii="宋体" w:hAnsi="宋体" w:eastAsia="宋体" w:cs="宋体"/>
                <w:sz w:val="24"/>
                <w:highlight w:val="none"/>
              </w:rPr>
            </w:pPr>
            <w:r>
              <w:rPr>
                <w:rFonts w:hint="eastAsia" w:ascii="宋体" w:hAnsi="宋体" w:eastAsia="宋体" w:cs="宋体"/>
                <w:sz w:val="24"/>
                <w:highlight w:val="none"/>
              </w:rPr>
              <w:t xml:space="preserve">1、具有独立承担民事责任的能力：即提供投标人合法有效的法人的营业执照(或事业单位法人证书)或其他组织应提供合法证明文件的原件扫描件(加盖电子签章)。</w:t>
            </w:r>
            <w:r/>
          </w:p>
          <w:p>
            <w:pPr>
              <w:spacing w:line="26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具有良好的商业信誉和健全的财务会计制度：</w:t>
            </w:r>
            <w:r/>
          </w:p>
          <w:p>
            <w:pPr>
              <w:spacing w:line="264"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即提供</w:t>
            </w:r>
            <w:r>
              <w:rPr>
                <w:rFonts w:hint="eastAsia" w:ascii="宋体" w:hAnsi="宋体" w:eastAsia="宋体" w:cs="宋体"/>
                <w:sz w:val="24"/>
                <w:highlight w:val="none"/>
              </w:rPr>
              <w:t xml:space="preserve">供应商的“首次响应文件提交的截止时间”前6个月内任何1月（不含“首次响应文件提交的截止时间”当月）的资产负债表</w:t>
            </w:r>
            <w:r>
              <w:rPr>
                <w:rFonts w:hint="eastAsia" w:ascii="宋体" w:hAnsi="宋体" w:eastAsia="宋体" w:cs="宋体"/>
                <w:sz w:val="24"/>
                <w:highlight w:val="none"/>
                <w:lang w:val="en-US" w:eastAsia="zh-CN"/>
              </w:rPr>
              <w:t xml:space="preserve">和利润表</w:t>
            </w:r>
            <w:r>
              <w:rPr>
                <w:rFonts w:hint="eastAsia" w:ascii="宋体" w:hAnsi="宋体" w:eastAsia="宋体" w:cs="宋体"/>
                <w:sz w:val="24"/>
                <w:highlight w:val="none"/>
              </w:rPr>
              <w:t xml:space="preserve">的扫描件</w:t>
            </w:r>
            <w:r>
              <w:rPr>
                <w:rFonts w:hint="eastAsia" w:ascii="宋体" w:hAnsi="宋体" w:eastAsia="宋体" w:cs="宋体"/>
                <w:sz w:val="24"/>
                <w:highlight w:val="none"/>
                <w:lang w:val="en-US" w:eastAsia="zh-CN"/>
              </w:rPr>
              <w:t xml:space="preserve">各</w:t>
            </w:r>
            <w:r>
              <w:rPr>
                <w:rFonts w:hint="eastAsia" w:ascii="宋体" w:hAnsi="宋体" w:eastAsia="宋体" w:cs="宋体"/>
                <w:sz w:val="24"/>
                <w:highlight w:val="none"/>
              </w:rPr>
              <w:t xml:space="preserve">1份；或提供2022年度或2023年度财务报告。</w:t>
            </w:r>
            <w:r/>
          </w:p>
          <w:p>
            <w:pPr>
              <w:spacing w:line="264" w:lineRule="auto"/>
              <w:rPr>
                <w:rFonts w:ascii="宋体" w:hAnsi="宋体" w:cs="宋体"/>
                <w:color w:val="auto"/>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有依法缴纳税收和社会保障资金的良好记录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即提供</w:t>
            </w:r>
            <w:r>
              <w:rPr>
                <w:rFonts w:hint="eastAsia" w:ascii="宋体" w:hAnsi="宋体" w:eastAsia="宋体" w:cs="宋体"/>
                <w:sz w:val="24"/>
                <w:highlight w:val="none"/>
              </w:rPr>
              <w:t xml:space="preserve">供应商的“首次响应文件提交的截止时间”前6个月内任何1月的依法缴纳税收和社会保障资金的相关材料的扫描件（依法免税或</w:t>
            </w:r>
            <w:r>
              <w:rPr>
                <w:rFonts w:hint="eastAsia" w:ascii="宋体" w:hAnsi="宋体" w:cs="宋体"/>
                <w:sz w:val="24"/>
                <w:highlight w:val="none"/>
              </w:rPr>
              <w:t xml:space="preserve">不需要缴纳社会保障资金的供应商,应提供相应文件证明其依法免税或不需要缴纳社会保障资金)。</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具备履行合同所必需的设备和专业技术能力的证明材料</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提供具备履行合同所必需的设备和专业技术能力的书面声明（格式见招标文件第七章《投标文件相关格式》）。</w:t>
            </w:r>
            <w:r/>
          </w:p>
          <w:p>
            <w:pPr>
              <w:spacing w:line="264" w:lineRule="auto"/>
              <w:rPr>
                <w:rFonts w:ascii="宋体" w:hAnsi="宋体" w:cs="宋体"/>
                <w:b/>
                <w:bCs/>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sz w:val="24"/>
                <w:highlight w:val="none"/>
              </w:rPr>
              <w:t xml:space="preserve">参加政府采购活动前三年内，在经营活动中没有重大违法记录</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即提供</w:t>
            </w:r>
            <w:r>
              <w:rPr>
                <w:rFonts w:hint="eastAsia" w:ascii="宋体" w:hAnsi="宋体" w:cs="宋体"/>
                <w:sz w:val="24"/>
                <w:highlight w:val="none"/>
              </w:rPr>
              <w:t xml:space="preserve">投标人参加政府采购活动前3年内在经营活动中没有重大违法记录的书面声明（加盖电子签章，格式见招标文件第七章《投标文件相关格式》）。</w:t>
            </w:r>
            <w:r/>
          </w:p>
          <w:p>
            <w:pPr>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三、符合条件（必须提供，否则投标无效）</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（一）报价</w:t>
            </w:r>
            <w:r/>
          </w:p>
          <w:p>
            <w:pPr>
              <w:spacing w:line="264" w:lineRule="auto"/>
              <w:rPr>
                <w:rFonts w:hint="eastAsia" w:ascii="宋体" w:hAnsi="宋体" w:eastAsia="宋体" w:cs="宋体"/>
                <w:color w:val="auto"/>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lang w:val="en-US" w:eastAsia="zh-CN" w:bidi="ar-SA"/>
              </w:rPr>
              <w:t xml:space="preserve">1、</w:t>
            </w:r>
            <w:r>
              <w:rPr>
                <w:rFonts w:hint="eastAsia" w:ascii="宋体" w:hAnsi="宋体" w:eastAsia="宋体" w:cs="宋体"/>
                <w:color w:val="auto"/>
                <w:sz w:val="24"/>
                <w:szCs w:val="21"/>
                <w:highlight w:val="none"/>
                <w:lang w:val="en-US" w:eastAsia="zh-CN" w:bidi="ar-SA"/>
              </w:rPr>
              <w:t xml:space="preserve">《分项价格表》。</w:t>
            </w:r>
            <w:r>
              <w:rPr>
                <w:rFonts w:hint="eastAsia" w:ascii="宋体" w:hAnsi="宋体" w:cs="宋体"/>
                <w:color w:val="auto"/>
                <w:sz w:val="24"/>
                <w:highlight w:val="none"/>
              </w:rPr>
              <w:t xml:space="preserve">（加盖电子签章，格式见招标文件第七章《投标文件相关格式》。）</w:t>
            </w:r>
            <w:r>
              <w:rPr>
                <w:rFonts w:hint="eastAsia" w:ascii="宋体" w:hAnsi="宋体" w:eastAsia="宋体" w:cs="宋体"/>
                <w:color w:val="auto"/>
                <w:sz w:val="24"/>
                <w:szCs w:val="21"/>
                <w:highlight w:val="none"/>
                <w:lang w:val="en-US" w:eastAsia="zh-CN" w:bidi="ar-SA"/>
              </w:rPr>
              <w:t xml:space="preserve">。</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（二）商务资信</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1、《投标函》（加盖电子签章，格式见招标文件第七章《投标文件相关格式》。）</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2、《授权委托书》（加盖电子签章，格式见招标文件第七章《投标文件相关格式》）</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（三）技术响应</w:t>
            </w:r>
            <w:r/>
          </w:p>
          <w:p>
            <w:pPr>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1、《偏离表》（加盖电子签章，格式见招标文件第七章《投标文件相关格式》。）</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四、综合评审评分项</w:t>
            </w:r>
            <w:r/>
          </w:p>
          <w:p>
            <w:pPr>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（一）技术部分</w:t>
            </w:r>
            <w:r/>
          </w:p>
          <w:p>
            <w:pPr>
              <w:jc w:val="both"/>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实施方案</w:t>
            </w:r>
            <w:r>
              <w:rPr>
                <w:rFonts w:hint="eastAsia" w:ascii="宋体" w:hAnsi="宋体" w:eastAsia="宋体" w:cs="宋体"/>
                <w:color w:val="auto"/>
                <w:sz w:val="24"/>
                <w:highlight w:val="none"/>
              </w:rPr>
              <w:t xml:space="preserve">（要求见招标文件第四章《评标标准》、第五章《采购需求》）</w:t>
            </w:r>
            <w:r>
              <w:rPr>
                <w:rFonts w:hint="eastAsia" w:ascii="宋体" w:hAnsi="宋体" w:eastAsia="宋体" w:cs="宋体"/>
                <w:color w:val="auto"/>
                <w:sz w:val="24"/>
                <w:highlight w:val="none"/>
                <w:lang w:eastAsia="zh-CN"/>
              </w:rPr>
              <w:t xml:space="preserve">。</w:t>
            </w:r>
            <w:r/>
          </w:p>
          <w:p>
            <w:pPr>
              <w:pStyle w:val="1221"/>
              <w:ind w:left="0" w:right="0" w:firstLine="0"/>
              <w:spacing w:line="264"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（二）商务部分</w:t>
            </w:r>
            <w:r/>
          </w:p>
          <w:p>
            <w:pPr>
              <w:spacing w:line="264" w:lineRule="auto"/>
              <w:rPr>
                <w:rFonts w:hint="eastAsia" w:ascii="宋体" w:hAnsi="宋体" w:eastAsia="宋体" w:cs="宋体"/>
                <w:bCs/>
                <w:color w:val="auto"/>
                <w:sz w:val="24"/>
                <w:highlight w:val="none"/>
              </w:rPr>
            </w:pPr>
            <w:r>
              <w:rPr>
                <w:rFonts w:hint="eastAsia" w:ascii="宋体" w:hAnsi="宋体" w:cs="宋体"/>
                <w:color w:val="auto"/>
                <w:sz w:val="24"/>
                <w:highlight w:val="none"/>
              </w:rPr>
              <w:t xml:space="preserve">1、综合实力</w:t>
            </w:r>
            <w:r>
              <w:rPr>
                <w:rFonts w:hint="eastAsia" w:ascii="宋体" w:hAnsi="宋体" w:eastAsia="宋体" w:cs="宋体"/>
                <w:bCs/>
                <w:color w:val="auto"/>
                <w:sz w:val="24"/>
                <w:highlight w:val="none"/>
              </w:rPr>
              <w:t xml:space="preserve">（要求见招标文件第四章《评标标准》）；</w:t>
            </w:r>
            <w:r/>
          </w:p>
          <w:p>
            <w:pPr>
              <w:spacing w:line="264"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w:t>
            </w:r>
            <w:r>
              <w:rPr>
                <w:rFonts w:hint="eastAsia" w:ascii="宋体" w:hAnsi="宋体" w:cs="宋体"/>
                <w:color w:val="auto"/>
                <w:sz w:val="24"/>
                <w:highlight w:val="none"/>
              </w:rPr>
              <w:t xml:space="preserve">人员、设备配置</w:t>
            </w:r>
            <w:r>
              <w:rPr>
                <w:rFonts w:hint="eastAsia" w:ascii="宋体" w:hAnsi="宋体" w:eastAsia="宋体" w:cs="宋体"/>
                <w:bCs/>
                <w:color w:val="auto"/>
                <w:sz w:val="24"/>
                <w:highlight w:val="none"/>
              </w:rPr>
              <w:t xml:space="preserve">（要求见招标文件第四章《评标标准》）</w:t>
            </w:r>
            <w:r>
              <w:rPr>
                <w:rFonts w:hint="eastAsia" w:ascii="宋体" w:hAnsi="宋体" w:eastAsia="宋体" w:cs="宋体"/>
                <w:bCs/>
                <w:color w:val="auto"/>
                <w:sz w:val="24"/>
                <w:highlight w:val="none"/>
                <w:lang w:eastAsia="zh-CN"/>
              </w:rPr>
              <w:t xml:space="preserve">。</w:t>
            </w:r>
            <w:r/>
          </w:p>
          <w:p>
            <w:pPr>
              <w:spacing w:line="264" w:lineRule="auto"/>
              <w:rPr>
                <w:rFonts w:ascii="宋体" w:hAnsi="宋体" w:cs="宋体"/>
                <w:b/>
                <w:color w:val="auto"/>
                <w:sz w:val="24"/>
                <w:highlight w:val="none"/>
              </w:rPr>
            </w:pPr>
            <w:r>
              <w:rPr>
                <w:rFonts w:hint="eastAsia" w:ascii="宋体" w:hAnsi="宋体" w:cs="宋体"/>
                <w:b/>
                <w:color w:val="auto"/>
                <w:sz w:val="24"/>
                <w:highlight w:val="none"/>
              </w:rPr>
              <w:t xml:space="preserve">五、报价折扣证明</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为中小企业（含中型、小型、微型企业，下同），提供《中小企业声明函》（加盖电子签章，格式见招标文件第七章《投标文件相关格式》）（必须提供，请填写完整）。”《中小企业声明函》查询渠道参考工业和信息化部发布的中小企业规模自测小程序。</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注：中小企业（含中型、小型、微型企业，下同），应当同时符合以下条件：</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　 ① 符合中小企业划分标准；</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   ② 投标人提供的服务全部由符合政策要求的中小企业承接的，提供《中小企业声明函》（加盖电子签章，格式见招标文件第七章《投标文件相关格式》）。</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（一）安置的残疾人占本单位在职职工人数的比例不低于25%（含25%），并且安置的残疾人人数不少于10人（含10人）；</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（二）依法与安置的每位残疾人签订了一年以上（含一年）的劳动合同或服务协议；</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（三）为安置的每位残疾人按月足额缴纳了基本养老保险、基本医疗保险、失业保险、工伤保险和生育保险等社会保险费；</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（四）通过银行等金融机构向安置的每位残疾人，按月支付了不低于单位所在区县适用的经省级人民政府批准的月最低工资标准的工资；</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64" w:lineRule="auto"/>
              <w:rPr>
                <w:rFonts w:ascii="宋体" w:hAnsi="宋体" w:cs="宋体"/>
                <w:b/>
                <w:color w:val="auto"/>
                <w:sz w:val="24"/>
                <w:highlight w:val="none"/>
              </w:rPr>
            </w:pPr>
            <w:r>
              <w:rPr>
                <w:rFonts w:hint="eastAsia" w:ascii="宋体" w:hAnsi="宋体" w:cs="宋体"/>
                <w:color w:val="auto"/>
                <w:sz w:val="24"/>
                <w:highlight w:val="none"/>
              </w:rPr>
              <w:t xml:space="preserve">   具体以《三部门联合发布关于促进残疾人就业政府采购政策的通知》（财库〔2017〕141号）规定为准。</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1、投标人应对以上文件的合法性、真实性负责。</w:t>
            </w:r>
            <w:r/>
          </w:p>
          <w:p>
            <w:pPr>
              <w:ind w:firstLine="480"/>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3、线下纸质投标文件：中标人领取中标通知书时须向代理机构提交纸质胶装投标文件一正四副，后期招标人如有需要中标人仍需免费提供。</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2.招标文件第三章《投标资料表》中(十二)1和(十二)2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提供服务</w:t>
            </w:r>
            <w:r>
              <w:rPr>
                <w:rFonts w:hint="eastAsia" w:ascii="宋体" w:hAnsi="宋体" w:cs="宋体"/>
                <w:color w:val="auto"/>
                <w:sz w:val="24"/>
                <w:highlight w:val="none"/>
                <w:lang w:val="en-US" w:eastAsia="zh-CN"/>
              </w:rPr>
              <w:t xml:space="preserve">或交付成果报告</w:t>
            </w:r>
            <w:r>
              <w:rPr>
                <w:rFonts w:hint="eastAsia" w:ascii="宋体" w:hAnsi="宋体" w:cs="宋体"/>
                <w:color w:val="auto"/>
                <w:sz w:val="24"/>
                <w:highlight w:val="none"/>
              </w:rPr>
              <w:t xml:space="preserve">的时间见：招标文件第五章 《采购需求》及或招标文件第六章《拟签订的合同文本》。</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247"/>
              <w:rPr>
                <w:color w:val="auto"/>
                <w:highlight w:val="none"/>
              </w:rPr>
            </w:pPr>
            <w:r>
              <w:rPr>
                <w:rFonts w:hint="eastAsia" w:ascii="宋体" w:hAnsi="宋体" w:cs="宋体"/>
                <w:b/>
                <w:color w:val="auto"/>
                <w:sz w:val="24"/>
                <w:highlight w:val="none"/>
                <w:lang w:val="en-US" w:eastAsia="zh-CN"/>
              </w:rPr>
              <w:t xml:space="preserve">本项目不接受超过 1,985.420523万元（ 661.81 万元/年）（最高限价）的报价</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本项目报价包含本项目全部费用，</w:t>
            </w:r>
            <w:r>
              <w:rPr>
                <w:rFonts w:hint="eastAsia" w:ascii="宋体" w:hAnsi="宋体" w:eastAsia="宋体" w:cs="宋体"/>
                <w:b/>
                <w:bCs/>
                <w:color w:val="auto"/>
                <w:sz w:val="24"/>
                <w:highlight w:val="none"/>
              </w:rPr>
              <w:t xml:space="preserve">采购人不再支付报价以外的任何费用。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247"/>
              <w:rPr>
                <w:color w:val="auto"/>
                <w:highlight w:val="none"/>
              </w:rPr>
            </w:pPr>
            <w:r>
              <w:rPr>
                <w:rFonts w:hint="eastAsia" w:ascii="宋体" w:hAnsi="宋体" w:eastAsia="宋体" w:cs="宋体"/>
                <w:color w:val="auto"/>
                <w:sz w:val="24"/>
                <w:highlight w:val="none"/>
              </w:rPr>
              <w:t xml:space="preserve">投标货币：以人民币报价。</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b/>
                <w:bCs/>
                <w:color w:val="auto"/>
                <w:sz w:val="24"/>
                <w:highlight w:val="none"/>
              </w:rPr>
            </w:pPr>
            <w:r>
              <w:rPr>
                <w:rFonts w:ascii="宋体" w:hAnsi="宋体" w:cs="宋体"/>
                <w:b/>
                <w:bCs/>
                <w:color w:val="auto"/>
                <w:sz w:val="24"/>
                <w:highlight w:val="none"/>
              </w:rPr>
              <w:t xml:space="preserve">线上要求：投标人应当通过“苏采云”系统提交数据电文形式的投标文件（即电子投标）</w:t>
            </w:r>
            <w:r>
              <w:rPr>
                <w:rFonts w:hint="eastAsia" w:ascii="宋体" w:hAnsi="宋体" w:cs="宋体"/>
                <w:b/>
                <w:bCs/>
                <w:color w:val="auto"/>
                <w:sz w:val="24"/>
                <w:highlight w:val="none"/>
              </w:rPr>
              <w:t xml:space="preserve">。</w:t>
            </w:r>
            <w:r/>
          </w:p>
          <w:p>
            <w:pPr>
              <w:spacing w:line="264"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特别说明：投标人通过“苏采云”系统提交政府采购客户端工具导出加密的投标文件（后缀名为zip）。投标文件不得超过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50M！（以系统为准）</w:t>
            </w:r>
            <w:r/>
          </w:p>
          <w:p>
            <w:pPr>
              <w:spacing w:line="264" w:lineRule="auto"/>
              <w:rPr>
                <w:rFonts w:ascii="宋体" w:hAnsi="宋体" w:cs="宋体"/>
                <w:b/>
                <w:bCs/>
                <w:iCs/>
                <w:color w:val="auto"/>
                <w:sz w:val="24"/>
                <w:szCs w:val="32"/>
                <w:highlight w:val="none"/>
              </w:rPr>
            </w:pPr>
            <w:r>
              <w:rPr>
                <w:rFonts w:ascii="宋体" w:hAnsi="宋体" w:cs="宋体"/>
                <w:b/>
                <w:bCs/>
                <w:color w:val="auto"/>
                <w:sz w:val="24"/>
                <w:highlight w:val="none"/>
              </w:rPr>
              <w:t xml:space="preserve">投标文件的退还：</w:t>
            </w:r>
            <w:r/>
          </w:p>
          <w:p>
            <w:pPr>
              <w:spacing w:line="264" w:lineRule="auto"/>
              <w:rPr>
                <w:rFonts w:ascii="宋体" w:hAnsi="宋体" w:cs="宋体"/>
                <w:color w:val="auto"/>
                <w:sz w:val="24"/>
                <w:highlight w:val="none"/>
              </w:rPr>
            </w:pPr>
            <w:r>
              <w:rPr>
                <w:rFonts w:hint="eastAsia" w:ascii="宋体" w:hAnsi="宋体" w:cs="宋体"/>
                <w:b/>
                <w:bCs/>
                <w:iCs/>
                <w:color w:val="auto"/>
                <w:sz w:val="24"/>
                <w:szCs w:val="32"/>
                <w:highlight w:val="none"/>
              </w:rPr>
              <w:t xml:space="preserve">说明：本项目采用线上投标，即供应商投标文件从政府采购客户端工具制作通过“苏采云”系统提交，未提供线上投标文件的，投标无效。</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见招标文件第三章《投标资料表》中12.1和12.2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top"/>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1、未进行线上投标并解密(因“苏采云”系统导致解密失败的除外)的，所导致的一切后果均由投标人承担。</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2、投标文件的签署要求：见招标文件第七章《投标文件相关格式》。</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3、投标文件的盖章要求：见招标文件第三章《投标资料表》和招标文件第七章《投标文件相关格式》。</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说明：投标人应凭CA数字证书以及自备的能够登录“苏采云”系统的电脑，在达到开标时间后，使用CA数字证书解密各自投标文件。</w:t>
            </w:r>
            <w:r/>
          </w:p>
          <w:p>
            <w:pPr>
              <w:jc w:val="left"/>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ascii="宋体" w:hAnsi="宋体" w:cs="宋体"/>
                <w:color w:val="auto"/>
                <w:sz w:val="24"/>
                <w:highlight w:val="none"/>
              </w:rPr>
              <w:t xml:space="preserve">一、</w:t>
            </w:r>
            <w:r>
              <w:rPr>
                <w:rFonts w:hint="eastAsia" w:ascii="宋体" w:hAnsi="宋体" w:cs="宋体"/>
                <w:color w:val="auto"/>
                <w:sz w:val="24"/>
                <w:highlight w:val="none"/>
              </w:rPr>
              <w:t xml:space="preserve">投标文件提交时间：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06</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19</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9点30分</w:t>
            </w:r>
            <w:r>
              <w:rPr>
                <w:rFonts w:hint="eastAsia" w:ascii="宋体" w:hAnsi="宋体" w:cs="宋体"/>
                <w:b/>
                <w:bCs/>
                <w:color w:val="auto"/>
                <w:sz w:val="24"/>
                <w:highlight w:val="none"/>
                <w:lang w:val="en-US" w:eastAsia="zh-CN"/>
              </w:rPr>
              <w:t xml:space="preserve">前</w:t>
            </w:r>
            <w:r>
              <w:rPr>
                <w:rFonts w:ascii="宋体" w:hAnsi="宋体" w:cs="宋体"/>
                <w:color w:val="auto"/>
                <w:sz w:val="24"/>
                <w:highlight w:val="none"/>
              </w:rPr>
              <w:t xml:space="preserve">。</w:t>
            </w:r>
            <w:r/>
          </w:p>
          <w:p>
            <w:pPr>
              <w:spacing w:line="264" w:lineRule="auto"/>
              <w:rPr>
                <w:rFonts w:hint="default" w:ascii="宋体" w:hAnsi="宋体" w:cs="宋体"/>
                <w:b/>
                <w:bCs/>
                <w:color w:val="auto"/>
                <w:sz w:val="24"/>
                <w:highlight w:val="none"/>
                <w:lang w:val="en-US"/>
              </w:rPr>
            </w:pPr>
            <w:r>
              <w:rPr>
                <w:rFonts w:ascii="宋体" w:hAnsi="宋体" w:cs="宋体"/>
                <w:color w:val="auto"/>
                <w:sz w:val="24"/>
                <w:highlight w:val="none"/>
              </w:rPr>
              <w:t xml:space="preserve">二、</w:t>
            </w:r>
            <w:r>
              <w:rPr>
                <w:rFonts w:hint="eastAsia" w:ascii="宋体" w:hAnsi="宋体" w:cs="宋体"/>
                <w:color w:val="auto"/>
                <w:sz w:val="24"/>
                <w:highlight w:val="none"/>
              </w:rPr>
              <w:t xml:space="preserve">投标截止时间：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06</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19</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9点30分</w:t>
            </w:r>
            <w:r>
              <w:rPr>
                <w:rFonts w:hint="eastAsia" w:ascii="宋体" w:hAnsi="宋体" w:cs="宋体"/>
                <w:b/>
                <w:bCs/>
                <w:color w:val="auto"/>
                <w:sz w:val="24"/>
                <w:highlight w:val="none"/>
              </w:rPr>
            </w:r>
            <w:r/>
          </w:p>
          <w:p>
            <w:pPr>
              <w:spacing w:line="264" w:lineRule="auto"/>
              <w:rPr>
                <w:rFonts w:ascii="宋体" w:hAnsi="宋体" w:cs="宋体"/>
                <w:color w:val="auto"/>
                <w:sz w:val="24"/>
                <w:highlight w:val="none"/>
              </w:rPr>
            </w:pPr>
            <w:r>
              <w:rPr>
                <w:rFonts w:ascii="宋体" w:hAnsi="宋体" w:cs="宋体"/>
                <w:color w:val="auto"/>
                <w:sz w:val="24"/>
                <w:highlight w:val="none"/>
              </w:rPr>
              <w:t xml:space="preserve">三、投标文件的提交与接收地点：投标人应当通过“苏采云”系统提交数据电文形式的投标文件（即电子投标），“苏采云”系统自动接收。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264" w:lineRule="auto"/>
              <w:rPr>
                <w:rFonts w:ascii="宋体" w:hAnsi="宋体" w:cs="宋体"/>
                <w:color w:val="auto"/>
                <w:sz w:val="24"/>
                <w:highlight w:val="none"/>
              </w:rPr>
            </w:pPr>
            <w:r>
              <w:rPr>
                <w:rFonts w:ascii="宋体" w:hAnsi="宋体" w:cs="宋体"/>
                <w:color w:val="auto"/>
                <w:sz w:val="24"/>
                <w:highlight w:val="none"/>
              </w:rPr>
              <w:t xml:space="preserve">投标人应携带 CA 数字证书以及自备的能够登录“苏采云”系统的电脑在到达开标时间后，使用 CA 数字证书解密各自投标文件</w:t>
            </w:r>
            <w:r>
              <w:rPr>
                <w:rFonts w:hint="eastAsia" w:ascii="宋体" w:hAnsi="宋体" w:cs="宋体"/>
                <w:color w:val="auto"/>
                <w:sz w:val="24"/>
                <w:highlight w:val="none"/>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top"/>
            <w:textDirection w:val="lrTb"/>
            <w:noWrap w:val="false"/>
          </w:tcPr>
          <w:p>
            <w:pPr>
              <w:jc w:val="center"/>
              <w:spacing w:line="288"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四、开标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hint="eastAsia" w:ascii="宋体" w:hAnsi="宋体" w:cs="宋体"/>
                <w:b/>
                <w:bCs/>
                <w:color w:val="auto"/>
                <w:sz w:val="24"/>
                <w:highlight w:val="none"/>
                <w:lang w:val="en-US" w:eastAsia="zh-CN"/>
              </w:rPr>
            </w:pPr>
            <w:r>
              <w:rPr>
                <w:rFonts w:hint="eastAsia" w:ascii="宋体" w:hAnsi="宋体" w:cs="宋体"/>
                <w:b/>
                <w:color w:val="auto"/>
                <w:sz w:val="24"/>
                <w:highlight w:val="none"/>
              </w:rPr>
              <w:t xml:space="preserve">开标时间：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06</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19</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9点30分</w:t>
            </w:r>
            <w:r>
              <w:rPr>
                <w:rFonts w:hint="eastAsia" w:ascii="宋体" w:hAnsi="宋体" w:cs="宋体"/>
                <w:b/>
                <w:bCs/>
                <w:color w:val="auto"/>
                <w:sz w:val="24"/>
                <w:highlight w:val="none"/>
              </w:rPr>
            </w:r>
            <w:r/>
          </w:p>
          <w:p>
            <w:pPr>
              <w:spacing w:line="264" w:lineRule="auto"/>
              <w:rPr>
                <w:rFonts w:ascii="宋体" w:hAnsi="宋体" w:cs="宋体"/>
                <w:color w:val="auto"/>
                <w:sz w:val="24"/>
                <w:highlight w:val="none"/>
              </w:rPr>
            </w:pPr>
            <w:r>
              <w:rPr>
                <w:rFonts w:hint="eastAsia" w:ascii="宋体" w:hAnsi="宋体" w:cs="宋体"/>
                <w:b/>
                <w:color w:val="auto"/>
                <w:sz w:val="24"/>
                <w:highlight w:val="none"/>
              </w:rPr>
              <w:t xml:space="preserve">开标地点：</w:t>
            </w:r>
            <w:r>
              <w:rPr>
                <w:rFonts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线上开标时，“苏采云”系统自动提取所有投标文件，投标人按招标文件规定方式按时在线解密。本项目招标文件规定的投标人按时在线解密方式：“苏采云”系统</w:t>
            </w:r>
            <w:r>
              <w:rPr>
                <w:rFonts w:hint="eastAsia" w:ascii="宋体" w:hAnsi="宋体" w:cs="宋体"/>
                <w:color w:val="auto"/>
                <w:sz w:val="24"/>
                <w:highlight w:val="none"/>
              </w:rPr>
              <w:t xml:space="preserve">提示解密</w:t>
            </w:r>
            <w:r>
              <w:rPr>
                <w:rFonts w:ascii="宋体" w:hAnsi="宋体" w:cs="宋体"/>
                <w:color w:val="auto"/>
                <w:sz w:val="24"/>
                <w:highlight w:val="none"/>
              </w:rPr>
              <w:t xml:space="preserve">30分钟内，通过“苏采云”系统（使用“CA数字证书”）解密。</w:t>
            </w:r>
            <w:r/>
          </w:p>
          <w:p>
            <w:pPr>
              <w:spacing w:line="264" w:lineRule="auto"/>
              <w:rPr>
                <w:rFonts w:ascii="宋体" w:hAnsi="宋体" w:cs="宋体"/>
                <w:color w:val="auto"/>
                <w:sz w:val="24"/>
                <w:highlight w:val="none"/>
              </w:rPr>
            </w:pPr>
            <w:r>
              <w:rPr>
                <w:rFonts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五、评标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评标小组的组建：</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由</w:t>
            </w:r>
            <w:r>
              <w:rPr>
                <w:rFonts w:hint="eastAsia" w:ascii="宋体" w:hAnsi="宋体"/>
                <w:color w:val="auto"/>
                <w:sz w:val="24"/>
                <w:szCs w:val="24"/>
                <w:highlight w:val="none"/>
              </w:rPr>
              <w:t xml:space="preserve">采购人评委和政府采购专家组成（从《江苏省政府采购专家库》随机抽取）。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采用综合评分法。各评标因素权数详见第四章《评标标准》中《评分细则》</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(二十八)1</w:t>
            </w:r>
            <w:r/>
          </w:p>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1、推荐中标候选供应商名单。中标候选供应商数量应当根据采购需要确定，但必须按顺序排列中标候选供应商。</w:t>
            </w:r>
            <w:r/>
          </w:p>
          <w:p>
            <w:pPr>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2、采用综合评分法的，按评审后得分由高到低顺序排列。得分相同的，按投标报价由低到高顺序排列；投标报价得分相同的，按</w:t>
            </w:r>
            <w:r>
              <w:rPr>
                <w:rFonts w:hint="eastAsia" w:ascii="宋体" w:hAnsi="宋体" w:cs="宋体"/>
                <w:color w:val="auto"/>
                <w:sz w:val="24"/>
                <w:highlight w:val="none"/>
                <w:lang w:val="en-US" w:eastAsia="zh-CN"/>
              </w:rPr>
              <w:t xml:space="preserve">商务部分</w:t>
            </w:r>
            <w:r>
              <w:rPr>
                <w:rFonts w:hint="eastAsia" w:ascii="宋体" w:hAnsi="宋体" w:cs="宋体"/>
                <w:color w:val="auto"/>
                <w:sz w:val="24"/>
                <w:highlight w:val="none"/>
              </w:rPr>
              <w:t xml:space="preserve">得分由高到低顺序排列。投标报价且</w:t>
            </w:r>
            <w:r>
              <w:rPr>
                <w:rFonts w:hint="eastAsia" w:ascii="宋体" w:hAnsi="宋体" w:cs="宋体"/>
                <w:color w:val="auto"/>
                <w:sz w:val="24"/>
                <w:highlight w:val="none"/>
                <w:lang w:val="en-US" w:eastAsia="zh-CN"/>
              </w:rPr>
              <w:t xml:space="preserve">商务</w:t>
            </w:r>
            <w:r>
              <w:rPr>
                <w:rFonts w:hint="eastAsia" w:ascii="宋体" w:hAnsi="宋体" w:cs="宋体"/>
                <w:color w:val="auto"/>
                <w:sz w:val="24"/>
                <w:highlight w:val="none"/>
              </w:rPr>
              <w:t xml:space="preserve">得分相同的，按</w:t>
            </w:r>
            <w:r>
              <w:rPr>
                <w:rFonts w:hint="eastAsia" w:ascii="宋体" w:hAnsi="宋体" w:cs="宋体"/>
                <w:color w:val="auto"/>
                <w:sz w:val="24"/>
                <w:highlight w:val="none"/>
                <w:lang w:val="en-US" w:eastAsia="zh-CN"/>
              </w:rPr>
              <w:t xml:space="preserve">技术方案和项目实施</w:t>
            </w:r>
            <w:r>
              <w:rPr>
                <w:rFonts w:hint="eastAsia" w:ascii="宋体" w:hAnsi="宋体" w:cs="宋体"/>
                <w:color w:val="auto"/>
                <w:sz w:val="24"/>
                <w:highlight w:val="none"/>
              </w:rPr>
              <w:t xml:space="preserve">方案得分由高到低顺序排列。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t xml:space="preserve">（二十九）</w:t>
            </w:r>
            <w:r/>
          </w:p>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264" w:lineRule="auto"/>
              <w:rPr>
                <w:rFonts w:ascii="宋体" w:hAnsi="宋体" w:cs="宋体"/>
                <w:color w:val="auto"/>
                <w:sz w:val="24"/>
                <w:highlight w:val="none"/>
              </w:rPr>
            </w:pPr>
            <w:r>
              <w:rPr>
                <w:rFonts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jc w:val="left"/>
              <w:spacing w:line="264" w:lineRule="auto"/>
              <w:rPr>
                <w:rFonts w:ascii="宋体" w:hAnsi="宋体" w:cs="宋体"/>
                <w:color w:val="auto"/>
                <w:sz w:val="24"/>
                <w:highlight w:val="none"/>
              </w:rPr>
            </w:pPr>
            <w:r>
              <w:rPr>
                <w:rFonts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264" w:lineRule="auto"/>
              <w:rPr>
                <w:rFonts w:ascii="宋体" w:hAnsi="宋体" w:cs="宋体"/>
                <w:color w:val="auto"/>
                <w:sz w:val="24"/>
                <w:highlight w:val="none"/>
              </w:rPr>
            </w:pPr>
            <w:r>
              <w:rPr>
                <w:rFonts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rPr>
              <w:t xml:space="preserve">，</w:t>
            </w:r>
            <w:r>
              <w:rPr>
                <w:rFonts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jc w:val="left"/>
              <w:spacing w:line="264" w:lineRule="auto"/>
              <w:rPr>
                <w:rFonts w:ascii="宋体" w:hAnsi="宋体" w:cs="宋体"/>
                <w:color w:val="auto"/>
                <w:sz w:val="24"/>
                <w:highlight w:val="none"/>
              </w:rPr>
            </w:pPr>
            <w:r>
              <w:rPr>
                <w:rFonts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七、采购合同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采购人与中标、成交供应商应当在中标、成交通知书发出之日起30日内，按照采购文件确定的事项签订采购合同。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履约保证金缴纳方式、时间及退款具体要求详见合同条款。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215"/>
              <w:jc w:val="both"/>
              <w:spacing w:beforeAutospacing="0" w:afterAutospacing="0" w:line="264" w:lineRule="auto"/>
              <w:rPr>
                <w:color w:val="auto"/>
                <w:sz w:val="28"/>
                <w:szCs w:val="28"/>
                <w:highlight w:val="none"/>
              </w:rPr>
            </w:pPr>
            <w:r>
              <w:rPr>
                <w:rFonts w:hint="eastAsia" w:ascii="宋体" w:hAnsi="宋体" w:cs="宋体"/>
                <w:color w:val="auto"/>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rPr>
                <w:rFonts w:hint="eastAsia" w:ascii="宋体" w:hAnsi="宋体" w:cs="宋体"/>
                <w:color w:val="auto"/>
                <w:highlight w:val="none"/>
              </w:rPr>
              <w:br w:type="textWrapping" w:clear="all"/>
            </w:r>
            <w:r>
              <w:rPr>
                <w:rFonts w:hint="eastAsia" w:ascii="宋体" w:hAnsi="宋体" w:cs="宋体"/>
                <w:color w:val="auto"/>
                <w:highlight w:val="none"/>
              </w:rPr>
              <w:t xml:space="preserve">2、质疑和投诉按《政府采购质疑和投诉办法》执行，供应商在法定质疑期内一次性提出针对同一采购程序环节的质疑。</w:t>
            </w:r>
            <w:r/>
          </w:p>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spacing w:line="264"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赵长城</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0516-83906677</w:t>
            </w:r>
            <w:r/>
          </w:p>
          <w:p>
            <w:pPr>
              <w:spacing w:line="264"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徐州市云龙区郭庄路世茂广场SOHO3号楼17楼</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rPr>
          <w:rFonts w:ascii="宋体" w:hAnsi="宋体" w:cs="宋体"/>
          <w:color w:val="auto"/>
          <w:sz w:val="30"/>
          <w:szCs w:val="30"/>
          <w:highlight w:val="none"/>
        </w:rPr>
        <w:sectPr>
          <w:headerReference w:type="default" r:id="rId10"/>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30"/>
          <w:szCs w:val="30"/>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rPr>
          <w:rFonts w:ascii="宋体" w:hAnsi="宋体" w:cs="宋体"/>
          <w:color w:val="auto"/>
          <w:sz w:val="24"/>
          <w:highlight w:val="none"/>
        </w:rPr>
      </w:pPr>
      <w:r>
        <w:rPr>
          <w:rFonts w:hint="eastAsia" w:ascii="宋体" w:hAnsi="宋体" w:cs="宋体"/>
          <w:color w:val="auto"/>
          <w:sz w:val="24"/>
          <w:highlight w:val="none"/>
        </w:rPr>
        <w:t xml:space="preserve">附件：</w:t>
      </w:r>
      <w:r/>
    </w:p>
    <w:p>
      <w:pPr>
        <w:jc w:val="center"/>
        <w:spacing w:line="4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招标代理服务收费标准</w:t>
      </w:r>
      <w:r/>
    </w:p>
    <w:p>
      <w:pPr>
        <w:pStyle w:val="1202"/>
        <w:rPr>
          <w:color w:val="auto"/>
          <w:highlight w:val="none"/>
        </w:rPr>
      </w:pPr>
      <w:r>
        <w:rPr>
          <w:color w:val="auto"/>
          <w:highlight w:val="none"/>
        </w:rPr>
      </w:r>
      <w:r/>
    </w:p>
    <w:tbl>
      <w:tblPr>
        <w:tblStyle w:val="1006"/>
        <w:tblW w:w="8309"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收费上</w:t>
            </w:r>
            <w:r>
              <w:rPr>
                <w:rFonts w:hint="eastAsia" w:ascii="宋体" w:hAnsi="宋体" w:eastAsia="宋体" w:cs="宋体"/>
                <w:color w:val="000000"/>
                <w:sz w:val="24"/>
                <w:szCs w:val="24"/>
                <w:highlight w:val="none"/>
                <w:lang w:val="en-US" w:eastAsia="zh-CN"/>
              </w:rPr>
              <w:t xml:space="preserve">下</w:t>
            </w:r>
            <w:r>
              <w:rPr>
                <w:rFonts w:hint="eastAsia" w:ascii="宋体" w:hAnsi="宋体" w:eastAsia="宋体" w:cs="宋体"/>
                <w:color w:val="000000"/>
                <w:sz w:val="24"/>
                <w:szCs w:val="24"/>
                <w:highlight w:val="none"/>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最低5千元</w:t>
            </w:r>
            <w:r/>
          </w:p>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最高15万元</w:t>
            </w:r>
            <w:r/>
          </w:p>
          <w:p>
            <w:pPr>
              <w:ind w:firstLine="240"/>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eastAsia="宋体" w:cs="宋体"/>
                <w:color w:val="333333"/>
                <w:sz w:val="24"/>
                <w:szCs w:val="24"/>
                <w:highlight w:val="none"/>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keepLines w:val="0"/>
        <w:keepNext w:val="0"/>
        <w:pageBreakBefore w:val="0"/>
        <w:spacing w:line="240" w:lineRule="auto"/>
        <w:widowControl/>
        <w:rPr>
          <w:rFonts w:hint="eastAsia" w:ascii="华文仿宋" w:hAnsi="华文仿宋" w:eastAsia="华文仿宋" w:cs="华文仿宋"/>
          <w:color w:val="000000"/>
          <w:sz w:val="32"/>
          <w:szCs w:val="32"/>
          <w:highlight w:val="none"/>
        </w:rPr>
      </w:pPr>
      <w:r>
        <w:rPr>
          <w:rFonts w:hint="eastAsia" w:ascii="宋体" w:hAnsi="宋体" w:eastAsia="宋体" w:cs="宋体"/>
          <w:color w:val="000000"/>
          <w:sz w:val="24"/>
          <w:szCs w:val="24"/>
          <w:highlight w:val="none"/>
        </w:rPr>
        <w:t xml:space="preserve">说明：</w:t>
      </w:r>
      <w:r/>
    </w:p>
    <w:p>
      <w:pPr>
        <w:ind w:firstLine="580"/>
        <w:keepLines w:val="0"/>
        <w:keepNext w:val="0"/>
        <w:pageBreakBefore w:val="0"/>
        <w:spacing w:line="24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rPr>
        <w:t xml:space="preserve">1.按上表计算的收费为代理服务全过程的收费金额。</w:t>
      </w:r>
      <w:r>
        <w:rPr>
          <w:rFonts w:hint="eastAsia" w:ascii="宋体" w:hAnsi="宋体" w:eastAsia="宋体" w:cs="宋体"/>
          <w:color w:val="000000"/>
          <w:sz w:val="24"/>
          <w:szCs w:val="24"/>
          <w:highlight w:val="none"/>
          <w:lang w:val="en-US" w:eastAsia="zh-CN"/>
        </w:rPr>
        <w:t xml:space="preserve">各社会代理机构</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再</w:t>
      </w:r>
      <w:r>
        <w:rPr>
          <w:rFonts w:hint="eastAsia" w:ascii="宋体" w:hAnsi="宋体" w:eastAsia="宋体" w:cs="宋体"/>
          <w:color w:val="000000"/>
          <w:sz w:val="24"/>
          <w:szCs w:val="24"/>
          <w:highlight w:val="none"/>
        </w:rPr>
        <w:t xml:space="preserve">收取采购文件制作售卖费用。</w:t>
      </w:r>
      <w:r/>
    </w:p>
    <w:p>
      <w:pPr>
        <w:ind w:firstLine="540"/>
        <w:keepLines w:val="0"/>
        <w:keepNext w:val="0"/>
        <w:pageBreakBefore w:val="0"/>
        <w:spacing w:line="24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2.代理服务费按差额定率累进法计算。</w:t>
      </w:r>
      <w:r/>
    </w:p>
    <w:p>
      <w:pPr>
        <w:ind w:left="67" w:firstLine="48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3.代理服务费基准金额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按差额定率累进法计算的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中标金额（</w:t>
      </w:r>
      <w:r>
        <w:rPr>
          <w:rFonts w:hint="eastAsia" w:ascii="宋体" w:hAnsi="宋体" w:eastAsia="宋体" w:cs="宋体"/>
          <w:color w:val="000000"/>
          <w:sz w:val="24"/>
          <w:szCs w:val="24"/>
          <w:highlight w:val="none"/>
        </w:rPr>
        <w:t xml:space="preserve">按差额定率累进法计算的</w:t>
      </w:r>
      <w:r>
        <w:rPr>
          <w:rFonts w:hint="eastAsia" w:ascii="宋体" w:hAnsi="宋体" w:eastAsia="宋体" w:cs="宋体"/>
          <w:color w:val="000000"/>
          <w:sz w:val="24"/>
          <w:szCs w:val="24"/>
          <w:highlight w:val="none"/>
        </w:rPr>
        <w:t xml:space="preserve">） * 费率（%）</w:t>
      </w:r>
      <w:r/>
    </w:p>
    <w:p>
      <w:pPr>
        <w:ind w:left="67" w:firstLine="48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代理服务费应收取金额=代理服务费基准金额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按差额定率累进法计算的</w:t>
      </w:r>
      <w:r>
        <w:rPr>
          <w:rFonts w:hint="eastAsia" w:ascii="宋体" w:hAnsi="宋体" w:eastAsia="宋体" w:cs="宋体"/>
          <w:color w:val="000000"/>
          <w:sz w:val="24"/>
          <w:szCs w:val="24"/>
          <w:highlight w:val="none"/>
        </w:rPr>
        <w:t xml:space="preserve">）的合计数。</w:t>
      </w:r>
      <w:r/>
    </w:p>
    <w:p>
      <w:pPr>
        <w:ind w:left="-1" w:firstLine="48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5.计算出的代理服务费应收取金额如</w:t>
      </w:r>
      <w:r>
        <w:rPr>
          <w:rFonts w:hint="eastAsia" w:ascii="宋体" w:hAnsi="宋体" w:eastAsia="宋体" w:cs="宋体"/>
          <w:color w:val="000000"/>
          <w:sz w:val="24"/>
          <w:szCs w:val="24"/>
          <w:highlight w:val="none"/>
        </w:rPr>
        <w:t xml:space="preserve">低于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千元，按</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千元收取；如高于</w:t>
      </w:r>
      <w:r>
        <w:rPr>
          <w:rFonts w:hint="eastAsia" w:ascii="宋体" w:hAnsi="宋体" w:eastAsia="宋体" w:cs="宋体"/>
          <w:color w:val="000000"/>
          <w:sz w:val="24"/>
          <w:szCs w:val="24"/>
          <w:highlight w:val="none"/>
          <w:lang w:val="en-US" w:eastAsia="zh-CN"/>
        </w:rPr>
        <w:t xml:space="preserve">15万元，按15万元收取。</w:t>
      </w:r>
      <w:r/>
    </w:p>
    <w:p>
      <w:pPr>
        <w:ind w:firstLine="540"/>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定点类等无金额或事先不能计算出价格总额的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按</w:t>
      </w:r>
      <w:r>
        <w:rPr>
          <w:rFonts w:hint="eastAsia" w:ascii="宋体" w:hAnsi="宋体" w:eastAsia="宋体" w:cs="宋体"/>
          <w:color w:val="000000"/>
          <w:sz w:val="24"/>
          <w:szCs w:val="24"/>
          <w:highlight w:val="none"/>
        </w:rPr>
        <w:t xml:space="preserve">中标（成交）金额</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万元计算</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rPr>
        <w:t xml:space="preserve">。</w:t>
      </w:r>
      <w:r/>
    </w:p>
    <w:p>
      <w:pPr>
        <w:ind w:firstLine="540"/>
        <w:keepLines w:val="0"/>
        <w:keepNext w:val="0"/>
        <w:pageBreakBefore w:val="0"/>
        <w:spacing w:line="24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7.多个采购包（标段）项目按总项目中标（成交）金额收费，最高不超过15万元。</w:t>
      </w:r>
      <w:r/>
    </w:p>
    <w:p>
      <w:pPr>
        <w:ind w:firstLine="580"/>
        <w:keepLines w:val="0"/>
        <w:keepNext w:val="0"/>
        <w:pageBreakBefore w:val="0"/>
        <w:spacing w:line="240" w:lineRule="auto"/>
        <w:widowControl/>
        <w:rPr>
          <w:rFonts w:hint="eastAsia" w:ascii="华文仿宋" w:hAnsi="华文仿宋" w:eastAsia="华文仿宋" w:cs="华文仿宋"/>
          <w:color w:val="000000"/>
          <w:sz w:val="32"/>
          <w:szCs w:val="32"/>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.以上价格为协会指导价，</w:t>
      </w:r>
      <w:r>
        <w:rPr>
          <w:rFonts w:hint="eastAsia" w:ascii="宋体" w:hAnsi="宋体" w:eastAsia="宋体" w:cs="宋体"/>
          <w:color w:val="000000"/>
          <w:sz w:val="24"/>
          <w:szCs w:val="24"/>
          <w:highlight w:val="none"/>
          <w:lang w:val="en-US" w:eastAsia="zh-CN"/>
        </w:rPr>
        <w:t xml:space="preserve">具体价格</w:t>
      </w:r>
      <w:r>
        <w:rPr>
          <w:rFonts w:hint="eastAsia" w:ascii="宋体" w:hAnsi="宋体" w:eastAsia="宋体" w:cs="宋体"/>
          <w:color w:val="000000"/>
          <w:sz w:val="24"/>
          <w:szCs w:val="24"/>
          <w:highlight w:val="none"/>
        </w:rPr>
        <w:t xml:space="preserve">双方可协商</w:t>
      </w:r>
      <w:r>
        <w:rPr>
          <w:rFonts w:hint="eastAsia" w:ascii="宋体" w:hAnsi="宋体" w:eastAsia="宋体" w:cs="宋体"/>
          <w:color w:val="000000"/>
          <w:sz w:val="24"/>
          <w:szCs w:val="24"/>
          <w:highlight w:val="none"/>
          <w:lang w:val="en-US" w:eastAsia="zh-CN"/>
        </w:rPr>
        <w:t xml:space="preserve">确</w:t>
      </w:r>
      <w:r>
        <w:rPr>
          <w:rFonts w:hint="eastAsia" w:ascii="宋体" w:hAnsi="宋体" w:eastAsia="宋体" w:cs="宋体"/>
          <w:color w:val="000000"/>
          <w:sz w:val="24"/>
          <w:szCs w:val="24"/>
          <w:highlight w:val="none"/>
        </w:rPr>
        <w:t xml:space="preserve">定</w:t>
      </w:r>
      <w:r>
        <w:rPr>
          <w:rFonts w:hint="eastAsia" w:ascii="华文仿宋" w:hAnsi="华文仿宋" w:eastAsia="华文仿宋" w:cs="华文仿宋"/>
          <w:color w:val="000000"/>
          <w:sz w:val="32"/>
          <w:szCs w:val="32"/>
          <w:highlight w:val="none"/>
          <w:lang w:eastAsia="zh-CN"/>
        </w:rPr>
        <w:t xml:space="preserve">。</w:t>
      </w:r>
      <w:r/>
    </w:p>
    <w:p>
      <w:pPr>
        <w:ind w:left="0" w:right="0" w:firstLine="480"/>
        <w:jc w:val="both"/>
        <w:keepLines w:val="0"/>
        <w:keepNext w:val="0"/>
        <w:pageBreakBefore w:val="0"/>
        <w:spacing w:before="0" w:beforeAutospacing="0" w:after="0" w:afterAutospacing="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en-US"/>
        </w:rPr>
        <w:t xml:space="preserve">.账户信息：</w:t>
      </w:r>
      <w:r>
        <w:rPr>
          <w:rFonts w:hint="eastAsia" w:ascii="宋体" w:hAnsi="宋体" w:eastAsia="宋体" w:cs="宋体"/>
          <w:b w:val="0"/>
          <w:bCs w:val="0"/>
          <w:color w:val="auto"/>
          <w:sz w:val="24"/>
          <w:szCs w:val="24"/>
          <w:highlight w:val="none"/>
          <w:lang w:val="en-US" w:eastAsia="zh-CN"/>
        </w:rPr>
        <w:t xml:space="preserve">收款人：江苏中瑞建设项目管理有限公司 </w:t>
      </w:r>
      <w:r/>
    </w:p>
    <w:p>
      <w:pPr>
        <w:ind w:left="0" w:right="0" w:firstLine="1920"/>
        <w:jc w:val="both"/>
        <w:keepLines w:val="0"/>
        <w:keepNext w:val="0"/>
        <w:pageBreakBefore w:val="0"/>
        <w:spacing w:before="0" w:beforeAutospacing="0" w:after="0" w:afterAutospacing="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szCs w:val="24"/>
          <w:highlight w:val="none"/>
          <w:lang w:val="en-US" w:eastAsia="zh-CN"/>
        </w:rPr>
        <w:t xml:space="preserve">开户银行：中国建设银行徐州永安支行</w:t>
      </w:r>
      <w:r/>
    </w:p>
    <w:p>
      <w:pPr>
        <w:ind w:firstLine="1920"/>
        <w:keepLines w:val="0"/>
        <w:keepNext w:val="0"/>
        <w:pageBreakBefore w:val="0"/>
        <w:spacing w:line="240" w:lineRule="auto"/>
        <w:widowControl/>
        <w:rPr>
          <w:rFonts w:hint="eastAsia" w:ascii="华文仿宋" w:hAnsi="华文仿宋" w:eastAsia="华文仿宋" w:cs="华文仿宋"/>
          <w:color w:val="000000"/>
          <w:sz w:val="32"/>
          <w:szCs w:val="32"/>
          <w:highlight w:val="none"/>
          <w:lang w:eastAsia="zh-CN"/>
        </w:rPr>
      </w:pPr>
      <w:r>
        <w:rPr>
          <w:rFonts w:hint="eastAsia" w:ascii="宋体" w:hAnsi="宋体" w:eastAsia="宋体" w:cs="宋体"/>
          <w:b w:val="0"/>
          <w:bCs w:val="0"/>
          <w:color w:val="auto"/>
          <w:sz w:val="24"/>
          <w:szCs w:val="24"/>
          <w:highlight w:val="none"/>
          <w:lang w:val="en-US" w:eastAsia="zh-CN"/>
        </w:rPr>
        <w:t xml:space="preserve">银行账号：32001718336052501620</w:t>
      </w:r>
      <w:r/>
    </w:p>
    <w:p>
      <w:pPr>
        <w:rPr>
          <w:highlight w:val="none"/>
        </w:rPr>
      </w:pPr>
      <w:r>
        <w:rPr>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sectPr>
          <w:headerReference w:type="default" r:id="rId11"/>
          <w:footerReference w:type="default" r:id="rId17"/>
          <w:footnotePr/>
          <w:endnotePr/>
          <w:type w:val="continuous"/>
          <w:pgSz w:w="11906" w:h="16838" w:orient="portrait"/>
          <w:pgMar w:top="1440" w:right="1080" w:bottom="1440" w:left="1080" w:header="851" w:footer="992" w:gutter="0"/>
          <w:cols w:num="1" w:sep="0" w:space="1701" w:equalWidth="1"/>
          <w:docGrid w:linePitch="360"/>
        </w:sectPr>
      </w:pPr>
      <w:r>
        <w:rPr>
          <w:rFonts w:ascii="宋体" w:hAnsi="宋体" w:cs="宋体"/>
          <w:color w:val="auto"/>
          <w:szCs w:val="21"/>
          <w:highlight w:val="none"/>
        </w:rPr>
        <w:br w:type="page" w:clear="all"/>
      </w:r>
      <w:r/>
    </w:p>
    <w:p>
      <w:pPr>
        <w:pStyle w:val="1020"/>
        <w:numPr>
          <w:ilvl w:val="0"/>
          <w:numId w:val="2"/>
        </w:numPr>
        <w:ind w:firstLine="420"/>
        <w:jc w:val="center"/>
        <w:spacing w:line="520" w:lineRule="exact"/>
        <w:widowControl/>
        <w:rPr>
          <w:rFonts w:eastAsia="新宋体"/>
          <w:b/>
          <w:bCs/>
          <w:color w:val="auto"/>
          <w:sz w:val="30"/>
          <w:szCs w:val="44"/>
          <w:highlight w:val="none"/>
        </w:rPr>
      </w:pPr>
      <w:r/>
      <w:bookmarkStart w:id="2" w:name="_Toc9429"/>
      <w:r>
        <w:rPr>
          <w:rStyle w:val="1245"/>
          <w:color w:val="auto"/>
          <w:highlight w:val="none"/>
        </w:rPr>
        <w:t xml:space="preserve">评标标准</w:t>
      </w:r>
      <w:bookmarkEnd w:id="2"/>
      <w:r/>
      <w:r/>
    </w:p>
    <w:p>
      <w:pPr>
        <w:pStyle w:val="1236"/>
        <w:ind w:left="0" w:firstLine="0"/>
        <w:tabs>
          <w:tab w:val="left" w:pos="711" w:leader="none"/>
        </w:tabs>
        <w:rPr>
          <w:rFonts w:hint="eastAsia"/>
          <w:b/>
          <w:bCs/>
          <w:color w:val="auto"/>
          <w:highlight w:val="none"/>
          <w:lang w:eastAsia="zh-CN"/>
        </w:rPr>
      </w:pPr>
      <w:r>
        <w:rPr>
          <w:rFonts w:hint="eastAsia"/>
          <w:b/>
          <w:bCs/>
          <w:color w:val="auto"/>
          <w:highlight w:val="none"/>
          <w:lang w:eastAsia="zh-CN"/>
        </w:rPr>
      </w:r>
      <w:r/>
    </w:p>
    <w:p>
      <w:pPr>
        <w:pStyle w:val="1236"/>
        <w:rPr>
          <w:rFonts w:hint="eastAsia"/>
          <w:b/>
          <w:bCs/>
          <w:color w:val="auto"/>
          <w:highlight w:val="none"/>
          <w:lang w:eastAsia="zh-CN"/>
        </w:rPr>
      </w:pPr>
      <w:r>
        <w:rPr>
          <w:rFonts w:hint="eastAsia"/>
          <w:b/>
          <w:bCs/>
          <w:color w:val="auto"/>
          <w:highlight w:val="none"/>
          <w:lang w:eastAsia="zh-CN"/>
        </w:rPr>
      </w:r>
      <w:r/>
    </w:p>
    <w:tbl>
      <w:tblPr>
        <w:tblStyle w:val="1006"/>
        <w:tblW w:w="1059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8"/>
        <w:gridCol w:w="9299"/>
      </w:tblGrid>
      <w:tr>
        <w:trPr>
          <w:jc w:val="center"/>
          <w:trHeight w:val="527"/>
        </w:trPr>
        <w:tc>
          <w:tcPr>
            <w:tcW w:w="1298" w:type="dxa"/>
            <w:vAlign w:val="center"/>
            <w:textDirection w:val="lrTb"/>
            <w:noWrap w:val="false"/>
          </w:tcPr>
          <w:p>
            <w:pPr>
              <w:jc w:val="center"/>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项  目</w:t>
            </w:r>
            <w:r/>
          </w:p>
        </w:tc>
        <w:tc>
          <w:tcPr>
            <w:tcW w:w="9299" w:type="dxa"/>
            <w:vAlign w:val="center"/>
            <w:textDirection w:val="lrTb"/>
            <w:noWrap w:val="false"/>
          </w:tcPr>
          <w:p>
            <w:pPr>
              <w:jc w:val="center"/>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评  分  标  准</w:t>
            </w:r>
            <w:r/>
          </w:p>
        </w:tc>
      </w:tr>
      <w:tr>
        <w:trPr>
          <w:jc w:val="center"/>
          <w:trHeight w:val="90"/>
        </w:trPr>
        <w:tc>
          <w:tcPr>
            <w:tcW w:w="1298"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价格</w:t>
            </w:r>
            <w:r/>
          </w:p>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分）</w:t>
            </w:r>
            <w:r/>
          </w:p>
        </w:tc>
        <w:tc>
          <w:tcPr>
            <w:tcW w:w="9299" w:type="dxa"/>
            <w:vAlign w:val="center"/>
            <w:textDirection w:val="lrTb"/>
            <w:noWrap w:val="false"/>
          </w:tcPr>
          <w:p>
            <w:pPr>
              <w:pStyle w:val="1015"/>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各投标人价格得分=最低报价（投标人的最低评审价格）÷各投标人评审价格×</w:t>
            </w:r>
            <w:r>
              <w:rPr>
                <w:rFonts w:hint="eastAsia" w:ascii="宋体" w:hAnsi="宋体" w:cs="宋体"/>
                <w:color w:val="auto"/>
                <w:sz w:val="24"/>
                <w:szCs w:val="24"/>
                <w:highlight w:val="none"/>
                <w:lang w:val="en-US" w:eastAsia="zh-CN" w:bidi="ar-SA"/>
              </w:rPr>
              <w:t xml:space="preserve">15，</w:t>
            </w:r>
            <w:r/>
          </w:p>
          <w:p>
            <w:pPr>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cantSplit/>
          <w:jc w:val="center"/>
          <w:trHeight w:val="1283"/>
        </w:trPr>
        <w:tc>
          <w:tcPr>
            <w:tcW w:w="1298" w:type="dxa"/>
            <w:vAlign w:val="center"/>
            <w:textDirection w:val="lrTb"/>
            <w:noWrap w:val="false"/>
          </w:tcPr>
          <w:p>
            <w:pP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综合实力（3分）</w:t>
            </w:r>
            <w:r/>
          </w:p>
        </w:tc>
        <w:tc>
          <w:tcPr>
            <w:tcW w:w="9299" w:type="dxa"/>
            <w:vAlign w:val="center"/>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投标文件中提供投标人</w:t>
            </w:r>
            <w:r>
              <w:rPr>
                <w:rFonts w:hint="eastAsia" w:ascii="宋体" w:hAnsi="宋体" w:cs="宋体"/>
                <w:color w:val="auto"/>
                <w:sz w:val="24"/>
                <w:highlight w:val="none"/>
                <w:lang w:eastAsia="zh-CN"/>
              </w:rPr>
              <w:t xml:space="preserve">县级</w:t>
            </w:r>
            <w:r>
              <w:rPr>
                <w:rFonts w:hint="eastAsia" w:ascii="宋体" w:hAnsi="宋体" w:cs="宋体"/>
                <w:color w:val="auto"/>
                <w:sz w:val="24"/>
                <w:highlight w:val="none"/>
              </w:rPr>
              <w:t xml:space="preserve">及以上城管部门颁发的城市生活垃圾收集运输许可证复印件的，得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未提供得得0分；</w:t>
            </w:r>
            <w:r>
              <w:rPr>
                <w:rFonts w:hint="eastAsia" w:ascii="宋体" w:hAnsi="宋体" w:cs="宋体"/>
                <w:color w:val="auto"/>
                <w:sz w:val="24"/>
                <w:highlight w:val="none"/>
              </w:rPr>
              <w:t xml:space="preserve">本项最高分为</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tc>
      </w:tr>
      <w:tr>
        <w:trPr>
          <w:cantSplit/>
          <w:jc w:val="center"/>
          <w:trHeight w:val="1552"/>
        </w:trPr>
        <w:tc>
          <w:tcPr>
            <w:tcW w:w="1298" w:type="dxa"/>
            <w:vAlign w:val="center"/>
            <w:textDirection w:val="lrTb"/>
            <w:noWrap w:val="false"/>
          </w:tcPr>
          <w:p>
            <w:pPr>
              <w:jc w:val="center"/>
              <w:spacing w:line="500" w:lineRule="exact"/>
              <w:rPr>
                <w:rFonts w:hint="eastAsia" w:ascii="宋体" w:hAnsi="宋体" w:cs="仿宋_GB2312"/>
                <w:color w:val="auto"/>
                <w:sz w:val="22"/>
                <w:szCs w:val="22"/>
                <w:highlight w:val="none"/>
              </w:rPr>
            </w:pPr>
            <w:r>
              <w:rPr>
                <w:rFonts w:hint="eastAsia" w:ascii="宋体" w:hAnsi="宋体" w:cs="宋体"/>
                <w:color w:val="auto"/>
                <w:sz w:val="24"/>
                <w:highlight w:val="none"/>
              </w:rPr>
              <w:t xml:space="preserve">人员、设备配置</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分）</w:t>
            </w:r>
            <w:r/>
          </w:p>
        </w:tc>
        <w:tc>
          <w:tcPr>
            <w:tcW w:w="9299" w:type="dxa"/>
            <w:vAlign w:val="top"/>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eastAsia="宋体" w:cs="宋体"/>
                <w:color w:val="000000"/>
                <w:sz w:val="24"/>
                <w:highlight w:val="none"/>
              </w:rPr>
              <w:t xml:space="preserve">满足招标文件《项目要求》中“人员、设备（车辆）配置要求”人员增加5%以上的，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8吨（含）以上高压清洗车数量，</w:t>
            </w:r>
            <w:r>
              <w:rPr>
                <w:rFonts w:hint="eastAsia" w:ascii="宋体" w:hAnsi="宋体" w:eastAsia="宋体" w:cs="宋体"/>
                <w:color w:val="000000"/>
                <w:sz w:val="24"/>
                <w:highlight w:val="none"/>
                <w:lang w:eastAsia="zh-CN"/>
              </w:rPr>
              <w:t xml:space="preserve">每增加一辆得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，最高得</w:t>
            </w:r>
            <w:r>
              <w:rPr>
                <w:rFonts w:hint="eastAsia" w:ascii="宋体" w:hAnsi="宋体" w:eastAsia="宋体" w:cs="宋体"/>
                <w:color w:val="000000"/>
                <w:sz w:val="24"/>
                <w:highlight w:val="none"/>
                <w:lang w:val="en-US" w:eastAsia="zh-CN"/>
              </w:rPr>
              <w:t xml:space="preserve">6分；投标人承诺增加新能源作业车辆（必须在交管部门登记，上牌），每辆0.5分，满分3分。【提供服务承诺书原件，格式自拟】，</w:t>
            </w:r>
            <w:r>
              <w:rPr>
                <w:rFonts w:hint="eastAsia" w:ascii="宋体" w:hAnsi="宋体" w:eastAsia="宋体" w:cs="宋体"/>
                <w:color w:val="000000"/>
                <w:sz w:val="24"/>
                <w:highlight w:val="none"/>
              </w:rPr>
              <w:t xml:space="preserve">本项最高分为</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p>
        </w:tc>
      </w:tr>
      <w:tr>
        <w:trPr>
          <w:cantSplit/>
          <w:jc w:val="center"/>
          <w:trHeight w:val="1412"/>
        </w:trPr>
        <w:tc>
          <w:tcPr>
            <w:tcW w:w="1298"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实施方案</w:t>
            </w:r>
            <w:r/>
          </w:p>
          <w:p>
            <w:pPr>
              <w:jc w:val="center"/>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rPr>
              <w:t xml:space="preserve">分）</w:t>
            </w:r>
            <w:r/>
          </w:p>
        </w:tc>
        <w:tc>
          <w:tcPr>
            <w:tcW w:w="9299" w:type="dxa"/>
            <w:vAlign w:val="center"/>
            <w:textDirection w:val="lrTb"/>
            <w:noWrap w:val="false"/>
          </w:tcPr>
          <w:p>
            <w:pPr>
              <w:jc w:val="both"/>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项目分析</w:t>
            </w:r>
            <w:r>
              <w:rPr>
                <w:rFonts w:hint="eastAsia" w:ascii="宋体" w:hAnsi="宋体" w:cs="宋体"/>
                <w:color w:val="auto"/>
                <w:sz w:val="24"/>
                <w:highlight w:val="none"/>
                <w:lang w:eastAsia="zh-CN"/>
              </w:rPr>
              <w:t xml:space="preserve">：</w:t>
            </w:r>
            <w:r/>
          </w:p>
          <w:p>
            <w:pPr>
              <w:ind w:right="0"/>
              <w:spacing w:before="0"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对投标文件中项目分析的服务定位、目标、作业范围、现场作业的难点、重点</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利于提升城市</w:t>
            </w:r>
            <w:r>
              <w:rPr>
                <w:rFonts w:hint="eastAsia" w:ascii="宋体" w:hAnsi="宋体" w:cs="宋体"/>
                <w:color w:val="auto"/>
                <w:sz w:val="24"/>
                <w:highlight w:val="none"/>
                <w:lang w:val="en-US" w:eastAsia="zh-CN"/>
              </w:rPr>
              <w:t xml:space="preserve">发展</w:t>
            </w:r>
            <w:r>
              <w:rPr>
                <w:rFonts w:hint="eastAsia" w:ascii="宋体" w:hAnsi="宋体" w:cs="宋体"/>
                <w:color w:val="auto"/>
                <w:sz w:val="24"/>
                <w:highlight w:val="none"/>
              </w:rPr>
              <w:t xml:space="preserve">的方案、</w:t>
            </w:r>
            <w:r>
              <w:rPr>
                <w:rFonts w:hint="eastAsia" w:ascii="宋体" w:hAnsi="宋体" w:cs="宋体"/>
                <w:color w:val="auto"/>
                <w:sz w:val="24"/>
                <w:highlight w:val="none"/>
                <w:lang w:val="en-US" w:eastAsia="zh-CN"/>
              </w:rPr>
              <w:t xml:space="preserve">承诺</w:t>
            </w:r>
            <w:r>
              <w:rPr>
                <w:rFonts w:hint="eastAsia" w:ascii="宋体" w:hAnsi="宋体" w:cs="宋体"/>
                <w:color w:val="auto"/>
                <w:sz w:val="24"/>
                <w:highlight w:val="none"/>
              </w:rPr>
              <w:t xml:space="preserve">等描述与分析是否全面、清晰、准确进行打分，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全面性(</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分；较全面得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分；基本具备的得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可行性（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分；较切实可行得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本项最高得</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分，无此项内容得0分。</w:t>
            </w:r>
            <w:r/>
          </w:p>
        </w:tc>
      </w:tr>
      <w:tr>
        <w:trPr>
          <w:cantSplit/>
          <w:jc w:val="center"/>
          <w:trHeight w:val="2975"/>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环卫机械化作业管理方案：</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对投标文件中环卫机械化作业管理方案中的机械化作业设备（车辆）配置、作业路线规划、日常和季节性作业时间安排、停车场地、拟达到的效果等内容的</w:t>
            </w:r>
            <w:r>
              <w:rPr>
                <w:rFonts w:hint="eastAsia" w:ascii="宋体" w:hAnsi="宋体" w:eastAsia="宋体" w:cs="宋体"/>
                <w:color w:val="auto"/>
                <w:sz w:val="24"/>
                <w:highlight w:val="none"/>
                <w:lang w:val="en-US" w:eastAsia="zh-CN"/>
              </w:rPr>
              <w:t xml:space="preserve">全面性、针对性、可行性</w:t>
            </w:r>
            <w:r>
              <w:rPr>
                <w:rFonts w:hint="eastAsia" w:ascii="宋体" w:hAnsi="宋体" w:eastAsia="宋体" w:cs="宋体"/>
                <w:color w:val="auto"/>
                <w:sz w:val="24"/>
                <w:highlight w:val="none"/>
              </w:rPr>
              <w:t xml:space="preserve">进行打分，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全面性(</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分；较全面得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分；基本具备的得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可行性（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分；较切实可行得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本项最高得</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分，无此项内容得0分。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2、对投标文件中环卫机械化作业管理方案中的其它机械作业方案设备（车辆）配备、作业路线规划、日常和季节性作业时间安排、停车场地、拟达到的效果等内容的</w:t>
            </w:r>
            <w:r>
              <w:rPr>
                <w:rFonts w:hint="eastAsia" w:ascii="宋体" w:hAnsi="宋体" w:eastAsia="宋体" w:cs="宋体"/>
                <w:color w:val="auto"/>
                <w:sz w:val="24"/>
                <w:highlight w:val="none"/>
                <w:lang w:val="en-US" w:eastAsia="zh-CN"/>
              </w:rPr>
              <w:t xml:space="preserve">全面性、针对性、可行性</w:t>
            </w:r>
            <w:r>
              <w:rPr>
                <w:rFonts w:hint="eastAsia" w:ascii="宋体" w:hAnsi="宋体" w:eastAsia="宋体" w:cs="宋体"/>
                <w:color w:val="auto"/>
                <w:sz w:val="24"/>
                <w:highlight w:val="none"/>
              </w:rPr>
              <w:t xml:space="preserve">进行打分，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全面性(</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分；较全面得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分；基本具备的得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针对性(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分)：针对性强得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分；针对性一般的得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可行性（</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分)：符合实际切实可行得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分；较切实可行得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分；可行性一般的得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本项最高得</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分，无此项内容得0分。</w:t>
            </w:r>
            <w:r/>
          </w:p>
        </w:tc>
      </w:tr>
      <w:tr>
        <w:trPr>
          <w:cantSplit/>
          <w:jc w:val="center"/>
          <w:trHeight w:val="1038"/>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垃圾运输管理方案：</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对投标文件中垃圾前端收集运输管理方案包含垃圾前端收集运输的方案、人员配备、时间安排、工具配备、设备（车辆）安排、垃圾量台账记录等</w:t>
            </w:r>
            <w:r>
              <w:rPr>
                <w:rFonts w:hint="eastAsia" w:ascii="宋体" w:hAnsi="宋体" w:eastAsia="宋体" w:cs="宋体"/>
                <w:color w:val="auto"/>
                <w:sz w:val="24"/>
                <w:highlight w:val="none"/>
                <w:lang w:val="en-US" w:eastAsia="zh-CN"/>
              </w:rPr>
              <w:t xml:space="preserve">全面</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等进行打分，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全面性(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分)：全面具体详实得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分；基本具备的得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本项最高得10分，无此项内容得0分。</w:t>
            </w:r>
            <w:r/>
          </w:p>
        </w:tc>
      </w:tr>
      <w:tr>
        <w:trPr>
          <w:cantSplit/>
          <w:jc w:val="center"/>
          <w:trHeight w:val="1374"/>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应急、突击保障方案</w:t>
            </w:r>
            <w:r>
              <w:rPr>
                <w:rFonts w:hint="eastAsia" w:ascii="宋体" w:hAnsi="宋体" w:eastAsia="宋体" w:cs="宋体"/>
                <w:color w:val="auto"/>
                <w:sz w:val="24"/>
                <w:highlight w:val="none"/>
                <w:lang w:eastAsia="zh-CN"/>
              </w:rPr>
              <w:t xml:space="preserve">：</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对投标文件中应急、突击保障方案应急机构、组织流程是否健全，</w:t>
            </w:r>
            <w:r>
              <w:rPr>
                <w:rFonts w:hint="eastAsia" w:ascii="宋体" w:hAnsi="宋体" w:eastAsia="宋体" w:cs="宋体"/>
                <w:color w:val="auto"/>
                <w:sz w:val="24"/>
                <w:highlight w:val="none"/>
                <w:lang w:eastAsia="zh-CN"/>
              </w:rPr>
              <w:t xml:space="preserve">设置专项资金、</w:t>
            </w:r>
            <w:r>
              <w:rPr>
                <w:rFonts w:hint="eastAsia" w:ascii="宋体" w:hAnsi="宋体" w:eastAsia="宋体" w:cs="宋体"/>
                <w:color w:val="auto"/>
                <w:sz w:val="24"/>
                <w:highlight w:val="none"/>
              </w:rPr>
              <w:t xml:space="preserve">是否有重大或突发事件应急保障措施</w:t>
            </w:r>
            <w:r>
              <w:rPr>
                <w:rFonts w:hint="eastAsia" w:ascii="宋体" w:hAnsi="宋体" w:eastAsia="宋体" w:cs="宋体"/>
                <w:color w:val="auto"/>
                <w:sz w:val="24"/>
                <w:highlight w:val="none"/>
                <w:lang w:val="en-US" w:eastAsia="zh-CN"/>
              </w:rPr>
              <w:t xml:space="preserve">的全面</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等进行打分，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全面性(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分)：全面具体详实得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分；基本具备的得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本项最高得10分，无此项内容得0分。</w:t>
            </w:r>
            <w:r/>
          </w:p>
        </w:tc>
      </w:tr>
      <w:tr>
        <w:trPr>
          <w:cantSplit/>
          <w:jc w:val="center"/>
          <w:trHeight w:val="1157"/>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文明、安全作业管理实施方案</w:t>
            </w:r>
            <w:r>
              <w:rPr>
                <w:rFonts w:hint="eastAsia" w:ascii="宋体" w:hAnsi="宋体" w:eastAsia="宋体" w:cs="宋体"/>
                <w:color w:val="auto"/>
                <w:sz w:val="24"/>
                <w:highlight w:val="none"/>
                <w:lang w:eastAsia="zh-CN"/>
              </w:rPr>
              <w:t xml:space="preserve">：</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对投标文件中文明、安全作业管理实施方案</w:t>
            </w:r>
            <w:r>
              <w:rPr>
                <w:rFonts w:hint="eastAsia" w:ascii="宋体" w:hAnsi="宋体" w:eastAsia="宋体" w:cs="宋体"/>
                <w:color w:val="auto"/>
                <w:sz w:val="24"/>
                <w:highlight w:val="none"/>
                <w:lang w:val="en-US" w:eastAsia="zh-CN"/>
              </w:rPr>
              <w:t xml:space="preserve">全面</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可行性</w:t>
            </w:r>
            <w:r>
              <w:rPr>
                <w:rFonts w:hint="eastAsia" w:ascii="宋体" w:hAnsi="宋体" w:eastAsia="宋体" w:cs="宋体"/>
                <w:color w:val="auto"/>
                <w:sz w:val="24"/>
                <w:highlight w:val="none"/>
              </w:rPr>
              <w:t xml:space="preserve">等进行打分，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全面性(</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分)：全面具体详实得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分；基本具备的得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right="0"/>
              <w:spacing w:before="0" w:after="0" w:line="24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本项最高得10分，无此项内容得0分。</w:t>
            </w:r>
            <w:r/>
          </w:p>
        </w:tc>
      </w:tr>
      <w:tr>
        <w:trPr>
          <w:cantSplit/>
          <w:jc w:val="center"/>
          <w:trHeight w:val="2861"/>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项目移交方案</w:t>
            </w:r>
            <w:r>
              <w:rPr>
                <w:rFonts w:hint="eastAsia" w:ascii="宋体" w:hAnsi="宋体" w:eastAsia="宋体" w:cs="宋体"/>
                <w:color w:val="auto"/>
                <w:sz w:val="24"/>
                <w:highlight w:val="none"/>
                <w:lang w:val="en-US" w:eastAsia="zh-CN"/>
              </w:rPr>
              <w:t xml:space="preserve">：</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投标文件中须提供项目移交方案，包括但不限于以下2项内</w:t>
            </w:r>
            <w:r>
              <w:rPr>
                <w:rFonts w:hint="eastAsia" w:ascii="宋体" w:hAnsi="宋体" w:eastAsia="宋体" w:cs="宋体"/>
                <w:color w:val="auto"/>
                <w:sz w:val="24"/>
                <w:highlight w:val="none"/>
                <w:lang w:val="en-US" w:eastAsia="zh-CN"/>
              </w:rPr>
              <w:t xml:space="preserve">容：</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项目接管及进场方案；</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与下一任服务单位的交接方案。</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包含上述二项内容的，每项得</w:t>
            </w: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分，最高得</w:t>
            </w: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ind w:right="0"/>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在包含上述二项内容基础上根据方案的合理性和可行性进行加分，方案合理</w:t>
            </w:r>
            <w:r>
              <w:rPr>
                <w:rFonts w:hint="eastAsia" w:ascii="宋体" w:hAnsi="宋体" w:cs="宋体"/>
                <w:color w:val="auto"/>
                <w:sz w:val="24"/>
                <w:highlight w:val="none"/>
                <w:lang w:val="en-US" w:eastAsia="zh-CN"/>
              </w:rPr>
              <w:t xml:space="preserve">全面</w:t>
            </w:r>
            <w:r>
              <w:rPr>
                <w:rFonts w:hint="default" w:ascii="宋体" w:hAnsi="宋体" w:eastAsia="宋体" w:cs="宋体"/>
                <w:color w:val="auto"/>
                <w:sz w:val="24"/>
                <w:highlight w:val="none"/>
                <w:lang w:val="en-US" w:eastAsia="zh-CN"/>
              </w:rPr>
              <w:t xml:space="preserve">、可行性</w:t>
            </w:r>
            <w:r>
              <w:rPr>
                <w:rFonts w:hint="eastAsia" w:ascii="宋体" w:hAnsi="宋体" w:cs="宋体"/>
                <w:color w:val="auto"/>
                <w:sz w:val="24"/>
                <w:highlight w:val="none"/>
                <w:lang w:val="en-US" w:eastAsia="zh-CN"/>
              </w:rPr>
              <w:t xml:space="preserve">强</w:t>
            </w:r>
            <w:r>
              <w:rPr>
                <w:rFonts w:hint="default"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分；方案</w:t>
            </w:r>
            <w:r>
              <w:rPr>
                <w:rFonts w:hint="eastAsia" w:ascii="宋体" w:hAnsi="宋体" w:cs="宋体"/>
                <w:color w:val="auto"/>
                <w:sz w:val="24"/>
                <w:highlight w:val="none"/>
                <w:lang w:val="en-US" w:eastAsia="zh-CN"/>
              </w:rPr>
              <w:t xml:space="preserve">较全面</w:t>
            </w:r>
            <w:r>
              <w:rPr>
                <w:rFonts w:hint="default" w:ascii="宋体" w:hAnsi="宋体" w:eastAsia="宋体" w:cs="宋体"/>
                <w:color w:val="auto"/>
                <w:sz w:val="24"/>
                <w:highlight w:val="none"/>
                <w:lang w:val="en-US" w:eastAsia="zh-CN"/>
              </w:rPr>
              <w:t xml:space="preserve">、可行性</w:t>
            </w:r>
            <w:r>
              <w:rPr>
                <w:rFonts w:hint="eastAsia" w:ascii="宋体" w:hAnsi="宋体" w:cs="宋体"/>
                <w:color w:val="auto"/>
                <w:sz w:val="24"/>
                <w:highlight w:val="none"/>
                <w:lang w:val="en-US" w:eastAsia="zh-CN"/>
              </w:rPr>
              <w:t xml:space="preserve">较强</w:t>
            </w:r>
            <w:r>
              <w:rPr>
                <w:rFonts w:hint="default"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分；方案</w:t>
            </w:r>
            <w:r>
              <w:rPr>
                <w:rFonts w:hint="eastAsia" w:ascii="宋体" w:hAnsi="宋体" w:cs="宋体"/>
                <w:color w:val="auto"/>
                <w:sz w:val="24"/>
                <w:highlight w:val="none"/>
                <w:lang w:val="en-US" w:eastAsia="zh-CN"/>
              </w:rPr>
              <w:t xml:space="preserve">不全面</w:t>
            </w:r>
            <w:r>
              <w:rPr>
                <w:rFonts w:hint="default" w:ascii="宋体" w:hAnsi="宋体" w:eastAsia="宋体" w:cs="宋体"/>
                <w:color w:val="auto"/>
                <w:sz w:val="24"/>
                <w:highlight w:val="none"/>
                <w:lang w:val="en-US" w:eastAsia="zh-CN"/>
              </w:rPr>
              <w:t xml:space="preserve">、可行性差的得</w:t>
            </w:r>
            <w:r>
              <w:rPr>
                <w:rFonts w:hint="eastAsia" w:ascii="宋体" w:hAnsi="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本项最高分为</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r>
      <w:tr>
        <w:trPr>
          <w:cantSplit/>
          <w:jc w:val="center"/>
          <w:trHeight w:val="1542"/>
        </w:trPr>
        <w:tc>
          <w:tcPr>
            <w:tcW w:w="1298" w:type="dxa"/>
            <w:vAlign w:val="center"/>
            <w:vMerge w:val="continue"/>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W w:w="9299" w:type="dxa"/>
            <w:vAlign w:val="center"/>
            <w:textDirection w:val="lrTb"/>
            <w:noWrap w:val="false"/>
          </w:tcPr>
          <w:p>
            <w:pPr>
              <w:ind w:right="0"/>
              <w:spacing w:before="0" w:after="0" w:line="24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其他管理方案：</w:t>
            </w:r>
            <w:r/>
          </w:p>
          <w:p>
            <w:pPr>
              <w:ind w:right="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对投标文件中野广告清理管理、交通护栏清洗等方案针对性、专业性及拟达到的效果进行打分，完善且合理得5分，比较完善得3分，不够完善得1分，不提供不得分。</w:t>
            </w:r>
            <w:r/>
          </w:p>
          <w:p>
            <w:pPr>
              <w:ind w:right="0"/>
              <w:spacing w:before="0" w:after="0" w:line="240"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本项最高分为5分。</w:t>
            </w:r>
            <w:r/>
          </w:p>
        </w:tc>
      </w:tr>
    </w:tbl>
    <w:p>
      <w:pPr>
        <w:pStyle w:val="10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w:t>
      </w:r>
      <w:r/>
    </w:p>
    <w:p>
      <w:pPr>
        <w:pStyle w:val="1204"/>
        <w:keepLines w:val="0"/>
        <w:keepNext w:val="0"/>
        <w:pageBreakBefore w:val="0"/>
        <w:spacing w:line="360" w:lineRule="auto"/>
        <w:widowControl w:val="off"/>
        <w:rPr>
          <w:rFonts w:hint="eastAsia" w:ascii="宋体" w:hAnsi="宋体" w:eastAsia="宋体" w:cs="宋体"/>
          <w:color w:val="auto"/>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4"/>
          <w:highlight w:val="none"/>
        </w:rPr>
        <w:t xml:space="preserve">（一）本项目采用综合评分法。（供应商技术部分得分取所有评委的平均值，保留小数点后二位）</w:t>
      </w:r>
      <w:r/>
    </w:p>
    <w:p>
      <w:pPr>
        <w:jc w:val="center"/>
        <w:rPr>
          <w:rFonts w:ascii="宋体" w:hAnsi="宋体" w:cs="宋体"/>
          <w:b/>
          <w:bCs/>
          <w:color w:val="auto"/>
          <w:sz w:val="24"/>
          <w:highlight w:val="none"/>
        </w:rPr>
      </w:pPr>
      <w:r>
        <w:rPr>
          <w:rFonts w:hint="eastAsia" w:ascii="宋体" w:hAnsi="宋体" w:cs="宋体"/>
          <w:b/>
          <w:bCs/>
          <w:color w:val="auto"/>
          <w:sz w:val="28"/>
          <w:szCs w:val="28"/>
          <w:highlight w:val="none"/>
        </w:rPr>
        <w:t xml:space="preserve">第五章 采购需求</w:t>
      </w:r>
      <w:bookmarkStart w:id="3" w:name="_Toc80122298"/>
      <w:r/>
      <w:bookmarkEnd w:id="3"/>
      <w:r/>
      <w:r/>
    </w:p>
    <w:p>
      <w:pPr>
        <w:numPr>
          <w:ilvl w:val="0"/>
          <w:numId w:val="0"/>
        </w:numPr>
        <w:ind w:firstLine="482"/>
        <w:jc w:val="both"/>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numPr>
          <w:ilvl w:val="0"/>
          <w:numId w:val="0"/>
        </w:numPr>
        <w:ind w:firstLine="482"/>
        <w:jc w:val="both"/>
        <w:rPr>
          <w:rFonts w:hint="eastAsia" w:ascii="宋体" w:hAnsi="宋体" w:cs="宋体"/>
          <w:bCs/>
          <w:color w:val="auto"/>
          <w:sz w:val="24"/>
          <w:highlight w:val="none"/>
        </w:rPr>
      </w:pPr>
      <w:r>
        <w:rPr>
          <w:rFonts w:hint="eastAsia" w:ascii="宋体" w:hAnsi="宋体" w:cs="宋体"/>
          <w:b/>
          <w:color w:val="auto"/>
          <w:sz w:val="24"/>
          <w:highlight w:val="none"/>
          <w:lang w:val="en-US" w:eastAsia="zh-CN"/>
        </w:rPr>
        <w:t xml:space="preserve">一、本项目不接受超过 1,985.420523万元（ 661.81 万元/年）（最高限价）的报价。</w:t>
      </w:r>
      <w:r>
        <w:rPr>
          <w:rFonts w:hint="eastAsia" w:ascii="宋体" w:hAnsi="宋体" w:cs="宋体"/>
          <w:bCs/>
          <w:color w:val="auto"/>
          <w:sz w:val="24"/>
          <w:highlight w:val="none"/>
          <w:lang w:eastAsia="zh-CN"/>
        </w:rPr>
        <w:t xml:space="preserve">采购人不再支付报价以外的任何费用。</w:t>
      </w:r>
      <w:r/>
    </w:p>
    <w:p>
      <w:pPr>
        <w:pStyle w:val="1031"/>
        <w:ind w:firstLine="482"/>
        <w:rPr>
          <w:rFonts w:hint="eastAsia"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r>
      <w:r/>
    </w:p>
    <w:p>
      <w:pPr>
        <w:pStyle w:val="1031"/>
        <w:ind w:firstLine="482"/>
        <w:rPr>
          <w:rFonts w:hint="eastAsia"/>
          <w:color w:val="auto"/>
          <w:highlight w:val="none"/>
          <w:lang w:eastAsia="zh-CN"/>
        </w:rPr>
      </w:pPr>
      <w:r>
        <w:rPr>
          <w:rFonts w:hint="eastAsia" w:ascii="宋体" w:hAnsi="宋体" w:cs="宋体"/>
          <w:b/>
          <w:color w:val="auto"/>
          <w:sz w:val="24"/>
          <w:szCs w:val="24"/>
          <w:highlight w:val="none"/>
          <w:lang w:val="en-US" w:eastAsia="zh-CN" w:bidi="ar-SA"/>
        </w:rPr>
        <w:t xml:space="preserve">二</w:t>
      </w:r>
      <w:r>
        <w:rPr>
          <w:rFonts w:hint="eastAsia" w:ascii="宋体" w:hAnsi="宋体" w:cs="宋体" w:eastAsiaTheme="minorEastAsia"/>
          <w:b/>
          <w:color w:val="auto"/>
          <w:sz w:val="24"/>
          <w:szCs w:val="24"/>
          <w:highlight w:val="none"/>
          <w:lang w:val="en-US" w:eastAsia="zh-CN" w:bidi="ar-SA"/>
        </w:rPr>
        <w:t xml:space="preserve">、服务</w:t>
      </w:r>
      <w:r>
        <w:rPr>
          <w:rFonts w:hint="eastAsia" w:ascii="宋体" w:hAnsi="宋体" w:cs="宋体" w:eastAsiaTheme="minorEastAsia"/>
          <w:b/>
          <w:bCs w:val="0"/>
          <w:color w:val="auto"/>
          <w:sz w:val="24"/>
          <w:szCs w:val="24"/>
          <w:highlight w:val="none"/>
          <w:lang w:val="en-US" w:eastAsia="zh-CN" w:bidi="ar-SA"/>
        </w:rPr>
        <w:t xml:space="preserve">期限：三</w:t>
      </w:r>
      <w:r>
        <w:rPr>
          <w:rFonts w:hint="eastAsia" w:ascii="宋体" w:hAnsi="宋体" w:eastAsia="宋体" w:cs="宋体"/>
          <w:b/>
          <w:bCs w:val="0"/>
          <w:color w:val="auto"/>
          <w:sz w:val="24"/>
          <w:szCs w:val="21"/>
          <w:highlight w:val="none"/>
          <w:lang w:val="en-US" w:eastAsia="zh-CN" w:bidi="ar-SA"/>
        </w:rPr>
        <w:t xml:space="preserve">年</w:t>
      </w:r>
      <w:r>
        <w:rPr>
          <w:rFonts w:hint="eastAsia"/>
          <w:b/>
          <w:bCs w:val="0"/>
          <w:color w:val="auto"/>
          <w:highlight w:val="none"/>
          <w:lang w:eastAsia="zh-CN"/>
        </w:rPr>
        <w:t xml:space="preserve">。</w:t>
      </w:r>
      <w:r/>
    </w:p>
    <w:p>
      <w:pPr>
        <w:numPr>
          <w:ilvl w:val="0"/>
          <w:numId w:val="0"/>
        </w:numPr>
        <w:ind w:firstLine="482"/>
        <w:jc w:val="both"/>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numPr>
          <w:ilvl w:val="0"/>
          <w:numId w:val="0"/>
        </w:numPr>
        <w:ind w:firstLine="482"/>
        <w:jc w:val="both"/>
        <w:rPr>
          <w:rFonts w:hint="eastAsia" w:ascii="宋体" w:hAnsi="宋体" w:cs="宋体"/>
          <w:b w:val="0"/>
          <w:bCs/>
          <w:color w:val="auto"/>
          <w:sz w:val="24"/>
          <w:highlight w:val="none"/>
          <w:lang w:val="en-US" w:eastAsia="zh-CN"/>
        </w:rPr>
      </w:pPr>
      <w:r>
        <w:rPr>
          <w:rFonts w:hint="eastAsia" w:ascii="宋体" w:hAnsi="宋体" w:cs="宋体"/>
          <w:b/>
          <w:color w:val="auto"/>
          <w:sz w:val="24"/>
          <w:highlight w:val="none"/>
          <w:lang w:val="en-US" w:eastAsia="zh-CN"/>
        </w:rPr>
        <w:t xml:space="preserve">三、项目概况：</w:t>
      </w:r>
      <w:r/>
    </w:p>
    <w:p>
      <w:pPr>
        <w:numPr>
          <w:ilvl w:val="0"/>
          <w:numId w:val="0"/>
        </w:numPr>
        <w:ind w:firstLine="789"/>
        <w:jc w:val="both"/>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val="0"/>
          <w:bCs/>
          <w:color w:val="auto"/>
          <w:sz w:val="24"/>
          <w:highlight w:val="none"/>
          <w:lang w:val="en-US" w:eastAsia="zh-CN"/>
        </w:rPr>
        <w:t xml:space="preserve">邳州市各镇（区）所属的现有26座农村生活垃圾中转站、其它临时堆放点及新建中转站的生活垃圾转运至光大环保能源(邳州)有限公司(邳州市经济开发区平果西路)，车辆由乙方自购（22辆，其中密闭车20辆，应急车2辆）。</w:t>
      </w:r>
      <w:r/>
    </w:p>
    <w:p>
      <w:pPr>
        <w:numPr>
          <w:ilvl w:val="0"/>
          <w:numId w:val="0"/>
        </w:numPr>
        <w:ind w:firstLine="482"/>
        <w:jc w:val="both"/>
        <w:rPr>
          <w:rFonts w:hint="eastAsia" w:ascii="宋体" w:hAnsi="宋体" w:cs="宋体"/>
          <w:b/>
          <w:bCs/>
          <w:color w:val="auto"/>
          <w:sz w:val="24"/>
          <w:highlight w:val="none"/>
          <w:lang w:val="en-US" w:eastAsia="zh-CN"/>
        </w:rPr>
      </w:pPr>
      <w:r>
        <w:rPr>
          <w:rFonts w:hint="eastAsia" w:ascii="宋体" w:hAnsi="宋体" w:cs="宋体"/>
          <w:b/>
          <w:color w:val="auto"/>
          <w:sz w:val="24"/>
          <w:highlight w:val="none"/>
          <w:lang w:val="en-US" w:eastAsia="zh-CN"/>
        </w:rPr>
        <w:t xml:space="preserve">四、</w:t>
      </w:r>
      <w:r>
        <w:rPr>
          <w:rFonts w:hint="eastAsia" w:ascii="宋体" w:hAnsi="宋体" w:cs="宋体"/>
          <w:b/>
          <w:bCs/>
          <w:color w:val="auto"/>
          <w:sz w:val="24"/>
          <w:highlight w:val="none"/>
          <w:lang w:val="en-US" w:eastAsia="zh-CN"/>
        </w:rPr>
        <w:t xml:space="preserve">项目要求：</w:t>
      </w:r>
      <w:r/>
    </w:p>
    <w:p>
      <w:pPr>
        <w:numPr>
          <w:ilvl w:val="0"/>
          <w:numId w:val="0"/>
        </w:numPr>
        <w:ind w:firstLine="789"/>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乙方购置的农村生活垃圾运输车辆须为密闭式生活垃圾运输专用车辆，车辆外观严格按照邳州市城管局要求进行喷涂，车辆排放达到国6及以上标准，车体规格尺寸要于现有中转站紧密衔接和无缝对接，</w:t>
      </w:r>
      <w:r>
        <w:rPr>
          <w:rFonts w:hint="eastAsia" w:ascii="宋体" w:hAnsi="宋体" w:cs="宋体"/>
          <w:bCs/>
          <w:color w:val="auto"/>
          <w:sz w:val="24"/>
          <w:highlight w:val="none"/>
          <w:lang w:val="en-US" w:eastAsia="zh-CN"/>
        </w:rPr>
        <w:t xml:space="preserve">要求为2021年以后的车辆（含2021年），</w:t>
      </w:r>
      <w:r>
        <w:rPr>
          <w:rFonts w:hint="eastAsia" w:ascii="宋体" w:hAnsi="宋体" w:cs="宋体"/>
          <w:bCs/>
          <w:color w:val="auto"/>
          <w:sz w:val="24"/>
          <w:highlight w:val="none"/>
          <w:lang w:eastAsia="zh-CN"/>
        </w:rPr>
        <w:t xml:space="preserve">技术参数约为：轴距：4500mm，轮距前轮1920mm，轮距后轮1860mm，后悬1890mm、前悬1400mm，最大设计总质量18000kg，车辆底盘、发动机均为知名厂家生产的知名品牌。乙方要负责办理所有车辆正常上户手续。</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、乙方按甲方要求在合同范畴内的中转站安装远程即时监控系统，建立智慧环卫平台，终端监视器及数据集中存储在城管局机房。</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、乙方在垃圾运输过程中严格做到密闭运输，无抛洒滴漏现象，无垃圾飞扬、洒落、拖挂现象，保持车容整洁,标志清晰。</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乙方保证中转站压缩后的垃圾及城管局安排运输的垃圾做到及时清运、日产日清,确保中转站无过夜垃圾，垃圾运输人员要主动与中转站管理人员搞好协调配合,接受中转站管理人员和垃圾焚烧发电厂的调度和指挥,并自觉服从甲方的监督、检查和行政执法监管。</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、乙方在履行合同过程中出现违反合同条款情况的，按照相对应的合同条款进行处罚，违反相关法规的则按照相关法规条款进行行政处罚。</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eastAsia="zh-CN"/>
        </w:rPr>
        <w:t xml:space="preserve">、乙方须配备有专用的办公场地、停车场及办公硬件设施齐备，运输作业管理</w:t>
      </w:r>
      <w:r>
        <w:rPr>
          <w:rFonts w:hint="eastAsia" w:ascii="宋体" w:hAnsi="宋体" w:cs="宋体"/>
          <w:bCs/>
          <w:color w:val="auto"/>
          <w:sz w:val="24"/>
          <w:highlight w:val="none"/>
          <w:lang w:val="en-US" w:eastAsia="zh-CN"/>
        </w:rPr>
        <w:t xml:space="preserve">规</w:t>
      </w:r>
      <w:r>
        <w:rPr>
          <w:rFonts w:hint="eastAsia" w:ascii="宋体" w:hAnsi="宋体" w:cs="宋体"/>
          <w:bCs/>
          <w:color w:val="auto"/>
          <w:sz w:val="24"/>
          <w:highlight w:val="none"/>
          <w:lang w:eastAsia="zh-CN"/>
        </w:rPr>
        <w:t xml:space="preserve">范,台账资料齐全，人员管理制度和生活垃圾运输车辆管理制度健全并得到有效落实，保持车况良好、车容整洁、无破损,按照甲方规定统一喷涂甲方规定标识编号。</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lang w:eastAsia="zh-CN"/>
        </w:rPr>
        <w:t xml:space="preserve">、乙方在垃圾运输过程中服从指挥调度,严格落实垃圾转运“三联单”制度，严格按照规定要求过磅和装卸。</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lang w:eastAsia="zh-CN"/>
        </w:rPr>
        <w:t xml:space="preserve">、乙方承担垃圾运输合同履行过程中的安全责任和其它所有责任,必须为垃圾运输车辆、办公监管车辆及相关人员购买保险,乙方产生的所有费用均由乙方承担。</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lang w:eastAsia="zh-CN"/>
        </w:rPr>
        <w:t xml:space="preserve">、乙方所购置的垃圾运输车辆合同期满后产权归甲方所有。</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lang w:eastAsia="zh-CN"/>
        </w:rPr>
        <w:t xml:space="preserve">、乙方须配备车辆一台用于日常管理。</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lang w:eastAsia="zh-CN"/>
        </w:rPr>
        <w:t xml:space="preserve">、乙方负责项目服务周期内车辆的维修及保养，在车辆出现故障需及时维修，不得耽误项目运转，甲方不在另行支付其费用</w:t>
      </w:r>
      <w:r/>
    </w:p>
    <w:p>
      <w:pPr>
        <w:numPr>
          <w:ilvl w:val="0"/>
          <w:numId w:val="0"/>
        </w:numPr>
        <w:ind w:firstLine="482"/>
        <w:jc w:val="both"/>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lang w:eastAsia="zh-CN"/>
        </w:rPr>
        <w:t xml:space="preserve">、乙方负责为本项目员工购买保险，保证项目人员在作业时的人身安全，在项目服务期间作业人员出现人身安全由乙方予以处理，与甲方无关。</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五、人员配备要求</w:t>
      </w:r>
      <w:r/>
    </w:p>
    <w:p>
      <w:pPr>
        <w:pStyle w:val="1025"/>
        <w:ind w:left="0" w:right="0" w:firstLine="0"/>
        <w:jc w:val="left"/>
        <w:keepLines w:val="0"/>
        <w:keepNext w:val="0"/>
        <w:pageBreakBefore w:val="0"/>
        <w:spacing w:after="0" w:line="360" w:lineRule="auto"/>
        <w:widowControl w:val="off"/>
        <w:rPr>
          <w:rFonts w:hint="default"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1、本项目需要配备司机22名，要求具备相应的驾驶证及资格证，年龄不超过55周岁。</w:t>
      </w:r>
      <w:r/>
    </w:p>
    <w:p>
      <w:pPr>
        <w:numPr>
          <w:ilvl w:val="0"/>
          <w:numId w:val="0"/>
        </w:numPr>
        <w:jc w:val="left"/>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2、本项目需要管理人员2名，其中项目经理要求</w:t>
      </w:r>
      <w:r>
        <w:rPr>
          <w:rFonts w:hint="eastAsia" w:ascii="宋体" w:hAnsi="宋体" w:cs="宋体"/>
          <w:bCs/>
          <w:color w:val="auto"/>
          <w:sz w:val="24"/>
          <w:szCs w:val="21"/>
          <w:highlight w:val="none"/>
          <w:lang w:val="en-US" w:eastAsia="zh-CN" w:bidi="ar-SA"/>
        </w:rPr>
        <w:t xml:space="preserve">专</w:t>
      </w:r>
      <w:r>
        <w:rPr>
          <w:rFonts w:hint="eastAsia" w:ascii="宋体" w:hAnsi="宋体" w:eastAsia="宋体" w:cs="宋体"/>
          <w:bCs/>
          <w:color w:val="auto"/>
          <w:sz w:val="24"/>
          <w:szCs w:val="21"/>
          <w:highlight w:val="none"/>
          <w:lang w:val="en-US" w:eastAsia="zh-CN" w:bidi="ar-SA"/>
        </w:rPr>
        <w:t xml:space="preserve">科及以上学历。</w:t>
      </w:r>
      <w:r/>
    </w:p>
    <w:p>
      <w:pPr>
        <w:pStyle w:val="1025"/>
        <w:ind w:left="0" w:firstLine="0"/>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Cs/>
          <w:color w:val="auto"/>
          <w:sz w:val="24"/>
          <w:szCs w:val="21"/>
          <w:highlight w:val="none"/>
          <w:lang w:val="en-US" w:eastAsia="zh-CN" w:bidi="ar-SA"/>
        </w:rPr>
        <w:t xml:space="preserve">3、投标单位需要在中标后为本项目人员提供定期体检。</w:t>
      </w:r>
      <w:r/>
    </w:p>
    <w:p>
      <w:pPr>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0"/>
        </w:numPr>
        <w:jc w:val="left"/>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lang w:eastAsia="zh-CN"/>
        </w:rPr>
        <w:t xml:space="preserve">其他要求</w:t>
      </w:r>
      <w:r>
        <w:rPr>
          <w:rFonts w:hint="eastAsia" w:ascii="宋体" w:hAnsi="宋体" w:cs="宋体"/>
          <w:b/>
          <w:bCs/>
          <w:color w:val="auto"/>
          <w:sz w:val="24"/>
          <w:highlight w:val="none"/>
        </w:rPr>
        <w:t xml:space="preserve">  </w:t>
      </w:r>
      <w:r>
        <w:rPr>
          <w:rFonts w:hint="eastAsia" w:ascii="宋体" w:hAnsi="宋体" w:cs="宋体"/>
          <w:color w:val="auto"/>
          <w:sz w:val="24"/>
          <w:highlight w:val="none"/>
          <w:lang w:val="en-US" w:eastAsia="zh-CN"/>
        </w:rPr>
        <w:t xml:space="preserve">详</w:t>
      </w:r>
      <w:r>
        <w:rPr>
          <w:rFonts w:hint="eastAsia" w:ascii="宋体" w:hAnsi="宋体" w:cs="宋体"/>
          <w:color w:val="auto"/>
          <w:sz w:val="24"/>
          <w:highlight w:val="none"/>
          <w:lang w:eastAsia="zh-CN"/>
        </w:rPr>
        <w:t xml:space="preserve">见招标文件第五章《拟签订的合同文本》。</w:t>
      </w:r>
      <w:r/>
    </w:p>
    <w:p>
      <w:pPr>
        <w:pStyle w:val="1041"/>
        <w:numPr>
          <w:ilvl w:val="0"/>
          <w:numId w:val="0"/>
        </w:numPr>
        <w:keepLines w:val="0"/>
        <w:keepNext w:val="0"/>
        <w:pageBreakBefore w:val="0"/>
        <w:spacing w:line="360" w:lineRule="auto"/>
        <w:widowControl w:val="off"/>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注：投标人需仔细阅读本项目招标文件全部内容，需在投标文件中对招标文件所要求内容及要求进行响应，如有偏离（正、负偏离）需在投标文件中逐条列出。</w:t>
      </w:r>
      <w:r/>
    </w:p>
    <w:p>
      <w:pPr>
        <w:pStyle w:val="1204"/>
        <w:keepLines w:val="0"/>
        <w:keepNext w:val="0"/>
        <w:pageBreakBefore w:val="0"/>
        <w:spacing w:line="360" w:lineRule="auto"/>
        <w:widowControl w:val="off"/>
        <w:rPr>
          <w:color w:val="auto"/>
          <w:highlight w:val="none"/>
        </w:rPr>
      </w:pPr>
      <w:r>
        <w:rPr>
          <w:color w:val="auto"/>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0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第六章 拟签订的合同文本</w:t>
      </w:r>
      <w:r/>
    </w:p>
    <w:p>
      <w:pPr>
        <w:pStyle w:val="1221"/>
        <w:rPr>
          <w:color w:val="auto"/>
          <w:highlight w:val="none"/>
        </w:rPr>
      </w:pP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101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101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101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101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101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101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1011"/>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015"/>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友情提醒：采购人与中标、成交供应商应当在中标、成交通知书发出之日起三十日内，按照采购文件确定的事项签订政府采购合同。</w:t>
      </w:r>
      <w:r/>
    </w:p>
    <w:p>
      <w:pPr>
        <w:pStyle w:val="101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96"/>
        <w:ind w:firstLine="602"/>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合同通用条款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1.1“买方”是指在《合同专用条款》中指明为买方的依法进行政府采购的国家机关、事业单位、团体组织。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1.2“卖方”是指投标文件为买方接受且在合同协议书中被指定为卖方的法人。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1.3“工作现场”是指《合同专用条款》规定的安装所在地。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1.4“合同标的”是指卖方提供的标的、备件、材料或其中任何一部分，详见合同附件1。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1.5“技术资料”是指与合同标的的检验、安装、试运行、验收、操作以及维修有关的技术指标、规格、图纸和文件。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1.6“技术培训”是指在合同标的的安装、试运行、验收、操作、维修以及其他工作等方面卖方给予买方的培训。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“安装”是指有关标的、备件和材料的安装工作，包括按照设计图将零部件放置在适当的位置并连接起来。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1.8“试运行”是指为验明合同标的的性能，在安装完毕后对单台标的和一系列标的分别进行的测试。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1.9“验收”是指根据合同附件2的规定进行的，用以确定合同设备是否达到合同附件2 所规定的技术性能的检验，以及合同标的在达到合同附件2 规定的技术性能之后，买方对合同设备的接受。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1.10“合同货币”是指《合同专用条款》规定的本合同项下的支付中所使用的货币。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“合同价格”是指在卖方完全和适当地履行其合同义务后，买方根据合同规定应支付给卖方的价款。详见合同附件1。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1.12“合同生效日”是指在《合同协议书》第5 条的所有条件得到履行时的日期。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2.1买方同意从卖方购买、卖方同意向买方出售和提供《合同专用条款》中规定的“合同标的”以及相关售后服务、技术培训和技术资料。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2.2合同标的的原产地国家和制造商规定于《合同专用条款》中。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3.1本合同总价为《合同专用条款》标明的金额。合同总价是固定价格。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4.1买方应根据《合同专用条款》规定的支付方式进行支付。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4.2如果卖方未能及时提交支付文件，由此发生的所有费用，均应由卖方承担。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4.3卖方有义务根据合同的规定向买方支付违约金和/或赔偿金时，买方有权从上述任何一笔应付款中予以扣除。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5.1卖方应按照《合同专用条款》规定的交货期限、批次和交货条件交付合同标的。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5.2交货地点规定于《合同专用条款》。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5.3在《合同专用条款》规定的期限内，卖方应将合同号、标的的名称、数量、金额、包装件数以及交货的时间以传真方式通知买方。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5.4.1卖方负责将标的送至《合同专用条款》规定的交货地点。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5.5如果卖方未能按照合同规定的交货期间交货，卖方应按《合同专用条款》的规定支付迟交违约金或提供其他救济。迟交违约金的支付不能免除卖方继续交付相关合同标的的义务。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6.1除非合同中另有规定，合同标的应保持厂家原包装完好。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装箱明细单；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质量合格证；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相关合同标的的技术资料一份；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标的包装不当或采取防护措施不充分致使标的损坏或丢失时，卖方均应按合同的规定负责修理、更换或赔偿。如果因卖方在包装和标记方面发生的错误或混淆不清事宜造成合同设备的误运，卖方应承担由此发生的额外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卖方应按照《合同专用条款》规定的期限和方式交付技术资料。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检验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8.1在《合同专用条款》规定的期限内，买方应就合同标的的外观、规格和数量进行检验。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安装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合同标的的安装应按照《合同专用条款》的规定进行。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验收和售后服务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10.1合同标的的试运行、验收应按照《合同专用条款》的规定进行。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10.2如果合同附件2 所规定的所有性能指标在验收中都已经达到，双方授权代表应在验收合格后5 日内签署合同标的的验收报告。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10.3如果试运行和/或验收因卖方原因发生迟延和/ 或在其它情况下发生额外费用，双方应根据《合同专用条款》的规定进行处理。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11.1如果合同标的在检验、安装、试运行和验收中卖方未能履行其在本合同项下承担的义务，买方有权向卖方提出索赔并寻求《合同专用条款》中规定的救济方式，救济方式包括：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由卖方自负费用以新标的替换有缺陷的合同标的。卖方应自负风险和费用将替换后的标的或补供的标的运抵工作现场。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按质量低劣的程度、买方受损害的程度及损失的数额对合同设备进行降价。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11.2如果索赔通知是在保证期满后30 日内提出的，便应被认为是有效的。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如果卖方在收到买方索赔要求后《合同专用条款》规定的期限内未能作出回复，该索赔要求将被视为已被卖方接受。如卖方未能在买方发出索赔通知后《合同专用条款》规定的期限内或买方同意的延长期限内，按照买方同意的上述规定的任何一种方法解决索赔事宜，买方有权从议付货款或从卖方开具的履约保证金中扣回索赔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 日内以航空挂号信将有关当局或机构出具的证明文件提交给另一方。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12.2受不可抗力事件影响的合同一方对于不可抗力事件导致的任何合同义务的迟延履行或不能履行不承担责任。但该方应尽快以传真的方式将不可抗力事件结束或消除的情况通知另一方。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合同期限也应相应延长。如果不可抗力事件的影响持续超过《合同专用条款》规定的期限，合同任何一方均有权以书面通知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13.1如果卖方有下述违约行为之一或《合同专用条款》中规定的其他违约行为，在不妨碍买方采取其它救济手段的情况下，买方可以向卖方发出书面违约通知，全部或部分的终止合同。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卖方在合同规定的交货期后未能按《合同专用条款》中规定的最终期限交付合同标的和/或技术资料；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卖方未能使合同标的达到合同附件2 规定的技术性能；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卖方未能履行合同项下任何其它义务(细微义务除外)，并且在收到买方违约通知后未能按《合同专用条款》中规定的期限对其违约行为作出补救。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13.3如果买方认定卖方在投标或执行合同中有腐败或欺诈行为,买方有权在任何时候发出书面通知终止合同。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因执行本合同所发生的或者与本合同有关的一切争议将由合同双方通过友好协商解决。如果不能协商一致，可按《合同专用条款》的规定向邳州市人民法院提起诉讼。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本合同的执行和争议的解决应适用中华人民共和国的法律进行解释。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合同生效及其他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16.1本合同在合同协议书规定的条件全部满足后生效。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16.2合同项下全部权利义务履行完毕后，本合同自动失效。合同到期后，合同项下任何尚未了结的债权和债务不受合同到期的影响。债务人仍应向债权人履行其义务。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16.3双方应各自承担中国税务机构向其征收的与执行本合同有关的税费。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16.4合同双方除非《合同专用条款》另有规定，所有合同文件及相关的修订和合同双方之间的书面联络，应使用中文书就并按中文解释。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16.5对本合同条款的任何补充、增添或修改应以书面方式进行并由双方授权代表签字。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16.6没有另一方的事先同意，合同任何一方不得将合同项下的任何权利和义务转让给第三方。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16.8除非上下文另有要求，本文件中的单数含意包括复数，复数也包括单数。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16.9合同条款中的标题和边注仅供参考使用，不应视为合同的一部分，也不影响本文的解释。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16.10合同构成买方和卖方之间就合同主要内容方面的完整协议，并且取代合同签订前所有关于这方面的通讯、协商、协议(不论是书面的，还是口头的)。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16.11合同双方之间的一切联络往来应以书面形式按《合同专用条款》中规定的地址发往合同另一方。有关重要事项的传真应及时用挂号信或快件确认。</w:t>
      </w:r>
      <w:r/>
    </w:p>
    <w:p>
      <w:pPr>
        <w:ind w:firstLine="480"/>
        <w:jc w:val="center"/>
        <w:rPr>
          <w:rFonts w:hint="eastAsia" w:ascii="仿宋" w:hAnsi="仿宋" w:eastAsia="仿宋" w:cs="仿宋"/>
          <w:sz w:val="30"/>
          <w:szCs w:val="30"/>
          <w:highlight w:val="none"/>
        </w:rPr>
      </w:pPr>
      <w:r>
        <w:rPr>
          <w:rFonts w:hint="eastAsia" w:ascii="仿宋" w:hAnsi="仿宋" w:eastAsia="仿宋" w:cs="仿宋"/>
          <w:highlight w:val="none"/>
        </w:rPr>
        <w:br w:type="page" w:clear="all"/>
      </w:r>
      <w:r>
        <w:rPr>
          <w:rFonts w:hint="eastAsia" w:ascii="仿宋" w:hAnsi="仿宋" w:eastAsia="仿宋" w:cs="仿宋"/>
          <w:sz w:val="30"/>
          <w:szCs w:val="30"/>
          <w:highlight w:val="none"/>
        </w:rPr>
        <w:t xml:space="preserve">合同专用条款</w:t>
      </w:r>
      <w:r/>
    </w:p>
    <w:p>
      <w:pPr>
        <w:ind w:firstLine="560"/>
        <w:jc w:val="center"/>
        <w:spacing w:line="480" w:lineRule="auto"/>
        <w:rPr>
          <w:rStyle w:val="1249"/>
          <w:rFonts w:hint="eastAsia" w:ascii="仿宋" w:hAnsi="仿宋" w:eastAsia="仿宋" w:cs="仿宋"/>
          <w:sz w:val="28"/>
          <w:szCs w:val="28"/>
          <w:highlight w:val="none"/>
        </w:rPr>
      </w:pPr>
      <w:r>
        <w:rPr>
          <w:rStyle w:val="1249"/>
          <w:rFonts w:hint="eastAsia" w:ascii="仿宋" w:hAnsi="仿宋" w:eastAsia="仿宋" w:cs="仿宋"/>
          <w:sz w:val="28"/>
          <w:szCs w:val="28"/>
          <w:highlight w:val="none"/>
        </w:rPr>
        <w:t xml:space="preserve">生活垃圾运输承包合同书</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甲方(全称):邳州市城市管理局</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乙方(全称):</w:t>
      </w:r>
      <w:r/>
    </w:p>
    <w:p>
      <w:pPr>
        <w:ind w:left="-199"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依据《中华人民共和国民法典》及其它有关法律、行政法规,遵守平等、自愿、公平和诚实信用的原则,双方就邳州各乡镇、园区生活垃圾运输服务等有关事项协商一致,订立本合同。</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一、合同内容及承包范围</w:t>
      </w:r>
      <w:r/>
    </w:p>
    <w:p>
      <w:pPr>
        <w:ind w:left="-199"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1.1、乙方负责将邳州各乡镇26座中转站的生活垃圾运至光大环保能源(邳州)有限公司(邳州市经济开发区平果西路)。</w:t>
      </w:r>
      <w:r/>
    </w:p>
    <w:p>
      <w:pPr>
        <w:ind w:left="-199"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1.2、乙方所购置的垃圾运输车辆合同期满后产权归甲方所有。</w:t>
      </w:r>
      <w:r/>
    </w:p>
    <w:p>
      <w:pPr>
        <w:ind w:left="-199"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1.3、乙方须配备车辆一台用于日常管理。</w:t>
      </w:r>
      <w:r/>
    </w:p>
    <w:p>
      <w:pPr>
        <w:ind w:left="-199"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1.4、乙方需按甲方要求将邳州市各乡镇26座垃圾中转站加装远程监控系统，数据集中存储在城管局机房，详细清单见附件一。</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二、垃圾运输作业要求和考核标准</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2、1、作业规定和要求</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2.1.1、生活垃圾运输车辆必须是密闭式专用垃圾运输车辆,必须具有渗滤液收集装置且能正常使用。</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2.1.2、垃圾运输车辆在作业运输过程中应做到无垃圾飞扬、洒落、拖挂和渗滤液滴漏等现象。</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2.1.3、垃圾运输车辆应按照甲方要求进行外观涂装，且要保持车容整洁,标志清晰,车体无污物、灰垢。</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2.1.4、中转站压缩后的垃圾及时清运,日产日清,确保中转站无过夜垃圾。</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2.1.5、垃圾运输人员要主动与中转站管理人员搞好协调配合,接受中转站管理人员和垃圾焚烧发电厂的调度和指挥,并自觉服从甲方的监督、检查和行政执法监管。</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2.1.6、未经甲方同意和安排，乙方不得转运本合同规定范围以外的任何垃圾,不得接收和转运任何第三方垃圾。未经甲方同意和认可,乙方不得转运中转站以外的任何垃圾,不得接收清运其他垃圾。</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2.1.7、乙方生活垃圾转运线路须报甲方审核，经甲方批准同意后方可实施。</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2.1.8、乙方雇佣的运输车辆司机需持有效证件上路,并安全行驶,文明驾车。</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2.2、考核内容</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2.2.1、乙方办公场地、专用停车场及办公硬件设施齐备，运输作业管理现范,台账资料齐全。</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2.2.2、中转站生活垃圾及时清运,日产日清。</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2.2.3、生活垃圾运输车辆车况良好,车容整洁,无破损,按照规定要求统一喷涂甲方规定标识编号。</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2.2.4、生活垃圾密闭运输,途中无抛、洒、滴、漏现象,无二次污染行为。</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2.2.5、生活垃圾运输要服从指挥调度,并按规定要求过磅和装卸。</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2.2.6、甲方可根据工作需要,增加考核内容。</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2、3、考核检查处罚标准</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2.3.1、乙方未按甲方审核批准线路转运垃圾的,每次给予</w:t>
      </w:r>
      <w:r>
        <w:rPr>
          <w:rStyle w:val="1249"/>
          <w:rFonts w:hint="eastAsia" w:ascii="仿宋" w:hAnsi="仿宋" w:eastAsia="仿宋" w:cs="仿宋"/>
          <w:highlight w:val="none"/>
          <w:lang w:val="en-US"/>
        </w:rPr>
        <w:t xml:space="preserve">1000</w:t>
      </w:r>
      <w:r>
        <w:rPr>
          <w:rStyle w:val="1249"/>
          <w:rFonts w:hint="eastAsia" w:ascii="仿宋" w:hAnsi="仿宋" w:eastAsia="仿宋" w:cs="仿宋"/>
          <w:highlight w:val="none"/>
        </w:rPr>
        <w:t xml:space="preserve">元经济处罚。</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2.3.2、乙方办公场所、专用停车场、办公设施设备、台账资料不齐全的,每次给予</w:t>
      </w:r>
      <w:r>
        <w:rPr>
          <w:rStyle w:val="1249"/>
          <w:rFonts w:hint="eastAsia" w:ascii="仿宋" w:hAnsi="仿宋" w:eastAsia="仿宋" w:cs="仿宋"/>
          <w:highlight w:val="none"/>
          <w:lang w:val="en-US"/>
        </w:rPr>
        <w:t xml:space="preserve">1000</w:t>
      </w:r>
      <w:r>
        <w:rPr>
          <w:rStyle w:val="1249"/>
          <w:rFonts w:hint="eastAsia" w:ascii="仿宋" w:hAnsi="仿宋" w:eastAsia="仿宋" w:cs="仿宋"/>
          <w:highlight w:val="none"/>
        </w:rPr>
        <w:t xml:space="preserve">元经济处罚。</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2.3.3、乙方负责中转站内的垃圾，未能日产日清的,每发现一次给予</w:t>
      </w:r>
      <w:r>
        <w:rPr>
          <w:rStyle w:val="1249"/>
          <w:rFonts w:hint="eastAsia" w:ascii="仿宋" w:hAnsi="仿宋" w:eastAsia="仿宋" w:cs="仿宋"/>
          <w:highlight w:val="none"/>
          <w:lang w:val="en-US"/>
        </w:rPr>
        <w:t xml:space="preserve">1000</w:t>
      </w:r>
      <w:r>
        <w:rPr>
          <w:rStyle w:val="1249"/>
          <w:rFonts w:hint="eastAsia" w:ascii="仿宋" w:hAnsi="仿宋" w:eastAsia="仿宋" w:cs="仿宋"/>
          <w:highlight w:val="none"/>
        </w:rPr>
        <w:t xml:space="preserve">元经济处罚。</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2.3.4、乙方垃圾运输车辆未按规定喷涂标识编号的,每辆/次给予</w:t>
      </w:r>
      <w:r>
        <w:rPr>
          <w:rStyle w:val="1249"/>
          <w:rFonts w:hint="eastAsia" w:ascii="仿宋" w:hAnsi="仿宋" w:eastAsia="仿宋" w:cs="仿宋"/>
          <w:highlight w:val="none"/>
          <w:lang w:val="en-US"/>
        </w:rPr>
        <w:t xml:space="preserve">2000</w:t>
      </w:r>
      <w:r>
        <w:rPr>
          <w:rStyle w:val="1249"/>
          <w:rFonts w:hint="eastAsia" w:ascii="仿宋" w:hAnsi="仿宋" w:eastAsia="仿宋" w:cs="仿宋"/>
          <w:highlight w:val="none"/>
        </w:rPr>
        <w:t xml:space="preserve">元经济处罚。</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2.3.5、乙方垃圾运输车辆车容不整洁、破损的,每次给予</w:t>
      </w:r>
      <w:r>
        <w:rPr>
          <w:rStyle w:val="1249"/>
          <w:rFonts w:hint="eastAsia" w:ascii="仿宋" w:hAnsi="仿宋" w:eastAsia="仿宋" w:cs="仿宋"/>
          <w:highlight w:val="none"/>
          <w:lang w:val="en-US"/>
        </w:rPr>
        <w:t xml:space="preserve">1000</w:t>
      </w:r>
      <w:r>
        <w:rPr>
          <w:rStyle w:val="1249"/>
          <w:rFonts w:hint="eastAsia" w:ascii="仿宋" w:hAnsi="仿宋" w:eastAsia="仿宋" w:cs="仿宋"/>
          <w:highlight w:val="none"/>
        </w:rPr>
        <w:t xml:space="preserve">元经济处罚。</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2.3.6、乙方垃圾运输过程中有抛、洒、滴、漏等现象的，每次给予</w:t>
      </w:r>
      <w:r>
        <w:rPr>
          <w:rStyle w:val="1249"/>
          <w:rFonts w:hint="eastAsia" w:ascii="仿宋" w:hAnsi="仿宋" w:eastAsia="仿宋" w:cs="仿宋"/>
          <w:highlight w:val="none"/>
          <w:lang w:val="en-US"/>
        </w:rPr>
        <w:t xml:space="preserve">1000</w:t>
      </w:r>
      <w:r>
        <w:rPr>
          <w:rStyle w:val="1249"/>
          <w:rFonts w:hint="eastAsia" w:ascii="仿宋" w:hAnsi="仿宋" w:eastAsia="仿宋" w:cs="仿宋"/>
          <w:highlight w:val="none"/>
        </w:rPr>
        <w:t xml:space="preserve">元经济处罚，违反相关法规的按照相关法规规定条款进行处罚。</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2.3.7、乙方出现未按规定过磅卸载、人为增加垃圾重量等违规行为的，第一次给予1000元经济处罚，第二次给予5000元经济处罚，第三次给予10000元经济处罚，以此类推。</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2.3.8、乙方垃圾清运司机未持有效证件上岗的,第一次给予1000元经济处罚，第二次给于5000元经济处罚,第三次给予10000元经济处罚，以此类推。</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2.3.9、乙方垃圾清运车辆违法行驶的,发现第一次给予1000元经济处罚,第2次给予2000元经济处罚,以此类推。</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2.3.10、甲方接到各镇、园区、光大发电厂、市民等单位(个人)对乙方投诉的，经甲方核实属乙方责任的,每次给予</w:t>
      </w:r>
      <w:r>
        <w:rPr>
          <w:rStyle w:val="1249"/>
          <w:rFonts w:hint="eastAsia" w:ascii="仿宋" w:hAnsi="仿宋" w:eastAsia="仿宋" w:cs="仿宋"/>
          <w:highlight w:val="none"/>
          <w:lang w:val="en-US"/>
        </w:rPr>
        <w:t xml:space="preserve">1000</w:t>
      </w:r>
      <w:r>
        <w:rPr>
          <w:rStyle w:val="1249"/>
          <w:rFonts w:hint="eastAsia" w:ascii="仿宋" w:hAnsi="仿宋" w:eastAsia="仿宋" w:cs="仿宋"/>
          <w:highlight w:val="none"/>
        </w:rPr>
        <w:t xml:space="preserve">元经济处罚。</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2.3.11甲方每月对乙方进行百分制考核，每月运输费用乘以甲方百分比（须经乙方签字认可）作为乙方好司机费用支出。</w:t>
      </w:r>
      <w:r/>
    </w:p>
    <w:p>
      <w:pPr>
        <w:pStyle w:val="1025"/>
        <w:ind w:left="0" w:firstLine="480"/>
        <w:rPr>
          <w:rFonts w:hint="default"/>
          <w:highlight w:val="none"/>
          <w:lang w:val="en-US"/>
        </w:rPr>
      </w:pPr>
      <w:r>
        <w:rPr>
          <w:rStyle w:val="1249"/>
          <w:rFonts w:hint="eastAsia" w:ascii="仿宋" w:hAnsi="仿宋" w:eastAsia="仿宋" w:cs="仿宋"/>
          <w:highlight w:val="none"/>
        </w:rPr>
        <w:t xml:space="preserve">2.3.1</w:t>
      </w:r>
      <w:r>
        <w:rPr>
          <w:rStyle w:val="1249"/>
          <w:rFonts w:hint="eastAsia" w:ascii="仿宋" w:hAnsi="仿宋" w:eastAsia="仿宋" w:cs="仿宋"/>
          <w:highlight w:val="none"/>
          <w:lang w:val="en-US"/>
        </w:rPr>
        <w:t xml:space="preserve">2以上考核内容根据甲方具体要求进行细化调整。</w:t>
      </w:r>
      <w:r/>
    </w:p>
    <w:p>
      <w:pPr>
        <w:pStyle w:val="1025"/>
        <w:ind w:firstLine="560"/>
        <w:rPr>
          <w:rFonts w:hint="eastAsia" w:ascii="仿宋" w:hAnsi="仿宋" w:cs="仿宋"/>
          <w:highlight w:val="none"/>
        </w:rPr>
      </w:pPr>
      <w:r>
        <w:rPr>
          <w:rFonts w:hint="eastAsia" w:ascii="仿宋" w:hAnsi="仿宋" w:cs="仿宋"/>
          <w:highlight w:val="none"/>
        </w:rPr>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2.4、甲乙双方责任和义务</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2.4.1、乙方负责办理垃圾运输所涉及的各项批文等手读,甲方有协调义务。</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2.4.</w:t>
      </w:r>
      <w:r>
        <w:rPr>
          <w:rStyle w:val="1249"/>
          <w:rFonts w:hint="eastAsia" w:ascii="仿宋" w:hAnsi="仿宋" w:eastAsia="仿宋" w:cs="仿宋"/>
          <w:highlight w:val="none"/>
          <w:lang w:val="en-US"/>
        </w:rPr>
        <w:t xml:space="preserve">2</w:t>
      </w:r>
      <w:r>
        <w:rPr>
          <w:rStyle w:val="1249"/>
          <w:rFonts w:hint="eastAsia" w:ascii="仿宋" w:hAnsi="仿宋" w:eastAsia="仿宋" w:cs="仿宋"/>
          <w:highlight w:val="none"/>
        </w:rPr>
        <w:t xml:space="preserve">、乙方承担运输中的安全责任,并必须为车辆及相关人员购买保险,所有的安全责任,由乙方承担。</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2.4.</w:t>
      </w:r>
      <w:r>
        <w:rPr>
          <w:rStyle w:val="1249"/>
          <w:rFonts w:hint="eastAsia" w:ascii="仿宋" w:hAnsi="仿宋" w:eastAsia="仿宋" w:cs="仿宋"/>
          <w:highlight w:val="none"/>
          <w:lang w:val="en-US"/>
        </w:rPr>
        <w:t xml:space="preserve">3</w:t>
      </w:r>
      <w:r>
        <w:rPr>
          <w:rStyle w:val="1249"/>
          <w:rFonts w:hint="eastAsia" w:ascii="仿宋" w:hAnsi="仿宋" w:eastAsia="仿宋" w:cs="仿宋"/>
          <w:highlight w:val="none"/>
        </w:rPr>
        <w:t xml:space="preserve">、乙方车辆维修、保养、年检等费用由乙方自行负责。</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三、运输服务承包时间</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垃圾运输经营服务期限为三年。</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四、合同价款和支付方式</w:t>
      </w:r>
      <w:r/>
    </w:p>
    <w:p>
      <w:pPr>
        <w:ind w:firstLine="480"/>
        <w:spacing w:line="480" w:lineRule="auto"/>
        <w:rPr>
          <w:rStyle w:val="1249"/>
          <w:rFonts w:hint="default" w:ascii="仿宋" w:hAnsi="仿宋" w:eastAsia="仿宋" w:cs="仿宋"/>
          <w:color w:val="000000"/>
          <w:highlight w:val="none"/>
          <w:lang w:val="en-US"/>
        </w:rPr>
      </w:pPr>
      <w:r>
        <w:rPr>
          <w:rStyle w:val="1249"/>
          <w:rFonts w:hint="eastAsia" w:ascii="仿宋" w:hAnsi="仿宋" w:eastAsia="仿宋" w:cs="仿宋"/>
          <w:highlight w:val="none"/>
        </w:rPr>
        <w:t xml:space="preserve">4.1、按双方商定价格执行,</w:t>
      </w:r>
      <w:r>
        <w:rPr>
          <w:rStyle w:val="1249"/>
          <w:rFonts w:hint="eastAsia" w:ascii="仿宋" w:hAnsi="仿宋" w:eastAsia="仿宋" w:cs="仿宋"/>
          <w:color w:val="000000"/>
          <w:highlight w:val="none"/>
        </w:rPr>
        <w:t xml:space="preserve">运输费用按</w:t>
      </w:r>
      <w:r>
        <w:rPr>
          <w:rStyle w:val="1249"/>
          <w:rFonts w:hint="eastAsia" w:ascii="仿宋" w:hAnsi="仿宋" w:eastAsia="仿宋" w:cs="仿宋"/>
          <w:highlight w:val="none"/>
        </w:rPr>
        <w:t xml:space="preserve">各镇(区)中转站至光大垃圾焚烧发电厂实际运输距离及垃圾运输量计算。</w:t>
      </w:r>
      <w:r>
        <w:rPr>
          <w:rStyle w:val="1249"/>
          <w:rFonts w:hint="eastAsia" w:ascii="仿宋" w:hAnsi="仿宋" w:eastAsia="仿宋" w:cs="仿宋"/>
          <w:highlight w:val="none"/>
          <w:lang w:val="en-US"/>
        </w:rPr>
        <w:t xml:space="preserve">运输垃圾吨数参考2023年垃圾运输量。</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4.2、资金支付方式:根据垃圾焚烧发电厂过磅数量,在甲乙双方和垃圾焚烧发电厂三方确认后,</w:t>
      </w:r>
      <w:r>
        <w:rPr>
          <w:rStyle w:val="1249"/>
          <w:rFonts w:hint="eastAsia" w:ascii="仿宋" w:hAnsi="仿宋" w:eastAsia="仿宋" w:cs="仿宋"/>
          <w:highlight w:val="none"/>
          <w:lang w:val="en-US"/>
        </w:rPr>
        <w:t xml:space="preserve">根据考核情况</w:t>
      </w:r>
      <w:r>
        <w:rPr>
          <w:rStyle w:val="1249"/>
          <w:rFonts w:hint="eastAsia" w:ascii="仿宋" w:hAnsi="仿宋" w:eastAsia="仿宋" w:cs="仿宋"/>
          <w:highlight w:val="none"/>
        </w:rPr>
        <w:t xml:space="preserve">并开具运输发票</w:t>
      </w:r>
      <w:r>
        <w:rPr>
          <w:rStyle w:val="1249"/>
          <w:rFonts w:hint="eastAsia" w:ascii="仿宋" w:hAnsi="仿宋" w:eastAsia="仿宋" w:cs="仿宋"/>
          <w:highlight w:val="none"/>
          <w:lang w:val="en-US"/>
        </w:rPr>
        <w:t xml:space="preserve">由甲方</w:t>
      </w:r>
      <w:r>
        <w:rPr>
          <w:rStyle w:val="1249"/>
          <w:rFonts w:hint="eastAsia" w:ascii="仿宋" w:hAnsi="仿宋" w:eastAsia="仿宋" w:cs="仿宋"/>
          <w:highlight w:val="none"/>
        </w:rPr>
        <w:t xml:space="preserve">付款。</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五、合同价款及调整</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承包金额实行全额包干制，甲方不再额外支付任何费用。</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六、运输作业安全及责任</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乙方必须高度重视安全运输,确保行车安全,在运输作业过程中,所有一切安全责任事故及损失，均由乙方负责。</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七、违约责任</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甲方在当日检查、考核中发现问题并作出相应处罚决定,在次日以书面形式</w:t>
      </w:r>
      <w:r>
        <w:rPr>
          <w:rStyle w:val="1249"/>
          <w:rFonts w:hint="eastAsia" w:ascii="仿宋" w:hAnsi="仿宋" w:eastAsia="仿宋" w:cs="仿宋"/>
          <w:highlight w:val="none"/>
          <w:lang w:val="en-US"/>
        </w:rPr>
        <w:t xml:space="preserve">通知</w:t>
      </w:r>
      <w:r>
        <w:rPr>
          <w:rStyle w:val="1249"/>
          <w:rFonts w:hint="eastAsia" w:ascii="仿宋" w:hAnsi="仿宋" w:eastAsia="仿宋" w:cs="仿宋"/>
          <w:highlight w:val="none"/>
        </w:rPr>
        <w:t xml:space="preserve">乙方,乙方要及时整改到位(乙方对考核处如有异议,须在5个工作日内向甲方核实),同时甲方将从当月承包费用中直接扣除相关费用。如整改超过三次仍不符合质量要求的，采购人（甲方</w:t>
      </w:r>
      <w:r>
        <w:rPr>
          <w:rStyle w:val="1249"/>
          <w:rFonts w:hint="eastAsia" w:ascii="仿宋" w:hAnsi="仿宋" w:eastAsia="仿宋" w:cs="仿宋"/>
          <w:highlight w:val="none"/>
          <w:lang w:eastAsia="zh-CN"/>
        </w:rPr>
        <w:t xml:space="preserve">）</w:t>
      </w:r>
      <w:r>
        <w:rPr>
          <w:rStyle w:val="1249"/>
          <w:rFonts w:hint="eastAsia" w:ascii="仿宋" w:hAnsi="仿宋" w:eastAsia="仿宋" w:cs="仿宋"/>
          <w:highlight w:val="none"/>
        </w:rPr>
        <w:t xml:space="preserve">有权单方面解除合同，成交供应商（乙方）除赔偿采购人（甲方）的所有损失外，还必须支付采购人（甲方）合同总价20％的违约金。</w:t>
      </w:r>
      <w:r/>
    </w:p>
    <w:p>
      <w:pPr>
        <w:numPr>
          <w:ilvl w:val="0"/>
          <w:numId w:val="3"/>
        </w:num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其它事项</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8.1、乙方必须保证足够的垃级运输车辆,中转站压缩后的成块拉圾要能及时清运，必须做到日产日清。</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8.2、乙方要主动与各镇(办)搞好协调配合,按受电厂调度和指挥,并自觉服从市环卫主管部门的检查和监督。</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8.3、在垃圾运输作业过程中的一切安全责任均由运输单位自行负责,在运输过程中所涉及到的一切费用也由运输单位自行承担。</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8.4、运输承包期到期后，乙方保证甲方现有车辆车况良好，并经甲方验收确认，如有损坏，甲方可自行维修，维修费用直接从履约保证金中扣除。</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九、附则</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9.1、合同经甲乙双方代表签字并加盖公章(或合同章)后生效。</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9.2、合同签订地邳州市城市管理局。</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9.3、合同在执行过程中出现的未尽事宜,双方在不违背合同的原则下协商解决,协商结果以书面形式盖章记录在案,作为合同的附件,与合同具有同等法律效果。</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9.4、合同签订后甲乙双方即直接发生权利与义务的关系,在合同履行过程中，双方如有争议,友好协商解决,协商不成双方均可向合同签订所在地人民法院提起诉讼。</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9.5、本合同一式四份,甲乙双方各持二份,每份合同具有同等法律效力。</w:t>
      </w:r>
      <w:r/>
    </w:p>
    <w:p>
      <w:pPr>
        <w:ind w:firstLine="480"/>
        <w:spacing w:line="480" w:lineRule="auto"/>
        <w:rPr>
          <w:rStyle w:val="1249"/>
          <w:rFonts w:hint="eastAsia" w:ascii="仿宋" w:hAnsi="仿宋" w:eastAsia="仿宋" w:cs="仿宋"/>
          <w:highlight w:val="none"/>
        </w:rPr>
      </w:pPr>
      <w:r>
        <w:rPr>
          <w:rFonts w:hint="eastAsia" w:ascii="仿宋" w:hAnsi="仿宋" w:eastAsia="仿宋" w:cs="仿宋"/>
          <w:highlight w:val="none"/>
        </w:rPr>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甲方(章):邳州市城市管理局               乙方(章)：</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法人代表(委托人):                       法人代表(委托人): </w:t>
      </w:r>
      <w:r/>
    </w:p>
    <w:p>
      <w:pPr>
        <w:ind w:firstLine="480"/>
        <w:spacing w:line="480" w:lineRule="auto"/>
        <w:rPr>
          <w:rStyle w:val="1249"/>
          <w:rFonts w:hint="eastAsia" w:ascii="仿宋" w:hAnsi="仿宋" w:eastAsia="仿宋" w:cs="仿宋"/>
          <w:highlight w:val="none"/>
        </w:rPr>
      </w:pPr>
      <w:r>
        <w:rPr>
          <w:rStyle w:val="1249"/>
          <w:rFonts w:hint="eastAsia" w:ascii="仿宋" w:hAnsi="仿宋" w:eastAsia="仿宋" w:cs="仿宋"/>
          <w:highlight w:val="none"/>
        </w:rPr>
        <w:t xml:space="preserve"> 年   月   日                          年   月   日</w:t>
      </w:r>
      <w:r/>
    </w:p>
    <w:p>
      <w:pPr>
        <w:pStyle w:val="1025"/>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5"/>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5"/>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5"/>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5"/>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5"/>
        <w:ind w:firstLine="602"/>
        <w:rPr>
          <w:rFonts w:hint="eastAsia" w:ascii="仿宋" w:hAnsi="仿宋" w:cs="仿宋"/>
          <w:b/>
          <w:bCs/>
          <w:sz w:val="30"/>
          <w:szCs w:val="30"/>
          <w:highlight w:val="none"/>
        </w:rPr>
      </w:pPr>
      <w:r>
        <w:rPr>
          <w:rFonts w:hint="eastAsia" w:ascii="仿宋" w:hAnsi="仿宋" w:cs="仿宋"/>
          <w:b/>
          <w:bCs/>
          <w:sz w:val="30"/>
          <w:szCs w:val="30"/>
          <w:highlight w:val="none"/>
        </w:rPr>
      </w:r>
      <w:r/>
    </w:p>
    <w:p>
      <w:pPr>
        <w:pStyle w:val="1025"/>
        <w:ind w:firstLine="602"/>
        <w:rPr>
          <w:rFonts w:hint="eastAsia" w:ascii="仿宋" w:hAnsi="仿宋" w:cs="仿宋"/>
          <w:b/>
          <w:bCs/>
          <w:sz w:val="30"/>
          <w:szCs w:val="30"/>
          <w:highlight w:val="none"/>
        </w:rPr>
      </w:pPr>
      <w:r>
        <w:rPr>
          <w:rFonts w:hint="eastAsia" w:ascii="仿宋" w:hAnsi="仿宋" w:cs="仿宋"/>
          <w:b/>
          <w:bCs/>
          <w:sz w:val="30"/>
          <w:szCs w:val="30"/>
          <w:highlight w:val="none"/>
        </w:rPr>
        <w:t xml:space="preserve">附件：</w:t>
      </w:r>
      <w:r/>
    </w:p>
    <w:p>
      <w:pPr>
        <w:ind w:firstLine="413"/>
        <w:jc w:val="left"/>
        <w:spacing w:line="360" w:lineRule="auto"/>
        <w:widowControl/>
        <w:rPr>
          <w:rFonts w:ascii="宋体" w:hAnsi="宋体" w:eastAsia="宋体"/>
          <w:b/>
          <w:highlight w:val="none"/>
        </w:rPr>
      </w:pPr>
      <w:r>
        <w:rPr>
          <w:rFonts w:hint="eastAsia" w:ascii="宋体" w:hAnsi="宋体" w:eastAsia="宋体"/>
          <w:b/>
          <w:highlight w:val="none"/>
        </w:rPr>
        <w:t xml:space="preserve">设备清单及参数要求</w:t>
      </w:r>
      <w:r/>
    </w:p>
    <w:tbl>
      <w:tblPr>
        <w:tblStyle w:val="1006"/>
        <w:tblW w:w="8624" w:type="dxa"/>
        <w:tblInd w:w="-5" w:type="dxa"/>
        <w:tblLayout w:type="fixed"/>
        <w:tblCellMar>
          <w:left w:w="0" w:type="dxa"/>
          <w:top w:w="0" w:type="dxa"/>
          <w:right w:w="0" w:type="dxa"/>
          <w:bottom w:w="0" w:type="dxa"/>
        </w:tblCellMar>
        <w:tblLook w:val="04A0" w:firstRow="1" w:lastRow="0" w:firstColumn="1" w:lastColumn="0" w:noHBand="0" w:noVBand="1"/>
      </w:tblPr>
      <w:tblGrid>
        <w:gridCol w:w="834"/>
        <w:gridCol w:w="1284"/>
        <w:gridCol w:w="4857"/>
        <w:gridCol w:w="824"/>
        <w:gridCol w:w="825"/>
      </w:tblGrid>
      <w:tr>
        <w:trPr>
          <w:trHeight w:val="260"/>
        </w:trPr>
        <w:tc>
          <w:tcPr>
            <w:shd w:val="clear" w:color="auto" w:fill="c0c0c0"/>
            <w:tcBorders>
              <w:top w:val="none" w:color="000000" w:sz="4" w:space="0"/>
              <w:left w:val="single" w:color="000000" w:sz="12" w:space="0"/>
              <w:bottom w:val="none" w:color="000000" w:sz="4" w:space="0"/>
              <w:right w:val="single" w:color="000000" w:sz="4" w:space="0"/>
            </w:tcBorders>
            <w:tcMar>
              <w:left w:w="10" w:type="dxa"/>
              <w:top w:w="10" w:type="dxa"/>
              <w:right w:w="10" w:type="dxa"/>
            </w:tcMar>
            <w:tcW w:w="834"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eastAsia="宋体" w:cs="宋体"/>
                <w:b/>
                <w:color w:val="000000"/>
                <w:sz w:val="20"/>
                <w:szCs w:val="20"/>
                <w:highlight w:val="none"/>
                <w:lang w:bidi="ar"/>
              </w:rPr>
              <w:t xml:space="preserve">序号</w:t>
            </w:r>
            <w:r/>
          </w:p>
        </w:tc>
        <w:tc>
          <w:tcPr>
            <w:shd w:val="clear" w:color="auto" w:fill="c0c0c0"/>
            <w:tcBorders>
              <w:top w:val="none" w:color="000000" w:sz="4" w:space="0"/>
              <w:left w:val="single" w:color="000000" w:sz="12" w:space="0"/>
              <w:bottom w:val="none" w:color="000000" w:sz="4" w:space="0"/>
              <w:right w:val="single" w:color="000000" w:sz="4" w:space="0"/>
            </w:tcBorders>
            <w:tcMar>
              <w:left w:w="10" w:type="dxa"/>
              <w:top w:w="10" w:type="dxa"/>
              <w:right w:w="10" w:type="dxa"/>
            </w:tcMar>
            <w:tcW w:w="1284"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cs="宋体"/>
                <w:b/>
                <w:color w:val="000000"/>
                <w:sz w:val="20"/>
                <w:szCs w:val="20"/>
                <w:highlight w:val="none"/>
                <w:lang w:bidi="ar"/>
              </w:rPr>
              <w:t xml:space="preserve">产品类别</w:t>
            </w:r>
            <w:r/>
          </w:p>
        </w:tc>
        <w:tc>
          <w:tcPr>
            <w:shd w:val="clear" w:color="auto" w:fill="c0c0c0"/>
            <w:tcBorders>
              <w:top w:val="none" w:color="000000" w:sz="4" w:space="0"/>
              <w:left w:val="single" w:color="000000" w:sz="4" w:space="0"/>
              <w:bottom w:val="none" w:color="000000" w:sz="4" w:space="0"/>
              <w:right w:val="single" w:color="000000" w:sz="4" w:space="0"/>
            </w:tcBorders>
            <w:tcMar>
              <w:left w:w="10" w:type="dxa"/>
              <w:top w:w="10" w:type="dxa"/>
              <w:right w:w="10" w:type="dxa"/>
            </w:tcMar>
            <w:tcW w:w="4857"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cs="宋体"/>
                <w:b/>
                <w:color w:val="000000"/>
                <w:sz w:val="20"/>
                <w:szCs w:val="20"/>
                <w:highlight w:val="none"/>
                <w:lang w:bidi="ar"/>
              </w:rPr>
              <w:t xml:space="preserve">技术规格</w:t>
            </w:r>
            <w:r/>
          </w:p>
        </w:tc>
        <w:tc>
          <w:tcPr>
            <w:shd w:val="clear" w:color="auto" w:fill="c0c0c0"/>
            <w:tcBorders>
              <w:top w:val="none" w:color="000000" w:sz="4" w:space="0"/>
              <w:left w:val="single" w:color="000000" w:sz="4" w:space="0"/>
              <w:bottom w:val="none" w:color="000000" w:sz="4" w:space="0"/>
              <w:right w:val="single" w:color="000000" w:sz="4" w:space="0"/>
            </w:tcBorders>
            <w:tcMar>
              <w:left w:w="10" w:type="dxa"/>
              <w:top w:w="10" w:type="dxa"/>
              <w:right w:w="10" w:type="dxa"/>
            </w:tcMar>
            <w:tcW w:w="824"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eastAsia="宋体" w:cs="宋体"/>
                <w:b/>
                <w:color w:val="000000"/>
                <w:sz w:val="20"/>
                <w:szCs w:val="20"/>
                <w:highlight w:val="none"/>
                <w:lang w:bidi="ar"/>
              </w:rPr>
              <w:t xml:space="preserve">数量</w:t>
            </w:r>
            <w:r/>
          </w:p>
        </w:tc>
        <w:tc>
          <w:tcPr>
            <w:shd w:val="clear" w:color="auto" w:fill="c0c0c0"/>
            <w:tcBorders>
              <w:top w:val="none" w:color="000000" w:sz="4" w:space="0"/>
              <w:left w:val="single" w:color="000000" w:sz="4" w:space="0"/>
              <w:bottom w:val="none" w:color="000000" w:sz="4" w:space="0"/>
              <w:right w:val="single" w:color="000000" w:sz="4" w:space="0"/>
            </w:tcBorders>
            <w:tcMar>
              <w:left w:w="10" w:type="dxa"/>
              <w:top w:w="10" w:type="dxa"/>
              <w:right w:w="10" w:type="dxa"/>
            </w:tcMar>
            <w:tcW w:w="825" w:type="dxa"/>
            <w:vAlign w:val="center"/>
            <w:textDirection w:val="lrTb"/>
            <w:noWrap w:val="false"/>
          </w:tcPr>
          <w:p>
            <w:pPr>
              <w:ind w:firstLine="402"/>
              <w:jc w:val="center"/>
              <w:widowControl/>
              <w:rPr>
                <w:rFonts w:ascii="宋体" w:hAnsi="宋体" w:cs="宋体"/>
                <w:b/>
                <w:color w:val="000000"/>
                <w:sz w:val="20"/>
                <w:highlight w:val="none"/>
              </w:rPr>
            </w:pPr>
            <w:r>
              <w:rPr>
                <w:rFonts w:hint="eastAsia" w:ascii="宋体" w:hAnsi="宋体" w:eastAsia="宋体" w:cs="宋体"/>
                <w:b/>
                <w:color w:val="000000"/>
                <w:sz w:val="20"/>
                <w:szCs w:val="20"/>
                <w:highlight w:val="none"/>
                <w:lang w:bidi="ar"/>
              </w:rPr>
              <w:t xml:space="preserve">单位</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jc w:val="both"/>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室外网络枪型摄像机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最高分辨率可达2560 × 1440 @25 fps;</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支持用户登录锁定机制，及密码复杂度提示;</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支持SmartIR，防止夜间红外过曝;</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支持背光补偿，强光抑制，3D数字降噪，数字宽动态，适应不同使用环境;</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支持ROI感兴趣区域增强编码;</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支持开放型网络视频接口，ISAPI，SDK，GB28181协议，支持萤石平台接入;</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1个内置麦克风;</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智能补光，支持白光/红外双补光，红外光最远可达30 m，白光最远可达30 m;</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符合IP66防尘防水设计，可靠性高;</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传感器类型：1/2.7" Progressive Scan CMOS</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最低照度：彩色：0.005 Lux @（F1.2，AGC ON），0 Lux with Light</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最大图像尺寸：2560 × 1440</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宽动态：数字宽动态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焦距&amp;视场角：4 mm，水平视场角：70°，垂直视场角：35°，对角视场角：85°</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6 mm，水平视场角：46°，垂直视场角：24°，对角视场角：54°</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8 mm，水平视场角：43°，垂直视场角：24°，对角视场角：50°</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12 mm，水平视场角：27°，垂直视场角：15°，对角视场角：31°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红外波长范围：850 nm</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防补光过曝：支持</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补光灯类型：智能补光，可切换白光灯、红外灯</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补光距离：红外光最远可达30 m，白光最远可达30 m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视频压缩标准：主码流：H.265/H.264</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子码流：H.265/H.264/MJPEG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音频：1个内置麦克风</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网络：1个RJ45 10 M/100 M自适应以太网口 </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启动及工作温湿度：-30 ℃~60 ℃，湿度小于95%（无凝结）</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存储温湿度：-30 ℃~60 ℃，湿度小于95%（无凝结）</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恢复出厂设置：支持客户端或浏览器恢复</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供电方式：DC：12 V ± 25%，支持防反接保护</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PoE：IEEE 802.3af，Class 3</w:t>
            </w:r>
            <w:r/>
          </w:p>
          <w:p>
            <w:pPr>
              <w:ind w:firstLine="0"/>
              <w:jc w:val="left"/>
              <w:keepLines w:val="0"/>
              <w:keepNext w:val="0"/>
              <w:pageBreakBefore w:val="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 电流及功耗：DC：12 V，0.42 A，最大功耗：5 W</w:t>
            </w:r>
            <w:r/>
          </w:p>
          <w:p>
            <w:pPr>
              <w:ind w:firstLine="0"/>
              <w:jc w:val="left"/>
              <w:keepLines w:val="0"/>
              <w:keepNext w:val="0"/>
              <w:pageBreakBefore w:val="0"/>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PoE：IEEE 802.3af，CLASS 3，最大功耗：6.5 W</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hint="eastAsia" w:ascii="宋体" w:hAnsi="宋体" w:eastAsia="宋体" w:cs="宋体"/>
                <w:color w:val="000000"/>
                <w:sz w:val="20"/>
                <w:highlight w:val="none"/>
                <w:lang w:val="en-US" w:eastAsia="zh-CN"/>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电源适配器-12V1A</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12V/1A圆头、插墙式，国标</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hint="eastAsia" w:ascii="宋体" w:hAnsi="宋体" w:eastAsia="宋体" w:cs="宋体"/>
                <w:color w:val="000000"/>
                <w:sz w:val="20"/>
                <w:highlight w:val="none"/>
                <w:lang w:val="en-US" w:eastAsia="zh-CN"/>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枪机壁装支架</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壁装支架</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铝合金</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hint="eastAsia" w:ascii="宋体" w:hAnsi="宋体" w:eastAsia="宋体" w:cs="宋体"/>
                <w:color w:val="000000"/>
                <w:sz w:val="20"/>
                <w:highlight w:val="none"/>
                <w:lang w:val="en-US" w:eastAsia="zh-CN"/>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套</w:t>
            </w:r>
            <w:r/>
          </w:p>
        </w:tc>
      </w:tr>
      <w:tr>
        <w:trPr>
          <w:trHeight w:val="2887"/>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Cs/>
                <w:color w:val="000000"/>
                <w:sz w:val="18"/>
                <w:szCs w:val="18"/>
                <w:highlight w:val="none"/>
                <w:lang w:bidi="ar"/>
              </w:rPr>
            </w:pPr>
            <w:r>
              <w:rPr>
                <w:rFonts w:ascii="Arial" w:hAnsi="Arial" w:cs="Arial"/>
                <w:bCs/>
                <w:color w:val="000000"/>
                <w:sz w:val="18"/>
                <w:szCs w:val="18"/>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0"/>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平台服务器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支持级联、2U双路标准机架式服务器</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CPU：配置1颗intel至强4210R处理器，核数≥10核，主频≥2.4GHz</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内存：配置64G DDR4，16根内存插槽，最大支持扩展至2TB内存</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硬盘：配置2块1.2T  SAS硬盘；</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阵列卡：支持RAID 0/1/5/10 ;</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PCIE扩展：支持PCIE扩展插槽</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网口：板载2个千兆电口； 支持选配10GbE、25GbE SFP+等多种网络接口</w:t>
            </w:r>
            <w:r/>
          </w:p>
          <w:p>
            <w:pPr>
              <w:ind w:firstLine="400"/>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其他接口：1个RJ45管理接口，后置2个USB 3.0接口，前置2个USB2.0接口，1个VGA接口</w:t>
            </w:r>
            <w:r/>
          </w:p>
          <w:p>
            <w:pPr>
              <w:ind w:firstLine="400"/>
              <w:widowControl/>
              <w:rPr>
                <w:rFonts w:ascii="宋体" w:hAnsi="宋体" w:cs="宋体"/>
                <w:color w:val="000000"/>
                <w:sz w:val="20"/>
                <w:highlight w:val="none"/>
                <w:lang w:bidi="ar"/>
              </w:rPr>
            </w:pPr>
            <w:r>
              <w:rPr>
                <w:rFonts w:hint="eastAsia" w:ascii="宋体" w:hAnsi="宋体" w:eastAsia="宋体" w:cs="宋体"/>
                <w:color w:val="000000"/>
                <w:sz w:val="20"/>
                <w:szCs w:val="20"/>
                <w:highlight w:val="none"/>
                <w:lang w:bidi="ar"/>
              </w:rPr>
              <w:t xml:space="preserve">含导轨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台</w:t>
            </w:r>
            <w:r/>
          </w:p>
        </w:tc>
      </w:tr>
      <w:tr>
        <w:trPr>
          <w:trHeight w:val="2622"/>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ascii="Arial" w:hAnsi="Arial" w:eastAsia="宋体" w:cs="Arial"/>
                <w:bCs/>
                <w:color w:val="000000"/>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0"/>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视频存储服务器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top"/>
            <w:textDirection w:val="lrTb"/>
            <w:noWrap w:val="false"/>
          </w:tcPr>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服务器配置：≥1颗64位多核处理器，≥4GB内存，内存支持扩展到≥64GB，可以扩展到2个SSD作为缓盘，可支持 3 个风扇，风扇支持热插拔并可冗余温控调速，采用可热插拔 1+1AC220V 电源</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★标配≥2个千兆网口，可扩展至7个千兆网口或增配2个10Gb/25Gb光纤接口或增配4个8Gb/16Gb光纤接口或增配4个HDMI接口或增配3个Mini SAS HD接口，可支持 PCI-E X16和 PCI-E X8 ，可支持12GB SAS扩展口（以公安部检测报告为准）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★每个控制单元支持双系统应用，系统盘支持RAID1模式，当主系统出现故障时，备用系统可接管工作,支持系统盘为独立的2块HDD（SATA、SAS）或SSD盘，组成RAID1。（以公安部检测报告为准）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★★可接入2T/3T/4T/6T/8T/10T/12T/14T/16T/18T/20T/25T/26T SATA/SAS硬盘；★支持NL-SAS 硬盘、HDD硬盘、SSD硬盘、氦气硬盘、空气硬盘；★支持 CMR或SMR硬盘；★支持硬盘交错/分时启动，节省功耗。（以公安部检测报告为准）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★具有24块硬盘热插拔插槽；支持硬盘热插拔设备在读写数据时，热插拔设备内的任意块硬盘，设备正常运行不宕机，硬盘不损坏，数据不丢失，业务不中断。（以公安部检测报告为准）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SATA和SAS混插，支持不同品牌（希捷、西数、海康威视）的硬盘混插；★支持SATA和SAS的HDD硬盘与SATA和NVME的SSD混插；★支持不同大小的硬盘混合使用，可显示硬盘的总容量（各个硬盘容量之和）（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设备应能提供RAID0、1、3、5、6、10、50，60、JBOD、VRAID、RAID Erasure coding、RAID5EE、iRAID模式；★当磁盘的坏块数量达到RAID预设阈值时，样机可自动将数据拷贝到热备盘，并且可自动使用热备盘替换坏盘；支持RAID重建速度动态调整，可根据写入码流带宽，动态调整RAID重建速度（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 ONVIF、PSIA、TCP/IP、UDP、SIP、SIP2.0、RTSP、RTP、RTCP、iSCSI、CIFS(SMB)、NFS、FTP、HTTP、AFP、RSYNC、SNMP、IPV4、IPV6、HLS、S3、OSS等协议，支持IP组播（以公安部检测报告为准）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★支持视频矫正功能，可将接入的鱼眼摄像机、双目摄像机和全景自拼接摄像机、智能相机、热成像摄像机的图像以多画面分割方式显示并进行调整；支持画中画通道视频显示和存储（以公安部检测报告为准）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以公安部检测报告为准）</w:t>
            </w:r>
            <w:r/>
          </w:p>
          <w:p>
            <w:pPr>
              <w:pStyle w:val="1025"/>
              <w:ind w:left="0" w:right="0" w:firstLine="0"/>
              <w:jc w:val="left"/>
              <w:keepLines w:val="0"/>
              <w:keepNext w:val="0"/>
              <w:pageBreakBefore w:val="0"/>
              <w:widowControl w:val="off"/>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★支持不低于2048MbpsMbps图片转发；支持不低于2048MbpsMbps图片并发输入，同时不低于2048MbpsMbps图片并发输出（以公安部检测报告为准）</w:t>
            </w:r>
            <w:r/>
          </w:p>
          <w:p>
            <w:pPr>
              <w:pStyle w:val="1025"/>
              <w:ind w:left="0" w:right="0" w:firstLine="0"/>
              <w:jc w:val="left"/>
              <w:keepLines w:val="0"/>
              <w:keepNext w:val="0"/>
              <w:pageBreakBefore w:val="0"/>
              <w:widowControl w:val="off"/>
              <w:rPr>
                <w:highlight w:val="none"/>
              </w:rPr>
            </w:pPr>
            <w:r>
              <w:rPr>
                <w:rFonts w:hint="eastAsia" w:ascii="宋体" w:hAnsi="宋体" w:eastAsia="宋体" w:cs="宋体"/>
                <w:color w:val="000000"/>
                <w:sz w:val="20"/>
                <w:szCs w:val="20"/>
                <w:highlight w:val="none"/>
                <w:lang w:bidi="ar"/>
              </w:rPr>
              <w:t xml:space="preserve">★当样机发生磁盘、IP冲突、网口降速、电源故障、RAID故障、RAID降级、温度超限、风扇故障、码流异常、电池故障、无硬盘、存储错误、录像丢帧、网络安全异常、SSD健康异常、无热备盘、存储空间满、Mac冲突、登录锁定等故障时，可发出声光指示、数码管/液晶显示器显示或通过E-mail/短信发送或SNMP Trap报警（以公安部检测报告为准）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五类非屏蔽双绞线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户外五类</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cs="宋体"/>
                <w:color w:val="000000"/>
                <w:sz w:val="20"/>
                <w:szCs w:val="20"/>
                <w:highlight w:val="none"/>
                <w:lang w:bidi="ar"/>
              </w:rPr>
              <w:t xml:space="preserve">3300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米</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PVC管</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PVC16</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cs="宋体"/>
                <w:color w:val="000000"/>
                <w:sz w:val="20"/>
                <w:szCs w:val="20"/>
                <w:highlight w:val="none"/>
                <w:lang w:bidi="ar"/>
              </w:rPr>
              <w:t xml:space="preserve">3300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米</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网络箱</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300mm*400mm*500mm</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个</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插排</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6口插排</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施工及辅材</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设备安装、调试</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项</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
                <w:color w:val="000000"/>
                <w:sz w:val="18"/>
                <w:szCs w:val="18"/>
                <w:highlight w:val="none"/>
              </w:rPr>
            </w:pPr>
            <w:r>
              <w:rPr>
                <w:rFonts w:hint="eastAsia" w:ascii="Arial" w:hAnsi="Arial" w:cs="Arial"/>
                <w:bCs/>
                <w:color w:val="000000"/>
                <w:sz w:val="18"/>
                <w:szCs w:val="18"/>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专线光纤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100M</w:t>
            </w:r>
            <w:r>
              <w:rPr>
                <w:rStyle w:val="1250"/>
                <w:rFonts w:hint="default"/>
                <w:highlight w:val="none"/>
                <w:lang w:bidi="ar"/>
              </w:rPr>
              <w:t xml:space="preserve">光纤专线（5年）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cs="宋体"/>
                <w:color w:val="000000"/>
                <w:sz w:val="20"/>
                <w:szCs w:val="20"/>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rPr>
            </w:pPr>
            <w:r>
              <w:rPr>
                <w:rFonts w:hint="eastAsia" w:ascii="宋体" w:hAnsi="宋体" w:eastAsia="宋体" w:cs="宋体"/>
                <w:color w:val="000000"/>
                <w:sz w:val="20"/>
                <w:szCs w:val="20"/>
                <w:highlight w:val="none"/>
                <w:lang w:bidi="ar"/>
              </w:rPr>
              <w:t xml:space="preserve">条</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4" w:type="dxa"/>
            <w:vAlign w:val="center"/>
            <w:textDirection w:val="lrTb"/>
            <w:noWrap w:val="false"/>
          </w:tcPr>
          <w:p>
            <w:pPr>
              <w:ind w:firstLine="360"/>
              <w:jc w:val="center"/>
              <w:widowControl/>
              <w:rPr>
                <w:rFonts w:ascii="Arial" w:hAnsi="Arial" w:cs="Arial"/>
                <w:bCs/>
                <w:color w:val="000000"/>
                <w:sz w:val="18"/>
                <w:szCs w:val="18"/>
                <w:highlight w:val="none"/>
                <w:lang w:bidi="ar"/>
              </w:rPr>
            </w:pPr>
            <w:r>
              <w:rPr>
                <w:rFonts w:hint="eastAsia" w:ascii="Arial" w:hAnsi="Arial" w:cs="Arial"/>
                <w:bCs/>
                <w:color w:val="000000"/>
                <w:sz w:val="18"/>
                <w:szCs w:val="18"/>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84"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专线光纤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857"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200M</w:t>
            </w:r>
            <w:r>
              <w:rPr>
                <w:rStyle w:val="1250"/>
                <w:rFonts w:hint="default"/>
                <w:highlight w:val="none"/>
                <w:lang w:bidi="ar"/>
              </w:rPr>
              <w:t xml:space="preserve">光纤专线（5年）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4"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 w:type="dxa"/>
            <w:vAlign w:val="center"/>
            <w:textDirection w:val="lrTb"/>
            <w:noWrap w:val="false"/>
          </w:tcPr>
          <w:p>
            <w:pPr>
              <w:ind w:firstLine="400"/>
              <w:jc w:val="center"/>
              <w:widowControl/>
              <w:rPr>
                <w:rFonts w:ascii="宋体" w:hAnsi="宋体" w:cs="宋体"/>
                <w:color w:val="000000"/>
                <w:sz w:val="20"/>
                <w:highlight w:val="none"/>
                <w:lang w:bidi="ar"/>
              </w:rPr>
            </w:pPr>
            <w:r>
              <w:rPr>
                <w:rFonts w:hint="eastAsia" w:ascii="宋体" w:hAnsi="宋体" w:cs="宋体"/>
                <w:color w:val="000000"/>
                <w:sz w:val="20"/>
                <w:szCs w:val="20"/>
                <w:highlight w:val="none"/>
                <w:lang w:bidi="ar"/>
              </w:rPr>
              <w:t xml:space="preserve">条</w:t>
            </w:r>
            <w:r/>
          </w:p>
        </w:tc>
      </w:tr>
    </w:tbl>
    <w:p>
      <w:pPr>
        <w:ind w:left="420" w:firstLine="111"/>
        <w:spacing w:line="312"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sectPr>
          <w:headerReference w:type="default" r:id="rId12"/>
          <w:footerReference w:type="default" r:id="rId19"/>
          <w:footnotePr/>
          <w:endnotePr/>
          <w:type w:val="nextPage"/>
          <w:pgSz w:w="11906" w:h="16838" w:orient="portrait"/>
          <w:pgMar w:top="1440" w:right="1800" w:bottom="1134" w:left="1560" w:header="851" w:footer="992" w:gutter="0"/>
          <w:cols w:num="1" w:sep="0" w:space="720" w:equalWidth="1"/>
          <w:docGrid w:linePitch="360"/>
        </w:sect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1"/>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第七章  投标文件相关格式</w:t>
      </w:r>
      <w:r/>
    </w:p>
    <w:p>
      <w:pPr>
        <w:pStyle w:val="1015"/>
        <w:jc w:val="center"/>
        <w:spacing w:line="360" w:lineRule="auto"/>
        <w:widowControl w:val="off"/>
        <w:rPr>
          <w:rStyle w:val="1230"/>
          <w:rFonts w:ascii="宋体" w:hAnsi="宋体"/>
          <w:bCs/>
          <w:color w:val="auto"/>
          <w:sz w:val="24"/>
          <w:szCs w:val="24"/>
          <w:highlight w:val="none"/>
        </w:rPr>
      </w:pPr>
      <w:r>
        <w:rPr>
          <w:rStyle w:val="1230"/>
          <w:rFonts w:hint="eastAsia" w:ascii="宋体" w:hAnsi="宋体"/>
          <w:color w:val="auto"/>
          <w:sz w:val="24"/>
          <w:szCs w:val="24"/>
          <w:highlight w:val="none"/>
        </w:rPr>
        <w:t xml:space="preserve">（</w:t>
      </w:r>
      <w:r>
        <w:rPr>
          <w:rFonts w:hint="eastAsia" w:ascii="宋体" w:hAnsi="宋体"/>
          <w:color w:val="auto"/>
          <w:sz w:val="24"/>
          <w:szCs w:val="24"/>
          <w:highlight w:val="none"/>
        </w:rPr>
        <w:t xml:space="preserve">本</w:t>
      </w:r>
      <w:r>
        <w:rPr>
          <w:rFonts w:ascii="宋体" w:hAnsi="宋体"/>
          <w:color w:val="auto"/>
          <w:sz w:val="24"/>
          <w:szCs w:val="24"/>
          <w:highlight w:val="none"/>
        </w:rPr>
        <w:t xml:space="preserve">章仅提供</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中的部分文件格式，不应被理解为包含了</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所需的全部资料</w:t>
      </w:r>
      <w:r>
        <w:rPr>
          <w:rFonts w:hint="eastAsia" w:ascii="宋体" w:hAnsi="宋体"/>
          <w:color w:val="auto"/>
          <w:sz w:val="24"/>
          <w:szCs w:val="24"/>
          <w:highlight w:val="none"/>
        </w:rPr>
        <w:t xml:space="preserve">）</w:t>
      </w:r>
      <w:r/>
    </w:p>
    <w:p>
      <w:pPr>
        <w:jc w:val="center"/>
        <w:spacing w:line="48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480" w:lineRule="auto"/>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80" w:lineRule="auto"/>
        <w:rPr>
          <w:rFonts w:ascii="宋体" w:hAnsi="宋体" w:cs="宋体"/>
          <w:b/>
          <w:bCs/>
          <w:color w:val="auto"/>
          <w:sz w:val="32"/>
          <w:szCs w:val="32"/>
          <w:highlight w:val="none"/>
        </w:rPr>
      </w:pPr>
      <w:r>
        <w:rPr>
          <w:rFonts w:hint="eastAsia" w:ascii="宋体" w:hAnsi="宋体" w:cs="宋体"/>
          <w:bCs/>
          <w:color w:val="auto"/>
          <w:sz w:val="32"/>
          <w:szCs w:val="32"/>
          <w:highlight w:val="none"/>
          <w:lang w:eastAsia="zh-CN"/>
        </w:rPr>
        <w:t xml:space="preserve">邳州市城市管理局农村生活垃圾运输服务</w:t>
      </w:r>
      <w:r/>
    </w:p>
    <w:p>
      <w:pPr>
        <w:pStyle w:val="1201"/>
        <w:ind w:firstLine="560"/>
        <w:rPr>
          <w:color w:val="auto"/>
          <w:highlight w:val="none"/>
        </w:rPr>
      </w:pPr>
      <w:r>
        <w:rPr>
          <w:color w:val="auto"/>
          <w:highlight w:val="none"/>
        </w:rPr>
      </w:r>
      <w:r/>
    </w:p>
    <w:p>
      <w:pPr>
        <w:jc w:val="center"/>
        <w:spacing w:line="480" w:lineRule="auto"/>
        <w:rPr>
          <w:rFonts w:ascii="宋体" w:hAnsi="宋体" w:cs="宋体"/>
          <w:b/>
          <w:bCs/>
          <w:color w:val="auto"/>
          <w:sz w:val="32"/>
          <w:szCs w:val="32"/>
          <w:highlight w:val="none"/>
        </w:rPr>
      </w:pPr>
      <w:r>
        <w:rPr>
          <w:rFonts w:hint="eastAsia" w:ascii="宋体" w:hAnsi="宋体" w:cs="宋体"/>
          <w:bCs/>
          <w:color w:val="auto"/>
          <w:sz w:val="48"/>
          <w:szCs w:val="48"/>
          <w:highlight w:val="none"/>
        </w:rPr>
        <w:t xml:space="preserve">投标</w:t>
      </w:r>
      <w:r>
        <w:rPr>
          <w:rFonts w:ascii="宋体" w:hAnsi="宋体" w:cs="宋体"/>
          <w:bCs/>
          <w:color w:val="auto"/>
          <w:sz w:val="48"/>
          <w:szCs w:val="48"/>
          <w:highlight w:val="none"/>
        </w:rPr>
        <w:t xml:space="preserve">文件</w:t>
      </w:r>
      <w:r/>
    </w:p>
    <w:p>
      <w:pPr>
        <w:jc w:val="center"/>
        <w:spacing w:line="48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480" w:lineRule="auto"/>
        <w:rPr>
          <w:rFonts w:ascii="宋体" w:hAnsi="宋体" w:cs="宋体"/>
          <w:color w:val="auto"/>
          <w:sz w:val="32"/>
          <w:szCs w:val="32"/>
          <w:highlight w:val="none"/>
        </w:rPr>
      </w:pPr>
      <w:r>
        <w:rPr>
          <w:rFonts w:ascii="宋体" w:hAnsi="宋体" w:cs="宋体"/>
          <w:color w:val="auto"/>
          <w:sz w:val="32"/>
          <w:szCs w:val="32"/>
          <w:highlight w:val="none"/>
        </w:rPr>
        <w:t xml:space="preserve">（项目编号</w:t>
      </w:r>
      <w:r>
        <w:rPr>
          <w:rFonts w:hint="eastAsia" w:ascii="宋体" w:hAnsi="宋体" w:cs="宋体"/>
          <w:color w:val="auto"/>
          <w:sz w:val="32"/>
          <w:szCs w:val="32"/>
          <w:highlight w:val="none"/>
        </w:rPr>
        <w:t xml:space="preserve">：</w:t>
      </w:r>
      <w:r>
        <w:rPr>
          <w:rFonts w:ascii="宋体" w:hAnsi="宋体" w:cs="宋体"/>
          <w:color w:val="auto"/>
          <w:sz w:val="32"/>
          <w:szCs w:val="32"/>
          <w:highlight w:val="none"/>
        </w:rPr>
        <w:t xml:space="preserve">）</w:t>
      </w:r>
      <w:r/>
    </w:p>
    <w:p>
      <w:pPr>
        <w:jc w:val="center"/>
        <w:spacing w:line="48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投标</w:t>
      </w:r>
      <w:r>
        <w:rPr>
          <w:rFonts w:ascii="宋体" w:hAnsi="宋体" w:cs="宋体"/>
          <w:color w:val="auto"/>
          <w:sz w:val="28"/>
          <w:szCs w:val="28"/>
          <w:highlight w:val="none"/>
        </w:rPr>
        <w:t xml:space="preserve">人：</w:t>
      </w:r>
      <w:r>
        <w:rPr>
          <w:rFonts w:ascii="宋体" w:hAnsi="宋体" w:cs="宋体"/>
          <w:color w:val="auto"/>
          <w:sz w:val="28"/>
          <w:szCs w:val="28"/>
          <w:highlight w:val="none"/>
          <w:u w:val="single"/>
        </w:rPr>
        <w:t xml:space="preserve">（名称打印并盖法人公章）</w:t>
      </w:r>
      <w:r/>
    </w:p>
    <w:p>
      <w:pPr>
        <w:jc w:val="center"/>
        <w:spacing w:line="480" w:lineRule="auto"/>
        <w:rPr>
          <w:rFonts w:ascii="宋体" w:hAnsi="宋体" w:cs="宋体"/>
          <w:color w:val="auto"/>
          <w:sz w:val="28"/>
          <w:szCs w:val="28"/>
          <w:highlight w:val="none"/>
          <w:u w:val="single"/>
        </w:rPr>
      </w:pPr>
      <w:r>
        <w:rPr>
          <w:rFonts w:ascii="宋体" w:hAnsi="宋体" w:cs="宋体"/>
          <w:color w:val="auto"/>
          <w:sz w:val="28"/>
          <w:szCs w:val="28"/>
          <w:highlight w:val="none"/>
        </w:rPr>
        <w:t xml:space="preserve">法定代表人或其委托代理人：</w:t>
      </w:r>
      <w:r>
        <w:rPr>
          <w:rFonts w:ascii="宋体" w:hAnsi="宋体" w:cs="宋体"/>
          <w:color w:val="auto"/>
          <w:sz w:val="28"/>
          <w:szCs w:val="28"/>
          <w:highlight w:val="none"/>
          <w:u w:val="single"/>
        </w:rPr>
        <w:t xml:space="preserve">（签字或盖章）</w:t>
      </w:r>
      <w:r/>
    </w:p>
    <w:p>
      <w:pPr>
        <w:jc w:val="center"/>
        <w:spacing w:line="480" w:lineRule="auto"/>
        <w:rPr>
          <w:rFonts w:ascii="宋体" w:hAnsi="宋体" w:cs="宋体"/>
          <w:color w:val="auto"/>
          <w:sz w:val="28"/>
          <w:szCs w:val="28"/>
          <w:highlight w:val="none"/>
        </w:rPr>
      </w:pPr>
      <w:r>
        <w:rPr>
          <w:rFonts w:ascii="宋体" w:hAnsi="宋体" w:cs="宋体"/>
          <w:color w:val="auto"/>
          <w:sz w:val="28"/>
          <w:szCs w:val="28"/>
          <w:highlight w:val="none"/>
        </w:rPr>
        <w:t xml:space="preserve">年月日</w:t>
      </w:r>
      <w:r/>
    </w:p>
    <w:p>
      <w:pPr>
        <w:jc w:val="left"/>
        <w:rPr>
          <w:rFonts w:ascii="宋体" w:hAnsi="宋体" w:cs="宋体"/>
          <w:color w:val="auto"/>
          <w:sz w:val="24"/>
          <w:highlight w:val="none"/>
        </w:rPr>
      </w:pPr>
      <w:r>
        <w:rPr>
          <w:rFonts w:ascii="宋体" w:hAnsi="宋体" w:cs="宋体"/>
          <w:color w:val="auto"/>
          <w:sz w:val="24"/>
          <w:highlight w:val="none"/>
        </w:rPr>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p>
      <w:pPr>
        <w:pStyle w:val="1201"/>
        <w:ind w:firstLine="482"/>
        <w:rPr>
          <w:rStyle w:val="1230"/>
          <w:rFonts w:hint="eastAsia" w:ascii="宋体" w:hAnsi="宋体" w:cs="宋体"/>
          <w:b/>
          <w:color w:val="auto"/>
          <w:sz w:val="24"/>
          <w:szCs w:val="24"/>
          <w:highlight w:val="none"/>
        </w:rPr>
      </w:pPr>
      <w:r>
        <w:rPr>
          <w:rStyle w:val="1230"/>
          <w:rFonts w:ascii="宋体" w:hAnsi="宋体" w:cs="宋体"/>
          <w:b/>
          <w:color w:val="auto"/>
          <w:sz w:val="24"/>
          <w:szCs w:val="24"/>
          <w:highlight w:val="none"/>
        </w:rPr>
        <w:t xml:space="preserve">特别提醒</w:t>
      </w:r>
      <w:r>
        <w:rPr>
          <w:rStyle w:val="1230"/>
          <w:rFonts w:hint="eastAsia" w:ascii="宋体" w:hAnsi="宋体" w:cs="宋体"/>
          <w:b/>
          <w:color w:val="auto"/>
          <w:sz w:val="24"/>
          <w:szCs w:val="24"/>
          <w:highlight w:val="none"/>
        </w:rPr>
        <w:t xml:space="preserve">：</w:t>
      </w:r>
      <w:r/>
    </w:p>
    <w:p>
      <w:pPr>
        <w:pStyle w:val="1201"/>
        <w:ind w:firstLine="480"/>
        <w:rPr>
          <w:color w:val="auto"/>
          <w:highlight w:val="none"/>
        </w:rPr>
      </w:pPr>
      <w:r>
        <w:rPr>
          <w:rFonts w:hint="eastAsia" w:ascii="宋体" w:hAnsi="宋体" w:cs="宋体"/>
          <w:color w:val="auto"/>
          <w:sz w:val="24"/>
          <w:highlight w:val="none"/>
        </w:rPr>
        <w:t xml:space="preserve">中标人领取中标通知书时须向代理机构提交纸质胶装投标文件一正四副，</w:t>
      </w:r>
      <w:r/>
    </w:p>
    <w:p>
      <w:pPr>
        <w:pStyle w:val="1201"/>
        <w:ind w:firstLine="560"/>
        <w:rPr>
          <w:color w:val="auto"/>
          <w:highlight w:val="none"/>
        </w:rPr>
      </w:pPr>
      <w:r>
        <w:rPr>
          <w:color w:val="auto"/>
          <w:highlight w:val="none"/>
        </w:rPr>
      </w:r>
      <w:r/>
    </w:p>
    <w:p>
      <w:pPr>
        <w:jc w:val="cente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投标函</w:t>
      </w:r>
      <w:r/>
    </w:p>
    <w:p>
      <w:pPr>
        <w:ind w:left="170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开标一览表</w:t>
      </w:r>
      <w:r/>
    </w:p>
    <w:p>
      <w:pPr>
        <w:ind w:left="1701"/>
        <w:spacing w:line="360" w:lineRule="auto"/>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3.分项价格表</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．偏离表</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 法定代表人授权书</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 中小企业声明函</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 残疾人福利性单位声明函</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投标人参加政府采购活动前3年内在经营活动中没有重大违法记录的书面声明</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 具备履行合同所必需的设备和专业技术能力的书面声明（附证明材料复印件）</w:t>
      </w:r>
      <w:r/>
    </w:p>
    <w:p>
      <w:pPr>
        <w:ind w:left="1701"/>
        <w:spacing w:line="360" w:lineRule="auto"/>
        <w:rPr>
          <w:rFonts w:ascii="宋体" w:hAnsi="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ascii="宋体" w:hAnsi="宋体" w:cs="宋体"/>
          <w:color w:val="auto"/>
          <w:sz w:val="24"/>
          <w:highlight w:val="none"/>
        </w:rPr>
        <w:t xml:space="preserve">预付款保函支付条款模板</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1. 投标函</w:t>
      </w:r>
      <w:r/>
    </w:p>
    <w:p>
      <w:pPr>
        <w:rPr>
          <w:rFonts w:ascii="宋体" w:hAnsi="宋体" w:cs="宋体"/>
          <w:color w:val="auto"/>
          <w:sz w:val="24"/>
          <w:highlight w:val="none"/>
        </w:rPr>
      </w:pPr>
      <w:r>
        <w:rPr>
          <w:rFonts w:ascii="宋体" w:hAnsi="宋体" w:cs="宋体"/>
          <w:color w:val="auto"/>
          <w:sz w:val="24"/>
          <w:highlight w:val="none"/>
        </w:rPr>
      </w:r>
      <w:r/>
    </w:p>
    <w:p>
      <w:pPr>
        <w:spacing w:line="40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江苏中瑞建设项目管理有限公司</w:t>
      </w:r>
      <w:r/>
    </w:p>
    <w:p>
      <w:pPr>
        <w:ind w:firstLine="480"/>
        <w:jc w:val="left"/>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邳州市城市管理局农村生活垃圾运输服务</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lang w:eastAsia="zh-CN"/>
        </w:rPr>
        <w:t xml:space="preserve">JSZC-320382-JSZR-G2024-0052</w:t>
      </w:r>
      <w:r>
        <w:rPr>
          <w:rFonts w:hint="eastAsia" w:ascii="宋体" w:hAnsi="宋体" w:cs="宋体"/>
          <w:color w:val="auto"/>
          <w:sz w:val="24"/>
          <w:highlight w:val="none"/>
        </w:rPr>
        <w:t xml:space="preserve"> ]招标文件，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（投标人的名称）全权处理本次投标的有关事宜。</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5. 投标人不在投标初始有效期内撤回投标。</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投标人同意在授予合同后，按照投标资料表中的有关规定支付招标代理服务费。 </w:t>
      </w:r>
      <w:r/>
    </w:p>
    <w:p>
      <w:pPr>
        <w:ind w:right="29"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8. 采购人或采购代理机构有权将我单位本项目的《开标一览表》和《分项价格表》予以公示，公示的方式由</w:t>
      </w:r>
      <w:r>
        <w:rPr>
          <w:rFonts w:hint="eastAsia" w:ascii="宋体" w:hAnsi="宋体" w:cs="宋体"/>
          <w:color w:val="auto"/>
          <w:sz w:val="24"/>
          <w:highlight w:val="none"/>
          <w:lang w:eastAsia="zh-CN"/>
        </w:rPr>
        <w:t xml:space="preserve">江苏中瑞建设项目管理有限公司</w:t>
      </w:r>
      <w:r>
        <w:rPr>
          <w:rFonts w:hint="eastAsia" w:ascii="宋体" w:hAnsi="宋体" w:cs="宋体"/>
          <w:color w:val="auto"/>
          <w:sz w:val="24"/>
          <w:highlight w:val="none"/>
        </w:rPr>
        <w:t xml:space="preserve">确定。</w:t>
      </w:r>
      <w:r/>
    </w:p>
    <w:p>
      <w:pPr>
        <w:ind w:right="29"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spacing w:line="400" w:lineRule="atLeast"/>
        <w:rPr>
          <w:rFonts w:ascii="宋体" w:hAnsi="宋体" w:cs="宋体"/>
          <w:color w:val="auto"/>
          <w:sz w:val="24"/>
          <w:highlight w:val="none"/>
        </w:rPr>
      </w:pPr>
      <w:r>
        <w:rPr>
          <w:rFonts w:hint="eastAsia" w:ascii="宋体" w:hAnsi="宋体" w:cs="宋体"/>
          <w:color w:val="auto"/>
          <w:sz w:val="24"/>
          <w:highlight w:val="none"/>
        </w:rPr>
        <w:t xml:space="preserve">地址： </w:t>
      </w:r>
      <w:r/>
    </w:p>
    <w:p>
      <w:pPr>
        <w:spacing w:line="400" w:lineRule="atLeast"/>
        <w:rPr>
          <w:rFonts w:ascii="宋体" w:hAnsi="宋体" w:cs="宋体"/>
          <w:color w:val="auto"/>
          <w:sz w:val="24"/>
          <w:highlight w:val="none"/>
        </w:rPr>
      </w:pPr>
      <w:r>
        <w:rPr>
          <w:rFonts w:hint="eastAsia" w:ascii="宋体" w:hAnsi="宋体" w:cs="宋体"/>
          <w:color w:val="auto"/>
          <w:sz w:val="24"/>
          <w:highlight w:val="none"/>
        </w:rPr>
        <w:t xml:space="preserve">电话： </w:t>
      </w:r>
      <w:r/>
    </w:p>
    <w:p>
      <w:pPr>
        <w:spacing w:line="400" w:lineRule="atLeast"/>
        <w:rPr>
          <w:rFonts w:ascii="宋体" w:hAnsi="宋体" w:cs="宋体"/>
          <w:color w:val="auto"/>
          <w:sz w:val="24"/>
          <w:highlight w:val="none"/>
        </w:rPr>
      </w:pPr>
      <w:r>
        <w:rPr>
          <w:rFonts w:hint="eastAsia" w:ascii="宋体" w:hAnsi="宋体" w:cs="宋体"/>
          <w:color w:val="auto"/>
          <w:sz w:val="24"/>
          <w:highlight w:val="none"/>
        </w:rPr>
        <w:t xml:space="preserve">传真： </w:t>
      </w:r>
      <w:r/>
    </w:p>
    <w:p>
      <w:pPr>
        <w:ind w:firstLine="312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firstLine="48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                      投标人法定代表人或授权代表：（签字或电子签章）  </w:t>
      </w:r>
      <w:r/>
    </w:p>
    <w:p>
      <w:pPr>
        <w:ind w:firstLine="3120"/>
        <w:spacing w:line="400" w:lineRule="atLeas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3120"/>
        <w:spacing w:line="400" w:lineRule="atLeast"/>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2、开标一览表</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40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JSZC-320382-JSZR-G2024-0052</w:t>
      </w:r>
      <w:r/>
    </w:p>
    <w:p>
      <w:pPr>
        <w:pStyle w:val="1020"/>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18"/>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20"/>
        <w:rPr>
          <w:rFonts w:hint="eastAsia"/>
          <w:highlight w:val="none"/>
        </w:rPr>
      </w:pPr>
      <w:r>
        <w:rPr>
          <w:rFonts w:hint="eastAsia"/>
          <w:highlight w:val="none"/>
        </w:rPr>
      </w:r>
      <w:r/>
    </w:p>
    <w:p>
      <w:pPr>
        <w:pStyle w:val="1020"/>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20"/>
        <w:ind w:firstLine="480"/>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开标一览表</w:t>
      </w:r>
      <w:r>
        <w:rPr>
          <w:rFonts w:hint="eastAsia" w:ascii="宋体" w:hAnsi="宋体" w:eastAsia="宋体" w:cs="宋体"/>
          <w:b/>
          <w:bCs/>
          <w:sz w:val="24"/>
          <w:highlight w:val="none"/>
        </w:rPr>
        <w:t xml:space="preserve">》（政府采购客户端工具输入报价自动生成，加盖电子签章）</w:t>
      </w:r>
      <w:r/>
    </w:p>
    <w:p>
      <w:pPr>
        <w:ind w:firstLine="602"/>
        <w:jc w:val="center"/>
        <w:spacing w:line="480" w:lineRule="exact"/>
        <w:rPr>
          <w:rFonts w:hint="eastAsia" w:ascii="宋体" w:hAnsi="宋体" w:eastAsia="宋体" w:cs="宋体"/>
          <w:b/>
          <w:bCs/>
          <w:color w:val="auto"/>
          <w:sz w:val="24"/>
          <w:szCs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3、分项价格表格式</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rPr>
          <w:rFonts w:hint="eastAsia" w:ascii="宋体" w:hAnsi="宋体" w:cs="宋体"/>
          <w:color w:val="auto"/>
          <w:sz w:val="24"/>
          <w:highlight w:val="none"/>
          <w:lang w:eastAsia="zh-CN"/>
        </w:rPr>
        <w:t xml:space="preserve">邳州市城市管理局农村生活垃圾运输服务</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JSZC-320382-JSZR-G2024-0052</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5"/>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600"/>
        <w:spacing w:line="519" w:lineRule="atLeast"/>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（格式自拟）</w:t>
      </w:r>
      <w:r/>
    </w:p>
    <w:p>
      <w:pPr>
        <w:pStyle w:val="102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25"/>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08"/>
        <w:rPr>
          <w:rFonts w:hint="eastAsia"/>
          <w:color w:val="auto"/>
          <w:highlight w:val="none"/>
          <w:lang w:val="en-US"/>
        </w:rPr>
      </w:pPr>
      <w:r>
        <w:rPr>
          <w:rFonts w:hint="eastAsia"/>
          <w:color w:val="auto"/>
          <w:highlight w:val="none"/>
          <w:lang w:val="en-US"/>
        </w:rPr>
      </w:r>
      <w:r/>
    </w:p>
    <w:p>
      <w:pPr>
        <w:pStyle w:val="102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26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（盖电子签章）</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（签字或电子签章）  </w:t>
      </w:r>
      <w:r/>
    </w:p>
    <w:p>
      <w:pPr>
        <w:ind w:firstLine="36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本款说明：</w:t>
      </w:r>
      <w:r/>
    </w:p>
    <w:p>
      <w:pPr>
        <w:ind w:firstLine="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2.享受政府采购支持政策的残疾人福利性单位应满足的条件以《关于促进残疾人就业政府采购政策的通知》（财库〔2017〕141号）的规定为准。</w:t>
      </w:r>
      <w:r/>
    </w:p>
    <w:p>
      <w:pPr>
        <w:ind w:left="1119" w:hanging="5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注：①如果不提供详细分项报价的，将视为没有实质性响应招标文件。</w:t>
      </w:r>
      <w:r/>
    </w:p>
    <w:p>
      <w:pPr>
        <w:ind w:left="111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②投标人对以上数据的真实性负责。</w:t>
      </w:r>
      <w:r/>
    </w:p>
    <w:p>
      <w:pPr>
        <w:ind w:firstLine="11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江苏中瑞建设项目管理有限公司</w:t>
      </w:r>
      <w:r>
        <w:rPr>
          <w:rFonts w:hint="eastAsia" w:ascii="宋体" w:hAnsi="宋体" w:eastAsia="宋体" w:cs="宋体"/>
          <w:color w:val="auto"/>
          <w:sz w:val="24"/>
          <w:szCs w:val="24"/>
          <w:highlight w:val="none"/>
        </w:rPr>
        <w:t xml:space="preserve">有权将以上内容进行公示。</w:t>
      </w:r>
      <w:r/>
    </w:p>
    <w:p>
      <w:pPr>
        <w:pStyle w:val="1010"/>
        <w:ind w:firstLine="1185"/>
        <w:rPr>
          <w:rFonts w:hint="default" w:eastAsia="宋体"/>
          <w:color w:val="auto"/>
          <w:highlight w:val="none"/>
          <w:lang w:val="en-US" w:eastAsia="zh-CN"/>
        </w:rPr>
      </w:pPr>
      <w:r>
        <w:rPr>
          <w:rFonts w:hint="eastAsia" w:ascii="宋体" w:hAnsi="宋体" w:eastAsia="宋体" w:cs="宋体"/>
          <w:color w:val="auto"/>
          <w:sz w:val="24"/>
          <w:highlight w:val="none"/>
          <w:lang w:val="en-US" w:eastAsia="zh-CN"/>
        </w:rPr>
        <w:t xml:space="preserve">③供应商根据所投采购包自行制作上传相对应</w:t>
      </w:r>
      <w:r>
        <w:rPr>
          <w:rFonts w:hint="eastAsia" w:ascii="宋体" w:hAnsi="宋体" w:eastAsia="宋体" w:cs="宋体"/>
          <w:color w:val="auto"/>
          <w:sz w:val="28"/>
          <w:szCs w:val="28"/>
          <w:highlight w:val="none"/>
          <w:lang w:val="en-US" w:eastAsia="zh-CN"/>
        </w:rPr>
        <w:t xml:space="preserve">分项价格表</w:t>
      </w:r>
      <w:r/>
    </w:p>
    <w:p>
      <w:pPr>
        <w:jc w:val="center"/>
        <w:rPr>
          <w:rFonts w:ascii="宋体" w:hAnsi="宋体" w:cs="宋体"/>
          <w:color w:val="auto"/>
          <w:sz w:val="28"/>
          <w:szCs w:val="28"/>
          <w:highlight w:val="none"/>
        </w:rPr>
      </w:pPr>
      <w:r>
        <w:rPr>
          <w:rFonts w:asciiTheme="minorEastAsia" w:hAnsiTheme="minorEastAsia" w:eastAsiaTheme="minorEastAsia"/>
          <w:color w:val="auto"/>
          <w:sz w:val="28"/>
          <w:szCs w:val="28"/>
          <w:highlight w:val="none"/>
        </w:rPr>
        <w:br w:type="page" w:clear="all"/>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、商务/技术偏离表</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JSZC-320382-JSZR-G2024-0052</w:t>
      </w:r>
      <w:r/>
    </w:p>
    <w:p>
      <w:pPr>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400" w:lineRule="exact"/>
        <w:rPr>
          <w:rFonts w:hint="default"/>
          <w:color w:val="auto"/>
          <w:highlight w:val="none"/>
          <w:lang w:val="en-US" w:eastAsia="zh-CN"/>
        </w:rPr>
      </w:pPr>
      <w:r>
        <w:rPr>
          <w:rFonts w:hint="default"/>
          <w:color w:val="auto"/>
          <w:highlight w:val="none"/>
          <w:lang w:val="en-US" w:eastAsia="zh-CN"/>
        </w:rPr>
      </w:r>
      <w:r/>
    </w:p>
    <w:tbl>
      <w:tblPr>
        <w:tblStyle w:val="1006"/>
        <w:tblW w:w="8928"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400" w:lineRule="exact"/>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jc w:val="center"/>
              <w:spacing w:line="400" w:lineRule="exact"/>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jc w:val="center"/>
              <w:spacing w:line="400" w:lineRule="exact"/>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jc w:val="center"/>
              <w:spacing w:line="400" w:lineRule="exact"/>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40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注：</w:t>
      </w:r>
      <w:r/>
    </w:p>
    <w:p>
      <w:pPr>
        <w:spacing w:line="400" w:lineRule="exact"/>
        <w:rPr>
          <w:rFonts w:ascii="宋体" w:hAnsi="宋体" w:cs="宋体"/>
          <w:b/>
          <w:color w:val="auto"/>
          <w:sz w:val="24"/>
          <w:highlight w:val="none"/>
        </w:rPr>
      </w:pPr>
      <w:r>
        <w:rPr>
          <w:rFonts w:hint="eastAsia" w:ascii="宋体" w:hAnsi="宋体" w:cs="宋体"/>
          <w:color w:val="auto"/>
          <w:sz w:val="24"/>
          <w:highlight w:val="none"/>
          <w:u w:val="single"/>
        </w:rPr>
        <w:t xml:space="preserve">投标人的投标文件中的内容与招标文件（含招标文件的澄清或者修改的内容）的要求不同时，逐条列在偏离表中，否则将认为投标人接受招标文件的要求。</w:t>
      </w:r>
      <w:r/>
    </w:p>
    <w:p>
      <w:pPr>
        <w:pStyle w:val="1240"/>
        <w:ind w:firstLine="0"/>
        <w:spacing w:line="336" w:lineRule="auto"/>
        <w:rPr>
          <w:rFonts w:ascii="宋体" w:hAnsi="宋体" w:cs="宋体"/>
          <w:b/>
          <w:color w:val="auto"/>
          <w:sz w:val="24"/>
          <w:highlight w:val="none"/>
        </w:rPr>
      </w:pPr>
      <w:r>
        <w:rPr>
          <w:rFonts w:ascii="宋体" w:hAnsi="宋体" w:cs="宋体"/>
          <w:b/>
          <w:color w:val="auto"/>
          <w:sz w:val="24"/>
          <w:highlight w:val="none"/>
        </w:rPr>
      </w:r>
      <w:r/>
    </w:p>
    <w:p>
      <w:pPr>
        <w:spacing w:line="400" w:lineRule="exact"/>
        <w:rPr>
          <w:rFonts w:ascii="宋体" w:hAnsi="宋体" w:cs="宋体"/>
          <w:color w:val="auto"/>
          <w:sz w:val="24"/>
          <w:highlight w:val="none"/>
        </w:rPr>
      </w:pPr>
      <w:r>
        <w:rPr>
          <w:rFonts w:ascii="宋体" w:hAnsi="宋体" w:cs="宋体"/>
          <w:color w:val="auto"/>
          <w:sz w:val="24"/>
          <w:highlight w:val="none"/>
        </w:rPr>
      </w:r>
      <w:r/>
    </w:p>
    <w:p>
      <w:pPr>
        <w:ind w:left="294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294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294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、法定代表人授权书</w:t>
      </w:r>
      <w:r/>
    </w:p>
    <w:p>
      <w:pPr>
        <w:jc w:val="center"/>
        <w:spacing w:line="40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委托人：</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地  址：</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法定代表人：               职务：</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统一社会信用代码：</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受托人：                   性别：男（女）  </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年龄：  岁                 民族：   族</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职务：</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身份证号：</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left="412" w:firstLine="480"/>
        <w:jc w:val="left"/>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兹委托（      ）全权代表我企业（公司）参与[</w:t>
      </w:r>
      <w:r>
        <w:rPr>
          <w:rFonts w:hint="eastAsia" w:ascii="宋体" w:hAnsi="宋体" w:cs="宋体"/>
          <w:color w:val="auto"/>
          <w:sz w:val="24"/>
          <w:highlight w:val="none"/>
          <w:lang w:eastAsia="zh-CN"/>
        </w:rPr>
        <w:t xml:space="preserve">邳州市城市管理局农村生活垃圾运输服务</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项目[项目编号：]的招、投标活动及签订经济合同。（         ）以我企业（公司）名义所为的法律行为及签署的文件，我企业（公司）均予以认可。有关法律责任均由我企业（公司）承担。（         ）无转委托权。委托期限自  年  月   日起至  年  月    日止。</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特此授权委托。</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委托人（盖电子签章）：               受托人（签字或电子签章）：</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法定代表人（签字或电子签章）： </w:t>
      </w:r>
      <w:r/>
    </w:p>
    <w:p>
      <w:pPr>
        <w:ind w:firstLine="47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  年   月   日 </w:t>
      </w:r>
      <w:r/>
    </w:p>
    <w:p>
      <w:pPr>
        <w:ind w:firstLine="95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(受托人身份证复印件附后)</w:t>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jc w:val="both"/>
        <w:spacing w:before="100" w:beforeAutospacing="1" w:after="100" w:afterAutospacing="1" w:line="450" w:lineRule="atLeast"/>
        <w:rPr>
          <w:rFonts w:ascii="宋体" w:hAnsi="宋体" w:cs="宋体"/>
          <w:color w:val="auto"/>
          <w:sz w:val="24"/>
          <w:highlight w:val="none"/>
        </w:rPr>
        <w:sectPr>
          <w:headerReference w:type="default" r:id="rId13"/>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4"/>
          <w:highlight w:val="none"/>
        </w:rPr>
      </w:r>
      <w:r/>
    </w:p>
    <w:p>
      <w:pPr>
        <w:pStyle w:val="1248"/>
        <w:spacing w:after="0" w:line="360" w:lineRule="auto"/>
        <w:widowControl w:val="off"/>
        <w:rPr>
          <w:rFonts w:ascii="宋体" w:hAnsi="宋体"/>
          <w:b/>
          <w:i/>
          <w:color w:val="auto"/>
          <w:sz w:val="24"/>
          <w:szCs w:val="24"/>
          <w:highlight w:val="none"/>
          <w:u w:val="single"/>
        </w:rPr>
      </w:pPr>
      <w:r>
        <w:rPr>
          <w:rFonts w:ascii="宋体" w:hAnsi="宋体"/>
          <w:b/>
          <w:i/>
          <w:color w:val="auto"/>
          <w:sz w:val="24"/>
          <w:szCs w:val="24"/>
          <w:highlight w:val="none"/>
          <w:u w:val="single"/>
        </w:rPr>
      </w:r>
      <w:r/>
    </w:p>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、中小企业声明函</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JSZC-320382-JSZR-G2024-0052</w:t>
      </w:r>
      <w:r/>
    </w:p>
    <w:p>
      <w:pPr>
        <w:ind w:firstLine="480"/>
        <w:spacing w:line="360" w:lineRule="auto"/>
        <w:rPr>
          <w:rStyle w:val="1230"/>
          <w:rFonts w:ascii="宋体" w:hAnsi="宋体" w:cs="宋体"/>
          <w:color w:val="auto"/>
          <w:sz w:val="24"/>
          <w:highlight w:val="none"/>
        </w:rPr>
      </w:pPr>
      <w:r>
        <w:rPr>
          <w:rStyle w:val="1230"/>
          <w:rFonts w:hint="eastAsia" w:ascii="宋体" w:hAnsi="宋体" w:cs="宋体"/>
          <w:color w:val="auto"/>
          <w:sz w:val="24"/>
          <w:highlight w:val="none"/>
        </w:rPr>
        <w:t xml:space="preserve">本公司郑重声明，根据《政府采购促进中小企业发展暂行办法》（财库﹝2020﹞46 号）的规定，本公司参加</w:t>
      </w:r>
      <w:r>
        <w:rPr>
          <w:rStyle w:val="1230"/>
          <w:rFonts w:hint="eastAsia" w:ascii="宋体" w:hAnsi="宋体" w:cs="宋体"/>
          <w:color w:val="auto"/>
          <w:sz w:val="24"/>
          <w:highlight w:val="none"/>
          <w:u w:val="single"/>
        </w:rPr>
        <w:t xml:space="preserve">（单位名称）</w:t>
      </w:r>
      <w:r>
        <w:rPr>
          <w:rStyle w:val="1230"/>
          <w:rFonts w:hint="eastAsia" w:ascii="宋体" w:hAnsi="宋体" w:cs="宋体"/>
          <w:color w:val="auto"/>
          <w:sz w:val="24"/>
          <w:highlight w:val="none"/>
        </w:rPr>
        <w:t xml:space="preserve">的</w:t>
      </w:r>
      <w:r>
        <w:rPr>
          <w:rStyle w:val="1230"/>
          <w:rFonts w:hint="eastAsia" w:ascii="宋体" w:hAnsi="宋体" w:cs="宋体"/>
          <w:color w:val="auto"/>
          <w:sz w:val="24"/>
          <w:highlight w:val="none"/>
          <w:u w:val="single"/>
        </w:rPr>
        <w:t xml:space="preserve">（项目名称）</w:t>
      </w:r>
      <w:r>
        <w:rPr>
          <w:rStyle w:val="1230"/>
          <w:rFonts w:hint="eastAsia" w:ascii="宋体" w:hAnsi="宋体" w:cs="宋体"/>
          <w:color w:val="auto"/>
          <w:sz w:val="24"/>
          <w:highlight w:val="none"/>
        </w:rPr>
        <w:t xml:space="preserve">采购活动，服务全部由符合政策要求的中小企业承接。相关企业的具体情况如下：</w:t>
      </w:r>
      <w:r>
        <w:rPr>
          <w:rStyle w:val="1230"/>
          <w:rFonts w:hint="eastAsia" w:ascii="宋体" w:hAnsi="宋体" w:cs="宋体"/>
          <w:color w:val="auto"/>
          <w:sz w:val="24"/>
          <w:highlight w:val="none"/>
        </w:rPr>
        <w:br w:type="textWrapping" w:clear="all"/>
      </w:r>
      <w:r>
        <w:rPr>
          <w:rStyle w:val="1230"/>
          <w:rFonts w:hint="eastAsia" w:ascii="宋体" w:hAnsi="宋体" w:cs="宋体"/>
          <w:color w:val="auto"/>
          <w:sz w:val="24"/>
          <w:highlight w:val="none"/>
          <w:lang w:val="en-US"/>
        </w:rPr>
        <w:t xml:space="preserve">  </w:t>
      </w:r>
      <w:r>
        <w:rPr>
          <w:rStyle w:val="1230"/>
          <w:rFonts w:hint="eastAsia" w:ascii="宋体" w:hAnsi="宋体" w:cs="宋体"/>
          <w:color w:val="auto"/>
          <w:sz w:val="24"/>
          <w:highlight w:val="none"/>
        </w:rPr>
        <w:t xml:space="preserve">1、</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rPr>
        <w:t xml:space="preserve">其他未列明行业</w:t>
      </w:r>
      <w:r>
        <w:rPr>
          <w:rFonts w:ascii="宋体" w:hAnsi="宋体"/>
          <w:color w:val="auto"/>
          <w:sz w:val="24"/>
          <w:highlight w:val="none"/>
          <w:u w:val="single"/>
        </w:rPr>
        <w:t xml:space="preserve">）</w:t>
      </w:r>
      <w:r>
        <w:rPr>
          <w:rFonts w:ascii="宋体" w:hAnsi="宋体"/>
          <w:color w:val="auto"/>
          <w:sz w:val="24"/>
          <w:highlight w:val="none"/>
        </w:rPr>
        <w:t xml:space="preserve">； 承建（承接）</w:t>
      </w:r>
      <w:r>
        <w:rPr>
          <w:rFonts w:hint="eastAsia" w:ascii="宋体" w:hAnsi="宋体"/>
          <w:color w:val="auto"/>
          <w:sz w:val="24"/>
          <w:highlight w:val="none"/>
        </w:rPr>
        <w:t xml:space="preserve">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万元，属于</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企业 </w:t>
      </w:r>
      <w:r>
        <w:rPr>
          <w:rFonts w:ascii="宋体" w:hAnsi="宋体"/>
          <w:color w:val="auto"/>
          <w:sz w:val="24"/>
          <w:highlight w:val="none"/>
        </w:rPr>
        <w:t xml:space="preserve">（中型企业、小型企业、微型企业</w:t>
      </w:r>
      <w:r>
        <w:rPr>
          <w:rFonts w:hint="eastAsia" w:ascii="宋体" w:hAnsi="宋体" w:cs="宋体"/>
          <w:b/>
          <w:color w:val="auto"/>
          <w:sz w:val="24"/>
          <w:highlight w:val="none"/>
          <w:u w:val="single"/>
        </w:rPr>
        <w:t xml:space="preserve">请填空！</w:t>
      </w:r>
      <w:r>
        <w:rPr>
          <w:rFonts w:ascii="宋体" w:hAnsi="宋体"/>
          <w:color w:val="auto"/>
          <w:sz w:val="24"/>
          <w:highlight w:val="none"/>
        </w:rPr>
        <w:t xml:space="preserve">）</w:t>
      </w:r>
      <w:r>
        <w:rPr>
          <w:rFonts w:hint="eastAsia" w:ascii="宋体" w:hAnsi="宋体" w:cs="宋体"/>
          <w:color w:val="auto"/>
          <w:sz w:val="24"/>
          <w:highlight w:val="none"/>
        </w:rPr>
        <w:t xml:space="preserve">；</w:t>
      </w:r>
      <w:r/>
    </w:p>
    <w:p>
      <w:pPr>
        <w:ind w:firstLine="482"/>
        <w:spacing w:line="360" w:lineRule="auto"/>
        <w:rPr>
          <w:rStyle w:val="1230"/>
          <w:rFonts w:ascii="宋体" w:hAnsi="宋体" w:cs="宋体"/>
          <w:b/>
          <w:bCs/>
          <w:color w:val="auto"/>
          <w:sz w:val="24"/>
          <w:highlight w:val="none"/>
        </w:rPr>
      </w:pPr>
      <w:r>
        <w:rPr>
          <w:rStyle w:val="1230"/>
          <w:rFonts w:hint="eastAsia" w:ascii="宋体" w:hAnsi="宋体" w:cs="宋体"/>
          <w:b/>
          <w:bCs/>
          <w:color w:val="auto"/>
          <w:sz w:val="24"/>
          <w:highlight w:val="none"/>
        </w:rPr>
        <w:t xml:space="preserve">...</w:t>
      </w:r>
      <w:r/>
    </w:p>
    <w:p>
      <w:pPr>
        <w:ind w:firstLine="482"/>
        <w:spacing w:line="360" w:lineRule="auto"/>
        <w:rPr>
          <w:rStyle w:val="1230"/>
          <w:rFonts w:ascii="宋体" w:hAnsi="宋体" w:cs="宋体"/>
          <w:color w:val="auto"/>
          <w:sz w:val="24"/>
          <w:highlight w:val="none"/>
        </w:rPr>
      </w:pPr>
      <w:r>
        <w:rPr>
          <w:rStyle w:val="1230"/>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jc w:val="left"/>
        <w:spacing w:line="360" w:lineRule="auto"/>
        <w:rPr>
          <w:rStyle w:val="1230"/>
          <w:rFonts w:ascii="宋体" w:hAnsi="宋体" w:cs="宋体"/>
          <w:color w:val="auto"/>
          <w:sz w:val="24"/>
          <w:highlight w:val="none"/>
        </w:rPr>
      </w:pPr>
      <w:r>
        <w:rPr>
          <w:rStyle w:val="1230"/>
          <w:rFonts w:hint="eastAsia" w:ascii="宋体" w:hAnsi="宋体" w:cs="宋体"/>
          <w:color w:val="auto"/>
          <w:sz w:val="24"/>
          <w:highlight w:val="none"/>
        </w:rPr>
        <w:t xml:space="preserve">　　本企业对上述声明内容的真实性负责。如有虚假，将依法承担相应责任。</w:t>
      </w:r>
      <w:r/>
    </w:p>
    <w:p>
      <w:pPr>
        <w:ind w:firstLine="480"/>
        <w:jc w:val="left"/>
        <w:spacing w:line="360" w:lineRule="auto"/>
        <w:rPr>
          <w:rStyle w:val="1230"/>
          <w:rFonts w:ascii="宋体" w:hAnsi="宋体" w:cs="宋体"/>
          <w:color w:val="auto"/>
          <w:sz w:val="24"/>
          <w:szCs w:val="22"/>
          <w:highlight w:val="none"/>
        </w:rPr>
      </w:pPr>
      <w:r>
        <w:rPr>
          <w:rStyle w:val="1230"/>
          <w:rFonts w:hint="eastAsia" w:ascii="宋体" w:hAnsi="宋体" w:cs="宋体"/>
          <w:color w:val="auto"/>
          <w:sz w:val="24"/>
          <w:highlight w:val="none"/>
        </w:rPr>
        <w:t xml:space="preserve">注：本采</w:t>
      </w:r>
      <w:r>
        <w:rPr>
          <w:rStyle w:val="1230"/>
          <w:rFonts w:hint="eastAsia" w:ascii="宋体" w:hAnsi="宋体" w:cs="宋体"/>
          <w:color w:val="auto"/>
          <w:sz w:val="24"/>
          <w:szCs w:val="22"/>
          <w:highlight w:val="none"/>
        </w:rPr>
        <w:t xml:space="preserve">购</w:t>
      </w:r>
      <w:r>
        <w:rPr>
          <w:rStyle w:val="1230"/>
          <w:rFonts w:hint="eastAsia" w:ascii="宋体" w:hAnsi="宋体" w:cs="宋体"/>
          <w:color w:val="auto"/>
          <w:sz w:val="24"/>
          <w:highlight w:val="none"/>
        </w:rPr>
        <w:t xml:space="preserve">项目</w:t>
      </w:r>
      <w:r>
        <w:rPr>
          <w:rStyle w:val="1230"/>
          <w:rFonts w:hint="eastAsia" w:ascii="宋体" w:hAnsi="宋体" w:cs="宋体"/>
          <w:color w:val="auto"/>
          <w:sz w:val="24"/>
          <w:szCs w:val="22"/>
          <w:highlight w:val="none"/>
        </w:rPr>
        <w:t xml:space="preserve">属于</w:t>
      </w:r>
      <w:r>
        <w:rPr>
          <w:rStyle w:val="1230"/>
          <w:rFonts w:hint="eastAsia" w:ascii="宋体" w:hAnsi="宋体" w:cs="宋体"/>
          <w:color w:val="auto"/>
          <w:sz w:val="24"/>
          <w:szCs w:val="22"/>
          <w:highlight w:val="none"/>
          <w:u w:val="single"/>
        </w:rPr>
        <w:t xml:space="preserve">“其他未列明行业”</w:t>
      </w:r>
      <w:r>
        <w:rPr>
          <w:rStyle w:val="1230"/>
          <w:rFonts w:hint="eastAsia" w:ascii="宋体" w:hAnsi="宋体" w:cs="宋体"/>
          <w:color w:val="auto"/>
          <w:sz w:val="24"/>
          <w:szCs w:val="22"/>
          <w:highlight w:val="none"/>
        </w:rPr>
        <w:t xml:space="preserve">。</w:t>
      </w:r>
      <w:r/>
    </w:p>
    <w:p>
      <w:pPr>
        <w:ind w:firstLine="480"/>
        <w:jc w:val="left"/>
        <w:spacing w:line="360" w:lineRule="auto"/>
        <w:rPr>
          <w:rStyle w:val="1230"/>
          <w:rFonts w:ascii="宋体" w:hAnsi="宋体" w:cs="宋体"/>
          <w:color w:val="auto"/>
          <w:sz w:val="24"/>
          <w:szCs w:val="22"/>
          <w:highlight w:val="none"/>
        </w:rPr>
      </w:pPr>
      <w:r>
        <w:rPr>
          <w:rStyle w:val="1230"/>
          <w:rFonts w:hint="eastAsia" w:ascii="宋体" w:hAnsi="宋体" w:cs="宋体"/>
          <w:color w:val="auto"/>
          <w:sz w:val="24"/>
          <w:szCs w:val="22"/>
          <w:highlight w:val="none"/>
        </w:rPr>
        <w:t xml:space="preserve">备注：从业人员、营业收入、资产总额填报上一年度数据，无上一年度数据的新成立企业可不填报。</w:t>
      </w:r>
      <w:r/>
    </w:p>
    <w:p>
      <w:pPr>
        <w:jc w:val="left"/>
        <w:spacing w:line="360" w:lineRule="auto"/>
        <w:rPr>
          <w:rStyle w:val="1230"/>
          <w:rFonts w:hint="eastAsia" w:ascii="宋体" w:hAnsi="宋体" w:cs="宋体"/>
          <w:color w:val="auto"/>
          <w:sz w:val="24"/>
          <w:highlight w:val="none"/>
        </w:rPr>
      </w:pPr>
      <w:r>
        <w:rPr>
          <w:rFonts w:hint="eastAsia" w:ascii="宋体" w:hAnsi="宋体" w:cs="宋体"/>
          <w:color w:val="auto"/>
          <w:sz w:val="24"/>
          <w:highlight w:val="none"/>
        </w:rPr>
      </w:r>
      <w:r/>
    </w:p>
    <w:p>
      <w:pPr>
        <w:ind w:left="2520" w:firstLine="420"/>
        <w:jc w:val="left"/>
        <w:spacing w:line="480" w:lineRule="auto"/>
        <w:rPr>
          <w:rStyle w:val="1230"/>
          <w:rFonts w:ascii="宋体" w:hAnsi="宋体" w:cs="宋体"/>
          <w:color w:val="auto"/>
          <w:sz w:val="24"/>
          <w:highlight w:val="none"/>
        </w:rPr>
      </w:pPr>
      <w:r>
        <w:rPr>
          <w:rStyle w:val="1230"/>
          <w:rFonts w:hint="eastAsia" w:ascii="宋体" w:hAnsi="宋体" w:cs="宋体"/>
          <w:color w:val="auto"/>
          <w:sz w:val="24"/>
          <w:highlight w:val="none"/>
        </w:rPr>
        <w:t xml:space="preserve">投标人：（盖电子签章）</w:t>
      </w:r>
      <w:r/>
    </w:p>
    <w:p>
      <w:pPr>
        <w:ind w:left="2520" w:firstLine="420"/>
        <w:jc w:val="left"/>
        <w:spacing w:line="480" w:lineRule="auto"/>
        <w:rPr>
          <w:rStyle w:val="1230"/>
          <w:rFonts w:hint="eastAsia" w:ascii="宋体" w:hAnsi="宋体" w:cs="宋体"/>
          <w:color w:val="auto"/>
          <w:sz w:val="24"/>
          <w:highlight w:val="none"/>
        </w:rPr>
      </w:pPr>
      <w:r>
        <w:rPr>
          <w:rStyle w:val="1230"/>
          <w:rFonts w:hint="eastAsia" w:ascii="宋体" w:hAnsi="宋体" w:cs="宋体"/>
          <w:color w:val="auto"/>
          <w:sz w:val="24"/>
          <w:highlight w:val="none"/>
        </w:rPr>
        <w:t xml:space="preserve">投标人</w:t>
      </w:r>
      <w:r>
        <w:rPr>
          <w:rFonts w:hint="eastAsia" w:ascii="宋体" w:hAnsi="宋体" w:cs="宋体"/>
          <w:color w:val="auto"/>
          <w:sz w:val="24"/>
          <w:highlight w:val="none"/>
        </w:rPr>
        <w:t xml:space="preserve">法定代表人或授权代表</w:t>
      </w:r>
      <w:r>
        <w:rPr>
          <w:rStyle w:val="1230"/>
          <w:rFonts w:hint="eastAsia" w:ascii="宋体" w:hAnsi="宋体" w:cs="宋体"/>
          <w:color w:val="auto"/>
          <w:sz w:val="24"/>
          <w:highlight w:val="none"/>
        </w:rPr>
        <w:t xml:space="preserve">：（签字或电子签章）  </w:t>
      </w:r>
      <w:r/>
    </w:p>
    <w:p>
      <w:pPr>
        <w:ind w:left="2520" w:firstLine="42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jc w:val="left"/>
        <w:spacing w:line="360" w:lineRule="auto"/>
        <w:rPr>
          <w:rStyle w:val="1230"/>
          <w:rFonts w:ascii="宋体" w:hAnsi="宋体" w:cs="宋体"/>
          <w:color w:val="auto"/>
          <w:sz w:val="24"/>
          <w:highlight w:val="none"/>
        </w:rPr>
      </w:pPr>
      <w:r>
        <w:rPr>
          <w:rFonts w:ascii="宋体" w:hAnsi="宋体" w:cs="宋体"/>
          <w:color w:val="auto"/>
          <w:sz w:val="24"/>
          <w:highlight w:val="none"/>
        </w:rPr>
      </w:r>
      <w:r/>
    </w:p>
    <w:p>
      <w:pPr>
        <w:ind w:firstLine="3600"/>
        <w:spacing w:line="40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ascii="宋体" w:hAnsi="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8"/>
          <w:szCs w:val="28"/>
          <w:highlight w:val="none"/>
        </w:rPr>
      </w:r>
      <w:r/>
    </w:p>
    <w:p>
      <w:pPr>
        <w:pStyle w:val="1215"/>
        <w:spacing w:beforeAutospacing="0" w:afterAutospacing="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为方便中小企业和社会各界使用自测结果，小程序增加自测结果打印功能，测试者可按照小程序填写测试企业有关信息并完成自测后，保存自测结果自行打印。</w:t>
      </w:r>
      <w:r/>
    </w:p>
    <w:p>
      <w:pPr>
        <w:pStyle w:val="1215"/>
        <w:ind w:firstLine="480"/>
        <w:spacing w:beforeAutospacing="0" w:afterAutospacing="0" w:line="360" w:lineRule="auto"/>
        <w:rPr>
          <w:rFonts w:ascii="宋体" w:hAnsi="宋体" w:cs="宋体"/>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1073785</wp:posOffset>
                </wp:positionH>
                <wp:positionV relativeFrom="paragraph">
                  <wp:posOffset>538480</wp:posOffset>
                </wp:positionV>
                <wp:extent cx="3864610" cy="7629525"/>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10" name="图片 9"/>
                        <pic:cNvPicPr/>
                        <pic:nvPr/>
                      </pic:nvPicPr>
                      <pic:blipFill>
                        <a:blip r:embed="rId25"/>
                        <a:stretch/>
                      </pic:blipFill>
                      <pic:spPr bwMode="auto">
                        <a:xfrm>
                          <a:off x="0" y="0"/>
                          <a:ext cx="3864610" cy="762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84.5pt;mso-position-horizontal:absolute;mso-position-vertical-relative:text;margin-top:42.4pt;mso-position-vertical:absolute;width:304.3pt;height:600.8pt;mso-wrap-distance-left:9.0pt;mso-wrap-distance-top:0.0pt;mso-wrap-distance-right:9.0pt;mso-wrap-distance-bottom:0.0pt;" stroked="f">
                <v:path textboxrect="0,0,0,0"/>
                <v:imagedata r:id="rId25" o:title=""/>
              </v:shape>
            </w:pict>
          </mc:Fallback>
        </mc:AlternateContent>
      </w:r>
      <w:r>
        <w:rPr>
          <w:rFonts w:hint="eastAsia" w:ascii="宋体" w:hAnsi="宋体" w:cs="宋体"/>
          <w:color w:val="auto"/>
          <w:sz w:val="22"/>
          <w:szCs w:val="22"/>
          <w:highlight w:val="none"/>
        </w:rPr>
        <w:t xml:space="preserve">如有疑问，可与市工信局中小企业综合协调处咨询联系。联系电话：0516-83861958</w:t>
      </w:r>
      <w:r/>
    </w:p>
    <w:p>
      <w:pPr>
        <w:pStyle w:val="1215"/>
        <w:spacing w:beforeAutospacing="0" w:afterAutospacing="0" w:line="360" w:lineRule="auto"/>
        <w:rPr>
          <w:rFonts w:ascii="宋体" w:hAnsi="宋体" w:cs="宋体"/>
          <w:color w:val="auto"/>
          <w:sz w:val="30"/>
          <w:szCs w:val="30"/>
          <w:highlight w:val="none"/>
        </w:rPr>
        <w:sectPr>
          <w:headerReference w:type="default" r:id="rId14"/>
          <w:footerReference w:type="default" r:id="rId21"/>
          <w:footerReference w:type="even" r:id="rId2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30"/>
          <w:szCs w:val="30"/>
          <w:highlight w:val="none"/>
        </w:rPr>
      </w:r>
      <w:r/>
    </w:p>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、残疾人福利性单位声明函</w:t>
      </w:r>
      <w:r/>
    </w:p>
    <w:p>
      <w:pPr>
        <w:spacing w:line="40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JSZC-320382-JSZR-G2024-0052</w:t>
      </w:r>
      <w:r/>
    </w:p>
    <w:p>
      <w:pPr>
        <w:ind w:firstLine="504"/>
        <w:spacing w:line="312"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12"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40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40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ascii="宋体" w:hAnsi="宋体" w:cs="宋体"/>
          <w:bCs/>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bCs/>
          <w:color w:val="auto"/>
          <w:sz w:val="28"/>
          <w:szCs w:val="28"/>
          <w:highlight w:val="none"/>
        </w:rPr>
        <w:t xml:space="preserve">投标人参加政府采购活动前3年内在经营活动中没有重大违法记录的书面声明</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jc w:val="left"/>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我单位在参加</w:t>
      </w:r>
      <w:r>
        <w:rPr>
          <w:rFonts w:hint="eastAsia" w:ascii="宋体" w:hAnsi="宋体" w:cs="宋体"/>
          <w:color w:val="auto"/>
          <w:sz w:val="24"/>
          <w:highlight w:val="none"/>
          <w:lang w:eastAsia="zh-CN"/>
        </w:rPr>
        <w:t xml:space="preserve">邳州市城市管理局农村生活垃圾运输服务</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lang w:eastAsia="zh-CN"/>
        </w:rPr>
        <w:t xml:space="preserve">JSZC-320382-JSZR-G2024-0052</w:t>
      </w:r>
      <w:r>
        <w:rPr>
          <w:rFonts w:hint="eastAsia" w:ascii="宋体" w:hAnsi="宋体" w:cs="宋体"/>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我单位对上述声明的真实性负责。如有虚假，将依法承担相应责任。</w:t>
      </w:r>
      <w:r/>
    </w:p>
    <w:p>
      <w:pPr>
        <w:ind w:firstLine="470"/>
        <w:spacing w:line="48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48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480" w:lineRule="auto"/>
        <w:rPr>
          <w:rFonts w:ascii="宋体" w:hAnsi="宋体" w:cs="宋体"/>
          <w:bCs/>
          <w:color w:val="auto"/>
          <w:sz w:val="24"/>
          <w:highlight w:val="none"/>
        </w:rPr>
      </w:pPr>
      <w:r>
        <w:rPr>
          <w:rFonts w:ascii="宋体" w:hAnsi="宋体" w:cs="宋体"/>
          <w:bCs/>
          <w:color w:val="auto"/>
          <w:sz w:val="24"/>
          <w:highlight w:val="none"/>
        </w:rPr>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4"/>
          <w:highlight w:val="none"/>
        </w:rPr>
      </w:r>
      <w:r/>
    </w:p>
    <w:p>
      <w:pPr>
        <w:pStyle w:val="1215"/>
        <w:jc w:val="center"/>
        <w:spacing w:beforeAutospacing="0" w:afterAutospacing="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、具备履行合同所必需的设备和专业技术能力的书面声明（附证明材料）</w:t>
      </w:r>
      <w:r/>
    </w:p>
    <w:p>
      <w:pPr>
        <w:ind w:firstLine="47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项目名称：</w:t>
      </w:r>
      <w:r>
        <w:rPr>
          <w:rFonts w:hint="eastAsia" w:ascii="宋体" w:hAnsi="宋体" w:cs="宋体"/>
          <w:color w:val="auto"/>
          <w:sz w:val="24"/>
          <w:highlight w:val="none"/>
          <w:lang w:eastAsia="zh-CN"/>
        </w:rPr>
        <w:t xml:space="preserve">邳州市城市管理局农村生活垃圾运输服务</w:t>
      </w:r>
      <w:r/>
    </w:p>
    <w:p>
      <w:pPr>
        <w:ind w:firstLine="47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JSZC-320382-JSZR-G2024-0052</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投标人郑重声明：投标人具备履行合同（项目名称：</w:t>
      </w:r>
      <w:r>
        <w:rPr>
          <w:rFonts w:hint="eastAsia" w:ascii="宋体" w:hAnsi="宋体" w:cs="宋体"/>
          <w:color w:val="auto"/>
          <w:sz w:val="24"/>
          <w:highlight w:val="none"/>
          <w:lang w:eastAsia="zh-CN"/>
        </w:rPr>
        <w:t xml:space="preserve">邳州市城市管理局农村生活垃圾运输服务</w:t>
      </w: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JSZC-320382-JSZR-G2024-0052</w:t>
      </w:r>
      <w:r>
        <w:rPr>
          <w:rFonts w:hint="eastAsia" w:ascii="宋体" w:hAnsi="宋体" w:cs="宋体"/>
          <w:bCs/>
          <w:color w:val="auto"/>
          <w:sz w:val="24"/>
          <w:highlight w:val="none"/>
        </w:rPr>
        <w:t xml:space="preserve">所必需的设备和专业技术能力，具体为：</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设备：</w:t>
      </w:r>
      <w:r/>
    </w:p>
    <w:p>
      <w:pPr>
        <w:numPr>
          <w:ilvl w:val="0"/>
          <w:numId w:val="4"/>
        </w:num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numPr>
          <w:ilvl w:val="0"/>
          <w:numId w:val="4"/>
        </w:num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专业技术能力：</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特此声明。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投标人对上述声明的真实性负责。如有虚假，将依法承担相应责任。</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投标人法定代表人或授权代表：（签字或电子签章）  </w:t>
      </w:r>
      <w:r/>
    </w:p>
    <w:p>
      <w:pPr>
        <w:ind w:left="1680"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ind w:firstLine="470"/>
        <w:rPr>
          <w:rFonts w:ascii="宋体" w:hAnsi="宋体" w:cs="宋体"/>
          <w:bCs/>
          <w:color w:val="auto"/>
          <w:sz w:val="24"/>
          <w:highlight w:val="none"/>
        </w:rPr>
      </w:pPr>
      <w:r>
        <w:rPr>
          <w:rFonts w:ascii="宋体" w:hAnsi="宋体" w:cs="宋体"/>
          <w:bCs/>
          <w:color w:val="auto"/>
          <w:sz w:val="24"/>
          <w:highlight w:val="none"/>
        </w:rPr>
      </w:r>
      <w:r/>
    </w:p>
    <w:p>
      <w:pPr>
        <w:rPr>
          <w:rFonts w:ascii="宋体" w:hAnsi="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Cs/>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预付款保函支付条款模板 </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t xml:space="preserve">符合条件一：提交预付款保函的</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乙方需提交的支付文件：乙方出具的全额正式发票。</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 。 </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t xml:space="preserve">符合条件二：不提交预付款保函的</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乙方需提交的支付文件：乙方出具的全额正式发票。</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注</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1、付款条件一中，出具预付款保函后支付的合同款应当与保函金额一致。</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2、付款条件二中，预付款比例设定应符合《关于做好政府采购支持企业发展有关事项的通知》(苏财购〔2020〕52号)要求。</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pStyle w:val="1201"/>
        <w:ind w:firstLine="560"/>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仿宋">
    <w:panose1 w:val="02010609060101010101"/>
  </w:font>
  <w:font w:name="Courier New">
    <w:panose1 w:val="02070309020205020404"/>
  </w:font>
  <w:font w:name="Verdana">
    <w:panose1 w:val="020B0604030504040204"/>
  </w:font>
  <w:font w:name="黑体">
    <w:panose1 w:val="02010609060101010101"/>
  </w:font>
  <w:font w:name="仿宋_GB2312">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rFonts w:hint="eastAsia" w:ascii="仿宋" w:hAnsi="仿宋" w:eastAsia="仿宋" w:cs="仿宋"/>
        <w:b/>
        <w:bCs/>
        <w:i/>
        <w:iCs/>
        <w:sz w:val="18"/>
        <w:szCs w:val="18"/>
        <w:lang w:eastAsia="zh-CN"/>
      </w:rPr>
      <w:t xml:space="preserve">江苏中瑞建设项目管理有限公司</w:t>
    </w:r>
    <w:r>
      <w:rPr>
        <w:rFonts w:hint="eastAsia" w:ascii="仿宋" w:hAnsi="仿宋" w:eastAsia="仿宋" w:cs="仿宋"/>
        <w:b/>
        <w:bCs/>
        <w:i/>
        <w:iCs/>
        <w:sz w:val="18"/>
        <w:szCs w:val="18"/>
      </w:rPr>
      <w:t xml:space="preserve">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5760"/>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rPr>
        <w:rFonts w:hint="eastAsia"/>
        <w:lang w:eastAsia="zh-CN"/>
      </w:rPr>
      <w:t xml:space="preserve">江苏中瑞建设项目管理有限公司</w:t>
    </w:r>
    <w:r>
      <w:rPr>
        <w:rFonts w:hint="eastAsia"/>
      </w:rPr>
      <w:t xml:space="preserve">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30"/>
                            <w:tabs>
                              <w:tab w:val="center" w:pos="4153" w:leader="none"/>
                              <w:tab w:val="clear" w:pos="7143" w:leader="none"/>
                              <w:tab w:val="right" w:pos="8306"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30"/>
                      <w:tabs>
                        <w:tab w:val="center" w:pos="4153" w:leader="none"/>
                        <w:tab w:val="clear" w:pos="7143" w:leader="none"/>
                        <w:tab w:val="right" w:pos="8306"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right="360"/>
      <w:jc w:val="right"/>
      <w:tabs>
        <w:tab w:val="left" w:pos="3052" w:leader="none"/>
        <w:tab w:val="center" w:pos="4033" w:leader="none"/>
      </w:tabs>
      <w:rPr>
        <w:rFonts w:ascii="仿宋" w:hAnsi="仿宋" w:eastAsia="仿宋" w:cs="仿宋"/>
        <w:b/>
        <w:bCs/>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rPr>
        <w:rStyle w:val="1218"/>
      </w:rPr>
      <w:framePr w:wrap="around" w:vAnchor="text" w:hAnchor="margin" w:xAlign="right" w:y="1"/>
    </w:pPr>
    <w:r>
      <w:fldChar w:fldCharType="begin"/>
    </w:r>
    <w:r>
      <w:rPr>
        <w:rStyle w:val="1218"/>
      </w:rPr>
      <w:instrText xml:space="preserve">PAGE  </w:instrText>
    </w:r>
    <w:r>
      <w:fldChar w:fldCharType="separate"/>
    </w:r>
    <w:r>
      <w:rPr>
        <w:rStyle w:val="1218"/>
      </w:rPr>
      <w:t xml:space="preserve">19</w:t>
    </w:r>
    <w:r>
      <w:fldChar w:fldCharType="end"/>
    </w:r>
    <w:r/>
  </w:p>
  <w:p>
    <w:pPr>
      <w:pStyle w:val="121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rPr>
      <w:pBdr>
        <w:bottom w:val="single" w:color="000000" w:sz="4" w:space="0"/>
      </w:pBdr>
    </w:pPr>
    <w:r>
      <w:rPr>
        <w:rFonts w:hint="eastAsia"/>
        <w:sz w:val="18"/>
        <w:lang w:eastAsia="zh-CN"/>
      </w:rPr>
      <w:t xml:space="preserve">邳州市城市管理局农村生活垃圾运输服务</w:t>
    </w:r>
    <w:r>
      <w:rPr>
        <w:rFonts w:hint="eastAsia"/>
        <w:sz w:val="18"/>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Pr>
    <w:r>
      <w:rPr>
        <w:rFonts w:hint="eastAsia"/>
        <w:szCs w:val="21"/>
        <w:lang w:eastAsia="zh-CN"/>
      </w:rPr>
      <w:t xml:space="preserve">邳州市城市管理局农村生活垃圾运输服务</w:t>
    </w:r>
    <w:r>
      <w:rPr>
        <w:rFonts w:hint="eastAsia"/>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Pr>
    <w:r>
      <w:rPr>
        <w:rFonts w:hint="eastAsia"/>
        <w:szCs w:val="21"/>
        <w:lang w:eastAsia="zh-CN"/>
      </w:rPr>
      <w:t xml:space="preserve">邳州市城市管理局农村生活垃圾运输服务</w:t>
    </w:r>
    <w:r>
      <w:rPr>
        <w:rFonts w:hint="eastAsia"/>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szCs w:val="18"/>
      </w:rPr>
      <w:pBdr>
        <w:bottom w:val="single" w:color="000000" w:sz="4" w:space="0"/>
      </w:pBdr>
    </w:pPr>
    <w:r>
      <w:rPr>
        <w:rFonts w:hint="eastAsia"/>
        <w:sz w:val="18"/>
        <w:szCs w:val="18"/>
        <w:lang w:eastAsia="zh-CN"/>
      </w:rPr>
      <w:t xml:space="preserve">邳州市城市管理局农村生活垃圾运输服务</w:t>
    </w:r>
    <w:r>
      <w:rPr>
        <w:rFonts w:hint="eastAsia"/>
        <w:sz w:val="18"/>
        <w:szCs w:val="18"/>
      </w:rPr>
      <w:t xml:space="preserve">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Bdr>
        <w:bottom w:val="single" w:color="000000" w:sz="4" w:space="0"/>
      </w:pBdr>
    </w:pPr>
    <w:r>
      <w:rPr>
        <w:rFonts w:hint="eastAsia"/>
        <w:lang w:eastAsia="zh-CN"/>
      </w:rPr>
      <w:t xml:space="preserve">邳州市城市管理局农村生活垃圾运输服务</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5" w:default="1">
    <w:name w:val="Normal"/>
    <w:next w:val="1007"/>
    <w:link w:val="122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6">
    <w:name w:val="Heading 1"/>
    <w:basedOn w:val="995"/>
    <w:next w:val="995"/>
    <w:link w:val="1048"/>
    <w:uiPriority w:val="9"/>
    <w:qFormat/>
    <w:pPr>
      <w:keepLines/>
      <w:keepNext/>
      <w:spacing w:before="480" w:after="200"/>
      <w:outlineLvl w:val="0"/>
    </w:pPr>
    <w:rPr>
      <w:rFonts w:ascii="Arial" w:hAnsi="Arial" w:eastAsia="Arial" w:cs="Arial"/>
      <w:sz w:val="40"/>
      <w:szCs w:val="40"/>
    </w:rPr>
  </w:style>
  <w:style w:type="paragraph" w:styleId="997">
    <w:name w:val="Heading 2"/>
    <w:basedOn w:val="995"/>
    <w:next w:val="995"/>
    <w:link w:val="1049"/>
    <w:uiPriority w:val="9"/>
    <w:unhideWhenUsed/>
    <w:qFormat/>
    <w:pPr>
      <w:keepLines/>
      <w:keepNext/>
      <w:spacing w:before="360" w:after="200"/>
      <w:outlineLvl w:val="1"/>
    </w:pPr>
    <w:rPr>
      <w:rFonts w:ascii="Arial" w:hAnsi="Arial" w:eastAsia="Arial" w:cs="Arial"/>
      <w:sz w:val="34"/>
    </w:rPr>
  </w:style>
  <w:style w:type="paragraph" w:styleId="998">
    <w:name w:val="Heading 3"/>
    <w:basedOn w:val="995"/>
    <w:next w:val="995"/>
    <w:link w:val="1050"/>
    <w:uiPriority w:val="9"/>
    <w:unhideWhenUsed/>
    <w:qFormat/>
    <w:pPr>
      <w:keepLines/>
      <w:keepNext/>
      <w:spacing w:before="320" w:after="200"/>
      <w:outlineLvl w:val="2"/>
    </w:pPr>
    <w:rPr>
      <w:rFonts w:ascii="Arial" w:hAnsi="Arial" w:eastAsia="Arial" w:cs="Arial"/>
      <w:sz w:val="30"/>
      <w:szCs w:val="30"/>
    </w:rPr>
  </w:style>
  <w:style w:type="paragraph" w:styleId="999">
    <w:name w:val="Heading 4"/>
    <w:basedOn w:val="995"/>
    <w:next w:val="995"/>
    <w:link w:val="1051"/>
    <w:uiPriority w:val="9"/>
    <w:unhideWhenUsed/>
    <w:qFormat/>
    <w:pPr>
      <w:keepLines/>
      <w:keepNext/>
      <w:spacing w:before="320" w:after="200"/>
      <w:outlineLvl w:val="3"/>
    </w:pPr>
    <w:rPr>
      <w:rFonts w:ascii="Arial" w:hAnsi="Arial" w:eastAsia="Arial" w:cs="Arial"/>
      <w:b/>
      <w:bCs/>
      <w:sz w:val="26"/>
      <w:szCs w:val="26"/>
    </w:rPr>
  </w:style>
  <w:style w:type="paragraph" w:styleId="1000">
    <w:name w:val="Heading 5"/>
    <w:basedOn w:val="995"/>
    <w:next w:val="995"/>
    <w:link w:val="1052"/>
    <w:uiPriority w:val="9"/>
    <w:unhideWhenUsed/>
    <w:qFormat/>
    <w:pPr>
      <w:keepLines/>
      <w:keepNext/>
      <w:spacing w:before="320" w:after="200"/>
      <w:outlineLvl w:val="4"/>
    </w:pPr>
    <w:rPr>
      <w:rFonts w:ascii="Arial" w:hAnsi="Arial" w:eastAsia="Arial" w:cs="Arial"/>
      <w:b/>
      <w:bCs/>
      <w:sz w:val="24"/>
      <w:szCs w:val="24"/>
    </w:rPr>
  </w:style>
  <w:style w:type="paragraph" w:styleId="1001">
    <w:name w:val="Heading 6"/>
    <w:basedOn w:val="995"/>
    <w:next w:val="995"/>
    <w:link w:val="1053"/>
    <w:uiPriority w:val="9"/>
    <w:unhideWhenUsed/>
    <w:qFormat/>
    <w:pPr>
      <w:keepLines/>
      <w:keepNext/>
      <w:spacing w:before="320" w:after="200"/>
      <w:outlineLvl w:val="5"/>
    </w:pPr>
    <w:rPr>
      <w:rFonts w:ascii="Arial" w:hAnsi="Arial" w:eastAsia="Arial" w:cs="Arial"/>
      <w:b/>
      <w:bCs/>
      <w:sz w:val="22"/>
      <w:szCs w:val="22"/>
    </w:rPr>
  </w:style>
  <w:style w:type="paragraph" w:styleId="1002">
    <w:name w:val="Heading 7"/>
    <w:basedOn w:val="995"/>
    <w:next w:val="995"/>
    <w:link w:val="1054"/>
    <w:uiPriority w:val="9"/>
    <w:unhideWhenUsed/>
    <w:qFormat/>
    <w:pPr>
      <w:keepLines/>
      <w:keepNext/>
      <w:spacing w:before="320" w:after="200"/>
      <w:outlineLvl w:val="6"/>
    </w:pPr>
    <w:rPr>
      <w:rFonts w:ascii="Arial" w:hAnsi="Arial" w:eastAsia="Arial" w:cs="Arial"/>
      <w:b/>
      <w:bCs/>
      <w:i/>
      <w:iCs/>
      <w:sz w:val="22"/>
      <w:szCs w:val="22"/>
    </w:rPr>
  </w:style>
  <w:style w:type="paragraph" w:styleId="1003">
    <w:name w:val="Heading 8"/>
    <w:basedOn w:val="995"/>
    <w:next w:val="995"/>
    <w:link w:val="1055"/>
    <w:uiPriority w:val="9"/>
    <w:unhideWhenUsed/>
    <w:qFormat/>
    <w:pPr>
      <w:keepLines/>
      <w:keepNext/>
      <w:spacing w:before="320" w:after="200"/>
      <w:outlineLvl w:val="7"/>
    </w:pPr>
    <w:rPr>
      <w:rFonts w:ascii="Arial" w:hAnsi="Arial" w:eastAsia="Arial" w:cs="Arial"/>
      <w:i/>
      <w:iCs/>
      <w:sz w:val="22"/>
      <w:szCs w:val="22"/>
    </w:rPr>
  </w:style>
  <w:style w:type="paragraph" w:styleId="1004">
    <w:name w:val="Heading 9"/>
    <w:basedOn w:val="995"/>
    <w:next w:val="995"/>
    <w:link w:val="1056"/>
    <w:uiPriority w:val="9"/>
    <w:unhideWhenUsed/>
    <w:qFormat/>
    <w:pPr>
      <w:keepLines/>
      <w:keepNext/>
      <w:spacing w:before="320" w:after="200"/>
      <w:outlineLvl w:val="8"/>
    </w:pPr>
    <w:rPr>
      <w:rFonts w:ascii="Arial" w:hAnsi="Arial" w:eastAsia="Arial" w:cs="Arial"/>
      <w:i/>
      <w:iCs/>
      <w:sz w:val="21"/>
      <w:szCs w:val="21"/>
    </w:rPr>
  </w:style>
  <w:style w:type="character" w:styleId="1005" w:default="1">
    <w:name w:val="Default Paragraph Font"/>
    <w:uiPriority w:val="1"/>
    <w:semiHidden/>
    <w:unhideWhenUsed/>
    <w:qFormat/>
  </w:style>
  <w:style w:type="table" w:styleId="1006" w:default="1">
    <w:name w:val="Normal Table"/>
    <w:uiPriority w:val="99"/>
    <w:semiHidden/>
    <w:unhideWhenUsed/>
    <w:qFormat/>
    <w:tblPr>
      <w:tblLayout w:type="fixed"/>
      <w:tblCellMar>
        <w:left w:w="108" w:type="dxa"/>
        <w:top w:w="0" w:type="dxa"/>
        <w:right w:w="108" w:type="dxa"/>
        <w:bottom w:w="0" w:type="dxa"/>
      </w:tblCellMar>
    </w:tblPr>
  </w:style>
  <w:style w:type="paragraph" w:styleId="1007">
    <w:name w:val="Normal Indent"/>
    <w:basedOn w:val="995"/>
    <w:next w:val="1008"/>
    <w:uiPriority w:val="7"/>
    <w:qFormat/>
    <w:pPr>
      <w:ind w:firstLine="420"/>
    </w:pPr>
    <w:rPr>
      <w:rFonts w:eastAsia="楷体_GB2312"/>
    </w:rPr>
  </w:style>
  <w:style w:type="paragraph" w:styleId="1008">
    <w:name w:val="Body Text Indent"/>
    <w:basedOn w:val="995"/>
    <w:next w:val="1007"/>
    <w:uiPriority w:val="0"/>
    <w:qFormat/>
    <w:pPr>
      <w:ind w:left="420"/>
      <w:spacing w:after="120"/>
    </w:pPr>
  </w:style>
  <w:style w:type="paragraph" w:styleId="1009">
    <w:name w:val="toc 7"/>
    <w:basedOn w:val="995"/>
    <w:next w:val="995"/>
    <w:uiPriority w:val="39"/>
    <w:unhideWhenUsed/>
    <w:qFormat/>
    <w:pPr>
      <w:ind w:left="1701" w:right="0" w:firstLine="0"/>
      <w:spacing w:after="57"/>
    </w:pPr>
  </w:style>
  <w:style w:type="paragraph" w:styleId="1010">
    <w:name w:val="Body Text First Indent"/>
    <w:basedOn w:val="1011"/>
    <w:next w:val="1022"/>
    <w:uiPriority w:val="0"/>
    <w:qFormat/>
    <w:pPr>
      <w:ind w:firstLine="200"/>
      <w:spacing w:line="360" w:lineRule="auto"/>
    </w:pPr>
    <w:rPr>
      <w:rFonts w:ascii="仿宋_GB2312" w:eastAsia="仿宋_GB2312"/>
      <w:sz w:val="30"/>
      <w:szCs w:val="30"/>
    </w:rPr>
  </w:style>
  <w:style w:type="paragraph" w:styleId="1011">
    <w:name w:val="Body Text"/>
    <w:basedOn w:val="995"/>
    <w:next w:val="1012"/>
    <w:uiPriority w:val="0"/>
    <w:qFormat/>
    <w:pPr>
      <w:spacing w:after="120"/>
    </w:pPr>
  </w:style>
  <w:style w:type="paragraph" w:styleId="1012" w:customStyle="1">
    <w:name w:val="一级条标题"/>
    <w:basedOn w:val="1013"/>
    <w:next w:val="10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3" w:customStyle="1">
    <w:name w:val="章标题"/>
    <w:next w:val="9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4" w:customStyle="1">
    <w:name w:val="段"/>
    <w:basedOn w:val="1015"/>
    <w:next w:val="995"/>
    <w:uiPriority w:val="0"/>
    <w:qFormat/>
    <w:pPr>
      <w:ind w:firstLine="200"/>
    </w:pPr>
    <w:rPr>
      <w:rFonts w:hint="eastAsia" w:ascii="宋体"/>
    </w:rPr>
  </w:style>
  <w:style w:type="paragraph" w:styleId="1015" w:customStyle="1">
    <w:name w:val="正文11"/>
    <w:next w:val="1016"/>
    <w:link w:val="1230"/>
    <w:uiPriority w:val="0"/>
    <w:qFormat/>
    <w:pPr>
      <w:jc w:val="both"/>
    </w:pPr>
    <w:rPr>
      <w:rFonts w:hint="default" w:ascii="Times New Roman" w:hAnsi="Times New Roman" w:eastAsia="宋体" w:cs="Times New Roman"/>
      <w:lang w:val="en-US" w:eastAsia="zh-CN" w:bidi="ar-SA"/>
    </w:rPr>
  </w:style>
  <w:style w:type="paragraph" w:styleId="1016" w:customStyle="1">
    <w:name w:val="文本块1"/>
    <w:basedOn w:val="1017"/>
    <w:next w:val="1021"/>
    <w:uiPriority w:val="0"/>
    <w:qFormat/>
    <w:pPr>
      <w:ind w:left="256" w:right="6" w:firstLine="624"/>
    </w:pPr>
    <w:rPr>
      <w:rFonts w:eastAsia="仿宋_GB2312"/>
      <w:sz w:val="28"/>
    </w:rPr>
  </w:style>
  <w:style w:type="paragraph" w:styleId="1017" w:customStyle="1">
    <w:name w:val="正文111"/>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正文文本1"/>
    <w:basedOn w:val="1019"/>
    <w:next w:val="1020"/>
    <w:uiPriority w:val="0"/>
    <w:qFormat/>
    <w:pPr>
      <w:spacing w:after="120"/>
    </w:pPr>
    <w:rPr>
      <w:rFonts w:ascii="Calibri" w:hAnsi="Calibri"/>
    </w:rPr>
  </w:style>
  <w:style w:type="paragraph" w:styleId="1019" w:customStyle="1">
    <w:name w:val="正文1"/>
    <w:basedOn w:val="1017"/>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12"/>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标题 41"/>
    <w:basedOn w:val="995"/>
    <w:next w:val="1015"/>
    <w:uiPriority w:val="0"/>
    <w:qFormat/>
    <w:pPr>
      <w:keepLines/>
      <w:keepNext/>
      <w:spacing w:before="280" w:after="290" w:line="376" w:lineRule="auto"/>
      <w:outlineLvl w:val="3"/>
    </w:pPr>
    <w:rPr>
      <w:rFonts w:ascii="Arial" w:hAnsi="Arial" w:eastAsia="黑体"/>
      <w:b/>
      <w:bCs/>
      <w:sz w:val="28"/>
      <w:szCs w:val="28"/>
    </w:rPr>
  </w:style>
  <w:style w:type="paragraph" w:styleId="1022">
    <w:name w:val="Body Text First Indent 2"/>
    <w:basedOn w:val="1008"/>
    <w:uiPriority w:val="99"/>
    <w:qFormat/>
    <w:pPr>
      <w:ind w:left="0" w:firstLine="420"/>
      <w:spacing w:after="0" w:line="360" w:lineRule="auto"/>
    </w:pPr>
    <w:rPr>
      <w:rFonts w:ascii="宋体" w:hAnsi="宋体"/>
    </w:rPr>
  </w:style>
  <w:style w:type="paragraph" w:styleId="1023">
    <w:name w:val="table of authorities"/>
    <w:basedOn w:val="995"/>
    <w:next w:val="995"/>
    <w:uiPriority w:val="99"/>
    <w:qFormat/>
    <w:pPr>
      <w:ind w:left="420"/>
    </w:pPr>
    <w:rPr>
      <w:rFonts w:hint="eastAsia"/>
      <w:sz w:val="34"/>
    </w:rPr>
  </w:style>
  <w:style w:type="paragraph" w:styleId="1024">
    <w:name w:val="Caption"/>
    <w:basedOn w:val="995"/>
    <w:next w:val="9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5">
    <w:name w:val="Block Text"/>
    <w:basedOn w:val="995"/>
    <w:uiPriority w:val="99"/>
    <w:unhideWhenUsed/>
    <w:qFormat/>
    <w:pPr>
      <w:ind w:left="1440" w:right="1440"/>
      <w:spacing w:after="120"/>
    </w:pPr>
    <w:rPr>
      <w:rFonts w:ascii="Calibri" w:hAnsi="Calibri"/>
    </w:rPr>
  </w:style>
  <w:style w:type="paragraph" w:styleId="1026">
    <w:name w:val="toc 5"/>
    <w:basedOn w:val="995"/>
    <w:next w:val="995"/>
    <w:uiPriority w:val="39"/>
    <w:unhideWhenUsed/>
    <w:qFormat/>
    <w:pPr>
      <w:ind w:left="1134" w:right="0" w:firstLine="0"/>
      <w:spacing w:after="57"/>
    </w:pPr>
  </w:style>
  <w:style w:type="paragraph" w:styleId="1027">
    <w:name w:val="toc 3"/>
    <w:basedOn w:val="995"/>
    <w:next w:val="995"/>
    <w:uiPriority w:val="39"/>
    <w:unhideWhenUsed/>
    <w:qFormat/>
    <w:pPr>
      <w:ind w:left="567" w:right="0" w:firstLine="0"/>
      <w:spacing w:after="57"/>
    </w:pPr>
  </w:style>
  <w:style w:type="paragraph" w:styleId="1028">
    <w:name w:val="toc 8"/>
    <w:basedOn w:val="995"/>
    <w:next w:val="995"/>
    <w:uiPriority w:val="39"/>
    <w:unhideWhenUsed/>
    <w:qFormat/>
    <w:pPr>
      <w:ind w:left="1984" w:right="0" w:firstLine="0"/>
      <w:spacing w:after="57"/>
    </w:pPr>
  </w:style>
  <w:style w:type="paragraph" w:styleId="1029">
    <w:name w:val="endnote text"/>
    <w:basedOn w:val="995"/>
    <w:link w:val="1194"/>
    <w:uiPriority w:val="99"/>
    <w:semiHidden/>
    <w:unhideWhenUsed/>
    <w:qFormat/>
    <w:pPr>
      <w:spacing w:after="0" w:line="240" w:lineRule="auto"/>
    </w:pPr>
    <w:rPr>
      <w:sz w:val="20"/>
    </w:rPr>
  </w:style>
  <w:style w:type="paragraph" w:styleId="1030">
    <w:name w:val="Footer"/>
    <w:basedOn w:val="995"/>
    <w:link w:val="1067"/>
    <w:uiPriority w:val="99"/>
    <w:unhideWhenUsed/>
    <w:qFormat/>
    <w:pPr>
      <w:spacing w:after="0" w:line="240" w:lineRule="auto"/>
      <w:tabs>
        <w:tab w:val="center" w:pos="7143" w:leader="none"/>
        <w:tab w:val="right" w:pos="14287" w:leader="none"/>
      </w:tabs>
    </w:pPr>
  </w:style>
  <w:style w:type="paragraph" w:styleId="1031">
    <w:name w:val="envelope return"/>
    <w:basedOn w:val="995"/>
    <w:uiPriority w:val="0"/>
    <w:qFormat/>
    <w:rPr>
      <w:rFonts w:ascii="Arial" w:hAnsi="Arial"/>
    </w:rPr>
  </w:style>
  <w:style w:type="paragraph" w:styleId="1032">
    <w:name w:val="Header"/>
    <w:basedOn w:val="995"/>
    <w:link w:val="1065"/>
    <w:uiPriority w:val="99"/>
    <w:unhideWhenUsed/>
    <w:qFormat/>
    <w:pPr>
      <w:spacing w:after="0" w:line="240" w:lineRule="auto"/>
      <w:tabs>
        <w:tab w:val="center" w:pos="7143" w:leader="none"/>
        <w:tab w:val="right" w:pos="14287" w:leader="none"/>
      </w:tabs>
    </w:pPr>
  </w:style>
  <w:style w:type="paragraph" w:styleId="1033">
    <w:name w:val="toc 1"/>
    <w:basedOn w:val="995"/>
    <w:next w:val="995"/>
    <w:uiPriority w:val="39"/>
    <w:unhideWhenUsed/>
    <w:qFormat/>
    <w:pPr>
      <w:ind w:left="0" w:right="0" w:firstLine="0"/>
      <w:spacing w:after="57"/>
    </w:pPr>
  </w:style>
  <w:style w:type="paragraph" w:styleId="1034">
    <w:name w:val="toc 4"/>
    <w:basedOn w:val="995"/>
    <w:next w:val="995"/>
    <w:uiPriority w:val="39"/>
    <w:unhideWhenUsed/>
    <w:qFormat/>
    <w:pPr>
      <w:ind w:left="850" w:right="0" w:firstLine="0"/>
      <w:spacing w:after="57"/>
    </w:pPr>
  </w:style>
  <w:style w:type="paragraph" w:styleId="1035">
    <w:name w:val="Subtitle"/>
    <w:basedOn w:val="995"/>
    <w:next w:val="995"/>
    <w:link w:val="1060"/>
    <w:uiPriority w:val="11"/>
    <w:qFormat/>
    <w:pPr>
      <w:spacing w:before="200" w:after="200"/>
    </w:pPr>
    <w:rPr>
      <w:sz w:val="24"/>
      <w:szCs w:val="24"/>
    </w:rPr>
  </w:style>
  <w:style w:type="paragraph" w:styleId="1036">
    <w:name w:val="footnote text"/>
    <w:basedOn w:val="995"/>
    <w:link w:val="1193"/>
    <w:uiPriority w:val="99"/>
    <w:semiHidden/>
    <w:unhideWhenUsed/>
    <w:qFormat/>
    <w:pPr>
      <w:spacing w:after="40" w:line="240" w:lineRule="auto"/>
    </w:pPr>
    <w:rPr>
      <w:sz w:val="18"/>
    </w:rPr>
  </w:style>
  <w:style w:type="paragraph" w:styleId="1037">
    <w:name w:val="toc 6"/>
    <w:basedOn w:val="995"/>
    <w:next w:val="995"/>
    <w:uiPriority w:val="39"/>
    <w:unhideWhenUsed/>
    <w:qFormat/>
    <w:pPr>
      <w:ind w:left="1417" w:right="0" w:firstLine="0"/>
      <w:spacing w:after="57"/>
    </w:pPr>
  </w:style>
  <w:style w:type="paragraph" w:styleId="1038">
    <w:name w:val="table of figures"/>
    <w:basedOn w:val="995"/>
    <w:next w:val="995"/>
    <w:uiPriority w:val="99"/>
    <w:unhideWhenUsed/>
    <w:qFormat/>
    <w:pPr>
      <w:spacing w:after="0" w:afterAutospacing="0"/>
    </w:pPr>
  </w:style>
  <w:style w:type="paragraph" w:styleId="1039">
    <w:name w:val="toc 2"/>
    <w:basedOn w:val="995"/>
    <w:next w:val="995"/>
    <w:uiPriority w:val="39"/>
    <w:unhideWhenUsed/>
    <w:qFormat/>
    <w:pPr>
      <w:ind w:left="283" w:right="0" w:firstLine="0"/>
      <w:spacing w:after="57"/>
    </w:pPr>
  </w:style>
  <w:style w:type="paragraph" w:styleId="1040">
    <w:name w:val="toc 9"/>
    <w:basedOn w:val="995"/>
    <w:next w:val="995"/>
    <w:uiPriority w:val="39"/>
    <w:unhideWhenUsed/>
    <w:qFormat/>
    <w:pPr>
      <w:ind w:left="2268" w:right="0" w:firstLine="0"/>
      <w:spacing w:after="57"/>
    </w:pPr>
  </w:style>
  <w:style w:type="paragraph" w:styleId="1041">
    <w:name w:val="Title"/>
    <w:basedOn w:val="995"/>
    <w:next w:val="1008"/>
    <w:link w:val="1059"/>
    <w:uiPriority w:val="10"/>
    <w:qFormat/>
    <w:pPr>
      <w:contextualSpacing/>
      <w:spacing w:before="300" w:after="200"/>
    </w:pPr>
    <w:rPr>
      <w:sz w:val="48"/>
      <w:szCs w:val="48"/>
    </w:rPr>
  </w:style>
  <w:style w:type="character" w:styleId="1042">
    <w:name w:val="endnote reference"/>
    <w:uiPriority w:val="99"/>
    <w:semiHidden/>
    <w:unhideWhenUsed/>
    <w:qFormat/>
    <w:rPr>
      <w:vertAlign w:val="superscript"/>
    </w:rPr>
  </w:style>
  <w:style w:type="character" w:styleId="1043">
    <w:name w:val="Hyperlink"/>
    <w:uiPriority w:val="99"/>
    <w:unhideWhenUsed/>
    <w:qFormat/>
    <w:rPr>
      <w:color w:val="0000ff" w:themeColor="hyperlink"/>
      <w:u w:val="single"/>
      <w14:textFill>
        <w14:solidFill>
          <w14:schemeClr w14:val="hlink"/>
        </w14:solidFill>
      </w14:textFill>
    </w:rPr>
  </w:style>
  <w:style w:type="character" w:styleId="1044">
    <w:name w:val="footnote reference"/>
    <w:uiPriority w:val="99"/>
    <w:unhideWhenUsed/>
    <w:qFormat/>
    <w:rPr>
      <w:vertAlign w:val="superscript"/>
    </w:rPr>
  </w:style>
  <w:style w:type="table" w:styleId="10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46" w:customStyle="1">
    <w:name w:val="正文文本缩进1"/>
    <w:basedOn w:val="1015"/>
    <w:next w:val="1047"/>
    <w:uiPriority w:val="0"/>
    <w:qFormat/>
    <w:pPr>
      <w:ind w:left="420"/>
      <w:spacing w:after="120"/>
    </w:pPr>
  </w:style>
  <w:style w:type="paragraph" w:styleId="1047" w:customStyle="1">
    <w:name w:val="寄信人地址1"/>
    <w:basedOn w:val="1015"/>
    <w:uiPriority w:val="0"/>
    <w:qFormat/>
    <w:rPr>
      <w:rFonts w:ascii="Arial" w:hAnsi="Arial"/>
    </w:rPr>
  </w:style>
  <w:style w:type="character" w:styleId="1048" w:customStyle="1">
    <w:name w:val="Heading 1 Char"/>
    <w:link w:val="996"/>
    <w:uiPriority w:val="9"/>
    <w:qFormat/>
    <w:rPr>
      <w:rFonts w:ascii="Arial" w:hAnsi="Arial" w:eastAsia="Arial" w:cs="Arial"/>
      <w:sz w:val="40"/>
      <w:szCs w:val="40"/>
    </w:rPr>
  </w:style>
  <w:style w:type="character" w:styleId="1049" w:customStyle="1">
    <w:name w:val="Heading 2 Char"/>
    <w:link w:val="997"/>
    <w:uiPriority w:val="9"/>
    <w:qFormat/>
    <w:rPr>
      <w:rFonts w:ascii="Arial" w:hAnsi="Arial" w:eastAsia="Arial" w:cs="Arial"/>
      <w:sz w:val="34"/>
    </w:rPr>
  </w:style>
  <w:style w:type="character" w:styleId="1050" w:customStyle="1">
    <w:name w:val="Heading 3 Char"/>
    <w:link w:val="998"/>
    <w:uiPriority w:val="9"/>
    <w:qFormat/>
    <w:rPr>
      <w:rFonts w:ascii="Arial" w:hAnsi="Arial" w:eastAsia="Arial" w:cs="Arial"/>
      <w:sz w:val="30"/>
      <w:szCs w:val="30"/>
    </w:rPr>
  </w:style>
  <w:style w:type="character" w:styleId="1051" w:customStyle="1">
    <w:name w:val="Heading 4 Char"/>
    <w:link w:val="999"/>
    <w:uiPriority w:val="9"/>
    <w:qFormat/>
    <w:rPr>
      <w:rFonts w:ascii="Arial" w:hAnsi="Arial" w:eastAsia="Arial" w:cs="Arial"/>
      <w:b/>
      <w:bCs/>
      <w:sz w:val="26"/>
      <w:szCs w:val="26"/>
    </w:rPr>
  </w:style>
  <w:style w:type="character" w:styleId="1052" w:customStyle="1">
    <w:name w:val="Heading 5 Char"/>
    <w:link w:val="1000"/>
    <w:uiPriority w:val="9"/>
    <w:qFormat/>
    <w:rPr>
      <w:rFonts w:ascii="Arial" w:hAnsi="Arial" w:eastAsia="Arial" w:cs="Arial"/>
      <w:b/>
      <w:bCs/>
      <w:sz w:val="24"/>
      <w:szCs w:val="24"/>
    </w:rPr>
  </w:style>
  <w:style w:type="character" w:styleId="1053" w:customStyle="1">
    <w:name w:val="Heading 6 Char"/>
    <w:link w:val="1001"/>
    <w:uiPriority w:val="9"/>
    <w:qFormat/>
    <w:rPr>
      <w:rFonts w:ascii="Arial" w:hAnsi="Arial" w:eastAsia="Arial" w:cs="Arial"/>
      <w:b/>
      <w:bCs/>
      <w:sz w:val="22"/>
      <w:szCs w:val="22"/>
    </w:rPr>
  </w:style>
  <w:style w:type="character" w:styleId="1054" w:customStyle="1">
    <w:name w:val="Heading 7 Char"/>
    <w:link w:val="1002"/>
    <w:uiPriority w:val="9"/>
    <w:qFormat/>
    <w:rPr>
      <w:rFonts w:ascii="Arial" w:hAnsi="Arial" w:eastAsia="Arial" w:cs="Arial"/>
      <w:b/>
      <w:bCs/>
      <w:i/>
      <w:iCs/>
      <w:sz w:val="22"/>
      <w:szCs w:val="22"/>
    </w:rPr>
  </w:style>
  <w:style w:type="character" w:styleId="1055" w:customStyle="1">
    <w:name w:val="Heading 8 Char"/>
    <w:link w:val="1003"/>
    <w:uiPriority w:val="9"/>
    <w:qFormat/>
    <w:rPr>
      <w:rFonts w:ascii="Arial" w:hAnsi="Arial" w:eastAsia="Arial" w:cs="Arial"/>
      <w:i/>
      <w:iCs/>
      <w:sz w:val="22"/>
      <w:szCs w:val="22"/>
    </w:rPr>
  </w:style>
  <w:style w:type="character" w:styleId="1056" w:customStyle="1">
    <w:name w:val="Heading 9 Char"/>
    <w:link w:val="1004"/>
    <w:uiPriority w:val="9"/>
    <w:qFormat/>
    <w:rPr>
      <w:rFonts w:ascii="Arial" w:hAnsi="Arial" w:eastAsia="Arial" w:cs="Arial"/>
      <w:i/>
      <w:iCs/>
      <w:sz w:val="21"/>
      <w:szCs w:val="21"/>
    </w:rPr>
  </w:style>
  <w:style w:type="paragraph" w:styleId="1057">
    <w:name w:val="List Paragraph"/>
    <w:basedOn w:val="995"/>
    <w:uiPriority w:val="34"/>
    <w:qFormat/>
    <w:pPr>
      <w:contextualSpacing/>
      <w:ind w:left="720"/>
    </w:pPr>
  </w:style>
  <w:style w:type="paragraph" w:styleId="1058">
    <w:name w:val="No Spacing"/>
    <w:uiPriority w:val="1"/>
    <w:qFormat/>
    <w:pPr>
      <w:spacing w:before="0" w:after="0" w:line="240" w:lineRule="auto"/>
    </w:pPr>
    <w:rPr>
      <w:rFonts w:hint="default" w:ascii="Times New Roman" w:hAnsi="Times New Roman" w:eastAsia="宋体" w:cs="Times New Roman"/>
    </w:rPr>
  </w:style>
  <w:style w:type="character" w:styleId="1059" w:customStyle="1">
    <w:name w:val="Title Char"/>
    <w:link w:val="1041"/>
    <w:uiPriority w:val="10"/>
    <w:qFormat/>
    <w:rPr>
      <w:sz w:val="48"/>
      <w:szCs w:val="48"/>
    </w:rPr>
  </w:style>
  <w:style w:type="character" w:styleId="1060" w:customStyle="1">
    <w:name w:val="Subtitle Char"/>
    <w:link w:val="1035"/>
    <w:uiPriority w:val="11"/>
    <w:qFormat/>
    <w:rPr>
      <w:sz w:val="24"/>
      <w:szCs w:val="24"/>
    </w:rPr>
  </w:style>
  <w:style w:type="paragraph" w:styleId="1061">
    <w:name w:val="Quote"/>
    <w:basedOn w:val="995"/>
    <w:next w:val="995"/>
    <w:link w:val="1062"/>
    <w:uiPriority w:val="29"/>
    <w:qFormat/>
    <w:pPr>
      <w:ind w:left="720" w:right="720"/>
    </w:pPr>
    <w:rPr>
      <w:i/>
    </w:rPr>
  </w:style>
  <w:style w:type="character" w:styleId="1062" w:customStyle="1">
    <w:name w:val="Quote Char"/>
    <w:link w:val="1061"/>
    <w:uiPriority w:val="29"/>
    <w:qFormat/>
    <w:rPr>
      <w:i/>
    </w:rPr>
  </w:style>
  <w:style w:type="paragraph" w:styleId="1063">
    <w:name w:val="Intense Quote"/>
    <w:basedOn w:val="995"/>
    <w:next w:val="995"/>
    <w:link w:val="10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Intense Quote Char"/>
    <w:link w:val="1063"/>
    <w:uiPriority w:val="30"/>
    <w:qFormat/>
    <w:rPr>
      <w:i/>
    </w:rPr>
  </w:style>
  <w:style w:type="character" w:styleId="1065" w:customStyle="1">
    <w:name w:val="Header Char"/>
    <w:link w:val="1032"/>
    <w:uiPriority w:val="99"/>
    <w:qFormat/>
  </w:style>
  <w:style w:type="character" w:styleId="1066" w:customStyle="1">
    <w:name w:val="Footer Char"/>
    <w:link w:val="1030"/>
    <w:uiPriority w:val="99"/>
    <w:qFormat/>
  </w:style>
  <w:style w:type="character" w:styleId="1067" w:customStyle="1">
    <w:name w:val="Caption Char"/>
    <w:link w:val="1030"/>
    <w:uiPriority w:val="99"/>
    <w:qFormat/>
  </w:style>
  <w:style w:type="table" w:styleId="10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0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3" w:customStyle="1">
    <w:name w:val="Footnote Text Char"/>
    <w:link w:val="1036"/>
    <w:uiPriority w:val="99"/>
    <w:qFormat/>
    <w:rPr>
      <w:sz w:val="18"/>
    </w:rPr>
  </w:style>
  <w:style w:type="character" w:styleId="1194" w:customStyle="1">
    <w:name w:val="Endnote Text Char"/>
    <w:link w:val="1029"/>
    <w:uiPriority w:val="99"/>
    <w:qFormat/>
    <w:rPr>
      <w:sz w:val="20"/>
    </w:rPr>
  </w:style>
  <w:style w:type="paragraph" w:styleId="1195" w:customStyle="1">
    <w:name w:val="TOC Heading"/>
    <w:uiPriority w:val="39"/>
    <w:unhideWhenUsed/>
    <w:qFormat/>
    <w:rPr>
      <w:rFonts w:hint="default" w:ascii="Times New Roman" w:hAnsi="Times New Roman" w:eastAsia="宋体" w:cs="Times New Roman"/>
    </w:rPr>
  </w:style>
  <w:style w:type="paragraph" w:styleId="1196" w:customStyle="1">
    <w:name w:val="标题 21"/>
    <w:basedOn w:val="995"/>
    <w:next w:val="1197"/>
    <w:uiPriority w:val="9"/>
    <w:qFormat/>
    <w:pPr>
      <w:keepLines/>
      <w:keepNext/>
      <w:spacing w:before="360" w:after="200"/>
      <w:outlineLvl w:val="1"/>
    </w:pPr>
    <w:rPr>
      <w:rFonts w:ascii="Arial" w:hAnsi="Arial" w:eastAsia="Arial"/>
      <w:sz w:val="34"/>
      <w:szCs w:val="20"/>
    </w:rPr>
  </w:style>
  <w:style w:type="paragraph" w:styleId="1197" w:customStyle="1">
    <w:name w:val="正文缩进1"/>
    <w:basedOn w:val="995"/>
    <w:uiPriority w:val="99"/>
    <w:qFormat/>
    <w:pPr>
      <w:ind w:firstLine="420"/>
    </w:pPr>
  </w:style>
  <w:style w:type="paragraph" w:styleId="1198" w:customStyle="1">
    <w:name w:val="标题 31"/>
    <w:basedOn w:val="995"/>
    <w:next w:val="995"/>
    <w:uiPriority w:val="0"/>
    <w:qFormat/>
    <w:pPr>
      <w:jc w:val="left"/>
      <w:spacing w:beforeAutospacing="1" w:afterAutospacing="1"/>
      <w:outlineLvl w:val="2"/>
    </w:pPr>
    <w:rPr>
      <w:rFonts w:hint="eastAsia" w:ascii="宋体" w:hAnsi="宋体"/>
      <w:b/>
      <w:bCs/>
      <w:sz w:val="27"/>
      <w:szCs w:val="27"/>
    </w:rPr>
  </w:style>
  <w:style w:type="character" w:styleId="1199" w:customStyle="1">
    <w:name w:val="默认段落字体1"/>
    <w:link w:val="995"/>
    <w:uiPriority w:val="1"/>
    <w:unhideWhenUsed/>
    <w:qFormat/>
  </w:style>
  <w:style w:type="table" w:styleId="1200" w:customStyle="1">
    <w:name w:val="普通表格1"/>
    <w:uiPriority w:val="99"/>
    <w:unhideWhenUsed/>
    <w:qFormat/>
    <w:tblPr/>
  </w:style>
  <w:style w:type="paragraph" w:styleId="1201" w:customStyle="1">
    <w:name w:val="文本块111"/>
    <w:basedOn w:val="995"/>
    <w:uiPriority w:val="0"/>
    <w:qFormat/>
    <w:pPr>
      <w:ind w:left="256" w:right="6" w:firstLine="624"/>
    </w:pPr>
    <w:rPr>
      <w:rFonts w:eastAsia="仿宋_GB2312"/>
      <w:sz w:val="28"/>
      <w:szCs w:val="20"/>
    </w:rPr>
  </w:style>
  <w:style w:type="paragraph" w:styleId="1202" w:customStyle="1">
    <w:name w:val="索引 511"/>
    <w:basedOn w:val="995"/>
    <w:next w:val="995"/>
    <w:uiPriority w:val="0"/>
    <w:qFormat/>
    <w:pPr>
      <w:ind w:left="798"/>
      <w:jc w:val="left"/>
    </w:pPr>
  </w:style>
  <w:style w:type="paragraph" w:styleId="1203" w:customStyle="1">
    <w:name w:val="批注文字1"/>
    <w:basedOn w:val="995"/>
    <w:uiPriority w:val="0"/>
    <w:qFormat/>
    <w:pPr>
      <w:jc w:val="left"/>
    </w:pPr>
  </w:style>
  <w:style w:type="paragraph" w:styleId="1204" w:customStyle="1">
    <w:name w:val="正文文本111"/>
    <w:basedOn w:val="995"/>
    <w:next w:val="1012"/>
    <w:link w:val="1205"/>
    <w:uiPriority w:val="0"/>
    <w:qFormat/>
    <w:rPr>
      <w:rFonts w:ascii="Verdana" w:hAnsi="Verdana"/>
      <w:sz w:val="24"/>
      <w:szCs w:val="18"/>
    </w:rPr>
  </w:style>
  <w:style w:type="character" w:styleId="1205" w:customStyle="1">
    <w:name w:val="正文文本 Char"/>
    <w:basedOn w:val="1199"/>
    <w:link w:val="1204"/>
    <w:uiPriority w:val="0"/>
    <w:qFormat/>
    <w:rPr>
      <w:rFonts w:ascii="Verdana" w:hAnsi="Verdana"/>
      <w:sz w:val="24"/>
      <w:szCs w:val="18"/>
    </w:rPr>
  </w:style>
  <w:style w:type="paragraph" w:styleId="1206" w:customStyle="1">
    <w:name w:val="正文文本缩进11"/>
    <w:basedOn w:val="995"/>
    <w:uiPriority w:val="0"/>
    <w:qFormat/>
    <w:pPr>
      <w:ind w:left="420"/>
      <w:spacing w:after="120"/>
    </w:pPr>
  </w:style>
  <w:style w:type="paragraph" w:styleId="1207" w:customStyle="1">
    <w:name w:val="纯文本1"/>
    <w:basedOn w:val="995"/>
    <w:uiPriority w:val="0"/>
    <w:qFormat/>
    <w:rPr>
      <w:rFonts w:ascii="宋体" w:hAnsi="Courier New"/>
    </w:rPr>
  </w:style>
  <w:style w:type="paragraph" w:styleId="1208" w:customStyle="1">
    <w:name w:val="日期1"/>
    <w:basedOn w:val="995"/>
    <w:next w:val="995"/>
    <w:uiPriority w:val="0"/>
    <w:qFormat/>
    <w:rPr>
      <w:rFonts w:eastAsia="仿宋_GB2312"/>
      <w:sz w:val="28"/>
      <w:szCs w:val="20"/>
    </w:rPr>
  </w:style>
  <w:style w:type="paragraph" w:styleId="1209" w:customStyle="1">
    <w:name w:val="批注框文本1"/>
    <w:basedOn w:val="995"/>
    <w:link w:val="1210"/>
    <w:uiPriority w:val="0"/>
    <w:qFormat/>
    <w:rPr>
      <w:sz w:val="18"/>
      <w:szCs w:val="18"/>
    </w:rPr>
  </w:style>
  <w:style w:type="character" w:styleId="1210" w:customStyle="1">
    <w:name w:val="批注框文本 Char"/>
    <w:basedOn w:val="1199"/>
    <w:link w:val="1209"/>
    <w:uiPriority w:val="0"/>
    <w:qFormat/>
    <w:rPr>
      <w:rFonts w:ascii="Calibri" w:hAnsi="Calibri" w:eastAsia="宋体" w:cs="Times New Roman"/>
      <w:sz w:val="18"/>
      <w:szCs w:val="18"/>
    </w:rPr>
  </w:style>
  <w:style w:type="paragraph" w:styleId="1211" w:customStyle="1">
    <w:name w:val="页脚1"/>
    <w:basedOn w:val="995"/>
    <w:uiPriority w:val="0"/>
    <w:qFormat/>
    <w:pPr>
      <w:jc w:val="left"/>
      <w:tabs>
        <w:tab w:val="center" w:pos="4153" w:leader="none"/>
        <w:tab w:val="right" w:pos="8306" w:leader="none"/>
      </w:tabs>
    </w:pPr>
    <w:rPr>
      <w:sz w:val="18"/>
    </w:rPr>
  </w:style>
  <w:style w:type="paragraph" w:styleId="1212" w:customStyle="1">
    <w:name w:val="页眉1"/>
    <w:basedOn w:val="995"/>
    <w:uiPriority w:val="0"/>
    <w:qFormat/>
    <w:pPr>
      <w:jc w:val="center"/>
      <w:tabs>
        <w:tab w:val="center" w:pos="4153" w:leader="none"/>
        <w:tab w:val="right" w:pos="8306" w:leader="none"/>
      </w:tabs>
      <w:pBdr>
        <w:bottom w:val="single" w:color="000000" w:sz="6" w:space="1"/>
      </w:pBdr>
    </w:pPr>
    <w:rPr>
      <w:sz w:val="18"/>
      <w:szCs w:val="18"/>
    </w:rPr>
  </w:style>
  <w:style w:type="paragraph" w:styleId="1213" w:customStyle="1">
    <w:name w:val="脚注文本11"/>
    <w:basedOn w:val="995"/>
    <w:next w:val="1202"/>
    <w:link w:val="1214"/>
    <w:uiPriority w:val="0"/>
    <w:qFormat/>
    <w:pPr>
      <w:jc w:val="left"/>
    </w:pPr>
    <w:rPr>
      <w:rFonts w:ascii="宋体" w:eastAsia="Times New Roman"/>
      <w:sz w:val="18"/>
      <w:szCs w:val="18"/>
    </w:rPr>
  </w:style>
  <w:style w:type="character" w:styleId="1214" w:customStyle="1">
    <w:name w:val="脚注文本 Char"/>
    <w:basedOn w:val="1199"/>
    <w:link w:val="1213"/>
    <w:uiPriority w:val="0"/>
    <w:qFormat/>
    <w:rPr>
      <w:rFonts w:ascii="宋体" w:hAnsi="Calibri" w:eastAsia="Times New Roman"/>
      <w:sz w:val="18"/>
      <w:szCs w:val="18"/>
    </w:rPr>
  </w:style>
  <w:style w:type="paragraph" w:styleId="1215" w:customStyle="1">
    <w:name w:val="普通(网站)1"/>
    <w:basedOn w:val="995"/>
    <w:uiPriority w:val="0"/>
    <w:qFormat/>
    <w:pPr>
      <w:jc w:val="left"/>
      <w:spacing w:beforeAutospacing="1" w:afterAutospacing="1"/>
    </w:pPr>
    <w:rPr>
      <w:sz w:val="24"/>
    </w:rPr>
  </w:style>
  <w:style w:type="paragraph" w:styleId="1216" w:customStyle="1">
    <w:name w:val="正文首行缩进1"/>
    <w:basedOn w:val="1204"/>
    <w:next w:val="995"/>
    <w:uiPriority w:val="0"/>
    <w:qFormat/>
    <w:pPr>
      <w:ind w:firstLine="420"/>
    </w:pPr>
  </w:style>
  <w:style w:type="table" w:styleId="1217" w:customStyle="1">
    <w:name w:val="网格型1"/>
    <w:basedOn w:val="1200"/>
    <w:uiPriority w:val="59"/>
    <w:qFormat/>
    <w:rPr>
      <w:rFonts w:ascii="Calibri" w:hAnsi="Calibri"/>
      <w:sz w:val="21"/>
      <w:szCs w:val="22"/>
    </w:rPr>
    <w:tblPr/>
  </w:style>
  <w:style w:type="character" w:styleId="1218" w:customStyle="1">
    <w:name w:val="页码1"/>
    <w:basedOn w:val="1199"/>
    <w:link w:val="995"/>
    <w:uiPriority w:val="0"/>
    <w:qFormat/>
  </w:style>
  <w:style w:type="character" w:styleId="1219" w:customStyle="1">
    <w:name w:val="超链接1"/>
    <w:link w:val="995"/>
    <w:uiPriority w:val="99"/>
    <w:qFormat/>
    <w:rPr>
      <w:rFonts w:cs="Times New Roman"/>
      <w:color w:val="0000ff"/>
      <w:u w:val="single"/>
    </w:rPr>
  </w:style>
  <w:style w:type="character" w:styleId="1220" w:customStyle="1">
    <w:name w:val="批注引用1"/>
    <w:basedOn w:val="1199"/>
    <w:link w:val="995"/>
    <w:uiPriority w:val="0"/>
    <w:qFormat/>
    <w:rPr>
      <w:sz w:val="21"/>
      <w:szCs w:val="21"/>
    </w:rPr>
  </w:style>
  <w:style w:type="paragraph" w:styleId="1221" w:customStyle="1">
    <w:name w:val="BlockQuote1"/>
    <w:basedOn w:val="995"/>
    <w:uiPriority w:val="0"/>
    <w:qFormat/>
    <w:pPr>
      <w:ind w:left="256" w:right="6" w:firstLine="624"/>
    </w:pPr>
    <w:rPr>
      <w:rFonts w:eastAsia="仿宋_GB2312"/>
      <w:sz w:val="28"/>
    </w:rPr>
  </w:style>
  <w:style w:type="paragraph" w:styleId="1222" w:customStyle="1">
    <w:name w:val="Default"/>
    <w:next w:val="995"/>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223" w:customStyle="1">
    <w:name w:val="font81"/>
    <w:basedOn w:val="1199"/>
    <w:link w:val="995"/>
    <w:uiPriority w:val="0"/>
    <w:qFormat/>
    <w:rPr>
      <w:rFonts w:hint="eastAsia" w:ascii="宋体" w:hAnsi="宋体" w:eastAsia="宋体" w:cs="宋体"/>
      <w:color w:val="ff0000"/>
      <w:sz w:val="20"/>
      <w:szCs w:val="20"/>
      <w:u w:val="none"/>
    </w:rPr>
  </w:style>
  <w:style w:type="character" w:styleId="1224" w:customStyle="1">
    <w:name w:val="font71"/>
    <w:basedOn w:val="1005"/>
    <w:link w:val="995"/>
    <w:uiPriority w:val="0"/>
    <w:qFormat/>
    <w:rPr>
      <w:rFonts w:hint="eastAsia" w:ascii="宋体" w:hAnsi="宋体" w:eastAsia="宋体" w:cs="宋体"/>
      <w:color w:val="000000"/>
      <w:sz w:val="20"/>
      <w:szCs w:val="20"/>
      <w:u w:val="none"/>
    </w:rPr>
  </w:style>
  <w:style w:type="character" w:styleId="1225" w:customStyle="1">
    <w:name w:val="font01"/>
    <w:basedOn w:val="1199"/>
    <w:link w:val="995"/>
    <w:uiPriority w:val="0"/>
    <w:qFormat/>
    <w:rPr>
      <w:rFonts w:hint="eastAsia" w:ascii="宋体" w:hAnsi="宋体" w:eastAsia="宋体" w:cs="宋体"/>
      <w:color w:val="000000"/>
      <w:sz w:val="21"/>
      <w:szCs w:val="21"/>
      <w:u w:val="none"/>
    </w:rPr>
  </w:style>
  <w:style w:type="character" w:styleId="1226" w:customStyle="1">
    <w:name w:val="font21"/>
    <w:basedOn w:val="1199"/>
    <w:link w:val="995"/>
    <w:uiPriority w:val="0"/>
    <w:qFormat/>
    <w:rPr>
      <w:rFonts w:hint="eastAsia" w:ascii="宋体" w:hAnsi="宋体" w:eastAsia="宋体" w:cs="宋体"/>
      <w:color w:val="000000"/>
      <w:sz w:val="20"/>
      <w:szCs w:val="20"/>
      <w:u w:val="none"/>
    </w:rPr>
  </w:style>
  <w:style w:type="character" w:styleId="1227" w:customStyle="1">
    <w:name w:val="font112"/>
    <w:basedOn w:val="1199"/>
    <w:link w:val="995"/>
    <w:uiPriority w:val="0"/>
    <w:qFormat/>
    <w:rPr>
      <w:rFonts w:hint="eastAsia" w:ascii="宋体" w:hAnsi="宋体" w:eastAsia="宋体" w:cs="宋体"/>
      <w:color w:val="000000"/>
      <w:sz w:val="20"/>
      <w:szCs w:val="20"/>
      <w:u w:val="none"/>
    </w:rPr>
  </w:style>
  <w:style w:type="character" w:styleId="1228" w:customStyle="1">
    <w:name w:val="font101"/>
    <w:basedOn w:val="1199"/>
    <w:link w:val="995"/>
    <w:uiPriority w:val="0"/>
    <w:qFormat/>
    <w:rPr>
      <w:rFonts w:hint="eastAsia" w:ascii="宋体" w:hAnsi="宋体" w:eastAsia="宋体" w:cs="宋体"/>
      <w:color w:val="ff0000"/>
      <w:sz w:val="20"/>
      <w:szCs w:val="20"/>
      <w:u w:val="none"/>
    </w:rPr>
  </w:style>
  <w:style w:type="character" w:styleId="1229" w:customStyle="1">
    <w:name w:val="font91"/>
    <w:basedOn w:val="1199"/>
    <w:link w:val="995"/>
    <w:uiPriority w:val="0"/>
    <w:qFormat/>
    <w:rPr>
      <w:rFonts w:hint="eastAsia" w:ascii="宋体" w:hAnsi="宋体" w:eastAsia="宋体" w:cs="宋体"/>
      <w:color w:val="000000"/>
      <w:sz w:val="20"/>
      <w:szCs w:val="20"/>
      <w:u w:val="none"/>
    </w:rPr>
  </w:style>
  <w:style w:type="character" w:styleId="1230" w:customStyle="1">
    <w:name w:val="NormalCharacter1"/>
    <w:link w:val="1015"/>
    <w:uiPriority w:val="0"/>
    <w:qFormat/>
    <w:rPr>
      <w:lang w:val="en-US" w:eastAsia="zh-CN" w:bidi="ar-SA"/>
    </w:rPr>
  </w:style>
  <w:style w:type="paragraph" w:styleId="1231" w:customStyle="1">
    <w:name w:val="目录 11"/>
    <w:basedOn w:val="1019"/>
    <w:next w:val="1015"/>
    <w:uiPriority w:val="0"/>
    <w:qFormat/>
  </w:style>
  <w:style w:type="paragraph" w:styleId="1232" w:customStyle="1">
    <w:name w:val="脚注文本1"/>
    <w:basedOn w:val="1019"/>
    <w:next w:val="1233"/>
    <w:uiPriority w:val="0"/>
    <w:qFormat/>
    <w:pPr>
      <w:jc w:val="left"/>
    </w:pPr>
    <w:rPr>
      <w:rFonts w:ascii="宋体" w:eastAsia="Times New Roman"/>
      <w:sz w:val="18"/>
      <w:szCs w:val="18"/>
    </w:rPr>
  </w:style>
  <w:style w:type="paragraph" w:styleId="1233" w:customStyle="1">
    <w:name w:val="索引 51"/>
    <w:basedOn w:val="1019"/>
    <w:next w:val="1019"/>
    <w:uiPriority w:val="0"/>
    <w:qFormat/>
    <w:pPr>
      <w:ind w:left="798"/>
      <w:jc w:val="left"/>
    </w:pPr>
    <w:rPr>
      <w:rFonts w:ascii="Calibri" w:hAnsi="Calibri"/>
    </w:rPr>
  </w:style>
  <w:style w:type="paragraph" w:styleId="1234" w:customStyle="1">
    <w:name w:val="正文13"/>
    <w:next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目录 111"/>
    <w:basedOn w:val="1234"/>
    <w:next w:val="1020"/>
    <w:uiPriority w:val="0"/>
    <w:qFormat/>
    <w:pPr>
      <w:spacing w:after="57"/>
    </w:pPr>
  </w:style>
  <w:style w:type="paragraph" w:styleId="1236" w:customStyle="1">
    <w:name w:val="文本块11"/>
    <w:basedOn w:val="1020"/>
    <w:uiPriority w:val="0"/>
    <w:qFormat/>
    <w:pPr>
      <w:ind w:left="256" w:right="6" w:firstLine="624"/>
    </w:pPr>
    <w:rPr>
      <w:rFonts w:eastAsia="仿宋_GB2312"/>
      <w:sz w:val="28"/>
      <w:szCs w:val="20"/>
    </w:rPr>
  </w:style>
  <w:style w:type="paragraph" w:styleId="1237" w:customStyle="1">
    <w:name w:val="首行缩进"/>
    <w:basedOn w:val="995"/>
    <w:uiPriority w:val="0"/>
    <w:qFormat/>
    <w:pPr>
      <w:ind w:firstLine="420"/>
      <w:spacing w:line="360" w:lineRule="auto"/>
    </w:pPr>
  </w:style>
  <w:style w:type="paragraph" w:styleId="1238" w:customStyle="1">
    <w:name w:val="Heading21"/>
    <w:basedOn w:val="995"/>
    <w:next w:val="995"/>
    <w:uiPriority w:val="0"/>
    <w:qFormat/>
    <w:pPr>
      <w:keepLines/>
      <w:keepNext/>
    </w:pPr>
    <w:rPr>
      <w:rFonts w:ascii="Arial" w:hAnsi="Arial"/>
      <w:sz w:val="28"/>
    </w:rPr>
  </w:style>
  <w:style w:type="paragraph" w:styleId="1239" w:customStyle="1">
    <w:name w:val="标准"/>
    <w:basedOn w:val="995"/>
    <w:uiPriority w:val="0"/>
    <w:qFormat/>
    <w:pPr>
      <w:ind w:firstLine="200"/>
      <w:spacing w:line="360" w:lineRule="auto"/>
    </w:pPr>
    <w:rPr>
      <w:rFonts w:cs="宋体"/>
      <w:szCs w:val="20"/>
    </w:rPr>
  </w:style>
  <w:style w:type="paragraph" w:styleId="1240" w:customStyle="1">
    <w:name w:val="列出段落"/>
    <w:basedOn w:val="995"/>
    <w:uiPriority w:val="34"/>
    <w:qFormat/>
    <w:pPr>
      <w:ind w:firstLine="420"/>
    </w:pPr>
  </w:style>
  <w:style w:type="paragraph" w:styleId="1241" w:customStyle="1">
    <w:name w:val="正文（缩进）"/>
    <w:basedOn w:val="995"/>
    <w:uiPriority w:val="0"/>
    <w:qFormat/>
    <w:pPr>
      <w:ind w:firstLine="480"/>
      <w:spacing w:line="360" w:lineRule="auto"/>
    </w:pPr>
    <w:rPr>
      <w:sz w:val="24"/>
    </w:rPr>
  </w:style>
  <w:style w:type="paragraph" w:styleId="1242" w:customStyle="1">
    <w:name w:val="Table Paragraph"/>
    <w:basedOn w:val="1015"/>
    <w:uiPriority w:val="0"/>
    <w:qFormat/>
    <w:pPr>
      <w:jc w:val="left"/>
      <w:widowControl w:val="off"/>
    </w:pPr>
    <w:rPr>
      <w:rFonts w:ascii="仿宋" w:hAnsi="仿宋" w:eastAsia="仿宋"/>
      <w:sz w:val="22"/>
      <w:szCs w:val="22"/>
    </w:rPr>
  </w:style>
  <w:style w:type="paragraph" w:styleId="1243" w:customStyle="1">
    <w:name w:val="无间隔"/>
    <w:uiPriority w:val="1"/>
    <w:qFormat/>
    <w:pPr>
      <w:jc w:val="both"/>
      <w:widowControl w:val="off"/>
    </w:pPr>
    <w:rPr>
      <w:rFonts w:hint="default" w:ascii="宋体" w:hAnsi="宋体" w:eastAsia="宋体" w:cs="宋体"/>
      <w:sz w:val="21"/>
      <w:szCs w:val="22"/>
      <w:lang w:val="en-US" w:eastAsia="zh-CN" w:bidi="ar-SA"/>
    </w:rPr>
  </w:style>
  <w:style w:type="paragraph" w:styleId="1244" w:customStyle="1">
    <w:name w:val="p0"/>
    <w:basedOn w:val="995"/>
    <w:uiPriority w:val="0"/>
    <w:qFormat/>
    <w:rPr>
      <w:szCs w:val="21"/>
    </w:rPr>
  </w:style>
  <w:style w:type="character" w:styleId="1245" w:customStyle="1">
    <w:name w:val="标题 1 Char"/>
    <w:link w:val="1246"/>
    <w:uiPriority w:val="0"/>
    <w:qFormat/>
    <w:rPr>
      <w:rFonts w:eastAsia="新宋体"/>
      <w:b/>
      <w:bCs/>
      <w:sz w:val="30"/>
      <w:szCs w:val="44"/>
    </w:rPr>
  </w:style>
  <w:style w:type="paragraph" w:styleId="1246" w:customStyle="1">
    <w:name w:val="标题 11"/>
    <w:basedOn w:val="1020"/>
    <w:next w:val="1020"/>
    <w:link w:val="1245"/>
    <w:uiPriority w:val="0"/>
    <w:qFormat/>
    <w:pPr>
      <w:jc w:val="center"/>
      <w:keepLines/>
      <w:keepNext/>
      <w:spacing w:line="578" w:lineRule="auto"/>
      <w:outlineLvl w:val="0"/>
    </w:pPr>
    <w:rPr>
      <w:rFonts w:eastAsia="新宋体"/>
      <w:b/>
      <w:bCs/>
      <w:sz w:val="30"/>
      <w:szCs w:val="44"/>
    </w:rPr>
  </w:style>
  <w:style w:type="paragraph" w:styleId="1247"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248" w:customStyle="1">
    <w:name w:val="正文文本11"/>
    <w:basedOn w:val="1015"/>
    <w:next w:val="1015"/>
    <w:uiPriority w:val="0"/>
    <w:qFormat/>
    <w:pPr>
      <w:spacing w:after="120"/>
    </w:pPr>
  </w:style>
  <w:style w:type="character" w:styleId="1249" w:customStyle="1">
    <w:name w:val="NormalCharacter"/>
    <w:uiPriority w:val="0"/>
    <w:semiHidden/>
    <w:qFormat/>
    <w:rPr>
      <w:rFonts w:ascii="仿宋_GB2312" w:eastAsia="仿宋_GB2312"/>
      <w:sz w:val="24"/>
      <w:szCs w:val="24"/>
      <w:lang w:val="en-US" w:eastAsia="zh-CN" w:bidi="ar-SA"/>
    </w:rPr>
  </w:style>
  <w:style w:type="character" w:styleId="1250" w:customStyle="1">
    <w:name w:val="font41"/>
    <w:basedOn w:val="1005"/>
    <w:uiPriority w:val="0"/>
    <w:qFormat/>
    <w:rPr>
      <w:rFonts w:hint="eastAsia" w:ascii="宋体" w:hAnsi="宋体" w:eastAsia="宋体" w:cs="宋体"/>
      <w:color w:val="000000"/>
      <w:sz w:val="20"/>
      <w:szCs w:val="20"/>
      <w:u w:val="none"/>
    </w:rPr>
  </w:style>
  <w:style w:type="paragraph" w:styleId="1251" w:customStyle="1">
    <w:name w:val="正文121"/>
    <w:next w:val="1252"/>
    <w:uiPriority w:val="0"/>
    <w:qFormat/>
    <w:pPr>
      <w:jc w:val="both"/>
      <w:widowControl w:val="off"/>
    </w:pPr>
    <w:rPr>
      <w:rFonts w:hint="default" w:ascii="Calibri" w:hAnsi="Calibri" w:eastAsia="宋体" w:cs="Times New Roman"/>
      <w:sz w:val="21"/>
      <w:szCs w:val="24"/>
      <w:lang w:val="en-US" w:eastAsia="zh-CN" w:bidi="ar-SA"/>
    </w:rPr>
  </w:style>
  <w:style w:type="paragraph" w:styleId="1252" w:customStyle="1">
    <w:name w:val="BlockQuote"/>
    <w:basedOn w:val="1251"/>
    <w:uiPriority w:val="0"/>
    <w:qFormat/>
    <w:pPr>
      <w:ind w:left="256" w:right="6" w:firstLine="624"/>
    </w:pPr>
    <w:rPr>
      <w:rFonts w:eastAsia="仿宋_GB2312"/>
      <w:sz w:val="28"/>
    </w:rPr>
  </w:style>
  <w:style w:type="numbering" w:styleId="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jp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dc:creator>
  <cp:lastModifiedBy>事业二部</cp:lastModifiedBy>
  <cp:revision>12</cp:revision>
  <dcterms:created xsi:type="dcterms:W3CDTF">2014-10-29T12:08:00Z</dcterms:created>
  <dcterms:modified xsi:type="dcterms:W3CDTF">2024-05-28T01:29:45Z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439726B47FD649C9A73CCCABEA8E71D2_13</vt:lpwstr>
  </property>
</Properties>
</file>