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jc w:val="center"/>
        <w:spacing w:before="75" w:beforeAutospacing="0" w:after="75" w:afterAutospacing="0"/>
        <w:widowControl/>
        <w:rPr>
          <w:rStyle w:val="829"/>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57"/>
        <w:jc w:val="center"/>
        <w:spacing w:before="75" w:beforeAutospacing="0" w:after="75" w:afterAutospacing="0"/>
        <w:widowControl/>
        <w:rPr>
          <w:rStyle w:val="829"/>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57"/>
        <w:jc w:val="center"/>
        <w:spacing w:before="75" w:beforeAutospacing="0" w:after="75" w:afterAutospacing="0"/>
        <w:widowControl/>
        <w:rPr>
          <w:rStyle w:val="829"/>
          <w:rFonts w:hint="eastAsia" w:ascii="宋体" w:hAnsi="宋体" w:eastAsia="宋体" w:cs="宋体"/>
          <w:color w:val="auto"/>
          <w:sz w:val="72"/>
          <w:szCs w:val="72"/>
          <w:highlight w:val="none"/>
        </w:rPr>
      </w:pPr>
      <w:r>
        <w:rPr>
          <w:rStyle w:val="829"/>
          <w:rFonts w:hint="eastAsia" w:ascii="宋体" w:hAnsi="宋体" w:eastAsia="宋体" w:cs="宋体"/>
          <w:color w:val="auto"/>
          <w:sz w:val="72"/>
          <w:szCs w:val="72"/>
          <w:highlight w:val="none"/>
        </w:rPr>
        <w:t xml:space="preserve">苏州市政府采购</w:t>
      </w:r>
      <w:r/>
    </w:p>
    <w:p>
      <w:pPr>
        <w:pStyle w:val="857"/>
        <w:jc w:val="center"/>
        <w:spacing w:before="75" w:beforeAutospacing="0" w:after="75" w:afterAutospacing="0"/>
        <w:widowControl/>
        <w:rPr>
          <w:rStyle w:val="829"/>
          <w:rFonts w:hint="eastAsia" w:ascii="宋体" w:hAnsi="宋体" w:eastAsia="宋体" w:cs="宋体"/>
          <w:color w:val="auto"/>
          <w:sz w:val="72"/>
          <w:szCs w:val="72"/>
          <w:highlight w:val="none"/>
        </w:rPr>
      </w:pPr>
      <w:r>
        <w:rPr>
          <w:rStyle w:val="829"/>
          <w:rFonts w:hint="eastAsia" w:ascii="宋体" w:hAnsi="宋体" w:cs="宋体"/>
          <w:color w:val="auto"/>
          <w:sz w:val="72"/>
          <w:szCs w:val="72"/>
          <w:highlight w:val="none"/>
          <w:lang w:val="en-US" w:eastAsia="zh-CN"/>
        </w:rPr>
        <w:t xml:space="preserve">服务类</w:t>
      </w:r>
      <w:r>
        <w:rPr>
          <w:rStyle w:val="829"/>
          <w:rFonts w:hint="eastAsia" w:ascii="宋体" w:hAnsi="宋体" w:eastAsia="宋体" w:cs="宋体"/>
          <w:color w:val="auto"/>
          <w:sz w:val="72"/>
          <w:szCs w:val="72"/>
          <w:highlight w:val="none"/>
        </w:rPr>
        <w:t xml:space="preserve">公开招标项目</w:t>
      </w:r>
      <w:r/>
    </w:p>
    <w:p>
      <w:pPr>
        <w:pStyle w:val="857"/>
        <w:jc w:val="center"/>
        <w:spacing w:before="75" w:beforeAutospacing="0" w:after="75" w:afterAutospacing="0"/>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57"/>
        <w:jc w:val="center"/>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857"/>
        <w:spacing w:before="75" w:beforeAutospacing="0" w:after="75" w:afterAutospacing="0"/>
        <w:widowControl/>
        <w:rPr>
          <w:rStyle w:val="829"/>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57"/>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ind w:firstLine="1205"/>
        <w:spacing w:before="75" w:beforeAutospacing="0" w:after="75" w:afterAutospacing="0"/>
        <w:widowControl/>
        <w:rPr>
          <w:rStyle w:val="829"/>
          <w:rFonts w:hint="eastAsia" w:ascii="宋体" w:hAnsi="宋体" w:eastAsia="宋体" w:cs="宋体"/>
          <w:color w:val="auto"/>
          <w:sz w:val="30"/>
          <w:szCs w:val="30"/>
          <w:highlight w:val="none"/>
        </w:rPr>
      </w:pPr>
      <w:r>
        <w:rPr>
          <w:rStyle w:val="829"/>
          <w:rFonts w:hint="eastAsia" w:ascii="宋体" w:hAnsi="宋体" w:eastAsia="宋体" w:cs="宋体"/>
          <w:color w:val="auto"/>
          <w:sz w:val="30"/>
          <w:szCs w:val="30"/>
          <w:highlight w:val="none"/>
        </w:rPr>
        <w:t xml:space="preserve">采购编号：</w:t>
      </w:r>
      <w:r>
        <w:rPr>
          <w:rStyle w:val="829"/>
          <w:rFonts w:hint="eastAsia" w:ascii="宋体" w:hAnsi="宋体" w:eastAsia="宋体" w:cs="宋体"/>
          <w:color w:val="auto"/>
          <w:sz w:val="30"/>
          <w:szCs w:val="30"/>
          <w:highlight w:val="none"/>
          <w:u w:val="single"/>
        </w:rPr>
        <w:t xml:space="preserve">  </w:t>
      </w:r>
      <w:r>
        <w:rPr>
          <w:rStyle w:val="829"/>
          <w:rFonts w:hint="eastAsia" w:ascii="宋体" w:hAnsi="宋体" w:cs="宋体"/>
          <w:color w:val="auto"/>
          <w:sz w:val="30"/>
          <w:szCs w:val="30"/>
          <w:highlight w:val="none"/>
          <w:u w:val="single"/>
          <w:lang w:eastAsia="zh-CN"/>
        </w:rPr>
        <w:t xml:space="preserve">JSZC-320500-SZRQ-G2024-0048</w:t>
      </w:r>
      <w:r>
        <w:rPr>
          <w:rStyle w:val="829"/>
          <w:rFonts w:hint="eastAsia" w:ascii="宋体" w:hAnsi="宋体" w:eastAsia="宋体" w:cs="宋体"/>
          <w:color w:val="auto"/>
          <w:sz w:val="30"/>
          <w:szCs w:val="30"/>
          <w:highlight w:val="none"/>
          <w:u w:val="single"/>
        </w:rPr>
        <w:t xml:space="preserve">  </w:t>
      </w:r>
      <w:r/>
    </w:p>
    <w:p>
      <w:pPr>
        <w:pStyle w:val="857"/>
        <w:ind w:firstLine="1205"/>
        <w:spacing w:before="75" w:beforeAutospacing="0" w:after="75" w:afterAutospacing="0"/>
        <w:widowControl/>
        <w:rPr>
          <w:rFonts w:hint="eastAsia" w:ascii="宋体" w:hAnsi="宋体" w:eastAsia="宋体" w:cs="宋体"/>
          <w:color w:val="auto"/>
          <w:highlight w:val="none"/>
        </w:rPr>
      </w:pPr>
      <w:r>
        <w:rPr>
          <w:rStyle w:val="829"/>
          <w:rFonts w:hint="eastAsia" w:ascii="宋体" w:hAnsi="宋体" w:eastAsia="宋体" w:cs="宋体"/>
          <w:color w:val="auto"/>
          <w:sz w:val="30"/>
          <w:szCs w:val="30"/>
          <w:highlight w:val="none"/>
        </w:rPr>
        <w:t xml:space="preserve">项目名称：</w:t>
      </w:r>
      <w:r>
        <w:rPr>
          <w:rStyle w:val="829"/>
          <w:rFonts w:hint="eastAsia" w:ascii="宋体" w:hAnsi="宋体" w:eastAsia="宋体" w:cs="宋体"/>
          <w:color w:val="auto"/>
          <w:sz w:val="30"/>
          <w:szCs w:val="30"/>
          <w:highlight w:val="none"/>
          <w:u w:val="single"/>
        </w:rPr>
        <w:t xml:space="preserve"> </w:t>
      </w:r>
      <w:r>
        <w:rPr>
          <w:rStyle w:val="829"/>
          <w:rFonts w:hint="eastAsia" w:ascii="宋体" w:hAnsi="宋体" w:cs="宋体"/>
          <w:color w:val="auto"/>
          <w:sz w:val="30"/>
          <w:szCs w:val="30"/>
          <w:highlight w:val="none"/>
          <w:u w:val="single"/>
          <w:lang w:val="en-US" w:eastAsia="zh-CN"/>
        </w:rPr>
        <w:t xml:space="preserve"> </w:t>
      </w:r>
      <w:r>
        <w:rPr>
          <w:rStyle w:val="829"/>
          <w:rFonts w:hint="eastAsia" w:ascii="宋体" w:hAnsi="宋体" w:cs="宋体"/>
          <w:color w:val="auto"/>
          <w:sz w:val="30"/>
          <w:szCs w:val="30"/>
          <w:highlight w:val="none"/>
          <w:u w:val="single"/>
          <w:lang w:eastAsia="zh-CN"/>
        </w:rPr>
        <w:t xml:space="preserve">苏州公园儿童乐园管理与经营服务采购</w:t>
      </w:r>
      <w:r>
        <w:rPr>
          <w:rStyle w:val="829"/>
          <w:rFonts w:hint="eastAsia" w:ascii="宋体" w:hAnsi="宋体" w:eastAsia="宋体" w:cs="宋体"/>
          <w:color w:val="auto"/>
          <w:sz w:val="30"/>
          <w:szCs w:val="30"/>
          <w:highlight w:val="none"/>
          <w:u w:val="single"/>
        </w:rPr>
        <w:t xml:space="preserve">   </w:t>
      </w:r>
      <w:r/>
    </w:p>
    <w:p>
      <w:pPr>
        <w:pStyle w:val="857"/>
        <w:ind w:firstLine="1205"/>
        <w:spacing w:before="75" w:beforeAutospacing="0" w:after="75" w:afterAutospacing="0"/>
        <w:widowControl/>
        <w:rPr>
          <w:rFonts w:hint="eastAsia" w:ascii="宋体" w:hAnsi="宋体" w:eastAsia="宋体" w:cs="宋体"/>
          <w:color w:val="auto"/>
          <w:highlight w:val="none"/>
        </w:rPr>
      </w:pPr>
      <w:r>
        <w:rPr>
          <w:rStyle w:val="829"/>
          <w:rFonts w:hint="eastAsia" w:ascii="宋体" w:hAnsi="宋体" w:eastAsia="宋体" w:cs="宋体"/>
          <w:color w:val="auto"/>
          <w:sz w:val="30"/>
          <w:szCs w:val="30"/>
          <w:highlight w:val="none"/>
        </w:rPr>
        <w:t xml:space="preserve">采 购 人：</w:t>
      </w:r>
      <w:r>
        <w:rPr>
          <w:rStyle w:val="829"/>
          <w:rFonts w:hint="eastAsia" w:ascii="宋体" w:hAnsi="宋体" w:eastAsia="宋体" w:cs="宋体"/>
          <w:color w:val="auto"/>
          <w:sz w:val="30"/>
          <w:szCs w:val="30"/>
          <w:highlight w:val="none"/>
          <w:u w:val="single"/>
        </w:rPr>
        <w:t xml:space="preserve">  </w:t>
      </w:r>
      <w:r>
        <w:rPr>
          <w:rStyle w:val="829"/>
          <w:rFonts w:hint="eastAsia" w:ascii="宋体" w:hAnsi="宋体" w:cs="宋体"/>
          <w:color w:val="auto"/>
          <w:sz w:val="30"/>
          <w:szCs w:val="30"/>
          <w:highlight w:val="none"/>
          <w:u w:val="single"/>
          <w:lang w:eastAsia="zh-CN"/>
        </w:rPr>
        <w:t xml:space="preserve">苏州市城市公园管理处（苏州市绿化指导站）</w:t>
      </w:r>
      <w:r>
        <w:rPr>
          <w:rStyle w:val="829"/>
          <w:rFonts w:hint="eastAsia" w:ascii="宋体" w:hAnsi="宋体" w:eastAsia="宋体" w:cs="宋体"/>
          <w:color w:val="auto"/>
          <w:sz w:val="30"/>
          <w:szCs w:val="30"/>
          <w:highlight w:val="none"/>
          <w:u w:val="single"/>
        </w:rPr>
        <w:t xml:space="preserve">     </w:t>
      </w:r>
      <w:r/>
    </w:p>
    <w:p>
      <w:pPr>
        <w:pStyle w:val="857"/>
        <w:ind w:firstLine="1205"/>
        <w:spacing w:before="75" w:beforeAutospacing="0" w:after="75" w:afterAutospacing="0"/>
        <w:widowControl/>
        <w:rPr>
          <w:rStyle w:val="829"/>
          <w:rFonts w:hint="eastAsia" w:ascii="宋体" w:hAnsi="宋体" w:eastAsia="宋体" w:cs="宋体"/>
          <w:color w:val="auto"/>
          <w:sz w:val="30"/>
          <w:szCs w:val="30"/>
          <w:highlight w:val="none"/>
        </w:rPr>
      </w:pPr>
      <w:r>
        <w:rPr>
          <w:rStyle w:val="829"/>
          <w:rFonts w:hint="eastAsia" w:ascii="宋体" w:hAnsi="宋体" w:eastAsia="宋体" w:cs="宋体"/>
          <w:color w:val="auto"/>
          <w:sz w:val="30"/>
          <w:szCs w:val="30"/>
          <w:highlight w:val="none"/>
        </w:rPr>
        <w:t xml:space="preserve">采购代理机构：</w:t>
      </w:r>
      <w:r>
        <w:rPr>
          <w:rStyle w:val="829"/>
          <w:rFonts w:hint="eastAsia" w:ascii="宋体" w:hAnsi="宋体" w:eastAsia="宋体" w:cs="宋体"/>
          <w:color w:val="auto"/>
          <w:sz w:val="30"/>
          <w:szCs w:val="30"/>
          <w:highlight w:val="none"/>
          <w:u w:val="single"/>
        </w:rPr>
        <w:t xml:space="preserve">苏州睿乔招投标咨询服务有限公司    </w:t>
      </w:r>
      <w:r/>
    </w:p>
    <w:p>
      <w:pPr>
        <w:pStyle w:val="857"/>
        <w:ind w:firstLine="1205"/>
        <w:spacing w:before="75" w:beforeAutospacing="0" w:after="75" w:afterAutospacing="0"/>
        <w:widowControl/>
        <w:rPr>
          <w:rFonts w:hint="eastAsia" w:ascii="宋体" w:hAnsi="宋体" w:eastAsia="宋体" w:cs="宋体"/>
          <w:color w:val="auto"/>
          <w:highlight w:val="none"/>
        </w:rPr>
      </w:pPr>
      <w:r>
        <w:rPr>
          <w:rStyle w:val="829"/>
          <w:rFonts w:hint="eastAsia" w:ascii="宋体" w:hAnsi="宋体" w:eastAsia="宋体" w:cs="宋体"/>
          <w:color w:val="auto"/>
          <w:sz w:val="30"/>
          <w:szCs w:val="30"/>
          <w:highlight w:val="none"/>
        </w:rPr>
        <w:t xml:space="preserve">采购类别：</w:t>
      </w:r>
      <w:r>
        <w:rPr>
          <w:rStyle w:val="829"/>
          <w:rFonts w:hint="eastAsia" w:ascii="宋体" w:hAnsi="宋体" w:eastAsia="宋体" w:cs="宋体"/>
          <w:color w:val="auto"/>
          <w:sz w:val="30"/>
          <w:szCs w:val="30"/>
          <w:highlight w:val="none"/>
          <w:u w:val="single"/>
        </w:rPr>
        <w:t xml:space="preserve">  </w:t>
      </w:r>
      <w:r>
        <w:rPr>
          <w:rStyle w:val="829"/>
          <w:rFonts w:hint="eastAsia" w:ascii="宋体" w:hAnsi="宋体" w:cs="宋体"/>
          <w:color w:val="auto"/>
          <w:sz w:val="30"/>
          <w:szCs w:val="30"/>
          <w:highlight w:val="none"/>
          <w:u w:val="single"/>
          <w:lang w:val="en-US" w:eastAsia="zh-CN"/>
        </w:rPr>
        <w:t xml:space="preserve">服务</w:t>
      </w:r>
      <w:r>
        <w:rPr>
          <w:rStyle w:val="829"/>
          <w:rFonts w:hint="eastAsia" w:ascii="宋体" w:hAnsi="宋体" w:eastAsia="宋体" w:cs="宋体"/>
          <w:color w:val="auto"/>
          <w:sz w:val="30"/>
          <w:szCs w:val="30"/>
          <w:highlight w:val="none"/>
          <w:u w:val="single"/>
        </w:rPr>
        <w:t xml:space="preserve">类    </w:t>
      </w:r>
      <w:r/>
    </w:p>
    <w:p>
      <w:pPr>
        <w:pStyle w:val="857"/>
        <w:spacing w:before="75" w:beforeAutospacing="0" w:after="75" w:afterAutospacing="0"/>
        <w:widowControl/>
        <w:rPr>
          <w:rStyle w:val="829"/>
          <w:rFonts w:hint="eastAsia" w:ascii="宋体" w:hAnsi="宋体" w:eastAsia="宋体" w:cs="宋体"/>
          <w:b w:val="0"/>
          <w:color w:val="auto"/>
          <w:highlight w:val="none"/>
        </w:rPr>
      </w:pPr>
      <w:r>
        <w:rPr>
          <w:rFonts w:hint="eastAsia" w:ascii="宋体" w:hAnsi="宋体" w:eastAsia="宋体" w:cs="宋体"/>
          <w:color w:val="auto"/>
          <w:highlight w:val="none"/>
        </w:rPr>
        <w:t xml:space="preserve"> </w:t>
      </w:r>
      <w:r/>
    </w:p>
    <w:p>
      <w:pPr>
        <w:pStyle w:val="857"/>
        <w:jc w:val="center"/>
        <w:spacing w:before="75" w:beforeAutospacing="0" w:after="75" w:afterAutospacing="0"/>
        <w:widowControl/>
        <w:rPr>
          <w:rStyle w:val="829"/>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57"/>
        <w:jc w:val="center"/>
        <w:spacing w:before="75" w:beforeAutospacing="0" w:after="75" w:afterAutospacing="0"/>
        <w:widowControl/>
        <w:rPr>
          <w:rStyle w:val="829"/>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57"/>
        <w:jc w:val="both"/>
        <w:spacing w:before="75" w:beforeAutospacing="0" w:after="75" w:afterAutospacing="0"/>
        <w:widowControl/>
        <w:rPr>
          <w:rStyle w:val="829"/>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57"/>
        <w:jc w:val="both"/>
        <w:spacing w:before="75" w:beforeAutospacing="0" w:after="75" w:afterAutospacing="0"/>
        <w:widowControl/>
        <w:rPr>
          <w:rStyle w:val="829"/>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57"/>
        <w:ind w:firstLine="3614"/>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color w:val="auto"/>
          <w:sz w:val="36"/>
          <w:highlight w:val="none"/>
        </w:rPr>
        <w:t xml:space="preserve">投标须知前附表</w:t>
      </w:r>
      <w:r/>
    </w:p>
    <w:p>
      <w:pPr>
        <w:ind w:firstLine="480"/>
        <w:jc w:val="left"/>
        <w:spacing w:line="360" w:lineRule="auto"/>
        <w:rPr>
          <w:rFonts w:hint="eastAsia" w:ascii="宋体" w:hAnsi="宋体" w:eastAsia="宋体" w:cs="宋体"/>
          <w:b/>
          <w:color w:val="auto"/>
          <w:sz w:val="36"/>
          <w:highlight w:val="none"/>
        </w:rPr>
      </w:pPr>
      <w:r>
        <w:rPr>
          <w:rFonts w:hint="eastAsia" w:ascii="宋体" w:hAnsi="宋体" w:eastAsia="宋体" w:cs="宋体"/>
          <w:color w:val="auto"/>
          <w:sz w:val="24"/>
          <w:highlight w:val="none"/>
        </w:rPr>
        <w:t xml:space="preserve">本表是本招标项目的具体资料，是对投标人须知的具体补充和修改，如有矛盾，应</w:t>
      </w:r>
      <w:r>
        <w:rPr>
          <w:rFonts w:hint="eastAsia" w:ascii="宋体" w:hAnsi="宋体" w:eastAsia="宋体" w:cs="宋体"/>
          <w:b/>
          <w:color w:val="auto"/>
          <w:sz w:val="24"/>
          <w:highlight w:val="none"/>
        </w:rPr>
        <w:t xml:space="preserve">以本表为准</w:t>
      </w:r>
      <w:r>
        <w:rPr>
          <w:rFonts w:hint="eastAsia" w:ascii="宋体" w:hAnsi="宋体" w:eastAsia="宋体" w:cs="宋体"/>
          <w:color w:val="auto"/>
          <w:sz w:val="24"/>
          <w:highlight w:val="none"/>
        </w:rPr>
        <w:t xml:space="preserve">。</w:t>
      </w:r>
      <w:r/>
    </w:p>
    <w:tbl>
      <w:tblPr>
        <w:tblStyle w:val="635"/>
        <w:tblW w:w="903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8041"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内容</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采购编号：</w:t>
            </w:r>
            <w:r>
              <w:rPr>
                <w:rFonts w:hint="eastAsia" w:ascii="宋体" w:hAnsi="宋体" w:cs="宋体"/>
                <w:color w:val="auto"/>
                <w:sz w:val="24"/>
                <w:highlight w:val="none"/>
                <w:lang w:eastAsia="zh-CN"/>
              </w:rPr>
              <w:t xml:space="preserve">JSZC-320500-SZRQ-G2024-0048</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采购内容：</w:t>
            </w:r>
            <w:r>
              <w:rPr>
                <w:rFonts w:hint="eastAsia" w:ascii="宋体" w:hAnsi="宋体" w:cs="宋体"/>
                <w:color w:val="auto"/>
                <w:sz w:val="24"/>
                <w:highlight w:val="none"/>
                <w:lang w:eastAsia="zh-CN"/>
              </w:rPr>
              <w:t xml:space="preserve">苏州公园儿童乐园管理与经营服务采购</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zh-CN"/>
              </w:rPr>
              <w:t xml:space="preserve">项目预算金额：</w:t>
            </w:r>
            <w:r>
              <w:rPr>
                <w:rFonts w:hint="eastAsia" w:ascii="宋体" w:hAnsi="宋体" w:cs="宋体"/>
                <w:color w:val="auto"/>
                <w:sz w:val="24"/>
                <w:highlight w:val="none"/>
                <w:lang w:val="en-US" w:eastAsia="zh-CN"/>
              </w:rPr>
              <w:t xml:space="preserve">陆佰万元整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lang w:eastAsia="zh-CN"/>
              </w:rPr>
              <w:t xml:space="preserve">00000.00）</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苏州市城市公园管理处（苏州市绿化指导站）</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苏州市姑苏区公园路111号</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陆雯华</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（0512）65119623</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地址：苏州市吴中区南湖路71号天贸大厦西9楼</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业务联系人：</w:t>
            </w:r>
            <w:r>
              <w:rPr>
                <w:rFonts w:hint="eastAsia" w:ascii="宋体" w:hAnsi="宋体" w:cs="宋体"/>
                <w:color w:val="auto"/>
                <w:sz w:val="24"/>
                <w:highlight w:val="none"/>
                <w:lang w:eastAsia="zh-CN"/>
              </w:rPr>
              <w:t xml:space="preserve">李也菲、曹玲</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联系电话：（0512）67276332</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投标有效期：提交投标文件截止之日起　　</w:t>
            </w:r>
            <w:r>
              <w:rPr>
                <w:rFonts w:hint="eastAsia" w:ascii="宋体" w:hAnsi="宋体" w:eastAsia="宋体" w:cs="宋体"/>
                <w:color w:val="auto"/>
                <w:sz w:val="24"/>
                <w:highlight w:val="none"/>
              </w:rPr>
              <w:t xml:space="preserve">45</w:t>
            </w:r>
            <w:r>
              <w:rPr>
                <w:rFonts w:hint="eastAsia" w:ascii="宋体" w:hAnsi="宋体" w:eastAsia="宋体" w:cs="宋体"/>
                <w:color w:val="auto"/>
                <w:sz w:val="24"/>
                <w:highlight w:val="none"/>
                <w:lang w:val="zh-CN"/>
              </w:rPr>
              <w:t xml:space="preserve">　　日历日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网上报名截止时间：</w:t>
            </w:r>
            <w:r>
              <w:rPr>
                <w:rFonts w:hint="eastAsia" w:ascii="宋体" w:hAnsi="宋体" w:cs="宋体"/>
                <w:color w:val="auto"/>
                <w:sz w:val="24"/>
                <w:highlight w:val="none"/>
                <w:lang w:eastAsia="zh-CN"/>
              </w:rPr>
              <w:t xml:space="preserve">2024年12月17日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截止时间</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2024年12月31日</w:t>
            </w: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整（北京时间）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投标时间：</w:t>
            </w:r>
            <w:r>
              <w:rPr>
                <w:rFonts w:hint="eastAsia" w:ascii="宋体" w:hAnsi="宋体" w:cs="宋体"/>
                <w:color w:val="auto"/>
                <w:sz w:val="24"/>
                <w:highlight w:val="none"/>
                <w:lang w:eastAsia="zh-CN"/>
              </w:rPr>
              <w:t xml:space="preserve">2024年12月31日</w:t>
            </w: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0整（北京时间）</w:t>
            </w:r>
            <w:r/>
          </w:p>
          <w:p>
            <w:pP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rPr>
              <w:t xml:space="preserve">地点：“苏采云”政府采购交易系统网上开标大厅。</w:t>
            </w:r>
            <w:r/>
          </w:p>
          <w:p>
            <w:pPr>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本项目为不见面</w:t>
            </w: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lang w:val="en-US" w:eastAsia="zh-CN"/>
              </w:rPr>
              <w:t xml:space="preserve">项目，开启阶段供应商在【供应商解密】环节必须使用 CA证书解密电子响应文件，如在系统规定的解密时间内未能完成解密的视为放弃参与本项目。</w:t>
            </w:r>
            <w:r>
              <w:rPr>
                <w:rFonts w:hint="eastAsia" w:ascii="宋体" w:hAnsi="宋体" w:eastAsia="宋体" w:cs="宋体"/>
                <w:color w:val="auto"/>
                <w:sz w:val="24"/>
                <w:highlight w:val="none"/>
              </w:rPr>
              <w:t xml:space="preserve">“苏采云”系统（网址：http://jszfcg.jsczt.cn/）</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9</w:t>
            </w:r>
            <w:r/>
          </w:p>
        </w:tc>
        <w:tc>
          <w:tcPr>
            <w:tcW w:w="8041" w:type="dxa"/>
            <w:vAlign w:val="center"/>
            <w:textDirection w:val="lrTb"/>
            <w:noWrap w:val="false"/>
          </w:tcPr>
          <w:p>
            <w:pPr>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rPr>
              <w:t xml:space="preserve">中标</w:t>
            </w:r>
            <w:r>
              <w:rPr>
                <w:rFonts w:hint="eastAsia" w:ascii="宋体" w:hAnsi="宋体" w:eastAsia="宋体" w:cs="宋体"/>
                <w:color w:val="auto"/>
                <w:sz w:val="24"/>
                <w:highlight w:val="none"/>
                <w:lang w:val="zh-CN"/>
              </w:rPr>
              <w:t xml:space="preserve">服务费：</w:t>
            </w:r>
            <w:r>
              <w:rPr>
                <w:rFonts w:hint="eastAsia" w:ascii="宋体" w:hAnsi="宋体" w:eastAsia="宋体" w:cs="宋体"/>
                <w:bCs/>
                <w:color w:val="auto"/>
                <w:sz w:val="24"/>
                <w:highlight w:val="none"/>
              </w:rPr>
              <w:t xml:space="preserve">根据苏财购告【2017】23号文件的收取中标服务费。领取中标通知书时供应商向招标代理机构一次性付清。由中标供应商支付，按照采购预算100万元以内1.5%、100～500万元以1.1%、500~1000万元以0.8%，1000万元~5000万元以0.5%，差额定率累进法计算并支付中标服务费。本项目代理服务费按人民币￥</w:t>
            </w:r>
            <w:r>
              <w:rPr>
                <w:rFonts w:hint="eastAsia" w:ascii="宋体" w:hAnsi="宋体" w:cs="宋体"/>
                <w:bCs/>
                <w:color w:val="auto"/>
                <w:sz w:val="24"/>
                <w:highlight w:val="none"/>
                <w:lang w:val="en-US" w:eastAsia="zh-CN"/>
              </w:rPr>
              <w:t xml:space="preserve">67000.00</w:t>
            </w:r>
            <w:r>
              <w:rPr>
                <w:rFonts w:hint="eastAsia" w:ascii="宋体" w:hAnsi="宋体" w:eastAsia="宋体" w:cs="宋体"/>
                <w:bCs/>
                <w:color w:val="auto"/>
                <w:sz w:val="24"/>
                <w:highlight w:val="none"/>
              </w:rPr>
              <w:t xml:space="preserve">计收</w:t>
            </w:r>
            <w:r>
              <w:rPr>
                <w:rFonts w:hint="eastAsia" w:ascii="宋体" w:hAnsi="宋体" w:eastAsia="宋体" w:cs="宋体"/>
                <w:bCs/>
                <w:color w:val="auto"/>
                <w:sz w:val="24"/>
                <w:highlight w:val="none"/>
                <w:shd w:val="clear" w:color="auto" w:fill="auto"/>
              </w:rPr>
              <w:t xml:space="preserve">。</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号：1102020209000937813</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开户行：中国工商银行苏州道前支行</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评标方法：综合评分法</w:t>
            </w:r>
            <w:r/>
          </w:p>
        </w:tc>
      </w:tr>
    </w:tbl>
    <w:p>
      <w:pPr>
        <w:pStyle w:val="857"/>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674"/>
        <w:rPr>
          <w:rFonts w:hint="eastAsia"/>
          <w:color w:val="auto"/>
          <w:highlight w:val="none"/>
        </w:rPr>
      </w:pPr>
      <w:r>
        <w:rPr>
          <w:rFonts w:hint="eastAsia"/>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目    录</w:t>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851"/>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第一章  投标邀请函</w:t>
      </w:r>
      <w:r/>
    </w:p>
    <w:p>
      <w:pPr>
        <w:pStyle w:val="851"/>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851"/>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851"/>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851"/>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851"/>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第六章  评标办法及评分标准</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5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5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5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5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5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5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57"/>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57"/>
        <w:jc w:val="center"/>
        <w:spacing w:before="75" w:beforeAutospacing="0" w:after="75" w:afterAutospacing="0" w:line="405" w:lineRule="atLeast"/>
        <w:widowControl/>
        <w:rPr>
          <w:rFonts w:hint="eastAsia" w:ascii="宋体" w:hAnsi="宋体" w:eastAsia="宋体" w:cs="宋体"/>
          <w:color w:val="auto"/>
          <w:highlight w:val="none"/>
        </w:rPr>
      </w:pPr>
      <w:r>
        <w:rPr>
          <w:rFonts w:hint="eastAsia" w:ascii="宋体" w:hAnsi="宋体" w:eastAsia="宋体" w:cs="宋体"/>
          <w:color w:val="auto"/>
          <w:sz w:val="36"/>
          <w:highlight w:val="none"/>
        </w:rPr>
        <w:t xml:space="preserve">第一章  投标邀请函</w:t>
      </w:r>
      <w:r/>
    </w:p>
    <w:p>
      <w:pPr>
        <w:pStyle w:val="847"/>
        <w:ind w:firstLine="720"/>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苏州睿乔招投标咨询服务有限公司受</w:t>
      </w:r>
      <w:r>
        <w:rPr>
          <w:rFonts w:hint="eastAsia" w:ascii="宋体" w:hAnsi="宋体" w:eastAsia="宋体" w:cs="宋体"/>
          <w:bCs/>
          <w:color w:val="auto"/>
          <w:highlight w:val="none"/>
          <w:u w:val="single"/>
        </w:rPr>
        <w:t xml:space="preserve">  </w:t>
      </w:r>
      <w:r>
        <w:rPr>
          <w:rFonts w:hint="eastAsia" w:ascii="宋体" w:hAnsi="宋体" w:cs="宋体"/>
          <w:bCs/>
          <w:color w:val="auto"/>
          <w:highlight w:val="none"/>
          <w:u w:val="single"/>
          <w:lang w:eastAsia="zh-CN"/>
        </w:rPr>
        <w:t xml:space="preserve">苏州市城市公园管理处（苏州市绿化指导站）</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委托，对</w:t>
      </w:r>
      <w:r>
        <w:rPr>
          <w:rFonts w:hint="eastAsia" w:ascii="宋体" w:hAnsi="宋体" w:cs="宋体"/>
          <w:bCs/>
          <w:color w:val="auto"/>
          <w:highlight w:val="none"/>
          <w:lang w:eastAsia="zh-CN"/>
        </w:rPr>
        <w:t xml:space="preserve">苏州公园儿童乐园管理与经营服务采购</w:t>
      </w:r>
      <w:r>
        <w:rPr>
          <w:rFonts w:hint="eastAsia" w:ascii="宋体" w:hAnsi="宋体" w:eastAsia="宋体" w:cs="宋体"/>
          <w:bCs/>
          <w:color w:val="auto"/>
          <w:highlight w:val="none"/>
        </w:rPr>
        <w:t xml:space="preserve">进行国内公开招标，欢迎符合投标资格条件的供应商前来投标。</w:t>
      </w:r>
      <w:r/>
    </w:p>
    <w:p>
      <w:pPr>
        <w:pStyle w:val="847"/>
        <w:ind w:firstLine="482"/>
        <w:jc w:val="left"/>
        <w:keepLines w:val="0"/>
        <w:keepNext w:val="0"/>
        <w:pageBreakBefore w:val="0"/>
        <w:spacing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一、采购编号：</w:t>
      </w:r>
      <w:r>
        <w:rPr>
          <w:rFonts w:hint="eastAsia" w:ascii="宋体" w:hAnsi="宋体" w:cs="宋体"/>
          <w:b/>
          <w:bCs/>
          <w:color w:val="auto"/>
          <w:highlight w:val="none"/>
          <w:lang w:eastAsia="zh-CN"/>
        </w:rPr>
        <w:t xml:space="preserve">JSZC-320500-SZRQ-G2024-0048</w:t>
      </w:r>
      <w:r/>
    </w:p>
    <w:p>
      <w:pPr>
        <w:pStyle w:val="847"/>
        <w:ind w:firstLine="482"/>
        <w:jc w:val="left"/>
        <w:keepLines w:val="0"/>
        <w:keepNext w:val="0"/>
        <w:pageBreakBefore w:val="0"/>
        <w:spacing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二、项目名称：</w:t>
      </w:r>
      <w:r>
        <w:rPr>
          <w:rFonts w:hint="eastAsia" w:ascii="宋体" w:hAnsi="宋体" w:cs="宋体"/>
          <w:b/>
          <w:bCs/>
          <w:color w:val="auto"/>
          <w:highlight w:val="none"/>
          <w:lang w:eastAsia="zh-CN"/>
        </w:rPr>
        <w:t xml:space="preserve">苏州公园儿童乐园管理与经营服务采购</w:t>
      </w:r>
      <w:r>
        <w:rPr>
          <w:rFonts w:hint="eastAsia" w:ascii="宋体" w:hAnsi="宋体" w:eastAsia="宋体" w:cs="宋体"/>
          <w:b/>
          <w:bCs/>
          <w:color w:val="auto"/>
          <w:highlight w:val="none"/>
        </w:rPr>
        <w:t xml:space="preserve"> </w:t>
      </w:r>
      <w:r/>
    </w:p>
    <w:p>
      <w:pPr>
        <w:ind w:firstLine="482"/>
        <w:jc w:val="left"/>
        <w:keepLines w:val="0"/>
        <w:keepNext w:val="0"/>
        <w:pageBreakBefore w:val="0"/>
        <w:spacing w:line="360" w:lineRule="auto"/>
        <w:widowControl w:val="off"/>
        <w:rPr>
          <w:rFonts w:hint="default" w:ascii="宋体" w:hAnsi="宋体" w:cs="宋体"/>
          <w:color w:val="auto"/>
          <w:sz w:val="24"/>
          <w:highlight w:val="none"/>
          <w:lang w:val="en-US" w:eastAsia="zh-CN"/>
        </w:rPr>
        <w:outlineLvl w:val="9"/>
      </w:pPr>
      <w:r>
        <w:rPr>
          <w:rFonts w:hint="eastAsia" w:ascii="宋体" w:hAnsi="宋体" w:eastAsia="宋体" w:cs="宋体"/>
          <w:b/>
          <w:bCs/>
          <w:color w:val="auto"/>
          <w:sz w:val="24"/>
          <w:highlight w:val="none"/>
        </w:rPr>
        <w:t xml:space="preserve">三、预算金额</w:t>
      </w:r>
      <w:r>
        <w:rPr>
          <w:rFonts w:hint="eastAsia" w:ascii="宋体" w:hAnsi="宋体" w:eastAsia="宋体" w:cs="宋体"/>
          <w:bCs/>
          <w:color w:val="auto"/>
          <w:sz w:val="24"/>
          <w:highlight w:val="none"/>
        </w:rPr>
        <w:t xml:space="preserve">：</w:t>
      </w:r>
      <w:r>
        <w:rPr>
          <w:rFonts w:hint="eastAsia" w:ascii="宋体" w:hAnsi="宋体" w:cs="宋体"/>
          <w:color w:val="auto"/>
          <w:sz w:val="24"/>
          <w:highlight w:val="none"/>
          <w:lang w:val="en-US" w:eastAsia="zh-CN"/>
        </w:rPr>
        <w:t xml:space="preserve">陆佰万元整（¥：6000000.00）</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rPr>
        <w:outlineLvl w:val="9"/>
      </w:pPr>
      <w:r>
        <w:rPr>
          <w:rFonts w:hint="eastAsia" w:ascii="宋体" w:hAnsi="宋体" w:eastAsia="宋体" w:cs="宋体"/>
          <w:color w:val="auto"/>
          <w:sz w:val="24"/>
          <w:highlight w:val="none"/>
        </w:rPr>
        <w:t xml:space="preserve">最高限价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w:t>
      </w:r>
      <w:r/>
    </w:p>
    <w:p>
      <w:pPr>
        <w:pStyle w:val="847"/>
        <w:ind w:firstLine="482"/>
        <w:jc w:val="left"/>
        <w:keepLines w:val="0"/>
        <w:keepNext w:val="0"/>
        <w:pageBreakBefore w:val="0"/>
        <w:spacing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四、采购需求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cs="宋体"/>
          <w:color w:val="auto"/>
          <w:sz w:val="24"/>
          <w:highlight w:val="none"/>
          <w:lang w:eastAsia="zh-CN"/>
        </w:rPr>
        <w:t xml:space="preserve">苏州公园儿童乐园管理与经营服务采购</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rPr>
        <w:t xml:space="preserve">合同履行期限：</w:t>
      </w:r>
      <w:r>
        <w:rPr>
          <w:rFonts w:hint="eastAsia" w:ascii="宋体" w:hAnsi="宋体" w:cs="宋体"/>
          <w:color w:val="auto"/>
          <w:sz w:val="24"/>
          <w:highlight w:val="none"/>
          <w:lang w:eastAsia="zh-CN"/>
        </w:rPr>
        <w:t xml:space="preserve">三年（具体起始时间以签订合同为准）</w:t>
      </w:r>
      <w:r/>
    </w:p>
    <w:p>
      <w:pPr>
        <w:pStyle w:val="847"/>
        <w:ind w:firstLine="48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五、供应商的资格要求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（一）供应商应当具备下列一般条件：</w:t>
      </w:r>
      <w:r/>
    </w:p>
    <w:p>
      <w:pPr>
        <w:pStyle w:val="84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1.具有独立承担民事责任的能力；</w:t>
      </w:r>
      <w:r/>
    </w:p>
    <w:p>
      <w:pPr>
        <w:pStyle w:val="84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2.具有良好的商业信誉和健全的财务会计制度；</w:t>
      </w:r>
      <w:r/>
    </w:p>
    <w:p>
      <w:pPr>
        <w:pStyle w:val="84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3.具有履行合同所必需的设备和专业技术能力；</w:t>
      </w:r>
      <w:r/>
    </w:p>
    <w:p>
      <w:pPr>
        <w:pStyle w:val="84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4.有依法缴纳税收和社会保障资金的良好记录；</w:t>
      </w:r>
      <w:r/>
    </w:p>
    <w:p>
      <w:pPr>
        <w:pStyle w:val="84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5.参加政府采购活动前三年内，在经营活动中没有重大违法记录；</w:t>
      </w:r>
      <w:r/>
    </w:p>
    <w:p>
      <w:pPr>
        <w:pStyle w:val="84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6.法律、行政法规规定的其他条件。</w:t>
      </w:r>
      <w:r/>
    </w:p>
    <w:p>
      <w:pPr>
        <w:pStyle w:val="84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（二）供应商应当具备下列特殊条件：无</w:t>
      </w:r>
      <w:r/>
    </w:p>
    <w:p>
      <w:pPr>
        <w:pStyle w:val="84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本项目落实政府采购政策需满足的资格要求：</w:t>
      </w:r>
      <w:r>
        <w:rPr>
          <w:rFonts w:hint="eastAsia" w:ascii="宋体" w:hAnsi="宋体"/>
          <w:color w:val="auto"/>
          <w:sz w:val="24"/>
          <w:highlight w:val="none"/>
          <w:lang w:val="en-US" w:eastAsia="zh-CN"/>
        </w:rPr>
        <w:t xml:space="preserve">根据《政府采购促进中小企业发展管理办法》的相关规定，本项目专门面向中小企业，所属行业为其他未列明行业，供应商应为中小微企业、监狱企业、残疾人福利性单位。</w:t>
      </w:r>
      <w:r/>
    </w:p>
    <w:p>
      <w:pPr>
        <w:pStyle w:val="84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（三）拒绝下述供应商参加本次采购活动：</w:t>
      </w:r>
      <w:r/>
    </w:p>
    <w:p>
      <w:pPr>
        <w:pStyle w:val="84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auto"/>
          <w:highlight w:val="none"/>
        </w:rPr>
        <w:t xml:space="preserve">。</w:t>
      </w:r>
      <w:r/>
    </w:p>
    <w:p>
      <w:pPr>
        <w:pStyle w:val="84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pStyle w:val="84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（四）本项目不接受联合体投标。</w:t>
      </w:r>
      <w:r/>
    </w:p>
    <w:p>
      <w:pPr>
        <w:pStyle w:val="847"/>
        <w:ind w:firstLine="482"/>
        <w:spacing w:line="360" w:lineRule="auto"/>
        <w:rPr>
          <w:rFonts w:hint="eastAsia" w:ascii="宋体" w:hAnsi="宋体" w:eastAsia="宋体" w:cs="宋体"/>
          <w:color w:val="auto"/>
          <w:sz w:val="20"/>
          <w:highlight w:val="none"/>
        </w:rPr>
      </w:pPr>
      <w:r>
        <w:rPr>
          <w:rFonts w:hint="eastAsia" w:ascii="宋体" w:hAnsi="宋体" w:eastAsia="宋体" w:cs="宋体"/>
          <w:b/>
          <w:color w:val="auto"/>
          <w:highlight w:val="none"/>
        </w:rPr>
        <w:t xml:space="preserve">六、投标文件上传截止时间：</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投标文件上传截止时间：</w:t>
      </w:r>
      <w:r>
        <w:rPr>
          <w:rFonts w:hint="eastAsia" w:ascii="宋体" w:hAnsi="宋体" w:cs="宋体"/>
          <w:color w:val="auto"/>
          <w:sz w:val="24"/>
          <w:highlight w:val="none"/>
          <w:lang w:eastAsia="zh-CN"/>
        </w:rPr>
        <w:t xml:space="preserve">2024年12月31日</w:t>
      </w:r>
      <w:r>
        <w:rPr>
          <w:rFonts w:hint="eastAsia" w:ascii="宋体" w:hAnsi="宋体" w:cs="宋体"/>
          <w:color w:val="auto"/>
          <w:sz w:val="24"/>
          <w:highlight w:val="none"/>
          <w:lang w:val="en-US" w:eastAsia="zh-CN"/>
        </w:rPr>
        <w:t xml:space="preserve">14:30</w:t>
      </w:r>
      <w:r>
        <w:rPr>
          <w:rFonts w:hint="eastAsia" w:ascii="宋体" w:hAnsi="宋体" w:eastAsia="宋体" w:cs="宋体"/>
          <w:color w:val="auto"/>
          <w:sz w:val="24"/>
          <w:highlight w:val="none"/>
        </w:rPr>
        <w:t xml:space="preserve">（北京时间）</w:t>
      </w:r>
      <w:r/>
    </w:p>
    <w:p>
      <w:pPr>
        <w:ind w:firstLine="482"/>
        <w:spacing w:line="360" w:lineRule="auto"/>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637"/>
        <w:ind w:left="0"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637"/>
        <w:ind w:left="0" w:firstLine="482"/>
        <w:keepLines w:val="0"/>
        <w:keepNext w:val="0"/>
        <w:pageBreakBefore w:val="0"/>
        <w:spacing w:line="360" w:lineRule="auto"/>
        <w:rPr>
          <w:rFonts w:hint="eastAsia" w:ascii="宋体" w:hAnsi="宋体" w:eastAsia="宋体" w:cs="宋体"/>
          <w:b/>
          <w:bCs/>
          <w:color w:val="auto"/>
          <w:sz w:val="24"/>
          <w:szCs w:val="22"/>
          <w:highlight w:val="none"/>
          <w:lang w:val="en-US" w:eastAsia="zh-CN" w:bidi="ar-SA"/>
        </w:rPr>
        <w:outlineLvl w:val="9"/>
      </w:pPr>
      <w:r>
        <w:rPr>
          <w:rFonts w:hint="eastAsia" w:ascii="宋体" w:hAnsi="宋体" w:eastAsia="宋体" w:cs="宋体"/>
          <w:b/>
          <w:bCs/>
          <w:color w:val="auto"/>
          <w:sz w:val="24"/>
          <w:szCs w:val="22"/>
          <w:highlight w:val="none"/>
          <w:lang w:val="en-US" w:eastAsia="zh-CN" w:bidi="ar-SA"/>
        </w:rPr>
        <w:t xml:space="preserve">请供应商确保电脑、系统及其他设备（视频输入输出设备等）无误，且开标直至项目结束始终保持系统在线状态。</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、开标时间和地点</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开标时间：</w:t>
      </w:r>
      <w:r>
        <w:rPr>
          <w:rFonts w:hint="eastAsia" w:ascii="宋体" w:hAnsi="宋体" w:cs="宋体"/>
          <w:color w:val="auto"/>
          <w:sz w:val="24"/>
          <w:highlight w:val="none"/>
          <w:lang w:eastAsia="zh-CN"/>
        </w:rPr>
        <w:t xml:space="preserve">2024年12月31日</w:t>
      </w:r>
      <w:r>
        <w:rPr>
          <w:rFonts w:hint="eastAsia" w:ascii="宋体" w:hAnsi="宋体" w:cs="宋体"/>
          <w:color w:val="auto"/>
          <w:sz w:val="24"/>
          <w:highlight w:val="none"/>
          <w:lang w:val="en-US" w:eastAsia="zh-CN"/>
        </w:rPr>
        <w:t xml:space="preserve">14:30</w:t>
      </w:r>
      <w:r>
        <w:rPr>
          <w:rFonts w:hint="eastAsia" w:ascii="宋体" w:hAnsi="宋体" w:eastAsia="宋体" w:cs="宋体"/>
          <w:color w:val="auto"/>
          <w:sz w:val="24"/>
          <w:highlight w:val="none"/>
        </w:rPr>
        <w:t xml:space="preserve">（北京时间）</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lang w:val="en-US"/>
        </w:rPr>
        <w:outlineLvl w:val="9"/>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lang w:val="en-US" w:eastAsia="zh-CN"/>
        </w:rPr>
        <w:t xml:space="preserve">“苏采云”系统（网址：http://jszfcg.jsczt.cn/），响应文件网上递交，不需要现场参加采购活动，无需提供纸质响应文件。</w:t>
      </w:r>
      <w:r/>
    </w:p>
    <w:p>
      <w:pPr>
        <w:ind w:firstLine="482"/>
        <w:jc w:val="left"/>
        <w:keepLines w:val="0"/>
        <w:keepNext w:val="0"/>
        <w:pageBreakBefore w:val="0"/>
        <w:spacing w:line="360" w:lineRule="auto"/>
        <w:widowControl/>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en-US" w:eastAsia="zh-CN"/>
        </w:rPr>
        <w:t xml:space="preserve">八</w:t>
      </w:r>
      <w:r>
        <w:rPr>
          <w:rFonts w:hint="eastAsia" w:ascii="宋体" w:hAnsi="宋体" w:eastAsia="宋体" w:cs="宋体"/>
          <w:b/>
          <w:color w:val="auto"/>
          <w:sz w:val="24"/>
          <w:highlight w:val="none"/>
        </w:rPr>
        <w:t xml:space="preserve">、采购项目联系人及联系方式：</w:t>
      </w:r>
      <w:r/>
    </w:p>
    <w:p>
      <w:pPr>
        <w:ind w:firstLine="36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（一）采购人：</w:t>
      </w:r>
      <w:r>
        <w:rPr>
          <w:rFonts w:hint="eastAsia" w:ascii="宋体" w:hAnsi="宋体" w:cs="宋体"/>
          <w:color w:val="auto"/>
          <w:sz w:val="24"/>
          <w:highlight w:val="none"/>
          <w:lang w:eastAsia="zh-CN"/>
        </w:rPr>
        <w:t xml:space="preserve">苏州市城市公园管理处（苏州市绿化指导站）</w:t>
      </w:r>
      <w:r>
        <w:rPr>
          <w:rFonts w:hint="eastAsia" w:ascii="宋体" w:hAnsi="宋体" w:eastAsia="宋体" w:cs="宋体"/>
          <w:color w:val="auto"/>
          <w:sz w:val="24"/>
          <w:highlight w:val="none"/>
        </w:rPr>
        <w:t xml:space="preserve"> </w:t>
      </w:r>
      <w:r/>
    </w:p>
    <w:p>
      <w:pPr>
        <w:ind w:firstLine="36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苏州市姑苏区公园路111号</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陆雯华</w:t>
      </w:r>
      <w:r>
        <w:rPr>
          <w:rFonts w:hint="eastAsia" w:ascii="宋体" w:hAnsi="宋体" w:eastAsia="宋体" w:cs="宋体"/>
          <w:color w:val="auto"/>
          <w:sz w:val="24"/>
          <w:highlight w:val="none"/>
        </w:rPr>
        <w:t xml:space="preserve">  </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（0512）65119623</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（二）采购代理机构：苏州睿乔招投标咨询服务有限公司</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址：苏州市吴中区南湖路71号天贸大厦西9楼</w:t>
      </w:r>
      <w:r/>
    </w:p>
    <w:p>
      <w:pPr>
        <w:ind w:firstLine="36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业务联系人：</w:t>
      </w:r>
      <w:r>
        <w:rPr>
          <w:rFonts w:hint="eastAsia" w:ascii="宋体" w:hAnsi="宋体" w:cs="宋体"/>
          <w:color w:val="auto"/>
          <w:sz w:val="24"/>
          <w:highlight w:val="none"/>
          <w:lang w:eastAsia="zh-CN"/>
        </w:rPr>
        <w:t xml:space="preserve">李也菲、曹玲</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联系电话：（0512）67276332</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 215000</w:t>
      </w:r>
      <w:r/>
    </w:p>
    <w:p>
      <w:pPr>
        <w:ind w:firstLine="36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请贵单位获取本次</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文件后，认真阅读各项内容，进行必要的投标准备，并按</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文件的要求详细填写和编制投标文件，准时参加投标。</w:t>
      </w:r>
      <w:r/>
    </w:p>
    <w:p>
      <w:pP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br w:type="page" w:clear="all"/>
      </w:r>
      <w:r/>
    </w:p>
    <w:p>
      <w:pPr>
        <w:pStyle w:val="857"/>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color w:val="auto"/>
          <w:sz w:val="36"/>
          <w:szCs w:val="36"/>
          <w:highlight w:val="none"/>
        </w:rPr>
        <w:t xml:space="preserve">第二章  投标人须知</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一、说明和释义</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 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1.1本</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文件仅适用于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组织的采购活动。</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1.2本次采购活动及因本次采购产生的合同受中国法律制约和保护。</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1.3本</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文件的解释权属于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 词语释义</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2.1采购人（甲方）：依法进行政府采购的国家机关、事业单位、团体组织。</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2.2采购代理机构：</w:t>
      </w:r>
      <w:r>
        <w:rPr>
          <w:rFonts w:hint="eastAsia" w:ascii="宋体" w:hAnsi="宋体" w:eastAsia="宋体" w:cs="宋体"/>
          <w:color w:val="auto"/>
          <w:sz w:val="24"/>
          <w:highlight w:val="none"/>
        </w:rPr>
        <w:t xml:space="preserve">依法接受采购人委托，从事货物、工程和服务等政府采购代理业务的社会中介机构。</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2.3投标人（供应商）：响应招标、参加投标竞争的法人、非法人组织或者自然人。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潜在投标人（供应商）：以招标文件规定的方式获取本项目招标文件的法人、非法人组织或者自然人。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2.4响应：投标人根据采购代理机构或采购代理机构发布的</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文件，编制投标文件并按规定投标的行为。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2.5中标人（乙方）：经评标委员会评定产生、采购合同中规定的向采购方提供货物或服务的法人或其他组织和自然人（中标人）。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2.6合同：采供双方根据</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文件和中标的投标文件及中标通知书规定的内容签署的以书面形式所达成的协议，包括所有的附件、附录和构成协议的所有文件。</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服务：系指本次</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文件规定乙方应承担的</w:t>
      </w:r>
      <w:r>
        <w:rPr>
          <w:rFonts w:hint="eastAsia" w:ascii="宋体" w:hAnsi="宋体" w:eastAsia="宋体" w:cs="宋体"/>
          <w:color w:val="auto"/>
          <w:sz w:val="24"/>
          <w:highlight w:val="none"/>
        </w:rPr>
        <w:t xml:space="preserve">与提供货物和服务有关的辅助服务及合同中规定乙方应承担的其它义务。</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知识产权：指专利权、商标权、著作权等无形财产专有权的统称。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天：日历日。</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服务（</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zh-CN"/>
        </w:rPr>
        <w:t xml:space="preserve">）地点：合同中明确约定的</w:t>
      </w:r>
      <w:r>
        <w:rPr>
          <w:rFonts w:hint="eastAsia" w:ascii="宋体" w:hAnsi="宋体" w:eastAsia="宋体" w:cs="宋体"/>
          <w:color w:val="auto"/>
          <w:sz w:val="24"/>
          <w:highlight w:val="none"/>
        </w:rPr>
        <w:t xml:space="preserve">服务（交货）的项目所在地。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zh-CN"/>
        </w:rPr>
        <w:t xml:space="preserve">合同价款：根据合同规定，乙方在正确地履行合同义务后甲方应支付乙方的价款。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不可抗力：不能预见、不能避免并且不能克服的客观情况。</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2.13实质响应：</w:t>
      </w:r>
      <w:r>
        <w:rPr>
          <w:rFonts w:hint="eastAsia" w:ascii="宋体" w:hAnsi="宋体" w:eastAsia="宋体" w:cs="宋体"/>
          <w:color w:val="auto"/>
          <w:sz w:val="24"/>
          <w:highlight w:val="none"/>
          <w:lang w:val="zh-CN"/>
        </w:rPr>
        <w:t xml:space="preserve">满足有关本项目服务的具体要求，包括服务内容、履行期限、履行地点和方式、违约责任和解决争议方法等要求。</w:t>
      </w:r>
      <w:r/>
    </w:p>
    <w:p>
      <w:pPr>
        <w:pStyle w:val="674"/>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2.14进口产品：指通过中国海关报关验放进入中国境内且产自境外的产品。</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2.15书面形式：指书面文字、合同书、信件和传真等可以有形地表现所载内容的形式。</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2.16小微企业：</w:t>
      </w:r>
      <w:r>
        <w:rPr>
          <w:rFonts w:hint="eastAsia" w:ascii="宋体" w:hAnsi="宋体" w:eastAsia="宋体" w:cs="宋体"/>
          <w:color w:val="auto"/>
          <w:sz w:val="24"/>
          <w:highlight w:val="none"/>
          <w:lang w:val="zh-CN"/>
        </w:rPr>
        <w:t xml:space="preserve">小型企业且提供自有服务的，视同为小型企业。微型企业且提供自有服务的，视同为微型企业。</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二、投标人（供应商）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 供应商资格要求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3.1供应商应当具备下列一般条件：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3.1.1具有独立承担民事责任的能力；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3.1.2具有良好的商业信誉和健全的财务会计制度；</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3.1.3具有履行合同所必需的设备和专业技术能力；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3.1.4有依法缴纳税收和社会保障资金的良好记录；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3.1.5参加政府采购活动前三年内，在经营活动中没有重大违法记录；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3.1.6法律、行政法规规定的其他条件；</w:t>
      </w:r>
      <w:r/>
    </w:p>
    <w:p>
      <w:pPr>
        <w:ind w:firstLine="48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3.2本项目落实政府采购政策需满足的资格要求：根据《政府采购促进中小企业发展管理办法》的相关规定，本项目专门面向中小企业采购</w:t>
      </w:r>
      <w:r>
        <w:rPr>
          <w:rFonts w:hint="eastAsia" w:ascii="宋体" w:hAnsi="宋体" w:eastAsia="宋体" w:cs="宋体"/>
          <w:color w:val="auto"/>
          <w:sz w:val="24"/>
          <w:szCs w:val="22"/>
          <w:highlight w:val="none"/>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4、投标人代表</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4.1指全权代表投标人参加投标活动并签署投标文件的人，如果投标人代表不是法定代表人，须持有《授权委托书》（详见统一格式）。</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5、投标费用 </w:t>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5.1无论投标过程中的做法和结果如何，投标人自行承担所有与参加投标有关的全部费用。</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6、联合体投标</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本采购项目</w:t>
      </w:r>
      <w:r>
        <w:rPr>
          <w:rFonts w:hint="eastAsia" w:ascii="宋体" w:hAnsi="宋体" w:eastAsia="宋体" w:cs="宋体"/>
          <w:i/>
          <w:color w:val="auto"/>
          <w:sz w:val="24"/>
          <w:highlight w:val="none"/>
        </w:rPr>
        <w:t xml:space="preserve">不</w:t>
      </w:r>
      <w:r>
        <w:rPr>
          <w:rFonts w:hint="eastAsia" w:ascii="宋体" w:hAnsi="宋体" w:eastAsia="宋体" w:cs="宋体"/>
          <w:bCs/>
          <w:color w:val="auto"/>
          <w:sz w:val="24"/>
          <w:highlight w:val="none"/>
          <w:lang w:val="zh-CN"/>
        </w:rPr>
        <w:t xml:space="preserve">接受联合体投标。</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三、</w:t>
      </w:r>
      <w:r>
        <w:rPr>
          <w:rFonts w:hint="eastAsia" w:ascii="宋体" w:hAnsi="宋体" w:eastAsia="宋体" w:cs="宋体"/>
          <w:b/>
          <w:bCs/>
          <w:color w:val="auto"/>
          <w:sz w:val="24"/>
          <w:highlight w:val="none"/>
          <w:lang w:val="zh-CN" w:eastAsia="zh-CN"/>
        </w:rPr>
        <w:t xml:space="preserve">招标</w:t>
      </w:r>
      <w:r>
        <w:rPr>
          <w:rFonts w:hint="eastAsia" w:ascii="宋体" w:hAnsi="宋体" w:eastAsia="宋体" w:cs="宋体"/>
          <w:b/>
          <w:bCs/>
          <w:color w:val="auto"/>
          <w:sz w:val="24"/>
          <w:highlight w:val="none"/>
          <w:lang w:val="zh-CN"/>
        </w:rPr>
        <w:t xml:space="preserve">文件的说明</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7、</w:t>
      </w:r>
      <w:r>
        <w:rPr>
          <w:rFonts w:hint="eastAsia" w:ascii="宋体" w:hAnsi="宋体" w:eastAsia="宋体" w:cs="宋体"/>
          <w:b/>
          <w:bCs/>
          <w:color w:val="auto"/>
          <w:sz w:val="24"/>
          <w:highlight w:val="none"/>
          <w:lang w:val="zh-CN" w:eastAsia="zh-CN"/>
        </w:rPr>
        <w:t xml:space="preserve">招标</w:t>
      </w:r>
      <w:r>
        <w:rPr>
          <w:rFonts w:hint="eastAsia" w:ascii="宋体" w:hAnsi="宋体" w:eastAsia="宋体" w:cs="宋体"/>
          <w:b/>
          <w:bCs/>
          <w:color w:val="auto"/>
          <w:sz w:val="24"/>
          <w:highlight w:val="none"/>
          <w:lang w:val="zh-CN"/>
        </w:rPr>
        <w:t xml:space="preserve">文件</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文件由</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文件目录所列内容组成。投标人应详细阅读</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文件的全部内容，并认真审阅</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文件中所有的事项、格式、条款和规范要求等，若投标人的投标文件没有按</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文件要求提交全部资料，或投标文件没有对</w:t>
      </w:r>
      <w:r>
        <w:rPr>
          <w:rFonts w:hint="eastAsia" w:ascii="宋体" w:hAnsi="宋体" w:eastAsia="宋体" w:cs="宋体"/>
          <w:color w:val="auto"/>
          <w:sz w:val="24"/>
          <w:highlight w:val="none"/>
          <w:lang w:val="zh-CN" w:eastAsia="zh-CN"/>
        </w:rPr>
        <w:t xml:space="preserve">招标</w:t>
      </w:r>
      <w:r>
        <w:rPr>
          <w:rFonts w:hint="eastAsia" w:ascii="宋体" w:hAnsi="宋体" w:cs="宋体"/>
          <w:color w:val="auto"/>
          <w:sz w:val="24"/>
          <w:highlight w:val="none"/>
          <w:lang w:val="en-US" w:eastAsia="zh-CN"/>
        </w:rPr>
        <w:t xml:space="preserve">文</w:t>
      </w:r>
      <w:r>
        <w:rPr>
          <w:rFonts w:hint="eastAsia" w:ascii="宋体" w:hAnsi="宋体" w:eastAsia="宋体" w:cs="宋体"/>
          <w:color w:val="auto"/>
          <w:sz w:val="24"/>
          <w:highlight w:val="none"/>
          <w:lang w:val="zh-CN"/>
        </w:rPr>
        <w:t xml:space="preserve">件做出实质性响应，其风险由投标人自行承担，并根据有关条款规定，该投标有可能被拒绝。</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8、招标文件的澄清和修改</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江苏政府采购网、苏州政府采购网</w:t>
      </w:r>
      <w:r>
        <w:rPr>
          <w:rFonts w:hint="eastAsia" w:ascii="宋体" w:hAnsi="宋体" w:eastAsia="宋体" w:cs="宋体"/>
          <w:bCs/>
          <w:color w:val="auto"/>
          <w:sz w:val="24"/>
          <w:highlight w:val="none"/>
        </w:rPr>
        <w:t xml:space="preserve">对外进行发布。澄清或者修改的内容为招标文件的组成部分。</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8.2澄清或者修改的内容可能影响投标文件编制的，采购人或者采购代理机构应当在投标截止时间至少15日前，并通过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江苏政府采购网、苏州政府采购网</w:t>
      </w:r>
      <w:r>
        <w:rPr>
          <w:rFonts w:hint="eastAsia" w:ascii="宋体" w:hAnsi="宋体" w:eastAsia="宋体" w:cs="宋体"/>
          <w:bCs/>
          <w:color w:val="auto"/>
          <w:sz w:val="24"/>
          <w:highlight w:val="none"/>
        </w:rPr>
        <w:t xml:space="preserve">对外进行发布；不足15日的，采购人或者采购代理机构应当顺延提交投标文件的截止时间。</w:t>
      </w:r>
      <w:r/>
    </w:p>
    <w:p>
      <w:pPr>
        <w:ind w:firstLine="480"/>
        <w:spacing w:line="360" w:lineRule="auto"/>
        <w:rPr>
          <w:rFonts w:hint="eastAsia" w:ascii="宋体" w:hAnsi="宋体" w:eastAsia="宋体" w:cs="宋体"/>
          <w:b w:val="0"/>
          <w:bCs w:val="0"/>
          <w:color w:val="auto"/>
          <w:sz w:val="24"/>
          <w:szCs w:val="22"/>
          <w:highlight w:val="none"/>
          <w:lang w:val="en-US" w:eastAsia="zh-CN"/>
        </w:rPr>
        <w:outlineLvl w:val="0"/>
      </w:pPr>
      <w:r>
        <w:rPr>
          <w:rFonts w:hint="eastAsia" w:ascii="宋体" w:hAnsi="宋体" w:eastAsia="宋体" w:cs="宋体"/>
          <w:bCs/>
          <w:color w:val="auto"/>
          <w:sz w:val="24"/>
          <w:highlight w:val="none"/>
        </w:rPr>
        <w:t xml:space="preserve">8.3</w:t>
      </w:r>
      <w:r>
        <w:rPr>
          <w:rFonts w:hint="eastAsia" w:ascii="宋体" w:hAnsi="宋体" w:eastAsia="宋体" w:cs="宋体"/>
          <w:b w:val="0"/>
          <w:bCs w:val="0"/>
          <w:color w:val="auto"/>
          <w:sz w:val="24"/>
          <w:szCs w:val="22"/>
          <w:highlight w:val="none"/>
          <w:lang w:val="en-US" w:eastAsia="zh-CN"/>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8.4招标文件的澄清、修改、补充等内容均以网上发布的内容为准。</w:t>
      </w:r>
      <w:r/>
    </w:p>
    <w:p>
      <w:pPr>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9、勘察现场（</w:t>
      </w:r>
      <w:r>
        <w:rPr>
          <w:rFonts w:hint="eastAsia" w:ascii="宋体" w:hAnsi="宋体" w:cs="宋体"/>
          <w:bCs/>
          <w:color w:val="auto"/>
          <w:sz w:val="24"/>
          <w:highlight w:val="none"/>
          <w:lang w:val="en-US" w:eastAsia="zh-CN"/>
        </w:rPr>
        <w:t xml:space="preserve">若项目涉及</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bCs/>
          <w:color w:val="auto"/>
          <w:sz w:val="24"/>
          <w:highlight w:val="none"/>
          <w:lang w:val="zh-CN"/>
        </w:rPr>
        <w:t xml:space="preserve">10、质疑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auto"/>
          <w:sz w:val="24"/>
          <w:szCs w:val="24"/>
          <w:highlight w:val="none"/>
          <w:shd w:val="clear" w:color="auto" w:fill="auto"/>
        </w:rPr>
        <w:t xml:space="preserve">（即《投标供应商确认函》）</w:t>
      </w:r>
      <w:r>
        <w:rPr>
          <w:rFonts w:hint="eastAsia" w:ascii="宋体" w:hAnsi="宋体" w:eastAsia="宋体" w:cs="宋体"/>
          <w:color w:val="auto"/>
          <w:sz w:val="24"/>
          <w:highlight w:val="none"/>
          <w:lang w:val="zh-CN"/>
        </w:rPr>
        <w:t xml:space="preserve">与质疑函一起递交，否则不予受理。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10.3本次招标文件要求供应商在法定质疑期内一次性提出针对同一采购程序环节的质疑。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10.4供应商提出质疑应当提交质疑函和必要的证明材料，质疑函应当包括下列内容：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（1）供应商的姓名或者名称（以营业执照副本复印件为准）、地址、邮编、联系人及联系电话；</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（2）质疑项目的名称、编号；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（3）具体、明确的质疑事项和与质疑事项相关的请求；</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（4）事实依据；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（5）必要的法律依据；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（6）提出质疑的日期。</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供应商《投标供应商确认函》</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10.5</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接收质疑函的方式：书面形式（当场送达或邮寄方式）。</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质疑联系人：</w:t>
      </w:r>
      <w:r>
        <w:rPr>
          <w:rFonts w:hint="eastAsia" w:ascii="宋体" w:hAnsi="宋体" w:cs="宋体"/>
          <w:color w:val="auto"/>
          <w:sz w:val="24"/>
          <w:highlight w:val="none"/>
          <w:lang w:eastAsia="zh-CN"/>
        </w:rPr>
        <w:t xml:space="preserve">曹玲</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rPr>
          <w:rFonts w:hint="eastAsia" w:ascii="宋体" w:hAnsi="宋体" w:eastAsia="宋体" w:cs="宋体"/>
          <w:color w:val="auto"/>
          <w:sz w:val="24"/>
          <w:highlight w:val="none"/>
          <w:u w:val="single"/>
          <w:lang w:val="zh-CN"/>
        </w:rPr>
        <w:t xml:space="preserve">（0512）67276332</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通讯地址：</w:t>
      </w:r>
      <w:r>
        <w:rPr>
          <w:rFonts w:hint="eastAsia" w:ascii="宋体" w:hAnsi="宋体" w:eastAsia="宋体" w:cs="宋体"/>
          <w:color w:val="auto"/>
          <w:sz w:val="24"/>
          <w:highlight w:val="none"/>
          <w:u w:val="single"/>
          <w:lang w:val="zh-CN"/>
        </w:rPr>
        <w:t xml:space="preserve">苏州市吴中区南湖路71号天贸大厦西9楼</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四、投标文件说明</w:t>
      </w:r>
      <w:r/>
    </w:p>
    <w:p>
      <w:pPr>
        <w:ind w:left="459" w:hanging="45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11、提示与要求</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11.1投标人应仔细阅读</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文件的所有内容，按</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文件的要求提供投标文件，并保证所提供的全部资料的真实性，以使其投标对</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文件做出实质性响应，否则，其投标可能被拒绝。</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11.2无论是否递交投标文件，投标人都应将</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文件及相关的所有通知、文件等视为保密文件。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12、投标文件计量单位和使用文字</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12.1投标文件中所使用的计量单位，除</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文件中有特殊要求外，均应使用中华人民共和国法定计量单位。</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 投标文件的组成（</w:t>
      </w:r>
      <w:r>
        <w:rPr>
          <w:rFonts w:hint="eastAsia" w:ascii="宋体" w:hAnsi="宋体" w:eastAsia="宋体" w:cs="宋体"/>
          <w:b/>
          <w:color w:val="auto"/>
          <w:sz w:val="24"/>
          <w:highlight w:val="none"/>
        </w:rPr>
        <w:t xml:space="preserve">部分</w:t>
      </w:r>
      <w:r>
        <w:rPr>
          <w:rFonts w:hint="eastAsia" w:ascii="宋体" w:hAnsi="宋体" w:eastAsia="宋体" w:cs="宋体"/>
          <w:b/>
          <w:color w:val="auto"/>
          <w:sz w:val="24"/>
          <w:highlight w:val="none"/>
          <w:lang w:val="zh-CN"/>
        </w:rPr>
        <w:t xml:space="preserve">文件格式参见第三章）</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13.1</w:t>
      </w:r>
      <w:r>
        <w:rPr>
          <w:rFonts w:hint="eastAsia" w:ascii="宋体" w:hAnsi="宋体" w:eastAsia="宋体" w:cs="宋体"/>
          <w:b/>
          <w:color w:val="auto"/>
          <w:sz w:val="24"/>
          <w:highlight w:val="none"/>
          <w:lang w:val="en-US" w:eastAsia="zh-CN"/>
        </w:rPr>
        <w:t xml:space="preserve">封面</w:t>
      </w:r>
      <w:r>
        <w:rPr>
          <w:rFonts w:hint="eastAsia" w:ascii="宋体" w:hAnsi="宋体" w:eastAsia="宋体" w:cs="宋体"/>
          <w:b/>
          <w:color w:val="auto"/>
          <w:sz w:val="24"/>
          <w:highlight w:val="none"/>
          <w:lang w:val="zh-CN"/>
        </w:rPr>
        <w:t xml:space="preserve">：</w:t>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13.2</w:t>
      </w:r>
      <w:r>
        <w:rPr>
          <w:rFonts w:hint="eastAsia" w:ascii="宋体" w:hAnsi="宋体" w:eastAsia="宋体" w:cs="宋体"/>
          <w:b/>
          <w:bCs w:val="0"/>
          <w:color w:val="auto"/>
          <w:sz w:val="24"/>
          <w:highlight w:val="none"/>
        </w:rPr>
        <w:t xml:space="preserve">开标一览表(统一格式,用于唱标)；</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w:t>
      </w:r>
      <w:r>
        <w:rPr>
          <w:rFonts w:hint="eastAsia" w:ascii="宋体" w:hAnsi="宋体" w:cs="宋体"/>
          <w:b/>
          <w:bCs w:val="0"/>
          <w:color w:val="auto"/>
          <w:sz w:val="24"/>
          <w:highlight w:val="none"/>
          <w:lang w:val="en-US" w:eastAsia="zh-CN"/>
        </w:rPr>
        <w:t xml:space="preserve">3</w:t>
      </w:r>
      <w:r>
        <w:rPr>
          <w:rFonts w:hint="eastAsia" w:ascii="宋体" w:hAnsi="宋体" w:eastAsia="宋体" w:cs="宋体"/>
          <w:b/>
          <w:bCs w:val="0"/>
          <w:color w:val="auto"/>
          <w:sz w:val="24"/>
          <w:highlight w:val="none"/>
          <w:lang w:val="en-US" w:eastAsia="zh-CN"/>
        </w:rPr>
        <w:t xml:space="preserve">资格审查文件（资格审查文件中不可出现价格内容）</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关于资格文件的声明函；</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投标单位情况表；</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 投标单位《营业执照》</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 投标单位法定代表人身份证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投标单位代理人身份证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件及授权委托书（若有）；</w:t>
      </w:r>
      <w:r/>
    </w:p>
    <w:p>
      <w:pPr>
        <w:ind w:firstLine="51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具有独立承担民事责任的能力证明。包括法人或者其他组织的营业执照等证明文件，自然人的身份证明；</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具有良好的商业信誉和健全的财务会计制度证明。包括但不限于最近一期经审计的财务报告，其他组织、自然人及成立未满一年的法人应提供银行出具的资信证明</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rPr>
        <w:t xml:space="preserve">参加政府采购活动前三年内，在经营活动中没有重大违法记录的书面声明函</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rPr>
        <w:t xml:space="preserve">响应单位证明其满足合格投标人条件的证书、证明、文件等资料以及响应单位所具备的专业设备和专业技术能力</w:t>
      </w:r>
      <w:r>
        <w:rPr>
          <w:rFonts w:hint="eastAsia" w:ascii="宋体" w:hAnsi="宋体" w:cs="宋体"/>
          <w:bCs/>
          <w:color w:val="auto"/>
          <w:sz w:val="24"/>
          <w:highlight w:val="none"/>
          <w:lang w:eastAsia="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《中小企业声明函》或残疾人福利性单位声明函</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zh-CN"/>
        </w:rPr>
        <w:t xml:space="preserve">省级以上监狱管理局、戒毒管理局（含新疆生产建设兵团）出具的属于监狱企业的证明文件</w:t>
      </w:r>
      <w:r>
        <w:rPr>
          <w:rFonts w:hint="eastAsia" w:ascii="宋体" w:hAnsi="宋体" w:cs="宋体"/>
          <w:color w:val="auto"/>
          <w:sz w:val="24"/>
          <w:highlight w:val="none"/>
          <w:lang w:val="zh-CN"/>
        </w:rPr>
        <w:t xml:space="preserve">；</w:t>
      </w:r>
      <w:r/>
    </w:p>
    <w:p>
      <w:pPr>
        <w:ind w:firstLine="480"/>
        <w:spacing w:line="360" w:lineRule="auto"/>
        <w:tabs>
          <w:tab w:val="left" w:pos="8930" w:leader="none"/>
          <w:tab w:val="left" w:pos="9306"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.12未被“信用中国”网站（www.creditchina.gov.cn）列入失信被执行人、重大税收违法案件当事人名单、政府采购严重失信行为记录名单；</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w:t>
      </w:r>
      <w:r>
        <w:rPr>
          <w:rFonts w:hint="eastAsia" w:ascii="宋体" w:hAnsi="宋体" w:cs="宋体"/>
          <w:b/>
          <w:bCs w:val="0"/>
          <w:color w:val="auto"/>
          <w:sz w:val="24"/>
          <w:highlight w:val="none"/>
          <w:lang w:val="en-US" w:eastAsia="zh-CN"/>
        </w:rPr>
        <w:t xml:space="preserve">4</w:t>
      </w:r>
      <w:r>
        <w:rPr>
          <w:rFonts w:hint="eastAsia" w:ascii="宋体" w:hAnsi="宋体" w:eastAsia="宋体" w:cs="宋体"/>
          <w:b/>
          <w:bCs w:val="0"/>
          <w:color w:val="auto"/>
          <w:sz w:val="24"/>
          <w:highlight w:val="none"/>
          <w:lang w:val="en-US" w:eastAsia="zh-CN"/>
        </w:rPr>
        <w:t xml:space="preserve">符合性审查文件（符合性审查文件中不可出现价格内容）</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投标函</w:t>
      </w:r>
      <w:r>
        <w:rPr>
          <w:rFonts w:hint="eastAsia" w:ascii="宋体" w:hAnsi="宋体" w:eastAsia="宋体" w:cs="宋体"/>
          <w:color w:val="auto"/>
          <w:sz w:val="24"/>
          <w:highlight w:val="none"/>
        </w:rPr>
        <w:t xml:space="preserve">；</w:t>
      </w:r>
      <w:r/>
    </w:p>
    <w:p>
      <w:pPr>
        <w:ind w:firstLine="482"/>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采购需求偏离表</w:t>
      </w:r>
      <w:r>
        <w:rPr>
          <w:rFonts w:hint="eastAsia" w:ascii="宋体" w:hAnsi="宋体" w:eastAsia="宋体" w:cs="宋体"/>
          <w:color w:val="auto"/>
          <w:sz w:val="24"/>
          <w:highlight w:val="none"/>
        </w:rPr>
        <w:t xml:space="preserve">；</w:t>
      </w:r>
      <w:r/>
    </w:p>
    <w:p>
      <w:pPr>
        <w:ind w:firstLine="482"/>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人员配备一览表</w:t>
      </w:r>
      <w:r>
        <w:rPr>
          <w:rFonts w:hint="eastAsia" w:ascii="宋体" w:hAnsi="宋体" w:eastAsia="宋体" w:cs="宋体"/>
          <w:color w:val="auto"/>
          <w:sz w:val="24"/>
          <w:highlight w:val="none"/>
        </w:rPr>
        <w:t xml:space="preserve">；</w:t>
      </w:r>
      <w:r/>
    </w:p>
    <w:p>
      <w:pPr>
        <w:ind w:firstLine="482"/>
        <w:spacing w:line="360" w:lineRule="auto"/>
        <w:tabs>
          <w:tab w:val="left" w:pos="8930" w:leader="none"/>
          <w:tab w:val="left" w:pos="9306"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13.</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.4其他有关符合性证明的文件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若有</w:t>
      </w:r>
      <w:r>
        <w:rPr>
          <w:rFonts w:hint="eastAsia" w:ascii="宋体" w:hAnsi="宋体" w:eastAsia="宋体" w:cs="宋体"/>
          <w:color w:val="auto"/>
          <w:sz w:val="24"/>
          <w:highlight w:val="none"/>
          <w:lang w:eastAsia="zh-CN"/>
        </w:rPr>
        <w:t xml:space="preserve">）；</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13.</w:t>
      </w: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综合评审文件：</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13.6.1评分标准中所涉及到的各项方案、相关制度及其他材料、证明等。</w:t>
      </w:r>
      <w:r/>
    </w:p>
    <w:p>
      <w:pPr>
        <w:ind w:left="0" w:firstLine="49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注：（1）以上13.</w:t>
      </w:r>
      <w:r>
        <w:rPr>
          <w:rFonts w:hint="eastAsia" w:ascii="宋体" w:hAnsi="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lang w:val="zh-CN" w:eastAsia="zh-CN" w:bidi="ar-SA"/>
        </w:rPr>
        <w:t xml:space="preserve">13.</w:t>
      </w:r>
      <w:r>
        <w:rPr>
          <w:rFonts w:hint="eastAsia" w:ascii="宋体" w:hAnsi="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zh-CN" w:eastAsia="zh-CN" w:bidi="ar-SA"/>
        </w:rPr>
        <w:t xml:space="preserve">.</w:t>
      </w:r>
      <w:r>
        <w:rPr>
          <w:rFonts w:hint="eastAsia" w:ascii="宋体" w:hAnsi="宋体" w:eastAsia="宋体" w:cs="宋体"/>
          <w:b/>
          <w:bCs/>
          <w:color w:val="auto"/>
          <w:sz w:val="24"/>
          <w:szCs w:val="24"/>
          <w:highlight w:val="none"/>
          <w:lang w:val="en-US" w:eastAsia="zh-CN" w:bidi="ar-SA"/>
        </w:rPr>
        <w:t xml:space="preserve">1</w:t>
      </w: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为资格审查要求提供的材料，是作为对供应商资格审查、质疑身份认定的依据，投标人必须提供并加盖电子公章。否则，投标文件将被认定为不符合资格审查要求。</w:t>
      </w:r>
      <w:r/>
    </w:p>
    <w:p>
      <w:pPr>
        <w:ind w:left="0" w:firstLine="49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（2）以上13.</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.1-13.</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.3为符合性审查须提供的资料，投标人必须提供并加盖电子公章。否则，投标文件将被认定为未实质性响应。</w:t>
      </w:r>
      <w:r/>
    </w:p>
    <w:p>
      <w:pPr>
        <w:ind w:left="0" w:firstLine="49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（3）制作电子投标文件时必须与投标文件制作软件目录一一对应，将相关资料上传至相应模块。</w:t>
      </w:r>
      <w:r/>
    </w:p>
    <w:p>
      <w:pPr>
        <w:ind w:left="0" w:firstLine="49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lang w:val="en-US" w:eastAsia="zh-CN" w:bidi="ar-SA"/>
        </w:rPr>
        <w:t xml:space="preserve">供应商应充分考虑到网络环境、网络带宽等风险因素，如因供应商自身原因造成的电子响应文件上传不成功由供应商自行承担全部责任。</w:t>
      </w:r>
      <w:r/>
    </w:p>
    <w:p>
      <w:pPr>
        <w:ind w:firstLine="470"/>
        <w:spacing w:line="360" w:lineRule="auto"/>
        <w:rPr>
          <w:rFonts w:hint="eastAsia" w:ascii="宋体" w:hAnsi="宋体" w:eastAsia="宋体" w:cs="宋体"/>
          <w:b/>
          <w:color w:val="auto"/>
          <w:sz w:val="24"/>
          <w:szCs w:val="24"/>
          <w:highlight w:val="none"/>
          <w:lang w:val="en-US" w:eastAsia="zh-CN" w:bidi="ar-SA"/>
        </w:rPr>
        <w:outlineLvl w:val="0"/>
      </w:pPr>
      <w:r>
        <w:rPr>
          <w:rFonts w:hint="eastAsia" w:ascii="宋体" w:hAnsi="宋体" w:eastAsia="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lang w:eastAsia="zh-CN"/>
        </w:rPr>
        <w:t xml:space="preserve">）如投标（响应）文件制作机器码信息一致，视为不同投标供应商使用同一台电脑编制投标（响应）文件，投标（响应）无效。</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14、投标文件编制要求 </w:t>
      </w:r>
      <w:r/>
    </w:p>
    <w:p>
      <w:pPr>
        <w:ind w:firstLine="470"/>
        <w:spacing w:line="360" w:lineRule="auto"/>
        <w:rPr>
          <w:rFonts w:hint="eastAsia" w:ascii="宋体" w:hAnsi="宋体" w:eastAsia="宋体" w:cs="宋体"/>
          <w:color w:val="auto"/>
          <w:sz w:val="24"/>
          <w:szCs w:val="22"/>
          <w:highlight w:val="none"/>
          <w:lang w:eastAsia="zh-CN"/>
        </w:rPr>
        <w:outlineLvl w:val="0"/>
      </w:pPr>
      <w:r>
        <w:rPr>
          <w:rFonts w:hint="eastAsia" w:ascii="宋体" w:hAnsi="宋体" w:eastAsia="宋体" w:cs="宋体"/>
          <w:color w:val="auto"/>
          <w:sz w:val="24"/>
          <w:szCs w:val="22"/>
          <w:highlight w:val="none"/>
          <w:lang w:val="zh-CN" w:eastAsia="zh-CN"/>
        </w:rPr>
        <w:t xml:space="preserve">14.1本项目采用电子招投标形式，请供应商按照《苏采云系统供应商操作手册》进行制作、上传电子投标文件。</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14.2《开标一览表》为在开标仪式上唱标的内容，要求按格式填写，统一规范，不得自行增减内容。</w:t>
      </w:r>
      <w:r/>
    </w:p>
    <w:p>
      <w:pPr>
        <w:pStyle w:val="86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b/>
          <w:bCs/>
          <w:color w:val="auto"/>
          <w:sz w:val="24"/>
          <w:szCs w:val="24"/>
          <w:highlight w:val="none"/>
          <w:lang w:val="en-US" w:eastAsia="zh-CN" w:bidi="ar-SA"/>
        </w:rPr>
        <w:t xml:space="preserve">电子投标文件制作完成后请于投标文件网上提交截止时间前成功上传至“苏采云”系统，否则视为放弃参加该采购项目。</w:t>
      </w:r>
      <w:bookmarkStart w:id="0" w:name="_Toc31150"/>
      <w:r/>
      <w:bookmarkStart w:id="1" w:name="_Toc25608"/>
      <w:r>
        <w:rPr>
          <w:rFonts w:hint="eastAsia" w:ascii="宋体" w:hAnsi="宋体" w:eastAsia="宋体" w:cs="宋体"/>
          <w:color w:val="auto"/>
          <w:sz w:val="24"/>
          <w:szCs w:val="22"/>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0"/>
      <w:r/>
      <w:bookmarkEnd w:id="1"/>
      <w:r/>
      <w:r/>
    </w:p>
    <w:p>
      <w:pPr>
        <w:ind w:firstLine="472"/>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
          <w:bCs/>
          <w:color w:val="auto"/>
          <w:sz w:val="24"/>
          <w:highlight w:val="none"/>
        </w:rPr>
        <w:t xml:space="preserve">14.3 投标报价（编制）要求的说明</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14.3.1除非合同中另有规定，投标人对《</w:t>
      </w:r>
      <w:r>
        <w:rPr>
          <w:rFonts w:hint="eastAsia" w:ascii="宋体" w:hAnsi="宋体" w:eastAsia="宋体" w:cs="宋体"/>
          <w:color w:val="auto"/>
          <w:sz w:val="24"/>
          <w:highlight w:val="none"/>
          <w:lang w:val="en-US" w:eastAsia="zh-CN"/>
        </w:rPr>
        <w:t xml:space="preserve">开标一览表</w:t>
      </w:r>
      <w:r>
        <w:rPr>
          <w:rFonts w:hint="eastAsia" w:ascii="宋体" w:hAnsi="宋体" w:eastAsia="宋体" w:cs="宋体"/>
          <w:color w:val="auto"/>
          <w:sz w:val="24"/>
          <w:highlight w:val="none"/>
          <w:lang w:val="zh-CN"/>
        </w:rPr>
        <w:t xml:space="preserve">》 中的全部内容的报价应</w:t>
      </w:r>
      <w:r>
        <w:rPr>
          <w:rFonts w:hint="eastAsia" w:ascii="宋体" w:hAnsi="宋体" w:cs="宋体"/>
          <w:color w:val="auto"/>
          <w:sz w:val="24"/>
          <w:szCs w:val="24"/>
          <w:highlight w:val="none"/>
          <w:lang w:val="en-US" w:eastAsia="zh-CN"/>
        </w:rPr>
        <w:t xml:space="preserve">包括但不限于完成该项目全部内容所需的人工费（含工资、奖金、社会保障金、人身意外险、加班费、等）其它在管理过程中发生的一切费用，还包括伙食费、设备、车辆、耗材、劳保、各种税费及政策性文件规定及合同包含的所有风险、责任、代理服务费等各项应有费用。</w:t>
      </w:r>
      <w:r>
        <w:rPr>
          <w:rFonts w:hint="eastAsia" w:ascii="宋体" w:hAnsi="宋体" w:eastAsia="宋体" w:cs="宋体"/>
          <w:color w:val="auto"/>
          <w:sz w:val="24"/>
          <w:highlight w:val="none"/>
          <w:lang w:val="zh-CN"/>
        </w:rPr>
        <w:t xml:space="preserve">同时，除非合同条款中另有规定，否则，投标人所报价格在合同实施期间不因市场变化因素而变动。</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14.3.2投标人应按《</w:t>
      </w:r>
      <w:r>
        <w:rPr>
          <w:rFonts w:hint="eastAsia" w:ascii="宋体" w:hAnsi="宋体" w:eastAsia="宋体" w:cs="宋体"/>
          <w:color w:val="auto"/>
          <w:sz w:val="24"/>
          <w:highlight w:val="none"/>
          <w:lang w:val="zh-CN" w:eastAsia="zh-CN"/>
        </w:rPr>
        <w:t xml:space="preserve">公开分项报价</w:t>
      </w:r>
      <w:r>
        <w:rPr>
          <w:rFonts w:hint="eastAsia" w:ascii="宋体" w:hAnsi="宋体" w:eastAsia="宋体" w:cs="宋体"/>
          <w:color w:val="auto"/>
          <w:sz w:val="24"/>
          <w:highlight w:val="none"/>
          <w:lang w:val="zh-CN"/>
        </w:rPr>
        <w:t xml:space="preserve">》中的全部内容计算单价和总价。《</w:t>
      </w:r>
      <w:r>
        <w:rPr>
          <w:rFonts w:hint="eastAsia" w:ascii="宋体" w:hAnsi="宋体" w:eastAsia="宋体" w:cs="宋体"/>
          <w:color w:val="auto"/>
          <w:sz w:val="24"/>
          <w:highlight w:val="none"/>
          <w:lang w:val="zh-CN" w:eastAsia="zh-CN"/>
        </w:rPr>
        <w:t xml:space="preserve">公开分项报价</w:t>
      </w:r>
      <w:r>
        <w:rPr>
          <w:rFonts w:hint="eastAsia" w:ascii="宋体" w:hAnsi="宋体" w:eastAsia="宋体" w:cs="宋体"/>
          <w:color w:val="auto"/>
          <w:sz w:val="24"/>
          <w:highlight w:val="none"/>
          <w:lang w:val="zh-CN"/>
        </w:rPr>
        <w:t xml:space="preserve">》中的每一单项均应计算并填写单价和总价，并由法定代表人或代理人签署</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val="en-US" w:eastAsia="zh-CN"/>
        </w:rPr>
        <w:t xml:space="preserve">本项目无需提供《公开分项报价》</w:t>
      </w:r>
      <w:r>
        <w:rPr>
          <w:rFonts w:hint="eastAsia" w:ascii="宋体" w:hAnsi="宋体" w:eastAsia="宋体" w:cs="宋体"/>
          <w:color w:val="auto"/>
          <w:sz w:val="24"/>
          <w:highlight w:val="none"/>
          <w:lang w:val="zh-CN"/>
        </w:rPr>
        <w:t xml:space="preserve">。</w:t>
      </w:r>
      <w:r/>
    </w:p>
    <w:p>
      <w:pPr>
        <w:ind w:firstLine="502"/>
        <w:keepLines w:val="0"/>
        <w:keepNext w:val="0"/>
        <w:pageBreakBefore w:val="0"/>
        <w:spacing w:line="36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zh-CN"/>
        </w:rPr>
        <w:t xml:space="preserve">14.3.3投标人应对</w:t>
      </w:r>
      <w:r>
        <w:rPr>
          <w:rFonts w:hint="eastAsia" w:ascii="宋体" w:hAnsi="宋体" w:eastAsia="宋体" w:cs="宋体"/>
          <w:color w:val="auto"/>
          <w:sz w:val="24"/>
          <w:highlight w:val="none"/>
          <w:lang w:val="zh-CN" w:eastAsia="zh-CN"/>
        </w:rPr>
        <w:t xml:space="preserve">招标</w:t>
      </w:r>
      <w:r>
        <w:rPr>
          <w:rFonts w:hint="eastAsia" w:ascii="宋体" w:hAnsi="宋体" w:eastAsia="宋体" w:cs="宋体"/>
          <w:color w:val="auto"/>
          <w:sz w:val="24"/>
          <w:highlight w:val="none"/>
          <w:lang w:val="zh-CN"/>
        </w:rPr>
        <w:t xml:space="preserve">文件内所要采购的全部内容进行报价，只投其中部分内容者，其标书将被拒绝。但如果</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文件要求分标段投标的，则各标段应分别计算填写单价和总价。</w:t>
      </w:r>
      <w:r>
        <w:rPr>
          <w:rFonts w:hint="eastAsia" w:ascii="宋体" w:hAnsi="宋体" w:cs="宋体"/>
          <w:color w:val="auto"/>
          <w:sz w:val="24"/>
          <w:highlight w:val="none"/>
          <w:lang w:val="en-US" w:eastAsia="zh-CN"/>
        </w:rPr>
        <w:t xml:space="preserve">本项目不分标段。</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14.3.4 一项投标内容只允许一个报价，采购代理机构不接受任何有选择性的投标报价。</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14.3.5投标文件报价中的单价和总价全部采用人民币表示，除非合同的特殊条款另有规定。</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14.3.6最低的投标报价或最高的折扣比例是中标的重要条件，但不是中标的唯一条件。</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15、投标文件的签署</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    投标文件每一页均应加盖供应商电子签章.</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16、投标保证金</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本项目不收取投标保证金</w:t>
      </w:r>
      <w:r/>
    </w:p>
    <w:p>
      <w:pPr>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bCs/>
          <w:color w:val="auto"/>
          <w:sz w:val="24"/>
          <w:highlight w:val="none"/>
          <w:lang w:val="zh-CN"/>
        </w:rPr>
        <w:t xml:space="preserve">17、投标文件的有效期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17.1自投标截止时间之日起__</w:t>
      </w:r>
      <w:r>
        <w:rPr>
          <w:rFonts w:hint="eastAsia" w:ascii="宋体" w:hAnsi="宋体" w:eastAsia="宋体" w:cs="宋体"/>
          <w:color w:val="auto"/>
          <w:sz w:val="24"/>
          <w:highlight w:val="none"/>
          <w:u w:val="single"/>
        </w:rPr>
        <w:t xml:space="preserve">45</w:t>
      </w:r>
      <w:r>
        <w:rPr>
          <w:rFonts w:hint="eastAsia" w:ascii="宋体" w:hAnsi="宋体" w:eastAsia="宋体" w:cs="宋体"/>
          <w:color w:val="auto"/>
          <w:sz w:val="24"/>
          <w:highlight w:val="none"/>
          <w:lang w:val="zh-CN"/>
        </w:rPr>
        <w:t xml:space="preserve">__天，投标书应保持有效。有效期短于这个规定期限的投标，将被拒绝。</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17.2在特殊情况下，采购代理机构可与投标人协商延长投标书的有效期。这种要求和答复都应以书面、传真的形式进行。</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五、</w:t>
      </w:r>
      <w:r>
        <w:rPr>
          <w:rFonts w:hint="eastAsia" w:ascii="宋体" w:hAnsi="宋体" w:eastAsia="宋体" w:cs="宋体"/>
          <w:b/>
          <w:color w:val="auto"/>
          <w:sz w:val="24"/>
          <w:szCs w:val="24"/>
          <w:highlight w:val="none"/>
        </w:rPr>
        <w:t xml:space="preserve">投标文件的递交、补充、修改和撤回</w:t>
      </w:r>
      <w:r/>
    </w:p>
    <w:p>
      <w:pPr>
        <w:pStyle w:val="865"/>
        <w:ind w:lef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投标文件的递交</w:t>
      </w:r>
      <w:r/>
    </w:p>
    <w:p>
      <w:pPr>
        <w:pStyle w:val="865"/>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.1投标人应当在在投标截止时间前制作并上传电子投标文件。</w:t>
      </w:r>
      <w:r/>
    </w:p>
    <w:p>
      <w:pPr>
        <w:pStyle w:val="637"/>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.2投标人通过</w:t>
      </w:r>
      <w:r>
        <w:rPr>
          <w:rFonts w:hint="eastAsia" w:ascii="宋体" w:hAnsi="宋体" w:eastAsia="宋体" w:cs="宋体"/>
          <w:b/>
          <w:bCs/>
          <w:color w:val="auto"/>
          <w:sz w:val="24"/>
          <w:szCs w:val="24"/>
          <w:highlight w:val="none"/>
          <w:lang w:val="en-US" w:eastAsia="zh-CN" w:bidi="ar-SA"/>
        </w:rPr>
        <w:t xml:space="preserve">“苏采云”系统不见面开标大厅在线参与开标活动。（具体操作详见《苏采云系统供应商操作手册》，网址链接https://czju.suzhou.gov.cn/zfcg/html/content/20231220161910031.shtml）</w:t>
      </w:r>
      <w:r/>
    </w:p>
    <w:p>
      <w:pPr>
        <w:pStyle w:val="865"/>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投标截止时间</w:t>
      </w:r>
      <w:r/>
    </w:p>
    <w:p>
      <w:pPr>
        <w:pStyle w:val="86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.1投标人应当在招标文件要求投标文件网上提交截止时间前，将投标文件完成提交（上传）。逾期提交（上传）的投标文件，采购人和采购代理机构拒绝接收。</w:t>
      </w:r>
      <w:r/>
    </w:p>
    <w:p>
      <w:pPr>
        <w:pStyle w:val="86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.2采购人和采购代理机构推迟投标截止时间时，将按规定的更正公告的方式对外发布。在这种情况下，采购人、采购代理机构和投标人的权利和义务将受到新的截止期的约束。</w:t>
      </w:r>
      <w:r/>
    </w:p>
    <w:p>
      <w:pPr>
        <w:pStyle w:val="86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.3在投标截止时间</w:t>
      </w:r>
      <w:r>
        <w:rPr>
          <w:rFonts w:hint="eastAsia" w:ascii="宋体" w:hAnsi="宋体" w:eastAsia="宋体" w:cs="宋体"/>
          <w:color w:val="auto"/>
          <w:sz w:val="24"/>
          <w:szCs w:val="24"/>
          <w:highlight w:val="none"/>
          <w:lang w:val="en-US" w:eastAsia="zh-CN"/>
        </w:rPr>
        <w:t xml:space="preserve">投标单位少于三家的</w:t>
      </w:r>
      <w:r>
        <w:rPr>
          <w:rFonts w:hint="eastAsia" w:ascii="宋体" w:hAnsi="宋体" w:eastAsia="宋体" w:cs="宋体"/>
          <w:color w:val="auto"/>
          <w:sz w:val="24"/>
          <w:szCs w:val="24"/>
          <w:highlight w:val="none"/>
        </w:rPr>
        <w:t xml:space="preserve">，采购代理机构有权宣布本次招标失败。</w:t>
      </w:r>
      <w:r/>
    </w:p>
    <w:p>
      <w:pPr>
        <w:pStyle w:val="865"/>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.投标文件的补充、修改和撤回</w:t>
      </w:r>
      <w:r/>
    </w:p>
    <w:p>
      <w:pPr>
        <w:pStyle w:val="865"/>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65"/>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六、开标和评标 </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21</w:t>
      </w:r>
      <w:r>
        <w:rPr>
          <w:rFonts w:hint="eastAsia" w:ascii="宋体" w:hAnsi="宋体" w:eastAsia="宋体" w:cs="宋体"/>
          <w:b/>
          <w:bCs/>
          <w:color w:val="auto"/>
          <w:sz w:val="24"/>
          <w:highlight w:val="none"/>
          <w:lang w:val="zh-CN"/>
        </w:rPr>
        <w:t xml:space="preserve">、开标</w:t>
      </w:r>
      <w:r/>
    </w:p>
    <w:p>
      <w:pPr>
        <w:pStyle w:val="865"/>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.2开标时，由采购代理机构</w:t>
      </w:r>
      <w:r>
        <w:rPr>
          <w:rFonts w:hint="eastAsia" w:ascii="宋体" w:hAnsi="宋体" w:eastAsia="宋体" w:cs="宋体"/>
          <w:color w:val="auto"/>
          <w:sz w:val="24"/>
          <w:szCs w:val="24"/>
          <w:highlight w:val="none"/>
          <w:lang w:val="en-US"/>
        </w:rPr>
        <w:t xml:space="preserve">通过“苏采云”系统在线</w:t>
      </w:r>
      <w:r>
        <w:rPr>
          <w:rFonts w:hint="eastAsia" w:ascii="宋体" w:hAnsi="宋体" w:eastAsia="宋体" w:cs="宋体"/>
          <w:color w:val="auto"/>
          <w:sz w:val="24"/>
          <w:szCs w:val="24"/>
          <w:highlight w:val="none"/>
        </w:rPr>
        <w:t xml:space="preserve">宣布投标人名称、投标价格和招标文件规定的需要宣布的其他内容。</w:t>
      </w:r>
      <w:r>
        <w:rPr>
          <w:rFonts w:hint="eastAsia" w:ascii="宋体" w:hAnsi="宋体" w:eastAsia="宋体" w:cs="宋体"/>
          <w:color w:val="auto"/>
          <w:sz w:val="24"/>
          <w:szCs w:val="24"/>
          <w:highlight w:val="none"/>
          <w:lang w:val="en-US"/>
        </w:rPr>
        <w:t xml:space="preserve">投标人在不见面开标系统中确认投标价格，如</w:t>
      </w:r>
      <w:r>
        <w:rPr>
          <w:rFonts w:hint="eastAsia" w:ascii="宋体" w:hAnsi="宋体" w:eastAsia="宋体" w:cs="宋体"/>
          <w:color w:val="auto"/>
          <w:sz w:val="24"/>
          <w:szCs w:val="24"/>
          <w:highlight w:val="none"/>
        </w:rPr>
        <w:t xml:space="preserve">投标人未</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val="en-US"/>
        </w:rPr>
        <w:t xml:space="preserve">或未在规定时间内确认价格</w:t>
      </w:r>
      <w:r>
        <w:rPr>
          <w:rFonts w:hint="eastAsia" w:ascii="宋体" w:hAnsi="宋体" w:eastAsia="宋体" w:cs="宋体"/>
          <w:color w:val="auto"/>
          <w:sz w:val="24"/>
          <w:szCs w:val="24"/>
          <w:highlight w:val="none"/>
        </w:rPr>
        <w:t xml:space="preserve">的，视同认可开标结果。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lang w:val="zh-CN"/>
        </w:rPr>
        <w:t xml:space="preserve">投标人代表未参加开标的，视同认可开标结果。</w:t>
      </w:r>
      <w:r/>
    </w:p>
    <w:p>
      <w:pPr>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、资格审查</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.2.1查询时间：投标文件递交截止时间。</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.2.2查询渠道：</w:t>
      </w:r>
      <w:r>
        <w:rPr>
          <w:rFonts w:hint="eastAsia" w:ascii="宋体" w:hAnsi="宋体" w:eastAsia="宋体" w:cs="宋体"/>
          <w:bCs/>
          <w:color w:val="auto"/>
          <w:sz w:val="24"/>
          <w:highlight w:val="none"/>
        </w:rPr>
        <w:t xml:space="preserve">采购代理机构会在接收投标文件截止时间后，在中国政府采购网（www.ccgp.gov.cn）、信用中国（www.creditchina.gov.cn）、信用江苏（</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"http://www.jscredit.gov.cn/" </w:instrText>
      </w:r>
      <w:r>
        <w:rPr>
          <w:rFonts w:hint="eastAsia" w:ascii="宋体" w:hAnsi="宋体" w:eastAsia="宋体" w:cs="宋体"/>
          <w:color w:val="auto"/>
          <w:highlight w:val="none"/>
        </w:rPr>
        <w:fldChar w:fldCharType="separate"/>
      </w:r>
      <w:r>
        <w:rPr>
          <w:rStyle w:val="830"/>
          <w:rFonts w:hint="eastAsia" w:ascii="宋体" w:hAnsi="宋体" w:eastAsia="宋体" w:cs="宋体"/>
          <w:bCs/>
          <w:color w:val="auto"/>
          <w:sz w:val="24"/>
          <w:highlight w:val="none"/>
        </w:rPr>
        <w:t xml:space="preserve">www.jscredit.gov.cn</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 xml:space="preserve">）、诚信苏州（www.szcredit.gov.cn）的网站输入供应商全称或统一社会信用代码查询信用记录，并将查询结果递交评审小组</w:t>
      </w:r>
      <w:r>
        <w:rPr>
          <w:rFonts w:hint="eastAsia" w:ascii="宋体" w:hAnsi="宋体" w:eastAsia="宋体" w:cs="宋体"/>
          <w:color w:val="auto"/>
          <w:sz w:val="24"/>
          <w:highlight w:val="none"/>
          <w:lang w:val="zh-CN"/>
        </w:rPr>
        <w:t xml:space="preserve">。</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2</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zh-CN"/>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.4单位负责人为同一人或者存在直接控股、管理关系的不同供应商，不得参与同一合同项下的投标活动。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.5本项目通过上述资格审查的合格投标人不足</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家的，不得评标。</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val="zh-CN"/>
        </w:rPr>
        <w:t xml:space="preserve">、评标委员会</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.1评标委员会（以下简称评委会）成员依法组建；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.2评标委员会将对符合资格的投标人的投标文件进行符合性审查，以确定其是否满足</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文件的实质性要求。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.3评委会组负责具体的评标事务，并独立履行以下职责：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.3.1审查、评价投标文件是否符合</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文件的商务、技术等实质性要求；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.3.2要求投标人对投标文件有关事项作出澄清或者说明；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.3.3对投标文件进行比较和评价；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.3.4</w:t>
      </w:r>
      <w:r>
        <w:rPr>
          <w:rFonts w:hint="eastAsia" w:ascii="宋体" w:hAnsi="宋体" w:eastAsia="宋体" w:cs="宋体"/>
          <w:color w:val="auto"/>
          <w:sz w:val="24"/>
          <w:highlight w:val="none"/>
        </w:rPr>
        <w:t xml:space="preserve">签署评标报告、推荐中标候选人并根据采购方委托从中</w:t>
      </w:r>
      <w:r>
        <w:rPr>
          <w:rFonts w:hint="eastAsia" w:ascii="宋体" w:hAnsi="宋体" w:eastAsia="宋体" w:cs="宋体"/>
          <w:color w:val="auto"/>
          <w:sz w:val="24"/>
          <w:highlight w:val="none"/>
          <w:lang w:val="zh-CN"/>
        </w:rPr>
        <w:t xml:space="preserve">确定中标人；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.3.5向采购人、采购代理机构或者有关部门报告评标中发现的违法行为。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.4评委会成员应当履行下列义务：</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.4.1遵纪守法，客观、公正、廉洁地履行职责；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.4.2按照</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文件规定的评标办法和评标标准进行评标，对评审意见承担个人责任；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.4.3对评标过程和结果，以及投标人的商业秘密保密；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.4.4评标委员会根据全体评标成员签字的原始评标记录和评标结果编写评标报告。评标报告应当包括以下内容：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（一）招标公告刊登的媒体名称、开标日期和地点；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（二）投标人名单和评标委员会成员名单；</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（三）评标方法和标准；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（四）开标记录和评标情况及说明，包括无效投标人名单及原因；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（五）评标结果，确定的中标候选人名单或者经采购人委托直接确定的中标人；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（六）其他需要说明的情况，包括评标过程中投标人根据评标委员会要求进行的澄清、说明或者补正，评标委员会成员的更换等。</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.4.5配合招标采购人答复投标人提出的质疑；</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.4.6配合有关部门的投诉处理工作。</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val="zh-CN"/>
        </w:rPr>
        <w:t xml:space="preserve">、保密要求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.1评标将在严格保密的情况下进行。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.2有关人员应当遵守评标工作纪律，不得泄露评标文件、评标情况和评标中获悉的国家秘密、商业秘密。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、对投标文件初审</w:t>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lang w:val="zh-CN"/>
        </w:rPr>
        <w:t xml:space="preserve">    </w:t>
      </w: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.1评委会将对资格符合的投标文件进行符合性审查。即依据</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文件规定，从投标文件的有效性、完整性和对</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文件的响应程度进行审查，以确定是否对</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文件的实质性要求作出响应。投标人存在下列情况之一的，投标无效：</w:t>
      </w:r>
      <w:r/>
    </w:p>
    <w:p>
      <w:pPr>
        <w:ind w:firstLine="480"/>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（一）投标文件未按招标文件要求签署、盖章的；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（二）不具备招标文件中规定的资格要求的；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（三）报价超过招标文件中规定的预算金额或者最高限价的；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（四）投标文件含有采购人不能接受的附加条件的；</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（五）法律、法规和招标文件规定的其他无效情形。</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六</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在系统中出现供应商“机器码一致”情形的。</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.2实质性响应的投标应该是与</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文件要求的条款相符。不得限制合同中买方的权利或投标人的义务，也不得对其他实质性响应的投标人的竞争地位产生不公正影响。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.3对于投标文件中含义不明确、同类问题表述不一致或者有明显文字和计算错误的</w:t>
      </w:r>
      <w:r>
        <w:rPr>
          <w:rFonts w:hint="eastAsia" w:ascii="宋体" w:hAnsi="宋体" w:eastAsia="宋体" w:cs="宋体"/>
          <w:color w:val="auto"/>
          <w:sz w:val="24"/>
          <w:szCs w:val="24"/>
          <w:highlight w:val="none"/>
          <w:lang w:val="zh-CN"/>
        </w:rPr>
        <w:t xml:space="preserve">内容，评标委员会应当以书面形式要求投标人作出必要的澄清、说明或者补正。</w:t>
      </w:r>
      <w:r/>
    </w:p>
    <w:p>
      <w:pPr>
        <w:pStyle w:val="865"/>
        <w:ind w:left="0" w:firstLine="422"/>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865"/>
        <w:ind w:left="0" w:firstLine="42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4"/>
          <w:szCs w:val="24"/>
          <w:highlight w:val="none"/>
        </w:rPr>
        <w:t xml:space="preserve">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.5投标文件报价出现前后不一致的，除</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文件另有规定外，按照下列规定修正：</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.5.1投标文件中开标一览表（报价表）内容与投标文件中相应内容不一致的，以开标一览表（报价表）为准；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.5.2大写金额和小写金额不一致的，以大写金额为准；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.5.3单价金额小数点或者百分比有明显错位的，以开标一览表的总价为准，并修改单价；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.5.4总价金额与按单价汇总金额不一致的，以单价金额计算结果为准。</w:t>
      </w:r>
      <w:r/>
    </w:p>
    <w:p>
      <w:pPr>
        <w:ind w:firstLine="420"/>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lang w:val="zh-CN"/>
        </w:rPr>
        <w:t xml:space="preserve">.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r>
        <w:rPr>
          <w:rFonts w:hint="eastAsia" w:ascii="宋体" w:hAnsi="宋体" w:eastAsia="宋体" w:cs="宋体"/>
          <w:b/>
          <w:color w:val="auto"/>
          <w:sz w:val="24"/>
          <w:szCs w:val="24"/>
          <w:highlight w:val="none"/>
        </w:rPr>
        <w:t xml:space="preserve">本项目投标人的澄清、说明或者补正采用线上澄清</w:t>
      </w:r>
      <w:r>
        <w:rPr>
          <w:rFonts w:hint="eastAsia" w:ascii="宋体" w:hAnsi="宋体" w:eastAsia="宋体" w:cs="宋体"/>
          <w:b/>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.7除上述情形外，对投标文件的判定，只依据投标文件本身，不依靠开标后的任何外来证明。</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.8采购代理机构将拒绝被确定为非实质性响应的投标，投标人不能通过修正或撤销不符之处而使其投标成为实质性响应的投标。</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.9对不同文字文本投标文件的解释发生异议的，以中文文本为准；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val="zh-CN"/>
        </w:rPr>
        <w:t xml:space="preserve">、废标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 在招标过程中，出现下列情况之一的，应予废标：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.1.1符合专业条件的供应商或者对</w:t>
      </w:r>
      <w:r>
        <w:rPr>
          <w:rFonts w:hint="eastAsia" w:ascii="宋体" w:hAnsi="宋体" w:cs="宋体"/>
          <w:b/>
          <w:color w:val="auto"/>
          <w:sz w:val="24"/>
          <w:highlight w:val="none"/>
          <w:lang w:val="en-US" w:eastAsia="zh-CN"/>
        </w:rPr>
        <w:t xml:space="preserve">招标</w:t>
      </w:r>
      <w:r>
        <w:rPr>
          <w:rFonts w:hint="eastAsia" w:ascii="宋体" w:hAnsi="宋体" w:eastAsia="宋体" w:cs="宋体"/>
          <w:b/>
          <w:color w:val="auto"/>
          <w:sz w:val="24"/>
          <w:highlight w:val="none"/>
          <w:lang w:val="zh-CN"/>
        </w:rPr>
        <w:t xml:space="preserve">文件作实质响应的供应商不足三家的；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.1.2出现影响采购公正的违法、违规行为的；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.1.3投标人的报价均超过了采购预算或者最高限价，采购人不能支付的；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.1.4因重大变故，采购任务取消的； </w:t>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在系统中出现供应商“机器码一致”情形的。</w:t>
      </w:r>
      <w:r/>
    </w:p>
    <w:p>
      <w:pPr>
        <w:ind w:firstLine="420"/>
        <w:spacing w:line="360" w:lineRule="auto"/>
        <w:tabs>
          <w:tab w:val="left" w:pos="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.2 废标后，采购代理机构将发布废标公告。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val="zh-CN"/>
        </w:rPr>
        <w:t xml:space="preserve">、投标文件的评价和比较</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.1评标委员会将仅对按</w:t>
      </w:r>
      <w:r>
        <w:rPr>
          <w:rFonts w:hint="eastAsia" w:ascii="宋体" w:hAnsi="宋体" w:eastAsia="宋体" w:cs="宋体"/>
          <w:color w:val="auto"/>
          <w:sz w:val="24"/>
          <w:highlight w:val="none"/>
        </w:rPr>
        <w:t xml:space="preserve">招标</w:t>
      </w:r>
      <w:r>
        <w:rPr>
          <w:rFonts w:hint="eastAsia" w:ascii="宋体" w:hAnsi="宋体" w:eastAsia="宋体" w:cs="宋体"/>
          <w:color w:val="auto"/>
          <w:sz w:val="24"/>
          <w:highlight w:val="none"/>
          <w:lang w:val="zh-CN"/>
        </w:rPr>
        <w:t xml:space="preserve">文件有关规定确定为实质上响应</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文件要求的投标文件进行评价和比较。</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.2评价和比较采用综合评分法，评委会严格按照</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zh-CN"/>
        </w:rPr>
        <w:t xml:space="preserve">文件的规定要求、条件、评分标准，对投标人所提供货物或服务的先进性、可靠性、售后服务承诺、质量保证承诺等实质性响应内容进行比较评价。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.3 最低的投标报价或最高的折扣比例是中标的重要条件，但不是唯一条件。</w:t>
      </w:r>
      <w:r/>
    </w:p>
    <w:p>
      <w:pPr>
        <w:spacing w:line="360" w:lineRule="auto"/>
        <w:tabs>
          <w:tab w:val="left" w:pos="567" w:leader="none"/>
        </w:tabs>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七、确定中标原则：</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本次评标采用综合评分法</w:t>
      </w:r>
      <w:r/>
    </w:p>
    <w:p>
      <w:pPr>
        <w:ind w:firstLine="480"/>
        <w:spacing w:line="360" w:lineRule="auto"/>
        <w:tabs>
          <w:tab w:val="left" w:pos="567"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在满足招标文件实质性要求前提下，按照招标文件中规定的评分标准和各项因素进行综合评审后，以评标总得分最高的投标人作为中标候选人。</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八、发出中标通知书</w:t>
      </w:r>
      <w:r/>
    </w:p>
    <w:p>
      <w:pPr>
        <w:pStyle w:val="865"/>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.1确定出中标人后，采购代理机构在法定时间内向中标人发出中标通知书。</w:t>
      </w: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.3</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九、中标单位的确认</w:t>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zh-CN"/>
        </w:rPr>
        <w:t xml:space="preserve">、告知招标结果</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.1 对未通过资格审查的投标人，告知其未通过的原因。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.2 在发放中标通知书的同时，</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一</w:t>
      </w:r>
      <w:r>
        <w:rPr>
          <w:rFonts w:hint="eastAsia" w:ascii="宋体" w:hAnsi="宋体" w:eastAsia="宋体" w:cs="宋体"/>
          <w:b/>
          <w:color w:val="auto"/>
          <w:sz w:val="24"/>
          <w:highlight w:val="none"/>
          <w:lang w:val="zh-CN"/>
        </w:rPr>
        <w:t xml:space="preserve">、签订合同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.2招标文件、中标供应商的投标文件及其澄清文件等，均为签订合同的依据。</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3中标人无正当理由不得拒绝签订政府采购合同。</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二</w:t>
      </w:r>
      <w:r>
        <w:rPr>
          <w:rFonts w:hint="eastAsia" w:ascii="宋体" w:hAnsi="宋体" w:eastAsia="宋体" w:cs="宋体"/>
          <w:b/>
          <w:color w:val="auto"/>
          <w:sz w:val="24"/>
          <w:highlight w:val="none"/>
          <w:lang w:val="zh-CN"/>
        </w:rPr>
        <w:t xml:space="preserve">、其他事项</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zh-CN"/>
        </w:rPr>
        <w:t xml:space="preserve">中标服务费</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根据苏财购告【2017】23号文件的收取中标服务费。领取中标通知书时供应商向招标代理机构一次性付清。由中标供应商支付，按照采购预算100万元以内1.5%、100～500万元以1.1%、500~1000万元以0.8%，1000万元~5000万元以0.5%，差额定率累进法计算并支付中标服务费。本项目代理服务费按人民币￥</w:t>
      </w:r>
      <w:r>
        <w:rPr>
          <w:rFonts w:hint="eastAsia" w:ascii="宋体" w:hAnsi="宋体" w:eastAsia="宋体" w:cs="宋体"/>
          <w:bCs/>
          <w:color w:val="auto"/>
          <w:sz w:val="24"/>
          <w:highlight w:val="none"/>
          <w:lang w:val="en-US" w:eastAsia="zh-CN"/>
        </w:rPr>
        <w:t xml:space="preserve">67000.00</w:t>
      </w:r>
      <w:r>
        <w:rPr>
          <w:rFonts w:hint="eastAsia" w:ascii="宋体" w:hAnsi="宋体" w:eastAsia="宋体" w:cs="宋体"/>
          <w:bCs/>
          <w:color w:val="auto"/>
          <w:sz w:val="24"/>
          <w:highlight w:val="none"/>
        </w:rPr>
        <w:t xml:space="preserve">计收</w:t>
      </w:r>
      <w:r>
        <w:rPr>
          <w:rFonts w:hint="eastAsia" w:ascii="宋体" w:hAnsi="宋体" w:cs="宋体"/>
          <w:bCs/>
          <w:color w:val="auto"/>
          <w:sz w:val="24"/>
          <w:highlight w:val="none"/>
          <w:lang w:eastAsia="zh-CN"/>
        </w:rPr>
        <w:t xml:space="preserve">。</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账户名：苏州睿乔招投标咨询服务有限公司 </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账  号：1102020209000937813</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开户行：中国工商银行苏州道前支行 </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zh-CN"/>
        </w:rPr>
        <w:t xml:space="preserve">监督和公证</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2.1</w:t>
      </w:r>
      <w:r>
        <w:rPr>
          <w:rFonts w:hint="eastAsia" w:ascii="宋体" w:hAnsi="宋体" w:eastAsia="宋体" w:cs="宋体"/>
          <w:color w:val="auto"/>
          <w:sz w:val="24"/>
          <w:highlight w:val="none"/>
          <w:lang w:val="zh-CN"/>
        </w:rPr>
        <w:t xml:space="preserve">政府有关监督部门将对招投标全过程进行监督。</w:t>
      </w:r>
      <w:r/>
    </w:p>
    <w:p>
      <w:pPr>
        <w:ind w:left="420" w:firstLine="8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.2.2</w:t>
      </w:r>
      <w:r>
        <w:rPr>
          <w:rFonts w:hint="eastAsia" w:ascii="宋体" w:hAnsi="宋体" w:eastAsia="宋体" w:cs="宋体"/>
          <w:color w:val="auto"/>
          <w:sz w:val="24"/>
          <w:highlight w:val="none"/>
          <w:lang w:val="zh-CN"/>
        </w:rPr>
        <w:t xml:space="preserve">采购代理机构的开标、评标过程将通过公证机关进行公证。</w:t>
      </w:r>
      <w:r/>
    </w:p>
    <w:p>
      <w:pPr>
        <w:ind w:firstLine="482"/>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zh-CN"/>
        </w:rPr>
        <w:t xml:space="preserve">未尽事宜</w:t>
      </w:r>
      <w:r/>
    </w:p>
    <w:p>
      <w:pPr>
        <w:ind w:firstLine="480"/>
        <w:spacing w:line="360" w:lineRule="auto"/>
        <w:rPr>
          <w:rStyle w:val="829"/>
          <w:rFonts w:hint="eastAsia" w:ascii="宋体" w:hAnsi="宋体" w:eastAsia="宋体" w:cs="宋体"/>
          <w:bCs/>
          <w:color w:val="auto"/>
          <w:sz w:val="24"/>
          <w:highlight w:val="none"/>
        </w:rPr>
      </w:pPr>
      <w:r>
        <w:rPr>
          <w:rFonts w:hint="eastAsia" w:ascii="宋体" w:hAnsi="宋体" w:eastAsia="宋体" w:cs="宋体"/>
          <w:color w:val="auto"/>
          <w:sz w:val="24"/>
          <w:highlight w:val="none"/>
          <w:lang w:val="zh-CN"/>
        </w:rPr>
        <w:t xml:space="preserve">按《中华人民共和国政府采购法》及其他有关政府采购的法律法规的规定执行。</w:t>
      </w:r>
      <w:r/>
    </w:p>
    <w:p>
      <w:pP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br w:type="page" w:clear="all"/>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t xml:space="preserve">第三章 投标文件格式</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对本章所有的投标书格式，投标方可根据自身情况进行补充和修改，但补充和修改不得造成与本格式内容有实质性的违背。</w:t>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1、（投标方）法定代表人授权委托</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授权委托书</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本授权书声明： </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授权 </w:t>
      </w:r>
      <w:r>
        <w:rPr>
          <w:rFonts w:hint="eastAsia" w:ascii="宋体" w:hAnsi="宋体" w:eastAsia="宋体" w:cs="宋体"/>
          <w:color w:val="auto"/>
          <w:sz w:val="24"/>
          <w:szCs w:val="24"/>
          <w:highlight w:val="none"/>
          <w:u w:val="single"/>
        </w:rPr>
        <w:t xml:space="preserve"> （被授权人的姓名）</w:t>
      </w:r>
      <w:r>
        <w:rPr>
          <w:rFonts w:hint="eastAsia" w:ascii="宋体" w:hAnsi="宋体" w:eastAsia="宋体" w:cs="宋体"/>
          <w:color w:val="auto"/>
          <w:sz w:val="24"/>
          <w:szCs w:val="24"/>
          <w:highlight w:val="none"/>
        </w:rPr>
        <w:t xml:space="preserve">为我方授权代表（即代理人），参加</w:t>
      </w:r>
      <w:r>
        <w:rPr>
          <w:rFonts w:hint="eastAsia" w:ascii="宋体" w:hAnsi="宋体" w:eastAsia="宋体" w:cs="宋体"/>
          <w:color w:val="auto"/>
          <w:sz w:val="24"/>
          <w:szCs w:val="24"/>
          <w:highlight w:val="none"/>
          <w:u w:val="single"/>
          <w:lang w:val="en-US" w:eastAsia="zh-CN"/>
        </w:rPr>
        <w:t xml:space="preserve">苏州睿乔招投标咨询服务有限公司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highlight w:val="none"/>
        </w:rPr>
        <w:t xml:space="preserve">的招标活动。代理人在开标、评标、</w:t>
      </w:r>
      <w:r>
        <w:rPr>
          <w:rFonts w:hint="eastAsia" w:ascii="宋体" w:hAnsi="宋体" w:eastAsia="宋体" w:cs="宋体"/>
          <w:color w:val="auto"/>
          <w:sz w:val="24"/>
          <w:szCs w:val="24"/>
          <w:highlight w:val="none"/>
        </w:rPr>
        <w:t xml:space="preserve">合同签订及处理有关事宜所作出的全部意思表示（包括签署的全部文件），我司均予以承认并由我司承担相应法律后果。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本授权委托书有效期自委托书作出之日起至本项目合同履行完毕之日止。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                                    </w:t>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63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备注：供应商如有授权委托，必须提供该法人授权委托书及</w:t>
      </w:r>
      <w:r>
        <w:rPr>
          <w:rFonts w:hint="eastAsia" w:ascii="宋体" w:hAnsi="宋体" w:eastAsia="宋体" w:cs="宋体"/>
          <w:b/>
          <w:color w:val="auto"/>
          <w:sz w:val="24"/>
          <w:szCs w:val="24"/>
          <w:highlight w:val="none"/>
          <w:lang w:val="en-US" w:eastAsia="zh-CN"/>
        </w:rPr>
        <w:t xml:space="preserve">法人和</w:t>
      </w:r>
      <w:r>
        <w:rPr>
          <w:rFonts w:hint="eastAsia" w:ascii="宋体" w:hAnsi="宋体" w:eastAsia="宋体" w:cs="宋体"/>
          <w:b/>
          <w:color w:val="auto"/>
          <w:sz w:val="24"/>
          <w:szCs w:val="24"/>
          <w:highlight w:val="none"/>
        </w:rPr>
        <w:t xml:space="preserve">代理人</w:t>
      </w:r>
      <w:r>
        <w:rPr>
          <w:rFonts w:hint="eastAsia" w:ascii="宋体" w:hAnsi="宋体" w:eastAsia="宋体" w:cs="宋体"/>
          <w:b/>
          <w:color w:val="auto"/>
          <w:sz w:val="24"/>
          <w:szCs w:val="24"/>
          <w:highlight w:val="none"/>
          <w:lang w:val="en-US" w:eastAsia="zh-CN"/>
        </w:rPr>
        <w:t xml:space="preserve">的</w:t>
      </w:r>
      <w:r>
        <w:rPr>
          <w:rFonts w:hint="eastAsia" w:ascii="宋体" w:hAnsi="宋体" w:eastAsia="宋体" w:cs="宋体"/>
          <w:b/>
          <w:color w:val="auto"/>
          <w:sz w:val="24"/>
          <w:szCs w:val="24"/>
          <w:highlight w:val="none"/>
        </w:rPr>
        <w:t xml:space="preserve">身份证，否则响应无效；</w:t>
      </w:r>
      <w:r/>
    </w:p>
    <w:p>
      <w:pPr>
        <w:pStyle w:val="665"/>
        <w:ind w:left="0" w:firstLine="482"/>
        <w:jc w:val="both"/>
        <w:keepLines w:val="0"/>
        <w:keepNext w:val="0"/>
        <w:pageBreakBefore w:val="0"/>
        <w:spacing w:before="0" w:beforeAutospacing="0" w:after="0" w:afterAutospacing="0" w:line="360" w:lineRule="auto"/>
        <w:widowControl/>
        <w:rPr>
          <w:rFonts w:hint="eastAsia" w:ascii="宋体" w:hAnsi="宋体" w:eastAsia="宋体" w:cs="宋体"/>
          <w:i w:val="0"/>
          <w:caps w:val="0"/>
          <w:color w:val="auto"/>
          <w:spacing w:val="0"/>
          <w:sz w:val="24"/>
          <w:szCs w:val="24"/>
          <w:highlight w:val="none"/>
          <w:lang w:eastAsia="zh-CN"/>
        </w:rPr>
        <w:outlineLvl w:val="9"/>
        <w:suppressLineNumbers w:val="0"/>
      </w:pPr>
      <w:r>
        <w:rPr>
          <w:rFonts w:hint="eastAsia" w:ascii="宋体" w:hAnsi="宋体" w:eastAsia="宋体" w:cs="宋体"/>
          <w:b/>
          <w:color w:val="auto"/>
          <w:sz w:val="24"/>
          <w:szCs w:val="24"/>
          <w:highlight w:val="none"/>
        </w:rPr>
        <w:t xml:space="preserve">供应商无授权委托的情况下，必须提供法定代表人身份证，否则响应无效。</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w:t>
      </w:r>
      <w:r/>
    </w:p>
    <w:p>
      <w:pPr>
        <w:pStyle w:val="864"/>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我们收到贵公司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号招标文件，经仔细阅读和研究，我们决定参加投标。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1、我们愿意按照招标文件的一切要求，提供以上项目的所有内容，我们的投标</w:t>
      </w:r>
      <w:r>
        <w:rPr>
          <w:rFonts w:hint="eastAsia" w:ascii="宋体" w:hAnsi="宋体" w:eastAsia="宋体" w:cs="宋体"/>
          <w:bCs/>
          <w:color w:val="auto"/>
          <w:sz w:val="24"/>
          <w:highlight w:val="none"/>
        </w:rPr>
        <w:t xml:space="preserve">价格</w:t>
      </w:r>
      <w:r>
        <w:rPr>
          <w:rFonts w:hint="eastAsia" w:ascii="宋体" w:hAnsi="宋体" w:cs="宋体"/>
          <w:color w:val="auto"/>
          <w:sz w:val="24"/>
          <w:szCs w:val="24"/>
          <w:highlight w:val="none"/>
          <w:lang w:val="en-US" w:eastAsia="zh-CN"/>
        </w:rPr>
        <w:t xml:space="preserve">包括但不限于完成该项目全部内容所需的人工费（含工资、奖金、社会保障金、人身意外险、加班费、等）其它在管理过程中发生的一切费用，还包括伙食费、设备、车辆、耗材、劳保、各种税费及政策性文件规定及合同包含的所有风险、责任、代理服务费等各项应有费用。</w:t>
      </w:r>
      <w:r/>
    </w:p>
    <w:p>
      <w:pPr>
        <w:pStyle w:val="86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2、如果我们的投标书被接受，我们将严格履行招标文件中规定的每一项要求，严格履行合同的责任和义务,保证按期、按质履行合同，完成招标文件要求的全部工作。</w:t>
      </w:r>
      <w:r/>
    </w:p>
    <w:p>
      <w:pPr>
        <w:pStyle w:val="861"/>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3、我们同意按招标文件规定，本投标书的有效期限为自提交投标文件截止日起</w:t>
      </w:r>
      <w:r/>
    </w:p>
    <w:p>
      <w:pPr>
        <w:pStyle w:val="861"/>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天。</w:t>
      </w:r>
      <w:r/>
    </w:p>
    <w:p>
      <w:pPr>
        <w:pStyle w:val="86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4、我们愿意提供招标方在招标文件中要求的所有资料。</w:t>
      </w:r>
      <w:r/>
    </w:p>
    <w:p>
      <w:pPr>
        <w:pStyle w:val="86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5、我们认为你们有权决定中标者，还认为你们有权接受或拒绝所有的投标者。</w:t>
      </w:r>
      <w:r/>
    </w:p>
    <w:p>
      <w:pPr>
        <w:pStyle w:val="86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6、我们承诺人员上岗按国家规定执行。</w:t>
      </w:r>
      <w:r/>
    </w:p>
    <w:p>
      <w:pPr>
        <w:pStyle w:val="86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7、我们愿意遵守招标文件中所列的收费标准。</w:t>
      </w:r>
      <w:r/>
    </w:p>
    <w:p>
      <w:pPr>
        <w:pStyle w:val="86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8、我们承诺该项投标在开标后的全过程中保持有效，不作任何更改和变动。我们同意中标后若不履行投标文件的内容要求和各项承诺及义务的即被视为违约。</w:t>
      </w:r>
      <w:r/>
    </w:p>
    <w:p>
      <w:pPr>
        <w:pStyle w:val="86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9、如果我们中标，我们愿意在签订合同时按招标文件规定的标准向招标代理机构支付中标服务费；</w:t>
      </w:r>
      <w:r/>
    </w:p>
    <w:p>
      <w:pPr>
        <w:pStyle w:val="86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所有有关标书的函电，请按下列地址联系：</w:t>
      </w:r>
      <w:r/>
    </w:p>
    <w:p>
      <w:pPr>
        <w:pStyle w:val="86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p>
      <w:pPr>
        <w:pStyle w:val="861"/>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p>
      <w:pPr>
        <w:pStyle w:val="864"/>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p>
    <w:p>
      <w:pPr>
        <w:pStyle w:val="864"/>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邮政编码：</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p>
    <w:p>
      <w:pPr>
        <w:pStyle w:val="864"/>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传真：        邮箱：                                     </w:t>
      </w:r>
      <w:r/>
    </w:p>
    <w:p>
      <w:pPr>
        <w:pStyle w:val="864"/>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p>
      <w:pPr>
        <w:pStyle w:val="864"/>
        <w:ind w:right="-290"/>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864"/>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highlight w:val="none"/>
        </w:rPr>
        <w:t xml:space="preserve">3、开标一览表：</w:t>
      </w:r>
      <w:r>
        <w:rPr>
          <w:rFonts w:hint="eastAsia" w:ascii="宋体" w:hAnsi="宋体" w:eastAsia="宋体" w:cs="宋体"/>
          <w:b/>
          <w:color w:val="auto"/>
          <w:sz w:val="24"/>
          <w:highlight w:val="none"/>
        </w:rPr>
        <w:t xml:space="preserve">按投标系统内统一格式</w:t>
      </w:r>
      <w:r/>
    </w:p>
    <w:p>
      <w:pPr>
        <w:numPr>
          <w:ilvl w:val="0"/>
          <w:numId w:val="0"/>
        </w:numPr>
        <w:spacing w:line="360" w:lineRule="auto"/>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r>
      <w:r/>
    </w:p>
    <w:p>
      <w:pPr>
        <w:numPr>
          <w:ilvl w:val="0"/>
          <w:numId w:val="0"/>
        </w:numPr>
        <w:spacing w:line="360" w:lineRule="auto"/>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注：</w:t>
      </w:r>
      <w:r/>
    </w:p>
    <w:p>
      <w:pPr>
        <w:numPr>
          <w:ilvl w:val="0"/>
          <w:numId w:val="0"/>
        </w:numPr>
        <w:ind w:firstLine="482"/>
        <w:spacing w:line="360" w:lineRule="auto"/>
        <w:rPr>
          <w:rFonts w:hint="default"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1、本项目以优惠率形式报价，项目营业收入分成方式采购单位与成交单位分成比例为52:48（成交单位最高分成比例为48%）。各供应商按照48%为基准价格投报优惠率，如：项目优惠5%，则报价表中报价填写优惠率5%，则成交结算金额=营业收入*48%*（1-5%），以此类推。</w:t>
      </w:r>
      <w:r/>
    </w:p>
    <w:p>
      <w:pPr>
        <w:pStyle w:val="648"/>
        <w:ind w:firstLine="482"/>
        <w:spacing w:line="360" w:lineRule="auto"/>
        <w:rPr>
          <w:rFonts w:hint="default" w:ascii="宋体" w:hAnsi="宋体" w:eastAsia="宋体" w:cs="宋体"/>
          <w:b/>
          <w:bCs/>
          <w:color w:val="auto"/>
          <w:sz w:val="24"/>
          <w:highlight w:val="none"/>
          <w:lang w:val="en-US" w:eastAsia="zh-CN"/>
        </w:rPr>
      </w:pPr>
      <w:r>
        <w:rPr>
          <w:rFonts w:hint="eastAsia" w:hAnsi="宋体" w:cs="宋体"/>
          <w:b/>
          <w:bCs/>
          <w:color w:val="auto"/>
          <w:sz w:val="24"/>
          <w:highlight w:val="none"/>
          <w:lang w:val="en-US" w:eastAsia="zh-CN"/>
        </w:rPr>
        <w:t xml:space="preserve">2、本项目结算按照成交的营收分成比例进行结算，结算总金额不超过预算金额陆佰万元整（¥：6000000.00）</w:t>
      </w:r>
      <w:r/>
    </w:p>
    <w:p>
      <w:pPr>
        <w:pStyle w:val="64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648"/>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cs="宋体"/>
          <w:color w:val="auto"/>
          <w:sz w:val="24"/>
          <w:highlight w:val="none"/>
          <w:lang w:val="en-US" w:eastAsia="zh-CN"/>
        </w:rPr>
        <w:t xml:space="preserve">4</w:t>
      </w:r>
      <w:r>
        <w:rPr>
          <w:rFonts w:hint="eastAsia" w:hAnsi="宋体" w:eastAsia="宋体" w:cs="宋体"/>
          <w:color w:val="auto"/>
          <w:sz w:val="24"/>
          <w:highlight w:val="none"/>
        </w:rPr>
        <w:t xml:space="preserve">、</w:t>
      </w:r>
      <w:r>
        <w:rPr>
          <w:rFonts w:hint="eastAsia" w:hAnsi="宋体" w:eastAsia="宋体" w:cs="宋体"/>
          <w:color w:val="auto"/>
          <w:sz w:val="24"/>
          <w:highlight w:val="none"/>
          <w:lang w:val="en-US" w:eastAsia="zh-CN"/>
        </w:rPr>
        <w:t xml:space="preserve">采购需求偏离表</w:t>
      </w:r>
      <w:r/>
    </w:p>
    <w:p>
      <w:pPr>
        <w:pStyle w:val="648"/>
        <w:jc w:val="center"/>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p>
      <w:pPr>
        <w:pStyle w:val="648"/>
        <w:jc w:val="center"/>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lang w:val="en-US" w:eastAsia="zh-CN"/>
        </w:rPr>
        <w:t xml:space="preserve">采购需求偏离表</w:t>
      </w:r>
      <w:r/>
    </w:p>
    <w:p>
      <w:pPr>
        <w:pStyle w:val="648"/>
        <w:jc w:val="center"/>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p>
      <w:pPr>
        <w:pStyle w:val="648"/>
        <w:spacing w:line="360" w:lineRule="auto"/>
        <w:tabs>
          <w:tab w:val="left" w:pos="8930" w:leader="none"/>
          <w:tab w:val="left" w:pos="9306" w:leader="none"/>
        </w:tabs>
        <w:rPr>
          <w:rFonts w:hint="eastAsia" w:hAnsi="宋体" w:eastAsia="宋体" w:cs="宋体"/>
          <w:color w:val="auto"/>
          <w:sz w:val="24"/>
          <w:highlight w:val="none"/>
          <w:u w:val="single"/>
        </w:rPr>
      </w:pPr>
      <w:r>
        <w:rPr>
          <w:rFonts w:hint="eastAsia" w:hAnsi="宋体" w:eastAsia="宋体" w:cs="宋体"/>
          <w:color w:val="auto"/>
          <w:sz w:val="24"/>
          <w:highlight w:val="none"/>
        </w:rPr>
        <w:t xml:space="preserve">采购编号：</w:t>
      </w:r>
      <w:r>
        <w:rPr>
          <w:rFonts w:hint="eastAsia" w:hAnsi="宋体" w:eastAsia="宋体" w:cs="宋体"/>
          <w:color w:val="auto"/>
          <w:sz w:val="24"/>
          <w:highlight w:val="none"/>
          <w:u w:val="single"/>
        </w:rPr>
        <w:t xml:space="preserve">                      </w:t>
      </w:r>
      <w:r/>
    </w:p>
    <w:tbl>
      <w:tblPr>
        <w:tblStyle w:val="635"/>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555"/>
        <w:gridCol w:w="2555"/>
        <w:gridCol w:w="1931"/>
        <w:gridCol w:w="1771"/>
      </w:tblGrid>
      <w:tr>
        <w:trPr>
          <w:jc w:val="center"/>
          <w:trHeight w:val="454"/>
        </w:trPr>
        <w:tc>
          <w:tcPr>
            <w:tcW w:w="8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55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需求</w:t>
            </w:r>
            <w:r/>
          </w:p>
        </w:tc>
        <w:tc>
          <w:tcPr>
            <w:tcW w:w="255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响应内容</w:t>
            </w:r>
            <w:r/>
          </w:p>
        </w:tc>
        <w:tc>
          <w:tcPr>
            <w:tcW w:w="193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W w:w="17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8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bCs/>
          <w:color w:val="auto"/>
          <w:sz w:val="24"/>
          <w:highlight w:val="none"/>
        </w:rPr>
      </w:pPr>
      <w:r>
        <w:rPr>
          <w:rFonts w:hint="eastAsia"/>
          <w:bCs/>
          <w:color w:val="auto"/>
          <w:sz w:val="24"/>
          <w:highlight w:val="none"/>
        </w:rPr>
      </w:r>
      <w:r/>
    </w:p>
    <w:p>
      <w:pPr>
        <w:spacing w:line="360" w:lineRule="auto"/>
        <w:rPr>
          <w:rFonts w:hint="eastAsia"/>
          <w:bCs/>
          <w:color w:val="auto"/>
          <w:sz w:val="24"/>
          <w:highlight w:val="none"/>
        </w:rPr>
      </w:pPr>
      <w:r>
        <w:rPr>
          <w:rFonts w:hint="eastAsia"/>
          <w:bCs/>
          <w:color w:val="auto"/>
          <w:sz w:val="24"/>
          <w:highlight w:val="none"/>
        </w:rPr>
      </w:r>
      <w:r/>
    </w:p>
    <w:p>
      <w:pPr>
        <w:spacing w:line="360" w:lineRule="auto"/>
        <w:rPr>
          <w:rFonts w:hint="eastAsia"/>
          <w:bCs/>
          <w:color w:val="auto"/>
          <w:sz w:val="24"/>
          <w:highlight w:val="none"/>
        </w:rPr>
      </w:pPr>
      <w:r>
        <w:rPr>
          <w:rFonts w:hint="eastAsia"/>
          <w:bCs/>
          <w:color w:val="auto"/>
          <w:sz w:val="24"/>
          <w:highlight w:val="none"/>
        </w:rPr>
      </w:r>
      <w:r/>
    </w:p>
    <w:p>
      <w:pPr>
        <w:spacing w:line="360" w:lineRule="auto"/>
        <w:rPr>
          <w:bCs/>
          <w:color w:val="auto"/>
          <w:sz w:val="24"/>
          <w:highlight w:val="none"/>
        </w:rPr>
      </w:pPr>
      <w:r>
        <w:rPr>
          <w:rFonts w:hint="eastAsia"/>
          <w:bCs/>
          <w:color w:val="auto"/>
          <w:sz w:val="24"/>
          <w:highlight w:val="none"/>
        </w:rPr>
        <w:t xml:space="preserve">注：投标人应对照招标文件技术规格，逐条说明所提供货物和服务已对招标文件的技术规格做出了实质性的响应，并声明与技术规格条文的偏差和例外。特别对有具体参数要求的指标，投标人必须提供所投产品的具体参数值。未在上表中说明的，将被认为完全响应招标文件的规定。</w:t>
      </w:r>
      <w:r/>
    </w:p>
    <w:p>
      <w:pPr>
        <w:pStyle w:val="648"/>
        <w:spacing w:line="360" w:lineRule="auto"/>
        <w:tabs>
          <w:tab w:val="left" w:pos="8930" w:leader="none"/>
          <w:tab w:val="left" w:pos="9306" w:leader="none"/>
        </w:tabs>
        <w:rPr>
          <w:rFonts w:hint="eastAsia" w:hAnsi="宋体" w:eastAsia="宋体" w:cs="宋体"/>
          <w:color w:val="auto"/>
          <w:sz w:val="24"/>
          <w:highlight w:val="none"/>
        </w:rPr>
      </w:pPr>
      <w:r>
        <w:rPr>
          <w:rFonts w:hint="eastAsia" w:hAnsi="宋体" w:eastAsia="宋体" w:cs="宋体"/>
          <w:color w:val="auto"/>
          <w:sz w:val="24"/>
          <w:highlight w:val="none"/>
        </w:rPr>
      </w:r>
      <w:r/>
    </w:p>
    <w:p>
      <w:pPr>
        <w:pStyle w:val="864"/>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64"/>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866"/>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Cs/>
          <w:color w:val="auto"/>
          <w:sz w:val="24"/>
          <w:highlight w:val="none"/>
        </w:rPr>
      </w:pPr>
      <w:r>
        <w:rPr>
          <w:b/>
          <w:bCs/>
          <w:color w:val="auto"/>
          <w:sz w:val="24"/>
          <w:highlight w:val="none"/>
        </w:rPr>
        <w:br w:type="page" w:clear="all"/>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、人员配备一览表</w:t>
      </w:r>
      <w:r/>
    </w:p>
    <w:p>
      <w:pPr>
        <w:jc w:val="center"/>
        <w:spacing w:line="36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人员配备一览表</w:t>
      </w:r>
      <w:r/>
    </w:p>
    <w:p>
      <w:pPr>
        <w:jc w:val="both"/>
        <w:spacing w:line="360" w:lineRule="auto"/>
        <w:widowControl w:val="off"/>
        <w:tabs>
          <w:tab w:val="left" w:pos="8930" w:leader="none"/>
          <w:tab w:val="left" w:pos="9306" w:leader="none"/>
        </w:tabs>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采购编号：</w:t>
      </w:r>
      <w:r>
        <w:rPr>
          <w:rFonts w:hint="eastAsia" w:ascii="宋体" w:hAnsi="宋体" w:eastAsia="宋体" w:cs="宋体"/>
          <w:color w:val="auto"/>
          <w:sz w:val="24"/>
          <w:szCs w:val="24"/>
          <w:highlight w:val="none"/>
          <w:u w:val="single"/>
          <w:lang w:val="en-US" w:eastAsia="zh-CN" w:bidi="ar-SA"/>
        </w:rPr>
        <w:t xml:space="preserve">                      </w:t>
      </w:r>
      <w:r/>
    </w:p>
    <w:p>
      <w:pPr>
        <w:pStyle w:val="637"/>
        <w:ind w:left="0" w:firstLine="0"/>
        <w:rPr>
          <w:rFonts w:hint="eastAsia"/>
          <w:color w:val="auto"/>
          <w:highlight w:val="none"/>
        </w:rPr>
      </w:pPr>
      <w:r>
        <w:rPr>
          <w:rFonts w:hint="eastAsia"/>
          <w:color w:val="auto"/>
          <w:highlight w:val="none"/>
        </w:rPr>
      </w:r>
      <w:r/>
    </w:p>
    <w:tbl>
      <w:tblPr>
        <w:tblStyle w:val="635"/>
        <w:tblW w:w="939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1"/>
        <w:gridCol w:w="1255"/>
        <w:gridCol w:w="753"/>
        <w:gridCol w:w="1350"/>
        <w:gridCol w:w="1411"/>
        <w:gridCol w:w="2259"/>
        <w:gridCol w:w="1506"/>
      </w:tblGrid>
      <w:tr>
        <w:trPr>
          <w:trHeight w:val="851"/>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岗位</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基本要求</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r>
      <w:tr>
        <w:trPr>
          <w:trHeight w:val="567"/>
        </w:trPr>
        <w:tc>
          <w:tcPr>
            <w:tcBorders>
              <w:top w:val="single" w:color="auto" w:sz="4" w:space="0"/>
              <w:bottom w:val="single" w:color="auto" w:sz="4" w:space="0"/>
              <w:right w:val="single" w:color="auto" w:sz="4" w:space="0"/>
            </w:tcBorders>
            <w:tcW w:w="861"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255"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2259"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tcBorders>
            <w:tcW w:w="1506"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r>
      <w:tr>
        <w:trPr>
          <w:trHeight w:val="567"/>
        </w:trPr>
        <w:tc>
          <w:tcPr>
            <w:tcBorders>
              <w:top w:val="single" w:color="auto" w:sz="4" w:space="0"/>
              <w:bottom w:val="single" w:color="auto" w:sz="4" w:space="0"/>
              <w:right w:val="single" w:color="auto" w:sz="4" w:space="0"/>
            </w:tcBorders>
            <w:tcW w:w="861"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w:t>
            </w:r>
            <w:r/>
          </w:p>
        </w:tc>
        <w:tc>
          <w:tcPr>
            <w:tcBorders>
              <w:top w:val="single" w:color="auto" w:sz="4" w:space="0"/>
              <w:left w:val="single" w:color="auto" w:sz="4" w:space="0"/>
              <w:bottom w:val="single" w:color="auto" w:sz="4" w:space="0"/>
              <w:right w:val="single" w:color="auto" w:sz="4" w:space="0"/>
            </w:tcBorders>
            <w:tcW w:w="1255"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1411"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right w:val="single" w:color="auto" w:sz="4" w:space="0"/>
            </w:tcBorders>
            <w:tcW w:w="2259"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c>
          <w:tcPr>
            <w:tcBorders>
              <w:top w:val="single" w:color="auto" w:sz="4" w:space="0"/>
              <w:left w:val="single" w:color="auto" w:sz="4" w:space="0"/>
              <w:bottom w:val="single" w:color="auto" w:sz="4" w:space="0"/>
            </w:tcBorders>
            <w:tcW w:w="1506" w:type="dxa"/>
            <w:vAlign w:val="top"/>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p>
        </w:tc>
      </w:tr>
    </w:tbl>
    <w:p>
      <w:pPr>
        <w:spacing w:line="360" w:lineRule="auto"/>
        <w:rPr>
          <w:bCs/>
          <w:color w:val="auto"/>
          <w:sz w:val="24"/>
          <w:highlight w:val="none"/>
        </w:rPr>
      </w:pPr>
      <w:r>
        <w:rPr>
          <w:bCs/>
          <w:color w:val="auto"/>
          <w:sz w:val="24"/>
          <w:highlight w:val="none"/>
        </w:rPr>
      </w:r>
      <w:r/>
    </w:p>
    <w:p>
      <w:pPr>
        <w:pStyle w:val="864"/>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64"/>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866"/>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b/>
          <w:bCs/>
          <w:color w:val="auto"/>
          <w:sz w:val="24"/>
          <w:highlight w:val="none"/>
        </w:rPr>
      </w:pPr>
      <w:r>
        <w:rPr>
          <w:b/>
          <w:bCs/>
          <w:color w:val="auto"/>
          <w:sz w:val="24"/>
          <w:highlight w:val="none"/>
        </w:rPr>
      </w:r>
      <w:r/>
    </w:p>
    <w:p>
      <w:pPr>
        <w:rPr>
          <w:rFonts w:hint="eastAsia"/>
          <w:color w:val="auto"/>
          <w:highlight w:val="none"/>
        </w:rPr>
      </w:pPr>
      <w:r/>
      <w:bookmarkStart w:id="2" w:name="_Toc73427854"/>
      <w:r>
        <w:rPr>
          <w:rFonts w:hint="eastAsia"/>
          <w:color w:val="auto"/>
          <w:highlight w:val="none"/>
        </w:rPr>
        <w:br w:type="page" w:clear="all"/>
      </w:r>
      <w:bookmarkEnd w:id="2"/>
      <w:r/>
    </w:p>
    <w:p>
      <w:pPr>
        <w:spacing w:line="360" w:lineRule="auto"/>
        <w:rPr>
          <w:rFonts w:hint="eastAsia" w:ascii="宋体" w:hAnsi="宋体" w:eastAsia="宋体" w:cs="宋体"/>
          <w:bCs/>
          <w:color w:val="auto"/>
          <w:sz w:val="24"/>
          <w:szCs w:val="24"/>
          <w:highlight w:val="none"/>
        </w:rPr>
      </w:pPr>
      <w:r>
        <w:rPr>
          <w:rFonts w:hint="eastAsia"/>
          <w:bCs/>
          <w:color w:val="auto"/>
          <w:sz w:val="24"/>
          <w:highlight w:val="none"/>
          <w:lang w:val="en-US" w:eastAsia="zh-CN"/>
        </w:rPr>
        <w:t xml:space="preserve">6</w:t>
      </w:r>
      <w:r>
        <w:rPr>
          <w:bCs/>
          <w:color w:val="auto"/>
          <w:sz w:val="24"/>
          <w:highlight w:val="none"/>
        </w:rPr>
        <w:t xml:space="preserve">、</w:t>
      </w:r>
      <w:r>
        <w:rPr>
          <w:rFonts w:hint="eastAsia" w:ascii="宋体" w:hAnsi="宋体" w:eastAsia="宋体" w:cs="宋体"/>
          <w:bCs/>
          <w:color w:val="auto"/>
          <w:sz w:val="24"/>
          <w:szCs w:val="24"/>
          <w:highlight w:val="none"/>
        </w:rPr>
        <w:t xml:space="preserve">服务方案</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服务方案</w:t>
      </w:r>
      <w:r/>
    </w:p>
    <w:tbl>
      <w:tblPr>
        <w:tblStyle w:val="635"/>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rHeight w:val="1797"/>
        </w:trPr>
        <w:tc>
          <w:tcPr>
            <w:tcW w:w="962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提示：</w:t>
            </w:r>
            <w:r/>
          </w:p>
          <w:p>
            <w:pPr>
              <w:numPr>
                <w:ilvl w:val="0"/>
                <w:numId w:val="0"/>
              </w:num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应针对本次招标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项目特点及区域的具体情况编写拟采取的服务方案。</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可根据自身情况编写，本页不够可另加页附后。</w:t>
            </w:r>
            <w:r/>
          </w:p>
        </w:tc>
      </w:tr>
      <w:tr>
        <w:trPr>
          <w:trHeight w:val="9707"/>
        </w:trPr>
        <w:tc>
          <w:tcPr>
            <w:tcW w:w="962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rPr>
                <w:rFonts w:hint="eastAsia" w:ascii="宋体" w:hAnsi="宋体" w:eastAsia="宋体" w:cs="宋体"/>
                <w:color w:val="auto"/>
                <w:sz w:val="24"/>
                <w:highlight w:val="none"/>
                <w:u w:val="single"/>
              </w:rPr>
              <w:t xml:space="preserve">                              </w:t>
            </w:r>
            <w:r/>
          </w:p>
        </w:tc>
      </w:tr>
    </w:tbl>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60"/>
        <w:spacing w:line="360" w:lineRule="auto"/>
        <w:tabs>
          <w:tab w:val="left" w:pos="8930" w:leader="none"/>
          <w:tab w:val="left" w:pos="9306" w:leader="none"/>
        </w:tabs>
        <w:rPr>
          <w:rStyle w:val="843"/>
          <w:rFonts w:hint="eastAsia" w:ascii="宋体" w:hAnsi="宋体" w:eastAsia="宋体" w:cs="宋体"/>
          <w:color w:val="auto"/>
          <w:sz w:val="24"/>
          <w:szCs w:val="24"/>
          <w:highlight w:val="none"/>
          <w:lang w:val="en-US" w:eastAsia="zh-CN"/>
        </w:rPr>
      </w:pPr>
      <w:r>
        <w:rPr>
          <w:rStyle w:val="843"/>
          <w:rFonts w:hint="eastAsia" w:hAnsi="宋体" w:eastAsia="宋体" w:cs="宋体"/>
          <w:color w:val="auto"/>
          <w:sz w:val="24"/>
          <w:szCs w:val="24"/>
          <w:highlight w:val="none"/>
          <w:lang w:val="en-US" w:eastAsia="zh-CN"/>
        </w:rPr>
        <w:t xml:space="preserve">7</w:t>
      </w:r>
      <w:r>
        <w:rPr>
          <w:rStyle w:val="843"/>
          <w:rFonts w:hint="eastAsia" w:ascii="宋体" w:hAnsi="宋体" w:eastAsia="宋体" w:cs="宋体"/>
          <w:color w:val="auto"/>
          <w:sz w:val="24"/>
          <w:szCs w:val="24"/>
          <w:highlight w:val="none"/>
          <w:lang w:val="en-US" w:eastAsia="zh-CN"/>
        </w:rPr>
        <w:t xml:space="preserve">、参加政府采购活动前三年内，在经营活动中没有重大违法记录声明</w:t>
      </w:r>
      <w:r/>
    </w:p>
    <w:p>
      <w:pPr>
        <w:pStyle w:val="860"/>
        <w:spacing w:line="360" w:lineRule="auto"/>
        <w:tabs>
          <w:tab w:val="left" w:pos="8930" w:leader="none"/>
          <w:tab w:val="left" w:pos="9306" w:leader="none"/>
        </w:tabs>
        <w:rPr>
          <w:rStyle w:val="843"/>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60"/>
        <w:spacing w:line="360" w:lineRule="auto"/>
        <w:tabs>
          <w:tab w:val="left" w:pos="8930" w:leader="none"/>
          <w:tab w:val="left" w:pos="9306" w:leader="none"/>
        </w:tabs>
        <w:rPr>
          <w:rStyle w:val="843"/>
          <w:rFonts w:hint="eastAsia" w:ascii="宋体" w:hAnsi="宋体" w:eastAsia="宋体" w:cs="宋体"/>
          <w:color w:val="auto"/>
          <w:sz w:val="24"/>
          <w:szCs w:val="24"/>
          <w:highlight w:val="none"/>
          <w:lang w:val="en-US" w:eastAsia="zh-CN"/>
        </w:rPr>
      </w:pPr>
      <w:r>
        <w:rPr>
          <w:rStyle w:val="843"/>
          <w:rFonts w:hint="eastAsia" w:ascii="宋体" w:hAnsi="宋体" w:eastAsia="宋体" w:cs="宋体"/>
          <w:color w:val="auto"/>
          <w:sz w:val="24"/>
          <w:szCs w:val="24"/>
          <w:highlight w:val="none"/>
          <w:u w:val="single"/>
          <w:lang w:val="en-US" w:eastAsia="zh-CN"/>
        </w:rPr>
        <w:t xml:space="preserve">苏州睿乔招投标咨询服务有限公司</w:t>
      </w:r>
      <w:r>
        <w:rPr>
          <w:rStyle w:val="843"/>
          <w:rFonts w:hint="eastAsia" w:ascii="宋体" w:hAnsi="宋体" w:eastAsia="宋体" w:cs="宋体"/>
          <w:color w:val="auto"/>
          <w:sz w:val="24"/>
          <w:szCs w:val="24"/>
          <w:highlight w:val="none"/>
          <w:lang w:val="en-US" w:eastAsia="zh-CN"/>
        </w:rPr>
        <w:t xml:space="preserve">：</w:t>
      </w:r>
      <w:r/>
    </w:p>
    <w:p>
      <w:pPr>
        <w:pStyle w:val="860"/>
        <w:ind w:firstLine="480"/>
        <w:keepLines w:val="0"/>
        <w:keepNext w:val="0"/>
        <w:pageBreakBefore w:val="0"/>
        <w:spacing w:line="360" w:lineRule="auto"/>
        <w:widowControl/>
        <w:tabs>
          <w:tab w:val="left" w:pos="8930" w:leader="none"/>
          <w:tab w:val="left" w:pos="9306" w:leader="none"/>
        </w:tabs>
        <w:rPr>
          <w:rStyle w:val="843"/>
          <w:rFonts w:hint="eastAsia" w:ascii="宋体" w:hAnsi="宋体" w:eastAsia="宋体" w:cs="宋体"/>
          <w:color w:val="auto"/>
          <w:sz w:val="24"/>
          <w:szCs w:val="24"/>
          <w:highlight w:val="none"/>
          <w:lang w:val="en-US" w:eastAsia="zh-CN"/>
        </w:rPr>
        <w:outlineLvl w:val="9"/>
      </w:pPr>
      <w:r>
        <w:rPr>
          <w:rStyle w:val="843"/>
          <w:rFonts w:hint="eastAsia" w:ascii="宋体" w:hAnsi="宋体" w:eastAsia="宋体" w:cs="宋体"/>
          <w:color w:val="auto"/>
          <w:sz w:val="24"/>
          <w:szCs w:val="24"/>
          <w:highlight w:val="none"/>
          <w:lang w:val="en-US" w:eastAsia="zh-CN"/>
        </w:rPr>
        <w:t xml:space="preserve">我单位</w:t>
      </w:r>
      <w:r>
        <w:rPr>
          <w:rStyle w:val="843"/>
          <w:rFonts w:hint="eastAsia" w:ascii="宋体" w:hAnsi="宋体" w:eastAsia="宋体" w:cs="宋体"/>
          <w:color w:val="auto"/>
          <w:sz w:val="24"/>
          <w:szCs w:val="24"/>
          <w:highlight w:val="none"/>
          <w:u w:val="single"/>
          <w:lang w:val="en-US" w:eastAsia="zh-CN"/>
        </w:rPr>
        <w:t xml:space="preserve">              </w:t>
      </w:r>
      <w:r>
        <w:rPr>
          <w:rStyle w:val="843"/>
          <w:rFonts w:hint="eastAsia" w:ascii="宋体" w:hAnsi="宋体" w:eastAsia="宋体" w:cs="宋体"/>
          <w:color w:val="auto"/>
          <w:sz w:val="24"/>
          <w:szCs w:val="24"/>
          <w:highlight w:val="none"/>
          <w:lang w:val="en-US" w:eastAsia="zh-CN"/>
        </w:rPr>
        <w:t xml:space="preserve">(供应商名称)在参加政府采购活动前三年内，没有重大违法记录，特此声明。</w:t>
      </w:r>
      <w:r/>
    </w:p>
    <w:p>
      <w:pPr>
        <w:ind w:firstLine="480"/>
        <w:spacing w:line="360" w:lineRule="auto"/>
        <w:rPr>
          <w:rFonts w:hint="eastAsia" w:ascii="宋体" w:hAnsi="宋体" w:eastAsia="宋体" w:cs="宋体"/>
          <w:color w:val="auto"/>
          <w:sz w:val="24"/>
          <w:szCs w:val="24"/>
          <w:highlight w:val="none"/>
          <w:lang w:val="en-US" w:eastAsia="zh-CN"/>
        </w:rPr>
      </w:pPr>
      <w:r>
        <w:rPr>
          <w:rStyle w:val="843"/>
          <w:rFonts w:hint="eastAsia" w:ascii="宋体" w:hAnsi="宋体" w:eastAsia="宋体" w:cs="宋体"/>
          <w:color w:val="auto"/>
          <w:sz w:val="24"/>
          <w:szCs w:val="24"/>
          <w:highlight w:val="none"/>
          <w:lang w:val="en-US" w:eastAsia="zh-CN"/>
        </w:rPr>
        <w:t xml:space="preserve">若采购代理机构在本项目采购过程中发现我单位近三年内在经营活动中有重大违法记录，我单位将无条件退出本项目，并承担因此引起的一切后果。</w:t>
      </w:r>
      <w:r/>
    </w:p>
    <w:p>
      <w:pPr>
        <w:ind w:right="-290"/>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投标人：（单位盖章）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5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5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5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5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br w:type="page" w:clear="all"/>
      </w:r>
      <w:r>
        <w:rPr>
          <w:rFonts w:hint="eastAsia" w:hAnsi="宋体" w:eastAsia="宋体" w:cs="宋体"/>
          <w:bCs/>
          <w:color w:val="auto"/>
          <w:sz w:val="24"/>
          <w:highlight w:val="none"/>
          <w:lang w:val="en-US" w:eastAsia="zh-CN"/>
        </w:rPr>
        <w:t xml:space="preserve">8</w:t>
      </w:r>
      <w:r>
        <w:rPr>
          <w:rFonts w:hint="eastAsia" w:ascii="宋体" w:hAnsi="宋体" w:eastAsia="宋体" w:cs="宋体"/>
          <w:color w:val="auto"/>
          <w:sz w:val="24"/>
          <w:highlight w:val="none"/>
        </w:rPr>
        <w:t xml:space="preserve">、资格证明文件</w:t>
      </w:r>
      <w:r/>
    </w:p>
    <w:p>
      <w:pPr>
        <w:pStyle w:val="637"/>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（1）关于资格文件的声明函</w:t>
      </w:r>
      <w:r/>
    </w:p>
    <w:p>
      <w:pPr>
        <w:pStyle w:val="637"/>
        <w:ind w:firstLine="480"/>
        <w:jc w:val="center"/>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关于资格文件的声明函</w:t>
      </w:r>
      <w:r/>
    </w:p>
    <w:p>
      <w:pPr>
        <w:pStyle w:val="637"/>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37"/>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号的采购活动进行商务谈判。本公司所提交的商务、技术及报价文件中所有关于投标资格的文件、证明和陈述均是真实的、准确的。若与真实情况不符，本公司愿意承担由此而产生的一切后果。</w:t>
      </w:r>
      <w:r/>
    </w:p>
    <w:p>
      <w:pPr>
        <w:pStyle w:val="637"/>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投标人：（单位盖章）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left="479"/>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37"/>
        <w:ind w:firstLine="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（2）投标单位情况表</w:t>
      </w:r>
      <w:r/>
    </w:p>
    <w:p>
      <w:pPr>
        <w:ind w:firstLine="4226"/>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投标单位情况表</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635"/>
        <w:tblW w:w="94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成立日期</w:t>
            </w:r>
            <w:r/>
          </w:p>
        </w:tc>
        <w:tc>
          <w:tcPr>
            <w:gridSpan w:val="2"/>
            <w:tcW w:w="256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企业地址</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注册资本</w:t>
            </w:r>
            <w:r/>
          </w:p>
        </w:tc>
        <w:tc>
          <w:tcPr>
            <w:gridSpan w:val="2"/>
            <w:tcW w:w="256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经营范围</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职工人数</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36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其中：有中高级以上职称的人数</w:t>
            </w:r>
            <w:r/>
          </w:p>
        </w:tc>
        <w:tc>
          <w:tcPr>
            <w:tcW w:w="11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资产总计</w:t>
            </w:r>
            <w:r/>
          </w:p>
        </w:tc>
        <w:tc>
          <w:tcPr>
            <w:tcW w:w="180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净资产</w:t>
            </w:r>
            <w:r/>
          </w:p>
        </w:tc>
        <w:tc>
          <w:tcPr>
            <w:gridSpan w:val="2"/>
            <w:tcW w:w="256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股东权益</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销售收入</w:t>
            </w:r>
            <w:r/>
          </w:p>
        </w:tc>
        <w:tc>
          <w:tcPr>
            <w:gridSpan w:val="2"/>
            <w:tcW w:w="256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       万元</w:t>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    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经营面积</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平方米</w:t>
            </w:r>
            <w:r/>
          </w:p>
        </w:tc>
        <w:tc>
          <w:tcPr>
            <w:tcW w:w="2160"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w:t>
            </w:r>
            <w:r/>
          </w:p>
        </w:tc>
        <w:tc>
          <w:tcPr>
            <w:gridSpan w:val="2"/>
            <w:tcW w:w="25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自有面积     平方米</w:t>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承租面积     平方米</w:t>
            </w:r>
            <w:r/>
          </w:p>
        </w:tc>
      </w:tr>
      <w:tr>
        <w:trPr>
          <w:cantSplit/>
          <w:jc w:val="center"/>
          <w:trHeight w:val="389"/>
        </w:trPr>
        <w:tc>
          <w:tcPr>
            <w:tcW w:w="2953"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单位简历及内设机构情况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55"/>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近三年来完成或正在履行的重大合同情况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最近2年内在经营过程中受到何种奖励或处分</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（包括财政、工商、税务、物价、技监部门稽查情况和结果）</w:t>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最近3年内有无因售假、售劣或是其他原因被消费者投诉或起诉的情况及说明</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（包括解决方式和结果）</w:t>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最近3年内主要负责人有无经济犯罪被司法机关追究的情意及说明</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获得技术认证的工程师及简介</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其他需要说明的情况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left"/>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中小企业声明函（格式）</w:t>
      </w:r>
      <w:r/>
    </w:p>
    <w:p>
      <w:pPr>
        <w:numPr>
          <w:ilvl w:val="0"/>
          <w:numId w:val="0"/>
        </w:num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中小企业声明函（货物）</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 企业发展管理办法》（财库﹝2020﹞46 号）的规定，本公司 （联合体）参加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（单位名称）的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（项目名称）采购活动，提供的货物全部由符合政策要求的中小企业制造。相关企业（含联合体中的中小企业、签订分包意向协议的中小企业） 的具体情况如下：</w:t>
      </w:r>
      <w:r/>
    </w:p>
    <w:p>
      <w:pPr>
        <w:numPr>
          <w:ilvl w:val="0"/>
          <w:numId w:val="1"/>
        </w:num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（标的名称），属于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文件中明确的所属行业） 行业；制造商为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（中型企业、小 型企业、微型企业）； </w:t>
      </w:r>
      <w:r/>
    </w:p>
    <w:p>
      <w:pPr>
        <w:numPr>
          <w:ilvl w:val="0"/>
          <w:numId w:val="1"/>
        </w:num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（标的名称），属于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文件中明确的所属行业）行业；制造商为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（中型企业、小型 企业、微型企业）；</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 法承担相应责任。</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企业名称（盖章）： </w:t>
      </w:r>
      <w:r/>
    </w:p>
    <w:p>
      <w:pPr>
        <w:ind w:firstLine="480"/>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注：从业人员、营业收入、资产总额填报上一年度数据，无上一年度数据的新成立企业可不填报。</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4"/>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中小企业声明函（工程、服务）</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（单位名称）的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2"/>
        </w:num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（标的名称），属于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文件中明确的所属行业）；承建（承接）企业为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（中型企业、小型企业、微型企业）； </w:t>
      </w:r>
      <w:r/>
    </w:p>
    <w:p>
      <w:pPr>
        <w:numPr>
          <w:ilvl w:val="0"/>
          <w:numId w:val="2"/>
        </w:num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（标的名称），属于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文件中明确的所属行业）；承建（承接）企业为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（企业名称），从业人员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（中型企业、 小型企业、微型企业）；</w:t>
      </w:r>
      <w:r/>
    </w:p>
    <w:p>
      <w:pPr>
        <w:ind w:left="42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企业名称（盖章）： </w:t>
      </w:r>
      <w:r/>
    </w:p>
    <w:p>
      <w:pPr>
        <w:ind w:firstLine="6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w:t>
      </w:r>
      <w:r/>
    </w:p>
    <w:p>
      <w:pPr>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注：从业人员、营业收入、资产总额填报上一年度数据，无上一年度数据的新成立企业可不填报。</w:t>
      </w:r>
      <w:r/>
    </w:p>
    <w:p>
      <w:pPr>
        <w:ind w:left="42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2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4"/>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420"/>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、残疾人福利性单位声明函</w:t>
      </w:r>
      <w:r/>
    </w:p>
    <w:p>
      <w:pPr>
        <w:jc w:val="left"/>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残疾人福利性单位声明函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供应商：（单位盖章）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rPr>
          <w:rStyle w:val="829"/>
          <w:rFonts w:hint="eastAsia" w:ascii="宋体" w:hAnsi="宋体" w:eastAsia="宋体" w:cs="宋体"/>
          <w:b w:val="0"/>
          <w:bCs/>
          <w:color w:val="auto"/>
          <w:sz w:val="36"/>
          <w:szCs w:val="36"/>
          <w:highlight w:val="none"/>
        </w:rPr>
      </w:pPr>
      <w:r>
        <w:rPr>
          <w:rStyle w:val="829"/>
          <w:rFonts w:hint="eastAsia" w:ascii="宋体" w:hAnsi="宋体" w:eastAsia="宋体" w:cs="宋体"/>
          <w:b w:val="0"/>
          <w:bCs/>
          <w:color w:val="auto"/>
          <w:sz w:val="36"/>
          <w:szCs w:val="36"/>
          <w:highlight w:val="none"/>
        </w:rPr>
        <w:br w:type="page" w:clear="all"/>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、投标（响应）保证承诺书（参考格式）</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投标（响应）保证承诺书</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（采购代理机构名称）</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我（单位/本人，以下统称我单位）自愿参加</w:t>
      </w:r>
      <w:r>
        <w:rPr>
          <w:rFonts w:hint="eastAsia" w:ascii="宋体" w:hAnsi="宋体" w:eastAsia="宋体" w:cs="宋体"/>
          <w:color w:val="auto"/>
          <w:sz w:val="24"/>
          <w:highlight w:val="none"/>
          <w:u w:val="single"/>
        </w:rPr>
        <w:t xml:space="preserve">     （项目名称和采购编号）</w:t>
      </w:r>
      <w:r>
        <w:rPr>
          <w:rFonts w:hint="eastAsia" w:ascii="宋体" w:hAnsi="宋体" w:eastAsia="宋体" w:cs="宋体"/>
          <w:color w:val="auto"/>
          <w:sz w:val="24"/>
          <w:highlight w:val="none"/>
        </w:rPr>
        <w:t xml:space="preserve">的投标（响应）,并做出如下承诺：</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一、除不可抗力外，我单位如果发生以下行为，将在行为发生的10个工作日内，向贵方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支付本</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文件公布的预算金额（或最高限价）的2%作为违约赔偿金（数量不确定的单价采购须约定具体金额）。</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1、自投标（响应）截止时间至本项目发布中标（成交）公告为止，撤销投标（响应）；</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2、中标（成交）后不依法与采购人签订合同；</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3、中标（成交）后不按本</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文件规定向采购人提交履约保证金；</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4、中标（成交）后不按本</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文件规定向贵方缴纳采购代理费。</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二、我单位知晓上述行为的法律后果，承认本承诺书作为贵方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要求我单位履行违约赔偿义务的依据作用。</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投标（响应）人：（盖公章）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电子邮件：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spacing w:line="360" w:lineRule="auto"/>
        <w:tabs>
          <w:tab w:val="left" w:pos="8930" w:leader="none"/>
          <w:tab w:val="left" w:pos="9306"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法定代表人或委托代理人(签字或签章)：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Style w:val="829"/>
          <w:rFonts w:hint="eastAsia" w:ascii="宋体" w:hAnsi="宋体" w:eastAsia="宋体" w:cs="宋体"/>
          <w:b w:val="0"/>
          <w:bCs/>
          <w:color w:val="auto"/>
          <w:sz w:val="36"/>
          <w:szCs w:val="36"/>
          <w:highlight w:val="none"/>
        </w:rPr>
      </w:pPr>
      <w:r>
        <w:rPr>
          <w:rStyle w:val="829"/>
          <w:rFonts w:hint="eastAsia" w:ascii="宋体" w:hAnsi="宋体" w:eastAsia="宋体" w:cs="宋体"/>
          <w:b w:val="0"/>
          <w:bCs/>
          <w:color w:val="auto"/>
          <w:sz w:val="36"/>
          <w:szCs w:val="36"/>
          <w:highlight w:val="none"/>
        </w:rPr>
        <w:br w:type="page" w:clear="all"/>
      </w:r>
      <w:r/>
    </w:p>
    <w:p>
      <w:pPr>
        <w:pStyle w:val="857"/>
        <w:jc w:val="center"/>
        <w:spacing w:before="75" w:beforeAutospacing="0" w:after="75" w:afterAutospacing="0"/>
        <w:widowControl/>
        <w:rPr>
          <w:rStyle w:val="829"/>
          <w:rFonts w:hint="eastAsia" w:ascii="宋体" w:hAnsi="宋体" w:eastAsia="宋体" w:cs="宋体"/>
          <w:b w:val="0"/>
          <w:bCs/>
          <w:color w:val="auto"/>
          <w:sz w:val="36"/>
          <w:szCs w:val="36"/>
          <w:highlight w:val="none"/>
        </w:rPr>
      </w:pPr>
      <w:r>
        <w:rPr>
          <w:rStyle w:val="829"/>
          <w:rFonts w:hint="eastAsia" w:ascii="宋体" w:hAnsi="宋体" w:eastAsia="宋体" w:cs="宋体"/>
          <w:b w:val="0"/>
          <w:bCs/>
          <w:color w:val="auto"/>
          <w:sz w:val="36"/>
          <w:szCs w:val="36"/>
          <w:highlight w:val="none"/>
        </w:rPr>
        <w:t xml:space="preserve">第四章 招标书</w:t>
      </w:r>
      <w:r/>
    </w:p>
    <w:p>
      <w:pPr>
        <w:pStyle w:val="855"/>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苏州睿乔招投标咨询服务有限公司</w:t>
      </w:r>
      <w:r>
        <w:rPr>
          <w:rFonts w:hint="eastAsia" w:ascii="宋体" w:hAnsi="宋体" w:eastAsia="宋体" w:cs="宋体"/>
          <w:color w:val="auto"/>
          <w:highlight w:val="none"/>
        </w:rPr>
        <w:t xml:space="preserve">受</w:t>
      </w:r>
      <w:r>
        <w:rPr>
          <w:rFonts w:hint="eastAsia" w:ascii="宋体" w:hAnsi="宋体" w:cs="宋体"/>
          <w:bCs/>
          <w:color w:val="auto"/>
          <w:highlight w:val="none"/>
          <w:lang w:eastAsia="zh-CN"/>
        </w:rPr>
        <w:t xml:space="preserve">苏州市城市公园管理处（苏州市绿化指导站）</w:t>
      </w:r>
      <w:r>
        <w:rPr>
          <w:rFonts w:hint="eastAsia" w:ascii="宋体" w:hAnsi="宋体" w:eastAsia="宋体" w:cs="宋体"/>
          <w:color w:val="auto"/>
          <w:highlight w:val="none"/>
        </w:rPr>
        <w:t xml:space="preserve">的委托，就</w:t>
      </w:r>
      <w:r>
        <w:rPr>
          <w:rFonts w:hint="eastAsia" w:ascii="宋体" w:hAnsi="宋体" w:cs="宋体"/>
          <w:bCs/>
          <w:color w:val="auto"/>
          <w:highlight w:val="none"/>
          <w:lang w:eastAsia="zh-CN"/>
        </w:rPr>
        <w:t xml:space="preserve">苏州公园儿童乐园管理与经营服务采购</w:t>
      </w:r>
      <w:r>
        <w:rPr>
          <w:rFonts w:hint="eastAsia" w:ascii="宋体" w:hAnsi="宋体" w:eastAsia="宋体" w:cs="宋体"/>
          <w:color w:val="auto"/>
          <w:highlight w:val="none"/>
        </w:rPr>
        <w:t xml:space="preserve">进行公开招标，现欢迎符合相关条件的供应商参加投标。</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 xml:space="preserve">一、招标编号：</w:t>
      </w:r>
      <w:r>
        <w:rPr>
          <w:rFonts w:hint="eastAsia" w:ascii="宋体" w:hAnsi="宋体" w:cs="宋体"/>
          <w:color w:val="auto"/>
          <w:sz w:val="24"/>
          <w:highlight w:val="none"/>
          <w:lang w:eastAsia="zh-CN"/>
        </w:rPr>
        <w:t xml:space="preserve">JSZC-320500-SZRQ-G2024-0048</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二、招标项目：</w:t>
      </w:r>
      <w:r>
        <w:rPr>
          <w:rFonts w:hint="eastAsia" w:ascii="宋体" w:hAnsi="宋体" w:cs="宋体"/>
          <w:bCs/>
          <w:color w:val="auto"/>
          <w:sz w:val="24"/>
          <w:highlight w:val="none"/>
          <w:lang w:eastAsia="zh-CN"/>
        </w:rPr>
        <w:t xml:space="preserve">苏州公园儿童乐园管理与经营服务采购</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三、招标项目内容：</w:t>
      </w:r>
      <w:r/>
    </w:p>
    <w:p>
      <w:pPr>
        <w:ind w:firstLine="482"/>
        <w:spacing w:line="360" w:lineRule="auto"/>
        <w:rPr>
          <w:rFonts w:hint="default" w:ascii="宋体" w:hAnsi="宋体" w:eastAsia="宋体" w:cs="宋体"/>
          <w:b/>
          <w:bCs/>
          <w:color w:val="auto"/>
          <w:sz w:val="24"/>
          <w:highlight w:val="none"/>
        </w:rPr>
      </w:pPr>
      <w:r/>
      <w:bookmarkStart w:id="3" w:name="_Toc5922"/>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苏州公园儿童乐园基本情况</w:t>
      </w:r>
      <w:r/>
    </w:p>
    <w:p>
      <w:pPr>
        <w:ind w:firstLine="482"/>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1、公园基本情况描述</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苏州公园位于苏州古城中心的公园路、民治路、五卅路、草桥弄之间，占地 64亩，全年免费开放。苏州公园儿童乐园项目坐落于苏州公园内，占地面积约3850㎡，有海洋火车、漂流、水母等儿童游乐项目。儿童乐园场地面积共3850平方米。2025年乐园内将预算300万做场地改造提升工程。</w:t>
      </w:r>
      <w:r/>
    </w:p>
    <w:p>
      <w:pPr>
        <w:ind w:firstLine="482"/>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2、游乐设备清单</w:t>
      </w:r>
      <w:r/>
    </w:p>
    <w:tbl>
      <w:tblPr>
        <w:tblStyle w:val="673"/>
        <w:tblW w:w="95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0"/>
        <w:gridCol w:w="1920"/>
        <w:gridCol w:w="1920"/>
        <w:gridCol w:w="1920"/>
        <w:gridCol w:w="1912"/>
      </w:tblGrid>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游乐设备</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备注</w:t>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海洋火车</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漂流</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水母</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飞机</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B类设备</w:t>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木马(木马)</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激战鲨鱼岛</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喷球车</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蝴蝶车</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立环跑车</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太空飞椅</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海盗船</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B类设备</w:t>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摇摆机</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2"/>
        <w:spacing w:line="360" w:lineRule="auto"/>
        <w:rPr>
          <w:rFonts w:hint="default"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儿童乐园管理内容及要求</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将儿童乐园内的卫生保洁、设施维护修缮等各类活动场所的日常管理，园区内一应游乐设施运营；游客服务和安全管理。</w:t>
      </w:r>
      <w:r/>
    </w:p>
    <w:p>
      <w:pPr>
        <w:ind w:firstLine="480"/>
        <w:jc w:val="both"/>
        <w:spacing w:line="360" w:lineRule="auto"/>
        <w:widowControl w:val="off"/>
        <w:rPr>
          <w:rFonts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服务期限：三年</w:t>
      </w:r>
      <w:r/>
    </w:p>
    <w:p>
      <w:pPr>
        <w:ind w:firstLine="482"/>
        <w:jc w:val="both"/>
        <w:spacing w:line="36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1、游乐设备运行管理</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（1）游乐设备接待游客过程的检验票、安全操作、接待服务、秩序维护、卫生清洁、消毒消杀、应急处置等。</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（2）维修保养：日检、周检、月检、游乐设施隐患排查治理；常备易损耗零配件，及时处理机械故障</w:t>
      </w:r>
      <w:r>
        <w:rPr>
          <w:rFonts w:hint="eastAsia" w:ascii="宋体" w:hAnsi="宋体" w:cs="宋体"/>
          <w:color w:val="auto"/>
          <w:sz w:val="24"/>
          <w:szCs w:val="24"/>
          <w:highlight w:val="none"/>
          <w:lang w:val="en-US" w:eastAsia="zh-CN" w:bidi="ar-SA"/>
        </w:rPr>
        <w:t xml:space="preserve">，项目所涉及的维修材料配件费用均由中标方负责。</w:t>
      </w:r>
      <w:bookmarkStart w:id="7" w:name="_GoBack"/>
      <w:r/>
      <w:bookmarkEnd w:id="7"/>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（3）为游乐设施的延期维修和报废更新提供必要的人力支持，做好过程的质量把控，安全监督，跟进进度。</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（4）保证游乐设备全运行</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（5）每年按要求完成相关设备年检</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（6）水电费由中标单位承担</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（7）收银刷卡系统费用及卡费由中标单位承担</w:t>
      </w:r>
      <w:r/>
    </w:p>
    <w:p>
      <w:pPr>
        <w:ind w:firstLine="482"/>
        <w:jc w:val="both"/>
        <w:spacing w:line="36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2、安全生产管理台账</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（1）完善儿童乐园应急预案体系：综合预案，专项应急预案及现场处置方案的修订；安全生产台账的及时更新。</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（2）落实上级单位关于电气火灾防治、节前安全防护、特别防护期、极端天气防护等专项行动的要求，并按要求上报所需的资料台账。每年整理年度安全生产考核台账，上交上级检查。</w:t>
      </w:r>
      <w:r/>
    </w:p>
    <w:p>
      <w:pPr>
        <w:ind w:firstLine="482"/>
        <w:jc w:val="both"/>
        <w:spacing w:line="36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3、基础设施维护</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儿童乐园区域内供水、供电系统的巡查检修、维护保养，及时排除安全隐患，确保园区配电房内电力设施、发电机房内发电设施、园区配电箱及各建筑物的电力系统正常运行及各供水设施、园内水管管道及水表运作正常，确保园区绿化、消防、办公等正常供水供电。</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（2）确保儿童乐园区域内票务系统、自助取票机等设备正常运行。</w:t>
      </w:r>
      <w:r/>
    </w:p>
    <w:p>
      <w:pPr>
        <w:ind w:firstLine="482"/>
        <w:spacing w:line="360" w:lineRule="auto"/>
        <w:rPr>
          <w:rFonts w:hint="default"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人员要求</w:t>
      </w:r>
      <w:r/>
    </w:p>
    <w:p>
      <w:pPr>
        <w:ind w:firstLine="482"/>
        <w:jc w:val="both"/>
        <w:spacing w:line="360" w:lineRule="auto"/>
        <w:widowControl w:val="off"/>
        <w:rPr>
          <w:rFonts w:ascii="Times New Roman" w:hAnsi="Times New Roman" w:eastAsia="宋体" w:cs="Times New Roman"/>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1、项目经理（1人）</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（1）法定退休年龄以下，具有综合管理服务项目项目负责人经验，有良好沟通能力及管理能力。</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（2）须持有中华人民共和国特种设备作业人员（特种设备安全管理）证书，投标文件中提供证书复印件。</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对儿童乐园管理负责，按管理要求，全面开展好本服务项目；对管理部门指出的问题，在要求的期限内全面完成整改，并及时将整改情况反馈城市公园管理处；对儿童乐园综合管理服务项目提出完善性建议性意见，供城市公园管理处参考，以实现本服务项目的质量持续改进的目标；配合城市公园管理处开展相关管理活动；管理处要求的其它与本项目服务内容有关的工作。</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对执行队伍中的作业人员进行全面管理，制定各项管理制度，对其开展的各专项工作进行检查、考评，确保人员到位、服务质量达标；负责对执行队伍人员进行聘用、人员培训、合理分工、应急演练等；及时支付执行队伍人员的工资待遇福利，提供组织关怀，奖优罚劣，使各专业组人员积极主动勤勉工作；既直接管理又服务好执行队伍，使作业人员持续提升专业作业能力和作业效率；及时妥善解决好城市公园管理处及市民游客反馈的园内执行队伍在一线作业中存在的各类问题。</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定期收集市民游客对儿童乐园综合管理服务相关的各类意见和建议，对属于本服务项目服务范围内的合理意见和建议，提出相应措施方案，在工作中予以完善改进；对不属于本服务项目服务范围内的，书面整理后反馈城市公园管理处，并为完善改进市民游客服务体验提供技术指导支持。</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（6）积极配合乐园所涉及的特种设备安全监督检查工作，根据上级市场监督管理部门部署或者实际工作需要（包括不限于国检、省检、市检、机构的检测等），配合开展监督检查。</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须做好游乐设备日检、周检、月检和年度自检工作，并做好相应记录存档，负责按照游乐设备使用要求做好无损探伤和年度定期检验，并向招标单位提供相关报告。如游乐设备因日常使用导致部件损坏、损耗的，中标方负责维修和更换零配件。</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）儿童乐园管理部门要求完成的与本项目服务相关的其它工作。</w:t>
      </w:r>
      <w:r/>
    </w:p>
    <w:p>
      <w:pPr>
        <w:ind w:firstLine="482"/>
        <w:jc w:val="both"/>
        <w:spacing w:line="36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2、维修人员（3人）</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（1）法定退休年龄以下，具有相关维修经验。</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（2）本项目涉及游乐设备检修维护，至少配备一名专职游乐设备维修人员，须持有中华人民共和国特种设备作业人员（大型游乐设施维修）证书（旧证Y1），投标文件中提供证书复印件。</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负责园区水电等设施设备日常检修及维护、园区各类设施的日常维护及修缮、全园游乐设施（含操作室、围栏）维护保养工作。设备维护保养内容包含：设备检查、保养、维修、定期更换受力构件（零部件）、防腐除锈、油漆及玻璃钢构件翻新等工作。全园售票系统、闸机系统、放映系统、网络机房、自助取票机、LED屏、摄影器材、空调、打印机、电视机、投影仪、台式电脑软硬件、笔记本电脑软硬件、电话机、考勤机、道闸等设备维修维护弱电维修维护工作。</w:t>
      </w:r>
      <w:r/>
    </w:p>
    <w:p>
      <w:pPr>
        <w:ind w:firstLine="482"/>
        <w:jc w:val="both"/>
        <w:spacing w:line="36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3、游乐设备操作员</w:t>
      </w:r>
      <w:r>
        <w:rPr>
          <w:rFonts w:hint="eastAsia" w:ascii="宋体" w:hAnsi="宋体" w:cs="宋体"/>
          <w:b/>
          <w:bCs/>
          <w:color w:val="auto"/>
          <w:sz w:val="24"/>
          <w:szCs w:val="24"/>
          <w:highlight w:val="none"/>
          <w:lang w:val="en-US" w:eastAsia="zh-CN" w:bidi="ar-SA"/>
        </w:rPr>
        <w:t xml:space="preserve">24</w:t>
      </w:r>
      <w:r>
        <w:rPr>
          <w:rFonts w:hint="eastAsia" w:ascii="宋体" w:hAnsi="宋体" w:eastAsia="宋体" w:cs="宋体"/>
          <w:b/>
          <w:bCs/>
          <w:color w:val="auto"/>
          <w:sz w:val="24"/>
          <w:szCs w:val="24"/>
          <w:highlight w:val="none"/>
          <w:lang w:val="en-US" w:eastAsia="zh-CN" w:bidi="ar-SA"/>
        </w:rPr>
        <w:t xml:space="preserve">人（1项设备2个操作员标准，后续人员安排随设备变更而变化）</w:t>
      </w:r>
      <w:r/>
    </w:p>
    <w:p>
      <w:pPr>
        <w:ind w:firstLine="482"/>
        <w:jc w:val="both"/>
        <w:spacing w:line="36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（1）设备清单</w:t>
      </w:r>
      <w:r/>
    </w:p>
    <w:tbl>
      <w:tblPr>
        <w:tblStyle w:val="673"/>
        <w:tblW w:w="95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0"/>
        <w:gridCol w:w="1920"/>
        <w:gridCol w:w="1920"/>
        <w:gridCol w:w="1920"/>
        <w:gridCol w:w="1912"/>
      </w:tblGrid>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游乐设备</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备注</w:t>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海洋火车</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漂流</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水母</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飞机</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B类设备</w:t>
            </w:r>
            <w:r>
              <w:rPr>
                <w:rFonts w:hint="eastAsia" w:ascii="宋体" w:hAnsi="宋体" w:cs="宋体"/>
                <w:color w:val="auto"/>
                <w:sz w:val="24"/>
                <w:highlight w:val="none"/>
                <w:lang w:val="en-US" w:eastAsia="zh-CN"/>
              </w:rPr>
              <w:t xml:space="preserve">，操作员须具有大型游乐设施操作证书</w:t>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木马(木马)</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激战鲨鱼岛</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喷球车</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蝴蝶车</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立环跑车</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太空飞椅</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海盗船</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912" w:type="dxa"/>
            <w:vAlign w:val="center"/>
            <w:textDirection w:val="lrTb"/>
            <w:noWrap w:val="false"/>
          </w:tcPr>
          <w:p>
            <w:pPr>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B类设备</w:t>
            </w:r>
            <w:r>
              <w:rPr>
                <w:rFonts w:hint="eastAsia" w:ascii="宋体" w:hAnsi="宋体" w:cs="宋体"/>
                <w:color w:val="auto"/>
                <w:sz w:val="24"/>
                <w:highlight w:val="none"/>
                <w:lang w:val="en-US" w:eastAsia="zh-CN"/>
              </w:rPr>
              <w:t xml:space="preserve">，操作员须具有大型游乐设施操作证书</w:t>
            </w:r>
            <w:r/>
          </w:p>
        </w:tc>
      </w:tr>
      <w:tr>
        <w:trPr/>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摇摆机</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台</w:t>
            </w:r>
            <w:r/>
          </w:p>
        </w:tc>
        <w:tc>
          <w:tcPr>
            <w:tcW w:w="1920" w:type="dxa"/>
            <w:vAlign w:val="center"/>
            <w:textDirection w:val="lrTb"/>
            <w:noWrap w:val="false"/>
          </w:tcPr>
          <w:p>
            <w:pPr>
              <w:jc w:val="center"/>
              <w:spacing w:after="0"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912" w:type="dxa"/>
            <w:vAlign w:val="center"/>
            <w:textDirection w:val="lrTb"/>
            <w:noWrap w:val="false"/>
          </w:tcPr>
          <w:p>
            <w:pPr>
              <w:jc w:val="center"/>
              <w:spacing w:after="0"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自助设备</w:t>
            </w:r>
            <w:r/>
          </w:p>
        </w:tc>
      </w:tr>
    </w:tbl>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（1）男女不限，法定退休年龄以下，具备大型游乐设施操作经验。</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（2）检票、验票工作；负责维持排队区秩序；负责对游客的温馨提示；负责游乐设备区域的卫生清洁；负责检查游客是否符合乘坐条件；负责现场秩序的维护等。</w:t>
      </w:r>
      <w:r/>
    </w:p>
    <w:p>
      <w:pPr>
        <w:ind w:firstLine="480"/>
        <w:jc w:val="both"/>
        <w:spacing w:line="36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（3）负责突发事件的上报与初期应急处理；负责检查游客的安全装置是否系稳等安全运营工作。</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（4）本项目涉及游乐设备操作，至少配备8名专业人员，须持有中华人民共和国特</w:t>
      </w:r>
      <w:r>
        <w:rPr>
          <w:rFonts w:hint="eastAsia" w:ascii="宋体" w:hAnsi="宋体" w:eastAsia="宋体" w:cs="宋体"/>
          <w:color w:val="auto"/>
          <w:sz w:val="24"/>
          <w:szCs w:val="24"/>
          <w:highlight w:val="none"/>
          <w:lang w:val="en-US" w:eastAsia="zh-CN" w:bidi="ar-SA"/>
        </w:rPr>
        <w:t xml:space="preserve">种设备作业人员（大型游乐设施操作）证书（旧证Y2），投标文件中提供证书复印件。</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rPr>
          <w:rFonts w:ascii="宋体" w:hAnsi="宋体" w:eastAsia="宋体" w:cs="宋体"/>
          <w:color w:val="auto"/>
          <w:sz w:val="24"/>
          <w:szCs w:val="24"/>
          <w:highlight w:val="none"/>
          <w:lang w:val="en-US" w:eastAsia="zh-CN" w:bidi="ar-SA"/>
        </w:rPr>
        <w:t xml:space="preserve">接受管理团队统一管理和专业培训，持续提升自身专业服务能力。</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rPr>
          <w:rFonts w:ascii="宋体" w:hAnsi="宋体" w:eastAsia="宋体" w:cs="宋体"/>
          <w:color w:val="auto"/>
          <w:sz w:val="24"/>
          <w:szCs w:val="24"/>
          <w:highlight w:val="none"/>
          <w:lang w:val="en-US" w:eastAsia="zh-CN" w:bidi="ar-SA"/>
        </w:rPr>
        <w:t xml:space="preserve">在作业过程中，为市民游客提供力所能及的便利，包括但不限于解答市民游客疑问；听取市民游客提出的有关意见和建议及面临急需解决的问题，能立即整改的，马上解决，不能解决的代为反馈</w:t>
      </w:r>
      <w:r>
        <w:rPr>
          <w:rFonts w:hint="eastAsia" w:ascii="宋体" w:hAnsi="宋体" w:eastAsia="宋体" w:cs="宋体"/>
          <w:color w:val="auto"/>
          <w:sz w:val="24"/>
          <w:szCs w:val="24"/>
          <w:highlight w:val="none"/>
          <w:lang w:val="en-US" w:eastAsia="zh-CN" w:bidi="ar-SA"/>
        </w:rPr>
        <w:t xml:space="preserve">城市公园管理处</w:t>
      </w:r>
      <w:r>
        <w:rPr>
          <w:rFonts w:ascii="宋体" w:hAnsi="宋体" w:eastAsia="宋体" w:cs="宋体"/>
          <w:color w:val="auto"/>
          <w:sz w:val="24"/>
          <w:szCs w:val="24"/>
          <w:highlight w:val="none"/>
          <w:lang w:val="en-US" w:eastAsia="zh-CN" w:bidi="ar-SA"/>
        </w:rPr>
        <w:t xml:space="preserve">；遇到市民游客的不良游园行为，及时劝止，不听从的应立即向上反映，使问题得到第一时间处理；其它突发现场事件的应急处置。</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（7）每天安排一人负责闭园后设备关闭，电源上锁。</w:t>
      </w:r>
      <w:r/>
    </w:p>
    <w:p>
      <w:pPr>
        <w:ind w:firstLine="480"/>
        <w:jc w:val="both"/>
        <w:spacing w:line="360" w:lineRule="auto"/>
        <w:widowControl w:val="off"/>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w:t>
      </w:r>
      <w:r>
        <w:rPr>
          <w:rFonts w:ascii="宋体" w:hAnsi="宋体" w:eastAsia="宋体" w:cs="宋体"/>
          <w:color w:val="auto"/>
          <w:sz w:val="24"/>
          <w:szCs w:val="24"/>
          <w:highlight w:val="none"/>
          <w:lang w:val="en-US" w:eastAsia="zh-CN" w:bidi="ar-SA"/>
        </w:rPr>
        <w:t xml:space="preserve">做好“管理团队”和</w:t>
      </w:r>
      <w:r>
        <w:rPr>
          <w:rFonts w:hint="eastAsia" w:ascii="宋体" w:hAnsi="宋体" w:eastAsia="宋体" w:cs="宋体"/>
          <w:color w:val="auto"/>
          <w:sz w:val="24"/>
          <w:szCs w:val="24"/>
          <w:highlight w:val="none"/>
          <w:lang w:val="en-US" w:eastAsia="zh-CN" w:bidi="ar-SA"/>
        </w:rPr>
        <w:t xml:space="preserve">城市公园管理处</w:t>
      </w:r>
      <w:r>
        <w:rPr>
          <w:rFonts w:ascii="宋体" w:hAnsi="宋体" w:eastAsia="宋体" w:cs="宋体"/>
          <w:color w:val="auto"/>
          <w:sz w:val="24"/>
          <w:szCs w:val="24"/>
          <w:highlight w:val="none"/>
          <w:lang w:val="en-US" w:eastAsia="zh-CN" w:bidi="ar-SA"/>
        </w:rPr>
        <w:t xml:space="preserve">要求的与本服务项目相关的其它工作。</w:t>
      </w:r>
      <w:r/>
    </w:p>
    <w:p>
      <w:pPr>
        <w:ind w:firstLine="482"/>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4、儿童乐园保洁、安保（2名保洁、2名保安）</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（1）男女不限，法定退休年龄以下，具备相关经验。</w:t>
      </w:r>
      <w:r/>
    </w:p>
    <w:p>
      <w:pPr>
        <w:ind w:firstLine="480"/>
        <w:spacing w:line="360" w:lineRule="auto"/>
        <w:rPr>
          <w:rFonts w:hint="default" w:ascii="宋体" w:hAnsi="宋体" w:eastAsia="宋体" w:cs="宋体"/>
          <w:b/>
          <w:bCs/>
          <w:color w:val="auto"/>
          <w:sz w:val="24"/>
          <w:highlight w:val="none"/>
        </w:rPr>
      </w:pPr>
      <w:r>
        <w:rPr>
          <w:rFonts w:hint="eastAsia" w:ascii="宋体" w:hAnsi="宋体" w:eastAsia="宋体" w:cs="宋体"/>
          <w:color w:val="auto"/>
          <w:sz w:val="24"/>
          <w:highlight w:val="none"/>
        </w:rPr>
        <w:t xml:space="preserve">（2）保安人员须持有保安员证书，投标文件中提供证书复印件。</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认真做好儿童游乐区内的安全保卫和环境卫生保洁工作。保安工作要做到切实保障游客生命财产的安全，保证良好的秩序；保洁工作要做到日清日扫、随时保洁，无垃圾和杂物，有其他任务时服从乐园安排。</w:t>
      </w:r>
      <w:r/>
    </w:p>
    <w:p>
      <w:pPr>
        <w:ind w:firstLine="480"/>
        <w:spacing w:line="360" w:lineRule="auto"/>
        <w:rPr>
          <w:rFonts w:hint="default" w:ascii="宋体" w:hAnsi="宋体" w:eastAsia="宋体" w:cs="宋体"/>
          <w:b/>
          <w:bCs/>
          <w:color w:val="auto"/>
          <w:sz w:val="24"/>
          <w:highlight w:val="none"/>
          <w:lang w:val="en-US" w:eastAsia="zh-CN"/>
        </w:rPr>
      </w:pPr>
      <w:r>
        <w:rPr>
          <w:rFonts w:hint="eastAsia" w:ascii="宋体" w:hAnsi="宋体" w:cs="宋体"/>
          <w:b w:val="0"/>
          <w:bCs w:val="0"/>
          <w:color w:val="auto"/>
          <w:sz w:val="24"/>
          <w:highlight w:val="none"/>
          <w:shd w:val="clear" w:color="auto" w:fill="auto"/>
          <w:lang w:val="en-US" w:eastAsia="zh-CN"/>
        </w:rPr>
        <w:t xml:space="preserve">（4）服务时间以成交后儿童游乐区实际开放时间为准，安保人员在闭园后需巡查整个儿童游乐区，确保离开时专业人员已把所有设备关闭且电源上锁。</w:t>
      </w:r>
      <w:r/>
    </w:p>
    <w:p>
      <w:pPr>
        <w:ind w:firstLine="482"/>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服务质量要求</w:t>
      </w:r>
      <w:r/>
    </w:p>
    <w:tbl>
      <w:tblPr>
        <w:tblStyle w:val="635"/>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1014"/>
        <w:gridCol w:w="5323"/>
        <w:gridCol w:w="3081"/>
      </w:tblGrid>
      <w:tr>
        <w:trPr>
          <w:trHeight w:val="270"/>
        </w:trPr>
        <w:tc>
          <w:tcPr>
            <w:gridSpan w:val="2"/>
            <w:tcW w:w="1558"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项目</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服务内容</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质量要求</w:t>
            </w:r>
            <w:r/>
          </w:p>
        </w:tc>
      </w:tr>
      <w:tr>
        <w:trPr>
          <w:trHeight w:val="1350"/>
        </w:trPr>
        <w:tc>
          <w:tcPr>
            <w:tcW w:w="544" w:type="dxa"/>
            <w:vAlign w:val="center"/>
            <w:vMerge w:val="restart"/>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卫生保洁</w:t>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绿地保洁</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草坪、低矮地被、花坛、绿篱等绿地，一天打扫两次，早上下午各一次；其他时间连续保洁，随见随扫。</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应做到无建筑垃圾、无生活垃圾，无枯枝枯叶，落叶。</w:t>
            </w:r>
            <w:r/>
          </w:p>
        </w:tc>
      </w:tr>
      <w:tr>
        <w:trPr>
          <w:trHeight w:val="1135"/>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硬质地面保洁</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1、铺装场地早上下午各打扫一次，其他时间连续保洁，随见随扫。</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做到无积水、无积尘、无口香糖痕迹，无污迹见底色。</w:t>
            </w:r>
            <w:r/>
          </w:p>
        </w:tc>
      </w:tr>
      <w:tr>
        <w:trPr>
          <w:trHeight w:val="81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设施</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标示牌、园灯、围栏、宣传栏、橱窗、通讯设备箱等设施的外表面每两周抹洗一次。</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应做到洁净干爽，无灰尘、无污渍、无乱张贴、无乱涂画、无蛛网。</w:t>
            </w:r>
            <w:r/>
          </w:p>
        </w:tc>
      </w:tr>
      <w:tr>
        <w:trPr>
          <w:trHeight w:val="54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建筑</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立柱面、内表面及屋顶、景墙、雕塑等一周保洁一次。</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应做到洁净干爽，无蛛网、无污渍、无张贴。</w:t>
            </w:r>
            <w:r/>
          </w:p>
        </w:tc>
      </w:tr>
      <w:tr>
        <w:trPr>
          <w:trHeight w:val="54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垃圾清运</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1、每日定时清理垃圾，未能及时清运出场的垃圾应在当天转运至垃圾中转站，禁止随意堆放。</w:t>
            </w:r>
            <w:r/>
          </w:p>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2、运送垃圾的车辆符合相关部门要求。</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园内垃圾应做到日产日清。</w:t>
            </w:r>
            <w:r/>
          </w:p>
        </w:tc>
      </w:tr>
      <w:tr>
        <w:trPr>
          <w:trHeight w:val="2159"/>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转梯/转轮、滑梯等游乐设施</w:t>
            </w:r>
            <w:r/>
          </w:p>
        </w:tc>
        <w:tc>
          <w:tcPr>
            <w:tcW w:w="5323" w:type="dxa"/>
            <w:vAlign w:val="center"/>
            <w:textDirection w:val="lrTb"/>
            <w:noWrap w:val="false"/>
          </w:tcPr>
          <w:p>
            <w:pPr>
              <w:numPr>
                <w:ilvl w:val="0"/>
                <w:numId w:val="3"/>
              </w:num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用湿毛巾把转梯/转轮、滑梯等游乐设施表面上灰尘擦抺干净,如有污迹,倒少量清洁剂,用湿毛巾擦洗干净,再用干毛巾抹干</w:t>
            </w:r>
            <w:r/>
          </w:p>
          <w:p>
            <w:pPr>
              <w:numPr>
                <w:ilvl w:val="0"/>
                <w:numId w:val="3"/>
              </w:num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滑梯每半月清洗消毒一次以上</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表面干净光亮、无灰尘</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污渍。</w:t>
            </w:r>
            <w:r/>
          </w:p>
        </w:tc>
      </w:tr>
      <w:tr>
        <w:trPr>
          <w:trHeight w:val="54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沙池</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每月定期清理一次。</w:t>
            </w:r>
            <w:r/>
          </w:p>
        </w:tc>
        <w:tc>
          <w:tcPr>
            <w:tcW w:w="308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水环境保洁</w:t>
            </w:r>
            <w:r/>
          </w:p>
        </w:tc>
        <w:tc>
          <w:tcPr>
            <w:tcW w:w="5323" w:type="dxa"/>
            <w:vAlign w:val="center"/>
            <w:textDirection w:val="lrTb"/>
            <w:noWrap w:val="false"/>
          </w:tcPr>
          <w:p>
            <w:pPr>
              <w:jc w:val="cente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涉水的游乐设备内水池，漂浮物及垃圾及时清理。</w:t>
            </w:r>
            <w:r/>
          </w:p>
        </w:tc>
        <w:tc>
          <w:tcPr>
            <w:tcW w:w="308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做到水面清洁无异味</w:t>
            </w:r>
            <w:r>
              <w:rPr>
                <w:rFonts w:hint="eastAsia" w:ascii="宋体" w:hAnsi="宋体" w:cs="宋体"/>
                <w:color w:val="auto"/>
                <w:sz w:val="24"/>
                <w:highlight w:val="none"/>
                <w:lang w:val="en-US" w:eastAsia="zh-CN"/>
              </w:rPr>
              <w:t xml:space="preserve">。</w:t>
            </w:r>
            <w:r/>
          </w:p>
        </w:tc>
      </w:tr>
      <w:tr>
        <w:trPr>
          <w:trHeight w:val="1076"/>
        </w:trPr>
        <w:tc>
          <w:tcPr>
            <w:tcW w:w="544" w:type="dxa"/>
            <w:vAlign w:val="center"/>
            <w:vMerge w:val="restart"/>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设施维护修缮</w:t>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特种设施</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变压器、水泵等专项设备定期检修，做好相关记录。</w:t>
            </w:r>
            <w:r/>
          </w:p>
        </w:tc>
        <w:tc>
          <w:tcPr>
            <w:tcW w:w="3081" w:type="dxa"/>
            <w:vAlign w:val="center"/>
            <w:vMerge w:val="restart"/>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1、确保各项设施设备完好及正常使用，常刷常新，干净整洁。</w:t>
            </w:r>
            <w:r/>
          </w:p>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2、修缮刷新所需物料须经管理处确认，并与原有材料同等或以上规格。</w:t>
            </w:r>
            <w:r/>
          </w:p>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3、安全文明施工，严格遵守儿童乐园相关规定。</w:t>
            </w:r>
            <w:r/>
          </w:p>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4、刷新维护需铲除原有底漆，刮腻子，刷漆三遍，确保表面均匀、光滑、整洁。</w:t>
            </w:r>
            <w:r/>
          </w:p>
        </w:tc>
      </w:tr>
      <w:tr>
        <w:trPr>
          <w:trHeight w:val="175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基础设施</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道路、广场、桥梁、照明、广播、标识等基础设施，游客中心、亭廊、座椅、雕塑等游憩、服务设施定期维护，外立面或内墙及时刷新。</w:t>
            </w:r>
            <w:r/>
          </w:p>
        </w:tc>
        <w:tc>
          <w:tcPr>
            <w:tcW w:w="3081"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trHeight w:val="27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水电抢修</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及时排查抢修水电等特殊设施设备。</w:t>
            </w:r>
            <w:r/>
          </w:p>
        </w:tc>
        <w:tc>
          <w:tcPr>
            <w:tcW w:w="3081"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r>
      <w:tr>
        <w:trPr>
          <w:trHeight w:val="540"/>
        </w:trPr>
        <w:tc>
          <w:tcPr>
            <w:tcW w:w="544" w:type="dxa"/>
            <w:vAlign w:val="center"/>
            <w:vMerge w:val="restart"/>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游乐设施运营管理</w:t>
            </w:r>
            <w:r/>
          </w:p>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服务管理</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统一着装，文明用语，做好游乐设施区域内的清洁卫生，维持秩序，不与游客产生冲突，统计游客数据</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做到无游客投诉</w:t>
            </w:r>
            <w:r/>
          </w:p>
        </w:tc>
      </w:tr>
      <w:tr>
        <w:trPr>
          <w:trHeight w:val="54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安全管理</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每天接待游客前各游乐设施试运行不少于三次，操作员持证上岗，做好应急处置，定期开展应急演练，完善安全管理台账，接受上级主管部门的安全检查</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无安全生产事故，及时整改上级主管部门的安全检查隐患</w:t>
            </w:r>
            <w:r/>
          </w:p>
        </w:tc>
      </w:tr>
      <w:tr>
        <w:trPr>
          <w:trHeight w:val="54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滑梯等设施安全管理</w:t>
            </w:r>
            <w:r/>
          </w:p>
        </w:tc>
        <w:tc>
          <w:tcPr>
            <w:tcW w:w="532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滑滑梯安全标识标牌应该要有“当心滑跌”、“安全有序滑滑梯”等字样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安保人员每天巡逻。</w:t>
            </w:r>
            <w:r/>
          </w:p>
        </w:tc>
        <w:tc>
          <w:tcPr>
            <w:tcW w:w="3081"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无安全生产事故，及时整改上级主管部门的安全检查隐患</w:t>
            </w:r>
            <w:r/>
          </w:p>
        </w:tc>
      </w:tr>
      <w:tr>
        <w:trPr>
          <w:trHeight w:val="54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维护保养</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落实日检、周检、月检记录，做好相关记录完善维护保养台账；保证设备不带病运行，及时处理突发机械故障</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每月每台游乐设施突发故障不超过1次，无发生设备带病运行现象，发生故障时能及时处理</w:t>
            </w:r>
            <w:r/>
          </w:p>
        </w:tc>
      </w:tr>
      <w:tr>
        <w:trPr>
          <w:trHeight w:val="540"/>
        </w:trPr>
        <w:tc>
          <w:tcPr>
            <w:tcW w:w="544" w:type="dxa"/>
            <w:vAlign w:val="center"/>
            <w:vMerge w:val="continue"/>
            <w:textDirection w:val="lrTb"/>
            <w:noWrap w:val="false"/>
          </w:tcPr>
          <w:p>
            <w:pPr>
              <w:jc w:val="center"/>
              <w:spacing w:line="360" w:lineRule="auto"/>
              <w:rPr>
                <w:rFonts w:hint="default" w:ascii="宋体" w:hAnsi="宋体" w:eastAsia="宋体" w:cs="宋体"/>
                <w:color w:val="auto"/>
                <w:sz w:val="24"/>
                <w:highlight w:val="none"/>
              </w:rPr>
            </w:pPr>
            <w:r>
              <w:rPr>
                <w:rFonts w:hint="default" w:ascii="宋体" w:hAnsi="宋体" w:eastAsia="宋体" w:cs="宋体"/>
                <w:color w:val="auto"/>
                <w:sz w:val="24"/>
                <w:highlight w:val="none"/>
              </w:rPr>
            </w:r>
            <w:r/>
          </w:p>
        </w:tc>
        <w:tc>
          <w:tcPr>
            <w:tcW w:w="1014"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检测检验</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做好游乐设施的年度自检、无损探伤、年度检验</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保证各大型游乐设施不超过检验期限</w:t>
            </w:r>
            <w:r/>
          </w:p>
        </w:tc>
      </w:tr>
      <w:tr>
        <w:trPr>
          <w:trHeight w:val="540"/>
        </w:trPr>
        <w:tc>
          <w:tcPr>
            <w:gridSpan w:val="2"/>
            <w:tcW w:w="1558"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公众服务</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根据城市公园管理处需求，配合管理处做好相关活动服务工作。</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确保相关活动安全顺利开展</w:t>
            </w:r>
            <w:r/>
          </w:p>
        </w:tc>
      </w:tr>
      <w:tr>
        <w:trPr>
          <w:trHeight w:val="540"/>
        </w:trPr>
        <w:tc>
          <w:tcPr>
            <w:gridSpan w:val="2"/>
            <w:tcW w:w="1558"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弱电系统维护</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定期检查弱电系统的运行稳定性，做到系统24小时的平稳运行。</w:t>
            </w:r>
            <w:r/>
          </w:p>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所有问题须在2小时内解决。若系统软件的故障在2小时内仍未处理完毕，须免费采取应急措施，并提供待用产品，在1个工作日内保证系统恢复正常运行，不影响儿童乐园的正常工作业务。</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确保弱电系统正常运行。</w:t>
            </w:r>
            <w:r/>
          </w:p>
        </w:tc>
      </w:tr>
      <w:tr>
        <w:trPr>
          <w:trHeight w:val="365"/>
        </w:trPr>
        <w:tc>
          <w:tcPr>
            <w:gridSpan w:val="2"/>
            <w:tcW w:w="1558"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电力保障系统维护保养检测</w:t>
            </w:r>
            <w:r/>
          </w:p>
        </w:tc>
        <w:tc>
          <w:tcPr>
            <w:tcW w:w="5323"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定期（周、月）检查配电房内、发电机房内发电设施，园区配电箱及各建筑物的电力系统，消除安全隐患，消除故障</w:t>
            </w:r>
            <w:r/>
          </w:p>
        </w:tc>
        <w:tc>
          <w:tcPr>
            <w:tcW w:w="3081" w:type="dxa"/>
            <w:vAlign w:val="center"/>
            <w:textDirection w:val="lrTb"/>
            <w:noWrap w:val="false"/>
          </w:tcPr>
          <w:p>
            <w:pPr>
              <w:jc w:val="center"/>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确保各设施无安全隐患、无故障</w:t>
            </w:r>
            <w:r/>
          </w:p>
        </w:tc>
      </w:tr>
    </w:tbl>
    <w:p>
      <w:pPr>
        <w:ind w:firstLine="482"/>
        <w:jc w:val="both"/>
        <w:spacing w:line="360" w:lineRule="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）考核标准</w:t>
      </w:r>
      <w:r/>
    </w:p>
    <w:tbl>
      <w:tblPr>
        <w:tblStyle w:val="635"/>
        <w:tblW w:w="97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33"/>
        <w:gridCol w:w="1239"/>
        <w:gridCol w:w="4654"/>
        <w:gridCol w:w="3240"/>
      </w:tblGrid>
      <w:tr>
        <w:trPr>
          <w:jc w:val="center"/>
          <w:trHeight w:val="312"/>
        </w:trPr>
        <w:tc>
          <w:tcPr>
            <w:gridSpan w:val="2"/>
            <w:tcMar>
              <w:left w:w="10" w:type="dxa"/>
              <w:top w:w="10" w:type="dxa"/>
              <w:right w:w="10" w:type="dxa"/>
            </w:tcMar>
            <w:tcW w:w="1872"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问题类型</w:t>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扣罚内容</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扣款标准</w:t>
            </w:r>
            <w:r/>
          </w:p>
        </w:tc>
      </w:tr>
      <w:tr>
        <w:trPr>
          <w:jc w:val="center"/>
          <w:trHeight w:val="614"/>
        </w:trPr>
        <w:tc>
          <w:tcPr>
            <w:tcMar>
              <w:left w:w="10" w:type="dxa"/>
              <w:top w:w="10" w:type="dxa"/>
              <w:right w:w="10" w:type="dxa"/>
            </w:tcMar>
            <w:tcW w:w="633" w:type="dxa"/>
            <w:vAlign w:val="center"/>
            <w:vMerge w:val="restart"/>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人员管理</w:t>
            </w:r>
            <w:r/>
          </w:p>
        </w:tc>
        <w:tc>
          <w:tcPr>
            <w:tcMar>
              <w:left w:w="10" w:type="dxa"/>
              <w:top w:w="10" w:type="dxa"/>
              <w:right w:w="10" w:type="dxa"/>
            </w:tcMar>
            <w:tcW w:w="1239" w:type="dxa"/>
            <w:vAlign w:val="center"/>
            <w:vMerge w:val="restart"/>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人员资质</w:t>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项目</w:t>
            </w:r>
            <w:r>
              <w:rPr>
                <w:rFonts w:hint="eastAsia" w:ascii="宋体" w:hAnsi="宋体" w:eastAsia="宋体" w:cs="宋体"/>
                <w:color w:val="auto"/>
                <w:sz w:val="24"/>
                <w:szCs w:val="24"/>
                <w:highlight w:val="none"/>
                <w:lang w:val="en-US" w:eastAsia="zh-CN" w:bidi="ar-SA"/>
              </w:rPr>
              <w:t xml:space="preserve">经理</w:t>
            </w:r>
            <w:r>
              <w:rPr>
                <w:rFonts w:ascii="宋体" w:hAnsi="宋体" w:eastAsia="宋体" w:cs="宋体"/>
                <w:color w:val="auto"/>
                <w:sz w:val="24"/>
                <w:szCs w:val="24"/>
                <w:highlight w:val="none"/>
                <w:lang w:val="en-US" w:eastAsia="zh-CN" w:bidi="ar-SA"/>
              </w:rPr>
              <w:t xml:space="preserve">不能胜任岗位要求、不符合合同任职条件或未按中心规定履行变更审批手续。</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每次扣减</w:t>
            </w:r>
            <w:r>
              <w:rPr>
                <w:rFonts w:hint="eastAsia" w:ascii="宋体" w:hAnsi="宋体" w:eastAsia="宋体" w:cs="宋体"/>
                <w:color w:val="auto"/>
                <w:sz w:val="24"/>
                <w:szCs w:val="24"/>
                <w:highlight w:val="none"/>
                <w:lang w:val="en-US" w:eastAsia="zh-CN" w:bidi="ar-SA"/>
              </w:rPr>
              <w:t xml:space="preserve">2</w:t>
            </w:r>
            <w:r>
              <w:rPr>
                <w:rFonts w:ascii="宋体" w:hAnsi="宋体" w:eastAsia="宋体" w:cs="宋体"/>
                <w:color w:val="auto"/>
                <w:sz w:val="24"/>
                <w:szCs w:val="24"/>
                <w:highlight w:val="none"/>
                <w:lang w:val="en-US" w:eastAsia="zh-CN" w:bidi="ar-SA"/>
              </w:rPr>
              <w:t xml:space="preserve">000元（每月扣减一次）。</w:t>
            </w:r>
            <w:r/>
          </w:p>
        </w:tc>
      </w:tr>
      <w:tr>
        <w:trPr>
          <w:jc w:val="center"/>
          <w:trHeight w:val="614"/>
        </w:trPr>
        <w:tc>
          <w:tcPr>
            <w:tcMar>
              <w:left w:w="10" w:type="dxa"/>
              <w:top w:w="10" w:type="dxa"/>
              <w:right w:w="10" w:type="dxa"/>
            </w:tcMar>
            <w:tcW w:w="633"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1239"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要求持证上岗的人员未按规定持证上岗。</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每人每次扣减200元。（每月每人扣罚3次）</w:t>
            </w:r>
            <w:r/>
          </w:p>
        </w:tc>
      </w:tr>
      <w:tr>
        <w:trPr>
          <w:jc w:val="center"/>
          <w:trHeight w:val="314"/>
        </w:trPr>
        <w:tc>
          <w:tcPr>
            <w:tcMar>
              <w:left w:w="10" w:type="dxa"/>
              <w:top w:w="10" w:type="dxa"/>
              <w:right w:w="10" w:type="dxa"/>
            </w:tcMar>
            <w:tcW w:w="633"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1239"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执行团队人员资质不符合合同要求。</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每人每次扣减500元。</w:t>
            </w:r>
            <w:r/>
          </w:p>
        </w:tc>
      </w:tr>
      <w:tr>
        <w:trPr>
          <w:jc w:val="center"/>
          <w:trHeight w:val="323"/>
        </w:trPr>
        <w:tc>
          <w:tcPr>
            <w:tcMar>
              <w:left w:w="10" w:type="dxa"/>
              <w:top w:w="10" w:type="dxa"/>
              <w:right w:w="10" w:type="dxa"/>
            </w:tcMar>
            <w:tcW w:w="633"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1239" w:type="dxa"/>
            <w:vAlign w:val="center"/>
            <w:vMerge w:val="restart"/>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人员</w:t>
            </w:r>
            <w:r/>
          </w:p>
        </w:tc>
        <w:tc>
          <w:tcP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项目负责人缺岗。</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每次扣减300元。</w:t>
            </w:r>
            <w:r/>
          </w:p>
        </w:tc>
      </w:tr>
      <w:tr>
        <w:trPr>
          <w:jc w:val="center"/>
          <w:trHeight w:val="270"/>
        </w:trPr>
        <w:tc>
          <w:tcPr>
            <w:tcMar>
              <w:left w:w="10" w:type="dxa"/>
              <w:top w:w="10" w:type="dxa"/>
              <w:right w:w="10" w:type="dxa"/>
            </w:tcMar>
            <w:tcW w:w="633"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1239"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执行队伍月末统计不满勤。</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每班次扣500元（每班次指工作8小时）。</w:t>
            </w:r>
            <w:r/>
          </w:p>
        </w:tc>
      </w:tr>
      <w:tr>
        <w:trPr>
          <w:jc w:val="center"/>
          <w:trHeight w:val="312"/>
        </w:trPr>
        <w:tc>
          <w:tcPr>
            <w:tcMar>
              <w:left w:w="10" w:type="dxa"/>
              <w:top w:w="10" w:type="dxa"/>
              <w:right w:w="10" w:type="dxa"/>
            </w:tcMar>
            <w:tcW w:w="633"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1239"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考勤数据有误或打卡数据不符合要求</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每次扣减1000元。</w:t>
            </w:r>
            <w:r/>
          </w:p>
        </w:tc>
      </w:tr>
      <w:tr>
        <w:trPr>
          <w:jc w:val="center"/>
          <w:trHeight w:val="312"/>
        </w:trPr>
        <w:tc>
          <w:tcPr>
            <w:tcMar>
              <w:left w:w="10" w:type="dxa"/>
              <w:top w:w="10" w:type="dxa"/>
              <w:right w:w="10" w:type="dxa"/>
            </w:tcMar>
            <w:tcW w:w="633"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1239"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未依法发放人员工资或发放不及时（未依法发放人员工资待遇、津贴补贴、加班费、经济补偿金、代通知金等），造成不良影响、负面舆情或群众上访等情况。</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每次扣减1000元。</w:t>
            </w:r>
            <w:r/>
          </w:p>
        </w:tc>
      </w:tr>
      <w:tr>
        <w:trPr>
          <w:jc w:val="center"/>
          <w:trHeight w:val="312"/>
        </w:trPr>
        <w:tc>
          <w:tcPr>
            <w:tcMar>
              <w:left w:w="10" w:type="dxa"/>
              <w:top w:w="10" w:type="dxa"/>
              <w:right w:w="10" w:type="dxa"/>
            </w:tcMar>
            <w:tcW w:w="633"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1239"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未按要求定期开展培训或应急演练的。</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每次扣减500元。</w:t>
            </w:r>
            <w:r/>
          </w:p>
        </w:tc>
      </w:tr>
      <w:tr>
        <w:trPr>
          <w:jc w:val="center"/>
          <w:trHeight w:val="312"/>
        </w:trPr>
        <w:tc>
          <w:tcPr>
            <w:tcMar>
              <w:left w:w="10" w:type="dxa"/>
              <w:top w:w="10" w:type="dxa"/>
              <w:right w:w="10" w:type="dxa"/>
            </w:tcMar>
            <w:tcW w:w="633"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1239"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人员在岗存在不负责、不文明现象，如在岗时间玩手机、扎堆闲聊、吸烟，对待游客态度恶劣或言语粗鲁、发生语言或者肢体冲突，威胁游客安全等情况。</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每人每次扣减100元。</w:t>
            </w:r>
            <w:r/>
          </w:p>
        </w:tc>
      </w:tr>
      <w:tr>
        <w:trPr>
          <w:jc w:val="center"/>
          <w:trHeight w:val="312"/>
        </w:trPr>
        <w:tc>
          <w:tcPr>
            <w:tcMar>
              <w:left w:w="10" w:type="dxa"/>
              <w:top w:w="10" w:type="dxa"/>
              <w:right w:w="10" w:type="dxa"/>
            </w:tcMar>
            <w:tcW w:w="633"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1239"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在岗人员着装、装备及工具使用摆放不规范。</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每人次或每次扣减100元。</w:t>
            </w:r>
            <w:r/>
          </w:p>
        </w:tc>
      </w:tr>
      <w:tr>
        <w:trPr>
          <w:jc w:val="center"/>
          <w:trHeight w:val="312"/>
        </w:trPr>
        <w:tc>
          <w:tcPr>
            <w:gridSpan w:val="2"/>
            <w:tcMar>
              <w:left w:w="10" w:type="dxa"/>
              <w:top w:w="10" w:type="dxa"/>
              <w:right w:w="10" w:type="dxa"/>
            </w:tcMar>
            <w:tcW w:w="1872"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台账</w:t>
            </w:r>
            <w:r/>
          </w:p>
        </w:tc>
        <w:tc>
          <w:tcPr>
            <w:tcMar>
              <w:left w:w="10" w:type="dxa"/>
              <w:top w:w="10" w:type="dxa"/>
              <w:right w:w="10" w:type="dxa"/>
            </w:tcMa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台账发现造假的。</w:t>
            </w:r>
            <w:r/>
          </w:p>
        </w:tc>
        <w:tc>
          <w:tcPr>
            <w:tcMar>
              <w:left w:w="10" w:type="dxa"/>
              <w:top w:w="10" w:type="dxa"/>
              <w:right w:w="10" w:type="dxa"/>
            </w:tcMa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每次扣减200元。</w:t>
            </w:r>
            <w:r/>
          </w:p>
        </w:tc>
      </w:tr>
      <w:tr>
        <w:trPr>
          <w:jc w:val="center"/>
          <w:trHeight w:val="90"/>
        </w:trPr>
        <w:tc>
          <w:tcPr>
            <w:gridSpan w:val="2"/>
            <w:tcW w:w="1872" w:type="dxa"/>
            <w:vAlign w:val="center"/>
            <w:vMerge w:val="restart"/>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机械设备管理</w:t>
            </w:r>
            <w:r/>
          </w:p>
        </w:tc>
        <w:tc>
          <w:tcP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未在规定时间内按合同约定配齐，或检查有缺少的。</w:t>
            </w:r>
            <w:r/>
          </w:p>
        </w:tc>
        <w:tc>
          <w:tcP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每台每次扣减200元。</w:t>
            </w:r>
            <w:r/>
          </w:p>
        </w:tc>
      </w:tr>
      <w:tr>
        <w:trPr>
          <w:jc w:val="center"/>
          <w:trHeight w:val="90"/>
        </w:trPr>
        <w:tc>
          <w:tcPr>
            <w:gridSpan w:val="2"/>
            <w:tcW w:w="1872"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W w:w="4654"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未及时维修保养不能正常使用，或维保、使用台账不全的。</w:t>
            </w:r>
            <w:r/>
          </w:p>
        </w:tc>
        <w:tc>
          <w:tcP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每台每次扣减100元。</w:t>
            </w:r>
            <w:r/>
          </w:p>
        </w:tc>
      </w:tr>
      <w:tr>
        <w:trPr>
          <w:jc w:val="center"/>
          <w:trHeight w:val="90"/>
        </w:trPr>
        <w:tc>
          <w:tcPr>
            <w:gridSpan w:val="2"/>
            <w:shd w:val="clear" w:color="auto" w:fill="auto"/>
            <w:tcW w:w="1872" w:type="dxa"/>
            <w:vAlign w:val="center"/>
            <w:vMerge w:val="restart"/>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响应情况</w:t>
            </w:r>
            <w:r/>
          </w:p>
        </w:tc>
        <w:tc>
          <w:tcPr>
            <w:shd w:val="clear" w:color="auto" w:fill="ffffff"/>
            <w:tcW w:w="4654" w:type="dxa"/>
            <w:vAlign w:val="center"/>
            <w:vMerge w:val="restart"/>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各类检查、投诉、信访、媒体曝光等问题未处理、处理不及时或整改不到位等情况。出现其他未及时响应儿童乐园工作要求的情形。</w:t>
            </w:r>
            <w:r/>
          </w:p>
        </w:tc>
        <w:tc>
          <w:tcPr>
            <w:tcW w:w="3240" w:type="dxa"/>
            <w:vAlign w:val="center"/>
            <w:vMerge w:val="restart"/>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经核实属中标单位责任的，每项扣减2000元。</w:t>
            </w:r>
            <w:r/>
          </w:p>
        </w:tc>
      </w:tr>
      <w:tr>
        <w:trPr>
          <w:jc w:val="center"/>
          <w:trHeight w:val="90"/>
        </w:trPr>
        <w:tc>
          <w:tcPr>
            <w:gridSpan w:val="2"/>
            <w:tcW w:w="1872"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W w:w="4654" w:type="dxa"/>
            <w:vAlign w:val="center"/>
            <w:vMerge w:val="continue"/>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tc>
        <w:tc>
          <w:tcPr>
            <w:tcW w:w="3240" w:type="dxa"/>
            <w:vAlign w:val="center"/>
            <w:textDirection w:val="lrTb"/>
            <w:noWrap w:val="false"/>
          </w:tcPr>
          <w:p>
            <w:pPr>
              <w:jc w:val="center"/>
              <w:spacing w:line="360" w:lineRule="auto"/>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未在规定时间内整改或整改不合格的，加扣100元。</w:t>
            </w:r>
            <w:r/>
          </w:p>
        </w:tc>
      </w:tr>
    </w:tbl>
    <w:p>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四</w:t>
      </w:r>
      <w:r>
        <w:rPr>
          <w:rFonts w:hint="eastAsia" w:ascii="宋体" w:hAnsi="宋体" w:eastAsia="宋体" w:cs="宋体"/>
          <w:b w:val="0"/>
          <w:bCs/>
          <w:color w:val="auto"/>
          <w:sz w:val="24"/>
          <w:highlight w:val="none"/>
        </w:rPr>
        <w:t xml:space="preserve">、综合说明及其它要求：</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1、本项目严禁将承包的服务转包他人。</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2、中标单位必须给上述人员按照国家及苏州市的有关规定支付工资和交纳正常的社会保险等。</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3、投标单位所提供的相关货物或服务应符合国家有关标准和规范，遵循招标文件的要求，并提供详细说明。</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4、供应商提供的技术资料必须真实、准确，如提供的参数虚假或对</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lang w:val="en-US" w:eastAsia="zh-CN"/>
        </w:rPr>
        <w:t xml:space="preserve">文件所要求说明的情况故意隐瞒或虚报，按《中华人民共和国政府采购法》第七十七条的相关办法处理。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TW" w:eastAsia="zh-CN"/>
        </w:rPr>
        <w:t xml:space="preserve">、</w:t>
      </w:r>
      <w:r>
        <w:rPr>
          <w:rFonts w:hint="eastAsia" w:ascii="宋体" w:hAnsi="宋体" w:eastAsia="宋体" w:cs="宋体"/>
          <w:color w:val="auto"/>
          <w:sz w:val="24"/>
          <w:highlight w:val="none"/>
          <w:lang w:val="en-US" w:eastAsia="zh-CN"/>
        </w:rPr>
        <w:t xml:space="preserve">投标单位必须说明其是否响应招标文件中提出的全部服务内容与要求，如果以其中某些条款不响应时，应在文件中逐条列出，未列出的视同响应。</w:t>
      </w:r>
      <w:bookmarkEnd w:id="3"/>
      <w:r/>
    </w:p>
    <w:p>
      <w:pP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bCs/>
          <w:color w:val="auto"/>
          <w:sz w:val="24"/>
          <w:highlight w:val="none"/>
          <w:lang w:val="en-US" w:eastAsia="zh-CN"/>
        </w:rPr>
        <w:t xml:space="preserve">五</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根据苏州市财政局《关于贯彻执行绿色采购、促进残疾人就业和支持监狱企业发展有关政策的通知》（苏财购〔2019〕10号）规定：</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1、关于节能环保产品政府采购要求：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次招标所涉及的产品属于《节能产品政府采购清单》、《环境标志产品政府采购清单》中的品目范围之内的，要求采购清单中的产品（含强制采购和优先采购的产品），并须提供认证机构出具的、处于有效期之内的节能产品、环境标志产品认证证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1.2《节能产品政府采购清单》、《环境标志产品政府采购清单》以“中国政府采购网”（http://www.ccgp.gov.cn）公告的时间、内容为准，也可通过“苏州市政府采购网”（http://www.zfcg.suzhou.gov.cn）链接查询。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2、进一步明确政府采购促进残疾人就业政策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2.1本次招标中，投标单位如为残疾人福利性单位，则视同小型、微型企业。向残疾人福利性单位采购的金额，计入面向中小企业采购的统计数据。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2.3中标、成交供应商为残疾人福利性单位的，采购人或者其委托的采购代理机构应当随中标、成交结果同时公告其《残疾人福利性单位声明函》，接受社会监督。</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3、进一步明确政府采购支持监狱企业发展政策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3.1在本次招标中，投标单位如为监狱企业，则视同小型、微型企业。向监狱企业采购的金额，计入面向中小企业采购的统计数据。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、根据苏州市财政局《关于进一步做好政府采购正常贯彻执行工作的通知》（苏财购（2017）10号）文件规定：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1、关于政府采购促进中小企业发展政策要求：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1.1不同行业的中小微企业划分标准以工信部、国家统计局、国家发改委、财政部《关于印发中小企业划型标准规定的通知》（工信部联企业〔2011〕300号）为准。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1.2小微企业提供中型企业制造或使用中型企业注册商标的货物的，视同为中型企业。小微企业提供大型企业制造或使用大型企业注册商标的货物的，视同为大型企业。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bookmarkStart w:id="4" w:name="_Toc28359028"/>
      <w:r>
        <w:rPr>
          <w:rFonts w:hint="eastAsia" w:ascii="宋体" w:hAnsi="宋体" w:eastAsia="宋体" w:cs="宋体"/>
          <w:color w:val="auto"/>
          <w:sz w:val="24"/>
          <w:highlight w:val="none"/>
        </w:rPr>
        <w:t xml:space="preserve">中小微企业在投标（响应）文件中，签署《中小企业声明函》，并根据工信部联企业〔2011〕300号通知，未在投标（响应）文件中提供《中小企业声明函》的，不享受促进中小微企业发展的相关政府采购政策。</w:t>
      </w:r>
      <w:bookmarkEnd w:id="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1.4根据《关于印发&lt;苏州市政府采购促进中小企业发展实施意见&gt;的通知》（苏财购〔2022〕16号）相关要求，本项目为专门面向中小企业采购的项目，不再执行价格评审优惠的扶持政策。</w:t>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七</w:t>
      </w:r>
      <w:r>
        <w:rPr>
          <w:rFonts w:hint="eastAsia" w:ascii="宋体" w:hAnsi="宋体" w:eastAsia="宋体" w:cs="宋体"/>
          <w:b/>
          <w:bCs/>
          <w:color w:val="auto"/>
          <w:sz w:val="24"/>
          <w:highlight w:val="none"/>
        </w:rPr>
        <w:t xml:space="preserve">、根据《政府采购促进中小企业发展管理办法》（财库〔2020〕46号）及《中小企业划型标准规定》（工信部联企业〔2011〕300号），</w:t>
      </w:r>
      <w:r>
        <w:rPr>
          <w:rFonts w:hint="eastAsia" w:ascii="宋体" w:hAnsi="宋体" w:eastAsia="宋体" w:cs="Times New Roman"/>
          <w:b/>
          <w:bCs w:val="0"/>
          <w:color w:val="auto"/>
          <w:sz w:val="24"/>
          <w:highlight w:val="none"/>
          <w:lang w:val="en-US" w:eastAsia="zh-CN"/>
        </w:rPr>
        <w:t xml:space="preserve">本项目属于专门面向中小企业采购，根据《政府采购促进中小企业发展管理办法》的相关规定，本项目所属行业为其他未列明行业。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八</w:t>
      </w:r>
      <w:r>
        <w:rPr>
          <w:rFonts w:hint="eastAsia" w:ascii="宋体" w:hAnsi="宋体" w:eastAsia="宋体" w:cs="宋体"/>
          <w:color w:val="auto"/>
          <w:sz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1、关于对参与供应商信用记录的政府采购要求：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1.1采购代理机构会在接收响应文件截止时间后，在中国政府采购网（www.ccgp.gov.cn）、信用中国（www.creditchina.gov.cn）、信用江苏（</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"http://www.jscredit.gov.cn/"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www.jscredit.gov.cn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）、诚信苏州（www.szcredit.gov.cn）的网站输入供应商全称或统一社会信用代码查询信用记录，并将查询结果递交评审小组。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（一）政府采购严重违法记录，即供应商被全国各级财政部门列入“政府采购严重违法失信行为记录名单”，且在处罚有效期内的。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（二）财政部门与法院、工商、税务等部门联合惩戒的失信信息，包括：</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1）被列入失信被执行人名单；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2）被列入重大税收违法案件当事人名单；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1.3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p>
    <w:p>
      <w:pPr>
        <w:ind w:right="-290"/>
        <w:jc w:val="both"/>
        <w:spacing w:line="400" w:lineRule="exact"/>
        <w:widowControl w:val="off"/>
        <w:tabs>
          <w:tab w:val="left" w:pos="9000" w:leader="none"/>
        </w:tabs>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24"/>
          <w:szCs w:val="24"/>
          <w:highlight w:val="none"/>
          <w:lang w:val="en-US" w:eastAsia="zh-CN" w:bidi="ar-SA"/>
        </w:rPr>
        <w:t xml:space="preserve">九、凡涉及</w:t>
      </w:r>
      <w:r>
        <w:rPr>
          <w:rFonts w:hint="eastAsia" w:ascii="宋体" w:hAnsi="宋体" w:cs="宋体"/>
          <w:color w:val="auto"/>
          <w:sz w:val="24"/>
          <w:szCs w:val="24"/>
          <w:highlight w:val="none"/>
          <w:lang w:val="en-US" w:eastAsia="zh-CN" w:bidi="ar-SA"/>
        </w:rPr>
        <w:t xml:space="preserve">招标</w:t>
      </w:r>
      <w:r>
        <w:rPr>
          <w:rFonts w:hint="eastAsia" w:ascii="宋体" w:hAnsi="宋体" w:eastAsia="宋体" w:cs="宋体"/>
          <w:color w:val="auto"/>
          <w:sz w:val="24"/>
          <w:szCs w:val="24"/>
          <w:highlight w:val="none"/>
          <w:lang w:val="en-US" w:eastAsia="zh-CN" w:bidi="ar-SA"/>
        </w:rPr>
        <w:t xml:space="preserve">文件的补充说明和修改，均以</w:t>
      </w:r>
      <w:r>
        <w:rPr>
          <w:rFonts w:hint="eastAsia" w:ascii="宋体" w:hAnsi="宋体" w:eastAsia="宋体" w:cs="宋体"/>
          <w:bCs/>
          <w:color w:val="auto"/>
          <w:sz w:val="24"/>
          <w:szCs w:val="20"/>
          <w:highlight w:val="none"/>
          <w:lang w:val="en-US" w:eastAsia="zh-CN" w:bidi="ar-SA"/>
        </w:rPr>
        <w:t xml:space="preserve">中国政府采购网中央主网、江苏政府采购网、苏州政府采购网</w:t>
      </w:r>
      <w:r>
        <w:rPr>
          <w:rFonts w:hint="eastAsia" w:ascii="宋体" w:hAnsi="宋体" w:eastAsia="宋体" w:cs="宋体"/>
          <w:color w:val="auto"/>
          <w:sz w:val="24"/>
          <w:szCs w:val="24"/>
          <w:highlight w:val="none"/>
          <w:lang w:val="en-US" w:eastAsia="zh-CN" w:bidi="ar-SA"/>
        </w:rPr>
        <w:t xml:space="preserve">发布的文件为准。</w:t>
      </w:r>
      <w:r/>
    </w:p>
    <w:p>
      <w:pPr>
        <w:ind w:right="0"/>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r>
      <w:r/>
    </w:p>
    <w:p>
      <w:pPr>
        <w:ind w:right="0"/>
        <w:keepLines w:val="0"/>
        <w:keepNext w:val="0"/>
        <w:pageBreakBefore w:val="0"/>
        <w:spacing w:line="360" w:lineRule="auto"/>
        <w:widowControl w:val="off"/>
        <w:rPr>
          <w:rFonts w:hint="eastAsia" w:ascii="宋体" w:hAnsi="宋体" w:eastAsia="宋体" w:cs="宋体"/>
          <w:b/>
          <w:bCs/>
          <w:color w:val="auto"/>
          <w:sz w:val="24"/>
          <w:highlight w:val="none"/>
        </w:rPr>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outlineLvl w:val="9"/>
      </w:pPr>
      <w:r>
        <w:rPr>
          <w:rFonts w:hint="eastAsia" w:ascii="宋体" w:hAnsi="宋体" w:eastAsia="宋体" w:cs="宋体"/>
          <w:b/>
          <w:bCs/>
          <w:color w:val="auto"/>
          <w:sz w:val="24"/>
          <w:highlight w:val="none"/>
        </w:rPr>
      </w:r>
      <w:r/>
    </w:p>
    <w:p>
      <w:pPr>
        <w:pStyle w:val="851"/>
        <w:jc w:val="center"/>
        <w:keepLines w:val="0"/>
        <w:keepNext w:val="0"/>
        <w:pageBreakBefore w:val="0"/>
        <w:spacing w:line="480" w:lineRule="auto"/>
        <w:widowControl w:val="off"/>
        <w:tabs>
          <w:tab w:val="right" w:pos="8302" w:leader="dot"/>
        </w:tabs>
        <w:rPr>
          <w:rStyle w:val="829"/>
          <w:rFonts w:hint="eastAsia" w:ascii="宋体" w:hAnsi="宋体" w:eastAsia="宋体" w:cs="宋体"/>
          <w:b w:val="0"/>
          <w:bCs/>
          <w:color w:val="auto"/>
          <w:sz w:val="36"/>
          <w:szCs w:val="36"/>
          <w:highlight w:val="none"/>
        </w:rPr>
        <w:outlineLvl w:val="9"/>
      </w:pPr>
      <w:r>
        <w:rPr>
          <w:rStyle w:val="829"/>
          <w:rFonts w:hint="eastAsia" w:ascii="宋体" w:hAnsi="宋体" w:eastAsia="宋体" w:cs="宋体"/>
          <w:b w:val="0"/>
          <w:bCs/>
          <w:color w:val="auto"/>
          <w:sz w:val="36"/>
          <w:szCs w:val="36"/>
          <w:highlight w:val="none"/>
        </w:rPr>
        <w:t xml:space="preserve">第五章  合同文本</w:t>
      </w:r>
      <w:r/>
    </w:p>
    <w:p>
      <w:pPr>
        <w:pStyle w:val="653"/>
        <w:ind w:firstLine="442"/>
        <w:rPr>
          <w:rFonts w:hint="eastAsia" w:eastAsia="宋体"/>
          <w:b/>
          <w:bCs/>
          <w:color w:val="auto"/>
          <w:sz w:val="24"/>
          <w:szCs w:val="24"/>
          <w:highlight w:val="none"/>
          <w:lang w:eastAsia="zh-CN"/>
        </w:rPr>
      </w:pPr>
      <w:r>
        <w:rPr>
          <w:rFonts w:hint="eastAsia"/>
          <w:b/>
          <w:bCs/>
          <w:color w:val="auto"/>
          <w:sz w:val="24"/>
          <w:szCs w:val="24"/>
          <w:highlight w:val="none"/>
        </w:rPr>
        <w:t xml:space="preserve">项目名称：</w:t>
      </w:r>
      <w:r>
        <w:rPr>
          <w:rFonts w:hint="eastAsia"/>
          <w:b/>
          <w:bCs/>
          <w:color w:val="auto"/>
          <w:sz w:val="24"/>
          <w:szCs w:val="24"/>
          <w:highlight w:val="none"/>
          <w:lang w:eastAsia="zh-CN"/>
        </w:rPr>
        <w:t xml:space="preserve">苏州公园儿童乐园管理与经营服务采购</w:t>
      </w:r>
      <w:r/>
    </w:p>
    <w:p>
      <w:pPr>
        <w:pStyle w:val="653"/>
        <w:ind w:firstLine="442"/>
        <w:rPr>
          <w:rFonts w:hint="eastAsia" w:eastAsia="宋体"/>
          <w:b/>
          <w:bCs/>
          <w:color w:val="auto"/>
          <w:sz w:val="24"/>
          <w:szCs w:val="24"/>
          <w:highlight w:val="none"/>
          <w:lang w:eastAsia="zh-CN"/>
        </w:rPr>
      </w:pPr>
      <w:r>
        <w:rPr>
          <w:rFonts w:hint="eastAsia"/>
          <w:b/>
          <w:bCs/>
          <w:color w:val="auto"/>
          <w:sz w:val="24"/>
          <w:szCs w:val="24"/>
          <w:highlight w:val="none"/>
        </w:rPr>
        <w:t xml:space="preserve">项目编号：</w:t>
      </w:r>
      <w:r>
        <w:rPr>
          <w:rFonts w:hint="eastAsia"/>
          <w:b/>
          <w:bCs/>
          <w:color w:val="auto"/>
          <w:sz w:val="24"/>
          <w:szCs w:val="24"/>
          <w:highlight w:val="none"/>
          <w:lang w:eastAsia="zh-CN"/>
        </w:rPr>
        <w:t xml:space="preserve">JSZC-320500-SZRQ-G2024-0048</w:t>
      </w:r>
      <w:r/>
    </w:p>
    <w:p>
      <w:pPr>
        <w:pStyle w:val="653"/>
        <w:rPr>
          <w:color w:val="auto"/>
          <w:sz w:val="24"/>
          <w:szCs w:val="24"/>
          <w:highlight w:val="none"/>
        </w:rPr>
      </w:pPr>
      <w:r>
        <w:rPr>
          <w:rFonts w:hint="eastAsia"/>
          <w:color w:val="auto"/>
          <w:sz w:val="24"/>
          <w:szCs w:val="24"/>
          <w:highlight w:val="none"/>
        </w:rPr>
        <w:t xml:space="preserve">甲方：</w:t>
      </w:r>
      <w:r/>
    </w:p>
    <w:p>
      <w:pPr>
        <w:pStyle w:val="653"/>
        <w:rPr>
          <w:color w:val="auto"/>
          <w:sz w:val="24"/>
          <w:szCs w:val="24"/>
          <w:highlight w:val="none"/>
        </w:rPr>
      </w:pPr>
      <w:r>
        <w:rPr>
          <w:rFonts w:hint="eastAsia"/>
          <w:color w:val="auto"/>
          <w:sz w:val="24"/>
          <w:szCs w:val="24"/>
          <w:highlight w:val="none"/>
        </w:rPr>
        <w:t xml:space="preserve">地址：</w:t>
      </w:r>
      <w:r/>
    </w:p>
    <w:p>
      <w:pPr>
        <w:pStyle w:val="653"/>
        <w:rPr>
          <w:color w:val="auto"/>
          <w:sz w:val="24"/>
          <w:szCs w:val="24"/>
          <w:highlight w:val="none"/>
        </w:rPr>
      </w:pPr>
      <w:r>
        <w:rPr>
          <w:rFonts w:hint="eastAsia"/>
          <w:color w:val="auto"/>
          <w:sz w:val="24"/>
          <w:szCs w:val="24"/>
          <w:highlight w:val="none"/>
        </w:rPr>
        <w:t xml:space="preserve">电话：</w:t>
      </w:r>
      <w:r/>
    </w:p>
    <w:p>
      <w:pPr>
        <w:pStyle w:val="653"/>
        <w:rPr>
          <w:rFonts w:hint="eastAsia"/>
          <w:color w:val="auto"/>
          <w:sz w:val="24"/>
          <w:szCs w:val="24"/>
          <w:highlight w:val="none"/>
        </w:rPr>
      </w:pPr>
      <w:r>
        <w:rPr>
          <w:rFonts w:hint="eastAsia"/>
          <w:color w:val="auto"/>
          <w:sz w:val="24"/>
          <w:szCs w:val="24"/>
          <w:highlight w:val="none"/>
        </w:rPr>
      </w:r>
      <w:r/>
    </w:p>
    <w:p>
      <w:pPr>
        <w:pStyle w:val="653"/>
        <w:rPr>
          <w:color w:val="auto"/>
          <w:sz w:val="24"/>
          <w:szCs w:val="24"/>
          <w:highlight w:val="none"/>
        </w:rPr>
      </w:pPr>
      <w:r>
        <w:rPr>
          <w:rFonts w:hint="eastAsia"/>
          <w:color w:val="auto"/>
          <w:sz w:val="24"/>
          <w:szCs w:val="24"/>
          <w:highlight w:val="none"/>
        </w:rPr>
        <w:t xml:space="preserve">乙方：</w:t>
      </w:r>
      <w:r/>
    </w:p>
    <w:p>
      <w:pPr>
        <w:pStyle w:val="653"/>
        <w:rPr>
          <w:color w:val="auto"/>
          <w:sz w:val="24"/>
          <w:szCs w:val="24"/>
          <w:highlight w:val="none"/>
        </w:rPr>
      </w:pPr>
      <w:r>
        <w:rPr>
          <w:rFonts w:hint="eastAsia"/>
          <w:color w:val="auto"/>
          <w:sz w:val="24"/>
          <w:szCs w:val="24"/>
          <w:highlight w:val="none"/>
        </w:rPr>
        <w:t xml:space="preserve">地址：</w:t>
      </w:r>
      <w:r/>
    </w:p>
    <w:p>
      <w:pPr>
        <w:pStyle w:val="653"/>
        <w:rPr>
          <w:rFonts w:hint="eastAsia"/>
          <w:color w:val="auto"/>
          <w:sz w:val="24"/>
          <w:szCs w:val="24"/>
          <w:highlight w:val="none"/>
        </w:rPr>
      </w:pPr>
      <w:r>
        <w:rPr>
          <w:rFonts w:hint="eastAsia"/>
          <w:color w:val="auto"/>
          <w:sz w:val="24"/>
          <w:szCs w:val="24"/>
          <w:highlight w:val="none"/>
        </w:rPr>
        <w:t xml:space="preserve">电话：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根据苏州睿乔招投标咨询服务有限公司采购编号</w:t>
      </w:r>
      <w:r>
        <w:rPr>
          <w:rFonts w:hint="eastAsia" w:ascii="宋体" w:hAnsi="宋体" w:cs="宋体"/>
          <w:color w:val="auto"/>
          <w:sz w:val="24"/>
          <w:szCs w:val="24"/>
          <w:highlight w:val="none"/>
          <w:u w:val="single"/>
          <w:lang w:eastAsia="zh-CN"/>
        </w:rPr>
        <w:t xml:space="preserve">JSZC-320500-SZRQ-G2024-0048</w:t>
      </w:r>
      <w:r>
        <w:rPr>
          <w:rFonts w:hint="eastAsia" w:ascii="宋体" w:hAnsi="宋体" w:eastAsia="宋体" w:cs="宋体"/>
          <w:color w:val="auto"/>
          <w:sz w:val="24"/>
          <w:szCs w:val="24"/>
          <w:highlight w:val="none"/>
        </w:rPr>
        <w:t xml:space="preserve">政府</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文件及中标单位的投标文件和中标通知书，甲乙双方就此次成交项目的采购事宜，签订本合同书。</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下列文件为本合同不可分割部分：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中标通知书；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乙方的投标文件；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乙方在招投标过程中所作的其它承诺、声明、书面澄清等；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招标文件及其附件；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 合同附件。</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以上</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与合同具有同等法律效力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2、服务期限：</w:t>
      </w:r>
      <w:r>
        <w:rPr>
          <w:rFonts w:hint="eastAsia" w:ascii="宋体" w:hAnsi="宋体" w:cs="宋体"/>
          <w:color w:val="auto"/>
          <w:sz w:val="24"/>
          <w:szCs w:val="24"/>
          <w:highlight w:val="none"/>
          <w:lang w:val="en-US" w:eastAsia="zh-CN"/>
        </w:rPr>
        <w:t xml:space="preserve">三年（具体起始时间以签订合同为准）</w:t>
      </w:r>
      <w:r>
        <w:rPr>
          <w:rFonts w:hint="eastAsia" w:ascii="宋体" w:hAnsi="宋体" w:eastAsia="宋体" w:cs="宋体"/>
          <w:color w:val="auto"/>
          <w:sz w:val="24"/>
          <w:szCs w:val="24"/>
          <w:highlight w:val="none"/>
          <w:lang w:val="en-US" w:eastAsia="zh-CN"/>
        </w:rPr>
        <w:t xml:space="preserve">。</w:t>
      </w:r>
      <w:r/>
    </w:p>
    <w:p>
      <w:pPr>
        <w:spacing w:line="360" w:lineRule="auto"/>
        <w:rPr>
          <w:rFonts w:ascii="宋体" w:hAnsi="宋体" w:eastAsia="宋体" w:cs="Times New Roman"/>
          <w:b/>
          <w:bCs/>
          <w:color w:val="auto"/>
          <w:sz w:val="24"/>
          <w:highlight w:val="none"/>
        </w:rPr>
      </w:pPr>
      <w:r>
        <w:rPr>
          <w:rFonts w:hint="eastAsia" w:ascii="宋体" w:hAnsi="宋体" w:eastAsia="宋体" w:cs="Times New Roman"/>
          <w:b w:val="0"/>
          <w:bCs w:val="0"/>
          <w:color w:val="auto"/>
          <w:sz w:val="24"/>
          <w:highlight w:val="none"/>
        </w:rPr>
        <w:t xml:space="preserve">二、价格及结算</w:t>
      </w:r>
      <w:r/>
    </w:p>
    <w:p>
      <w:pPr>
        <w:ind w:firstLine="480"/>
        <w:spacing w:line="360" w:lineRule="auto"/>
        <w:rPr>
          <w:rFonts w:hint="default" w:ascii="宋体" w:hAnsi="宋体" w:eastAsia="宋体" w:cs="Times New Roman"/>
          <w:bCs/>
          <w:color w:val="auto"/>
          <w:sz w:val="24"/>
          <w:highlight w:val="none"/>
          <w:lang w:val="en-US" w:eastAsia="zh-CN" w:bidi="en-US"/>
        </w:rPr>
      </w:pPr>
      <w:r>
        <w:rPr>
          <w:rFonts w:hint="eastAsia" w:ascii="宋体" w:hAnsi="宋体" w:eastAsia="宋体" w:cs="Times New Roman"/>
          <w:bCs/>
          <w:color w:val="auto"/>
          <w:sz w:val="24"/>
          <w:szCs w:val="24"/>
          <w:highlight w:val="none"/>
          <w:lang w:bidi="en-US"/>
        </w:rPr>
        <w:t xml:space="preserve">1、</w:t>
      </w:r>
      <w:r>
        <w:rPr>
          <w:rFonts w:hint="eastAsia" w:ascii="宋体" w:hAnsi="宋体" w:eastAsia="宋体" w:cs="宋体"/>
          <w:bCs/>
          <w:color w:val="auto"/>
          <w:sz w:val="24"/>
          <w:highlight w:val="none"/>
        </w:rPr>
        <w:t xml:space="preserve">本合同总价款为</w:t>
      </w:r>
      <w:r>
        <w:rPr>
          <w:rFonts w:hint="eastAsia" w:ascii="宋体" w:hAnsi="宋体" w:eastAsia="宋体" w:cs="宋体"/>
          <w:color w:val="auto"/>
          <w:sz w:val="24"/>
          <w:highlight w:val="none"/>
        </w:rPr>
        <w:t xml:space="preserve">：人民币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）。以上费用包括</w:t>
      </w:r>
      <w:r>
        <w:rPr>
          <w:rFonts w:hint="eastAsia" w:ascii="宋体" w:hAnsi="宋体" w:eastAsia="宋体" w:cs="宋体"/>
          <w:color w:val="auto"/>
          <w:sz w:val="24"/>
          <w:highlight w:val="none"/>
          <w:lang w:val="en-US" w:eastAsia="zh-CN"/>
        </w:rPr>
        <w:t xml:space="preserve">但不限于</w:t>
      </w:r>
      <w:r>
        <w:rPr>
          <w:rFonts w:hint="eastAsia" w:ascii="宋体" w:hAnsi="宋体" w:eastAsia="宋体" w:cs="宋体"/>
          <w:color w:val="auto"/>
          <w:sz w:val="24"/>
          <w:highlight w:val="none"/>
        </w:rPr>
        <w:t xml:space="preserve">完成该项目全部内容所需的人工费（含</w:t>
      </w:r>
      <w:r>
        <w:rPr>
          <w:rFonts w:hint="eastAsia" w:ascii="宋体" w:hAnsi="宋体" w:eastAsia="宋体" w:cs="宋体"/>
          <w:color w:val="auto"/>
          <w:sz w:val="24"/>
          <w:highlight w:val="none"/>
          <w:lang w:val="en-US" w:eastAsia="zh-CN"/>
        </w:rPr>
        <w:t xml:space="preserve">工资、</w:t>
      </w:r>
      <w:r>
        <w:rPr>
          <w:rFonts w:hint="eastAsia" w:ascii="宋体" w:hAnsi="宋体" w:eastAsia="宋体" w:cs="宋体"/>
          <w:color w:val="auto"/>
          <w:sz w:val="24"/>
          <w:highlight w:val="none"/>
        </w:rPr>
        <w:t xml:space="preserve">奖金、社会保障金、人身意外险、加班费等）其它在管理过程中发生的一切费用，还包括</w:t>
      </w:r>
      <w:r>
        <w:rPr>
          <w:rFonts w:hint="eastAsia" w:ascii="宋体" w:hAnsi="宋体" w:eastAsia="宋体" w:cs="宋体"/>
          <w:color w:val="auto"/>
          <w:sz w:val="24"/>
          <w:highlight w:val="none"/>
          <w:lang w:val="en-US" w:eastAsia="zh-CN"/>
        </w:rPr>
        <w:t xml:space="preserve">伙食费、设备、车辆、</w:t>
      </w:r>
      <w:r>
        <w:rPr>
          <w:rFonts w:hint="eastAsia" w:ascii="宋体" w:hAnsi="宋体" w:eastAsia="宋体" w:cs="宋体"/>
          <w:color w:val="auto"/>
          <w:sz w:val="24"/>
          <w:highlight w:val="none"/>
        </w:rPr>
        <w:t xml:space="preserve">耗材、劳保、各种税费及政策性文件规定及合同包含的所有风险、责任、代理服务费等各项应有费用。</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1）合同价款的支付及付款方式：合同签订后乙方可以向甲方申请合同金额的30%作为预付款。在签订合同时，乙方明确表示无需预付款或者主动要求降低预付款比例的，甲方可不适用上述关于预付款的规定。具体实施要求按苏财购【2020】52号：一、建立政府采购资金预付款制度的相关规定。</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（2）合同签订后，每</w:t>
      </w:r>
      <w:r>
        <w:rPr>
          <w:rFonts w:hint="eastAsia" w:ascii="宋体" w:hAnsi="宋体" w:cs="宋体"/>
          <w:bCs/>
          <w:color w:val="auto"/>
          <w:sz w:val="24"/>
          <w:highlight w:val="none"/>
          <w:lang w:val="en-US" w:eastAsia="zh-CN"/>
        </w:rPr>
        <w:t xml:space="preserve">年结算</w:t>
      </w:r>
      <w:r>
        <w:rPr>
          <w:rFonts w:hint="eastAsia" w:ascii="宋体" w:hAnsi="宋体" w:eastAsia="宋体" w:cs="宋体"/>
          <w:bCs/>
          <w:color w:val="auto"/>
          <w:sz w:val="24"/>
          <w:highlight w:val="none"/>
          <w:lang w:val="en-US" w:eastAsia="zh-CN"/>
        </w:rPr>
        <w:t xml:space="preserve">金额为=</w:t>
      </w:r>
      <w:r>
        <w:rPr>
          <w:rFonts w:hint="eastAsia" w:ascii="宋体" w:hAnsi="宋体" w:cs="宋体"/>
          <w:bCs/>
          <w:color w:val="auto"/>
          <w:sz w:val="24"/>
          <w:highlight w:val="none"/>
          <w:lang w:val="en-US" w:eastAsia="zh-CN"/>
        </w:rPr>
        <w:t xml:space="preserve">当年营业收入×48%×（1-成交优惠率）</w:t>
      </w:r>
      <w:r>
        <w:rPr>
          <w:rFonts w:hint="eastAsia" w:ascii="宋体" w:hAnsi="宋体" w:eastAsia="宋体" w:cs="宋体"/>
          <w:bCs/>
          <w:color w:val="auto"/>
          <w:sz w:val="24"/>
          <w:highlight w:val="none"/>
          <w:lang w:val="en-US" w:eastAsia="zh-CN"/>
        </w:rPr>
        <w:t xml:space="preserve">-</w:t>
      </w:r>
      <w:r>
        <w:rPr>
          <w:rFonts w:hint="eastAsia" w:ascii="宋体" w:hAnsi="宋体" w:cs="宋体"/>
          <w:bCs/>
          <w:color w:val="auto"/>
          <w:sz w:val="24"/>
          <w:highlight w:val="none"/>
          <w:lang w:val="en-US" w:eastAsia="zh-CN"/>
        </w:rPr>
        <w:t xml:space="preserve">考核扣款</w:t>
      </w:r>
      <w:r>
        <w:rPr>
          <w:rFonts w:hint="eastAsia" w:ascii="宋体" w:hAnsi="宋体" w:eastAsia="宋体" w:cs="宋体"/>
          <w:bCs/>
          <w:color w:val="auto"/>
          <w:sz w:val="24"/>
          <w:highlight w:val="none"/>
          <w:lang w:val="en-US" w:eastAsia="zh-CN"/>
        </w:rPr>
        <w:t xml:space="preserve">，甲方于下一</w:t>
      </w:r>
      <w:r>
        <w:rPr>
          <w:rFonts w:hint="eastAsia" w:ascii="宋体" w:hAnsi="宋体" w:cs="宋体"/>
          <w:bCs/>
          <w:color w:val="auto"/>
          <w:sz w:val="24"/>
          <w:highlight w:val="none"/>
          <w:lang w:val="en-US" w:eastAsia="zh-CN"/>
        </w:rPr>
        <w:t xml:space="preserve">年度</w:t>
      </w:r>
      <w:r>
        <w:rPr>
          <w:rFonts w:hint="eastAsia" w:ascii="宋体" w:hAnsi="宋体" w:eastAsia="宋体" w:cs="宋体"/>
          <w:bCs/>
          <w:color w:val="auto"/>
          <w:sz w:val="24"/>
          <w:highlight w:val="none"/>
          <w:lang w:val="en-US" w:eastAsia="zh-CN"/>
        </w:rPr>
        <w:t xml:space="preserve">首月10日前支付上</w:t>
      </w:r>
      <w:r>
        <w:rPr>
          <w:rFonts w:hint="eastAsia" w:ascii="宋体" w:hAnsi="宋体" w:cs="宋体"/>
          <w:bCs/>
          <w:color w:val="auto"/>
          <w:sz w:val="24"/>
          <w:highlight w:val="none"/>
          <w:lang w:val="en-US" w:eastAsia="zh-CN"/>
        </w:rPr>
        <w:t xml:space="preserve">一年度</w:t>
      </w:r>
      <w:r>
        <w:rPr>
          <w:rFonts w:hint="eastAsia" w:ascii="宋体" w:hAnsi="宋体" w:eastAsia="宋体" w:cs="宋体"/>
          <w:bCs/>
          <w:color w:val="auto"/>
          <w:sz w:val="24"/>
          <w:highlight w:val="none"/>
          <w:lang w:val="en-US" w:eastAsia="zh-CN"/>
        </w:rPr>
        <w:t xml:space="preserve">应付费用。</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3、甲方支付此项费用外不再承担其它任何费用（包括个人），服务人员的薪金、福利、休假日补贴等由乙方付给，与甲方无关。</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4、付款方式：银行汇票或转帐支票或数字人民币。</w:t>
      </w:r>
      <w:r/>
    </w:p>
    <w:p>
      <w:pPr>
        <w:ind w:firstLine="480"/>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outlineLvl w:val="9"/>
      </w:pPr>
      <w:r>
        <w:rPr>
          <w:rFonts w:hint="eastAsia" w:ascii="宋体" w:hAnsi="宋体" w:eastAsia="宋体" w:cs="Times New Roman"/>
          <w:bCs/>
          <w:color w:val="auto"/>
          <w:sz w:val="24"/>
          <w:highlight w:val="none"/>
          <w:lang w:val="en-US" w:eastAsia="zh-CN"/>
        </w:rPr>
        <w:t xml:space="preserve">5、乙方银行开户信息：</w:t>
      </w:r>
      <w:r/>
    </w:p>
    <w:p>
      <w:pPr>
        <w:ind w:firstLine="480"/>
        <w:keepLines w:val="0"/>
        <w:keepNext w:val="0"/>
        <w:pageBreakBefore w:val="0"/>
        <w:spacing w:line="360" w:lineRule="auto"/>
        <w:widowControl w:val="off"/>
        <w:rPr>
          <w:rFonts w:hint="eastAsia" w:ascii="宋体" w:hAnsi="宋体" w:eastAsia="宋体" w:cs="Times New Roman"/>
          <w:bCs/>
          <w:color w:val="auto"/>
          <w:sz w:val="24"/>
          <w:highlight w:val="none"/>
          <w:lang w:val="en-US" w:eastAsia="zh-CN"/>
        </w:rPr>
        <w:outlineLvl w:val="9"/>
      </w:pPr>
      <w:r>
        <w:rPr>
          <w:rFonts w:hint="eastAsia" w:ascii="宋体" w:hAnsi="宋体" w:eastAsia="宋体" w:cs="Times New Roman"/>
          <w:bCs/>
          <w:color w:val="auto"/>
          <w:sz w:val="24"/>
          <w:highlight w:val="none"/>
          <w:lang w:val="en-US" w:eastAsia="zh-CN"/>
        </w:rPr>
        <w:t xml:space="preserve">乙方账号名称：</w:t>
      </w:r>
      <w:r/>
    </w:p>
    <w:p>
      <w:pPr>
        <w:ind w:firstLine="480"/>
        <w:keepLines w:val="0"/>
        <w:keepNext w:val="0"/>
        <w:pageBreakBefore w:val="0"/>
        <w:spacing w:line="360" w:lineRule="auto"/>
        <w:widowControl w:val="off"/>
        <w:rPr>
          <w:rFonts w:hint="default" w:ascii="宋体" w:hAnsi="宋体" w:eastAsia="宋体" w:cs="Times New Roman"/>
          <w:bCs/>
          <w:color w:val="auto"/>
          <w:sz w:val="24"/>
          <w:highlight w:val="none"/>
          <w:lang w:val="en-US" w:eastAsia="zh-CN"/>
        </w:rPr>
        <w:outlineLvl w:val="9"/>
      </w:pPr>
      <w:r>
        <w:rPr>
          <w:rFonts w:hint="eastAsia" w:ascii="宋体" w:hAnsi="宋体" w:eastAsia="宋体" w:cs="Times New Roman"/>
          <w:bCs/>
          <w:color w:val="auto"/>
          <w:sz w:val="24"/>
          <w:highlight w:val="none"/>
          <w:lang w:val="en-US" w:eastAsia="zh-CN"/>
        </w:rPr>
        <w:t xml:space="preserve">银行账号：</w:t>
      </w:r>
      <w:r/>
    </w:p>
    <w:p>
      <w:pPr>
        <w:ind w:firstLine="480"/>
        <w:keepLines w:val="0"/>
        <w:keepNext w:val="0"/>
        <w:pageBreakBefore w:val="0"/>
        <w:spacing w:line="360" w:lineRule="auto"/>
        <w:widowControl w:val="off"/>
        <w:rPr>
          <w:rFonts w:hint="default" w:ascii="宋体" w:hAnsi="宋体" w:eastAsia="宋体" w:cs="Times New Roman"/>
          <w:bCs/>
          <w:color w:val="auto"/>
          <w:sz w:val="24"/>
          <w:highlight w:val="none"/>
          <w:lang w:val="en-US" w:eastAsia="zh-CN"/>
        </w:rPr>
        <w:outlineLvl w:val="9"/>
      </w:pPr>
      <w:r>
        <w:rPr>
          <w:rFonts w:hint="eastAsia" w:ascii="宋体" w:hAnsi="宋体" w:eastAsia="宋体" w:cs="Times New Roman"/>
          <w:bCs/>
          <w:color w:val="auto"/>
          <w:sz w:val="24"/>
          <w:highlight w:val="none"/>
          <w:lang w:val="en-US" w:eastAsia="zh-CN"/>
        </w:rPr>
        <w:t xml:space="preserve">银行开户行：</w:t>
      </w:r>
      <w:r/>
    </w:p>
    <w:p>
      <w:pPr>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t xml:space="preserve">三、服务内容及要求</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详见招标文件</w:t>
      </w:r>
      <w:r/>
    </w:p>
    <w:p>
      <w:pPr>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四、甲、乙双方的责任</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（一）甲方责任：</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1、为乙方提供所需相关设备及资料，并指定专人作为甲方联系人予以协调工作。加强与乙方沟通，交流情况，互通信息。</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2、甲方应教育所属人员尊重乙方工作人员的劳动成果，积极配合乙方工作人员履行好合同所规定的职责和义务。对甲方人员因使用设备、器材、器械不当而造成的损失与乙方无关。</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（二）乙方责任：</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（1）乙方根据甲方有关要求，积极主动保质保量地完成服务工作。</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（2）乙方必须满足本招标文件要求。</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（3）接受并主动配合甲方及行业主管部门的检查。</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（4）服务范围之外的突击性、突发性工作，乙方须服从甲方的安排，不得无故拖延。</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（5）因乙方管理不善而损坏的硬件、设施应负责及时修复，或照价赔偿。</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（6）本项目运营全过程所需布置、维护、设备更新、人员报酬、人员安全等各项全部费用由乙方自行承担。</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（7）须为游客购买公众责任险，年度累计赔付保险金额不低于伍佰万元，单人单次赔付限额不低于伍拾万元。</w:t>
      </w:r>
      <w:r/>
    </w:p>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2"/>
          <w:highlight w:val="none"/>
          <w:lang w:val="en-US" w:eastAsia="zh-CN"/>
        </w:rPr>
        <w:t xml:space="preserve">五</w:t>
      </w:r>
      <w:r>
        <w:rPr>
          <w:rFonts w:hint="eastAsia" w:ascii="宋体" w:hAnsi="宋体" w:eastAsia="宋体" w:cs="宋体"/>
          <w:b w:val="0"/>
          <w:bCs w:val="0"/>
          <w:color w:val="auto"/>
          <w:sz w:val="24"/>
          <w:szCs w:val="22"/>
          <w:highlight w:val="none"/>
        </w:rPr>
        <w:t xml:space="preserve">、</w:t>
      </w:r>
      <w:r>
        <w:rPr>
          <w:rFonts w:hint="eastAsia" w:ascii="宋体" w:hAnsi="宋体" w:eastAsia="宋体" w:cs="宋体"/>
          <w:b w:val="0"/>
          <w:bCs w:val="0"/>
          <w:color w:val="auto"/>
          <w:sz w:val="24"/>
          <w:szCs w:val="24"/>
          <w:highlight w:val="none"/>
        </w:rPr>
        <w:t xml:space="preserve">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甲方违约责任及违约金支付：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（2）甲方逾期付款的应按照逾期付款金额的每天万分之四支付逾期付款违约金</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（3）甲方违反合同规定，拒绝接受乙方提供服务，应当承担乙方由此造成的损失</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乙方违约责任及违约金支付：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（1）乙方不能提供服务的，或服务不到位的，应向甲方偿付合同总价款5%的违约金，违约金不足以补偿损失的甲方有权要求乙方补足。</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color w:val="auto"/>
          <w:sz w:val="24"/>
          <w:szCs w:val="24"/>
          <w:highlight w:val="none"/>
        </w:rPr>
        <w:t xml:space="preserve">（2）乙方逾期提供服务的，应与甲方和政府采购管理部门协商，甲方仍需求的，乙方应立即提供服务按照逾期服务的每天万分之四支付逾期违约金，同时承担甲方因此遭致的损失费用。</w:t>
      </w:r>
      <w:r/>
    </w:p>
    <w:p>
      <w:pPr>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六</w:t>
      </w:r>
      <w:r>
        <w:rPr>
          <w:rFonts w:hint="eastAsia" w:ascii="宋体" w:hAnsi="宋体" w:eastAsia="宋体" w:cs="宋体"/>
          <w:bCs/>
          <w:color w:val="auto"/>
          <w:sz w:val="24"/>
          <w:highlight w:val="none"/>
        </w:rPr>
        <w:t xml:space="preserve">、其它</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1、乙方除应为相关人员提供必要的劳动保护条件外，还应为其办理作业时的人身安全保险和意外伤害险。一切安全责任事故均由乙方负责（保险种类由乙方自行选择）。</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2、乙方应做好职工的安全生产教育，并配备一定的劳动保护必需品以供职工使用。</w:t>
      </w:r>
      <w:r/>
    </w:p>
    <w:p>
      <w:pPr>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七</w:t>
      </w:r>
      <w:r>
        <w:rPr>
          <w:rFonts w:hint="eastAsia" w:ascii="宋体" w:hAnsi="宋体" w:eastAsia="宋体" w:cs="宋体"/>
          <w:bCs/>
          <w:color w:val="auto"/>
          <w:sz w:val="24"/>
          <w:highlight w:val="none"/>
        </w:rPr>
        <w:t xml:space="preserve">、合同的生效</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合同经甲乙双方代表签字并加盖公章（或合同章），并在网上</w:t>
      </w:r>
      <w:r>
        <w:rPr>
          <w:rFonts w:hint="eastAsia" w:ascii="宋体" w:hAnsi="宋体" w:eastAsia="宋体" w:cs="宋体"/>
          <w:bCs/>
          <w:color w:val="auto"/>
          <w:sz w:val="24"/>
          <w:highlight w:val="none"/>
          <w:lang w:val="en-US" w:eastAsia="zh-CN"/>
        </w:rPr>
        <w:t xml:space="preserve">公示</w:t>
      </w:r>
      <w:r>
        <w:rPr>
          <w:rFonts w:hint="eastAsia" w:ascii="宋体" w:hAnsi="宋体" w:eastAsia="宋体" w:cs="宋体"/>
          <w:bCs/>
          <w:color w:val="auto"/>
          <w:sz w:val="24"/>
          <w:highlight w:val="none"/>
        </w:rPr>
        <w:t xml:space="preserve">。</w:t>
      </w:r>
      <w:r/>
    </w:p>
    <w:p>
      <w:pPr>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八</w:t>
      </w:r>
      <w:r>
        <w:rPr>
          <w:rFonts w:hint="eastAsia" w:ascii="宋体" w:hAnsi="宋体" w:eastAsia="宋体" w:cs="宋体"/>
          <w:bCs/>
          <w:color w:val="auto"/>
          <w:sz w:val="24"/>
          <w:highlight w:val="none"/>
        </w:rPr>
        <w:t xml:space="preserve">、附则</w:t>
      </w:r>
      <w:r/>
    </w:p>
    <w:p>
      <w:pPr>
        <w:ind w:firstLine="48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1、合同份数：本合同一式六份，甲乙双方各执二份，招标代理机构一份，政府采购监管部门一份。</w:t>
      </w:r>
      <w:r/>
    </w:p>
    <w:p>
      <w:pPr>
        <w:ind w:firstLine="480"/>
        <w:jc w:val="left"/>
        <w:keepLines w:val="0"/>
        <w:keepNext w:val="0"/>
        <w:pageBreakBefore w:val="0"/>
        <w:spacing w:line="360" w:lineRule="auto"/>
        <w:widowControl w:val="off"/>
        <w:tabs>
          <w:tab w:val="right" w:pos="8302" w:leader="dot"/>
        </w:tabs>
        <w:rPr>
          <w:rFonts w:hint="eastAsia" w:ascii="宋体" w:hAnsi="宋体" w:eastAsia="宋体" w:cs="宋体"/>
          <w:color w:val="auto"/>
          <w:sz w:val="32"/>
          <w:szCs w:val="32"/>
          <w:highlight w:val="none"/>
          <w:lang w:val="en-US" w:eastAsia="zh-CN" w:bidi="ar-SA"/>
        </w:rPr>
      </w:pPr>
      <w:r>
        <w:rPr>
          <w:rFonts w:hint="eastAsia" w:ascii="宋体" w:hAnsi="宋体" w:eastAsia="宋体" w:cs="宋体"/>
          <w:bCs/>
          <w:color w:val="auto"/>
          <w:sz w:val="24"/>
          <w:szCs w:val="20"/>
          <w:highlight w:val="none"/>
          <w:lang w:val="en-US" w:eastAsia="zh-CN" w:bidi="ar-SA"/>
        </w:rPr>
        <w:t xml:space="preserve">2、未尽事宜：本合同未尽事宜应按《中华人民共和国民法典》、《中华人民共和国政府采购法》以及其同相关法律、法规之规定解释。</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乙方：（盖章）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代表签名：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代表签名：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p>
    <w:p>
      <w:pPr>
        <w:rPr>
          <w:rStyle w:val="829"/>
          <w:rFonts w:hint="eastAsia" w:ascii="宋体" w:hAnsi="宋体" w:eastAsia="宋体" w:cs="宋体"/>
          <w:color w:val="auto"/>
          <w:sz w:val="32"/>
          <w:szCs w:val="32"/>
          <w:highlight w:val="none"/>
        </w:rPr>
      </w:pPr>
      <w:r>
        <w:rPr>
          <w:rStyle w:val="829"/>
          <w:rFonts w:hint="eastAsia" w:ascii="宋体" w:hAnsi="宋体" w:eastAsia="宋体" w:cs="宋体"/>
          <w:color w:val="auto"/>
          <w:sz w:val="32"/>
          <w:szCs w:val="32"/>
          <w:highlight w:val="none"/>
        </w:rPr>
        <w:br w:type="page" w:clear="all"/>
      </w:r>
      <w:r/>
    </w:p>
    <w:p>
      <w:pPr>
        <w:pStyle w:val="851"/>
        <w:jc w:val="center"/>
        <w:spacing w:after="312" w:line="480" w:lineRule="auto"/>
        <w:tabs>
          <w:tab w:val="right" w:pos="8302" w:leader="dot"/>
        </w:tabs>
        <w:rPr>
          <w:rFonts w:hint="eastAsia" w:ascii="宋体" w:hAnsi="宋体" w:eastAsia="宋体" w:cs="宋体"/>
          <w:b/>
          <w:color w:val="auto"/>
          <w:sz w:val="32"/>
          <w:szCs w:val="32"/>
          <w:highlight w:val="none"/>
        </w:rPr>
      </w:pPr>
      <w:r>
        <w:rPr>
          <w:rStyle w:val="829"/>
          <w:rFonts w:hint="eastAsia" w:ascii="宋体" w:hAnsi="宋体" w:eastAsia="宋体" w:cs="宋体"/>
          <w:color w:val="auto"/>
          <w:sz w:val="32"/>
          <w:szCs w:val="32"/>
          <w:highlight w:val="none"/>
        </w:rPr>
        <w:t xml:space="preserve">第六章  评标办法及评分标准</w:t>
      </w:r>
      <w:r/>
    </w:p>
    <w:p>
      <w:pPr>
        <w:spacing w:line="360" w:lineRule="auto"/>
        <w:rPr>
          <w:rFonts w:hint="eastAsia" w:ascii="宋体" w:hAnsi="宋体" w:eastAsia="宋体" w:cs="宋体"/>
          <w:bCs/>
          <w:color w:val="auto"/>
          <w:sz w:val="24"/>
          <w:highlight w:val="none"/>
        </w:rPr>
      </w:pPr>
      <w:r/>
      <w:bookmarkStart w:id="5" w:name="_Toc179806444"/>
      <w:r/>
      <w:bookmarkStart w:id="6" w:name="_Toc163571923"/>
      <w:r>
        <w:rPr>
          <w:rFonts w:hint="eastAsia" w:ascii="宋体" w:hAnsi="宋体" w:eastAsia="宋体" w:cs="宋体"/>
          <w:bCs/>
          <w:color w:val="auto"/>
          <w:sz w:val="24"/>
          <w:highlight w:val="none"/>
        </w:rPr>
        <w:t xml:space="preserve">一、评标办法</w:t>
      </w:r>
      <w:bookmarkEnd w:id="5"/>
      <w:r/>
      <w:bookmarkEnd w:id="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1、本次招标评标采用为综合评分法，即在满足招标文件实质性要求前提下，按照招标文件中规定的评分标准和各项因素进行综合评审后，以评标总得分最高的投标人作为中标候选人。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3、对评委的评分（除价格分外）进行统计汇总，评委人数在</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人的，直接算术平均计算得分。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5、针对小型、微型企业的价格评审办法：</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根据《关于印发&lt;苏州市政府采购促进中小企业发展实施意见&gt;的通知》（苏财购〔2022〕16号）相关要求，本项目为专门面向中小企业采购的项目，不再执行价格评审优惠的扶持政策。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本次招标中，投标单位如为残疾人福利性单位，则视同小型、微型企业。向残疾人福利性单位采购的金额，计入面向中小企业采购的统计数据。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本次招标中，投标单位如为监狱企业，则视同小型、微型企业。向监狱企业采购的金额，计入面向中小企业采购的统计数据。</w:t>
      </w:r>
      <w:r/>
    </w:p>
    <w:p>
      <w:pPr>
        <w:ind w:right="-15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①填报“中小企业声明函”需严格按“工信部联企业〔2011〕300号通知中的《中小企业划型标准规定》进行。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②若投标人提供的 “中小企业声明函” 或认定证明为虚假声明则视同提供虚假材料，按“政府采购法”相关规定处理并报请政府监管部门给予行政处罚。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③根据《关于印发&lt;苏州市政府采购促进中小企业发展实施意见&gt;的通知》（苏财购〔2022〕16号）相关要求，本项目为专门面向中小企业采购的项目，不再执行价格评审优惠的扶持政策。</w:t>
      </w:r>
      <w:r/>
    </w:p>
    <w:p>
      <w:pPr>
        <w:numPr>
          <w:ilvl w:val="0"/>
          <w:numId w:val="4"/>
        </w:numPr>
        <w:ind w:right="-15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评分标准</w:t>
      </w:r>
      <w:r/>
    </w:p>
    <w:p>
      <w:pPr>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（一）价格基准分</w:t>
      </w: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第一步：投标总报价低于或等于采购预算价格的，为有效投标报价。超采购预算的投标报价为无效投标报价。无效投标报价的投标文件不进行评审，也不得标。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第二步：价格分采用低价优先法计算，即满足招标文件要求且投标价格最低的投标报价为评标基准价，其价格分为满分</w:t>
      </w:r>
      <w:r>
        <w:rPr>
          <w:rFonts w:hint="eastAsia" w:ascii="宋体" w:hAnsi="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分。其他投标人的价格分统一按照下列公式计算：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优惠率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得分=（评标基准价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优惠率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/投标报价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优惠率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）*价格权值*100，小数点后保留两位（价格权值为</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w:t>
      </w:r>
      <w:r/>
    </w:p>
    <w:p>
      <w:pPr>
        <w:spacing w:line="360" w:lineRule="auto"/>
        <w:rPr>
          <w:rFonts w:hint="default"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（二）服务方案比较（</w:t>
      </w:r>
      <w:r>
        <w:rPr>
          <w:rFonts w:hint="eastAsia" w:ascii="宋体" w:hAnsi="宋体" w:eastAsia="宋体" w:cs="Times New Roman"/>
          <w:b/>
          <w:color w:val="auto"/>
          <w:sz w:val="24"/>
          <w:highlight w:val="none"/>
          <w:lang w:val="en-US" w:eastAsia="zh-CN"/>
        </w:rPr>
        <w:t xml:space="preserve">5</w:t>
      </w:r>
      <w:r>
        <w:rPr>
          <w:rFonts w:hint="eastAsia" w:ascii="宋体" w:hAnsi="宋体" w:cs="Times New Roman"/>
          <w:b/>
          <w:color w:val="auto"/>
          <w:sz w:val="24"/>
          <w:highlight w:val="none"/>
          <w:lang w:val="en-US" w:eastAsia="zh-CN"/>
        </w:rPr>
        <w:t xml:space="preserve">4</w:t>
      </w:r>
      <w:r>
        <w:rPr>
          <w:rFonts w:hint="eastAsia" w:ascii="宋体" w:hAnsi="宋体" w:eastAsia="宋体" w:cs="Times New Roman"/>
          <w:b/>
          <w:color w:val="auto"/>
          <w:sz w:val="24"/>
          <w:highlight w:val="none"/>
        </w:rPr>
        <w:t xml:space="preserve">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1、根据投标单位提供的服务总体模式清晰，配套措施周全，运作设计合理方案等进行综合评分；提供内容全面完善、科学合理、针对性强操作性强、切实可行的得5分，提供内容全面完善、科学合理的得3分，有方案但不合理的得1分；未提供不得分。最高5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2、根据投标单位提供的运营管理方案，包括但不限于：游乐设备运营管理、安全台账管理、基础设施维护、乐园日常运营等进行综合评分；提供内容全面完善、科学合理、针对性强操作性强、切实可行的得</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分，提供内容全面完善、科学合理的得</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分，有方案但不合理的得1分；未提供不得分。最高</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3、根据投标单位提供的营销方案进行综合评分；提供内容全面完善、科学合理、针对性强操作性强、切实可行的得</w:t>
      </w: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分，提供内容全面完善、科学合理的得</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分，有方案但不合理的得1分；未提供不得分。最高</w:t>
      </w: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4、根据投标单位提供的服务理念及整体组织架构方案等进行综合评分；提供内容全面完善、科学合理、针对性强操作性强、切实可行的得5分，提供内容全面完善、科学合理的得3分，有方案但不合理的得1分；未提供不得分。最高5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5、根据投标单位提供的服务质量保障措施及方案等进行综合评分；提供内容全面完善、科学合理、针对性强操作性强、切实可行的得5分，提供内容全面完善、科学合理的得3分，有方案但不合理的得1分；未提供不得分。最高5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6、根据投标单位提供的进退场方案的完整性、可操作性、合理性等进行综合评分；提供内容全面完善、科学合理、针对性强操作性强、切实可行的得5分，提供内容全面完善、科学合理的得3分，有方案但不合理的得1分；未提供不得分。最高5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7、根据投标单位提供的详细的年度培训计划、培训及支持方案的完整性、可操作性、合理性等进行综合评分；提供内容全面完善、科学合理、针对性强操作性强、切实可行的得5分，提供内容全面完善、科学合理的得3分，有方案但不合理的得1分；未提供不得分。最高5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8、根据投标单位提供的</w:t>
      </w:r>
      <w:r>
        <w:rPr>
          <w:rFonts w:hint="eastAsia" w:ascii="宋体" w:hAnsi="宋体" w:eastAsia="宋体" w:cs="宋体"/>
          <w:bCs/>
          <w:color w:val="auto"/>
          <w:sz w:val="24"/>
          <w:highlight w:val="none"/>
          <w:lang w:val="zh-CN"/>
        </w:rPr>
        <w:t xml:space="preserve">有详细的突发事件应急措施，包括</w:t>
      </w:r>
      <w:r>
        <w:rPr>
          <w:rFonts w:hint="eastAsia" w:ascii="宋体" w:hAnsi="宋体" w:eastAsia="宋体" w:cs="宋体"/>
          <w:bCs/>
          <w:color w:val="auto"/>
          <w:sz w:val="24"/>
          <w:highlight w:val="none"/>
        </w:rPr>
        <w:t xml:space="preserve">但不限于</w:t>
      </w:r>
      <w:r>
        <w:rPr>
          <w:rFonts w:hint="eastAsia" w:ascii="宋体" w:hAnsi="宋体" w:eastAsia="宋体" w:cs="宋体"/>
          <w:bCs/>
          <w:color w:val="auto"/>
          <w:sz w:val="24"/>
          <w:highlight w:val="none"/>
          <w:lang w:val="zh-CN"/>
        </w:rPr>
        <w:t xml:space="preserve">：特殊事故（情况）措施、治安应急措施、消防应急措施等</w:t>
      </w:r>
      <w:r>
        <w:rPr>
          <w:rFonts w:hint="eastAsia" w:ascii="宋体" w:hAnsi="宋体" w:eastAsia="宋体" w:cs="宋体"/>
          <w:bCs/>
          <w:color w:val="auto"/>
          <w:sz w:val="24"/>
          <w:highlight w:val="none"/>
        </w:rPr>
        <w:t xml:space="preserve">方案的完整性、可操作性、合理性等进行综合评分；提供内容全面完善、科学合理、针对性强操作性强、切实可行的得5分，提供内容全面完善、科学合理的得3分，有方案但不合理的得1分；未提供不得分。最高5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9、根据投标单位提供的服务人员安全文明规范的完整性、可操作性、合理性等进行综合评分；提供内容全面完善、科学合理、针对性强操作性强、切实可行的得5分，提供内容全面完善、科学合理的得3分，有方案但不合理的得1分；未提供不得分。最高5分</w:t>
      </w:r>
      <w:r/>
    </w:p>
    <w:p>
      <w:pPr>
        <w:ind w:firstLine="480"/>
        <w:spacing w:line="360" w:lineRule="auto"/>
        <w:rPr>
          <w:rFonts w:hint="default" w:ascii="宋体" w:hAnsi="宋体" w:eastAsia="宋体" w:cs="宋体"/>
          <w:bCs/>
          <w:color w:val="auto"/>
          <w:sz w:val="24"/>
          <w:highlight w:val="none"/>
        </w:rPr>
        <w:outlineLvl w:val="2"/>
      </w:pPr>
      <w:r>
        <w:rPr>
          <w:rFonts w:hint="eastAsia" w:ascii="宋体" w:hAnsi="宋体" w:eastAsia="宋体" w:cs="宋体"/>
          <w:bCs/>
          <w:color w:val="auto"/>
          <w:sz w:val="24"/>
          <w:highlight w:val="none"/>
        </w:rPr>
        <w:t xml:space="preserve">10、根据投标单位提供的管理制度，包括但不限于：档案管理、考核制度、人员管理制度等的完整性、可操作性、合理性等进行综合评分；提供内容全面完善、科学合理、针对性强操作性强、切实可行的得5分，提供内容全面完善、科学合理的得3分，有方案但不合理的得1分；未提供不得分。最高5分</w:t>
      </w:r>
      <w:r/>
    </w:p>
    <w:p>
      <w:pPr>
        <w:spacing w:line="360" w:lineRule="auto"/>
        <w:rPr>
          <w:rFonts w:hint="default"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（三）投标单位综合实力（</w:t>
      </w:r>
      <w:r>
        <w:rPr>
          <w:rFonts w:hint="eastAsia" w:ascii="宋体" w:hAnsi="宋体" w:eastAsia="宋体" w:cs="Times New Roman"/>
          <w:b/>
          <w:color w:val="auto"/>
          <w:sz w:val="24"/>
          <w:highlight w:val="none"/>
          <w:lang w:val="en-US" w:eastAsia="zh-CN"/>
        </w:rPr>
        <w:t xml:space="preserve">1</w:t>
      </w:r>
      <w:r>
        <w:rPr>
          <w:rFonts w:hint="eastAsia" w:ascii="宋体" w:hAnsi="宋体" w:cs="Times New Roman"/>
          <w:b/>
          <w:color w:val="auto"/>
          <w:sz w:val="24"/>
          <w:highlight w:val="none"/>
          <w:lang w:val="en-US" w:eastAsia="zh-CN"/>
        </w:rPr>
        <w:t xml:space="preserve">6</w:t>
      </w:r>
      <w:r>
        <w:rPr>
          <w:rFonts w:hint="eastAsia" w:ascii="宋体" w:hAnsi="宋体" w:eastAsia="宋体" w:cs="Times New Roman"/>
          <w:b/>
          <w:color w:val="auto"/>
          <w:sz w:val="24"/>
          <w:highlight w:val="none"/>
        </w:rPr>
        <w:t xml:space="preserve">分）</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项目经理具备中华人民共和国特种设备作业人员（大型游乐设施维修）证书（旧证Y1）、中华人民共和国特种设备作业人员（大型游乐设施操作）证书（旧证Y2），每具备一项证书得2分，最高得4分。（响应文件中必须提供人员证书扫描件（或复印件）及响应单位为其缴纳的近期社保证明扫描件（或复印件）,否则对应项不得分。）</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2、维修人员在满足招标文件基本要求基础上，具备中华人民共和国特种设备作业人员（大型游乐设施维修）证书（旧证Y1），有一人得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分。（响应文件中必须提供人员证书扫描件（或复印件）及响应单位为其缴纳的近期社保证明扫描件（或复印件）,否则对应项不得分。）</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游乐设备操作员在满足招标文件基本要求基础上，具备中华人民共和国特种设备作业人员（大型游乐设施操作）证书（旧证Y2），有一人得2分，最高得4分。（响应文件中必须提供人员证书扫描件（或复印件）及响应单位为其缴纳的近期社保证明扫描件（或复印件）,否则对应项不得分。）</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4、投标单位获得过相关的荣誉或表彰或奖项的有一份得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分，最高</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分。（投标文件中需提供证明材料扫描件，未提供的不得分）。</w:t>
      </w:r>
      <w:r/>
    </w:p>
    <w:p>
      <w:pPr>
        <w:ind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5、投标单位自20</w:t>
      </w:r>
      <w:r>
        <w:rPr>
          <w:rFonts w:hint="default" w:ascii="宋体" w:hAnsi="宋体" w:eastAsia="宋体" w:cs="宋体"/>
          <w:color w:val="auto"/>
          <w:sz w:val="24"/>
          <w:highlight w:val="none"/>
        </w:rPr>
        <w:t xml:space="preserve">19</w:t>
      </w:r>
      <w:r>
        <w:rPr>
          <w:rFonts w:hint="eastAsia" w:ascii="宋体" w:hAnsi="宋体" w:eastAsia="宋体" w:cs="宋体"/>
          <w:color w:val="auto"/>
          <w:sz w:val="24"/>
          <w:highlight w:val="none"/>
        </w:rPr>
        <w:t xml:space="preserve">年1月1日至今（类似业绩日期认定：以合同签订日期为准），承担过类似项目业绩的，提供1份合同的得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分，最高</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分。（投标文件中需提供合同扫描件，未提供或资料提供不全的均不得分。）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注：针对评分标准中评分的每一条，投标人在投标文件中均应提供真实的资料并做出相应说明供评委评判，不提供相关资料的视为不具备该项得分的条件。</w:t>
      </w:r>
      <w:r/>
    </w:p>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（全文完）</w:t>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Calibri">
    <w:panose1 w:val="020F0502020204030204"/>
  </w:font>
  <w:font w:name="华文仿宋">
    <w:panose1 w:val="02010600040101010101"/>
  </w:font>
  <w:font w:name="幼圆_GB2312">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Bdr>
        <w:between w:val="none" w:color="000000" w:sz="0" w:space="0"/>
      </w:pBdr>
      <w:framePr w:wrap="around" w:vAnchor="text" w:hAnchor="margin" w:xAlign="center" w:y="1"/>
    </w:pPr>
    <w:r>
      <w:fldChar w:fldCharType="begin"/>
    </w:r>
    <w:r>
      <w:rPr>
        <w:rStyle w:val="835"/>
      </w:rPr>
      <w:instrText xml:space="preserve"> PAGE  </w:instrText>
    </w:r>
    <w:r>
      <w:fldChar w:fldCharType="separate"/>
    </w:r>
    <w:r>
      <w:rPr>
        <w:rStyle w:val="835"/>
      </w:rPr>
      <w:t xml:space="preserve">- 195 -</w:t>
    </w:r>
    <w:r>
      <w:fldChar w:fldCharType="end"/>
    </w:r>
    <w:r/>
  </w:p>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4" w:default="1">
    <w:name w:val="Normal"/>
    <w:next w:val="636"/>
    <w:link w:val="846"/>
    <w:uiPriority w:val="0"/>
    <w:qFormat/>
    <w:pPr>
      <w:jc w:val="both"/>
      <w:widowControl w:val="off"/>
    </w:pPr>
    <w:rPr>
      <w:rFonts w:hint="default" w:ascii="Calibri" w:hAnsi="Calibri" w:eastAsia="宋体" w:cs="Times New Roman"/>
      <w:sz w:val="21"/>
      <w:szCs w:val="24"/>
      <w:lang w:val="en-US" w:eastAsia="zh-CN" w:bidi="ar-SA"/>
    </w:rPr>
  </w:style>
  <w:style w:type="paragraph" w:styleId="625">
    <w:name w:val="Heading 1"/>
    <w:basedOn w:val="624"/>
    <w:next w:val="624"/>
    <w:link w:val="678"/>
    <w:uiPriority w:val="9"/>
    <w:qFormat/>
    <w:pPr>
      <w:keepLines/>
      <w:keepNext/>
      <w:spacing w:before="480" w:after="200"/>
      <w:outlineLvl w:val="0"/>
    </w:pPr>
    <w:rPr>
      <w:rFonts w:ascii="Arial" w:hAnsi="Arial" w:eastAsia="Arial" w:cs="Arial"/>
      <w:sz w:val="40"/>
      <w:szCs w:val="40"/>
    </w:rPr>
  </w:style>
  <w:style w:type="paragraph" w:styleId="626">
    <w:name w:val="Heading 2"/>
    <w:basedOn w:val="624"/>
    <w:next w:val="624"/>
    <w:link w:val="679"/>
    <w:uiPriority w:val="9"/>
    <w:unhideWhenUsed/>
    <w:qFormat/>
    <w:pPr>
      <w:keepLines/>
      <w:keepNext/>
      <w:spacing w:before="360" w:after="200"/>
      <w:outlineLvl w:val="1"/>
    </w:pPr>
    <w:rPr>
      <w:rFonts w:ascii="Arial" w:hAnsi="Arial" w:eastAsia="Arial" w:cs="Arial"/>
      <w:sz w:val="34"/>
    </w:rPr>
  </w:style>
  <w:style w:type="paragraph" w:styleId="627">
    <w:name w:val="Heading 3"/>
    <w:basedOn w:val="624"/>
    <w:next w:val="624"/>
    <w:link w:val="680"/>
    <w:uiPriority w:val="9"/>
    <w:unhideWhenUsed/>
    <w:qFormat/>
    <w:pPr>
      <w:keepLines/>
      <w:keepNext/>
      <w:spacing w:before="320" w:after="200"/>
      <w:outlineLvl w:val="2"/>
    </w:pPr>
    <w:rPr>
      <w:rFonts w:ascii="Arial" w:hAnsi="Arial" w:eastAsia="Arial" w:cs="Arial"/>
      <w:sz w:val="30"/>
      <w:szCs w:val="30"/>
    </w:rPr>
  </w:style>
  <w:style w:type="paragraph" w:styleId="628">
    <w:name w:val="Heading 4"/>
    <w:basedOn w:val="624"/>
    <w:next w:val="624"/>
    <w:link w:val="681"/>
    <w:uiPriority w:val="9"/>
    <w:unhideWhenUsed/>
    <w:qFormat/>
    <w:pPr>
      <w:keepLines/>
      <w:keepNext/>
      <w:spacing w:before="320" w:after="200"/>
      <w:outlineLvl w:val="3"/>
    </w:pPr>
    <w:rPr>
      <w:rFonts w:ascii="Arial" w:hAnsi="Arial" w:eastAsia="Arial" w:cs="Arial"/>
      <w:b/>
      <w:bCs/>
      <w:sz w:val="26"/>
      <w:szCs w:val="26"/>
    </w:rPr>
  </w:style>
  <w:style w:type="paragraph" w:styleId="629">
    <w:name w:val="Heading 5"/>
    <w:basedOn w:val="624"/>
    <w:next w:val="624"/>
    <w:link w:val="682"/>
    <w:uiPriority w:val="9"/>
    <w:unhideWhenUsed/>
    <w:qFormat/>
    <w:pPr>
      <w:keepLines/>
      <w:keepNext/>
      <w:spacing w:before="320" w:after="200"/>
      <w:outlineLvl w:val="4"/>
    </w:pPr>
    <w:rPr>
      <w:rFonts w:ascii="Arial" w:hAnsi="Arial" w:eastAsia="Arial" w:cs="Arial"/>
      <w:b/>
      <w:bCs/>
      <w:sz w:val="24"/>
      <w:szCs w:val="24"/>
    </w:rPr>
  </w:style>
  <w:style w:type="paragraph" w:styleId="630">
    <w:name w:val="Heading 6"/>
    <w:basedOn w:val="624"/>
    <w:next w:val="624"/>
    <w:link w:val="683"/>
    <w:uiPriority w:val="9"/>
    <w:unhideWhenUsed/>
    <w:qFormat/>
    <w:pPr>
      <w:keepLines/>
      <w:keepNext/>
      <w:spacing w:before="320" w:after="200"/>
      <w:outlineLvl w:val="5"/>
    </w:pPr>
    <w:rPr>
      <w:rFonts w:ascii="Arial" w:hAnsi="Arial" w:eastAsia="Arial" w:cs="Arial"/>
      <w:b/>
      <w:bCs/>
      <w:sz w:val="22"/>
      <w:szCs w:val="22"/>
    </w:rPr>
  </w:style>
  <w:style w:type="paragraph" w:styleId="631">
    <w:name w:val="Heading 7"/>
    <w:basedOn w:val="624"/>
    <w:next w:val="624"/>
    <w:link w:val="684"/>
    <w:uiPriority w:val="9"/>
    <w:unhideWhenUsed/>
    <w:qFormat/>
    <w:pPr>
      <w:keepLines/>
      <w:keepNext/>
      <w:spacing w:before="320" w:after="200"/>
      <w:outlineLvl w:val="6"/>
    </w:pPr>
    <w:rPr>
      <w:rFonts w:ascii="Arial" w:hAnsi="Arial" w:eastAsia="Arial" w:cs="Arial"/>
      <w:b/>
      <w:bCs/>
      <w:i/>
      <w:iCs/>
      <w:sz w:val="22"/>
      <w:szCs w:val="22"/>
    </w:rPr>
  </w:style>
  <w:style w:type="paragraph" w:styleId="632">
    <w:name w:val="Heading 8"/>
    <w:basedOn w:val="624"/>
    <w:next w:val="624"/>
    <w:link w:val="685"/>
    <w:uiPriority w:val="9"/>
    <w:unhideWhenUsed/>
    <w:qFormat/>
    <w:pPr>
      <w:keepLines/>
      <w:keepNext/>
      <w:spacing w:before="320" w:after="200"/>
      <w:outlineLvl w:val="7"/>
    </w:pPr>
    <w:rPr>
      <w:rFonts w:ascii="Arial" w:hAnsi="Arial" w:eastAsia="Arial" w:cs="Arial"/>
      <w:i/>
      <w:iCs/>
      <w:sz w:val="22"/>
      <w:szCs w:val="22"/>
    </w:rPr>
  </w:style>
  <w:style w:type="paragraph" w:styleId="633">
    <w:name w:val="Heading 9"/>
    <w:basedOn w:val="624"/>
    <w:next w:val="624"/>
    <w:link w:val="686"/>
    <w:uiPriority w:val="9"/>
    <w:unhideWhenUsed/>
    <w:qFormat/>
    <w:pPr>
      <w:keepLines/>
      <w:keepNext/>
      <w:spacing w:before="320" w:after="200"/>
      <w:outlineLvl w:val="8"/>
    </w:pPr>
    <w:rPr>
      <w:rFonts w:ascii="Arial" w:hAnsi="Arial" w:eastAsia="Arial" w:cs="Arial"/>
      <w:i/>
      <w:iCs/>
      <w:sz w:val="21"/>
      <w:szCs w:val="21"/>
    </w:rPr>
  </w:style>
  <w:style w:type="character" w:styleId="634" w:default="1">
    <w:name w:val="Default Paragraph Font"/>
    <w:uiPriority w:val="1"/>
    <w:semiHidden/>
    <w:unhideWhenUsed/>
    <w:qFormat/>
  </w:style>
  <w:style w:type="table" w:styleId="635" w:default="1">
    <w:name w:val="Normal Table"/>
    <w:uiPriority w:val="99"/>
    <w:semiHidden/>
    <w:unhideWhenUsed/>
    <w:qFormat/>
    <w:tblPr>
      <w:tblLayout w:type="fixed"/>
      <w:tblCellMar>
        <w:left w:w="108" w:type="dxa"/>
        <w:top w:w="0" w:type="dxa"/>
        <w:right w:w="108" w:type="dxa"/>
        <w:bottom w:w="0" w:type="dxa"/>
      </w:tblCellMar>
    </w:tblPr>
  </w:style>
  <w:style w:type="paragraph" w:styleId="636" w:customStyle="1">
    <w:name w:val="正文文本1"/>
    <w:basedOn w:val="624"/>
    <w:next w:val="637"/>
    <w:uiPriority w:val="0"/>
    <w:qFormat/>
    <w:pPr>
      <w:spacing w:line="400" w:lineRule="exact"/>
    </w:pPr>
    <w:rPr>
      <w:rFonts w:ascii="楷体_GB2312" w:hAnsi="Times New Roman" w:eastAsia="楷体_GB2312" w:cs="Times New Roman"/>
      <w:sz w:val="28"/>
      <w:szCs w:val="20"/>
    </w:rPr>
  </w:style>
  <w:style w:type="paragraph" w:styleId="637" w:customStyle="1">
    <w:name w:val="正文缩进1"/>
    <w:basedOn w:val="624"/>
    <w:next w:val="624"/>
    <w:uiPriority w:val="0"/>
    <w:qFormat/>
    <w:pPr>
      <w:ind w:firstLine="420"/>
      <w:jc w:val="left"/>
    </w:pPr>
    <w:rPr>
      <w:rFonts w:ascii="Times New Roman" w:hAnsi="Times New Roman" w:eastAsia="楷体_GB2312" w:cs="Times New Roman"/>
      <w:sz w:val="24"/>
      <w:szCs w:val="20"/>
    </w:rPr>
  </w:style>
  <w:style w:type="paragraph" w:styleId="638">
    <w:name w:val="toc 7"/>
    <w:basedOn w:val="624"/>
    <w:next w:val="624"/>
    <w:uiPriority w:val="39"/>
    <w:unhideWhenUsed/>
    <w:qFormat/>
    <w:pPr>
      <w:ind w:left="1701" w:right="0" w:firstLine="0"/>
      <w:spacing w:after="57"/>
    </w:pPr>
  </w:style>
  <w:style w:type="paragraph" w:styleId="639">
    <w:name w:val="Normal Indent"/>
    <w:basedOn w:val="624"/>
    <w:next w:val="624"/>
    <w:uiPriority w:val="0"/>
    <w:qFormat/>
    <w:pPr>
      <w:ind w:firstLine="200"/>
    </w:pPr>
    <w:rPr>
      <w:sz w:val="24"/>
    </w:rPr>
  </w:style>
  <w:style w:type="paragraph" w:styleId="640">
    <w:name w:val="Caption"/>
    <w:basedOn w:val="624"/>
    <w:next w:val="6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1">
    <w:name w:val="Body Text"/>
    <w:basedOn w:val="624"/>
    <w:next w:val="642"/>
    <w:uiPriority w:val="0"/>
    <w:qFormat/>
    <w:pPr>
      <w:spacing w:after="120"/>
    </w:pPr>
  </w:style>
  <w:style w:type="paragraph" w:styleId="642">
    <w:name w:val="Body Text 2"/>
    <w:basedOn w:val="624"/>
    <w:uiPriority w:val="0"/>
    <w:qFormat/>
    <w:pPr>
      <w:spacing w:line="360" w:lineRule="auto"/>
    </w:pPr>
    <w:rPr>
      <w:sz w:val="24"/>
    </w:rPr>
  </w:style>
  <w:style w:type="paragraph" w:styleId="643">
    <w:name w:val="Body Text Indent"/>
    <w:basedOn w:val="624"/>
    <w:next w:val="644"/>
    <w:uiPriority w:val="0"/>
    <w:unhideWhenUsed/>
    <w:qFormat/>
    <w:pPr>
      <w:ind w:left="420"/>
      <w:spacing w:after="120"/>
    </w:pPr>
    <w:rPr>
      <w:rFonts w:ascii="宋体" w:hAnsi="宋体" w:cs="宋体"/>
    </w:rPr>
  </w:style>
  <w:style w:type="paragraph" w:styleId="644">
    <w:name w:val="envelope return"/>
    <w:basedOn w:val="624"/>
    <w:uiPriority w:val="0"/>
    <w:qFormat/>
    <w:rPr>
      <w:rFonts w:ascii="Arial" w:hAnsi="Arial" w:eastAsia="楷体_GB2312"/>
      <w:sz w:val="26"/>
      <w:szCs w:val="20"/>
    </w:rPr>
  </w:style>
  <w:style w:type="paragraph" w:styleId="645">
    <w:name w:val="Block Text"/>
    <w:basedOn w:val="624"/>
    <w:uiPriority w:val="0"/>
    <w:qFormat/>
    <w:pPr>
      <w:ind w:left="630" w:right="-609" w:firstLine="420"/>
      <w:spacing w:line="360" w:lineRule="auto"/>
    </w:pPr>
    <w:rPr>
      <w:rFonts w:hint="eastAsia" w:ascii="仿宋_GB2312" w:hAnsi="Times New Roman" w:eastAsia="仿宋_GB2312" w:cs="Times New Roman"/>
      <w:szCs w:val="20"/>
    </w:rPr>
  </w:style>
  <w:style w:type="paragraph" w:styleId="646">
    <w:name w:val="toc 5"/>
    <w:basedOn w:val="624"/>
    <w:next w:val="624"/>
    <w:uiPriority w:val="39"/>
    <w:unhideWhenUsed/>
    <w:qFormat/>
    <w:pPr>
      <w:ind w:left="1134" w:right="0" w:firstLine="0"/>
      <w:spacing w:after="57"/>
    </w:pPr>
  </w:style>
  <w:style w:type="paragraph" w:styleId="647">
    <w:name w:val="toc 3"/>
    <w:basedOn w:val="624"/>
    <w:next w:val="624"/>
    <w:uiPriority w:val="39"/>
    <w:unhideWhenUsed/>
    <w:qFormat/>
    <w:pPr>
      <w:ind w:left="567" w:right="0" w:firstLine="0"/>
      <w:spacing w:after="57"/>
    </w:pPr>
  </w:style>
  <w:style w:type="paragraph" w:styleId="648">
    <w:name w:val="Plain Text"/>
    <w:basedOn w:val="624"/>
    <w:uiPriority w:val="0"/>
    <w:qFormat/>
    <w:rPr>
      <w:rFonts w:ascii="宋体" w:hAnsi="Courier New" w:cs="Times New Roman"/>
    </w:rPr>
  </w:style>
  <w:style w:type="paragraph" w:styleId="649">
    <w:name w:val="toc 8"/>
    <w:basedOn w:val="624"/>
    <w:next w:val="624"/>
    <w:uiPriority w:val="39"/>
    <w:unhideWhenUsed/>
    <w:qFormat/>
    <w:pPr>
      <w:ind w:left="1984" w:right="0" w:firstLine="0"/>
      <w:spacing w:after="57"/>
    </w:pPr>
  </w:style>
  <w:style w:type="paragraph" w:styleId="650">
    <w:name w:val="Body Text Indent 2"/>
    <w:basedOn w:val="624"/>
    <w:uiPriority w:val="0"/>
    <w:qFormat/>
    <w:pPr>
      <w:ind w:left="1" w:firstLine="480"/>
      <w:spacing w:line="400" w:lineRule="exact"/>
      <w:tabs>
        <w:tab w:val="left" w:pos="360" w:leader="none"/>
      </w:tabs>
    </w:pPr>
    <w:rPr>
      <w:rFonts w:ascii="Times New Roman" w:hAnsi="Times New Roman" w:cs="Times New Roman"/>
      <w:sz w:val="24"/>
    </w:rPr>
  </w:style>
  <w:style w:type="paragraph" w:styleId="651">
    <w:name w:val="endnote text"/>
    <w:basedOn w:val="624"/>
    <w:link w:val="824"/>
    <w:uiPriority w:val="99"/>
    <w:semiHidden/>
    <w:unhideWhenUsed/>
    <w:qFormat/>
    <w:pPr>
      <w:spacing w:after="0" w:line="240" w:lineRule="auto"/>
    </w:pPr>
    <w:rPr>
      <w:sz w:val="20"/>
    </w:rPr>
  </w:style>
  <w:style w:type="paragraph" w:styleId="652">
    <w:name w:val="Footer"/>
    <w:basedOn w:val="624"/>
    <w:link w:val="697"/>
    <w:uiPriority w:val="99"/>
    <w:unhideWhenUsed/>
    <w:qFormat/>
    <w:pPr>
      <w:spacing w:after="0" w:line="240" w:lineRule="auto"/>
      <w:tabs>
        <w:tab w:val="center" w:pos="7143" w:leader="none"/>
        <w:tab w:val="right" w:pos="14287" w:leader="none"/>
      </w:tabs>
    </w:pPr>
  </w:style>
  <w:style w:type="paragraph" w:styleId="653">
    <w:name w:val="Body Text First Indent 2"/>
    <w:basedOn w:val="643"/>
    <w:uiPriority w:val="99"/>
    <w:unhideWhenUsed/>
    <w:qFormat/>
    <w:pPr>
      <w:ind w:firstLine="420"/>
    </w:pPr>
  </w:style>
  <w:style w:type="paragraph" w:styleId="654">
    <w:name w:val="Header"/>
    <w:basedOn w:val="624"/>
    <w:link w:val="695"/>
    <w:uiPriority w:val="99"/>
    <w:unhideWhenUsed/>
    <w:qFormat/>
    <w:pPr>
      <w:spacing w:after="0" w:line="240" w:lineRule="auto"/>
      <w:tabs>
        <w:tab w:val="center" w:pos="7143" w:leader="none"/>
        <w:tab w:val="right" w:pos="14287" w:leader="none"/>
      </w:tabs>
    </w:pPr>
  </w:style>
  <w:style w:type="paragraph" w:styleId="655">
    <w:name w:val="toc 1"/>
    <w:basedOn w:val="624"/>
    <w:next w:val="624"/>
    <w:uiPriority w:val="39"/>
    <w:unhideWhenUsed/>
    <w:qFormat/>
    <w:pPr>
      <w:ind w:left="0" w:right="0" w:firstLine="0"/>
      <w:spacing w:after="57"/>
    </w:pPr>
  </w:style>
  <w:style w:type="paragraph" w:styleId="656">
    <w:name w:val="toc 4"/>
    <w:basedOn w:val="624"/>
    <w:next w:val="624"/>
    <w:uiPriority w:val="39"/>
    <w:unhideWhenUsed/>
    <w:qFormat/>
    <w:pPr>
      <w:ind w:left="850" w:right="0" w:firstLine="0"/>
      <w:spacing w:after="57"/>
    </w:pPr>
  </w:style>
  <w:style w:type="paragraph" w:styleId="657">
    <w:name w:val="Subtitle"/>
    <w:basedOn w:val="624"/>
    <w:next w:val="624"/>
    <w:link w:val="690"/>
    <w:uiPriority w:val="11"/>
    <w:qFormat/>
    <w:pPr>
      <w:spacing w:before="200" w:after="200"/>
    </w:pPr>
    <w:rPr>
      <w:sz w:val="24"/>
      <w:szCs w:val="24"/>
    </w:rPr>
  </w:style>
  <w:style w:type="paragraph" w:styleId="658">
    <w:name w:val="List"/>
    <w:basedOn w:val="624"/>
    <w:uiPriority w:val="0"/>
    <w:qFormat/>
    <w:pPr>
      <w:jc w:val="center"/>
      <w:spacing w:line="20" w:lineRule="atLeast"/>
    </w:pPr>
    <w:rPr>
      <w:rFonts w:ascii="Arial" w:hAnsi="Arial" w:eastAsia="幼圆_GB2312"/>
      <w:sz w:val="18"/>
      <w:szCs w:val="24"/>
    </w:rPr>
  </w:style>
  <w:style w:type="paragraph" w:styleId="659">
    <w:name w:val="footnote text"/>
    <w:basedOn w:val="624"/>
    <w:link w:val="823"/>
    <w:uiPriority w:val="99"/>
    <w:semiHidden/>
    <w:unhideWhenUsed/>
    <w:qFormat/>
    <w:pPr>
      <w:spacing w:after="40" w:line="240" w:lineRule="auto"/>
    </w:pPr>
    <w:rPr>
      <w:sz w:val="18"/>
    </w:rPr>
  </w:style>
  <w:style w:type="paragraph" w:styleId="660">
    <w:name w:val="toc 6"/>
    <w:basedOn w:val="624"/>
    <w:next w:val="624"/>
    <w:uiPriority w:val="39"/>
    <w:unhideWhenUsed/>
    <w:qFormat/>
    <w:pPr>
      <w:ind w:left="1417" w:right="0" w:firstLine="0"/>
      <w:spacing w:after="57"/>
    </w:pPr>
  </w:style>
  <w:style w:type="paragraph" w:styleId="661">
    <w:name w:val="Body Text Indent 3"/>
    <w:basedOn w:val="624"/>
    <w:uiPriority w:val="0"/>
    <w:qFormat/>
    <w:pPr>
      <w:ind w:firstLine="480"/>
      <w:jc w:val="left"/>
      <w:spacing w:line="440" w:lineRule="atLeast"/>
    </w:pPr>
    <w:rPr>
      <w:rFonts w:ascii="Times New Roman" w:hAnsi="Times New Roman" w:cs="宋体"/>
      <w:sz w:val="24"/>
    </w:rPr>
  </w:style>
  <w:style w:type="paragraph" w:styleId="662">
    <w:name w:val="table of figures"/>
    <w:basedOn w:val="624"/>
    <w:next w:val="624"/>
    <w:uiPriority w:val="99"/>
    <w:unhideWhenUsed/>
    <w:qFormat/>
    <w:pPr>
      <w:spacing w:after="0" w:afterAutospacing="0"/>
    </w:pPr>
  </w:style>
  <w:style w:type="paragraph" w:styleId="663">
    <w:name w:val="toc 2"/>
    <w:basedOn w:val="624"/>
    <w:next w:val="624"/>
    <w:uiPriority w:val="39"/>
    <w:unhideWhenUsed/>
    <w:qFormat/>
    <w:pPr>
      <w:ind w:left="283" w:right="0" w:firstLine="0"/>
      <w:spacing w:after="57"/>
    </w:pPr>
  </w:style>
  <w:style w:type="paragraph" w:styleId="664">
    <w:name w:val="toc 9"/>
    <w:basedOn w:val="624"/>
    <w:next w:val="624"/>
    <w:uiPriority w:val="39"/>
    <w:unhideWhenUsed/>
    <w:qFormat/>
    <w:pPr>
      <w:ind w:left="2268" w:right="0" w:firstLine="0"/>
      <w:spacing w:after="57"/>
    </w:pPr>
  </w:style>
  <w:style w:type="paragraph" w:styleId="665">
    <w:name w:val="Normal (Web)"/>
    <w:basedOn w:val="624"/>
    <w:uiPriority w:val="0"/>
    <w:qFormat/>
    <w:pPr>
      <w:jc w:val="left"/>
      <w:spacing w:before="100" w:beforeAutospacing="1" w:after="100" w:afterAutospacing="1"/>
      <w:widowControl/>
    </w:pPr>
    <w:rPr>
      <w:rFonts w:ascii="宋体" w:hAnsi="宋体" w:eastAsia="宋体" w:cs="Times New Roman"/>
      <w:sz w:val="24"/>
    </w:rPr>
  </w:style>
  <w:style w:type="paragraph" w:styleId="666">
    <w:name w:val="Title"/>
    <w:basedOn w:val="624"/>
    <w:next w:val="624"/>
    <w:link w:val="689"/>
    <w:uiPriority w:val="10"/>
    <w:qFormat/>
    <w:pPr>
      <w:contextualSpacing/>
      <w:spacing w:before="300" w:after="200"/>
    </w:pPr>
    <w:rPr>
      <w:sz w:val="48"/>
      <w:szCs w:val="48"/>
    </w:rPr>
  </w:style>
  <w:style w:type="character" w:styleId="667">
    <w:name w:val="Strong"/>
    <w:basedOn w:val="634"/>
    <w:uiPriority w:val="22"/>
    <w:qFormat/>
    <w:rPr>
      <w:b/>
    </w:rPr>
  </w:style>
  <w:style w:type="character" w:styleId="668">
    <w:name w:val="endnote reference"/>
    <w:uiPriority w:val="99"/>
    <w:semiHidden/>
    <w:unhideWhenUsed/>
    <w:qFormat/>
    <w:rPr>
      <w:vertAlign w:val="superscript"/>
    </w:rPr>
  </w:style>
  <w:style w:type="character" w:styleId="669">
    <w:name w:val="FollowedHyperlink"/>
    <w:basedOn w:val="634"/>
    <w:uiPriority w:val="99"/>
    <w:semiHidden/>
    <w:unhideWhenUsed/>
    <w:qFormat/>
    <w:rPr>
      <w:color w:val="333333"/>
      <w:u w:val="none"/>
    </w:rPr>
  </w:style>
  <w:style w:type="character" w:styleId="670">
    <w:name w:val="Emphasis"/>
    <w:basedOn w:val="634"/>
    <w:uiPriority w:val="20"/>
    <w:qFormat/>
  </w:style>
  <w:style w:type="character" w:styleId="671">
    <w:name w:val="Hyperlink"/>
    <w:uiPriority w:val="99"/>
    <w:unhideWhenUsed/>
    <w:qFormat/>
    <w:rPr>
      <w:color w:val="0000ff" w:themeColor="hyperlink"/>
      <w:u w:val="single"/>
      <w14:textFill>
        <w14:solidFill>
          <w14:schemeClr w14:val="hlink"/>
        </w14:solidFill>
      </w14:textFill>
    </w:rPr>
  </w:style>
  <w:style w:type="character" w:styleId="672">
    <w:name w:val="footnote reference"/>
    <w:uiPriority w:val="99"/>
    <w:unhideWhenUsed/>
    <w:qFormat/>
    <w:rPr>
      <w:vertAlign w:val="superscript"/>
    </w:rPr>
  </w:style>
  <w:style w:type="table" w:styleId="6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674" w:customStyle="1">
    <w:name w:val="段"/>
    <w:next w:val="624"/>
    <w:uiPriority w:val="0"/>
    <w:qFormat/>
    <w:pPr>
      <w:ind w:firstLine="200"/>
      <w:jc w:val="both"/>
    </w:pPr>
    <w:rPr>
      <w:rFonts w:hint="default" w:ascii="宋体" w:hAnsi="Calibri" w:eastAsia="宋体" w:cs="Times New Roman"/>
      <w:sz w:val="21"/>
      <w:lang w:val="en-US" w:eastAsia="zh-CN" w:bidi="ar-SA"/>
    </w:rPr>
  </w:style>
  <w:style w:type="paragraph" w:styleId="675" w:customStyle="1">
    <w:name w:val="目录 51"/>
    <w:next w:val="624"/>
    <w:uiPriority w:val="0"/>
    <w:qFormat/>
    <w:pPr>
      <w:ind w:left="1275"/>
      <w:jc w:val="both"/>
    </w:pPr>
    <w:rPr>
      <w:rFonts w:hint="default" w:ascii="Calibri" w:hAnsi="Calibri" w:eastAsia="宋体" w:cs="Times New Roman"/>
      <w:sz w:val="21"/>
      <w:lang w:val="en-US" w:eastAsia="zh-CN" w:bidi="ar-SA"/>
    </w:rPr>
  </w:style>
  <w:style w:type="paragraph" w:styleId="676" w:customStyle="1">
    <w:name w:val="正文1"/>
    <w:basedOn w:val="624"/>
    <w:next w:val="624"/>
    <w:uiPriority w:val="0"/>
    <w:qFormat/>
    <w:pPr>
      <w:ind w:firstLine="480"/>
      <w:spacing w:line="440" w:lineRule="exact"/>
    </w:pPr>
    <w:rPr>
      <w:rFonts w:ascii="Times New Roman" w:hAnsi="Times New Roman" w:cs="Times New Roman"/>
      <w:bCs/>
      <w:color w:val="000000"/>
      <w:sz w:val="24"/>
      <w:szCs w:val="32"/>
    </w:rPr>
  </w:style>
  <w:style w:type="paragraph" w:styleId="677" w:customStyle="1">
    <w:name w:val="文本块1"/>
    <w:basedOn w:val="624"/>
    <w:uiPriority w:val="0"/>
    <w:qFormat/>
    <w:pPr>
      <w:ind w:left="630" w:right="-609" w:firstLine="420"/>
      <w:spacing w:line="360" w:lineRule="auto"/>
    </w:pPr>
    <w:rPr>
      <w:rFonts w:hint="eastAsia" w:ascii="仿宋_GB2312" w:hAnsi="Times New Roman" w:eastAsia="仿宋_GB2312" w:cs="Times New Roman"/>
      <w:szCs w:val="20"/>
    </w:rPr>
  </w:style>
  <w:style w:type="character" w:styleId="678" w:customStyle="1">
    <w:name w:val="Heading 1 Char"/>
    <w:link w:val="625"/>
    <w:uiPriority w:val="9"/>
    <w:qFormat/>
    <w:rPr>
      <w:rFonts w:ascii="Arial" w:hAnsi="Arial" w:eastAsia="Arial" w:cs="Arial"/>
      <w:sz w:val="40"/>
      <w:szCs w:val="40"/>
    </w:rPr>
  </w:style>
  <w:style w:type="character" w:styleId="679" w:customStyle="1">
    <w:name w:val="Heading 2 Char"/>
    <w:link w:val="626"/>
    <w:uiPriority w:val="9"/>
    <w:qFormat/>
    <w:rPr>
      <w:rFonts w:ascii="Arial" w:hAnsi="Arial" w:eastAsia="Arial" w:cs="Arial"/>
      <w:sz w:val="34"/>
    </w:rPr>
  </w:style>
  <w:style w:type="character" w:styleId="680" w:customStyle="1">
    <w:name w:val="Heading 3 Char"/>
    <w:link w:val="627"/>
    <w:uiPriority w:val="9"/>
    <w:qFormat/>
    <w:rPr>
      <w:rFonts w:ascii="Arial" w:hAnsi="Arial" w:eastAsia="Arial" w:cs="Arial"/>
      <w:sz w:val="30"/>
      <w:szCs w:val="30"/>
    </w:rPr>
  </w:style>
  <w:style w:type="character" w:styleId="681" w:customStyle="1">
    <w:name w:val="Heading 4 Char"/>
    <w:link w:val="628"/>
    <w:uiPriority w:val="9"/>
    <w:qFormat/>
    <w:rPr>
      <w:rFonts w:ascii="Arial" w:hAnsi="Arial" w:eastAsia="Arial" w:cs="Arial"/>
      <w:b/>
      <w:bCs/>
      <w:sz w:val="26"/>
      <w:szCs w:val="26"/>
    </w:rPr>
  </w:style>
  <w:style w:type="character" w:styleId="682" w:customStyle="1">
    <w:name w:val="Heading 5 Char"/>
    <w:link w:val="629"/>
    <w:uiPriority w:val="9"/>
    <w:qFormat/>
    <w:rPr>
      <w:rFonts w:ascii="Arial" w:hAnsi="Arial" w:eastAsia="Arial" w:cs="Arial"/>
      <w:b/>
      <w:bCs/>
      <w:sz w:val="24"/>
      <w:szCs w:val="24"/>
    </w:rPr>
  </w:style>
  <w:style w:type="character" w:styleId="683" w:customStyle="1">
    <w:name w:val="Heading 6 Char"/>
    <w:link w:val="630"/>
    <w:uiPriority w:val="9"/>
    <w:qFormat/>
    <w:rPr>
      <w:rFonts w:ascii="Arial" w:hAnsi="Arial" w:eastAsia="Arial" w:cs="Arial"/>
      <w:b/>
      <w:bCs/>
      <w:sz w:val="22"/>
      <w:szCs w:val="22"/>
    </w:rPr>
  </w:style>
  <w:style w:type="character" w:styleId="684" w:customStyle="1">
    <w:name w:val="Heading 7 Char"/>
    <w:link w:val="631"/>
    <w:uiPriority w:val="9"/>
    <w:qFormat/>
    <w:rPr>
      <w:rFonts w:ascii="Arial" w:hAnsi="Arial" w:eastAsia="Arial" w:cs="Arial"/>
      <w:b/>
      <w:bCs/>
      <w:i/>
      <w:iCs/>
      <w:sz w:val="22"/>
      <w:szCs w:val="22"/>
    </w:rPr>
  </w:style>
  <w:style w:type="character" w:styleId="685" w:customStyle="1">
    <w:name w:val="Heading 8 Char"/>
    <w:link w:val="632"/>
    <w:uiPriority w:val="9"/>
    <w:qFormat/>
    <w:rPr>
      <w:rFonts w:ascii="Arial" w:hAnsi="Arial" w:eastAsia="Arial" w:cs="Arial"/>
      <w:i/>
      <w:iCs/>
      <w:sz w:val="22"/>
      <w:szCs w:val="22"/>
    </w:rPr>
  </w:style>
  <w:style w:type="character" w:styleId="686" w:customStyle="1">
    <w:name w:val="Heading 9 Char"/>
    <w:link w:val="633"/>
    <w:uiPriority w:val="9"/>
    <w:qFormat/>
    <w:rPr>
      <w:rFonts w:ascii="Arial" w:hAnsi="Arial" w:eastAsia="Arial" w:cs="Arial"/>
      <w:i/>
      <w:iCs/>
      <w:sz w:val="21"/>
      <w:szCs w:val="21"/>
    </w:rPr>
  </w:style>
  <w:style w:type="paragraph" w:styleId="687">
    <w:name w:val="List Paragraph"/>
    <w:basedOn w:val="624"/>
    <w:uiPriority w:val="34"/>
    <w:qFormat/>
    <w:pPr>
      <w:contextualSpacing/>
      <w:ind w:left="720"/>
    </w:pPr>
  </w:style>
  <w:style w:type="paragraph" w:styleId="688">
    <w:name w:val="No Spacing"/>
    <w:uiPriority w:val="1"/>
    <w:qFormat/>
    <w:pPr>
      <w:spacing w:before="0" w:after="0" w:line="240" w:lineRule="auto"/>
    </w:pPr>
    <w:rPr>
      <w:rFonts w:hint="default" w:ascii="Calibri" w:hAnsi="Calibri" w:eastAsia="宋体" w:cs="Times New Roman"/>
    </w:rPr>
  </w:style>
  <w:style w:type="character" w:styleId="689" w:customStyle="1">
    <w:name w:val="Title Char"/>
    <w:link w:val="666"/>
    <w:uiPriority w:val="10"/>
    <w:qFormat/>
    <w:rPr>
      <w:sz w:val="48"/>
      <w:szCs w:val="48"/>
    </w:rPr>
  </w:style>
  <w:style w:type="character" w:styleId="690" w:customStyle="1">
    <w:name w:val="Subtitle Char"/>
    <w:link w:val="657"/>
    <w:uiPriority w:val="11"/>
    <w:qFormat/>
    <w:rPr>
      <w:sz w:val="24"/>
      <w:szCs w:val="24"/>
    </w:rPr>
  </w:style>
  <w:style w:type="paragraph" w:styleId="691">
    <w:name w:val="Quote"/>
    <w:basedOn w:val="624"/>
    <w:next w:val="624"/>
    <w:link w:val="692"/>
    <w:uiPriority w:val="29"/>
    <w:qFormat/>
    <w:pPr>
      <w:ind w:left="720" w:right="720"/>
    </w:pPr>
    <w:rPr>
      <w:i/>
    </w:rPr>
  </w:style>
  <w:style w:type="character" w:styleId="692" w:customStyle="1">
    <w:name w:val="Quote Char"/>
    <w:link w:val="691"/>
    <w:uiPriority w:val="29"/>
    <w:qFormat/>
    <w:rPr>
      <w:i/>
    </w:rPr>
  </w:style>
  <w:style w:type="paragraph" w:styleId="693">
    <w:name w:val="Intense Quote"/>
    <w:basedOn w:val="624"/>
    <w:next w:val="624"/>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customStyle="1">
    <w:name w:val="Intense Quote Char"/>
    <w:link w:val="693"/>
    <w:uiPriority w:val="30"/>
    <w:qFormat/>
    <w:rPr>
      <w:i/>
    </w:rPr>
  </w:style>
  <w:style w:type="character" w:styleId="695" w:customStyle="1">
    <w:name w:val="Header Char"/>
    <w:link w:val="654"/>
    <w:uiPriority w:val="99"/>
    <w:qFormat/>
  </w:style>
  <w:style w:type="character" w:styleId="696" w:customStyle="1">
    <w:name w:val="Footer Char"/>
    <w:link w:val="652"/>
    <w:uiPriority w:val="99"/>
    <w:qFormat/>
  </w:style>
  <w:style w:type="character" w:styleId="697" w:customStyle="1">
    <w:name w:val="Caption Char"/>
    <w:link w:val="652"/>
    <w:uiPriority w:val="99"/>
    <w:qFormat/>
  </w:style>
  <w:style w:type="table" w:styleId="69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69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customStyle="1">
    <w:name w:val="Plain Table 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customStyle="1">
    <w:name w:val="Plain Table 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customStyle="1">
    <w:name w:val="Plain Table 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3" w:customStyle="1">
    <w:name w:val="List Table 1 Light"/>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1 Light - Accent 1"/>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5" w:customStyle="1">
    <w:name w:val="List Table 1 Light - Accent 2"/>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6" w:customStyle="1">
    <w:name w:val="List Table 1 Light - Accent 3"/>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7" w:customStyle="1">
    <w:name w:val="List Table 1 Light - Accent 4"/>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8" w:customStyle="1">
    <w:name w:val="List Table 1 Light - Accent 5"/>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List Table 1 Light - Accent 6"/>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5"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8"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9"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0"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1"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2" w:customStyle="1">
    <w:name w:val="Lined - Accent"/>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3" w:customStyle="1">
    <w:name w:val="Lined - Accent 1"/>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4" w:customStyle="1">
    <w:name w:val="Lined - Accent 2"/>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5" w:customStyle="1">
    <w:name w:val="Lined - Accent 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6" w:customStyle="1">
    <w:name w:val="Lined - Accent 4"/>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7" w:customStyle="1">
    <w:name w:val="Lined - Accent 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8" w:customStyle="1">
    <w:name w:val="Lined - Accent 6"/>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3" w:customStyle="1">
    <w:name w:val="Footnote Text Char"/>
    <w:link w:val="659"/>
    <w:uiPriority w:val="99"/>
    <w:qFormat/>
    <w:rPr>
      <w:sz w:val="18"/>
    </w:rPr>
  </w:style>
  <w:style w:type="character" w:styleId="824" w:customStyle="1">
    <w:name w:val="Endnote Text Char"/>
    <w:link w:val="651"/>
    <w:uiPriority w:val="99"/>
    <w:qFormat/>
    <w:rPr>
      <w:sz w:val="20"/>
    </w:rPr>
  </w:style>
  <w:style w:type="paragraph" w:styleId="825" w:customStyle="1">
    <w:name w:val="TOC Heading"/>
    <w:uiPriority w:val="39"/>
    <w:unhideWhenUsed/>
    <w:qFormat/>
    <w:rPr>
      <w:rFonts w:hint="default" w:ascii="Calibri" w:hAnsi="Calibri" w:eastAsia="宋体" w:cs="Times New Roman"/>
    </w:rPr>
  </w:style>
  <w:style w:type="paragraph" w:styleId="826" w:customStyle="1">
    <w:name w:val="标题 21"/>
    <w:basedOn w:val="624"/>
    <w:next w:val="624"/>
    <w:uiPriority w:val="0"/>
    <w:qFormat/>
    <w:pPr>
      <w:keepLines/>
      <w:keepNext/>
      <w:spacing w:before="260" w:after="260" w:line="416" w:lineRule="auto"/>
      <w:outlineLvl w:val="1"/>
    </w:pPr>
    <w:rPr>
      <w:rFonts w:ascii="Calibri Light" w:hAnsi="Calibri Light" w:eastAsia="宋体" w:cs="Times New Roman"/>
      <w:b/>
      <w:bCs/>
      <w:sz w:val="32"/>
      <w:szCs w:val="32"/>
    </w:rPr>
  </w:style>
  <w:style w:type="character" w:styleId="827" w:customStyle="1">
    <w:name w:val="默认段落字体1"/>
    <w:link w:val="624"/>
    <w:uiPriority w:val="0"/>
    <w:semiHidden/>
    <w:qFormat/>
  </w:style>
  <w:style w:type="table" w:styleId="828" w:customStyle="1">
    <w:name w:val="普通表格1"/>
    <w:uiPriority w:val="0"/>
    <w:semiHidden/>
    <w:qFormat/>
    <w:tblPr/>
  </w:style>
  <w:style w:type="character" w:styleId="829" w:customStyle="1">
    <w:name w:val="要点1"/>
    <w:link w:val="624"/>
    <w:uiPriority w:val="0"/>
    <w:qFormat/>
    <w:rPr>
      <w:rFonts w:ascii="Times New Roman" w:hAnsi="Times New Roman" w:eastAsia="宋体" w:cs="Times New Roman"/>
      <w:b/>
    </w:rPr>
  </w:style>
  <w:style w:type="character" w:styleId="830" w:customStyle="1">
    <w:name w:val="超链接1"/>
    <w:link w:val="624"/>
    <w:uiPriority w:val="0"/>
    <w:qFormat/>
    <w:rPr>
      <w:color w:val="333333"/>
      <w:u w:val="none"/>
    </w:rPr>
  </w:style>
  <w:style w:type="character" w:styleId="831" w:customStyle="1">
    <w:name w:val="强调1"/>
    <w:link w:val="624"/>
    <w:uiPriority w:val="0"/>
    <w:qFormat/>
  </w:style>
  <w:style w:type="character" w:styleId="832" w:customStyle="1">
    <w:name w:val="font31"/>
    <w:link w:val="624"/>
    <w:uiPriority w:val="0"/>
    <w:qFormat/>
    <w:rPr>
      <w:rFonts w:ascii="Times New Roman" w:hAnsi="Times New Roman" w:cs="Times New Roman"/>
      <w:color w:val="000000"/>
      <w:sz w:val="22"/>
      <w:szCs w:val="22"/>
      <w:u w:val="none"/>
    </w:rPr>
  </w:style>
  <w:style w:type="character" w:styleId="833" w:customStyle="1">
    <w:name w:val="font91"/>
    <w:link w:val="624"/>
    <w:uiPriority w:val="0"/>
    <w:qFormat/>
    <w:rPr>
      <w:rFonts w:ascii="Times New Roman" w:hAnsi="Times New Roman" w:cs="Times New Roman"/>
      <w:color w:val="000000"/>
      <w:sz w:val="22"/>
      <w:szCs w:val="22"/>
      <w:u w:val="none"/>
    </w:rPr>
  </w:style>
  <w:style w:type="character" w:styleId="834" w:customStyle="1">
    <w:name w:val="已访问的超链接1"/>
    <w:link w:val="624"/>
    <w:uiPriority w:val="0"/>
    <w:qFormat/>
    <w:rPr>
      <w:color w:val="333333"/>
      <w:u w:val="none"/>
    </w:rPr>
  </w:style>
  <w:style w:type="character" w:styleId="835" w:customStyle="1">
    <w:name w:val="页码1"/>
    <w:link w:val="624"/>
    <w:uiPriority w:val="0"/>
    <w:qFormat/>
  </w:style>
  <w:style w:type="character" w:styleId="836" w:customStyle="1">
    <w:name w:val="font21"/>
    <w:basedOn w:val="634"/>
    <w:link w:val="624"/>
    <w:uiPriority w:val="0"/>
    <w:qFormat/>
    <w:rPr>
      <w:rFonts w:ascii="Times New Roman" w:hAnsi="Times New Roman" w:cs="Times New Roman"/>
      <w:color w:val="000000"/>
      <w:sz w:val="22"/>
      <w:szCs w:val="22"/>
      <w:u w:val="none"/>
    </w:rPr>
  </w:style>
  <w:style w:type="character" w:styleId="837" w:customStyle="1">
    <w:name w:val="font61"/>
    <w:basedOn w:val="634"/>
    <w:link w:val="624"/>
    <w:uiPriority w:val="0"/>
    <w:qFormat/>
    <w:rPr>
      <w:rFonts w:hint="eastAsia" w:ascii="宋体" w:hAnsi="宋体" w:eastAsia="宋体" w:cs="宋体"/>
      <w:color w:val="000000"/>
      <w:sz w:val="22"/>
      <w:szCs w:val="22"/>
      <w:u w:val="none"/>
    </w:rPr>
  </w:style>
  <w:style w:type="character" w:styleId="838" w:customStyle="1">
    <w:name w:val="font11"/>
    <w:link w:val="624"/>
    <w:uiPriority w:val="0"/>
    <w:qFormat/>
    <w:rPr>
      <w:rFonts w:hint="eastAsia" w:ascii="宋体" w:hAnsi="宋体" w:eastAsia="宋体" w:cs="宋体"/>
      <w:color w:val="000000"/>
      <w:sz w:val="20"/>
      <w:szCs w:val="20"/>
      <w:u w:val="none"/>
    </w:rPr>
  </w:style>
  <w:style w:type="character" w:styleId="839" w:customStyle="1">
    <w:name w:val="font41"/>
    <w:link w:val="624"/>
    <w:uiPriority w:val="0"/>
    <w:qFormat/>
    <w:rPr>
      <w:rFonts w:ascii="Times New Roman" w:hAnsi="Times New Roman" w:cs="Times New Roman"/>
      <w:color w:val="000000"/>
      <w:sz w:val="22"/>
      <w:szCs w:val="22"/>
      <w:u w:val="none"/>
    </w:rPr>
  </w:style>
  <w:style w:type="character" w:styleId="840" w:customStyle="1">
    <w:name w:val="font51"/>
    <w:link w:val="624"/>
    <w:uiPriority w:val="0"/>
    <w:qFormat/>
    <w:rPr>
      <w:rFonts w:ascii="Times New Roman" w:hAnsi="Times New Roman" w:cs="Times New Roman"/>
      <w:color w:val="000000"/>
      <w:sz w:val="22"/>
      <w:szCs w:val="22"/>
      <w:u w:val="none"/>
    </w:rPr>
  </w:style>
  <w:style w:type="character" w:styleId="841" w:customStyle="1">
    <w:name w:val="批注框文本 Char"/>
    <w:link w:val="842"/>
    <w:uiPriority w:val="0"/>
    <w:qFormat/>
    <w:rPr>
      <w:sz w:val="18"/>
      <w:szCs w:val="18"/>
    </w:rPr>
  </w:style>
  <w:style w:type="paragraph" w:styleId="842" w:customStyle="1">
    <w:name w:val="批注框文本1"/>
    <w:basedOn w:val="624"/>
    <w:link w:val="841"/>
    <w:uiPriority w:val="0"/>
    <w:qFormat/>
    <w:rPr>
      <w:sz w:val="18"/>
      <w:szCs w:val="18"/>
    </w:rPr>
  </w:style>
  <w:style w:type="character" w:styleId="843" w:customStyle="1">
    <w:name w:val="NormalCharacter1"/>
    <w:link w:val="624"/>
    <w:uiPriority w:val="0"/>
    <w:qFormat/>
  </w:style>
  <w:style w:type="character" w:styleId="844" w:customStyle="1">
    <w:name w:val="font81"/>
    <w:basedOn w:val="634"/>
    <w:link w:val="624"/>
    <w:uiPriority w:val="0"/>
    <w:qFormat/>
    <w:rPr>
      <w:rFonts w:hint="eastAsia" w:ascii="宋体" w:hAnsi="宋体" w:eastAsia="宋体" w:cs="宋体"/>
      <w:color w:val="000000"/>
      <w:sz w:val="22"/>
      <w:szCs w:val="22"/>
      <w:u w:val="none"/>
    </w:rPr>
  </w:style>
  <w:style w:type="character" w:styleId="845" w:customStyle="1">
    <w:name w:val="font71"/>
    <w:link w:val="624"/>
    <w:uiPriority w:val="0"/>
    <w:qFormat/>
    <w:rPr>
      <w:rFonts w:hint="eastAsia" w:ascii="宋体" w:hAnsi="宋体" w:eastAsia="宋体" w:cs="宋体"/>
      <w:color w:val="000000"/>
      <w:sz w:val="22"/>
      <w:szCs w:val="22"/>
      <w:u w:val="none"/>
    </w:rPr>
  </w:style>
  <w:style w:type="character" w:styleId="846" w:customStyle="1">
    <w:name w:val="font01"/>
    <w:link w:val="624"/>
    <w:uiPriority w:val="0"/>
    <w:qFormat/>
    <w:rPr>
      <w:rFonts w:ascii="Times New Roman" w:hAnsi="Times New Roman" w:cs="Times New Roman"/>
      <w:color w:val="000000"/>
      <w:sz w:val="22"/>
      <w:szCs w:val="22"/>
      <w:u w:val="none"/>
    </w:rPr>
  </w:style>
  <w:style w:type="paragraph" w:styleId="847" w:customStyle="1">
    <w:name w:val="正文文本缩进 31"/>
    <w:basedOn w:val="624"/>
    <w:uiPriority w:val="0"/>
    <w:qFormat/>
    <w:pPr>
      <w:ind w:firstLine="480"/>
      <w:jc w:val="left"/>
      <w:spacing w:line="440" w:lineRule="atLeast"/>
    </w:pPr>
    <w:rPr>
      <w:rFonts w:ascii="Times New Roman" w:hAnsi="Times New Roman"/>
      <w:sz w:val="24"/>
    </w:rPr>
  </w:style>
  <w:style w:type="paragraph" w:styleId="848" w:customStyle="1">
    <w:name w:val="正文首行缩进 21"/>
    <w:basedOn w:val="849"/>
    <w:uiPriority w:val="99"/>
    <w:unhideWhenUsed/>
    <w:qFormat/>
    <w:pPr>
      <w:ind w:firstLine="420"/>
    </w:pPr>
  </w:style>
  <w:style w:type="paragraph" w:styleId="849" w:customStyle="1">
    <w:name w:val="正文文本缩进1"/>
    <w:basedOn w:val="624"/>
    <w:next w:val="675"/>
    <w:uiPriority w:val="0"/>
    <w:unhideWhenUsed/>
    <w:qFormat/>
    <w:pPr>
      <w:ind w:left="420"/>
      <w:spacing w:after="120"/>
    </w:pPr>
  </w:style>
  <w:style w:type="paragraph" w:styleId="850" w:customStyle="1">
    <w:name w:val="纯文本111"/>
    <w:basedOn w:val="624"/>
    <w:uiPriority w:val="0"/>
    <w:qFormat/>
    <w:pPr>
      <w:jc w:val="left"/>
      <w:widowControl/>
    </w:pPr>
    <w:rPr>
      <w:rFonts w:ascii="宋体" w:hAnsi="Courier New" w:eastAsia="楷体_GB2312" w:cs="Times New Roman"/>
      <w:sz w:val="26"/>
    </w:rPr>
  </w:style>
  <w:style w:type="paragraph" w:styleId="851" w:customStyle="1">
    <w:name w:val="目录 11"/>
    <w:basedOn w:val="624"/>
    <w:next w:val="624"/>
    <w:uiPriority w:val="0"/>
    <w:qFormat/>
    <w:pPr>
      <w:jc w:val="left"/>
    </w:pPr>
    <w:rPr>
      <w:rFonts w:ascii="Times New Roman" w:hAnsi="Times New Roman" w:eastAsia="楷体_GB2312" w:cs="Times New Roman"/>
      <w:sz w:val="24"/>
      <w:szCs w:val="20"/>
    </w:rPr>
  </w:style>
  <w:style w:type="paragraph" w:styleId="852" w:customStyle="1">
    <w:name w:val="页眉1"/>
    <w:basedOn w:val="624"/>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53" w:customStyle="1">
    <w:name w:val="文档结构图1"/>
    <w:basedOn w:val="624"/>
    <w:uiPriority w:val="99"/>
    <w:qFormat/>
    <w:pPr>
      <w:shd w:val="clear" w:color="auto" w:fill="000080"/>
    </w:pPr>
  </w:style>
  <w:style w:type="paragraph" w:styleId="854" w:customStyle="1">
    <w:name w:val="列表1"/>
    <w:basedOn w:val="624"/>
    <w:uiPriority w:val="0"/>
    <w:qFormat/>
    <w:pPr>
      <w:jc w:val="center"/>
      <w:spacing w:line="20" w:lineRule="atLeast"/>
    </w:pPr>
    <w:rPr>
      <w:rFonts w:ascii="Arial" w:hAnsi="Arial" w:eastAsia="幼圆_GB2312"/>
      <w:sz w:val="18"/>
      <w:szCs w:val="24"/>
    </w:rPr>
  </w:style>
  <w:style w:type="paragraph" w:styleId="855" w:customStyle="1">
    <w:name w:val="正文文本缩进 21"/>
    <w:basedOn w:val="624"/>
    <w:uiPriority w:val="0"/>
    <w:qFormat/>
    <w:pPr>
      <w:ind w:left="1" w:firstLine="480"/>
      <w:spacing w:line="400" w:lineRule="exact"/>
      <w:tabs>
        <w:tab w:val="left" w:pos="360" w:leader="none"/>
      </w:tabs>
    </w:pPr>
    <w:rPr>
      <w:rFonts w:ascii="Times New Roman" w:hAnsi="Times New Roman" w:cs="Times New Roman"/>
      <w:sz w:val="24"/>
    </w:rPr>
  </w:style>
  <w:style w:type="paragraph" w:styleId="856" w:customStyle="1">
    <w:name w:val="正文首行缩进1"/>
    <w:uiPriority w:val="0"/>
    <w:qFormat/>
    <w:pPr>
      <w:ind w:firstLine="420"/>
      <w:jc w:val="center"/>
      <w:spacing w:after="120" w:line="360" w:lineRule="auto"/>
      <w:widowControl w:val="off"/>
      <w:tabs>
        <w:tab w:val="left" w:pos="5250" w:leader="none"/>
      </w:tabs>
    </w:pPr>
    <w:rPr>
      <w:rFonts w:hint="default" w:ascii="宋体" w:hAnsi="宋体" w:eastAsia="宋体" w:cs="Times New Roman"/>
      <w:sz w:val="24"/>
      <w:szCs w:val="24"/>
      <w:lang w:val="en-US" w:eastAsia="zh-CN" w:bidi="ar-SA"/>
    </w:rPr>
  </w:style>
  <w:style w:type="paragraph" w:styleId="857" w:customStyle="1">
    <w:name w:val="普通(网站)1"/>
    <w:basedOn w:val="624"/>
    <w:uiPriority w:val="99"/>
    <w:qFormat/>
    <w:pPr>
      <w:jc w:val="left"/>
      <w:spacing w:beforeAutospacing="1" w:afterAutospacing="1"/>
    </w:pPr>
    <w:rPr>
      <w:rFonts w:ascii="Times New Roman" w:hAnsi="Times New Roman" w:cs="Times New Roman"/>
      <w:sz w:val="24"/>
    </w:rPr>
  </w:style>
  <w:style w:type="paragraph" w:styleId="858" w:customStyle="1">
    <w:name w:val="页脚1"/>
    <w:basedOn w:val="624"/>
    <w:uiPriority w:val="0"/>
    <w:qFormat/>
    <w:pPr>
      <w:jc w:val="left"/>
      <w:tabs>
        <w:tab w:val="center" w:pos="4153" w:leader="none"/>
        <w:tab w:val="right" w:pos="8306" w:leader="none"/>
      </w:tabs>
    </w:pPr>
    <w:rPr>
      <w:sz w:val="18"/>
    </w:rPr>
  </w:style>
  <w:style w:type="paragraph" w:styleId="859" w:customStyle="1">
    <w:name w:val="p0"/>
    <w:basedOn w:val="624"/>
    <w:uiPriority w:val="0"/>
    <w:qFormat/>
    <w:rPr>
      <w:rFonts w:ascii="Times New Roman" w:hAnsi="Times New Roman"/>
      <w:szCs w:val="24"/>
    </w:rPr>
  </w:style>
  <w:style w:type="paragraph" w:styleId="860" w:customStyle="1">
    <w:name w:val="PlainText1"/>
    <w:basedOn w:val="624"/>
    <w:uiPriority w:val="0"/>
    <w:qFormat/>
    <w:rPr>
      <w:rFonts w:ascii="宋体" w:hAnsi="Courier New" w:eastAsia="楷体_GB2312"/>
      <w:sz w:val="28"/>
    </w:rPr>
  </w:style>
  <w:style w:type="paragraph" w:styleId="861" w:customStyle="1">
    <w:name w:val="纯文本2"/>
    <w:basedOn w:val="624"/>
    <w:uiPriority w:val="0"/>
    <w:qFormat/>
    <w:rPr>
      <w:rFonts w:ascii="宋体" w:hAnsi="Courier New" w:eastAsia="宋体" w:cs="Times New Roman"/>
    </w:rPr>
  </w:style>
  <w:style w:type="paragraph" w:styleId="862" w:customStyle="1">
    <w:name w:val="Plain Text1"/>
    <w:basedOn w:val="624"/>
    <w:uiPriority w:val="0"/>
    <w:qFormat/>
    <w:rPr>
      <w:rFonts w:ascii="宋体" w:hAnsi="Courier New" w:eastAsia="宋体" w:cs="Times New Roman"/>
      <w:sz w:val="26"/>
      <w:szCs w:val="20"/>
    </w:rPr>
  </w:style>
  <w:style w:type="paragraph" w:styleId="863" w:customStyle="1">
    <w:name w:val="纯文本4"/>
    <w:basedOn w:val="624"/>
    <w:uiPriority w:val="0"/>
    <w:qFormat/>
    <w:rPr>
      <w:rFonts w:ascii="宋体" w:hAnsi="Courier New" w:eastAsia="楷体_GB2312" w:cs="Times New Roman"/>
      <w:sz w:val="26"/>
      <w:szCs w:val="20"/>
    </w:rPr>
  </w:style>
  <w:style w:type="paragraph" w:styleId="864" w:customStyle="1">
    <w:name w:val="纯文本1"/>
    <w:basedOn w:val="624"/>
    <w:uiPriority w:val="0"/>
    <w:qFormat/>
    <w:rPr>
      <w:rFonts w:ascii="宋体" w:hAnsi="Courier New" w:eastAsia="楷体_GB2312" w:cs="Times New Roman"/>
      <w:sz w:val="28"/>
      <w:szCs w:val="20"/>
    </w:rPr>
  </w:style>
  <w:style w:type="paragraph" w:styleId="865" w:customStyle="1">
    <w:name w:val="首行缩进"/>
    <w:basedOn w:val="624"/>
    <w:uiPriority w:val="0"/>
    <w:qFormat/>
    <w:pPr>
      <w:ind w:firstLine="480"/>
    </w:pPr>
    <w:rPr>
      <w:rFonts w:ascii="Times New Roman" w:hAnsi="Times New Roman" w:cs="Times New Roman"/>
      <w:lang w:val="zh-CN"/>
    </w:rPr>
  </w:style>
  <w:style w:type="paragraph" w:styleId="866" w:customStyle="1">
    <w:name w:val="纯文本11"/>
    <w:basedOn w:val="624"/>
    <w:uiPriority w:val="0"/>
    <w:qFormat/>
    <w:pPr>
      <w:jc w:val="left"/>
      <w:widowControl/>
    </w:pPr>
    <w:rPr>
      <w:rFonts w:ascii="宋体" w:hAnsi="Courier New" w:eastAsia="楷体_GB2312"/>
      <w:sz w:val="26"/>
      <w:szCs w:val="20"/>
    </w:rPr>
  </w:style>
  <w:style w:type="paragraph" w:styleId="867" w:customStyle="1">
    <w:name w:val="列出段落1"/>
    <w:basedOn w:val="624"/>
    <w:uiPriority w:val="34"/>
    <w:qFormat/>
    <w:pPr>
      <w:ind w:firstLine="420"/>
    </w:pPr>
  </w:style>
  <w:style w:type="table" w:styleId="868" w:customStyle="1">
    <w:name w:val="网格型1"/>
    <w:basedOn w:val="828"/>
    <w:uiPriority w:val="59"/>
    <w:qFormat/>
    <w:pPr>
      <w:jc w:val="both"/>
      <w:widowControl w:val="off"/>
    </w:pPr>
    <w:rPr>
      <w:rFonts w:ascii="Times New Roman" w:hAnsi="Times New Roman" w:eastAsia="宋体" w:cs="Times New Roman"/>
      <w:sz w:val="20"/>
      <w:szCs w:val="20"/>
    </w:rPr>
    <w:tblPr/>
  </w:style>
  <w:style w:type="character" w:styleId="869" w:customStyle="1">
    <w:name w:val="font12"/>
    <w:basedOn w:val="634"/>
    <w:uiPriority w:val="0"/>
    <w:qFormat/>
    <w:rPr>
      <w:rFonts w:hint="eastAsia" w:ascii="华文仿宋" w:hAnsi="华文仿宋" w:eastAsia="华文仿宋" w:cs="华文仿宋"/>
      <w:color w:val="000000"/>
      <w:sz w:val="32"/>
      <w:szCs w:val="32"/>
      <w:u w:val="none"/>
    </w:rPr>
  </w:style>
  <w:style w:type="character" w:styleId="870" w:customStyle="1">
    <w:name w:val="font111"/>
    <w:basedOn w:val="634"/>
    <w:uiPriority w:val="0"/>
    <w:qFormat/>
    <w:rPr>
      <w:rFonts w:hint="default" w:ascii="Times New Roman" w:hAnsi="Times New Roman" w:cs="Times New Roman"/>
      <w:color w:val="000000"/>
      <w:sz w:val="22"/>
      <w:szCs w:val="22"/>
      <w:u w:val="none"/>
    </w:rPr>
  </w:style>
  <w:style w:type="character" w:styleId="871" w:customStyle="1">
    <w:name w:val="font101"/>
    <w:basedOn w:val="634"/>
    <w:uiPriority w:val="0"/>
    <w:qFormat/>
    <w:rPr>
      <w:rFonts w:hint="default" w:ascii="Times New Roman" w:hAnsi="Times New Roman" w:cs="Times New Roman"/>
      <w:color w:val="000000"/>
      <w:sz w:val="32"/>
      <w:szCs w:val="32"/>
      <w:u w:val="none"/>
    </w:rPr>
  </w:style>
  <w:style w:type="paragraph" w:styleId="872" w:customStyle="1">
    <w:name w:val="一级条标题"/>
    <w:basedOn w:val="873"/>
    <w:next w:val="674"/>
    <w:uiPriority w:val="0"/>
    <w:qFormat/>
    <w:pPr>
      <w:ind w:left="3675"/>
      <w:outlineLvl w:val="2"/>
    </w:pPr>
    <w:rPr>
      <w:rFonts w:ascii="Times New Roman" w:hAnsi="Times New Roman" w:eastAsia="黑体"/>
      <w:sz w:val="21"/>
      <w:lang w:val="en-US" w:eastAsia="zh-CN" w:bidi="ar-SA"/>
    </w:rPr>
  </w:style>
  <w:style w:type="paragraph" w:styleId="873" w:customStyle="1">
    <w:name w:val="章标题"/>
    <w:next w:val="624"/>
    <w:uiPriority w:val="0"/>
    <w:qFormat/>
    <w:pPr>
      <w:jc w:val="both"/>
      <w:outlineLvl w:val="1"/>
    </w:pPr>
    <w:rPr>
      <w:rFonts w:ascii="黑体" w:hAnsi="Times New Roman" w:eastAsia="黑体" w:cs="Times New Roman"/>
      <w:sz w:val="21"/>
      <w:lang w:val="en-US" w:eastAsia="zh-CN" w:bidi="ar-SA"/>
    </w:rPr>
  </w:style>
  <w:style w:type="numbering" w:styleId="90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苏州睿乔招投标咨</dc:creator>
  <cp:lastModifiedBy>李也菲</cp:lastModifiedBy>
  <cp:revision>9</cp:revision>
  <dcterms:created xsi:type="dcterms:W3CDTF">2023-11-15T00:51:00Z</dcterms:created>
  <dcterms:modified xsi:type="dcterms:W3CDTF">2024-12-06T02:25:16Z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