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r>
      <w:r/>
    </w:p>
    <w:p>
      <w:pPr>
        <w:jc w:val="center"/>
        <w:rPr>
          <w:rFonts w:hint="eastAsia" w:ascii="宋体" w:hAnsi="宋体" w:eastAsia="宋体" w:cs="宋体"/>
          <w:b/>
          <w:color w:val="auto"/>
          <w:sz w:val="84"/>
          <w:szCs w:val="84"/>
          <w:highlight w:val="none"/>
        </w:rPr>
      </w:pPr>
      <w:r>
        <w:rPr>
          <w:rFonts w:hint="eastAsia" w:ascii="宋体" w:hAnsi="宋体" w:eastAsia="宋体" w:cs="宋体"/>
          <w:b/>
          <w:color w:val="auto"/>
          <w:sz w:val="84"/>
          <w:szCs w:val="84"/>
          <w:highlight w:val="none"/>
        </w:rPr>
        <w:t xml:space="preserve">招　标　文　件</w:t>
      </w:r>
      <w:r/>
    </w:p>
    <w:p>
      <w:pPr>
        <w:ind w:firstLine="2249"/>
        <w:jc w:val="left"/>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2249"/>
        <w:jc w:val="left"/>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0"/>
        <w:jc w:val="left"/>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2249"/>
        <w:jc w:val="left"/>
        <w:spacing w:line="48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1285"/>
        <w:spacing w:line="480" w:lineRule="auto"/>
        <w:rPr>
          <w:rFonts w:hint="eastAsia" w:ascii="宋体" w:hAnsi="宋体" w:eastAsia="宋体" w:cs="宋体"/>
          <w:b/>
          <w:bCs/>
          <w:color w:val="auto"/>
          <w:sz w:val="32"/>
          <w:szCs w:val="24"/>
          <w:highlight w:val="none"/>
          <w:lang w:eastAsia="zh-CN"/>
        </w:rPr>
      </w:pPr>
      <w:r>
        <w:rPr>
          <w:rFonts w:hint="eastAsia" w:ascii="宋体" w:hAnsi="宋体" w:eastAsia="宋体" w:cs="宋体"/>
          <w:b/>
          <w:bCs/>
          <w:color w:val="auto"/>
          <w:sz w:val="32"/>
          <w:szCs w:val="24"/>
          <w:highlight w:val="none"/>
        </w:rPr>
        <w:t xml:space="preserve">项目名称：</w:t>
      </w:r>
      <w:r>
        <w:rPr>
          <w:rFonts w:hint="eastAsia" w:ascii="宋体" w:hAnsi="宋体" w:eastAsia="宋体" w:cs="宋体"/>
          <w:b/>
          <w:bCs/>
          <w:color w:val="auto"/>
          <w:sz w:val="32"/>
          <w:szCs w:val="24"/>
          <w:highlight w:val="none"/>
          <w:lang w:eastAsia="zh-CN"/>
        </w:rPr>
        <w:t xml:space="preserve">石化基地封闭管理及运管中心设施设备维保服务项目</w:t>
      </w:r>
      <w:r/>
    </w:p>
    <w:p>
      <w:pPr>
        <w:ind w:firstLine="1285"/>
        <w:spacing w:line="480" w:lineRule="auto"/>
        <w:rPr>
          <w:rFonts w:hint="eastAsia" w:ascii="宋体" w:hAnsi="宋体" w:eastAsia="宋体" w:cs="宋体"/>
          <w:b/>
          <w:color w:val="auto"/>
          <w:sz w:val="44"/>
          <w:szCs w:val="21"/>
          <w:highlight w:val="none"/>
          <w:lang w:val="en-US" w:eastAsia="zh-CN"/>
        </w:rPr>
      </w:pPr>
      <w:r>
        <w:rPr>
          <w:rFonts w:hint="eastAsia" w:ascii="宋体" w:hAnsi="宋体" w:eastAsia="宋体" w:cs="宋体"/>
          <w:b/>
          <w:bCs/>
          <w:color w:val="auto"/>
          <w:sz w:val="32"/>
          <w:szCs w:val="24"/>
          <w:highlight w:val="none"/>
        </w:rPr>
        <w:t xml:space="preserve">项目编号：</w:t>
      </w:r>
      <w:r>
        <w:rPr>
          <w:rFonts w:hint="eastAsia" w:ascii="宋体" w:hAnsi="宋体" w:eastAsia="宋体" w:cs="宋体"/>
          <w:b/>
          <w:bCs/>
          <w:color w:val="auto"/>
          <w:sz w:val="32"/>
          <w:szCs w:val="24"/>
          <w:highlight w:val="none"/>
          <w:lang w:eastAsia="zh-CN"/>
        </w:rPr>
        <w:t xml:space="preserve">JSZC-320700-JSWD-G2025-0185</w:t>
      </w:r>
      <w:r>
        <w:rPr>
          <w:rFonts w:hint="eastAsia" w:ascii="宋体" w:hAnsi="宋体" w:eastAsia="宋体" w:cs="宋体"/>
          <w:b/>
          <w:bCs/>
          <w:color w:val="auto"/>
          <w:sz w:val="32"/>
          <w:szCs w:val="24"/>
          <w:highlight w:val="none"/>
          <w:lang w:val="en-US" w:eastAsia="zh-CN"/>
        </w:rPr>
        <w:t xml:space="preserve"> </w:t>
      </w:r>
      <w:r/>
    </w:p>
    <w:p>
      <w:pPr>
        <w:jc w:val="center"/>
        <w:spacing w:line="48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spacing w:line="480" w:lineRule="auto"/>
        <w:rPr>
          <w:rFonts w:hint="eastAsia" w:ascii="宋体" w:hAnsi="宋体" w:eastAsia="宋体" w:cs="宋体"/>
          <w:b/>
          <w:color w:val="auto"/>
          <w:sz w:val="44"/>
          <w:szCs w:val="21"/>
          <w:highlight w:val="none"/>
        </w:rPr>
      </w:pPr>
      <w:r>
        <w:rPr>
          <w:rFonts w:hint="eastAsia" w:ascii="宋体" w:hAnsi="宋体" w:eastAsia="宋体" w:cs="宋体"/>
          <w:b/>
          <w:color w:val="auto"/>
          <w:sz w:val="44"/>
          <w:szCs w:val="21"/>
          <w:highlight w:val="none"/>
        </w:rPr>
      </w:r>
      <w:r/>
    </w:p>
    <w:p>
      <w:pPr>
        <w:ind w:left="0" w:right="0" w:firstLine="1285"/>
        <w:spacing w:before="240" w:after="240"/>
        <w:rPr>
          <w:rFonts w:hint="eastAsia" w:ascii="宋体" w:hAnsi="宋体" w:eastAsia="宋体" w:cs="宋体"/>
          <w:b/>
          <w:color w:val="auto"/>
          <w:sz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采购人：</w:t>
      </w:r>
      <w:r>
        <w:rPr>
          <w:rFonts w:hint="eastAsia" w:ascii="宋体" w:hAnsi="宋体" w:eastAsia="宋体" w:cs="宋体"/>
          <w:b/>
          <w:color w:val="auto"/>
          <w:sz w:val="32"/>
          <w:highlight w:val="none"/>
          <w:lang w:val="en-US" w:eastAsia="zh-CN"/>
        </w:rPr>
        <w:t xml:space="preserve">连云港徐圩新区应急救援指挥中心</w:t>
      </w:r>
      <w:r/>
    </w:p>
    <w:p>
      <w:pPr>
        <w:ind w:left="0" w:right="0" w:firstLine="1285"/>
        <w:spacing w:before="240" w:after="240"/>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采购代理机构：</w:t>
      </w:r>
      <w:r>
        <w:rPr>
          <w:rFonts w:hint="eastAsia" w:ascii="宋体" w:hAnsi="宋体" w:eastAsia="宋体" w:cs="宋体"/>
          <w:b/>
          <w:color w:val="auto"/>
          <w:sz w:val="32"/>
          <w:highlight w:val="none"/>
          <w:lang w:val="en-US" w:eastAsia="zh-CN"/>
        </w:rPr>
        <w:t xml:space="preserve">江苏万达工程造价事务所有限公司</w:t>
      </w:r>
      <w:r/>
    </w:p>
    <w:p>
      <w:pPr>
        <w:jc w:val="center"/>
        <w:spacing w:before="120" w:after="120" w:line="360" w:lineRule="auto"/>
        <w:rPr>
          <w:rFonts w:hint="eastAsia" w:ascii="宋体" w:hAnsi="宋体" w:eastAsia="宋体" w:cs="宋体"/>
          <w:color w:val="auto"/>
          <w:sz w:val="24"/>
          <w:highlight w:val="none"/>
        </w:rPr>
      </w:pPr>
      <w:r>
        <w:rPr>
          <w:rFonts w:hint="eastAsia" w:ascii="宋体" w:hAnsi="宋体" w:eastAsia="宋体" w:cs="宋体"/>
          <w:b/>
          <w:bCs/>
          <w:color w:val="auto"/>
          <w:sz w:val="32"/>
          <w:szCs w:val="24"/>
          <w:highlight w:val="none"/>
        </w:rPr>
        <w:t xml:space="preserve">202</w:t>
      </w:r>
      <w:r>
        <w:rPr>
          <w:rFonts w:hint="eastAsia" w:ascii="宋体" w:hAnsi="宋体" w:eastAsia="宋体" w:cs="宋体"/>
          <w:b/>
          <w:bCs/>
          <w:color w:val="auto"/>
          <w:sz w:val="32"/>
          <w:szCs w:val="24"/>
          <w:highlight w:val="none"/>
          <w:lang w:val="en-US" w:eastAsia="zh-CN"/>
        </w:rPr>
        <w:t xml:space="preserve">5</w:t>
      </w:r>
      <w:r>
        <w:rPr>
          <w:rFonts w:hint="eastAsia" w:ascii="宋体" w:hAnsi="宋体" w:eastAsia="宋体" w:cs="宋体"/>
          <w:b/>
          <w:bCs/>
          <w:color w:val="auto"/>
          <w:sz w:val="32"/>
          <w:szCs w:val="24"/>
          <w:highlight w:val="none"/>
        </w:rPr>
        <w:t xml:space="preserve">年10</w:t>
      </w:r>
      <w:r>
        <w:rPr>
          <w:rFonts w:hint="eastAsia" w:ascii="宋体" w:hAnsi="宋体" w:eastAsia="宋体" w:cs="宋体"/>
          <w:b/>
          <w:bCs/>
          <w:color w:val="auto"/>
          <w:sz w:val="32"/>
          <w:szCs w:val="24"/>
          <w:highlight w:val="none"/>
        </w:rPr>
        <w:t xml:space="preserve">月</w:t>
      </w:r>
      <w:r>
        <w:rPr>
          <w:rFonts w:hint="eastAsia" w:ascii="宋体" w:hAnsi="宋体" w:eastAsia="宋体" w:cs="宋体"/>
          <w:color w:val="auto"/>
          <w:highlight w:val="none"/>
        </w:rPr>
        <w:br w:type="page" w:clear="all"/>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TOC \o "1-1" \u </w:instrText>
      </w:r>
      <w:r>
        <w:rPr>
          <w:rFonts w:hint="eastAsia" w:ascii="宋体" w:hAnsi="宋体" w:eastAsia="宋体" w:cs="宋体"/>
          <w:color w:val="auto"/>
          <w:sz w:val="24"/>
          <w:highlight w:val="none"/>
        </w:rPr>
        <w:fldChar w:fldCharType="separate"/>
      </w:r>
      <w:r/>
    </w:p>
    <w:p>
      <w:pPr>
        <w:jc w:val="center"/>
        <w:keepLines/>
        <w:keepNext/>
        <w:spacing w:line="360" w:lineRule="auto"/>
        <w:rPr>
          <w:rFonts w:hint="eastAsia" w:ascii="宋体" w:hAnsi="宋体" w:eastAsia="宋体" w:cs="宋体"/>
          <w:bCs/>
          <w:color w:val="auto"/>
          <w:sz w:val="44"/>
          <w:szCs w:val="44"/>
          <w:highlight w:val="none"/>
        </w:rPr>
        <w:outlineLvl w:val="0"/>
      </w:pPr>
      <w:r>
        <w:rPr>
          <w:rFonts w:hint="eastAsia" w:ascii="宋体" w:hAnsi="宋体" w:eastAsia="宋体" w:cs="宋体"/>
          <w:bCs/>
          <w:color w:val="auto"/>
          <w:sz w:val="44"/>
          <w:szCs w:val="44"/>
          <w:highlight w:val="none"/>
        </w:rPr>
        <w:t xml:space="preserve">目  录</w:t>
      </w:r>
      <w:r/>
    </w:p>
    <w:p>
      <w:pPr>
        <w:pStyle w:val="747"/>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p>
      <w:pPr>
        <w:pStyle w:val="747"/>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第一章  投标邀请</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_Toc162361610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1</w:t>
      </w:r>
      <w:r>
        <w:rPr>
          <w:rFonts w:hint="eastAsia" w:ascii="宋体" w:hAnsi="宋体" w:eastAsia="宋体" w:cs="宋体"/>
          <w:color w:val="auto"/>
          <w:sz w:val="28"/>
          <w:highlight w:val="none"/>
        </w:rPr>
        <w:fldChar w:fldCharType="end"/>
      </w:r>
      <w:r/>
    </w:p>
    <w:p>
      <w:pPr>
        <w:pStyle w:val="747"/>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第二章  投标人须知</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_Toc162361611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5</w:t>
      </w:r>
      <w:r>
        <w:rPr>
          <w:rFonts w:hint="eastAsia" w:ascii="宋体" w:hAnsi="宋体" w:eastAsia="宋体" w:cs="宋体"/>
          <w:color w:val="auto"/>
          <w:sz w:val="28"/>
          <w:highlight w:val="none"/>
        </w:rPr>
        <w:fldChar w:fldCharType="end"/>
      </w:r>
      <w:r/>
    </w:p>
    <w:p>
      <w:pPr>
        <w:pStyle w:val="747"/>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第三章  合同文本</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_Toc162361612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20</w:t>
      </w:r>
      <w:r>
        <w:rPr>
          <w:rFonts w:hint="eastAsia" w:ascii="宋体" w:hAnsi="宋体" w:eastAsia="宋体" w:cs="宋体"/>
          <w:color w:val="auto"/>
          <w:sz w:val="28"/>
          <w:highlight w:val="none"/>
        </w:rPr>
        <w:fldChar w:fldCharType="end"/>
      </w:r>
      <w:r/>
    </w:p>
    <w:p>
      <w:pPr>
        <w:pStyle w:val="747"/>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第四章  采购需求</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_Toc162361613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25</w:t>
      </w:r>
      <w:r>
        <w:rPr>
          <w:rFonts w:hint="eastAsia" w:ascii="宋体" w:hAnsi="宋体" w:eastAsia="宋体" w:cs="宋体"/>
          <w:color w:val="auto"/>
          <w:sz w:val="28"/>
          <w:highlight w:val="none"/>
        </w:rPr>
        <w:fldChar w:fldCharType="end"/>
      </w:r>
      <w:r/>
    </w:p>
    <w:p>
      <w:pPr>
        <w:pStyle w:val="747"/>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第五章  评标方法与评标标准</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_Toc162361614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30</w:t>
      </w:r>
      <w:r>
        <w:rPr>
          <w:rFonts w:hint="eastAsia" w:ascii="宋体" w:hAnsi="宋体" w:eastAsia="宋体" w:cs="宋体"/>
          <w:color w:val="auto"/>
          <w:sz w:val="28"/>
          <w:highlight w:val="none"/>
        </w:rPr>
        <w:fldChar w:fldCharType="end"/>
      </w:r>
      <w:r/>
    </w:p>
    <w:p>
      <w:pPr>
        <w:pStyle w:val="747"/>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第六章  投标文件格式</w:t>
      </w:r>
      <w:r>
        <w:rPr>
          <w:rFonts w:hint="eastAsia" w:ascii="宋体" w:hAnsi="宋体" w:eastAsia="宋体" w:cs="宋体"/>
          <w:color w:val="auto"/>
          <w:sz w:val="28"/>
          <w:highlight w:val="none"/>
        </w:rPr>
        <w:tab/>
      </w:r>
      <w:r>
        <w:rPr>
          <w:rFonts w:hint="eastAsia" w:ascii="宋体" w:hAnsi="宋体" w:eastAsia="宋体" w:cs="宋体"/>
          <w:color w:val="auto"/>
          <w:sz w:val="28"/>
          <w:highlight w:val="none"/>
        </w:rPr>
        <w:fldChar w:fldCharType="begin"/>
      </w:r>
      <w:r>
        <w:rPr>
          <w:rFonts w:hint="eastAsia" w:ascii="宋体" w:hAnsi="宋体" w:eastAsia="宋体" w:cs="宋体"/>
          <w:color w:val="auto"/>
          <w:sz w:val="28"/>
          <w:highlight w:val="none"/>
        </w:rPr>
        <w:instrText xml:space="preserve"> PAGEREF _Toc162361615 \h </w:instrText>
      </w:r>
      <w:r>
        <w:rPr>
          <w:rFonts w:hint="eastAsia" w:ascii="宋体" w:hAnsi="宋体" w:eastAsia="宋体" w:cs="宋体"/>
          <w:color w:val="auto"/>
          <w:sz w:val="28"/>
          <w:highlight w:val="none"/>
        </w:rPr>
        <w:fldChar w:fldCharType="separate"/>
      </w:r>
      <w:r>
        <w:rPr>
          <w:rFonts w:hint="eastAsia" w:ascii="宋体" w:hAnsi="宋体" w:eastAsia="宋体" w:cs="宋体"/>
          <w:color w:val="auto"/>
          <w:sz w:val="28"/>
          <w:highlight w:val="none"/>
        </w:rPr>
        <w:t xml:space="preserve">32</w:t>
      </w:r>
      <w:r>
        <w:rPr>
          <w:rFonts w:hint="eastAsia" w:ascii="宋体" w:hAnsi="宋体" w:eastAsia="宋体" w:cs="宋体"/>
          <w:color w:val="auto"/>
          <w:sz w:val="28"/>
          <w:highlight w:val="none"/>
        </w:rPr>
        <w:fldChar w:fldCharType="end"/>
      </w:r>
      <w:r/>
    </w:p>
    <w:p>
      <w:pPr>
        <w:jc w:val="left"/>
        <w:spacing w:line="360" w:lineRule="auto"/>
        <w:widowControl/>
        <w:rPr>
          <w:rFonts w:hint="eastAsia" w:ascii="宋体" w:hAnsi="宋体" w:eastAsia="宋体" w:cs="宋体"/>
          <w:b w:val="0"/>
          <w:color w:val="auto"/>
          <w:highlight w:val="none"/>
          <w:lang w:eastAsia="zh-CN"/>
        </w:rPr>
        <w:sectPr>
          <w:footerReference w:type="default" r:id="rId10"/>
          <w:footnotePr/>
          <w:endnotePr/>
          <w:type w:val="nextPage"/>
          <w:pgSz w:w="11906" w:h="16838" w:orient="portrait"/>
          <w:pgMar w:top="1134" w:right="1134" w:bottom="1134" w:left="1134" w:header="851" w:footer="992" w:gutter="0"/>
          <w:cols w:num="1" w:sep="0" w:space="425" w:equalWidth="1"/>
          <w:docGrid w:linePitch="360"/>
        </w:sectPr>
      </w:pPr>
      <w:r>
        <w:rPr>
          <w:rFonts w:hint="eastAsia" w:ascii="宋体" w:hAnsi="宋体" w:eastAsia="宋体" w:cs="宋体"/>
          <w:color w:val="auto"/>
          <w:sz w:val="24"/>
          <w:highlight w:val="none"/>
        </w:rPr>
        <w:fldChar w:fldCharType="end"/>
      </w:r>
      <w:r>
        <w:rPr>
          <w:rFonts w:hint="eastAsia" w:ascii="宋体" w:hAnsi="宋体" w:eastAsia="宋体" w:cs="宋体"/>
          <w:color w:val="auto"/>
          <w:sz w:val="28"/>
          <w:highlight w:val="none"/>
        </w:rPr>
        <w:br w:type="page" w:clear="all"/>
      </w:r>
      <w:r/>
    </w:p>
    <w:p>
      <w:pPr>
        <w:pStyle w:val="719"/>
        <w:jc w:val="center"/>
        <w:spacing w:line="360" w:lineRule="auto"/>
        <w:rPr>
          <w:rFonts w:hint="eastAsia" w:ascii="宋体" w:hAnsi="宋体" w:eastAsia="宋体" w:cs="宋体"/>
          <w:b w:val="0"/>
          <w:color w:val="auto"/>
          <w:highlight w:val="none"/>
        </w:rPr>
      </w:pPr>
      <w:r/>
      <w:bookmarkStart w:id="0" w:name="_Toc162361610"/>
      <w:r>
        <w:rPr>
          <w:rFonts w:hint="eastAsia" w:ascii="宋体" w:hAnsi="宋体" w:eastAsia="宋体" w:cs="宋体"/>
          <w:b w:val="0"/>
          <w:color w:val="auto"/>
          <w:highlight w:val="none"/>
        </w:rPr>
        <w:t xml:space="preserve">第一章  投标邀请</w:t>
      </w:r>
      <w:bookmarkEnd w:id="0"/>
      <w:r/>
      <w:r/>
    </w:p>
    <w:tbl>
      <w:tblPr>
        <w:tblStyle w:val="760"/>
        <w:tblW w:w="924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2"/>
      </w:tblGrid>
      <w:tr>
        <w:trPr/>
        <w:tc>
          <w:tcPr>
            <w:tcW w:w="9242" w:type="dxa"/>
            <w:textDirection w:val="lrTb"/>
            <w:noWrap w:val="false"/>
          </w:tcPr>
          <w:p>
            <w:pPr>
              <w:ind w:left="0" w:right="0"/>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项目概况</w:t>
            </w:r>
            <w:r/>
          </w:p>
          <w:p>
            <w:pPr>
              <w:ind w:left="0" w:right="0"/>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b/>
                <w:color w:val="auto"/>
                <w:sz w:val="24"/>
                <w:szCs w:val="24"/>
                <w:highlight w:val="none"/>
                <w:u w:val="single"/>
                <w:lang w:eastAsia="zh-CN"/>
              </w:rPr>
            </w:r>
            <w:r>
              <w:rPr>
                <w:rFonts w:hint="eastAsia" w:ascii="宋体" w:hAnsi="宋体" w:eastAsia="宋体" w:cs="宋体"/>
                <w:b/>
                <w:bCs/>
                <w:color w:val="auto"/>
                <w:sz w:val="24"/>
                <w:szCs w:val="24"/>
                <w:highlight w:val="none"/>
                <w:u w:val="single"/>
                <w:lang w:eastAsia="zh-CN"/>
              </w:rPr>
              <w:t xml:space="preserve">石化基地封闭管理及运管中心设施设备维保服务项目</w:t>
            </w:r>
            <w:r>
              <w:rPr>
                <w:rFonts w:hint="eastAsia" w:ascii="宋体" w:hAnsi="宋体" w:eastAsia="宋体" w:cs="宋体"/>
                <w:color w:val="auto"/>
                <w:sz w:val="24"/>
                <w:szCs w:val="24"/>
                <w:highlight w:val="none"/>
              </w:rPr>
              <w:t xml:space="preserve">招标项目的潜在投标人应在</w:t>
            </w:r>
            <w:r>
              <w:rPr>
                <w:rFonts w:hint="eastAsia" w:ascii="宋体" w:hAnsi="宋体" w:eastAsia="宋体" w:cs="宋体"/>
                <w:b/>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自行免费下载招标文件，并于</w:t>
            </w:r>
            <w:r>
              <w:rPr>
                <w:rFonts w:hint="eastAsia" w:ascii="宋体" w:hAnsi="宋体" w:eastAsia="宋体" w:cs="宋体"/>
                <w:b/>
                <w:color w:val="auto"/>
                <w:sz w:val="24"/>
                <w:szCs w:val="24"/>
                <w:highlight w:val="none"/>
                <w:u w:val="single"/>
                <w:lang w:eastAsia="zh-CN"/>
              </w:rPr>
              <w:t xml:space="preserve">2025</w:t>
            </w:r>
            <w:r>
              <w:rPr>
                <w:rFonts w:hint="eastAsia" w:ascii="宋体" w:hAnsi="宋体" w:eastAsia="宋体" w:cs="宋体"/>
                <w:b/>
                <w:color w:val="auto"/>
                <w:sz w:val="24"/>
                <w:szCs w:val="24"/>
                <w:highlight w:val="none"/>
                <w:u w:val="single"/>
              </w:rPr>
              <w:t xml:space="preserve">年</w:t>
            </w:r>
            <w:r>
              <w:rPr>
                <w:rFonts w:hint="eastAsia" w:ascii="宋体" w:hAnsi="宋体" w:eastAsia="宋体" w:cs="宋体"/>
                <w:b/>
                <w:color w:val="auto"/>
                <w:sz w:val="24"/>
                <w:szCs w:val="24"/>
                <w:highlight w:val="none"/>
                <w:u w:val="single"/>
                <w:lang w:val="en-US" w:eastAsia="zh-CN"/>
              </w:rPr>
              <w:t xml:space="preserve">10</w:t>
            </w:r>
            <w:r>
              <w:rPr>
                <w:rFonts w:hint="eastAsia" w:ascii="宋体" w:hAnsi="宋体" w:eastAsia="宋体" w:cs="宋体"/>
                <w:b/>
                <w:color w:val="auto"/>
                <w:sz w:val="24"/>
                <w:szCs w:val="24"/>
                <w:highlight w:val="none"/>
                <w:u w:val="single"/>
              </w:rPr>
              <w:t xml:space="preserve">月</w:t>
            </w:r>
            <w:r>
              <w:rPr>
                <w:rFonts w:hint="eastAsia" w:ascii="宋体" w:hAnsi="宋体" w:eastAsia="宋体" w:cs="宋体"/>
                <w:b/>
                <w:color w:val="auto"/>
                <w:sz w:val="24"/>
                <w:szCs w:val="24"/>
                <w:highlight w:val="none"/>
                <w:u w:val="single"/>
                <w:lang w:val="en-US" w:eastAsia="zh-CN"/>
              </w:rPr>
              <w:t xml:space="preserve">31</w:t>
            </w:r>
            <w:r>
              <w:rPr>
                <w:rFonts w:hint="eastAsia" w:ascii="宋体" w:hAnsi="宋体" w:eastAsia="宋体" w:cs="宋体"/>
                <w:b/>
                <w:color w:val="auto"/>
                <w:sz w:val="24"/>
                <w:szCs w:val="24"/>
                <w:highlight w:val="none"/>
                <w:u w:val="single"/>
              </w:rPr>
              <w:t xml:space="preserve">日</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u w:val="single"/>
                <w:lang w:val="en-US" w:eastAsia="zh-CN"/>
              </w:rPr>
              <w:t xml:space="preserve">0</w:t>
            </w:r>
            <w:r>
              <w:rPr>
                <w:rFonts w:hint="eastAsia" w:ascii="宋体" w:hAnsi="宋体" w:eastAsia="宋体" w:cs="宋体"/>
                <w:b/>
                <w:color w:val="auto"/>
                <w:sz w:val="24"/>
                <w:szCs w:val="24"/>
                <w:highlight w:val="none"/>
                <w:u w:val="single"/>
              </w:rPr>
              <w:t xml:space="preserve">0:00</w:t>
            </w:r>
            <w:r>
              <w:rPr>
                <w:rFonts w:hint="eastAsia" w:ascii="宋体" w:hAnsi="宋体" w:eastAsia="宋体" w:cs="宋体"/>
                <w:color w:val="auto"/>
                <w:sz w:val="24"/>
                <w:szCs w:val="24"/>
                <w:highlight w:val="none"/>
              </w:rPr>
              <w:t xml:space="preserve">（北京时间）前递交（上传）投标文件。</w:t>
            </w:r>
            <w:r/>
          </w:p>
        </w:tc>
      </w:tr>
    </w:tbl>
    <w:p>
      <w:pPr>
        <w:pStyle w:val="72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一、项目基本情况</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JSZC-320700-JSWD-G2025-0185</w:t>
      </w:r>
      <w:r>
        <w:rPr>
          <w:rFonts w:hint="eastAsia" w:ascii="宋体" w:hAnsi="宋体" w:eastAsia="宋体" w:cs="宋体"/>
          <w:color w:val="auto"/>
          <w:sz w:val="24"/>
          <w:szCs w:val="24"/>
          <w:highlight w:val="none"/>
          <w:lang w:val="en-US" w:eastAsia="zh-CN"/>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石化基地封闭管理及运管中心设施设备维保服务项目</w:t>
      </w:r>
      <w:r>
        <w:rPr>
          <w:rFonts w:hint="eastAsia" w:ascii="宋体" w:hAnsi="宋体" w:eastAsia="宋体" w:cs="宋体"/>
          <w:color w:val="auto"/>
          <w:sz w:val="24"/>
          <w:szCs w:val="24"/>
          <w:highlight w:val="none"/>
        </w:rPr>
      </w:r>
      <w:r>
        <w:rPr>
          <w:rFonts w:hint="eastAsia" w:ascii="宋体" w:hAnsi="宋体" w:eastAsia="宋体" w:cs="宋体"/>
          <w:color w:val="auto"/>
          <w:sz w:val="24"/>
          <w:szCs w:val="24"/>
          <w:highlight w:val="none"/>
        </w:rP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r/>
    </w:p>
    <w:p>
      <w:pPr>
        <w:ind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预算金额：人民币</w:t>
      </w:r>
      <w:r>
        <w:rPr>
          <w:rFonts w:hint="eastAsia" w:ascii="宋体" w:hAnsi="宋体" w:eastAsia="宋体" w:cs="宋体"/>
          <w:color w:val="auto"/>
          <w:sz w:val="24"/>
          <w:szCs w:val="24"/>
          <w:highlight w:val="none"/>
          <w:lang w:val="en-US" w:eastAsia="zh-CN"/>
        </w:rPr>
        <w:t xml:space="preserve">300万元，报价超</w:t>
      </w:r>
      <w:bookmarkStart w:id="20" w:name="_GoBack"/>
      <w:r/>
      <w:bookmarkEnd w:id="20"/>
      <w:r>
        <w:rPr>
          <w:rFonts w:hint="eastAsia" w:ascii="宋体" w:hAnsi="宋体" w:eastAsia="宋体" w:cs="宋体"/>
          <w:color w:val="auto"/>
          <w:sz w:val="24"/>
          <w:szCs w:val="24"/>
          <w:highlight w:val="none"/>
          <w:lang w:val="en-US" w:eastAsia="zh-CN"/>
        </w:rPr>
        <w:t xml:space="preserve">过此价格的按无效响应处理。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color w:val="auto"/>
          <w:sz w:val="24"/>
          <w:szCs w:val="24"/>
          <w:highlight w:val="none"/>
        </w:rPr>
        <w:t xml:space="preserve">采购需求：</w:t>
      </w:r>
      <w:r>
        <w:rPr>
          <w:rFonts w:hint="eastAsia" w:ascii="宋体" w:hAnsi="宋体" w:eastAsia="宋体" w:cs="宋体"/>
          <w:color w:val="auto"/>
          <w:sz w:val="24"/>
          <w:szCs w:val="24"/>
          <w:highlight w:val="none"/>
          <w:lang w:eastAsia="zh-CN"/>
        </w:rPr>
        <w:t xml:space="preserve">对石化基地封闭管理</w:t>
      </w:r>
      <w:r>
        <w:rPr>
          <w:rFonts w:hint="eastAsia" w:ascii="宋体" w:hAnsi="宋体" w:eastAsia="宋体" w:cs="宋体"/>
          <w:color w:val="auto"/>
          <w:sz w:val="24"/>
          <w:szCs w:val="24"/>
          <w:highlight w:val="none"/>
          <w:lang w:val="en-US" w:eastAsia="zh-CN"/>
        </w:rPr>
        <w:t xml:space="preserve">及运管中心</w:t>
      </w:r>
      <w:r>
        <w:rPr>
          <w:rFonts w:hint="eastAsia" w:ascii="宋体" w:hAnsi="宋体" w:eastAsia="宋体" w:cs="宋体"/>
          <w:color w:val="auto"/>
          <w:sz w:val="24"/>
          <w:szCs w:val="24"/>
          <w:highlight w:val="none"/>
          <w:lang w:eastAsia="zh-CN"/>
        </w:rPr>
        <w:t xml:space="preserve">范围内相关设施设备进行维修保养及更换及时响应各项设备设施检查、保养、维修等需求，具体要求详见第四章“项目需求”。</w:t>
      </w:r>
      <w:r/>
    </w:p>
    <w:p>
      <w:pPr>
        <w:ind w:firstLine="480"/>
        <w:jc w:val="left"/>
        <w:keepLines w:val="0"/>
        <w:keepNext w:val="0"/>
        <w:pageBreakBefore w:val="0"/>
        <w:spacing w:line="360" w:lineRule="auto"/>
        <w:widowControl/>
        <w:rPr>
          <w:rFonts w:hint="eastAsia" w:ascii="宋体" w:hAnsi="宋体" w:eastAsia="宋体" w:cs="宋体"/>
          <w:b/>
          <w:bCs/>
          <w:color w:val="auto"/>
          <w:sz w:val="24"/>
          <w:szCs w:val="24"/>
          <w:highlight w:val="none"/>
          <w:lang w:eastAsia="zh-CN"/>
        </w:rPr>
        <w:suppressLineNumbers w:val="0"/>
      </w:pPr>
      <w:r>
        <w:rPr>
          <w:rFonts w:hint="eastAsia" w:ascii="宋体" w:hAnsi="宋体" w:eastAsia="宋体" w:cs="宋体"/>
          <w:b/>
          <w:bCs/>
          <w:color w:val="auto"/>
          <w:sz w:val="24"/>
          <w:szCs w:val="24"/>
          <w:highlight w:val="none"/>
        </w:rPr>
        <w:t xml:space="preserve">对项目需求部分的询问、质疑请与采购人联系，由采购人负责答复</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合同履行期限（服务期限）：</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年</w:t>
      </w:r>
      <w:r>
        <w:rPr>
          <w:rFonts w:hint="eastAsia" w:ascii="宋体" w:hAnsi="宋体" w:eastAsia="宋体" w:cs="宋体"/>
          <w:b w:val="0"/>
          <w:bCs/>
          <w:color w:val="auto"/>
          <w:sz w:val="24"/>
          <w:szCs w:val="24"/>
          <w:highlight w:val="none"/>
          <w:lang w:val="en-US" w:eastAsia="zh-CN"/>
        </w:rPr>
        <w:t xml:space="preserve">（自合同约定之日起365日历天）</w:t>
      </w:r>
      <w:r>
        <w:rPr>
          <w:rFonts w:hint="eastAsia" w:ascii="宋体" w:hAnsi="宋体" w:eastAsia="宋体" w:cs="宋体"/>
          <w:b w:val="0"/>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b/>
          <w:bCs/>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联合体投标。</w:t>
      </w:r>
      <w:r/>
    </w:p>
    <w:p>
      <w:pPr>
        <w:pStyle w:val="720"/>
        <w:spacing w:before="0" w:after="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二、申请人的资格要求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（一）满足《中华人民共和国政府采购法》第二十二条规定，并提供下列材料：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2.上一年度的财务状况报告（成立不满一年无需提供）；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根据连财购〔2023〕4号文件精神，2、3项可以提供《财务状况报告及税收、社会保障资金缴纳情况承诺函》，详见投标文件格式。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4.具备履行合同所必需的设备和专业技术能力的声明及证明材料；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资格审查现场查询信用中国、中国政府采购网，投标人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（二）落实政府采购政策需满足的资格要求：</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8"/>
          <w:highlight w:val="none"/>
        </w:rPr>
        <w:t xml:space="preserve">本项目执行《政府采购促进中心企业发展管理办法》的通知（财库〔2020〕46号）等相关文件的规定，</w:t>
      </w:r>
      <w:r>
        <w:rPr>
          <w:rFonts w:hint="eastAsia" w:ascii="宋体" w:hAnsi="宋体" w:eastAsia="宋体" w:cs="宋体"/>
          <w:b/>
          <w:color w:val="auto"/>
          <w:sz w:val="24"/>
          <w:szCs w:val="24"/>
          <w:highlight w:val="none"/>
        </w:rPr>
        <w:t xml:space="preserve">专门面向中型企业、小型企业、微型企业、残疾人福利性单位、监狱企业采购，符合要求的投标人须提供《中小企业声明函》（详见第六章投标文件格式）或《残疾人福利性单位声明函》（详见第六章投标文件格式）或属于监狱企业的证明文件，否则投标无效。</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本项目的特定资格要求：</w:t>
      </w:r>
      <w:r>
        <w:rPr>
          <w:rFonts w:hint="eastAsia" w:ascii="宋体" w:hAnsi="宋体" w:eastAsia="宋体" w:cs="宋体"/>
          <w:b/>
          <w:color w:val="auto"/>
          <w:sz w:val="24"/>
          <w:szCs w:val="24"/>
          <w:highlight w:val="none"/>
          <w:lang w:val="en-US" w:eastAsia="zh-CN"/>
        </w:rPr>
        <w:t xml:space="preserve">无</w:t>
      </w:r>
      <w:r>
        <w:rPr>
          <w:rFonts w:hint="eastAsia" w:ascii="宋体" w:hAnsi="宋体" w:eastAsia="宋体" w:cs="宋体"/>
          <w:color w:val="auto"/>
          <w:sz w:val="24"/>
          <w:szCs w:val="24"/>
          <w:highlight w:val="none"/>
        </w:rPr>
        <w:t xml:space="preserve">。</w:t>
      </w:r>
      <w:r/>
    </w:p>
    <w:p>
      <w:pPr>
        <w:pStyle w:val="720"/>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三、获取招标文件</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1.时间：2025年10月9日至2025年10月15日23:59:00止（北京时间）。</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2.方式：在“江苏政府采购网”自行免费下载招标文件。</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（1）潜在供应商访问电子招标投标交易平台的网络地址和方法：</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①登录http://jszfcg.jsczt.cn/ ，或进入江苏政府采购网，点击“苏采云”进入系统。</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③“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8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④招标文件(后缀名为“.kedt”)、供应商操作手册及政府采购客户端工具可通过“苏采云”系统--已报名项目--报名详情页面内相应链接进行下载。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⑤招标代理机构(采购代理机构)将数据电文形式的招标文件加载至“苏采云”系统，供潜在供应商下载或者查阅。</w:t>
      </w:r>
      <w:r/>
    </w:p>
    <w:p>
      <w:pPr>
        <w:pStyle w:val="720"/>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四、提交投标文件截止时间、开标时间和地点</w:t>
      </w:r>
      <w:r/>
    </w:p>
    <w:p>
      <w:pPr>
        <w:ind w:firstLine="480"/>
        <w:pageBreakBefore w:val="0"/>
        <w:spacing w:line="360" w:lineRule="auto"/>
        <w:rPr>
          <w:rFonts w:hint="eastAsia" w:ascii="宋体" w:hAnsi="宋体" w:eastAsia="宋体" w:cs="宋体"/>
          <w:bCs/>
          <w:color w:val="auto"/>
          <w:sz w:val="24"/>
          <w:szCs w:val="24"/>
          <w:highlight w:val="none"/>
          <w:u w:val="none"/>
        </w:rPr>
      </w:pPr>
      <w:r>
        <w:rPr>
          <w:rFonts w:hint="eastAsia" w:ascii="宋体" w:hAnsi="宋体" w:eastAsia="宋体" w:cs="宋体"/>
          <w:bCs/>
          <w:color w:val="auto"/>
          <w:sz w:val="24"/>
          <w:szCs w:val="24"/>
          <w:highlight w:val="none"/>
          <w:u w:val="none"/>
        </w:rPr>
        <w:t xml:space="preserve">1.投标文件接收截止时间</w:t>
      </w: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u w:val="none"/>
        </w:rPr>
        <w:t xml:space="preserve">202</w:t>
      </w:r>
      <w:r>
        <w:rPr>
          <w:rFonts w:hint="eastAsia" w:ascii="宋体" w:hAnsi="宋体" w:eastAsia="宋体" w:cs="宋体"/>
          <w:bCs/>
          <w:color w:val="auto"/>
          <w:sz w:val="24"/>
          <w:szCs w:val="24"/>
          <w:highlight w:val="none"/>
          <w:u w:val="none"/>
          <w:lang w:val="en-US" w:eastAsia="zh-CN"/>
        </w:rPr>
        <w:t xml:space="preserve">5</w:t>
      </w:r>
      <w:r>
        <w:rPr>
          <w:rFonts w:hint="eastAsia" w:ascii="宋体" w:hAnsi="宋体" w:eastAsia="宋体" w:cs="宋体"/>
          <w:bCs/>
          <w:color w:val="auto"/>
          <w:sz w:val="24"/>
          <w:szCs w:val="24"/>
          <w:highlight w:val="none"/>
          <w:u w:val="none"/>
        </w:rPr>
        <w:t xml:space="preserve">年</w:t>
      </w:r>
      <w:r>
        <w:rPr>
          <w:rFonts w:hint="eastAsia" w:ascii="宋体" w:hAnsi="宋体" w:eastAsia="宋体" w:cs="宋体"/>
          <w:bCs/>
          <w:color w:val="auto"/>
          <w:sz w:val="24"/>
          <w:szCs w:val="24"/>
          <w:highlight w:val="none"/>
          <w:u w:val="none"/>
          <w:lang w:val="en-US" w:eastAsia="zh-CN"/>
        </w:rPr>
        <w:t xml:space="preserve">10</w:t>
      </w:r>
      <w:r>
        <w:rPr>
          <w:rFonts w:hint="eastAsia" w:ascii="宋体" w:hAnsi="宋体" w:eastAsia="宋体" w:cs="宋体"/>
          <w:bCs/>
          <w:color w:val="auto"/>
          <w:sz w:val="24"/>
          <w:szCs w:val="24"/>
          <w:highlight w:val="none"/>
          <w:u w:val="none"/>
        </w:rPr>
        <w:t xml:space="preserve">月</w:t>
      </w:r>
      <w:r>
        <w:rPr>
          <w:rFonts w:hint="eastAsia" w:ascii="宋体" w:hAnsi="宋体" w:eastAsia="宋体" w:cs="宋体"/>
          <w:bCs/>
          <w:color w:val="auto"/>
          <w:sz w:val="24"/>
          <w:szCs w:val="24"/>
          <w:highlight w:val="none"/>
          <w:u w:val="none"/>
          <w:lang w:val="en-US" w:eastAsia="zh-CN"/>
        </w:rPr>
        <w:t xml:space="preserve">31</w:t>
      </w:r>
      <w:r>
        <w:rPr>
          <w:rFonts w:hint="eastAsia" w:ascii="宋体" w:hAnsi="宋体" w:eastAsia="宋体" w:cs="宋体"/>
          <w:bCs/>
          <w:color w:val="auto"/>
          <w:sz w:val="24"/>
          <w:szCs w:val="24"/>
          <w:highlight w:val="none"/>
          <w:u w:val="none"/>
        </w:rPr>
        <w:t xml:space="preserve">日9点00分（北京时间）。</w:t>
      </w:r>
      <w:r/>
    </w:p>
    <w:p>
      <w:pPr>
        <w:ind w:firstLine="480"/>
        <w:spacing w:line="360" w:lineRule="auto"/>
        <w:rPr>
          <w:rFonts w:hint="eastAsia" w:ascii="宋体" w:hAnsi="宋体" w:eastAsia="宋体" w:cs="宋体"/>
          <w:color w:val="auto"/>
          <w:highlight w:val="none"/>
        </w:rPr>
      </w:pPr>
      <w:r>
        <w:rPr>
          <w:rFonts w:hint="eastAsia" w:ascii="宋体" w:hAnsi="宋体" w:eastAsia="宋体" w:cs="宋体"/>
          <w:bCs/>
          <w:color w:val="auto"/>
          <w:sz w:val="24"/>
          <w:szCs w:val="24"/>
          <w:highlight w:val="none"/>
          <w:u w:val="none"/>
        </w:rPr>
        <w:t xml:space="preserve">2.地点：“苏采云”政府采购交易系统网上开标大厅。请潜在投标单位提前安装相应的控件(详见《江苏省政府采购管理交易系统(苏采云)供应商操作手册&gt;)并使用谷歌浏览器登录“苏采云”系统参与不见面开评标。</w:t>
      </w:r>
      <w:r/>
    </w:p>
    <w:p>
      <w:pPr>
        <w:pStyle w:val="720"/>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五、公告期限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720"/>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六、其他补充事宜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1.本次招标不收取投标保证金。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2.本招标文件中</w:t>
      </w:r>
      <w:r>
        <w:rPr>
          <w:rFonts w:hint="eastAsia" w:ascii="宋体" w:hAnsi="宋体" w:eastAsia="宋体" w:cs="宋体"/>
          <w:color w:val="auto"/>
          <w:sz w:val="24"/>
          <w:szCs w:val="24"/>
          <w:highlight w:val="none"/>
          <w:lang w:val="en-US" w:eastAsia="zh-CN"/>
        </w:rPr>
        <w:t xml:space="preserve">标注★的款项</w:t>
      </w:r>
      <w:r>
        <w:rPr>
          <w:rFonts w:hint="eastAsia" w:ascii="宋体" w:hAnsi="宋体" w:eastAsia="宋体" w:cs="宋体"/>
          <w:color w:val="auto"/>
          <w:sz w:val="24"/>
          <w:szCs w:val="24"/>
          <w:highlight w:val="none"/>
        </w:rPr>
        <w:t xml:space="preserve">为实质性要求和条件，投标人须逐条做出满足实质性要求和条件的响应，否则将按无效响应处理。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http://www.ccgp-jiangsu.gov.cn/jiangsu/zlxz/ee/ee3a4bc5a3454aa2b0d9312230633ce9.html</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720"/>
        <w:spacing w:before="0" w:after="0" w:line="360" w:lineRule="auto"/>
        <w:rPr>
          <w:rFonts w:hint="eastAsia" w:ascii="宋体" w:hAnsi="宋体" w:eastAsia="宋体" w:cs="宋体"/>
          <w:bCs w:val="0"/>
          <w:color w:val="auto"/>
          <w:szCs w:val="22"/>
          <w:highlight w:val="none"/>
        </w:rPr>
      </w:pPr>
      <w:r>
        <w:rPr>
          <w:rFonts w:hint="eastAsia" w:ascii="宋体" w:hAnsi="宋体" w:eastAsia="宋体" w:cs="宋体"/>
          <w:bCs w:val="0"/>
          <w:color w:val="auto"/>
          <w:szCs w:val="22"/>
          <w:highlight w:val="none"/>
        </w:rPr>
        <w:t xml:space="preserve">七、对本次招标提出询问，请按以下方式联系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val="en-US" w:eastAsia="zh-CN"/>
        </w:rPr>
        <w:t xml:space="preserve">连云港徐圩新区应急救援指挥中心</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val="en-US" w:eastAsia="zh-CN"/>
        </w:rPr>
        <w:t xml:space="preserve">徐圩新区应急救援指挥中心</w:t>
      </w:r>
      <w:r/>
    </w:p>
    <w:p>
      <w:pPr>
        <w:ind w:firstLine="480"/>
        <w:jc w:val="left"/>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张海风</w:t>
      </w:r>
      <w:r/>
    </w:p>
    <w:p>
      <w:pPr>
        <w:ind w:firstLine="480"/>
        <w:jc w:val="left"/>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15052496304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2.采购代理机构信息</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lang w:val="en-US" w:eastAsia="zh-CN"/>
        </w:rPr>
        <w:t xml:space="preserve">江苏万达工程造价事务所有限公司</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val="en-US" w:eastAsia="zh-CN"/>
        </w:rPr>
        <w:t xml:space="preserve">连云港市海州区朝阳东路凤凰国际大厦19楼</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 刘承杰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15061306882</w:t>
      </w:r>
      <w:r/>
    </w:p>
    <w:p>
      <w:pPr>
        <w:pStyle w:val="720"/>
        <w:numPr>
          <w:ilvl w:val="0"/>
          <w:numId w:val="0"/>
        </w:numPr>
        <w:rPr>
          <w:rFonts w:hint="eastAsia" w:ascii="宋体" w:hAnsi="宋体" w:eastAsia="宋体" w:cs="宋体"/>
          <w:i w:val="0"/>
          <w:iCs w:val="0"/>
          <w:color w:val="auto"/>
          <w:highlight w:val="none"/>
          <w:lang w:eastAsia="zh-CN"/>
        </w:rPr>
      </w:pPr>
      <w:r>
        <w:rPr>
          <w:rFonts w:hint="eastAsia" w:ascii="宋体" w:hAnsi="宋体" w:eastAsia="宋体" w:cs="宋体"/>
          <w:i w:val="0"/>
          <w:iCs w:val="0"/>
          <w:color w:val="auto"/>
          <w:highlight w:val="none"/>
          <w:lang w:eastAsia="zh-CN"/>
        </w:rPr>
        <w:t xml:space="preserve">八、电子招投标说明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1.本项目采用电子招标投标，请</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严格按照</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的规定编制、提交</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，否则所造成的一切不利后果由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自行承担。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应当通过“苏采云”系统提交数据电文形式的</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（即电子投标）。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特别说明：本项目采用线上投标，即</w:t>
      </w:r>
      <w:r>
        <w:rPr>
          <w:rFonts w:hint="eastAsia" w:ascii="宋体" w:hAnsi="宋体" w:eastAsia="宋体" w:cs="宋体"/>
          <w:color w:val="auto"/>
          <w:sz w:val="24"/>
          <w:szCs w:val="24"/>
          <w:highlight w:val="none"/>
          <w:lang w:eastAsia="zh-CN"/>
        </w:rPr>
        <w:t xml:space="preserve">投标人投标文件需</w:t>
      </w:r>
      <w:r>
        <w:rPr>
          <w:rFonts w:hint="eastAsia" w:ascii="宋体" w:hAnsi="宋体" w:eastAsia="宋体" w:cs="宋体"/>
          <w:color w:val="auto"/>
          <w:sz w:val="24"/>
          <w:szCs w:val="24"/>
          <w:highlight w:val="none"/>
        </w:rPr>
        <w:t xml:space="preserve">通过“苏采云”系统提交，未提供线上</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的，投标无效。</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3.电子</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应由其法定代表人或法定代表人授权代表在规定的网上投标时间内，凭 CA 证书登陆“苏采云”系统在线编制</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（电子数据），并在</w:t>
      </w:r>
      <w:r>
        <w:rPr>
          <w:rFonts w:hint="eastAsia" w:ascii="宋体" w:hAnsi="宋体" w:eastAsia="宋体" w:cs="宋体"/>
          <w:color w:val="auto"/>
          <w:sz w:val="24"/>
          <w:szCs w:val="24"/>
          <w:highlight w:val="none"/>
          <w:lang w:eastAsia="zh-CN"/>
        </w:rPr>
        <w:t xml:space="preserve">投标文件递交</w:t>
      </w:r>
      <w:r>
        <w:rPr>
          <w:rFonts w:hint="eastAsia" w:ascii="宋体" w:hAnsi="宋体" w:eastAsia="宋体" w:cs="宋体"/>
          <w:color w:val="auto"/>
          <w:sz w:val="24"/>
          <w:szCs w:val="24"/>
          <w:highlight w:val="none"/>
        </w:rPr>
        <w:t xml:space="preserve">截止时间之前上传</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应在达到开标时间后，使用CA数字证书解密各自</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4.线上开标时，“苏采云”系统自动提取所有</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按</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规定方式按时在线解密。本项目</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规定的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按时在线解密方式：开标时间后30分钟内，通过“苏采云”系统（使用“CA数字证书”）解密。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解密（或解密时间）结束后，“苏采云”系统生成开标记录并向社会公众公布，但依法应当保密的除外。</w:t>
      </w:r>
      <w:r/>
    </w:p>
    <w:p>
      <w:pPr>
        <w:pStyle w:val="719"/>
        <w:jc w:val="center"/>
        <w:spacing w:line="360" w:lineRule="auto"/>
        <w:rPr>
          <w:rFonts w:hint="eastAsia" w:ascii="宋体" w:hAnsi="宋体" w:eastAsia="宋体" w:cs="宋体"/>
          <w:b w:val="0"/>
          <w:color w:val="auto"/>
          <w:highlight w:val="none"/>
        </w:rPr>
      </w:pPr>
      <w:r/>
      <w:bookmarkStart w:id="1" w:name="_Toc162361611"/>
      <w:r>
        <w:rPr>
          <w:rFonts w:hint="eastAsia" w:ascii="宋体" w:hAnsi="宋体" w:eastAsia="宋体" w:cs="宋体"/>
          <w:b w:val="0"/>
          <w:color w:val="auto"/>
          <w:highlight w:val="none"/>
        </w:rPr>
        <w:t xml:space="preserve">第二章  投标人须知</w:t>
      </w:r>
      <w:bookmarkEnd w:id="1"/>
      <w:r/>
      <w:r/>
    </w:p>
    <w:p>
      <w:pPr>
        <w:pStyle w:val="720"/>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20"/>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一、总则</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1、招标方式</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2、合格的投标人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满足招标公告中供应商的资格要求的规定。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 满足本招标文件全部实质性要求和条件的规定。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 符合上述条件的投标人应承担投标及履约过程应承担的全部责任与义务。</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2.5单位负责人为同一人或者存在直接控股、管理关系的不同供应商，不得参加同一合同项下的政府采购活动。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3、适用法律</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4、投标费用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投标人应自行承担所有与参加投标有关的费用，无论投标过程中的做法和结果如何，</w:t>
      </w:r>
      <w:r>
        <w:rPr>
          <w:rFonts w:hint="eastAsia" w:ascii="宋体" w:hAnsi="宋体" w:eastAsia="宋体" w:cs="宋体"/>
          <w:color w:val="auto"/>
          <w:sz w:val="24"/>
          <w:szCs w:val="24"/>
          <w:highlight w:val="none"/>
          <w:lang w:val="en-US" w:eastAsia="zh-CN"/>
        </w:rPr>
        <w:t xml:space="preserve">江苏万达工程造价事务所有限公司</w:t>
      </w:r>
      <w:r>
        <w:rPr>
          <w:rFonts w:hint="eastAsia" w:ascii="宋体" w:hAnsi="宋体" w:eastAsia="宋体" w:cs="宋体"/>
          <w:color w:val="auto"/>
          <w:sz w:val="24"/>
          <w:szCs w:val="24"/>
          <w:highlight w:val="none"/>
        </w:rPr>
        <w:t xml:space="preserve">（以下简称</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）在任何情况下均无义务和责任承担这些费用。</w:t>
      </w:r>
      <w:r/>
    </w:p>
    <w:p>
      <w:pPr>
        <w:ind w:firstLine="480"/>
        <w:spacing w:line="50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4.2 </w:t>
      </w:r>
      <w:r>
        <w:rPr>
          <w:rFonts w:hint="eastAsia" w:ascii="宋体" w:hAnsi="宋体" w:eastAsia="宋体" w:cs="宋体"/>
          <w:b/>
          <w:bCs/>
          <w:color w:val="auto"/>
          <w:sz w:val="24"/>
          <w:szCs w:val="24"/>
          <w:highlight w:val="none"/>
        </w:rPr>
        <w:t xml:space="preserve">采购代理费按苏招协【2022】002号规定的收费标准</w:t>
      </w:r>
      <w:r>
        <w:rPr>
          <w:rFonts w:hint="eastAsia" w:ascii="宋体" w:hAnsi="宋体" w:eastAsia="宋体" w:cs="宋体"/>
          <w:b/>
          <w:bCs/>
          <w:color w:val="auto"/>
          <w:sz w:val="24"/>
          <w:szCs w:val="24"/>
          <w:highlight w:val="none"/>
          <w:lang w:val="en-US" w:eastAsia="zh-CN"/>
        </w:rPr>
        <w:t xml:space="preserve">70%</w:t>
      </w:r>
      <w:r>
        <w:rPr>
          <w:rFonts w:hint="eastAsia" w:ascii="宋体" w:hAnsi="宋体" w:eastAsia="宋体" w:cs="宋体"/>
          <w:b/>
          <w:bCs/>
          <w:color w:val="auto"/>
          <w:sz w:val="24"/>
          <w:szCs w:val="24"/>
          <w:highlight w:val="none"/>
        </w:rPr>
        <w:t xml:space="preserve">计取</w:t>
      </w:r>
      <w:r>
        <w:rPr>
          <w:rFonts w:hint="eastAsia" w:ascii="宋体" w:hAnsi="宋体" w:eastAsia="宋体" w:cs="宋体"/>
          <w:b/>
          <w:bCs/>
          <w:color w:val="auto"/>
          <w:sz w:val="24"/>
          <w:szCs w:val="24"/>
          <w:highlight w:val="none"/>
          <w:lang w:eastAsia="zh-CN"/>
        </w:rPr>
        <w:t xml:space="preserve">，由中标人支付</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在报价时应综合考虑以上相关费用，但不得单列。相关费用必须在</w:t>
      </w:r>
      <w:r>
        <w:rPr>
          <w:rFonts w:hint="eastAsia" w:ascii="宋体" w:hAnsi="宋体" w:eastAsia="宋体" w:cs="宋体"/>
          <w:b/>
          <w:bCs/>
          <w:color w:val="auto"/>
          <w:sz w:val="24"/>
          <w:szCs w:val="24"/>
          <w:highlight w:val="none"/>
          <w:lang w:eastAsia="zh-CN"/>
        </w:rPr>
        <w:t xml:space="preserve">中标</w:t>
      </w:r>
      <w:r>
        <w:rPr>
          <w:rFonts w:hint="eastAsia" w:ascii="宋体" w:hAnsi="宋体" w:eastAsia="宋体" w:cs="宋体"/>
          <w:b/>
          <w:bCs/>
          <w:color w:val="auto"/>
          <w:sz w:val="24"/>
          <w:szCs w:val="24"/>
          <w:highlight w:val="none"/>
        </w:rPr>
        <w:t xml:space="preserve">公示后中标通知书发出前由中标人一次性付清。</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5、招标文件的约束力</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投标人一旦参加本项目采购活动，即被认为接受了本招标文件的规定和约束。</w:t>
      </w:r>
      <w:r/>
    </w:p>
    <w:p>
      <w:pPr>
        <w:pStyle w:val="720"/>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二、招标文件</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6、招标文件构成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招标文件由以下部分组成：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（2）投标人须知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（5）评标方法与评标标准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（6）投标文件格式</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请仔细检查招标文件是否齐全，如有缺漏请立即与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联系解决。</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bCs w:val="0"/>
          <w:color w:val="auto"/>
          <w:sz w:val="24"/>
          <w:szCs w:val="24"/>
          <w:highlight w:val="none"/>
        </w:rPr>
        <w:t xml:space="preserve">6.2</w:t>
      </w:r>
      <w:r>
        <w:rPr>
          <w:rFonts w:hint="eastAsia" w:ascii="宋体" w:hAnsi="宋体" w:eastAsia="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7、招标文件的澄清</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任何要求对招标文件进行澄清的投标人，应在投标截止期十日前按招标公告中的通讯地址，以书面形式通知采购人或者</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8、招标文件的修改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在投标截止时间前，</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可以对招标文件进行修改。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 </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有权按照法定的要求推迟投标截止日期和开标日期。</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8.3招标文件的修改将在江苏政府采购网公布，补充文件将作为招标文件的组成部分，并对投标人具有约束力。</w:t>
      </w:r>
      <w:r/>
    </w:p>
    <w:p>
      <w:pPr>
        <w:pStyle w:val="720"/>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三、投标文件的编制</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9、投标文件编写注意事项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10、投标文件的语言及度量衡单位</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除专用术语外，投标人提交的投标文件以及投标人与采购人和</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11、投标文件构成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11.2如投标文件制作工具中格式和内容与江苏政府采购网发布的招标文件不一致，请以江苏政府采购网发布的招标文件为准。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11.3特别提醒投标人，混乱的编排导致投标文件被误读或评标委员会（以下简称评委会）查找不到有效文件是投标人的风险。</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12、证明投标人及投标标的符合招标文件规定的文件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12.1投标人应按照招标文件要求提交证明文件，证明其及投标标的符合招标文件规定。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12.2招标文件对证明文件无明确形式要求的，证明文件可以以文字资料、图纸和数据等形式提交。</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12.3投标人委托代理时应当提交授权委托书，请按招标文件第六章给定格式及要求填写并附法定代表人（单位负责人）与委托代理人身份证明。</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13、投标分项报价表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13.1投标人应根据投标报价要求在投标分项报价表中列明各项投标单价、总价等，未全部列示的作无效响应处理。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13.2投标货币。投标文件中的单价和总价无特殊规定的采用人民币报价，以元为单位标注。招标文件中另有规定的按规定执行。</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14、技术要求响应及偏离表、商务要求响应及偏离表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投标人可在投标文件中提供认为需要的其他技术文件或说明。</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15、服务承诺、培训计划、人员安排及其他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投标人需根据招标文件要求提供培训计划、人员安排等。</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投标人需根据招标文件要求提供所投标的的主要组成部分、功能设计、实现思路及关键技术等。</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16、投标函和开标一览表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投标人应按照招标文件中提供的格式完整、正确填写投标函、开标一览表。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17、投标有效期</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投标有效期为</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规定的开标之日后六十（60）天。投标有效期比规定短的将被视为未实质性响应招标文件而予以拒绝。</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720"/>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四、投标文件的递交</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18、电子投标文件的递交</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投标人应当按照《操作手册》规定，在投标截止时间前制作并递交（上传）电子投标文件。</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19、投标截止时间</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投标人递交（上传）电子投标文件的时间不得迟于招标公告中规定的投标截止时间。</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 采购代理机构可以按照规定，通过修改招标文件酌情延长投标截止日期，在此情况下，投标人的所有权利和义务以及投标人受制的截止日期均应以延长后新的截止日期为准。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20、投标文件的拒收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拒绝接收在其规定的投标截止时间后递交（上传）的任何投标文件。</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21、投标文件的撤回和修改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投标文件的撤回</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投标人可在投标截止时间前，撤回其电子投标文件，具体操作方法见《操作手册》。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 投标人撤回电子投标文件的，则认为其不再参与本项目投标活动。</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投标文件的修改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 投标人可在投标截止时间前，对其电子投标文件进行修改，具体操作方法见《操作手册》。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21.2.2 在投标截止时间之后，投标人不得对其电子投标文件做任何修改。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在投标截止时间至招标文件中规定的投标有效期满之间的这段时间内，投标人不得撤回其投标。</w:t>
      </w:r>
      <w:r/>
    </w:p>
    <w:p>
      <w:pPr>
        <w:pStyle w:val="720"/>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五、开标与评标</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22、开标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将在招标公告中规定的时间和地点组织公开开标。投标人应当按时参加开标活动，并在“苏采云”系统规定的时间内对投标文件进行解密。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 开标仪式由</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 投标人在开标过程中涉及到的投标文件解密、开标结果确认等工作，应当按照《操作手册》规定执行。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22.5 投标人未参加开标的，视同认可开标结果。</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23、评标委员会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开标后，</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将立即组织评委会进行评标。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评委会由采购人代表和有关技术、经济等方面的评审专家组成，且人员构成符合政府采购有关规定。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评委会按照采购文件规定的评审程序、评审方法和评审标准进行独立评审并确定中标候选人。</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24、评标过程的保密与公正</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凡是与审查、澄清、评价和比较投标的有关资料以及授标建议等，采购人、评审专家、</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均不得向投标人或与评标无关的其他人员透露。</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在评标过程中，投标人不得以任何行为影响评标过程，否则其投标文件将被作为无效投标文件。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和评委会不向未中标的投标人解释未中标原因，也不公布评标过程中的相关细节。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 采用综合评分法的项目，未中标的投标人可于中标结果公告期限届满之日起通过“苏采云”系统查看自己的评审得分及排序情况。</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25、投标文件的澄清</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评委会并非对每个投标人都做澄清、说明或者补正要求。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接到评委会澄清、说明或者补正要求的投标人如未按规定响应，其风险由投标人自行承担。</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26、对投标文件的初审</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投标文件初审分为资格审查和符合性审查。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 资格审查：依据法律法规和招标文件的规定，由采购人对投标文件中的资格证明文件进行审查。资格审查的结论，采购人以书面形式向评委会进行反馈。</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采购人在进行资格性审查的同时，将在信用中国网站（www.creditchina.gov.cn）、中国政府采购网（www.ccgp.gov.cn）查询投标人的信用记录，以确定投标人是否具备投标资格，查询结果留存并归档。</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 符合性审查：依据招标文件的规定，由评委会从投标文件的有效性、完整性和对招标文件的响应程度进行审查，以确定其是否对招标文件的实质性要求作出响应。</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本招标文件中</w:t>
      </w:r>
      <w:r>
        <w:rPr>
          <w:rFonts w:hint="eastAsia" w:ascii="宋体" w:hAnsi="宋体" w:eastAsia="宋体" w:cs="宋体"/>
          <w:i/>
          <w:iCs/>
          <w:color w:val="auto"/>
          <w:sz w:val="24"/>
          <w:szCs w:val="24"/>
          <w:highlight w:val="none"/>
          <w:u w:val="single"/>
        </w:rPr>
        <w:t xml:space="preserve">斜体且有下划线部分</w:t>
      </w:r>
      <w:r>
        <w:rPr>
          <w:rFonts w:hint="eastAsia" w:ascii="宋体" w:hAnsi="宋体" w:eastAsia="宋体" w:cs="宋体"/>
          <w:color w:val="auto"/>
          <w:sz w:val="24"/>
          <w:szCs w:val="24"/>
          <w:highlight w:val="none"/>
        </w:rPr>
        <w:t xml:space="preserve">为实质性要求和条件，投标人必须逐条做出满足实质性要求和条件的响应，否则将按无效响应处理。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 未通过资格审查或符合性审查的投标人，将在“苏采云”系统中告知未通过资格审查或符合性审查的原因，评审结束后，将不再告知未通过资格审查或符合性审查的原因。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非单一产品采购项目，招标文件中将载明核心产品。多家投标人提供的核心产品品牌相同的，按前两款规定处理。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 投标人在开、评标全过程中应保持通讯畅通，及时登录“苏采云”系统查阅、答复相关信息，并安排专人与</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及评委会联系。</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27、无效投标条款和废标条款</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w:t>
      </w:r>
      <w:r>
        <w:rPr>
          <w:rFonts w:hint="eastAsia" w:ascii="宋体" w:hAnsi="宋体" w:eastAsia="宋体" w:cs="宋体"/>
          <w:b/>
          <w:bCs/>
          <w:color w:val="auto"/>
          <w:sz w:val="24"/>
          <w:szCs w:val="24"/>
          <w:highlight w:val="none"/>
        </w:rPr>
        <w:t xml:space="preserve">无效投标条款</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（1）投标人未按照招标文件要求递交（上传）电子投标文件的。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（2）投标人在“苏采云”系统规定的时间内未成功解密电子投标文件的。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（3）投标人不具备招标文件中规定的资格要求的。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（5）投标人提交两个（含两个）以上不同的投标报价的。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（6）投标人的报价超过了采购预算或者最高限价的。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（8）不符合招标文件中规定的实质性要求和条件的（本招标文件中</w:t>
      </w:r>
      <w:r>
        <w:rPr>
          <w:rFonts w:hint="eastAsia" w:ascii="宋体" w:hAnsi="宋体" w:eastAsia="宋体" w:cs="宋体"/>
          <w:color w:val="auto"/>
          <w:sz w:val="24"/>
          <w:szCs w:val="24"/>
          <w:highlight w:val="none"/>
          <w:lang w:val="en-US" w:eastAsia="zh-CN"/>
        </w:rPr>
        <w:t xml:space="preserve">标注★的款项</w:t>
      </w:r>
      <w:r>
        <w:rPr>
          <w:rFonts w:hint="eastAsia" w:ascii="宋体" w:hAnsi="宋体" w:eastAsia="宋体" w:cs="宋体"/>
          <w:color w:val="auto"/>
          <w:sz w:val="24"/>
          <w:szCs w:val="24"/>
          <w:highlight w:val="none"/>
        </w:rPr>
        <w:t xml:space="preserve">为实质性要求和条件，投标人须逐条做出满足实质性要求和条件的响应，否则将按无效响应处理）。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（10）投标人未通过符合性审查的。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（11）投标文件含有采购人不能接受的附加条件的。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（12）投标文件未按照招标文件要求加盖公章（CA电子公章）的。</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启动异常低价投标（响应）审查的情形和具体要求，包括：</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评审过程中出现下列情形之一的，评审委员会应当启动异常低价投标（响应）审查程序：</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①投标（响应）报价低于采购项目预算50%的，即投标（响应）报价&lt;采购项目预算×50%；</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②投标（响应）报价低于采购项目最高限价45%的，即投标（响应）报价&lt;采购项目最高限价×45%；</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③评审委员会认定的供应商报价过低、有可能影响产品质量或者不能诚信履约的其他情形。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二</w:t>
      </w:r>
      <w:r>
        <w:rPr>
          <w:rFonts w:hint="eastAsia" w:ascii="宋体" w:hAnsi="宋体" w:eastAsia="宋体" w:cs="宋体"/>
          <w:color w:val="auto"/>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w:t>
      </w:r>
      <w:r>
        <w:rPr>
          <w:rFonts w:hint="eastAsia" w:ascii="宋体" w:hAnsi="宋体" w:eastAsia="宋体" w:cs="宋体"/>
          <w:color w:val="auto"/>
          <w:sz w:val="24"/>
          <w:highlight w:val="none"/>
        </w:rPr>
        <w:t xml:space="preserve">员会将其作为无效投标（响应）处理。审查相关情况在评审报告中进行记录</w:t>
      </w:r>
      <w:r>
        <w:rPr>
          <w:rFonts w:hint="eastAsia" w:ascii="宋体" w:hAnsi="宋体" w:eastAsia="宋体" w:cs="宋体"/>
          <w:color w:val="auto"/>
          <w:sz w:val="24"/>
          <w:highlight w:val="none"/>
          <w:lang w:eastAsia="zh-CN"/>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）其他法律、法规及本招标文件规定的属于无效投标的情形。</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有下列情形之一的，视为投标人串通投标，投标无效：</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（1）不同投标人的投标文件由同一单位或者个人编制。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（2）不同投标人委托同一单位或者个人办理投标事宜。</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（3）不同投标人的投标文件载明的项目管理成员或者联系人员为同一人。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（4）不同投标人的投标文件异常一致或者投标报价呈规律性差异。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w:t>
      </w:r>
      <w:r>
        <w:rPr>
          <w:rFonts w:hint="eastAsia" w:ascii="宋体" w:hAnsi="宋体" w:eastAsia="宋体" w:cs="宋体"/>
          <w:b/>
          <w:bCs/>
          <w:color w:val="auto"/>
          <w:sz w:val="24"/>
          <w:szCs w:val="24"/>
          <w:highlight w:val="none"/>
        </w:rPr>
        <w:t xml:space="preserve">废标条款</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（1）因“苏采云”系统系统故障原因造成开标不成功的。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（2）评委会认定招标文件存在歧义、重大缺陷导致评审工作无法进行的。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（3）符合专业条件的供应商或者对招标文件作实质响应的供应商不足三家的。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（4）出现影响采购公正的违法、违规行为的。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（5）因重大变故，采购任务取消的。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27.4 出现投标截止时间结束后参加投标的供应商或者在评标期间对招标文件做出实质响应的供应商不足三家情况的，按照政府采购相关规定执行。</w:t>
      </w:r>
      <w:r/>
    </w:p>
    <w:p>
      <w:pPr>
        <w:pStyle w:val="720"/>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六、定标</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28、确定中标单位</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中标候选人的选取原则和数量详见招标文件第五章规定。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采购人应根据评委会推荐的中标候选人确定中标人。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将在江苏政府采购网发布中标公告，公告期限为1个工作日。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28.4 若有充分证据证明，中标人存在下列情况之一的，一经查实，将被取消中标资格：</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（1）提供虚假材料谋取中标、成交的。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（2）采取不正当手段诋毁、排挤其他供应商的。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（3）与采购人、其他供应商或者采购代理机构恶意串通的。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（4）向采购人、</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行贿或者提供其他不正当利益的。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（5）在招标采购过程中与采购人进行协商谈判的。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（6）属于本文件规定的无效条件，但在评标过程中又未被评委会发现的。</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29、中标通知书</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中标结果确定后，</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 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中标人在中标后七个工作日内，需向采购人和</w:t>
      </w: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szCs w:val="24"/>
          <w:highlight w:val="none"/>
        </w:rPr>
        <w:t xml:space="preserve">各提供一份与电子投标文件一致的纸质打印胶装投标文件，封面、骑缝需加盖公章。</w:t>
      </w:r>
      <w:r/>
    </w:p>
    <w:p>
      <w:pPr>
        <w:pStyle w:val="720"/>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七、授予合同</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30、履约保证金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 履约保证金自合同生效之日起至合同约定的中标人主要义务履行完毕止，采购人应当按合同约定及时退还履约保证金。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 逾期退还履约保证金的采购人承担违约责任，按照中国人民银行同期贷款基准利率向中标人支付超期资金占用费。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30.5 </w:t>
      </w:r>
      <w:r>
        <w:rPr>
          <w:rFonts w:hint="eastAsia" w:ascii="宋体" w:hAnsi="宋体" w:eastAsia="宋体" w:cs="宋体"/>
          <w:b/>
          <w:bCs/>
          <w:color w:val="auto"/>
          <w:sz w:val="24"/>
          <w:szCs w:val="24"/>
          <w:highlight w:val="none"/>
        </w:rPr>
        <w:t xml:space="preserve">本项目</w:t>
      </w:r>
      <w:r>
        <w:rPr>
          <w:rFonts w:hint="eastAsia" w:ascii="宋体" w:hAnsi="宋体" w:eastAsia="宋体" w:cs="宋体"/>
          <w:b/>
          <w:bCs/>
          <w:color w:val="auto"/>
          <w:sz w:val="24"/>
          <w:szCs w:val="24"/>
          <w:highlight w:val="none"/>
          <w:lang w:val="en-US" w:eastAsia="zh-CN"/>
        </w:rPr>
        <w:t xml:space="preserve">不要求</w:t>
      </w:r>
      <w:r>
        <w:rPr>
          <w:rFonts w:hint="eastAsia" w:ascii="宋体" w:hAnsi="宋体" w:eastAsia="宋体" w:cs="宋体"/>
          <w:b/>
          <w:bCs/>
          <w:color w:val="auto"/>
          <w:sz w:val="24"/>
          <w:szCs w:val="24"/>
          <w:highlight w:val="none"/>
        </w:rPr>
        <w:t xml:space="preserve">履约保证金。</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31、签订合同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 招标文件、中标人的投标文件及招标过程中有关澄清、承诺等文件均应作为合同附件。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31.3 签订合同后，</w:t>
      </w:r>
      <w:r>
        <w:rPr>
          <w:rFonts w:hint="eastAsia" w:ascii="宋体" w:hAnsi="宋体" w:eastAsia="宋体" w:cs="宋体"/>
          <w:b/>
          <w:bCs/>
          <w:i w:val="0"/>
          <w:iCs w:val="0"/>
          <w:color w:val="auto"/>
          <w:sz w:val="24"/>
          <w:szCs w:val="24"/>
          <w:highlight w:val="none"/>
          <w:u w:val="none"/>
        </w:rPr>
        <w:t xml:space="preserve">中标人不得将合同标的转包</w:t>
      </w:r>
      <w:r>
        <w:rPr>
          <w:rFonts w:hint="eastAsia" w:ascii="宋体" w:hAnsi="宋体" w:eastAsia="宋体" w:cs="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32、服务（包含与服务相关的货物）的追加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政府采购合同履行中，采购人需追加与合同标的相同的服务（包含与服务相关的货物）的，在不改变合同其他条款的前提下，可以与中标人协商签订补充合同，但所有补充合同的采购金额不超过原合同金额10%。</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33、政府采购履约资金扶持政策</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中标人可凭政府采购合同办理融资贷款，详情请见江苏政府采购网“政采贷”专栏。</w:t>
      </w:r>
      <w:r/>
    </w:p>
    <w:p>
      <w:pPr>
        <w:pStyle w:val="720"/>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八、询问与质疑</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34、询问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 供应商对政府采购活动事项有疑问的，可以提出询问，采购人或者</w:t>
      </w:r>
      <w:r>
        <w:rPr>
          <w:rFonts w:hint="eastAsia" w:ascii="宋体" w:hAnsi="宋体" w:eastAsia="宋体" w:cs="宋体"/>
          <w:color w:val="auto"/>
          <w:sz w:val="24"/>
          <w:szCs w:val="24"/>
          <w:highlight w:val="none"/>
          <w:lang w:val="en-US" w:eastAsia="zh-CN"/>
        </w:rPr>
        <w:t xml:space="preserve">代理机构</w:t>
      </w:r>
      <w:r>
        <w:rPr>
          <w:rFonts w:hint="eastAsia" w:ascii="宋体" w:hAnsi="宋体" w:eastAsia="宋体" w:cs="宋体"/>
          <w:color w:val="auto"/>
          <w:sz w:val="24"/>
          <w:szCs w:val="24"/>
          <w:highlight w:val="none"/>
        </w:rPr>
        <w:t xml:space="preserve">应当在3个工作日内对投标人依法提出的询问作出答复，但答复的内容不得涉及商业秘密。供应商提出的询问超出采购人对</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委托授权范围的，</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应当告知供应商向采购人提出。</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35、质疑提出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35.1 提出质疑的供应商应当是参与所质疑项目采购活动的供应商。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35.2 供应商认为采购文件、采购过程、采购结果使自己的权益受到损害的，可以在知道或者应知其权益受到损害之日（获取采购文件之日、采购公告发布之日）起七个工作日内以书面形式向采购人、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提出质疑。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将只对供应商第一次质疑作出答复。</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未依照采购公告要求获取采购文件的供应商，视为未参与该项目的采购活动，不具备对该采购文件提出质疑的法定权利。</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不具有法定调查、认定权限。</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35.5 质疑函应当使用范本，详见招标文件第六章。供应商提出质疑应当提交质疑函和必要的证明材料，应当包括下列内容：</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（1）供应商的姓名或者名称、地址、邮编、联系人及联系电话；</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（2）质疑项目的名称、编号；</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（3）具体、明确的质疑事项和与质疑事项相关的请求；</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（5）必要的法律依据；</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（6）提出质疑的日期；</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（7）必要的证明材料；</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36、质疑函的受理和答复</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不负责搜集必要的证明材料等工作。</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 对符合质疑要求的，采购人、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对不符合质疑要求的，采购人、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有权要求其补充必要的证明材料，质疑供应商未在法定的时间内提供补充必要的证明材料的，视同放弃质疑。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36.4 以下情形的质疑不予受理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（1）内容不符合《政府采购质疑和投诉办法》第十二条规定的质疑。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（2）超出政府采购法定期限的质疑。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（3）以传真、电子邮件等方式递交的非原件形式的质疑。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（4）未参加采购活动的供应商或在采购活动中自身权益未受到损害的供应商所提出的质疑。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（5）供应商组成联合体，联合体中任何一方或多方未按要求签字（盖章）、加盖公章的质疑。</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 采购人、</w:t>
      </w:r>
      <w:r>
        <w:rPr>
          <w:rFonts w:hint="eastAsia" w:ascii="宋体" w:hAnsi="宋体" w:eastAsia="宋体" w:cs="宋体"/>
          <w:color w:val="auto"/>
          <w:sz w:val="24"/>
          <w:szCs w:val="24"/>
          <w:highlight w:val="none"/>
          <w:lang w:eastAsia="zh-CN"/>
        </w:rPr>
        <w:t xml:space="preserve">代理机构</w:t>
      </w:r>
      <w:r>
        <w:rPr>
          <w:rFonts w:hint="eastAsia" w:ascii="宋体" w:hAnsi="宋体" w:eastAsia="宋体" w:cs="宋体"/>
          <w:color w:val="auto"/>
          <w:sz w:val="24"/>
          <w:szCs w:val="24"/>
          <w:highlight w:val="none"/>
        </w:rPr>
        <w:t xml:space="preserve">依法受理的质疑，将按照政府采购有关规定，在法定期限内答复。</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36.6 因质疑供应商所留联系方式无效，或者无故不接收，导致质疑答复结果无法送达的，视为质疑供应商主动放弃知晓质疑答复结果的权利。</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37、质疑处理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37.1 质疑供应商未按照法定程序进行质疑投诉的，视为一般失信行为。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37.2 质疑供应商不配合或者采用不正当手段干扰政府采购质疑、投诉处理工作的，视为一般失信行为。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37.3 质疑供应商投诉受理期间，就同一事项多头举报，干扰财政部门投诉处理的，视为一般失信行为。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37.4 质疑供应商在全国范围12个月内三次以上质疑查无实据的，视为一般失信行为。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37.6 质疑供应商在全国范围12个月内三次以上投诉查无实据的，视为严重失信行为。</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37.7 未尽事宜，依照有关法律、法规执行。</w:t>
      </w:r>
      <w:r/>
    </w:p>
    <w:p>
      <w:pPr>
        <w:pStyle w:val="720"/>
        <w:spacing w:before="0" w:after="0" w:line="5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九、政府采购政策功能</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38、促进中小企业发展</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38.2 参加本项目政府采购活动的供应商应当提供的材料： </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（1）投标人为中型企业、小型企业、微型企业的，提供《中小企业声明函》（第六章 投标文件格式）。</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38.3 享受扶持政策获得政府采购合同的，小微企业不得将合同分包给大中型企业，中型企业不得将合同分包给大型企业。</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39、支持绿色发展</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40、政府采购需求标准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40.1本项目执行《绿色数据中心政府采购需求</w:t>
      </w:r>
      <w:r>
        <w:rPr>
          <w:rFonts w:hint="eastAsia" w:ascii="宋体" w:hAnsi="宋体" w:eastAsia="宋体" w:cs="宋体"/>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19"/>
        <w:numPr>
          <w:ilvl w:val="0"/>
          <w:numId w:val="0"/>
        </w:numPr>
        <w:jc w:val="center"/>
        <w:rPr>
          <w:rFonts w:hint="eastAsia" w:ascii="宋体" w:hAnsi="宋体" w:eastAsia="宋体" w:cs="宋体"/>
          <w:i w:val="0"/>
          <w:iCs w:val="0"/>
          <w:color w:val="auto"/>
          <w:highlight w:val="none"/>
        </w:rPr>
      </w:pPr>
      <w:r/>
      <w:bookmarkStart w:id="2" w:name="_Toc162361612"/>
      <w:r>
        <w:rPr>
          <w:rFonts w:hint="eastAsia" w:ascii="宋体" w:hAnsi="宋体" w:eastAsia="宋体" w:cs="宋体"/>
          <w:b w:val="0"/>
          <w:color w:val="auto"/>
          <w:highlight w:val="none"/>
        </w:rPr>
        <w:t xml:space="preserve">第三章  </w:t>
      </w:r>
      <w:r>
        <w:rPr>
          <w:rFonts w:hint="eastAsia" w:ascii="宋体" w:hAnsi="宋体" w:eastAsia="宋体" w:cs="宋体"/>
          <w:b/>
          <w:bCs/>
          <w:i w:val="0"/>
          <w:iCs w:val="0"/>
          <w:color w:val="auto"/>
          <w:highlight w:val="none"/>
        </w:rPr>
        <w:t xml:space="preserve">政府采购合同格式</w:t>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2078"/>
        <w:rPr>
          <w:rFonts w:hint="eastAsia" w:ascii="宋体" w:hAnsi="宋体" w:eastAsia="宋体" w:cs="宋体"/>
          <w:b/>
          <w:bCs/>
          <w:i w:val="0"/>
          <w:iCs w:val="0"/>
          <w:color w:val="auto"/>
          <w:sz w:val="52"/>
          <w:highlight w:val="none"/>
        </w:rPr>
      </w:pPr>
      <w:r>
        <w:rPr>
          <w:rFonts w:hint="eastAsia" w:ascii="宋体" w:hAnsi="宋体" w:eastAsia="宋体" w:cs="宋体"/>
          <w:b/>
          <w:bCs/>
          <w:i w:val="0"/>
          <w:iCs w:val="0"/>
          <w:color w:val="auto"/>
          <w:sz w:val="52"/>
          <w:highlight w:val="none"/>
        </w:rPr>
        <w:t xml:space="preserve">连 云 港 市 政 府 采 购</w:t>
      </w:r>
      <w:r/>
    </w:p>
    <w:p>
      <w:pPr>
        <w:ind w:firstLine="42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ind w:firstLine="883"/>
        <w:jc w:val="center"/>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u w:val="single"/>
        </w:rPr>
        <w:t xml:space="preserve">                    </w:t>
      </w:r>
      <w:r>
        <w:rPr>
          <w:rFonts w:hint="eastAsia" w:ascii="宋体" w:hAnsi="宋体" w:eastAsia="宋体" w:cs="宋体"/>
          <w:b/>
          <w:bCs/>
          <w:i w:val="0"/>
          <w:iCs w:val="0"/>
          <w:color w:val="auto"/>
          <w:sz w:val="44"/>
          <w:highlight w:val="none"/>
        </w:rPr>
        <w:t xml:space="preserve">合同</w:t>
      </w:r>
      <w:r/>
    </w:p>
    <w:p>
      <w:pPr>
        <w:ind w:firstLine="42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ind w:firstLine="3507"/>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rPr>
      </w:r>
      <w:r/>
    </w:p>
    <w:p>
      <w:pPr>
        <w:ind w:firstLine="3507"/>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rPr>
      </w:r>
      <w:r/>
    </w:p>
    <w:p>
      <w:pPr>
        <w:ind w:firstLine="3507"/>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rPr>
      </w:r>
      <w:r/>
    </w:p>
    <w:p>
      <w:pPr>
        <w:ind w:firstLine="1802"/>
        <w:rPr>
          <w:rFonts w:hint="eastAsia" w:ascii="宋体" w:hAnsi="宋体" w:eastAsia="宋体" w:cs="宋体"/>
          <w:b/>
          <w:bCs/>
          <w:i w:val="0"/>
          <w:iCs w:val="0"/>
          <w:color w:val="auto"/>
          <w:sz w:val="44"/>
          <w:szCs w:val="44"/>
          <w:highlight w:val="none"/>
        </w:rPr>
      </w:pPr>
      <w:r>
        <w:rPr>
          <w:rFonts w:hint="eastAsia" w:ascii="宋体" w:hAnsi="宋体" w:eastAsia="宋体" w:cs="宋体"/>
          <w:b/>
          <w:bCs/>
          <w:i w:val="0"/>
          <w:iCs w:val="0"/>
          <w:color w:val="auto"/>
          <w:sz w:val="44"/>
          <w:szCs w:val="44"/>
          <w:highlight w:val="none"/>
        </w:rPr>
        <w:t xml:space="preserve">合同编号：</w:t>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880"/>
        <w:rPr>
          <w:rFonts w:hint="eastAsia" w:ascii="宋体" w:hAnsi="宋体" w:eastAsia="宋体" w:cs="宋体"/>
          <w:i w:val="0"/>
          <w:iCs w:val="0"/>
          <w:color w:val="auto"/>
          <w:sz w:val="44"/>
          <w:highlight w:val="none"/>
        </w:rPr>
      </w:pPr>
      <w:r>
        <w:rPr>
          <w:rFonts w:hint="eastAsia" w:ascii="宋体" w:hAnsi="宋体" w:eastAsia="宋体" w:cs="宋体"/>
          <w:i w:val="0"/>
          <w:iCs w:val="0"/>
          <w:color w:val="auto"/>
          <w:sz w:val="44"/>
          <w:highlight w:val="none"/>
        </w:rPr>
      </w:r>
      <w:r/>
    </w:p>
    <w:p>
      <w:pPr>
        <w:ind w:firstLine="1758"/>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rPr>
        <w:t xml:space="preserve">采购人：</w:t>
      </w:r>
      <w:r/>
    </w:p>
    <w:p>
      <w:pPr>
        <w:ind w:firstLine="1758"/>
        <w:rPr>
          <w:rFonts w:hint="eastAsia" w:ascii="宋体" w:hAnsi="宋体" w:eastAsia="宋体" w:cs="宋体"/>
          <w:b/>
          <w:bCs/>
          <w:i w:val="0"/>
          <w:iCs w:val="0"/>
          <w:color w:val="auto"/>
          <w:sz w:val="44"/>
          <w:highlight w:val="none"/>
        </w:rPr>
      </w:pPr>
      <w:r>
        <w:rPr>
          <w:rFonts w:hint="eastAsia" w:ascii="宋体" w:hAnsi="宋体" w:eastAsia="宋体" w:cs="宋体"/>
          <w:b/>
          <w:bCs/>
          <w:i w:val="0"/>
          <w:iCs w:val="0"/>
          <w:color w:val="auto"/>
          <w:sz w:val="44"/>
          <w:highlight w:val="none"/>
        </w:rPr>
        <w:t xml:space="preserve">中标人：</w:t>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bookmarkEnd w:id="2"/>
      <w:r/>
    </w:p>
    <w:p>
      <w:pPr>
        <w:ind w:firstLine="480"/>
        <w:jc w:val="left"/>
        <w:spacing w:line="5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以下为</w:t>
      </w:r>
      <w:r>
        <w:rPr>
          <w:rFonts w:hint="eastAsia" w:ascii="宋体" w:hAnsi="宋体" w:eastAsia="宋体" w:cs="宋体"/>
          <w:bCs/>
          <w:color w:val="auto"/>
          <w:sz w:val="24"/>
          <w:szCs w:val="24"/>
          <w:highlight w:val="none"/>
          <w:lang w:eastAsia="zh-CN"/>
        </w:rPr>
        <w:t xml:space="preserve">中标</w:t>
      </w:r>
      <w:r>
        <w:rPr>
          <w:rFonts w:hint="eastAsia" w:ascii="宋体" w:hAnsi="宋体" w:eastAsia="宋体" w:cs="宋体"/>
          <w:bCs/>
          <w:color w:val="auto"/>
          <w:sz w:val="24"/>
          <w:szCs w:val="24"/>
          <w:highlight w:val="none"/>
        </w:rPr>
        <w:t xml:space="preserve">后签订本项目合同的通用条款，</w:t>
      </w:r>
      <w:r>
        <w:rPr>
          <w:rFonts w:hint="eastAsia" w:ascii="宋体" w:hAnsi="宋体" w:eastAsia="宋体" w:cs="宋体"/>
          <w:bCs/>
          <w:color w:val="auto"/>
          <w:sz w:val="24"/>
          <w:szCs w:val="24"/>
          <w:highlight w:val="none"/>
          <w:lang w:eastAsia="zh-CN"/>
        </w:rPr>
        <w:t xml:space="preserve">中标人</w:t>
      </w:r>
      <w:r>
        <w:rPr>
          <w:rFonts w:hint="eastAsia" w:ascii="宋体" w:hAnsi="宋体" w:eastAsia="宋体" w:cs="宋体"/>
          <w:bCs/>
          <w:color w:val="auto"/>
          <w:sz w:val="24"/>
          <w:szCs w:val="24"/>
          <w:highlight w:val="none"/>
        </w:rPr>
        <w:t xml:space="preserve">不得提出实质性的修改，关于专用条款将由采购人与</w:t>
      </w:r>
      <w:r>
        <w:rPr>
          <w:rFonts w:hint="eastAsia" w:ascii="宋体" w:hAnsi="宋体" w:eastAsia="宋体" w:cs="宋体"/>
          <w:bCs/>
          <w:color w:val="auto"/>
          <w:sz w:val="24"/>
          <w:szCs w:val="24"/>
          <w:highlight w:val="none"/>
          <w:lang w:eastAsia="zh-CN"/>
        </w:rPr>
        <w:t xml:space="preserve">中标人</w:t>
      </w:r>
      <w:r>
        <w:rPr>
          <w:rFonts w:hint="eastAsia" w:ascii="宋体" w:hAnsi="宋体" w:eastAsia="宋体" w:cs="宋体"/>
          <w:bCs/>
          <w:color w:val="auto"/>
          <w:sz w:val="24"/>
          <w:szCs w:val="24"/>
          <w:highlight w:val="none"/>
        </w:rPr>
        <w:t xml:space="preserve">结合本项目具体情况协商后签订。</w:t>
      </w:r>
      <w:bookmarkStart w:id="3" w:name="_Hlt16619369"/>
      <w:r/>
      <w:bookmarkEnd w:id="3"/>
      <w:r/>
      <w:r/>
    </w:p>
    <w:p>
      <w:pPr>
        <w:jc w:val="center"/>
        <w:keepLines w:val="0"/>
        <w:keepNext w:val="0"/>
        <w:pageBreakBefore w:val="0"/>
        <w:spacing w:line="360" w:lineRule="auto"/>
        <w:rPr>
          <w:rFonts w:hint="eastAsia" w:ascii="宋体" w:hAnsi="宋体" w:eastAsia="宋体" w:cs="宋体"/>
          <w:color w:val="auto"/>
          <w:sz w:val="28"/>
          <w:szCs w:val="24"/>
          <w:highlight w:val="none"/>
        </w:rPr>
      </w:pPr>
      <w:r>
        <w:rPr>
          <w:rFonts w:hint="eastAsia" w:ascii="宋体" w:hAnsi="宋体" w:eastAsia="宋体" w:cs="宋体"/>
          <w:b/>
          <w:color w:val="auto"/>
          <w:sz w:val="32"/>
          <w:szCs w:val="32"/>
          <w:highlight w:val="none"/>
        </w:rPr>
        <w:t xml:space="preserve">政府采购合同</w:t>
      </w:r>
      <w:r>
        <w:rPr>
          <w:rFonts w:hint="eastAsia" w:ascii="宋体" w:hAnsi="宋体" w:eastAsia="宋体" w:cs="宋体"/>
          <w:color w:val="auto"/>
          <w:sz w:val="28"/>
          <w:szCs w:val="24"/>
          <w:highlight w:val="none"/>
        </w:rPr>
        <w:t xml:space="preserve">（合同编号：***）</w:t>
      </w:r>
      <w:r/>
    </w:p>
    <w:p>
      <w:pPr>
        <w:jc w:val="left"/>
        <w:spacing w:line="500" w:lineRule="exact"/>
        <w:rPr>
          <w:rFonts w:hint="eastAsia" w:ascii="宋体" w:hAnsi="宋体" w:eastAsia="宋体" w:cs="宋体"/>
          <w:color w:val="auto"/>
          <w:sz w:val="24"/>
          <w:szCs w:val="24"/>
          <w:highlight w:val="none"/>
        </w:rPr>
      </w:pPr>
      <w:r/>
      <w:bookmarkStart w:id="4" w:name="_Toc162361613"/>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u w:val="single"/>
        </w:rPr>
        <w:t xml:space="preserve">连云港徐圩新区应急救援指挥中心</w:t>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乙方：（卖方）_________</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年</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月</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2"/>
          <w:highlight w:val="none"/>
        </w:rPr>
        <w:t xml:space="preserve">日</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4"/>
          <w:highlight w:val="none"/>
        </w:rPr>
        <w:t xml:space="preserve">项目（项目编号：</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4"/>
          <w:highlight w:val="none"/>
        </w:rPr>
        <w:t xml:space="preserve">）竞争性磋商采购的结果，签订本合同。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一、合同内容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服务内容：</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服务要求：</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服务标准：</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补充条款：</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二、合同金额</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本合同金额为人民币（大写）：</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三、技术资料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乙方应按磋商文件规定的时间向甲方提供有关技术资料。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四、知识产权</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五、产权担保</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乙方保证所交付标的的所有权完全属于乙方且无任何抵押、查封等产权瑕疵。</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六、履约保证金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本合同不收取履约保证金。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七、合同转包或分包</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本合同范围内产品或服务，应由乙方直接供应，不得转让他人供应或部分分包给他人供应。</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如有转让和未经甲方同意的分包行为，甲方有权终止合同。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八、服务时间</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服务时间：</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九、合同内容的交付</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交 付 期：_________。</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交付方式：_________。</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 交付地点：_________。</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9.4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9.5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十、合同款支付</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付款方式：_________。</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当采购数量与实际使用数量不一致时，乙方应根据实际使用量提供产品和服务，合同的最终结算金额按实际使用量乘以成交单价计算。</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十一、税费</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本合同执行中相关的一切税费均由乙方负担。</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十二、质量保证及售后服务</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乙方应按磋商文件规定和响应文件承诺的性能、技术要求、质量标准向甲方提供产品或服务。</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乙方提供的产品或服务在服务期内因其本身出现质量问题，根据实际情况，经双方协商，可按以下办法处理：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（1）更换：由乙方承担所产生的全部费用。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如在使用过程中发生质量问题，乙方在接到甲方通知后</w:t>
      </w:r>
      <w:r>
        <w:rPr>
          <w:rFonts w:hint="eastAsia" w:ascii="宋体" w:hAnsi="宋体" w:eastAsia="宋体" w:cs="宋体"/>
          <w:color w:val="auto"/>
          <w:sz w:val="24"/>
          <w:szCs w:val="22"/>
          <w:highlight w:val="none"/>
          <w:u w:val="single"/>
        </w:rPr>
        <w:t xml:space="preserve">    </w:t>
      </w:r>
      <w:r>
        <w:rPr>
          <w:rFonts w:hint="eastAsia" w:ascii="宋体" w:hAnsi="宋体" w:eastAsia="宋体" w:cs="宋体"/>
          <w:color w:val="auto"/>
          <w:sz w:val="24"/>
          <w:szCs w:val="24"/>
          <w:highlight w:val="none"/>
        </w:rPr>
        <w:t xml:space="preserve">小时内到达甲方现场。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在服务期内，乙方应对产品或服务出现的质量及安全问题负责处理解决并承担一切费用。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十三、项目验收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甲方依法组织履约验收工作。</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对于实际使用人和甲方分离的项目，甲方邀请实际使用人参与验收。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 甲方成立验收小组，按照采购合同的约定对乙方的履约情况进行验收。验收时间、验收标准见磋商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szCs w:val="22"/>
          <w:highlight w:val="none"/>
        </w:rPr>
        <w:t xml:space="preserve">中华人民共和国民法典</w:t>
      </w:r>
      <w:r>
        <w:rPr>
          <w:rFonts w:hint="eastAsia" w:ascii="宋体" w:hAnsi="宋体" w:eastAsia="宋体" w:cs="宋体"/>
          <w:color w:val="auto"/>
          <w:sz w:val="24"/>
          <w:szCs w:val="24"/>
          <w:highlight w:val="none"/>
        </w:rPr>
        <w:t xml:space="preserve">》。乙方在履约过程中有政府采购法律法规规定的违法违规情形的，甲方将及时报告本级财政部门。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十四、违约责任</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甲方无正当理由拒收的，甲方向乙方偿付拒收标的总额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甲方无故逾期验收和办理合同款支付手续的，甲方应按逾期付款总额每日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向乙方支付违约金，最高限额为本合同总额的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乙方逾期交付合同标的的，乙方应按逾期交付总额每日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向甲方支付违约金，由甲方从待付合同款中扣除，最高限额为本合同总额的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。逾期超过约定日期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不能交付的，甲方可解除本合同。乙方因逾期交付或因其他违约行为导致甲方解除合同的，乙方应向甲方支付合同总额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乙方交付的产品或服务不符合磋商文件规定标准、乙方响应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十五、不可抗力事件处理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在合同有效期内，任何一方因不可抗力事件导致不能履行合同的，则合同履行期可延长，其延长期与不可抗力影响期相同。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不可抗力事件发生后，应立即通知对方，并寄送有关权威机构出具的证明。</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不可抗力事件延续120天以上，双方应通过友好协商，确定是否继续履行合同。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十六、解决争议的方法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甲乙双方因合同签订、履行而发生的一切争议，应通过友好协商解决。如协商不成，按下列第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种方式解决：</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（1）向连云港仲裁委员会申请仲裁。</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（2）向合同签订地法院起诉，合同签订地在此约定为连云港市。</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十七、合同生效及其他</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合同经双方法定代表人或授权代表签字并加盖单位公章后生效。</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本合同未尽事宜，遵照</w:t>
      </w:r>
      <w:r>
        <w:rPr>
          <w:rFonts w:hint="eastAsia" w:ascii="宋体" w:hAnsi="宋体" w:eastAsia="宋体" w:cs="宋体"/>
          <w:color w:val="auto"/>
          <w:sz w:val="24"/>
          <w:szCs w:val="22"/>
          <w:highlight w:val="none"/>
        </w:rPr>
        <w:t xml:space="preserve">《中华人民共和国民法典》</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2"/>
          <w:highlight w:val="none"/>
        </w:rPr>
        <w:t xml:space="preserve">中华人民共和国</w:t>
      </w:r>
      <w:r>
        <w:rPr>
          <w:rFonts w:hint="eastAsia" w:ascii="宋体" w:hAnsi="宋体" w:eastAsia="宋体" w:cs="宋体"/>
          <w:color w:val="auto"/>
          <w:sz w:val="24"/>
          <w:szCs w:val="24"/>
          <w:highlight w:val="none"/>
        </w:rPr>
        <w:t xml:space="preserve">政府采购法》有关条文执行。</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 本合同正本一式四份，具有同等法律效力，甲方执二份、乙方执一份，甲方报一份至政府采购监督管理部门。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地址： </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        法定代表人或授权代表：</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ind w:firstLine="480"/>
        <w:jc w:val="righ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pStyle w:val="928"/>
        <w:ind w:left="0" w:firstLine="0"/>
        <w:rPr>
          <w:rStyle w:val="936"/>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8"/>
        <w:ind w:left="0" w:firstLine="0"/>
        <w:rPr>
          <w:rStyle w:val="936"/>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8"/>
        <w:ind w:left="0" w:firstLine="0"/>
        <w:rPr>
          <w:rStyle w:val="936"/>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8"/>
        <w:ind w:left="0" w:firstLine="0"/>
        <w:rPr>
          <w:rStyle w:val="936"/>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8"/>
        <w:ind w:left="0" w:firstLine="0"/>
        <w:rPr>
          <w:rStyle w:val="936"/>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8"/>
        <w:ind w:left="0" w:firstLine="0"/>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附件：</w:t>
      </w:r>
      <w:r/>
    </w:p>
    <w:p>
      <w:pPr>
        <w:jc w:val="center"/>
        <w:keepLines w:val="0"/>
        <w:keepNext w:val="0"/>
        <w:pageBreakBefore w:val="0"/>
        <w:spacing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安全生产服务管理协议书</w:t>
      </w:r>
      <w:r/>
    </w:p>
    <w:p>
      <w:pPr>
        <w:pStyle w:val="928"/>
        <w:ind w:left="0" w:firstLine="0"/>
        <w:rPr>
          <w:rStyle w:val="936"/>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928"/>
        <w:ind w:left="0" w:firstLine="0"/>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甲方（采购人）： ________</w:t>
      </w:r>
      <w:r/>
    </w:p>
    <w:p>
      <w:pPr>
        <w:pStyle w:val="928"/>
        <w:ind w:left="0" w:firstLine="0"/>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统一社会信用代码： ________</w:t>
      </w:r>
      <w:r/>
    </w:p>
    <w:p>
      <w:pPr>
        <w:pStyle w:val="928"/>
        <w:ind w:left="0" w:firstLine="0"/>
        <w:rPr>
          <w:rStyle w:val="936"/>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928"/>
        <w:ind w:left="0" w:firstLine="0"/>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乙方（承接主体）： ________</w:t>
      </w:r>
      <w:r/>
    </w:p>
    <w:p>
      <w:pPr>
        <w:pStyle w:val="928"/>
        <w:ind w:left="0" w:firstLine="0"/>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统一社会信用代码： ________</w:t>
      </w:r>
      <w:r/>
    </w:p>
    <w:p>
      <w:pPr>
        <w:pStyle w:val="928"/>
        <w:ind w:left="0" w:firstLine="0"/>
        <w:rPr>
          <w:rStyle w:val="936"/>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928"/>
        <w:ind w:left="0" w:firstLine="480"/>
        <w:jc w:val="left"/>
        <w:keepLines w:val="0"/>
        <w:keepNext w:val="0"/>
        <w:pageBreakBefore w:val="0"/>
        <w:spacing w:line="360" w:lineRule="auto"/>
        <w:widowControl w:val="off"/>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为认真贯彻落实《中华人民共和国安全生产法》等法律法规精神，明确双方的安全生产管理职责，确保服务项目的安全生产，经双方协商一致，签订本协议。</w:t>
      </w:r>
      <w:r/>
    </w:p>
    <w:p>
      <w:pPr>
        <w:pStyle w:val="928"/>
        <w:ind w:left="0" w:firstLine="480"/>
        <w:jc w:val="left"/>
        <w:keepLines w:val="0"/>
        <w:keepNext w:val="0"/>
        <w:pageBreakBefore w:val="0"/>
        <w:spacing w:line="360" w:lineRule="auto"/>
        <w:widowControl w:val="off"/>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一、甲方的安全管理职责</w:t>
      </w:r>
      <w:r/>
    </w:p>
    <w:p>
      <w:pPr>
        <w:pStyle w:val="928"/>
        <w:ind w:left="0" w:firstLine="480"/>
        <w:jc w:val="left"/>
        <w:keepLines w:val="0"/>
        <w:keepNext w:val="0"/>
        <w:pageBreakBefore w:val="0"/>
        <w:spacing w:line="360" w:lineRule="auto"/>
        <w:widowControl w:val="off"/>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1. 有权对乙方单位营业执照、行政许可和人员资质进行检查和验证。</w:t>
      </w:r>
      <w:r/>
    </w:p>
    <w:p>
      <w:pPr>
        <w:pStyle w:val="928"/>
        <w:ind w:left="0" w:firstLine="480"/>
        <w:jc w:val="left"/>
        <w:keepLines w:val="0"/>
        <w:keepNext w:val="0"/>
        <w:pageBreakBefore w:val="0"/>
        <w:spacing w:line="360" w:lineRule="auto"/>
        <w:widowControl w:val="off"/>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2. 有义务向乙方提供企业有关安全规章制度，对其进行安全交底或安全告知。</w:t>
      </w:r>
      <w:r/>
    </w:p>
    <w:p>
      <w:pPr>
        <w:pStyle w:val="928"/>
        <w:ind w:left="0" w:firstLine="480"/>
        <w:jc w:val="left"/>
        <w:keepLines w:val="0"/>
        <w:keepNext w:val="0"/>
        <w:pageBreakBefore w:val="0"/>
        <w:spacing w:line="360" w:lineRule="auto"/>
        <w:widowControl w:val="off"/>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3. 有权对乙方的服务过程进行经常性的安全监督检查，对查出的不安全行为、隐患按甲方安全管理制度进行处理；对严重违章行为有权责令停止作业。</w:t>
      </w:r>
      <w:r/>
    </w:p>
    <w:p>
      <w:pPr>
        <w:pStyle w:val="928"/>
        <w:ind w:left="0" w:firstLine="480"/>
        <w:jc w:val="left"/>
        <w:keepLines w:val="0"/>
        <w:keepNext w:val="0"/>
        <w:pageBreakBefore w:val="0"/>
        <w:spacing w:line="360" w:lineRule="auto"/>
        <w:widowControl w:val="off"/>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4. 负责协调被服务企业的相关事宜，为乙方开展服务提供便利条件。</w:t>
      </w:r>
      <w:r/>
    </w:p>
    <w:p>
      <w:pPr>
        <w:pStyle w:val="928"/>
        <w:ind w:left="0" w:firstLine="480"/>
        <w:jc w:val="left"/>
        <w:keepLines w:val="0"/>
        <w:keepNext w:val="0"/>
        <w:pageBreakBefore w:val="0"/>
        <w:spacing w:line="360" w:lineRule="auto"/>
        <w:widowControl w:val="off"/>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二、乙方的安全管理职责</w:t>
      </w:r>
      <w:r/>
    </w:p>
    <w:p>
      <w:pPr>
        <w:pStyle w:val="928"/>
        <w:ind w:left="0" w:firstLine="480"/>
        <w:jc w:val="left"/>
        <w:keepLines w:val="0"/>
        <w:keepNext w:val="0"/>
        <w:pageBreakBefore w:val="0"/>
        <w:spacing w:line="360" w:lineRule="auto"/>
        <w:widowControl w:val="off"/>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1. 乙方应具备法律法规规定的相关安全资质和条件，其主要负责人、管理人员和作业人员资质满足国家相关法律法规要求。对服务内容的真实性、准确性、合法性负责。</w:t>
      </w:r>
      <w:r/>
    </w:p>
    <w:p>
      <w:pPr>
        <w:pStyle w:val="928"/>
        <w:ind w:left="0" w:firstLine="480"/>
        <w:jc w:val="left"/>
        <w:keepLines w:val="0"/>
        <w:keepNext w:val="0"/>
        <w:pageBreakBefore w:val="0"/>
        <w:spacing w:line="360" w:lineRule="auto"/>
        <w:widowControl w:val="off"/>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2. 乙方在甲方现场服务期间，必须严格遵守甲方安全生产管理的各项规章制度，接受甲方的安全监督、检查与协调管理。</w:t>
      </w:r>
      <w:r/>
    </w:p>
    <w:p>
      <w:pPr>
        <w:pStyle w:val="928"/>
        <w:ind w:left="0" w:firstLine="480"/>
        <w:jc w:val="left"/>
        <w:keepLines w:val="0"/>
        <w:keepNext w:val="0"/>
        <w:pageBreakBefore w:val="0"/>
        <w:spacing w:line="360" w:lineRule="auto"/>
        <w:widowControl w:val="off"/>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3. 乙方所有工作人员进入甲方区域提供服务前，必须接受甲方组织的安全生产教育。乙方负责人或安全管理人员在接受甲方的安全交底后，必须组织对作业人员进行内部交底，并将交底记录交甲方备案。</w:t>
      </w:r>
      <w:r/>
    </w:p>
    <w:p>
      <w:pPr>
        <w:pStyle w:val="928"/>
        <w:ind w:left="0" w:firstLine="480"/>
        <w:jc w:val="left"/>
        <w:keepLines w:val="0"/>
        <w:keepNext w:val="0"/>
        <w:pageBreakBefore w:val="0"/>
        <w:spacing w:line="360" w:lineRule="auto"/>
        <w:widowControl w:val="off"/>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4. 乙方应自行配备与其服务相适应的安全设备装置和劳动防护用品。</w:t>
      </w:r>
      <w:r/>
    </w:p>
    <w:p>
      <w:pPr>
        <w:pStyle w:val="928"/>
        <w:ind w:left="0" w:firstLine="480"/>
        <w:jc w:val="left"/>
        <w:keepLines w:val="0"/>
        <w:keepNext w:val="0"/>
        <w:pageBreakBefore w:val="0"/>
        <w:spacing w:line="360" w:lineRule="auto"/>
        <w:widowControl w:val="off"/>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5. 乙方如需进行动火、临时用电、高处作业、有限空间作业等危险作业，应事先向甲方申报，完成相关审批手续，并设专人监护。</w:t>
      </w:r>
      <w:r/>
    </w:p>
    <w:p>
      <w:pPr>
        <w:pStyle w:val="928"/>
        <w:ind w:left="0" w:firstLine="480"/>
        <w:jc w:val="left"/>
        <w:keepLines w:val="0"/>
        <w:keepNext w:val="0"/>
        <w:pageBreakBefore w:val="0"/>
        <w:spacing w:line="360" w:lineRule="auto"/>
        <w:widowControl w:val="off"/>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6. 乙方在服务过程中发生工伤事故、设备事故、火灾事故等，应立即报告甲方，并积极配合事故调查。</w:t>
      </w:r>
      <w:r/>
    </w:p>
    <w:p>
      <w:pPr>
        <w:pStyle w:val="928"/>
        <w:ind w:left="0" w:firstLine="480"/>
        <w:jc w:val="left"/>
        <w:keepLines w:val="0"/>
        <w:keepNext w:val="0"/>
        <w:pageBreakBefore w:val="0"/>
        <w:spacing w:line="360" w:lineRule="auto"/>
        <w:widowControl w:val="off"/>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三、违约责任与事故处理</w:t>
      </w:r>
      <w:r/>
    </w:p>
    <w:p>
      <w:pPr>
        <w:pStyle w:val="928"/>
        <w:ind w:left="0" w:firstLine="480"/>
        <w:jc w:val="left"/>
        <w:keepLines w:val="0"/>
        <w:keepNext w:val="0"/>
        <w:pageBreakBefore w:val="0"/>
        <w:spacing w:line="360" w:lineRule="auto"/>
        <w:widowControl w:val="off"/>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1. 由于乙方责任造成人身伤亡、设备事故等，乙方承担全部责任及由此发生的一切费用。</w:t>
      </w:r>
      <w:r/>
    </w:p>
    <w:p>
      <w:pPr>
        <w:pStyle w:val="928"/>
        <w:ind w:left="0" w:firstLine="480"/>
        <w:jc w:val="left"/>
        <w:keepLines w:val="0"/>
        <w:keepNext w:val="0"/>
        <w:pageBreakBefore w:val="0"/>
        <w:spacing w:line="360" w:lineRule="auto"/>
        <w:widowControl w:val="off"/>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2. 乙方对甲方指出的违章行为和隐患，必须立即整改。若乙方拒不整改，甲方有权终止合同，并就造成的损失向乙方进一步追责。</w:t>
      </w:r>
      <w:r/>
    </w:p>
    <w:p>
      <w:pPr>
        <w:pStyle w:val="928"/>
        <w:ind w:left="0" w:firstLine="480"/>
        <w:jc w:val="left"/>
        <w:keepLines w:val="0"/>
        <w:keepNext w:val="0"/>
        <w:pageBreakBefore w:val="0"/>
        <w:spacing w:line="360" w:lineRule="auto"/>
        <w:widowControl w:val="off"/>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四、其他</w:t>
      </w:r>
      <w:r/>
    </w:p>
    <w:p>
      <w:pPr>
        <w:pStyle w:val="928"/>
        <w:ind w:left="0" w:firstLine="480"/>
        <w:jc w:val="left"/>
        <w:keepLines w:val="0"/>
        <w:keepNext w:val="0"/>
        <w:pageBreakBefore w:val="0"/>
        <w:spacing w:line="360" w:lineRule="auto"/>
        <w:widowControl w:val="off"/>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1. 本协议作为双方签订的________服务合同（合同编号：________）的附件，与主合同具有同等法律效力。</w:t>
      </w:r>
      <w:r/>
    </w:p>
    <w:p>
      <w:pPr>
        <w:pStyle w:val="928"/>
        <w:ind w:left="0" w:firstLine="480"/>
        <w:jc w:val="left"/>
        <w:keepLines w:val="0"/>
        <w:keepNext w:val="0"/>
        <w:pageBreakBefore w:val="0"/>
        <w:spacing w:line="360" w:lineRule="auto"/>
        <w:widowControl w:val="off"/>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2. 本协议一式二份，甲乙双方各执一份。</w:t>
      </w:r>
      <w:r/>
    </w:p>
    <w:p>
      <w:pPr>
        <w:pStyle w:val="928"/>
        <w:ind w:left="0" w:firstLine="480"/>
        <w:jc w:val="left"/>
        <w:keepLines w:val="0"/>
        <w:keepNext w:val="0"/>
        <w:pageBreakBefore w:val="0"/>
        <w:spacing w:line="360" w:lineRule="auto"/>
        <w:widowControl w:val="off"/>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3. 本协议经双方法定代表人或授权代表签字并加盖单位公章后生效，服务合同到期后本协议自动终止。</w:t>
      </w:r>
      <w:r/>
    </w:p>
    <w:p>
      <w:pPr>
        <w:pStyle w:val="928"/>
        <w:ind w:left="0" w:firstLine="480"/>
        <w:jc w:val="left"/>
        <w:keepLines w:val="0"/>
        <w:keepNext w:val="0"/>
        <w:pageBreakBefore w:val="0"/>
        <w:spacing w:line="360" w:lineRule="auto"/>
        <w:widowControl w:val="off"/>
        <w:rPr>
          <w:rStyle w:val="936"/>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928"/>
        <w:ind w:left="0" w:firstLine="0"/>
        <w:rPr>
          <w:rStyle w:val="936"/>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928"/>
        <w:ind w:left="0" w:firstLine="0"/>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甲方（公章）： ________</w:t>
      </w:r>
      <w:r/>
    </w:p>
    <w:p>
      <w:pPr>
        <w:pStyle w:val="928"/>
        <w:ind w:left="0" w:firstLine="0"/>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法定代表人/授权代表（签字）： ________</w:t>
      </w:r>
      <w:r/>
    </w:p>
    <w:p>
      <w:pPr>
        <w:pStyle w:val="928"/>
        <w:ind w:left="0" w:firstLine="0"/>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日期： ________ 年 ________ 月 ________ 日</w:t>
      </w:r>
      <w:r/>
    </w:p>
    <w:p>
      <w:pPr>
        <w:pStyle w:val="928"/>
        <w:ind w:left="0" w:firstLine="0"/>
        <w:rPr>
          <w:rStyle w:val="936"/>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928"/>
        <w:ind w:left="0" w:firstLine="0"/>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乙方（公章）： ________</w:t>
      </w:r>
      <w:r/>
    </w:p>
    <w:p>
      <w:pPr>
        <w:pStyle w:val="928"/>
        <w:ind w:left="0" w:firstLine="0"/>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法定代表人/授权代表（签字）： ________</w:t>
      </w:r>
      <w:r/>
    </w:p>
    <w:p>
      <w:pPr>
        <w:pStyle w:val="928"/>
        <w:ind w:left="0" w:firstLine="0"/>
        <w:rPr>
          <w:rStyle w:val="936"/>
          <w:rFonts w:hint="eastAsia" w:ascii="宋体" w:hAnsi="宋体" w:eastAsia="宋体" w:cs="宋体"/>
          <w:color w:val="auto"/>
          <w:sz w:val="24"/>
          <w:highlight w:val="none"/>
          <w:lang w:val="en-US" w:eastAsia="zh-CN"/>
        </w:rPr>
      </w:pPr>
      <w:r>
        <w:rPr>
          <w:rStyle w:val="936"/>
          <w:rFonts w:hint="eastAsia" w:ascii="宋体" w:hAnsi="宋体" w:eastAsia="宋体" w:cs="宋体"/>
          <w:color w:val="auto"/>
          <w:sz w:val="24"/>
          <w:highlight w:val="none"/>
          <w:lang w:val="en-US" w:eastAsia="zh-CN"/>
        </w:rPr>
        <w:t xml:space="preserve">日期： ________ 年 ________ 月 ________ 日</w:t>
      </w:r>
      <w:r/>
    </w:p>
    <w:p>
      <w:pPr>
        <w:pStyle w:val="928"/>
        <w:ind w:left="0" w:firstLine="0"/>
        <w:rPr>
          <w:rStyle w:val="936"/>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Style w:val="928"/>
        <w:ind w:left="0" w:firstLine="0"/>
        <w:rPr>
          <w:rStyle w:val="936"/>
          <w:rFonts w:hint="eastAsia" w:ascii="宋体" w:hAnsi="宋体" w:eastAsia="宋体" w:cs="宋体"/>
          <w:color w:val="auto"/>
          <w:sz w:val="24"/>
          <w:highlight w:val="none"/>
          <w:lang w:val="en-US" w:eastAsia="zh-CN"/>
        </w:rPr>
        <w:sectPr>
          <w:footerReference w:type="default" r:id="rId11"/>
          <w:footerReference w:type="first" r:id="rId12"/>
          <w:footnotePr/>
          <w:endnotePr/>
          <w:type w:val="nextPage"/>
          <w:pgSz w:w="11906" w:h="16838" w:orient="portrait"/>
          <w:pgMar w:top="1015" w:right="1196" w:bottom="868" w:left="1259" w:header="851" w:footer="907" w:gutter="0"/>
          <w:pgNumType w:start="22"/>
          <w:cols w:num="1" w:sep="0" w:space="720" w:equalWidth="1"/>
          <w:docGrid w:linePitch="360"/>
          <w:titlePg/>
        </w:sectPr>
      </w:pPr>
      <w:r>
        <w:rPr>
          <w:rStyle w:val="936"/>
          <w:rFonts w:hint="eastAsia" w:ascii="宋体" w:hAnsi="宋体" w:eastAsia="宋体" w:cs="宋体"/>
          <w:color w:val="auto"/>
          <w:sz w:val="24"/>
          <w:highlight w:val="none"/>
          <w:lang w:val="en-US" w:eastAsia="zh-CN"/>
        </w:rPr>
        <w:t xml:space="preserve">---</w:t>
      </w:r>
      <w:r/>
    </w:p>
    <w:p>
      <w:pPr>
        <w:pStyle w:val="928"/>
        <w:rPr>
          <w:rStyle w:val="936"/>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28"/>
        <w:rPr>
          <w:rStyle w:val="936"/>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19"/>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第四章  采购需求</w:t>
      </w:r>
      <w:bookmarkEnd w:id="4"/>
      <w:r/>
      <w:r/>
    </w:p>
    <w:p>
      <w:pPr>
        <w:ind w:firstLine="480"/>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说明：本项目采购方式为公开招标，项目属性为</w:t>
      </w:r>
      <w:r>
        <w:rPr>
          <w:rFonts w:hint="eastAsia" w:ascii="宋体" w:hAnsi="宋体" w:eastAsia="宋体" w:cs="宋体"/>
          <w:b/>
          <w:bCs/>
          <w:color w:val="auto"/>
          <w:sz w:val="24"/>
          <w:szCs w:val="24"/>
          <w:highlight w:val="none"/>
          <w:u w:val="single"/>
        </w:rPr>
        <w:t xml:space="preserve">服务</w:t>
      </w:r>
      <w:r>
        <w:rPr>
          <w:rFonts w:hint="eastAsia" w:ascii="宋体" w:hAnsi="宋体" w:eastAsia="宋体" w:cs="宋体"/>
          <w:b/>
          <w:color w:val="auto"/>
          <w:sz w:val="24"/>
          <w:szCs w:val="24"/>
          <w:highlight w:val="none"/>
        </w:rPr>
        <w:t xml:space="preserve">，采购标的对应的中小企业划分标准所属行业为</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其他未列明行业</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1.根据《政府采购需求管理办法》等有关规定，采购人确定采购需求。</w:t>
      </w:r>
      <w:r/>
    </w:p>
    <w:p>
      <w:pPr>
        <w:ind w:firstLine="480"/>
        <w:jc w:val="left"/>
        <w:spacing w:line="50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2.本招标文件中</w:t>
      </w:r>
      <w:r>
        <w:rPr>
          <w:rFonts w:hint="eastAsia" w:ascii="宋体" w:hAnsi="宋体" w:eastAsia="宋体" w:cs="宋体"/>
          <w:b/>
          <w:color w:val="auto"/>
          <w:sz w:val="24"/>
          <w:szCs w:val="24"/>
          <w:highlight w:val="none"/>
        </w:rPr>
        <w:t xml:space="preserve">标注★的款项为</w:t>
      </w:r>
      <w:r>
        <w:rPr>
          <w:rFonts w:hint="eastAsia" w:ascii="宋体" w:hAnsi="宋体" w:eastAsia="宋体" w:cs="宋体"/>
          <w:color w:val="auto"/>
          <w:sz w:val="24"/>
          <w:szCs w:val="24"/>
          <w:highlight w:val="none"/>
        </w:rPr>
        <w:t xml:space="preserve">实质性要求和条件，由采购人根据实际情况设置，投标人必须逐条明确作出满足实质性要求和条件的响应，否则将按无效投标处理。</w:t>
      </w:r>
      <w:r/>
    </w:p>
    <w:p>
      <w:pPr>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bookmarkStart w:id="5" w:name="_Toc162361614"/>
      <w:r>
        <w:rPr>
          <w:rFonts w:hint="eastAsia" w:ascii="宋体" w:hAnsi="宋体" w:eastAsia="宋体" w:cs="宋体"/>
          <w:b/>
          <w:color w:val="auto"/>
          <w:sz w:val="24"/>
          <w:szCs w:val="24"/>
          <w:highlight w:val="none"/>
        </w:rPr>
        <w:t xml:space="preserve">一、项目</w:t>
      </w:r>
      <w:r>
        <w:rPr>
          <w:rFonts w:hint="eastAsia" w:ascii="宋体" w:hAnsi="宋体" w:eastAsia="宋体" w:cs="宋体"/>
          <w:b/>
          <w:color w:val="auto"/>
          <w:sz w:val="24"/>
          <w:szCs w:val="24"/>
          <w:highlight w:val="none"/>
          <w:lang w:val="en-US" w:eastAsia="zh-CN"/>
        </w:rPr>
        <w:t xml:space="preserve">背景</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连云港石化产业基地位于江苏省连云港市徐圩新区，是国内近年来快速发展的大型沿海石化产业基地。拟使用</w:t>
      </w:r>
      <w:r>
        <w:rPr>
          <w:rFonts w:hint="eastAsia" w:ascii="宋体" w:hAnsi="宋体" w:eastAsia="宋体" w:cs="宋体"/>
          <w:color w:val="auto"/>
          <w:sz w:val="24"/>
          <w:szCs w:val="24"/>
          <w:highlight w:val="none"/>
          <w:lang w:val="en-US" w:eastAsia="zh-CN"/>
        </w:rPr>
        <w:t xml:space="preserve">财政</w:t>
      </w:r>
      <w:r>
        <w:rPr>
          <w:rFonts w:hint="eastAsia" w:ascii="宋体" w:hAnsi="宋体" w:eastAsia="宋体" w:cs="宋体"/>
          <w:color w:val="auto"/>
          <w:sz w:val="24"/>
          <w:szCs w:val="24"/>
          <w:highlight w:val="none"/>
          <w:lang w:eastAsia="zh-CN"/>
        </w:rPr>
        <w:t xml:space="preserve">经费通过竞争性磋商</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石化基地封闭管理及运管中心设施设备维保服务项目</w:t>
      </w:r>
      <w:r/>
      <w:r>
        <w:rPr>
          <w:rFonts w:hint="eastAsia" w:ascii="宋体" w:hAnsi="宋体" w:eastAsia="宋体" w:cs="宋体"/>
          <w:color w:val="auto"/>
          <w:sz w:val="24"/>
          <w:szCs w:val="24"/>
          <w:highlight w:val="none"/>
          <w:lang w:val="en-US" w:eastAsia="zh-CN"/>
        </w:rPr>
      </w:r>
      <w:r>
        <w:rPr>
          <w:rFonts w:hint="eastAsia" w:ascii="宋体" w:hAnsi="宋体" w:eastAsia="宋体" w:cs="宋体"/>
          <w:color w:val="auto"/>
          <w:sz w:val="24"/>
          <w:szCs w:val="24"/>
          <w:highlight w:val="none"/>
        </w:rPr>
        <w:t xml:space="preserve">，服务期1年。 </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二、服务技术要求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1、服务范围（服务内容）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石化基地封闭管理及运管中心范围内相关硬件设施设备检维修，对封闭管理卡口、围网及交安设施日常巡查维护及检修，发现隐患及时向采购人报告。</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2、服务工作需求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 对石化基地封闭管理及运管中心范围内相关设施设备进行</w:t>
      </w:r>
      <w:r>
        <w:rPr>
          <w:rFonts w:hint="eastAsia" w:ascii="宋体" w:hAnsi="宋体" w:eastAsia="宋体" w:cs="宋体"/>
          <w:color w:val="auto"/>
          <w:sz w:val="24"/>
          <w:szCs w:val="24"/>
          <w:highlight w:val="none"/>
        </w:rPr>
        <w:t xml:space="preserve">维修保养及更换及时响应各项设备设施检查、保养、维修等需求，包括但不限于对石化产业基地围网、换乘中心、所有卡口、监控、道闸、电子大屏、电脑、卡口岗亭、空调、灯具、防撞柱、闸机档杆、安全岛、路面、护栏、爆闪灯、防撞桶、电缆、电气设备、网络光纤光缆等相关设施设备进行检维修保养，在规定时间内及时响应。</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跟进处理封闭管理卡口、围网及交安设施事故理赔</w:t>
      </w:r>
      <w:r>
        <w:rPr>
          <w:rFonts w:hint="eastAsia" w:ascii="宋体" w:hAnsi="宋体" w:eastAsia="宋体" w:cs="宋体"/>
          <w:color w:val="auto"/>
          <w:sz w:val="24"/>
          <w:szCs w:val="24"/>
          <w:highlight w:val="none"/>
          <w:lang w:val="en-US" w:eastAsia="zh-CN"/>
        </w:rPr>
        <w:t xml:space="preserve">修复</w:t>
      </w:r>
      <w:r>
        <w:rPr>
          <w:rFonts w:hint="eastAsia" w:ascii="宋体" w:hAnsi="宋体" w:eastAsia="宋体" w:cs="宋体"/>
          <w:color w:val="auto"/>
          <w:sz w:val="24"/>
          <w:szCs w:val="24"/>
          <w:highlight w:val="none"/>
        </w:rPr>
        <w:t xml:space="preserve">工作，保障石化基地封闭管理及运管中心设备设施24小时不间断稳定运行</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 硬件设备资产管理，供应商进场后须第一时间对应维保设施设备进行统计归档。包括资产盘点统计、储存、领用记录、分析报告、资产标签、资产台账。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 如出现卡口、监控断电断网，交通事故碰撞卡口、围网等情况需在接到报修指令到维修人员开始处理故障，1小时内有相应专业人员到达现场进行处置。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 甲方安排的其他任务。</w:t>
      </w:r>
      <w:r/>
    </w:p>
    <w:p>
      <w:pPr>
        <w:keepLines w:val="0"/>
        <w:keepNext w:val="0"/>
        <w:pageBreakBefore w:val="0"/>
        <w:spacing w:line="360" w:lineRule="auto"/>
        <w:widowControl w:val="off"/>
        <w:rPr>
          <w:rFonts w:hint="eastAsia" w:ascii="宋体" w:hAnsi="宋体" w:eastAsia="宋体" w:cs="宋体"/>
          <w:b/>
          <w:i w:val="0"/>
          <w:iCs w:val="0"/>
          <w:color w:val="auto"/>
          <w:sz w:val="24"/>
          <w:szCs w:val="24"/>
          <w:highlight w:val="none"/>
          <w:u w:val="none"/>
        </w:rPr>
      </w:pPr>
      <w:r>
        <w:rPr>
          <w:rFonts w:hint="eastAsia" w:ascii="宋体" w:hAnsi="宋体" w:eastAsia="宋体" w:cs="宋体"/>
          <w:b/>
          <w:i w:val="0"/>
          <w:iCs w:val="0"/>
          <w:color w:val="auto"/>
          <w:sz w:val="24"/>
          <w:szCs w:val="24"/>
          <w:highlight w:val="none"/>
          <w:u w:val="none"/>
        </w:rPr>
        <w:t xml:space="preserve">三、</w:t>
      </w:r>
      <w:r>
        <w:rPr>
          <w:rFonts w:hint="eastAsia" w:ascii="宋体" w:hAnsi="宋体" w:eastAsia="宋体" w:cs="宋体"/>
          <w:b/>
          <w:i w:val="0"/>
          <w:iCs w:val="0"/>
          <w:color w:val="auto"/>
          <w:sz w:val="24"/>
          <w:szCs w:val="24"/>
          <w:highlight w:val="none"/>
          <w:u w:val="none"/>
          <w:lang w:val="en-US" w:eastAsia="zh-CN"/>
        </w:rPr>
        <w:t xml:space="preserve">派遣人员</w:t>
      </w:r>
      <w:r>
        <w:rPr>
          <w:rFonts w:hint="eastAsia" w:ascii="宋体" w:hAnsi="宋体" w:eastAsia="宋体" w:cs="宋体"/>
          <w:b/>
          <w:i w:val="0"/>
          <w:iCs w:val="0"/>
          <w:color w:val="auto"/>
          <w:sz w:val="24"/>
          <w:szCs w:val="24"/>
          <w:highlight w:val="none"/>
          <w:u w:val="none"/>
        </w:rPr>
        <w:t xml:space="preserve">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★1、拟派项目负责人负责项目的整体协调与沟通，完成招标人交办的任务，负责管理人员并对该项目安全生产运营负责，负责制定管理制度、运营方案，梳理该项目台账资料、组织人员教育培训等。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派遣技术维护人员须能够处理岗亭内用电故障及网络故障等相关问题，并对损坏设备进行维修更换，对封闭管理所涉及的电气设备、照明灯具、电缆、高杆灯等进行检查维修保养，并对接电力、网络公司等跟进并督促设施设备维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★3、派遣电工、钳工、高空作业等维保人员须具备熟练的操作技能和维修能力，并持有与工作相关证件，三年以上工作经验，能够快速准确地判断和处理故障。</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四、服务期限与项目进度安排</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8"/>
          <w:highlight w:val="none"/>
        </w:rPr>
        <w:t xml:space="preserve">★</w:t>
      </w:r>
      <w:r>
        <w:rPr>
          <w:rFonts w:hint="eastAsia" w:ascii="宋体" w:hAnsi="宋体" w:eastAsia="宋体" w:cs="宋体"/>
          <w:color w:val="auto"/>
          <w:sz w:val="24"/>
          <w:szCs w:val="24"/>
          <w:highlight w:val="none"/>
          <w:lang w:val="en-US" w:eastAsia="zh-CN"/>
        </w:rPr>
        <w:t xml:space="preserve">从合同签订之日起向我单位提供连云港石化产业基地封闭管理及运管中心设施设备检维修服务，巡查期限一年。</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五、服务标准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1、维保单位</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具备相关领域的专业知识，如机械设备、电气系统、消防设施、网络设备等的工作原理、结构、性能及常见故障处理方法。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2、制定维保计划和周期，定期对设备、设施或系统进行检查、保养和维修，确保其处于良好运行状态。</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3、对维保过程中的每一项工作都应进行详细记录，包括检查内容、发现的问题、处理措施及结果等，以便日后查阅和跟踪。</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4、在进行维保作业时，维保人员应穿戴好个人防护装备，如安全帽、防护眼镜、防护服等，以降低潜在的安全风险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维保单位应与用户保持良好的沟通，及时了解用户需求，反馈维保进度和结果，确保用户满意。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6、维保单位需对接电力、网络等公司保障卡口、围网等相关设施供电及跟踪督相关设施设备的维修。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7、负责跟进处理封闭管理卡口、围网及交安设施事故</w:t>
      </w:r>
      <w:r>
        <w:rPr>
          <w:rFonts w:hint="eastAsia" w:ascii="宋体" w:hAnsi="宋体" w:eastAsia="宋体" w:cs="宋体"/>
          <w:color w:val="auto"/>
          <w:sz w:val="24"/>
          <w:szCs w:val="24"/>
          <w:highlight w:val="none"/>
          <w:lang w:val="en-US" w:eastAsia="zh-CN"/>
        </w:rPr>
        <w:t xml:space="preserve">理赔修复</w:t>
      </w:r>
      <w:r>
        <w:rPr>
          <w:rFonts w:hint="eastAsia" w:ascii="宋体" w:hAnsi="宋体" w:eastAsia="宋体" w:cs="宋体"/>
          <w:color w:val="auto"/>
          <w:sz w:val="24"/>
          <w:szCs w:val="24"/>
          <w:highlight w:val="none"/>
        </w:rPr>
        <w:t xml:space="preserve">工作。</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六</w:t>
      </w:r>
      <w:r>
        <w:rPr>
          <w:rFonts w:hint="eastAsia" w:ascii="宋体" w:hAnsi="宋体" w:eastAsia="宋体" w:cs="宋体"/>
          <w:b/>
          <w:color w:val="auto"/>
          <w:sz w:val="24"/>
          <w:szCs w:val="24"/>
          <w:highlight w:val="none"/>
        </w:rPr>
        <w:t xml:space="preserve">、考核标准及考核办法</w:t>
      </w:r>
      <w:r/>
    </w:p>
    <w:p>
      <w:pPr>
        <w:ind w:firstLine="48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实现园区封闭管理工作制度化、规范化、长效化，提高园区封闭管理外包服务质量，切实提升园区封闭管理水平，结合园区实际，对维保工作制定月度、季度考核办法。考核结果将影响考核结果将影响检维修费用及合同履约。</w:t>
      </w:r>
      <w:r/>
    </w:p>
    <w:p>
      <w:pPr>
        <w:pStyle w:val="721"/>
        <w:jc w:val="center"/>
        <w:rPr>
          <w:rFonts w:hint="eastAsia" w:ascii="宋体" w:hAnsi="宋体" w:eastAsia="宋体" w:cs="宋体"/>
          <w:color w:val="auto"/>
          <w:highlight w:val="none"/>
        </w:rPr>
      </w:pPr>
      <w:r>
        <w:rPr>
          <w:rFonts w:hint="eastAsia" w:ascii="宋体" w:hAnsi="宋体" w:eastAsia="宋体" w:cs="宋体"/>
          <w:color w:val="auto"/>
          <w:sz w:val="36"/>
          <w:szCs w:val="28"/>
          <w:highlight w:val="none"/>
          <w:lang w:val="en-US" w:eastAsia="zh-CN"/>
        </w:rPr>
        <w:t xml:space="preserve">石化基地封闭管理及运管中心设施设备维保服务项目</w:t>
      </w:r>
      <w:r>
        <w:rPr>
          <w:rFonts w:hint="eastAsia" w:ascii="宋体" w:hAnsi="宋体" w:eastAsia="宋体" w:cs="宋体"/>
          <w:b/>
          <w:color w:val="auto"/>
          <w:sz w:val="36"/>
          <w:szCs w:val="28"/>
          <w:highlight w:val="none"/>
          <w:lang w:val="en-US" w:eastAsia="zh-CN"/>
        </w:rPr>
        <w:t xml:space="preserve">考核表</w:t>
      </w:r>
      <w:r/>
    </w:p>
    <w:tbl>
      <w:tblPr>
        <w:tblStyle w:val="729"/>
        <w:tblW w:w="93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67"/>
        <w:gridCol w:w="1066"/>
        <w:gridCol w:w="3434"/>
        <w:gridCol w:w="2670"/>
        <w:gridCol w:w="1093"/>
      </w:tblGrid>
      <w:tr>
        <w:trPr>
          <w:jc w:val="center"/>
        </w:trPr>
        <w:tc>
          <w:tcPr>
            <w:tcMar>
              <w:left w:w="108" w:type="dxa"/>
              <w:right w:w="108" w:type="dxa"/>
            </w:tcMar>
            <w:tcW w:w="1067"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highlight w:val="none"/>
              </w:rPr>
              <w:suppressLineNumbers w:val="0"/>
            </w:pPr>
            <w:r>
              <w:rPr>
                <w:rFonts w:hint="eastAsia" w:ascii="宋体" w:hAnsi="宋体" w:eastAsia="宋体" w:cs="宋体"/>
                <w:b/>
                <w:color w:val="auto"/>
                <w:highlight w:val="none"/>
              </w:rPr>
              <w:t xml:space="preserve">考核大类</w:t>
            </w:r>
            <w:r/>
          </w:p>
        </w:tc>
        <w:tc>
          <w:tcPr>
            <w:tcMar>
              <w:left w:w="108" w:type="dxa"/>
              <w:right w:w="108" w:type="dxa"/>
            </w:tcMar>
            <w:tcW w:w="106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highlight w:val="none"/>
              </w:rPr>
              <w:suppressLineNumbers w:val="0"/>
            </w:pPr>
            <w:r>
              <w:rPr>
                <w:rFonts w:hint="eastAsia" w:ascii="宋体" w:hAnsi="宋体" w:eastAsia="宋体" w:cs="宋体"/>
                <w:b/>
                <w:color w:val="auto"/>
                <w:highlight w:val="none"/>
              </w:rPr>
              <w:t xml:space="preserve">考核细项</w:t>
            </w:r>
            <w:r/>
          </w:p>
        </w:tc>
        <w:tc>
          <w:tcPr>
            <w:tcMar>
              <w:left w:w="108" w:type="dxa"/>
              <w:right w:w="108" w:type="dxa"/>
            </w:tcMar>
            <w:tcW w:w="34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highlight w:val="none"/>
              </w:rPr>
              <w:suppressLineNumbers w:val="0"/>
            </w:pPr>
            <w:r>
              <w:rPr>
                <w:rFonts w:hint="eastAsia" w:ascii="宋体" w:hAnsi="宋体" w:eastAsia="宋体" w:cs="宋体"/>
                <w:b/>
                <w:color w:val="auto"/>
                <w:highlight w:val="none"/>
              </w:rPr>
              <w:t xml:space="preserve">考核细则</w:t>
            </w:r>
            <w:r/>
          </w:p>
        </w:tc>
        <w:tc>
          <w:tcPr>
            <w:tcMar>
              <w:left w:w="108" w:type="dxa"/>
              <w:right w:w="108" w:type="dxa"/>
            </w:tcMar>
            <w:tcW w:w="267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highlight w:val="none"/>
              </w:rPr>
              <w:suppressLineNumbers w:val="0"/>
            </w:pPr>
            <w:r>
              <w:rPr>
                <w:rFonts w:hint="eastAsia" w:ascii="宋体" w:hAnsi="宋体" w:eastAsia="宋体" w:cs="宋体"/>
                <w:b/>
                <w:color w:val="auto"/>
                <w:highlight w:val="none"/>
              </w:rPr>
              <w:t xml:space="preserve">评分标准</w:t>
            </w:r>
            <w:r/>
          </w:p>
        </w:tc>
        <w:tc>
          <w:tcPr>
            <w:tcMar>
              <w:left w:w="108" w:type="dxa"/>
              <w:right w:w="108" w:type="dxa"/>
            </w:tcMar>
            <w:tcW w:w="10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color w:val="auto"/>
                <w:highlight w:val="none"/>
              </w:rPr>
              <w:suppressLineNumbers w:val="0"/>
            </w:pPr>
            <w:r>
              <w:rPr>
                <w:rFonts w:hint="eastAsia" w:ascii="宋体" w:hAnsi="宋体" w:eastAsia="宋体" w:cs="宋体"/>
                <w:b/>
                <w:color w:val="auto"/>
                <w:highlight w:val="none"/>
              </w:rPr>
              <w:t xml:space="preserve">实际得分</w:t>
            </w:r>
            <w:r/>
          </w:p>
        </w:tc>
      </w:tr>
      <w:tr>
        <w:trPr>
          <w:jc w:val="center"/>
        </w:trPr>
        <w:tc>
          <w:tcPr>
            <w:tcMar>
              <w:left w:w="108" w:type="dxa"/>
              <w:right w:w="108" w:type="dxa"/>
            </w:tcMar>
            <w:tcW w:w="1067" w:type="dxa"/>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b w:val="0"/>
                <w:bCs/>
                <w:color w:val="auto"/>
                <w:highlight w:val="none"/>
                <w:lang w:eastAsia="zh-CN"/>
              </w:rPr>
              <w:suppressLineNumbers w:val="0"/>
            </w:pPr>
            <w:r>
              <w:rPr>
                <w:rFonts w:hint="eastAsia" w:ascii="宋体" w:hAnsi="宋体" w:eastAsia="宋体" w:cs="宋体"/>
                <w:b w:val="0"/>
                <w:bCs/>
                <w:color w:val="auto"/>
                <w:highlight w:val="none"/>
              </w:rPr>
              <w:t xml:space="preserve">响应及时性</w:t>
            </w:r>
            <w:r>
              <w:rPr>
                <w:rFonts w:hint="eastAsia" w:ascii="宋体" w:hAnsi="宋体" w:eastAsia="宋体" w:cs="宋体"/>
                <w:b w:val="0"/>
                <w:bCs/>
                <w:color w:val="auto"/>
                <w:highlight w:val="none"/>
                <w:lang w:eastAsia="zh-CN"/>
              </w:rPr>
              <w:t xml:space="preserve">（</w:t>
            </w:r>
            <w:r>
              <w:rPr>
                <w:rFonts w:hint="eastAsia" w:ascii="宋体" w:hAnsi="宋体" w:eastAsia="宋体" w:cs="宋体"/>
                <w:b w:val="0"/>
                <w:bCs/>
                <w:color w:val="auto"/>
                <w:highlight w:val="none"/>
                <w:lang w:val="en-US" w:eastAsia="zh-CN"/>
              </w:rPr>
              <w:t xml:space="preserve">总计25分</w:t>
            </w:r>
            <w:r>
              <w:rPr>
                <w:rFonts w:hint="eastAsia" w:ascii="宋体" w:hAnsi="宋体" w:eastAsia="宋体" w:cs="宋体"/>
                <w:b w:val="0"/>
                <w:bCs/>
                <w:color w:val="auto"/>
                <w:highlight w:val="none"/>
                <w:lang w:eastAsia="zh-CN"/>
              </w:rPr>
              <w:t xml:space="preserve">）</w:t>
            </w:r>
            <w:r/>
          </w:p>
        </w:tc>
        <w:tc>
          <w:tcPr>
            <w:tcMar>
              <w:left w:w="108" w:type="dxa"/>
              <w:right w:w="108" w:type="dxa"/>
            </w:tcMar>
            <w:tcW w:w="106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紧急故障响应</w:t>
            </w:r>
            <w:r/>
          </w:p>
        </w:tc>
        <w:tc>
          <w:tcPr>
            <w:tcMar>
              <w:left w:w="108" w:type="dxa"/>
              <w:right w:w="108" w:type="dxa"/>
            </w:tcMar>
            <w:tcW w:w="34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接到紧急故障通知（围网破损、闸机失效、服务器宕机等）后，1小时内到达现场</w:t>
            </w:r>
            <w:r/>
          </w:p>
        </w:tc>
        <w:tc>
          <w:tcPr>
            <w:tcMar>
              <w:left w:w="108" w:type="dxa"/>
              <w:right w:w="108" w:type="dxa"/>
            </w:tcMar>
            <w:tcW w:w="26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1小时内到达得满分；每延迟10分钟扣2分；未到达得0分</w:t>
            </w:r>
            <w:r/>
          </w:p>
        </w:tc>
        <w:tc>
          <w:tcPr>
            <w:tcMar>
              <w:left w:w="108" w:type="dxa"/>
              <w:right w:w="108" w:type="dxa"/>
            </w:tcMar>
            <w:tcW w:w="109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r>
      <w:tr>
        <w:trPr>
          <w:jc w:val="center"/>
          <w:trHeight w:val="789"/>
        </w:trPr>
        <w:tc>
          <w:tcPr>
            <w:tcMar>
              <w:left w:w="108" w:type="dxa"/>
              <w:right w:w="108" w:type="dxa"/>
            </w:tcMar>
            <w:tcW w:w="1067"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b w:val="0"/>
                <w:bCs/>
                <w:color w:val="auto"/>
                <w:highlight w:val="none"/>
              </w:rPr>
              <w:suppressLineNumbers w:val="0"/>
            </w:pPr>
            <w:r>
              <w:rPr>
                <w:rFonts w:hint="eastAsia" w:ascii="宋体" w:hAnsi="宋体" w:eastAsia="宋体" w:cs="宋体"/>
                <w:b w:val="0"/>
                <w:bCs/>
                <w:color w:val="auto"/>
                <w:highlight w:val="none"/>
              </w:rPr>
            </w:r>
            <w:r/>
          </w:p>
        </w:tc>
        <w:tc>
          <w:tcPr>
            <w:tcMar>
              <w:left w:w="108" w:type="dxa"/>
              <w:right w:w="108" w:type="dxa"/>
            </w:tcMar>
            <w:tcW w:w="106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一般故障响应</w:t>
            </w:r>
            <w:r/>
          </w:p>
        </w:tc>
        <w:tc>
          <w:tcPr>
            <w:tcMar>
              <w:left w:w="108" w:type="dxa"/>
              <w:right w:w="108" w:type="dxa"/>
            </w:tcMar>
            <w:tcW w:w="34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接到一般故障通知（视频监控模糊、电子大屏卡顿等）后，4小时内到达现场</w:t>
            </w:r>
            <w:r/>
          </w:p>
        </w:tc>
        <w:tc>
          <w:tcPr>
            <w:tcMar>
              <w:left w:w="108" w:type="dxa"/>
              <w:right w:w="108" w:type="dxa"/>
            </w:tcMar>
            <w:tcW w:w="26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4小时内到达得满分；每延迟30分钟扣2分；未到达得0分</w:t>
            </w:r>
            <w:r/>
          </w:p>
        </w:tc>
        <w:tc>
          <w:tcPr>
            <w:tcMar>
              <w:left w:w="108" w:type="dxa"/>
              <w:right w:w="108" w:type="dxa"/>
            </w:tcMar>
            <w:tcW w:w="109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r>
      <w:tr>
        <w:trPr>
          <w:jc w:val="center"/>
        </w:trPr>
        <w:tc>
          <w:tcPr>
            <w:tcMar>
              <w:left w:w="108" w:type="dxa"/>
              <w:right w:w="108" w:type="dxa"/>
            </w:tcMar>
            <w:tcW w:w="1067"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b w:val="0"/>
                <w:bCs/>
                <w:color w:val="auto"/>
                <w:highlight w:val="none"/>
              </w:rPr>
              <w:suppressLineNumbers w:val="0"/>
            </w:pPr>
            <w:r>
              <w:rPr>
                <w:rFonts w:hint="eastAsia" w:ascii="宋体" w:hAnsi="宋体" w:eastAsia="宋体" w:cs="宋体"/>
                <w:b w:val="0"/>
                <w:bCs/>
                <w:color w:val="auto"/>
                <w:highlight w:val="none"/>
              </w:rPr>
            </w:r>
            <w:r/>
          </w:p>
        </w:tc>
        <w:tc>
          <w:tcPr>
            <w:tcMar>
              <w:left w:w="108" w:type="dxa"/>
              <w:right w:w="108" w:type="dxa"/>
            </w:tcMar>
            <w:tcW w:w="106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故障处理时效</w:t>
            </w:r>
            <w:r/>
          </w:p>
        </w:tc>
        <w:tc>
          <w:tcPr>
            <w:tcMar>
              <w:left w:w="108" w:type="dxa"/>
              <w:right w:w="108" w:type="dxa"/>
            </w:tcMar>
            <w:tcW w:w="34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紧急故障24小时内修复；一般故障72小时内修复（特殊情况需书面说明并经甲方确认）</w:t>
            </w:r>
            <w:r/>
          </w:p>
        </w:tc>
        <w:tc>
          <w:tcPr>
            <w:tcMar>
              <w:left w:w="108" w:type="dxa"/>
              <w:right w:w="108" w:type="dxa"/>
            </w:tcMar>
            <w:tcW w:w="26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紧急故障24小时内修复得满分，每超12小时扣5分；一般故障72小时内修复得满分，每超24小时扣3分</w:t>
            </w:r>
            <w:r/>
          </w:p>
        </w:tc>
        <w:tc>
          <w:tcPr>
            <w:tcMar>
              <w:left w:w="108" w:type="dxa"/>
              <w:right w:w="108" w:type="dxa"/>
            </w:tcMar>
            <w:tcW w:w="109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r>
      <w:tr>
        <w:trPr>
          <w:jc w:val="center"/>
        </w:trPr>
        <w:tc>
          <w:tcPr>
            <w:tcMar>
              <w:left w:w="108" w:type="dxa"/>
              <w:right w:w="108" w:type="dxa"/>
            </w:tcMar>
            <w:tcW w:w="1067" w:type="dxa"/>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b w:val="0"/>
                <w:bCs/>
                <w:color w:val="auto"/>
                <w:highlight w:val="none"/>
                <w:lang w:eastAsia="zh-CN"/>
              </w:rPr>
              <w:suppressLineNumbers w:val="0"/>
            </w:pPr>
            <w:r>
              <w:rPr>
                <w:rFonts w:hint="eastAsia" w:ascii="宋体" w:hAnsi="宋体" w:eastAsia="宋体" w:cs="宋体"/>
                <w:b w:val="0"/>
                <w:bCs/>
                <w:color w:val="auto"/>
                <w:highlight w:val="none"/>
              </w:rPr>
              <w:t xml:space="preserve">服务质量</w:t>
            </w:r>
            <w:r>
              <w:rPr>
                <w:rFonts w:hint="eastAsia" w:ascii="宋体" w:hAnsi="宋体" w:eastAsia="宋体" w:cs="宋体"/>
                <w:b w:val="0"/>
                <w:bCs/>
                <w:color w:val="auto"/>
                <w:highlight w:val="none"/>
                <w:lang w:eastAsia="zh-CN"/>
              </w:rPr>
              <w:t xml:space="preserve">（</w:t>
            </w:r>
            <w:r>
              <w:rPr>
                <w:rFonts w:hint="eastAsia" w:ascii="宋体" w:hAnsi="宋体" w:eastAsia="宋体" w:cs="宋体"/>
                <w:b w:val="0"/>
                <w:bCs/>
                <w:color w:val="auto"/>
                <w:highlight w:val="none"/>
                <w:lang w:val="en-US" w:eastAsia="zh-CN"/>
              </w:rPr>
              <w:t xml:space="preserve">总计30分</w:t>
            </w:r>
            <w:r>
              <w:rPr>
                <w:rFonts w:hint="eastAsia" w:ascii="宋体" w:hAnsi="宋体" w:eastAsia="宋体" w:cs="宋体"/>
                <w:b w:val="0"/>
                <w:bCs/>
                <w:color w:val="auto"/>
                <w:highlight w:val="none"/>
                <w:lang w:eastAsia="zh-CN"/>
              </w:rPr>
              <w:t xml:space="preserve">）</w:t>
            </w:r>
            <w:r/>
          </w:p>
        </w:tc>
        <w:tc>
          <w:tcPr>
            <w:tcMar>
              <w:left w:w="108" w:type="dxa"/>
              <w:right w:w="108" w:type="dxa"/>
            </w:tcMar>
            <w:tcW w:w="106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维修质量稳定性</w:t>
            </w:r>
            <w:r/>
          </w:p>
        </w:tc>
        <w:tc>
          <w:tcPr>
            <w:tcMar>
              <w:left w:w="108" w:type="dxa"/>
              <w:right w:w="108" w:type="dxa"/>
            </w:tcMar>
            <w:tcW w:w="34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①围网维修后3个月内无二次破损</w:t>
            </w:r>
            <w:r>
              <w:rPr>
                <w:rFonts w:hint="eastAsia" w:ascii="宋体" w:hAnsi="宋体" w:eastAsia="宋体" w:cs="宋体"/>
                <w:color w:val="auto"/>
                <w:highlight w:val="none"/>
              </w:rPr>
              <w:br/>
            </w:r>
            <w:r>
              <w:rPr>
                <w:rFonts w:hint="eastAsia" w:ascii="宋体" w:hAnsi="宋体" w:eastAsia="宋体" w:cs="宋体"/>
                <w:color w:val="auto"/>
                <w:highlight w:val="none"/>
              </w:rPr>
              <w:t xml:space="preserve">②闸机、服务器维修后稳定运行≥30天</w:t>
            </w:r>
            <w:r>
              <w:rPr>
                <w:rFonts w:hint="eastAsia" w:ascii="宋体" w:hAnsi="宋体" w:eastAsia="宋体" w:cs="宋体"/>
                <w:color w:val="auto"/>
                <w:highlight w:val="none"/>
              </w:rPr>
              <w:br/>
            </w:r>
            <w:r>
              <w:rPr>
                <w:rFonts w:hint="eastAsia" w:ascii="宋体" w:hAnsi="宋体" w:eastAsia="宋体" w:cs="宋体"/>
                <w:color w:val="auto"/>
                <w:highlight w:val="none"/>
              </w:rPr>
              <w:t xml:space="preserve">③视频监控分辨率≥1080P且无卡顿</w:t>
            </w:r>
            <w:r>
              <w:rPr>
                <w:rFonts w:hint="eastAsia" w:ascii="宋体" w:hAnsi="宋体" w:eastAsia="宋体" w:cs="宋体"/>
                <w:color w:val="auto"/>
                <w:highlight w:val="none"/>
              </w:rPr>
              <w:br/>
            </w:r>
            <w:r>
              <w:rPr>
                <w:rFonts w:hint="eastAsia" w:ascii="宋体" w:hAnsi="宋体" w:eastAsia="宋体" w:cs="宋体"/>
                <w:color w:val="auto"/>
                <w:highlight w:val="none"/>
              </w:rPr>
              <w:t xml:space="preserve">④电子大屏无黑屏/花屏</w:t>
            </w:r>
            <w:r/>
          </w:p>
        </w:tc>
        <w:tc>
          <w:tcPr>
            <w:tcMar>
              <w:left w:w="108" w:type="dxa"/>
              <w:right w:w="108" w:type="dxa"/>
            </w:tcMar>
            <w:tcW w:w="26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每项达标得5分；同一设备季度内二次维修扣8分；任一项未达标按项扣分</w:t>
            </w:r>
            <w:r/>
          </w:p>
        </w:tc>
        <w:tc>
          <w:tcPr>
            <w:tcMar>
              <w:left w:w="108" w:type="dxa"/>
              <w:right w:w="108" w:type="dxa"/>
            </w:tcMar>
            <w:tcW w:w="109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r>
      <w:tr>
        <w:trPr>
          <w:jc w:val="center"/>
        </w:trPr>
        <w:tc>
          <w:tcPr>
            <w:tcMar>
              <w:left w:w="108" w:type="dxa"/>
              <w:right w:w="108" w:type="dxa"/>
            </w:tcMar>
            <w:tcW w:w="1067"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b w:val="0"/>
                <w:bCs/>
                <w:color w:val="auto"/>
                <w:highlight w:val="none"/>
              </w:rPr>
              <w:suppressLineNumbers w:val="0"/>
            </w:pPr>
            <w:r>
              <w:rPr>
                <w:rFonts w:hint="eastAsia" w:ascii="宋体" w:hAnsi="宋体" w:eastAsia="宋体" w:cs="宋体"/>
                <w:b w:val="0"/>
                <w:bCs/>
                <w:color w:val="auto"/>
                <w:highlight w:val="none"/>
              </w:rPr>
            </w:r>
            <w:r/>
          </w:p>
        </w:tc>
        <w:tc>
          <w:tcPr>
            <w:tcMar>
              <w:left w:w="108" w:type="dxa"/>
              <w:right w:w="108" w:type="dxa"/>
            </w:tcMar>
            <w:tcW w:w="106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维修规范性</w:t>
            </w:r>
            <w:r/>
          </w:p>
        </w:tc>
        <w:tc>
          <w:tcPr>
            <w:tcMar>
              <w:left w:w="108" w:type="dxa"/>
              <w:right w:w="108" w:type="dxa"/>
            </w:tcMar>
            <w:tcW w:w="34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①符合安全规范（高空/带电作业）</w:t>
            </w:r>
            <w:r>
              <w:rPr>
                <w:rFonts w:hint="eastAsia" w:ascii="宋体" w:hAnsi="宋体" w:eastAsia="宋体" w:cs="宋体"/>
                <w:color w:val="auto"/>
                <w:highlight w:val="none"/>
              </w:rPr>
              <w:br/>
            </w:r>
            <w:r>
              <w:rPr>
                <w:rFonts w:hint="eastAsia" w:ascii="宋体" w:hAnsi="宋体" w:eastAsia="宋体" w:cs="宋体"/>
                <w:color w:val="auto"/>
                <w:highlight w:val="none"/>
              </w:rPr>
              <w:t xml:space="preserve">②维修后现场清理无杂物</w:t>
            </w:r>
            <w:r>
              <w:rPr>
                <w:rFonts w:hint="eastAsia" w:ascii="宋体" w:hAnsi="宋体" w:eastAsia="宋体" w:cs="宋体"/>
                <w:color w:val="auto"/>
                <w:highlight w:val="none"/>
              </w:rPr>
              <w:br/>
            </w:r>
            <w:r>
              <w:rPr>
                <w:rFonts w:hint="eastAsia" w:ascii="宋体" w:hAnsi="宋体" w:eastAsia="宋体" w:cs="宋体"/>
                <w:color w:val="auto"/>
                <w:highlight w:val="none"/>
              </w:rPr>
              <w:t xml:space="preserve">③维修记录完整（含故障原因、更换部件、测试结果）</w:t>
            </w:r>
            <w:r/>
          </w:p>
        </w:tc>
        <w:tc>
          <w:tcPr>
            <w:tcMar>
              <w:left w:w="108" w:type="dxa"/>
              <w:right w:w="108" w:type="dxa"/>
            </w:tcMar>
            <w:tcW w:w="26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安全规范达标得5分（违规直接扣5分）；现场清理达标得5分；记录完整得5分；未达标按项扣分</w:t>
            </w:r>
            <w:r/>
          </w:p>
        </w:tc>
        <w:tc>
          <w:tcPr>
            <w:tcMar>
              <w:left w:w="108" w:type="dxa"/>
              <w:right w:w="108" w:type="dxa"/>
            </w:tcMar>
            <w:tcW w:w="109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r>
      <w:tr>
        <w:trPr>
          <w:jc w:val="center"/>
        </w:trPr>
        <w:tc>
          <w:tcPr>
            <w:tcMar>
              <w:left w:w="108" w:type="dxa"/>
              <w:right w:w="108" w:type="dxa"/>
            </w:tcMar>
            <w:tcW w:w="1067"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b w:val="0"/>
                <w:bCs/>
                <w:color w:val="auto"/>
                <w:highlight w:val="none"/>
              </w:rPr>
              <w:suppressLineNumbers w:val="0"/>
            </w:pPr>
            <w:r>
              <w:rPr>
                <w:rFonts w:hint="eastAsia" w:ascii="宋体" w:hAnsi="宋体" w:eastAsia="宋体" w:cs="宋体"/>
                <w:b w:val="0"/>
                <w:bCs/>
                <w:color w:val="auto"/>
                <w:highlight w:val="none"/>
              </w:rPr>
            </w:r>
            <w:r/>
          </w:p>
        </w:tc>
        <w:tc>
          <w:tcPr>
            <w:tcMar>
              <w:left w:w="108" w:type="dxa"/>
              <w:right w:w="108" w:type="dxa"/>
            </w:tcMar>
            <w:tcW w:w="106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设备功能恢复率</w:t>
            </w:r>
            <w:r/>
          </w:p>
        </w:tc>
        <w:tc>
          <w:tcPr>
            <w:tcMar>
              <w:left w:w="108" w:type="dxa"/>
              <w:right w:w="108" w:type="dxa"/>
            </w:tcMar>
            <w:tcW w:w="34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维修后功能100%恢复（广播音质清晰、光缆传输达标、卡口识别率≥98%）</w:t>
            </w:r>
            <w:r/>
          </w:p>
        </w:tc>
        <w:tc>
          <w:tcPr>
            <w:tcMar>
              <w:left w:w="108" w:type="dxa"/>
              <w:right w:w="108" w:type="dxa"/>
            </w:tcMar>
            <w:tcW w:w="26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功能100%恢复得满分；每降低1%扣1分；关键功能（服务器/围网）未恢复直接扣10分</w:t>
            </w:r>
            <w:r/>
          </w:p>
        </w:tc>
        <w:tc>
          <w:tcPr>
            <w:tcMar>
              <w:left w:w="108" w:type="dxa"/>
              <w:right w:w="108" w:type="dxa"/>
            </w:tcMar>
            <w:tcW w:w="109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r>
      <w:tr>
        <w:trPr>
          <w:jc w:val="center"/>
        </w:trPr>
        <w:tc>
          <w:tcPr>
            <w:tcMar>
              <w:left w:w="108" w:type="dxa"/>
              <w:right w:w="108" w:type="dxa"/>
            </w:tcMar>
            <w:tcW w:w="1067" w:type="dxa"/>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b w:val="0"/>
                <w:bCs/>
                <w:color w:val="auto"/>
                <w:highlight w:val="none"/>
                <w:lang w:eastAsia="zh-CN"/>
              </w:rPr>
              <w:suppressLineNumbers w:val="0"/>
            </w:pPr>
            <w:r>
              <w:rPr>
                <w:rFonts w:hint="eastAsia" w:ascii="宋体" w:hAnsi="宋体" w:eastAsia="宋体" w:cs="宋体"/>
                <w:b w:val="0"/>
                <w:bCs/>
                <w:color w:val="auto"/>
                <w:highlight w:val="none"/>
              </w:rPr>
              <w:t xml:space="preserve">服务效率</w:t>
            </w:r>
            <w:r>
              <w:rPr>
                <w:rFonts w:hint="eastAsia" w:ascii="宋体" w:hAnsi="宋体" w:eastAsia="宋体" w:cs="宋体"/>
                <w:b w:val="0"/>
                <w:bCs/>
                <w:color w:val="auto"/>
                <w:highlight w:val="none"/>
                <w:lang w:eastAsia="zh-CN"/>
              </w:rPr>
              <w:t xml:space="preserve">（</w:t>
            </w:r>
            <w:r>
              <w:rPr>
                <w:rFonts w:hint="eastAsia" w:ascii="宋体" w:hAnsi="宋体" w:eastAsia="宋体" w:cs="宋体"/>
                <w:b w:val="0"/>
                <w:bCs/>
                <w:color w:val="auto"/>
                <w:highlight w:val="none"/>
                <w:lang w:val="en-US" w:eastAsia="zh-CN"/>
              </w:rPr>
              <w:t xml:space="preserve">总计25分</w:t>
            </w:r>
            <w:r>
              <w:rPr>
                <w:rFonts w:hint="eastAsia" w:ascii="宋体" w:hAnsi="宋体" w:eastAsia="宋体" w:cs="宋体"/>
                <w:b w:val="0"/>
                <w:bCs/>
                <w:color w:val="auto"/>
                <w:highlight w:val="none"/>
                <w:lang w:eastAsia="zh-CN"/>
              </w:rPr>
              <w:t xml:space="preserve">）</w:t>
            </w:r>
            <w:r/>
          </w:p>
        </w:tc>
        <w:tc>
          <w:tcPr>
            <w:tcMar>
              <w:left w:w="108" w:type="dxa"/>
              <w:right w:w="108" w:type="dxa"/>
            </w:tcMar>
            <w:tcW w:w="106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维修任务完成率</w:t>
            </w:r>
            <w:r/>
          </w:p>
        </w:tc>
        <w:tc>
          <w:tcPr>
            <w:tcMar>
              <w:left w:w="108" w:type="dxa"/>
              <w:right w:w="108" w:type="dxa"/>
            </w:tcMar>
            <w:tcW w:w="34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季度内计划维修任务（含计划性维护及突发故障）完成率≥95%</w:t>
            </w:r>
            <w:r/>
          </w:p>
        </w:tc>
        <w:tc>
          <w:tcPr>
            <w:tcMar>
              <w:left w:w="108" w:type="dxa"/>
              <w:right w:w="108" w:type="dxa"/>
            </w:tcMar>
            <w:tcW w:w="26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完成率100%得满分；95%-99%扣</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分；90%-94%扣</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rPr>
              <w:t xml:space="preserve">分；＜90%得0分</w:t>
            </w:r>
            <w:r/>
          </w:p>
        </w:tc>
        <w:tc>
          <w:tcPr>
            <w:tcMar>
              <w:left w:w="108" w:type="dxa"/>
              <w:right w:w="108" w:type="dxa"/>
            </w:tcMar>
            <w:tcW w:w="109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r>
      <w:tr>
        <w:trPr>
          <w:jc w:val="center"/>
        </w:trPr>
        <w:tc>
          <w:tcPr>
            <w:tcMar>
              <w:left w:w="108" w:type="dxa"/>
              <w:right w:w="108" w:type="dxa"/>
            </w:tcMar>
            <w:tcW w:w="1067"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b w:val="0"/>
                <w:bCs/>
                <w:color w:val="auto"/>
                <w:highlight w:val="none"/>
              </w:rPr>
              <w:suppressLineNumbers w:val="0"/>
            </w:pPr>
            <w:r>
              <w:rPr>
                <w:rFonts w:hint="eastAsia" w:ascii="宋体" w:hAnsi="宋体" w:eastAsia="宋体" w:cs="宋体"/>
                <w:b w:val="0"/>
                <w:bCs/>
                <w:color w:val="auto"/>
                <w:highlight w:val="none"/>
              </w:rPr>
            </w:r>
            <w:r/>
          </w:p>
        </w:tc>
        <w:tc>
          <w:tcPr>
            <w:tcMar>
              <w:left w:w="108" w:type="dxa"/>
              <w:right w:w="108" w:type="dxa"/>
            </w:tcMar>
            <w:tcW w:w="106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平均维修时长</w:t>
            </w:r>
            <w:r/>
          </w:p>
        </w:tc>
        <w:tc>
          <w:tcPr>
            <w:tcMar>
              <w:left w:w="108" w:type="dxa"/>
              <w:right w:w="108" w:type="dxa"/>
            </w:tcMar>
            <w:tcW w:w="34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紧急故障平均维修时长≤8小时；一般故障≤24小时（不含备件等待时间）</w:t>
            </w:r>
            <w:r/>
          </w:p>
        </w:tc>
        <w:tc>
          <w:tcPr>
            <w:tcMar>
              <w:left w:w="108" w:type="dxa"/>
              <w:right w:w="108" w:type="dxa"/>
            </w:tcMar>
            <w:tcW w:w="26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紧急故障≤8小时得满分，每超1小时扣2分；一般故障≤24小时得满分，每超3小时扣1分</w:t>
            </w:r>
            <w:r/>
          </w:p>
        </w:tc>
        <w:tc>
          <w:tcPr>
            <w:tcMar>
              <w:left w:w="108" w:type="dxa"/>
              <w:right w:w="108" w:type="dxa"/>
            </w:tcMar>
            <w:tcW w:w="109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r>
      <w:tr>
        <w:trPr>
          <w:jc w:val="center"/>
        </w:trPr>
        <w:tc>
          <w:tcPr>
            <w:tcMar>
              <w:left w:w="108" w:type="dxa"/>
              <w:right w:w="108" w:type="dxa"/>
            </w:tcMar>
            <w:tcW w:w="1067" w:type="dxa"/>
            <w:vAlign w:val="center"/>
            <w:vMerge w:val="restart"/>
            <w:textDirection w:val="lrTb"/>
            <w:noWrap w:val="false"/>
          </w:tcPr>
          <w:p>
            <w:pPr>
              <w:ind w:left="0" w:right="0"/>
              <w:keepLines w:val="0"/>
              <w:keepNext w:val="0"/>
              <w:spacing w:before="0" w:beforeAutospacing="0" w:after="0" w:afterAutospacing="0"/>
              <w:rPr>
                <w:rFonts w:hint="eastAsia" w:ascii="宋体" w:hAnsi="宋体" w:eastAsia="宋体" w:cs="宋体"/>
                <w:b w:val="0"/>
                <w:bCs/>
                <w:color w:val="auto"/>
                <w:highlight w:val="none"/>
                <w:lang w:eastAsia="zh-CN"/>
              </w:rPr>
              <w:suppressLineNumbers w:val="0"/>
            </w:pPr>
            <w:r>
              <w:rPr>
                <w:rFonts w:hint="eastAsia" w:ascii="宋体" w:hAnsi="宋体" w:eastAsia="宋体" w:cs="宋体"/>
                <w:b w:val="0"/>
                <w:bCs/>
                <w:color w:val="auto"/>
                <w:highlight w:val="none"/>
              </w:rPr>
              <w:t xml:space="preserve">人员台班管理</w:t>
            </w:r>
            <w:r>
              <w:rPr>
                <w:rFonts w:hint="eastAsia" w:ascii="宋体" w:hAnsi="宋体" w:eastAsia="宋体" w:cs="宋体"/>
                <w:b w:val="0"/>
                <w:bCs/>
                <w:color w:val="auto"/>
                <w:highlight w:val="none"/>
                <w:lang w:eastAsia="zh-CN"/>
              </w:rPr>
              <w:t xml:space="preserve">（</w:t>
            </w:r>
            <w:r>
              <w:rPr>
                <w:rFonts w:hint="eastAsia" w:ascii="宋体" w:hAnsi="宋体" w:eastAsia="宋体" w:cs="宋体"/>
                <w:b w:val="0"/>
                <w:bCs/>
                <w:color w:val="auto"/>
                <w:highlight w:val="none"/>
                <w:lang w:val="en-US" w:eastAsia="zh-CN"/>
              </w:rPr>
              <w:t xml:space="preserve">总计15分</w:t>
            </w:r>
            <w:r>
              <w:rPr>
                <w:rFonts w:hint="eastAsia" w:ascii="宋体" w:hAnsi="宋体" w:eastAsia="宋体" w:cs="宋体"/>
                <w:b w:val="0"/>
                <w:bCs/>
                <w:color w:val="auto"/>
                <w:highlight w:val="none"/>
                <w:lang w:eastAsia="zh-CN"/>
              </w:rPr>
              <w:t xml:space="preserve">）</w:t>
            </w:r>
            <w:r/>
          </w:p>
        </w:tc>
        <w:tc>
          <w:tcPr>
            <w:tcMar>
              <w:left w:w="108" w:type="dxa"/>
              <w:right w:w="108" w:type="dxa"/>
            </w:tcMar>
            <w:tcW w:w="106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人员资质</w:t>
            </w:r>
            <w:r/>
          </w:p>
        </w:tc>
        <w:tc>
          <w:tcPr>
            <w:tcMar>
              <w:left w:w="108" w:type="dxa"/>
              <w:right w:w="108" w:type="dxa"/>
            </w:tcMar>
            <w:tcW w:w="34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①维修人员持证上岗率100%（电工证/焊工证等）</w:t>
            </w:r>
            <w:r>
              <w:rPr>
                <w:rFonts w:hint="eastAsia" w:ascii="宋体" w:hAnsi="宋体" w:eastAsia="宋体" w:cs="宋体"/>
                <w:color w:val="auto"/>
                <w:highlight w:val="none"/>
              </w:rPr>
              <w:br/>
            </w:r>
            <w:r>
              <w:rPr>
                <w:rFonts w:hint="eastAsia" w:ascii="宋体" w:hAnsi="宋体" w:eastAsia="宋体" w:cs="宋体"/>
                <w:color w:val="auto"/>
                <w:highlight w:val="none"/>
              </w:rPr>
              <w:t xml:space="preserve">②台班记录完整（到岗时间、工作内容、离岗时间）</w:t>
            </w:r>
            <w:r/>
          </w:p>
        </w:tc>
        <w:tc>
          <w:tcPr>
            <w:tcMar>
              <w:left w:w="108" w:type="dxa"/>
              <w:right w:w="108" w:type="dxa"/>
            </w:tcMar>
            <w:tcW w:w="26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资质达标得5分（缺一证扣2分）；考勤完整得5分（缺1次记录扣1分，缺勤1次扣3分）</w:t>
            </w:r>
            <w:r/>
          </w:p>
        </w:tc>
        <w:tc>
          <w:tcPr>
            <w:tcMar>
              <w:left w:w="108" w:type="dxa"/>
              <w:right w:w="108" w:type="dxa"/>
            </w:tcMar>
            <w:tcW w:w="109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r>
      <w:tr>
        <w:trPr>
          <w:jc w:val="center"/>
        </w:trPr>
        <w:tc>
          <w:tcPr>
            <w:tcMar>
              <w:left w:w="108" w:type="dxa"/>
              <w:right w:w="108" w:type="dxa"/>
            </w:tcMar>
            <w:tcW w:w="1067"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b w:val="0"/>
                <w:bCs/>
                <w:color w:val="auto"/>
                <w:highlight w:val="none"/>
              </w:rPr>
              <w:suppressLineNumbers w:val="0"/>
            </w:pPr>
            <w:r>
              <w:rPr>
                <w:rFonts w:hint="eastAsia" w:ascii="宋体" w:hAnsi="宋体" w:eastAsia="宋体" w:cs="宋体"/>
                <w:b w:val="0"/>
                <w:bCs/>
                <w:color w:val="auto"/>
                <w:highlight w:val="none"/>
              </w:rPr>
            </w:r>
            <w:r/>
          </w:p>
        </w:tc>
        <w:tc>
          <w:tcPr>
            <w:tcMar>
              <w:left w:w="108" w:type="dxa"/>
              <w:right w:w="108" w:type="dxa"/>
            </w:tcMar>
            <w:tcW w:w="106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安全与培训</w:t>
            </w:r>
            <w:r/>
          </w:p>
        </w:tc>
        <w:tc>
          <w:tcPr>
            <w:tcMar>
              <w:left w:w="108" w:type="dxa"/>
              <w:right w:w="108" w:type="dxa"/>
            </w:tcMar>
            <w:tcW w:w="34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①季度安全培训≥2次且无安全事故</w:t>
            </w:r>
            <w:r>
              <w:rPr>
                <w:rFonts w:hint="eastAsia" w:ascii="宋体" w:hAnsi="宋体" w:eastAsia="宋体" w:cs="宋体"/>
                <w:color w:val="auto"/>
                <w:highlight w:val="none"/>
              </w:rPr>
              <w:br/>
            </w:r>
            <w:r>
              <w:rPr>
                <w:rFonts w:hint="eastAsia" w:ascii="宋体" w:hAnsi="宋体" w:eastAsia="宋体" w:cs="宋体"/>
                <w:color w:val="auto"/>
                <w:highlight w:val="none"/>
              </w:rPr>
              <w:t xml:space="preserve">②人员熟悉设备操作规范及应急流程</w:t>
            </w:r>
            <w:r/>
          </w:p>
        </w:tc>
        <w:tc>
          <w:tcPr>
            <w:tcMar>
              <w:left w:w="108" w:type="dxa"/>
              <w:right w:w="108" w:type="dxa"/>
            </w:tcMar>
            <w:tcW w:w="26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无安全事故得5分（轻微事故扣3分，严重事故得0分）；培训记录完整得5分（缺1次扣2分）</w:t>
            </w:r>
            <w:r/>
          </w:p>
        </w:tc>
        <w:tc>
          <w:tcPr>
            <w:tcMar>
              <w:left w:w="108" w:type="dxa"/>
              <w:right w:w="108" w:type="dxa"/>
            </w:tcMar>
            <w:tcW w:w="109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r>
      <w:tr>
        <w:trPr>
          <w:jc w:val="center"/>
          <w:trHeight w:val="1218"/>
        </w:trPr>
        <w:tc>
          <w:tcPr>
            <w:tcMar>
              <w:left w:w="108" w:type="dxa"/>
              <w:right w:w="108" w:type="dxa"/>
            </w:tcMar>
            <w:tcW w:w="106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val="0"/>
                <w:bCs/>
                <w:color w:val="auto"/>
                <w:highlight w:val="none"/>
                <w:lang w:eastAsia="zh-CN"/>
              </w:rPr>
              <w:suppressLineNumbers w:val="0"/>
            </w:pPr>
            <w:r>
              <w:rPr>
                <w:rFonts w:hint="eastAsia" w:ascii="宋体" w:hAnsi="宋体" w:eastAsia="宋体" w:cs="宋体"/>
                <w:b w:val="0"/>
                <w:bCs/>
                <w:color w:val="auto"/>
                <w:highlight w:val="none"/>
              </w:rPr>
              <w:t xml:space="preserve">综合评价</w:t>
            </w:r>
            <w:r>
              <w:rPr>
                <w:rFonts w:hint="eastAsia" w:ascii="宋体" w:hAnsi="宋体" w:eastAsia="宋体" w:cs="宋体"/>
                <w:b w:val="0"/>
                <w:bCs/>
                <w:color w:val="auto"/>
                <w:highlight w:val="none"/>
                <w:lang w:eastAsia="zh-CN"/>
              </w:rPr>
              <w:t xml:space="preserve">（</w:t>
            </w:r>
            <w:r>
              <w:rPr>
                <w:rFonts w:hint="eastAsia" w:ascii="宋体" w:hAnsi="宋体" w:eastAsia="宋体" w:cs="宋体"/>
                <w:b w:val="0"/>
                <w:bCs/>
                <w:color w:val="auto"/>
                <w:highlight w:val="none"/>
                <w:lang w:val="en-US" w:eastAsia="zh-CN"/>
              </w:rPr>
              <w:t xml:space="preserve">总计5分</w:t>
            </w:r>
            <w:r>
              <w:rPr>
                <w:rFonts w:hint="eastAsia" w:ascii="宋体" w:hAnsi="宋体" w:eastAsia="宋体" w:cs="宋体"/>
                <w:b w:val="0"/>
                <w:bCs/>
                <w:color w:val="auto"/>
                <w:highlight w:val="none"/>
                <w:lang w:eastAsia="zh-CN"/>
              </w:rPr>
              <w:t xml:space="preserve">）</w:t>
            </w:r>
            <w:r/>
          </w:p>
        </w:tc>
        <w:tc>
          <w:tcPr>
            <w:tcMar>
              <w:left w:w="108" w:type="dxa"/>
              <w:right w:w="108" w:type="dxa"/>
            </w:tcMar>
            <w:tcW w:w="1066"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投诉与改进</w:t>
            </w:r>
            <w:r/>
          </w:p>
        </w:tc>
        <w:tc>
          <w:tcPr>
            <w:tcMar>
              <w:left w:w="108" w:type="dxa"/>
              <w:right w:w="108" w:type="dxa"/>
            </w:tcMar>
            <w:tcW w:w="343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季度内无有效投诉；针对甲方改进建议完成整改并反馈</w:t>
            </w:r>
            <w:r/>
          </w:p>
        </w:tc>
        <w:tc>
          <w:tcPr>
            <w:tcMar>
              <w:left w:w="108" w:type="dxa"/>
              <w:right w:w="108" w:type="dxa"/>
            </w:tcMar>
            <w:tcW w:w="267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t xml:space="preserve">无投诉得</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分（每1次有效投诉扣</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分）；改进建议按时反馈得2分（未反馈扣2分）</w:t>
            </w:r>
            <w:r/>
          </w:p>
        </w:tc>
        <w:tc>
          <w:tcPr>
            <w:tcMar>
              <w:left w:w="108" w:type="dxa"/>
              <w:right w:w="108" w:type="dxa"/>
            </w:tcMar>
            <w:tcW w:w="109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color w:val="auto"/>
                <w:highlight w:val="none"/>
              </w:rPr>
              <w:suppressLineNumbers w:val="0"/>
            </w:pPr>
            <w:r>
              <w:rPr>
                <w:rFonts w:hint="eastAsia" w:ascii="宋体" w:hAnsi="宋体" w:eastAsia="宋体" w:cs="宋体"/>
                <w:color w:val="auto"/>
                <w:highlight w:val="none"/>
              </w:rPr>
            </w:r>
            <w:r/>
          </w:p>
        </w:tc>
      </w:tr>
      <w:tr>
        <w:trPr>
          <w:jc w:val="center"/>
        </w:trPr>
        <w:tc>
          <w:tcPr>
            <w:gridSpan w:val="3"/>
            <w:tcMar>
              <w:left w:w="108" w:type="dxa"/>
              <w:right w:w="108" w:type="dxa"/>
            </w:tcMar>
            <w:tcW w:w="556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val="0"/>
                <w:color w:val="auto"/>
                <w:highlight w:val="none"/>
              </w:rPr>
              <w:suppressLineNumbers w:val="0"/>
            </w:pPr>
            <w:r>
              <w:rPr>
                <w:rFonts w:hint="eastAsia" w:ascii="宋体" w:hAnsi="宋体" w:eastAsia="宋体" w:cs="宋体"/>
                <w:b/>
                <w:bCs w:val="0"/>
                <w:color w:val="auto"/>
                <w:highlight w:val="none"/>
              </w:rPr>
              <w:t xml:space="preserve">总分</w:t>
            </w:r>
            <w:r>
              <w:rPr>
                <w:rFonts w:hint="eastAsia" w:ascii="宋体" w:hAnsi="宋体" w:eastAsia="宋体" w:cs="宋体"/>
                <w:b/>
                <w:bCs w:val="0"/>
                <w:color w:val="auto"/>
                <w:highlight w:val="none"/>
                <w:lang w:eastAsia="zh-CN"/>
              </w:rPr>
              <w:t xml:space="preserve">：</w:t>
            </w:r>
            <w:r>
              <w:rPr>
                <w:rFonts w:hint="eastAsia" w:ascii="宋体" w:hAnsi="宋体" w:eastAsia="宋体" w:cs="宋体"/>
                <w:b/>
                <w:bCs w:val="0"/>
                <w:color w:val="auto"/>
                <w:highlight w:val="none"/>
                <w:lang w:val="en-US" w:eastAsia="zh-CN"/>
              </w:rPr>
              <w:t xml:space="preserve">100分</w:t>
            </w:r>
            <w:r/>
          </w:p>
        </w:tc>
        <w:tc>
          <w:tcPr>
            <w:gridSpan w:val="2"/>
            <w:tcMar>
              <w:left w:w="108" w:type="dxa"/>
              <w:right w:w="108" w:type="dxa"/>
            </w:tcMar>
            <w:tcW w:w="3763"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val="0"/>
                <w:color w:val="auto"/>
                <w:highlight w:val="none"/>
                <w:lang w:val="en-US" w:eastAsia="zh-CN"/>
              </w:rPr>
              <w:suppressLineNumbers w:val="0"/>
            </w:pPr>
            <w:r>
              <w:rPr>
                <w:rFonts w:hint="eastAsia" w:ascii="宋体" w:hAnsi="宋体" w:eastAsia="宋体" w:cs="宋体"/>
                <w:b/>
                <w:bCs w:val="0"/>
                <w:color w:val="auto"/>
                <w:highlight w:val="none"/>
                <w:lang w:val="en-US" w:eastAsia="zh-CN"/>
              </w:rPr>
              <w:t xml:space="preserve">考核得分：</w:t>
            </w:r>
            <w:r/>
          </w:p>
        </w:tc>
      </w:tr>
    </w:tbl>
    <w:p>
      <w:pPr>
        <w:numPr>
          <w:ilvl w:val="0"/>
          <w:numId w:val="0"/>
        </w:numPr>
        <w:ind w:left="420"/>
        <w:keepLines w:val="0"/>
        <w:keepNext w:val="0"/>
        <w:pageBreakBefore w:val="0"/>
        <w:spacing w:line="240" w:lineRule="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r>
      <w:r/>
    </w:p>
    <w:p>
      <w:pPr>
        <w:numPr>
          <w:ilvl w:val="0"/>
          <w:numId w:val="0"/>
        </w:numPr>
        <w:ind w:left="420"/>
        <w:keepLines w:val="0"/>
        <w:keepNext w:val="0"/>
        <w:pageBreakBefore w:val="0"/>
        <w:spacing w:line="240" w:lineRule="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 xml:space="preserve">每季度考核一次：</w:t>
      </w:r>
      <w:r/>
    </w:p>
    <w:p>
      <w:pPr>
        <w:numPr>
          <w:ilvl w:val="0"/>
          <w:numId w:val="0"/>
        </w:numPr>
        <w:ind w:left="420"/>
        <w:keepLines w:val="0"/>
        <w:keepNext w:val="0"/>
        <w:pageBreakBefore w:val="0"/>
        <w:spacing w:line="240" w:lineRule="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 xml:space="preserve">（1）分值95-100分，低1分，扣除200元；</w:t>
      </w:r>
      <w:r/>
    </w:p>
    <w:p>
      <w:pPr>
        <w:pStyle w:val="759"/>
        <w:ind w:left="420" w:firstLine="0"/>
        <w:keepLines w:val="0"/>
        <w:keepNext w:val="0"/>
        <w:pageBreakBefore w:val="0"/>
        <w:spacing w:line="240" w:lineRule="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 xml:space="preserve">（2）分值90-94分，低1分，扣除500元；</w:t>
      </w:r>
      <w:r/>
    </w:p>
    <w:p>
      <w:pPr>
        <w:pStyle w:val="759"/>
        <w:ind w:left="420" w:firstLine="0"/>
        <w:keepLines w:val="0"/>
        <w:keepNext w:val="0"/>
        <w:pageBreakBefore w:val="0"/>
        <w:spacing w:line="240" w:lineRule="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 xml:space="preserve">（3）分值85-89分，低1分，扣1000元；</w:t>
      </w:r>
      <w:r/>
    </w:p>
    <w:p>
      <w:pPr>
        <w:pStyle w:val="759"/>
        <w:ind w:left="420" w:firstLine="0"/>
        <w:keepLines w:val="0"/>
        <w:keepNext w:val="0"/>
        <w:pageBreakBefore w:val="0"/>
        <w:spacing w:line="240" w:lineRule="auto"/>
        <w:rPr>
          <w:rFonts w:hint="eastAsia" w:ascii="宋体" w:hAnsi="宋体" w:eastAsia="宋体" w:cs="宋体"/>
          <w:b/>
          <w:color w:val="auto"/>
          <w:sz w:val="24"/>
          <w:szCs w:val="24"/>
          <w:highlight w:val="none"/>
          <w:u w:val="none"/>
          <w:lang w:val="en-US" w:eastAsia="zh-CN"/>
        </w:rPr>
      </w:pPr>
      <w:r>
        <w:rPr>
          <w:rFonts w:hint="eastAsia" w:ascii="宋体" w:hAnsi="宋体" w:eastAsia="宋体" w:cs="宋体"/>
          <w:b/>
          <w:color w:val="auto"/>
          <w:sz w:val="24"/>
          <w:szCs w:val="24"/>
          <w:highlight w:val="none"/>
          <w:u w:val="none"/>
          <w:lang w:val="en-US" w:eastAsia="zh-CN"/>
        </w:rPr>
        <w:t xml:space="preserve">（4）分值80-84分，低1分，扣5000元；</w:t>
      </w:r>
      <w:r/>
    </w:p>
    <w:p>
      <w:pPr>
        <w:ind w:left="420"/>
        <w:keepLines w:val="0"/>
        <w:keepNext w:val="0"/>
        <w:pageBreakBefore w:val="0"/>
        <w:widowControl w:val="off"/>
        <w:rPr>
          <w:rFonts w:hint="eastAsia" w:ascii="宋体" w:hAnsi="宋体" w:eastAsia="宋体" w:cs="宋体"/>
          <w:color w:val="auto"/>
          <w:highlight w:val="none"/>
        </w:rPr>
      </w:pPr>
      <w:r>
        <w:rPr>
          <w:rFonts w:hint="eastAsia" w:ascii="宋体" w:hAnsi="宋体" w:eastAsia="宋体" w:cs="宋体"/>
          <w:b/>
          <w:color w:val="auto"/>
          <w:sz w:val="24"/>
          <w:szCs w:val="24"/>
          <w:highlight w:val="none"/>
          <w:u w:val="none"/>
          <w:lang w:val="en-US" w:eastAsia="zh-CN"/>
        </w:rPr>
        <w:t xml:space="preserve">（5）季度考核低于80分一次，扣除当年服务费的10%；</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、履约验收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每周提交</w:t>
      </w:r>
      <w:r>
        <w:rPr>
          <w:rFonts w:hint="eastAsia" w:ascii="宋体" w:hAnsi="宋体" w:eastAsia="宋体" w:cs="宋体"/>
          <w:color w:val="auto"/>
          <w:sz w:val="24"/>
          <w:szCs w:val="24"/>
          <w:highlight w:val="none"/>
          <w:lang w:val="en-US" w:eastAsia="zh-CN"/>
        </w:rPr>
        <w:t xml:space="preserve">周报（包含检查</w:t>
      </w:r>
      <w:r>
        <w:rPr>
          <w:rFonts w:hint="eastAsia" w:ascii="宋体" w:hAnsi="宋体" w:eastAsia="宋体" w:cs="宋体"/>
          <w:color w:val="auto"/>
          <w:sz w:val="24"/>
          <w:szCs w:val="24"/>
          <w:highlight w:val="none"/>
        </w:rPr>
        <w:t xml:space="preserve">出的</w:t>
      </w:r>
      <w:r>
        <w:rPr>
          <w:rFonts w:hint="eastAsia" w:ascii="宋体" w:hAnsi="宋体" w:eastAsia="宋体" w:cs="宋体"/>
          <w:color w:val="auto"/>
          <w:sz w:val="24"/>
          <w:szCs w:val="24"/>
          <w:highlight w:val="none"/>
          <w:lang w:val="en-US" w:eastAsia="zh-CN"/>
        </w:rPr>
        <w:t xml:space="preserve">故障设备设施和维修过程、成果</w:t>
      </w:r>
      <w:r>
        <w:rPr>
          <w:rFonts w:hint="eastAsia" w:ascii="宋体" w:hAnsi="宋体" w:eastAsia="宋体" w:cs="宋体"/>
          <w:color w:val="auto"/>
          <w:sz w:val="24"/>
          <w:szCs w:val="24"/>
          <w:highlight w:val="none"/>
        </w:rPr>
        <w:t xml:space="preserve">的照片、视频等</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，服务每满</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个月，成交供应商应提交《</w:t>
      </w:r>
      <w:r>
        <w:rPr>
          <w:rFonts w:hint="eastAsia" w:ascii="宋体" w:hAnsi="宋体" w:eastAsia="宋体" w:cs="宋体"/>
          <w:color w:val="auto"/>
          <w:sz w:val="24"/>
          <w:szCs w:val="24"/>
          <w:highlight w:val="none"/>
          <w:lang w:val="en-US" w:eastAsia="zh-CN"/>
        </w:rPr>
        <w:t xml:space="preserve">连云港石化产业基地封闭管理及运管中心设施设备检维修季</w:t>
      </w:r>
      <w:r>
        <w:rPr>
          <w:rFonts w:hint="eastAsia" w:ascii="宋体" w:hAnsi="宋体" w:eastAsia="宋体" w:cs="宋体"/>
          <w:color w:val="auto"/>
          <w:sz w:val="24"/>
          <w:szCs w:val="24"/>
          <w:highlight w:val="none"/>
        </w:rPr>
        <w:t xml:space="preserve">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给予甲方考核验收，服务期内共提交</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份</w:t>
      </w:r>
      <w:r>
        <w:rPr>
          <w:rFonts w:hint="eastAsia" w:ascii="宋体" w:hAnsi="宋体" w:eastAsia="宋体" w:cs="宋体"/>
          <w:color w:val="auto"/>
          <w:sz w:val="24"/>
          <w:szCs w:val="24"/>
          <w:highlight w:val="none"/>
          <w:lang w:val="en-US" w:eastAsia="zh-CN"/>
        </w:rPr>
        <w:t xml:space="preserve">设施维保季报</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八</w:t>
      </w:r>
      <w:r>
        <w:rPr>
          <w:rFonts w:hint="eastAsia" w:ascii="宋体" w:hAnsi="宋体" w:eastAsia="宋体" w:cs="宋体"/>
          <w:b/>
          <w:color w:val="auto"/>
          <w:sz w:val="24"/>
          <w:szCs w:val="24"/>
          <w:highlight w:val="none"/>
        </w:rPr>
        <w:t xml:space="preserve">、付款方式与履约保证金</w:t>
      </w:r>
      <w:r/>
    </w:p>
    <w:p>
      <w:pPr>
        <w:ind w:firstLine="480"/>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rPr>
      </w:pPr>
      <w:r>
        <w:rPr>
          <w:rFonts w:hint="eastAsia" w:ascii="宋体" w:hAnsi="宋体" w:eastAsia="宋体" w:cs="宋体"/>
          <w:color w:val="auto"/>
          <w:sz w:val="24"/>
          <w:szCs w:val="28"/>
          <w:highlight w:val="none"/>
        </w:rPr>
        <w:t xml:space="preserve">★</w:t>
      </w:r>
      <w:r>
        <w:rPr>
          <w:rFonts w:hint="eastAsia" w:ascii="宋体" w:hAnsi="宋体" w:eastAsia="宋体" w:cs="宋体"/>
          <w:b/>
          <w:bCs/>
          <w:i w:val="0"/>
          <w:iCs w:val="0"/>
          <w:color w:val="auto"/>
          <w:sz w:val="24"/>
          <w:szCs w:val="24"/>
          <w:highlight w:val="none"/>
          <w:u w:val="none"/>
        </w:rPr>
        <w:t xml:space="preserve">1、付款方式</w:t>
      </w:r>
      <w:r/>
    </w:p>
    <w:p>
      <w:pPr>
        <w:ind w:firstLine="482"/>
        <w:keepLines w:val="0"/>
        <w:keepNext w:val="0"/>
        <w:pageBreakBefore w:val="0"/>
        <w:spacing w:line="360" w:lineRule="auto"/>
        <w:widowControl w:val="off"/>
        <w:rPr>
          <w:rFonts w:hint="eastAsia" w:ascii="宋体" w:hAnsi="宋体" w:eastAsia="宋体" w:cs="宋体"/>
          <w:b/>
          <w:bCs/>
          <w:i w:val="0"/>
          <w:iCs w:val="0"/>
          <w:color w:val="auto"/>
          <w:sz w:val="24"/>
          <w:szCs w:val="24"/>
          <w:highlight w:val="none"/>
          <w:u w:val="none"/>
          <w:lang w:eastAsia="zh-CN"/>
        </w:rPr>
      </w:pPr>
      <w:r>
        <w:rPr>
          <w:rFonts w:hint="eastAsia" w:ascii="宋体" w:hAnsi="宋体" w:eastAsia="宋体" w:cs="宋体"/>
          <w:b/>
          <w:bCs/>
          <w:i w:val="0"/>
          <w:iCs w:val="0"/>
          <w:color w:val="auto"/>
          <w:sz w:val="24"/>
          <w:szCs w:val="24"/>
          <w:highlight w:val="none"/>
          <w:u w:val="none"/>
        </w:rPr>
        <w:t xml:space="preserve">本项目无预付款，</w:t>
      </w:r>
      <w:r>
        <w:rPr>
          <w:rFonts w:hint="eastAsia" w:ascii="Times New Roman" w:hAnsi="Times New Roman" w:eastAsia="宋体" w:cs="Times New Roman"/>
          <w:b/>
          <w:bCs/>
          <w:i w:val="0"/>
          <w:iCs w:val="0"/>
          <w:color w:val="auto"/>
          <w:sz w:val="24"/>
          <w:szCs w:val="24"/>
          <w:highlight w:val="none"/>
          <w:u w:val="none"/>
          <w:lang w:val="en-US" w:eastAsia="zh-CN"/>
        </w:rPr>
        <w:t xml:space="preserve">每半年支付一次，</w:t>
      </w:r>
      <w:r>
        <w:rPr>
          <w:rFonts w:hint="eastAsia" w:ascii="宋体" w:hAnsi="宋体" w:eastAsia="宋体" w:cs="宋体"/>
          <w:b/>
          <w:bCs/>
          <w:i w:val="0"/>
          <w:iCs w:val="0"/>
          <w:color w:val="auto"/>
          <w:sz w:val="24"/>
          <w:szCs w:val="24"/>
          <w:highlight w:val="none"/>
          <w:u w:val="none"/>
        </w:rPr>
        <w:t xml:space="preserve">按照经采购人确认的合格工程量情况支付</w:t>
      </w:r>
      <w:r>
        <w:rPr>
          <w:rFonts w:hint="eastAsia" w:ascii="宋体" w:hAnsi="宋体" w:eastAsia="宋体" w:cs="宋体"/>
          <w:b/>
          <w:bCs/>
          <w:i w:val="0"/>
          <w:iCs w:val="0"/>
          <w:color w:val="auto"/>
          <w:sz w:val="24"/>
          <w:szCs w:val="24"/>
          <w:highlight w:val="none"/>
          <w:u w:val="none"/>
          <w:lang w:val="en-US" w:eastAsia="zh-CN"/>
        </w:rPr>
        <w:t xml:space="preserve">当期</w:t>
      </w:r>
      <w:r>
        <w:rPr>
          <w:rFonts w:hint="eastAsia" w:ascii="宋体" w:hAnsi="宋体" w:eastAsia="宋体" w:cs="宋体"/>
          <w:b/>
          <w:bCs/>
          <w:i w:val="0"/>
          <w:iCs w:val="0"/>
          <w:color w:val="auto"/>
          <w:sz w:val="24"/>
          <w:szCs w:val="24"/>
          <w:highlight w:val="none"/>
          <w:u w:val="none"/>
        </w:rPr>
        <w:t xml:space="preserve">已完成工程量的100%，合同期结束支付至审计已完成工程量的100%；每次付款前需出具等额增值税发票。</w:t>
      </w:r>
      <w:r/>
    </w:p>
    <w:p>
      <w:pPr>
        <w:numPr>
          <w:ilvl w:val="0"/>
          <w:numId w:val="0"/>
        </w:num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bidi="ar-SA"/>
        </w:rPr>
        <w:t xml:space="preserve">1.1</w:t>
      </w:r>
      <w:r>
        <w:rPr>
          <w:rFonts w:hint="eastAsia" w:ascii="宋体" w:hAnsi="宋体" w:eastAsia="宋体" w:cs="宋体"/>
          <w:i w:val="0"/>
          <w:iCs w:val="0"/>
          <w:color w:val="auto"/>
          <w:sz w:val="24"/>
          <w:szCs w:val="24"/>
          <w:highlight w:val="none"/>
          <w:u w:val="none"/>
          <w:lang w:val="en-US" w:eastAsia="zh-CN"/>
        </w:rPr>
        <w:t xml:space="preserve">检维修服务费按季度考核，检维修服务费每半年根据季度考核情况支付。</w:t>
      </w: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1.2 出现下列情况之一的，有权取消合同：</w:t>
      </w: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（1）合同内2次检查考核（月度、季度）70分以下的；</w:t>
      </w: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 xml:space="preserve">（2）同一工作问题出现3次未能整改的。</w:t>
      </w:r>
      <w:r/>
    </w:p>
    <w:p>
      <w:pPr>
        <w:numPr>
          <w:ilvl w:val="1"/>
          <w:numId w:val="0"/>
        </w:numPr>
        <w:ind w:left="0" w:firstLine="48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i w:val="0"/>
          <w:iCs w:val="0"/>
          <w:color w:val="auto"/>
          <w:sz w:val="24"/>
          <w:szCs w:val="24"/>
          <w:highlight w:val="none"/>
          <w:u w:val="none"/>
          <w:lang w:val="en-US" w:eastAsia="zh-CN"/>
        </w:rPr>
        <w:t xml:space="preserve">（3）服务过程中存在情节严重造成恶劣影响的：如因工作问题发生安全事故、新闻媒体、短视频平台曝光或受到区领导批评且整改不及时、不到位的经举报投诉存在问题未及时整改的。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2、履约保证金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本项目不收取履约保证金。</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九</w:t>
      </w:r>
      <w:r>
        <w:rPr>
          <w:rFonts w:hint="eastAsia" w:ascii="宋体" w:hAnsi="宋体" w:eastAsia="宋体" w:cs="宋体"/>
          <w:b/>
          <w:color w:val="auto"/>
          <w:sz w:val="24"/>
          <w:szCs w:val="24"/>
          <w:highlight w:val="none"/>
        </w:rPr>
        <w:t xml:space="preserve">、报价要求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本项目采用全费用单价进行报价，具体费用构成如下：人工费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材料费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机械费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管理费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规费按国家规定费率计算，税金按国家规定税率计算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本项目的全费用单价为上述各项费用之和。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供应商应对所响应项目的全部内容进行报价，完成</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文件规定的服务工作所涉及到的一切相关费用。</w:t>
      </w:r>
      <w:r/>
    </w:p>
    <w:p>
      <w:pPr>
        <w:ind w:firstLine="480"/>
        <w:jc w:val="left"/>
        <w:keepLines w:val="0"/>
        <w:keepNext w:val="0"/>
        <w:pageBreakBefore w:val="0"/>
        <w:spacing w:line="360"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3、各单项报价均不得高于最高限价，报价超过此单价限价的按无效响应处理。</w:t>
      </w:r>
      <w:r/>
    </w:p>
    <w:p>
      <w:pPr>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十</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eastAsia="zh-CN"/>
        </w:rPr>
        <w:t xml:space="preserve">维修清单（详见附件）</w:t>
      </w:r>
      <w:r/>
    </w:p>
    <w:p>
      <w:pPr>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十一</w:t>
      </w:r>
      <w:r>
        <w:rPr>
          <w:rFonts w:hint="eastAsia" w:ascii="宋体" w:hAnsi="宋体" w:eastAsia="宋体" w:cs="宋体"/>
          <w:b/>
          <w:color w:val="auto"/>
          <w:sz w:val="24"/>
          <w:szCs w:val="24"/>
          <w:highlight w:val="none"/>
        </w:rPr>
        <w:t xml:space="preserve">、其他</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本项目报价不得超过预算价（最高限价）。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特别提醒供应商：应根据国家收费标准并结合市场实际进行报价，</w:t>
      </w:r>
      <w:r>
        <w:rPr>
          <w:rFonts w:hint="eastAsia" w:ascii="宋体" w:hAnsi="宋体" w:eastAsia="宋体" w:cs="宋体"/>
          <w:color w:val="auto"/>
          <w:sz w:val="24"/>
          <w:szCs w:val="24"/>
          <w:highlight w:val="none"/>
          <w:lang w:val="en-US" w:eastAsia="zh-CN"/>
        </w:rPr>
        <w:t xml:space="preserve">单价合同，按实结算</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工作中涉及的敏感资料、电子数据等相关信息，成交供应商应严格执行保密的相关规定，不得以任何方式向任何第三人披露、泄露或许可第三人使用，否则追究其相应法律责任。</w:t>
      </w:r>
      <w:r/>
    </w:p>
    <w:p>
      <w:pPr>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p>
    <w:p>
      <w:pPr>
        <w:pStyle w:val="719"/>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第五章  评标方法与评标标准</w:t>
      </w:r>
      <w:bookmarkEnd w:id="5"/>
      <w:r/>
      <w:r/>
    </w:p>
    <w:p>
      <w:pPr>
        <w:ind w:firstLine="482"/>
        <w:jc w:val="left"/>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一、评标方法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2"/>
        <w:jc w:val="left"/>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二、评标标准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（3）总得分=价格分+商务分+技术分。</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500" w:lineRule="exact"/>
        <w:rPr>
          <w:rFonts w:hint="eastAsia" w:ascii="宋体" w:hAnsi="宋体" w:eastAsia="宋体" w:cs="宋体"/>
          <w:color w:val="auto"/>
          <w:sz w:val="32"/>
          <w:szCs w:val="24"/>
          <w:highlight w:val="none"/>
        </w:rPr>
      </w:pPr>
      <w:r>
        <w:rPr>
          <w:rFonts w:hint="eastAsia" w:ascii="宋体" w:hAnsi="宋体" w:eastAsia="宋体" w:cs="宋体"/>
          <w:color w:val="auto"/>
          <w:sz w:val="32"/>
          <w:szCs w:val="24"/>
          <w:highlight w:val="none"/>
        </w:rPr>
        <w:t xml:space="preserve">综合评分法</w:t>
      </w:r>
      <w:r/>
    </w:p>
    <w:p>
      <w:pPr>
        <w:ind w:firstLine="480"/>
        <w:jc w:val="left"/>
        <w:keepLines w:val="0"/>
        <w:keepNext w:val="0"/>
        <w:pageBreakBefore w:val="0"/>
        <w:spacing w:line="360" w:lineRule="auto"/>
        <w:rPr>
          <w:rFonts w:hint="eastAsia" w:ascii="宋体" w:hAnsi="宋体" w:eastAsia="宋体" w:cs="宋体"/>
          <w:b/>
          <w:bCs/>
          <w:color w:val="auto"/>
          <w:sz w:val="24"/>
          <w:szCs w:val="24"/>
          <w:highlight w:val="none"/>
          <w:lang w:eastAsia="zh-CN"/>
        </w:rPr>
      </w:pPr>
      <w:r/>
      <w:bookmarkStart w:id="6" w:name="_Toc162361615"/>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eastAsia="zh-CN"/>
        </w:rPr>
        <w:t xml:space="preserve">价格分：</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lang w:eastAsia="zh-CN"/>
        </w:rPr>
        <w:t xml:space="preserve">分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价格分统一采用低价优先法计算，即满足磋商文件要求且最后报价最低的供应商的价格为磋商基准价，其价格分为满分。其他供应商的价格分统一按照下列公式计算： </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磋商报价得分=（磋商基准价/最后磋商报价）×</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分。</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项目评审过程中，不得去掉最后报价中的最高报价和最低报价。</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落实政府采购政策进行价格调整的，以调整后的价格计算磋商基准价和最后磋商报价，小数点后保留两位。</w:t>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2、商务</w:t>
      </w:r>
      <w:r>
        <w:rPr>
          <w:rFonts w:hint="eastAsia" w:ascii="宋体" w:hAnsi="宋体" w:eastAsia="宋体" w:cs="宋体"/>
          <w:b/>
          <w:bCs/>
          <w:color w:val="auto"/>
          <w:sz w:val="24"/>
          <w:szCs w:val="24"/>
          <w:highlight w:val="none"/>
          <w:lang w:eastAsia="zh-CN"/>
        </w:rPr>
        <w:t xml:space="preserve">分：</w:t>
      </w:r>
      <w:r>
        <w:rPr>
          <w:rFonts w:hint="eastAsia" w:ascii="宋体" w:hAnsi="宋体" w:eastAsia="宋体" w:cs="宋体"/>
          <w:b/>
          <w:bCs/>
          <w:color w:val="auto"/>
          <w:sz w:val="24"/>
          <w:szCs w:val="24"/>
          <w:highlight w:val="none"/>
          <w:lang w:val="en-US" w:eastAsia="zh-CN"/>
        </w:rPr>
        <w:t xml:space="preserve">45</w:t>
      </w:r>
      <w:r>
        <w:rPr>
          <w:rFonts w:hint="eastAsia" w:ascii="宋体" w:hAnsi="宋体" w:eastAsia="宋体" w:cs="宋体"/>
          <w:b/>
          <w:bCs/>
          <w:color w:val="auto"/>
          <w:sz w:val="24"/>
          <w:szCs w:val="24"/>
          <w:highlight w:val="none"/>
          <w:lang w:eastAsia="zh-CN"/>
        </w:rPr>
        <w:t xml:space="preserve">分</w:t>
      </w:r>
      <w:r/>
    </w:p>
    <w:tbl>
      <w:tblPr>
        <w:tblStyle w:val="729"/>
        <w:tblW w:w="9375"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20"/>
        <w:gridCol w:w="7455"/>
      </w:tblGrid>
      <w:tr>
        <w:trPr>
          <w:trHeight w:val="422"/>
        </w:trPr>
        <w:tc>
          <w:tcPr>
            <w:tcW w:w="192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评审因素</w:t>
            </w:r>
            <w:r/>
          </w:p>
        </w:tc>
        <w:tc>
          <w:tcPr>
            <w:tcW w:w="7455"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评审标准</w:t>
            </w:r>
            <w:r/>
          </w:p>
        </w:tc>
      </w:tr>
      <w:tr>
        <w:trPr>
          <w:trHeight w:val="1159"/>
        </w:trPr>
        <w:tc>
          <w:tcPr>
            <w:tcW w:w="192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业绩</w:t>
            </w:r>
            <w:r/>
          </w:p>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（16分）</w:t>
            </w:r>
            <w:r/>
          </w:p>
        </w:tc>
        <w:tc>
          <w:tcPr>
            <w:tcW w:w="7455" w:type="dxa"/>
            <w:vAlign w:val="center"/>
            <w:textDirection w:val="lrTb"/>
            <w:noWrap w:val="false"/>
          </w:tcPr>
          <w:p>
            <w:pPr>
              <w:ind w:left="0" w:right="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投标人自2023年1月1日以来具有弱电系统相关运维维保或信息化系统相关运维维护类似业绩的，每有1个得4分，本项最高得16分。</w:t>
            </w:r>
            <w:r/>
          </w:p>
          <w:p>
            <w:pPr>
              <w:ind w:left="0" w:right="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注：投标人须列表并提供该业绩的合同文本扫描件，否则视为不满足。</w:t>
            </w:r>
            <w:r/>
          </w:p>
        </w:tc>
      </w:tr>
      <w:tr>
        <w:trPr>
          <w:trHeight w:val="5030"/>
        </w:trPr>
        <w:tc>
          <w:tcPr>
            <w:tcW w:w="192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项目组人员（29分）</w:t>
            </w:r>
            <w:r/>
          </w:p>
        </w:tc>
        <w:tc>
          <w:tcPr>
            <w:tcW w:w="7455" w:type="dxa"/>
            <w:vAlign w:val="center"/>
            <w:textDirection w:val="lrTb"/>
            <w:noWrap w:val="false"/>
          </w:tcPr>
          <w:p>
            <w:pPr>
              <w:numPr>
                <w:ilvl w:val="0"/>
                <w:numId w:val="1"/>
              </w:numPr>
              <w:ind w:left="0" w:right="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拟派项目负责人具有一级建造师证书的得5分，具备二级建造师证书的得3分，本项最高得5分；</w:t>
            </w:r>
            <w:r/>
          </w:p>
          <w:p>
            <w:pPr>
              <w:numPr>
                <w:ilvl w:val="0"/>
                <w:numId w:val="1"/>
              </w:numPr>
              <w:ind w:left="0" w:right="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拟派项目负责人具有安全员B证的得3分；</w:t>
            </w:r>
            <w:r/>
          </w:p>
          <w:p>
            <w:pPr>
              <w:ind w:left="0" w:right="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3、拟派项目组成员（不含项目负责人）</w:t>
            </w:r>
            <w:r/>
          </w:p>
          <w:p>
            <w:pPr>
              <w:ind w:left="0" w:right="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3.1具有一级建造师证书的有一人得5分，具备二级建造师证书的有一人得3分，本项最高得5分；</w:t>
            </w:r>
            <w:r/>
          </w:p>
          <w:p>
            <w:pPr>
              <w:ind w:left="0" w:right="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3.2具备高级工程师及以上职称的有一人得5分，工程师及以上职称的有一人得3分，本项最高得5分；</w:t>
            </w:r>
            <w:r/>
          </w:p>
          <w:p>
            <w:pPr>
              <w:ind w:left="0" w:right="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3.3具备PMP项目管理证书或具备注册信息安全管理人员（CISO）的有一人得5分，本项最高得5分；</w:t>
            </w:r>
            <w:r/>
          </w:p>
          <w:p>
            <w:pPr>
              <w:ind w:left="0" w:right="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3.4具有安全员C证的有一人得3分，本项最高得6分。</w:t>
            </w:r>
            <w:r/>
          </w:p>
          <w:p>
            <w:pPr>
              <w:ind w:left="0" w:right="0"/>
              <w:jc w:val="both"/>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（投标文件中提供项目组人员名单、有效证书扫描件及2025年1月以来任意一个月由投标人为其缴纳的社保证明材料的扫描件，否则不得分。）</w:t>
            </w:r>
            <w:r/>
          </w:p>
        </w:tc>
      </w:tr>
    </w:tbl>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3、技术</w:t>
      </w:r>
      <w:r>
        <w:rPr>
          <w:rFonts w:hint="eastAsia" w:ascii="宋体" w:hAnsi="宋体" w:eastAsia="宋体" w:cs="宋体"/>
          <w:b/>
          <w:bCs/>
          <w:color w:val="auto"/>
          <w:sz w:val="24"/>
          <w:szCs w:val="24"/>
          <w:highlight w:val="none"/>
          <w:lang w:eastAsia="zh-CN"/>
        </w:rPr>
        <w:t xml:space="preserve">分：</w:t>
      </w:r>
      <w:r>
        <w:rPr>
          <w:rFonts w:hint="eastAsia" w:ascii="宋体" w:hAnsi="宋体" w:eastAsia="宋体" w:cs="宋体"/>
          <w:b/>
          <w:bCs/>
          <w:color w:val="auto"/>
          <w:sz w:val="24"/>
          <w:szCs w:val="24"/>
          <w:highlight w:val="none"/>
          <w:lang w:val="en-US" w:eastAsia="zh-CN"/>
        </w:rPr>
        <w:t xml:space="preserve">45</w:t>
      </w:r>
      <w:r>
        <w:rPr>
          <w:rFonts w:hint="eastAsia" w:ascii="宋体" w:hAnsi="宋体" w:eastAsia="宋体" w:cs="宋体"/>
          <w:b/>
          <w:bCs/>
          <w:color w:val="auto"/>
          <w:sz w:val="24"/>
          <w:szCs w:val="24"/>
          <w:highlight w:val="none"/>
          <w:lang w:eastAsia="zh-CN"/>
        </w:rPr>
        <w:t xml:space="preserve">分</w:t>
      </w:r>
      <w:r/>
    </w:p>
    <w:tbl>
      <w:tblPr>
        <w:tblStyle w:val="729"/>
        <w:tblW w:w="93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8"/>
        <w:gridCol w:w="7410"/>
      </w:tblGrid>
      <w:tr>
        <w:trPr>
          <w:jc w:val="center"/>
          <w:trHeight w:val="411"/>
        </w:trPr>
        <w:tc>
          <w:tcPr>
            <w:tcW w:w="1938"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评审因素</w:t>
            </w:r>
            <w:r/>
          </w:p>
        </w:tc>
        <w:tc>
          <w:tcPr>
            <w:tcW w:w="7410"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评审标准</w:t>
            </w:r>
            <w:r/>
          </w:p>
        </w:tc>
      </w:tr>
      <w:tr>
        <w:trPr>
          <w:jc w:val="center"/>
          <w:trHeight w:val="411"/>
        </w:trPr>
        <w:tc>
          <w:tcPr>
            <w:shd w:val="clear" w:color="auto" w:fill="auto"/>
            <w:tcW w:w="193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zh-CN" w:eastAsia="zh-CN"/>
              </w:rPr>
              <w:suppressLineNumbers w:val="0"/>
            </w:pPr>
            <w:r>
              <w:rPr>
                <w:rFonts w:hint="eastAsia" w:ascii="宋体" w:hAnsi="宋体" w:eastAsia="宋体" w:cs="宋体"/>
                <w:b w:val="0"/>
                <w:bCs/>
                <w:color w:val="auto"/>
                <w:sz w:val="24"/>
                <w:szCs w:val="24"/>
                <w:highlight w:val="none"/>
              </w:rPr>
              <w:t xml:space="preserve">项目需求理解方案</w:t>
            </w:r>
            <w:r>
              <w:rPr>
                <w:rFonts w:hint="eastAsia" w:ascii="宋体" w:hAnsi="宋体" w:eastAsia="宋体" w:cs="宋体"/>
                <w:b w:val="0"/>
                <w:bCs/>
                <w:color w:val="auto"/>
                <w:sz w:val="24"/>
                <w:szCs w:val="24"/>
                <w:highlight w:val="none"/>
                <w:lang w:val="zh-CN" w:eastAsia="zh-CN"/>
              </w:rPr>
              <w:t xml:space="preserve">（</w:t>
            </w: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lang w:val="zh-CN" w:eastAsia="zh-CN"/>
              </w:rPr>
              <w:t xml:space="preserve">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r>
            <w:r/>
          </w:p>
        </w:tc>
        <w:tc>
          <w:tcPr>
            <w:shd w:val="clear" w:color="auto" w:fill="auto"/>
            <w:tcW w:w="741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供应商结合本项目化工园区建设和项目需求，对本项目的需求进行分析和理解，对系统的</w:t>
            </w:r>
            <w:r>
              <w:rPr>
                <w:rFonts w:hint="eastAsia" w:ascii="宋体" w:hAnsi="宋体" w:eastAsia="宋体" w:cs="宋体"/>
                <w:b w:val="0"/>
                <w:bCs/>
                <w:color w:val="auto"/>
                <w:sz w:val="24"/>
                <w:szCs w:val="24"/>
                <w:highlight w:val="none"/>
                <w:lang w:val="en-US" w:eastAsia="zh-CN"/>
              </w:rPr>
              <w:t xml:space="preserve">运行维护、功能升级优化</w:t>
            </w:r>
            <w:r>
              <w:rPr>
                <w:rFonts w:hint="eastAsia" w:ascii="宋体" w:hAnsi="宋体" w:eastAsia="宋体" w:cs="宋体"/>
                <w:b w:val="0"/>
                <w:bCs/>
                <w:color w:val="auto"/>
                <w:sz w:val="24"/>
                <w:szCs w:val="24"/>
                <w:highlight w:val="none"/>
              </w:rPr>
              <w:t xml:space="preserve">进行深入的分析研究：</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对项目需求、化工园区</w:t>
            </w:r>
            <w:r>
              <w:rPr>
                <w:rFonts w:hint="eastAsia" w:ascii="宋体" w:hAnsi="宋体" w:eastAsia="宋体" w:cs="宋体"/>
                <w:b w:val="0"/>
                <w:bCs/>
                <w:color w:val="auto"/>
                <w:sz w:val="24"/>
                <w:szCs w:val="24"/>
                <w:highlight w:val="none"/>
                <w:lang w:val="en-US" w:eastAsia="zh-CN"/>
              </w:rPr>
              <w:t xml:space="preserve">系统</w:t>
            </w:r>
            <w:r>
              <w:rPr>
                <w:rFonts w:hint="eastAsia" w:ascii="宋体" w:hAnsi="宋体" w:eastAsia="宋体" w:cs="宋体"/>
                <w:b w:val="0"/>
                <w:bCs/>
                <w:color w:val="auto"/>
                <w:sz w:val="24"/>
                <w:szCs w:val="24"/>
                <w:highlight w:val="none"/>
              </w:rPr>
              <w:t xml:space="preserve">建设有深刻的理解，对系统的</w:t>
            </w:r>
            <w:r>
              <w:rPr>
                <w:rFonts w:hint="eastAsia" w:ascii="宋体" w:hAnsi="宋体" w:eastAsia="宋体" w:cs="宋体"/>
                <w:b w:val="0"/>
                <w:bCs/>
                <w:color w:val="auto"/>
                <w:sz w:val="24"/>
                <w:szCs w:val="24"/>
                <w:highlight w:val="none"/>
                <w:lang w:val="en-US" w:eastAsia="zh-CN"/>
              </w:rPr>
              <w:t xml:space="preserve">运行维护、功能升级优化</w:t>
            </w:r>
            <w:r>
              <w:rPr>
                <w:rFonts w:hint="eastAsia" w:ascii="宋体" w:hAnsi="宋体" w:eastAsia="宋体" w:cs="宋体"/>
                <w:b w:val="0"/>
                <w:bCs/>
                <w:color w:val="auto"/>
                <w:sz w:val="24"/>
                <w:szCs w:val="24"/>
                <w:highlight w:val="none"/>
              </w:rPr>
              <w:t xml:space="preserve">等情况有深入的分析研究、科学合理、能够贴合采购需求的</w:t>
            </w:r>
            <w:r>
              <w:rPr>
                <w:rFonts w:hint="eastAsia" w:ascii="宋体" w:hAnsi="宋体" w:eastAsia="宋体" w:cs="宋体"/>
                <w:b/>
                <w:bCs w:val="0"/>
                <w:color w:val="auto"/>
                <w:sz w:val="24"/>
                <w:szCs w:val="24"/>
                <w:highlight w:val="none"/>
              </w:rPr>
              <w:t xml:space="preserve">得</w:t>
            </w:r>
            <w:r>
              <w:rPr>
                <w:rFonts w:hint="eastAsia" w:ascii="宋体" w:hAnsi="宋体" w:eastAsia="宋体" w:cs="宋体"/>
                <w:b/>
                <w:bCs w:val="0"/>
                <w:color w:val="auto"/>
                <w:sz w:val="24"/>
                <w:szCs w:val="24"/>
                <w:highlight w:val="none"/>
                <w:lang w:val="en-US" w:eastAsia="zh-CN"/>
              </w:rPr>
              <w:t xml:space="preserve">8</w:t>
            </w:r>
            <w:r>
              <w:rPr>
                <w:rFonts w:hint="eastAsia" w:ascii="宋体" w:hAnsi="宋体" w:eastAsia="宋体" w:cs="宋体"/>
                <w:b/>
                <w:bCs w:val="0"/>
                <w:color w:val="auto"/>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val="0"/>
                <w:bCs/>
                <w:color w:val="auto"/>
                <w:sz w:val="24"/>
                <w:szCs w:val="24"/>
                <w:highlight w:val="none"/>
              </w:rPr>
              <w:t xml:space="preserve">对项目需求、化工园区建设有较深刻的理解，对系统的技</w:t>
            </w:r>
            <w:r>
              <w:rPr>
                <w:rFonts w:hint="eastAsia" w:ascii="宋体" w:hAnsi="宋体" w:eastAsia="宋体" w:cs="宋体"/>
                <w:b w:val="0"/>
                <w:bCs/>
                <w:color w:val="auto"/>
                <w:sz w:val="24"/>
                <w:szCs w:val="24"/>
                <w:highlight w:val="none"/>
                <w:lang w:val="en-US" w:eastAsia="zh-CN"/>
              </w:rPr>
              <w:t xml:space="preserve">运行维护、功能升级优化</w:t>
            </w:r>
            <w:r>
              <w:rPr>
                <w:rFonts w:hint="eastAsia" w:ascii="宋体" w:hAnsi="宋体" w:eastAsia="宋体" w:cs="宋体"/>
                <w:b w:val="0"/>
                <w:bCs/>
                <w:color w:val="auto"/>
                <w:sz w:val="24"/>
                <w:szCs w:val="24"/>
                <w:highlight w:val="none"/>
              </w:rPr>
              <w:t xml:space="preserve">等情况有较深入的分析研究，较能贴合采购需求的</w:t>
            </w:r>
            <w:r>
              <w:rPr>
                <w:rFonts w:hint="eastAsia" w:ascii="宋体" w:hAnsi="宋体" w:eastAsia="宋体" w:cs="宋体"/>
                <w:b/>
                <w:bCs w:val="0"/>
                <w:color w:val="auto"/>
                <w:sz w:val="24"/>
                <w:szCs w:val="24"/>
                <w:highlight w:val="none"/>
              </w:rPr>
              <w:t xml:space="preserve">得</w:t>
            </w:r>
            <w:r>
              <w:rPr>
                <w:rFonts w:hint="eastAsia" w:ascii="宋体" w:hAnsi="宋体" w:eastAsia="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需求理解简单粗糙，与采购需求理解存在偏差的</w:t>
            </w:r>
            <w:r>
              <w:rPr>
                <w:rFonts w:hint="eastAsia" w:ascii="宋体" w:hAnsi="宋体" w:eastAsia="宋体" w:cs="宋体"/>
                <w:b/>
                <w:bCs w:val="0"/>
                <w:color w:val="auto"/>
                <w:sz w:val="24"/>
                <w:szCs w:val="24"/>
                <w:highlight w:val="none"/>
              </w:rPr>
              <w:t xml:space="preserve">得</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bCs w:val="0"/>
                <w:color w:val="auto"/>
                <w:sz w:val="24"/>
                <w:szCs w:val="24"/>
                <w:highlight w:val="none"/>
              </w:rPr>
              <w:t xml:space="preserve">该项未见阐述不得分。</w:t>
            </w:r>
            <w:r/>
          </w:p>
        </w:tc>
      </w:tr>
      <w:tr>
        <w:trPr>
          <w:jc w:val="center"/>
          <w:trHeight w:val="370"/>
        </w:trPr>
        <w:tc>
          <w:tcPr>
            <w:shd w:val="clear" w:color="auto" w:fill="auto"/>
            <w:tcW w:w="1938" w:type="dxa"/>
            <w:vAlign w:val="center"/>
            <w:textDirection w:val="lrTb"/>
            <w:noWrap w:val="false"/>
          </w:tcPr>
          <w:p>
            <w:pPr>
              <w:ind w:left="0" w:right="0"/>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重难点分析</w:t>
            </w:r>
            <w:r>
              <w:rPr>
                <w:rFonts w:hint="eastAsia" w:ascii="宋体" w:hAnsi="宋体" w:eastAsia="宋体" w:cs="宋体"/>
                <w:b w:val="0"/>
                <w:bCs/>
                <w:color w:val="auto"/>
                <w:sz w:val="24"/>
                <w:szCs w:val="24"/>
                <w:highlight w:val="none"/>
                <w:lang w:val="en-US" w:eastAsia="zh-CN"/>
              </w:rPr>
              <w:t xml:space="preserve">（8分）</w:t>
            </w:r>
            <w:r/>
          </w:p>
        </w:tc>
        <w:tc>
          <w:tcPr>
            <w:shd w:val="clear" w:color="auto" w:fill="auto"/>
            <w:tcW w:w="7410" w:type="dxa"/>
            <w:vAlign w:val="center"/>
            <w:textDirection w:val="lrTb"/>
            <w:noWrap w:val="false"/>
          </w:tcPr>
          <w:p>
            <w:pPr>
              <w:ind w:left="0" w:right="0"/>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根据投标人提供的重难点分析</w:t>
            </w:r>
            <w:r>
              <w:rPr>
                <w:rFonts w:hint="eastAsia" w:ascii="宋体" w:hAnsi="宋体" w:eastAsia="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rPr>
              <w:t xml:space="preserve">，包括但不限于系统运行关键节点、系统运维侧重点以及难点解决途径等内容。</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内容合理详细，理解全面，准确深入，可实施性强的</w:t>
            </w:r>
            <w:r>
              <w:rPr>
                <w:rFonts w:hint="eastAsia" w:ascii="宋体" w:hAnsi="宋体" w:eastAsia="宋体" w:cs="宋体"/>
                <w:b/>
                <w:bCs/>
                <w:color w:val="auto"/>
                <w:sz w:val="24"/>
                <w:szCs w:val="24"/>
                <w:highlight w:val="none"/>
              </w:rPr>
              <w:t xml:space="preserve">得</w:t>
            </w:r>
            <w:r>
              <w:rPr>
                <w:rFonts w:hint="eastAsia" w:ascii="宋体" w:hAnsi="宋体" w:eastAsia="宋体" w:cs="宋体"/>
                <w:b/>
                <w:bCs/>
                <w:color w:val="auto"/>
                <w:sz w:val="24"/>
                <w:szCs w:val="24"/>
                <w:highlight w:val="none"/>
                <w:lang w:val="en-US" w:eastAsia="zh-CN"/>
              </w:rPr>
              <w:t xml:space="preserve">8</w:t>
            </w:r>
            <w:r>
              <w:rPr>
                <w:rFonts w:hint="eastAsia" w:ascii="宋体" w:hAnsi="宋体" w:eastAsia="宋体" w:cs="宋体"/>
                <w:b/>
                <w:bCs/>
                <w:color w:val="auto"/>
                <w:sz w:val="24"/>
                <w:szCs w:val="24"/>
                <w:highlight w:val="none"/>
              </w:rPr>
              <w:t xml:space="preserve">分</w:t>
            </w:r>
            <w:r>
              <w:rPr>
                <w:rFonts w:hint="eastAsia" w:ascii="宋体" w:hAnsi="宋体" w:eastAsia="宋体" w:cs="宋体"/>
                <w:color w:val="auto"/>
                <w:sz w:val="24"/>
                <w:szCs w:val="24"/>
                <w:highlight w:val="none"/>
              </w:rPr>
              <w:t xml:space="preserve">；</w:t>
            </w:r>
            <w:r/>
          </w:p>
          <w:p>
            <w:pPr>
              <w:ind w:left="0" w:right="0"/>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内容较合理详细，理解较全面，较深入，可实施性较强的</w:t>
            </w:r>
            <w:r>
              <w:rPr>
                <w:rFonts w:hint="eastAsia" w:ascii="宋体" w:hAnsi="宋体" w:eastAsia="宋体" w:cs="宋体"/>
                <w:b/>
                <w:bCs/>
                <w:color w:val="auto"/>
                <w:sz w:val="24"/>
                <w:szCs w:val="24"/>
                <w:highlight w:val="none"/>
              </w:rPr>
              <w:t xml:space="preserve">得</w:t>
            </w: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分；</w:t>
            </w:r>
            <w:r/>
          </w:p>
          <w:p>
            <w:pPr>
              <w:ind w:left="0" w:right="0"/>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内容科学合理性一般，理解不全面、分析简单的</w:t>
            </w:r>
            <w:r>
              <w:rPr>
                <w:rFonts w:hint="eastAsia" w:ascii="宋体" w:hAnsi="宋体" w:eastAsia="宋体" w:cs="宋体"/>
                <w:b/>
                <w:bCs/>
                <w:color w:val="auto"/>
                <w:sz w:val="24"/>
                <w:szCs w:val="24"/>
                <w:highlight w:val="none"/>
              </w:rPr>
              <w:t xml:space="preserve">得</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rPr>
              <w:t xml:space="preserve">该项未见阐述不得分。</w:t>
            </w:r>
            <w:r/>
          </w:p>
        </w:tc>
      </w:tr>
      <w:tr>
        <w:trPr>
          <w:jc w:val="center"/>
          <w:trHeight w:val="2455"/>
        </w:trPr>
        <w:tc>
          <w:tcPr>
            <w:shd w:val="clear" w:color="auto" w:fill="auto"/>
            <w:tcW w:w="1938"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
              </w:rPr>
              <w:t xml:space="preserve">人员配置</w:t>
            </w:r>
            <w:r>
              <w:rPr>
                <w:rFonts w:hint="eastAsia" w:ascii="宋体" w:hAnsi="宋体" w:eastAsia="宋体" w:cs="宋体"/>
                <w:color w:val="auto"/>
                <w:sz w:val="24"/>
                <w:szCs w:val="24"/>
                <w:highlight w:val="none"/>
                <w:lang w:bidi="ar"/>
              </w:rPr>
              <w:t xml:space="preserve">方案</w:t>
            </w:r>
            <w:r>
              <w:rPr>
                <w:rFonts w:hint="eastAsia" w:ascii="宋体" w:hAnsi="宋体" w:eastAsia="宋体" w:cs="宋体"/>
                <w:b w:val="0"/>
                <w:bCs/>
                <w:color w:val="auto"/>
                <w:sz w:val="24"/>
                <w:szCs w:val="24"/>
                <w:highlight w:val="none"/>
                <w:lang w:val="en-US" w:eastAsia="zh-CN"/>
              </w:rPr>
              <w:t xml:space="preserve">（8分）</w:t>
            </w:r>
            <w:r/>
          </w:p>
        </w:tc>
        <w:tc>
          <w:tcPr>
            <w:shd w:val="clear" w:color="auto" w:fill="auto"/>
            <w:tcW w:w="741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供应商提供相关的人员配置，各专业人员能力及证书配备，人员稳定性保证等方面。</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方案整体内容阐述完整并完全满足采购需求，可操作性强的</w:t>
            </w:r>
            <w:r>
              <w:rPr>
                <w:rFonts w:hint="eastAsia" w:ascii="宋体" w:hAnsi="宋体" w:eastAsia="宋体" w:cs="宋体"/>
                <w:b/>
                <w:bCs w:val="0"/>
                <w:color w:val="auto"/>
                <w:sz w:val="24"/>
                <w:szCs w:val="24"/>
                <w:highlight w:val="none"/>
                <w:lang w:val="en-US" w:eastAsia="zh-CN"/>
              </w:rPr>
              <w:t xml:space="preserve">得8分；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方案基本完整，合理且有一定的可行性，基本满足项目建设需求的</w:t>
            </w:r>
            <w:r>
              <w:rPr>
                <w:rFonts w:hint="eastAsia" w:ascii="宋体" w:hAnsi="宋体" w:eastAsia="宋体" w:cs="宋体"/>
                <w:b/>
                <w:bCs w:val="0"/>
                <w:color w:val="auto"/>
                <w:sz w:val="24"/>
                <w:szCs w:val="24"/>
                <w:highlight w:val="none"/>
                <w:lang w:val="en-US" w:eastAsia="zh-CN"/>
              </w:rPr>
              <w:t xml:space="preserve">得6分；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方案内容不完整仅能达到最基本的要求的</w:t>
            </w:r>
            <w:r>
              <w:rPr>
                <w:rFonts w:hint="eastAsia" w:ascii="宋体" w:hAnsi="宋体" w:eastAsia="宋体" w:cs="宋体"/>
                <w:b/>
                <w:bCs w:val="0"/>
                <w:color w:val="auto"/>
                <w:sz w:val="24"/>
                <w:szCs w:val="24"/>
                <w:highlight w:val="none"/>
                <w:lang w:val="en-US" w:eastAsia="zh-CN"/>
              </w:rPr>
              <w:t xml:space="preserve">得4分；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bCs w:val="0"/>
                <w:color w:val="auto"/>
                <w:sz w:val="24"/>
                <w:szCs w:val="24"/>
                <w:highlight w:val="none"/>
                <w:lang w:val="en-US" w:eastAsia="zh-CN"/>
              </w:rPr>
              <w:t xml:space="preserve">该项未见阐述不得分。</w:t>
            </w:r>
            <w:r/>
          </w:p>
        </w:tc>
      </w:tr>
      <w:tr>
        <w:trPr>
          <w:jc w:val="center"/>
          <w:trHeight w:val="1875"/>
        </w:trPr>
        <w:tc>
          <w:tcPr>
            <w:shd w:val="clear" w:color="auto" w:fill="auto"/>
            <w:tcW w:w="193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运维方案（8分）</w:t>
            </w:r>
            <w:r/>
          </w:p>
        </w:tc>
        <w:tc>
          <w:tcPr>
            <w:shd w:val="clear" w:color="auto" w:fill="auto"/>
            <w:tcW w:w="741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供应商有相关的售后服务体系，针对本项目制定详细运维方案包括：运维计划、故障响应速度、运维服务能力等。</w:t>
            </w:r>
            <w:r/>
          </w:p>
          <w:p>
            <w:pPr>
              <w:ind w:left="0" w:right="0"/>
              <w:keepLines w:val="0"/>
              <w:keepNext w:val="0"/>
              <w:spacing w:before="0" w:beforeAutospacing="0" w:after="0" w:afterAutospacing="0" w:line="360" w:lineRule="auto"/>
              <w:rPr>
                <w:rFonts w:hint="eastAsia" w:ascii="宋体" w:hAnsi="宋体" w:eastAsia="宋体" w:cs="宋体"/>
                <w:b/>
                <w:bCs w:val="0"/>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方案精准、无漏洞，信息化程度高，内容完整详实的</w:t>
            </w:r>
            <w:r>
              <w:rPr>
                <w:rFonts w:hint="eastAsia" w:ascii="宋体" w:hAnsi="宋体" w:eastAsia="宋体" w:cs="宋体"/>
                <w:b/>
                <w:bCs w:val="0"/>
                <w:color w:val="auto"/>
                <w:sz w:val="24"/>
                <w:szCs w:val="24"/>
                <w:highlight w:val="none"/>
                <w:lang w:val="en-US" w:eastAsia="zh-CN"/>
              </w:rPr>
              <w:t xml:space="preserve">得8分；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系统方案比较精准，方案信息化程度一般的</w:t>
            </w:r>
            <w:r>
              <w:rPr>
                <w:rFonts w:hint="eastAsia" w:ascii="宋体" w:hAnsi="宋体" w:eastAsia="宋体" w:cs="宋体"/>
                <w:b/>
                <w:bCs w:val="0"/>
                <w:color w:val="auto"/>
                <w:sz w:val="24"/>
                <w:szCs w:val="24"/>
                <w:highlight w:val="none"/>
                <w:lang w:val="en-US" w:eastAsia="zh-CN"/>
              </w:rPr>
              <w:t xml:space="preserve">得6分；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方案不够具体明确、针对性不强的</w:t>
            </w:r>
            <w:r>
              <w:rPr>
                <w:rFonts w:hint="eastAsia" w:ascii="宋体" w:hAnsi="宋体" w:eastAsia="宋体" w:cs="宋体"/>
                <w:b/>
                <w:bCs w:val="0"/>
                <w:color w:val="auto"/>
                <w:sz w:val="24"/>
                <w:szCs w:val="24"/>
                <w:highlight w:val="none"/>
                <w:lang w:val="en-US" w:eastAsia="zh-CN"/>
              </w:rPr>
              <w:t xml:space="preserve">得4分；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bCs w:val="0"/>
                <w:color w:val="auto"/>
                <w:sz w:val="24"/>
                <w:szCs w:val="24"/>
                <w:highlight w:val="none"/>
              </w:rPr>
              <w:t xml:space="preserve">该项未见阐述不得分。</w:t>
            </w:r>
            <w:r/>
          </w:p>
        </w:tc>
      </w:tr>
      <w:tr>
        <w:trPr>
          <w:jc w:val="center"/>
          <w:trHeight w:val="1875"/>
        </w:trPr>
        <w:tc>
          <w:tcPr>
            <w:shd w:val="clear" w:color="auto" w:fill="auto"/>
            <w:tcW w:w="193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项目实施方案</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（7分）</w:t>
            </w:r>
            <w:r/>
          </w:p>
        </w:tc>
        <w:tc>
          <w:tcPr>
            <w:shd w:val="clear" w:color="auto" w:fill="auto"/>
            <w:tcW w:w="741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供应商提供项目实施方案，方案内容至少包括项目实施流程、组织架构、项目管理措施、项目进度计划等。</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方案有详细的项目实施方案，方案科学合理，可行性高，项目进度安排科学紧密，内部管理制度及风险控制措施完善的</w:t>
            </w:r>
            <w:r>
              <w:rPr>
                <w:rFonts w:hint="eastAsia" w:ascii="宋体" w:hAnsi="宋体" w:eastAsia="宋体" w:cs="宋体"/>
                <w:b/>
                <w:bCs w:val="0"/>
                <w:color w:val="auto"/>
                <w:sz w:val="24"/>
                <w:szCs w:val="24"/>
                <w:highlight w:val="none"/>
              </w:rPr>
              <w:t xml:space="preserve">得</w:t>
            </w:r>
            <w:r>
              <w:rPr>
                <w:rFonts w:hint="eastAsia" w:ascii="宋体" w:hAnsi="宋体" w:eastAsia="宋体" w:cs="宋体"/>
                <w:b/>
                <w:bCs w:val="0"/>
                <w:color w:val="auto"/>
                <w:sz w:val="24"/>
                <w:szCs w:val="24"/>
                <w:highlight w:val="none"/>
                <w:lang w:val="en-US" w:eastAsia="zh-CN"/>
              </w:rPr>
              <w:t xml:space="preserve">7</w:t>
            </w:r>
            <w:r>
              <w:rPr>
                <w:rFonts w:hint="eastAsia" w:ascii="宋体" w:hAnsi="宋体" w:eastAsia="宋体" w:cs="宋体"/>
                <w:b/>
                <w:bCs w:val="0"/>
                <w:color w:val="auto"/>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方案有较详细的项目实施方案，方案较科学合理，可行性较高，项目进度安排较科学，有保障措施的</w:t>
            </w:r>
            <w:r>
              <w:rPr>
                <w:rFonts w:hint="eastAsia" w:ascii="宋体" w:hAnsi="宋体" w:eastAsia="宋体" w:cs="宋体"/>
                <w:b/>
                <w:bCs w:val="0"/>
                <w:color w:val="auto"/>
                <w:sz w:val="24"/>
                <w:szCs w:val="24"/>
                <w:highlight w:val="none"/>
              </w:rPr>
              <w:t xml:space="preserve">得</w:t>
            </w:r>
            <w:r>
              <w:rPr>
                <w:rFonts w:hint="eastAsia" w:ascii="宋体" w:hAnsi="宋体" w:eastAsia="宋体" w:cs="宋体"/>
                <w:b/>
                <w:bCs w:val="0"/>
                <w:color w:val="auto"/>
                <w:sz w:val="24"/>
                <w:szCs w:val="24"/>
                <w:highlight w:val="none"/>
                <w:lang w:val="en-US" w:eastAsia="zh-CN"/>
              </w:rPr>
              <w:t xml:space="preserve">5</w:t>
            </w:r>
            <w:r>
              <w:rPr>
                <w:rFonts w:hint="eastAsia" w:ascii="宋体" w:hAnsi="宋体" w:eastAsia="宋体" w:cs="宋体"/>
                <w:b/>
                <w:bCs w:val="0"/>
                <w:color w:val="auto"/>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方案内容一般，简单粗糙，技术保障措施不完善，可行性一般的</w:t>
            </w:r>
            <w:r>
              <w:rPr>
                <w:rFonts w:hint="eastAsia" w:ascii="宋体" w:hAnsi="宋体" w:eastAsia="宋体" w:cs="宋体"/>
                <w:b/>
                <w:bCs w:val="0"/>
                <w:color w:val="auto"/>
                <w:sz w:val="24"/>
                <w:szCs w:val="24"/>
                <w:highlight w:val="none"/>
              </w:rPr>
              <w:t xml:space="preserve">得</w:t>
            </w:r>
            <w:r>
              <w:rPr>
                <w:rFonts w:hint="eastAsia" w:ascii="宋体" w:hAnsi="宋体" w:eastAsia="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bCs w:val="0"/>
                <w:color w:val="auto"/>
                <w:sz w:val="24"/>
                <w:szCs w:val="24"/>
                <w:highlight w:val="none"/>
              </w:rPr>
              <w:t xml:space="preserve">该项未见阐述不得分。</w:t>
            </w:r>
            <w:r/>
          </w:p>
        </w:tc>
      </w:tr>
      <w:tr>
        <w:trPr>
          <w:jc w:val="center"/>
          <w:trHeight w:val="600"/>
        </w:trPr>
        <w:tc>
          <w:tcPr>
            <w:shd w:val="clear" w:color="auto" w:fill="auto"/>
            <w:tcW w:w="1938"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培训方案</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（6分）</w:t>
            </w:r>
            <w:r/>
          </w:p>
        </w:tc>
        <w:tc>
          <w:tcPr>
            <w:shd w:val="clear" w:color="auto" w:fill="auto"/>
            <w:tcW w:w="741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根据供应商提供培训方案进行评分，内容包括但不限于培训计划、培训内容、培训对象等。</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内容丰富，科学合理，培训形式多样，具有可操作性的</w:t>
            </w:r>
            <w:r>
              <w:rPr>
                <w:rFonts w:hint="eastAsia" w:ascii="宋体" w:hAnsi="宋体" w:eastAsia="宋体" w:cs="宋体"/>
                <w:b/>
                <w:bCs w:val="0"/>
                <w:color w:val="auto"/>
                <w:sz w:val="24"/>
                <w:szCs w:val="24"/>
                <w:highlight w:val="none"/>
              </w:rPr>
              <w:t xml:space="preserve">得</w:t>
            </w:r>
            <w:r>
              <w:rPr>
                <w:rFonts w:hint="eastAsia" w:ascii="宋体" w:hAnsi="宋体" w:eastAsia="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bCs w:val="0"/>
                <w:color w:val="auto"/>
                <w:sz w:val="24"/>
                <w:szCs w:val="24"/>
                <w:highlight w:val="none"/>
              </w:rPr>
              <w:suppressLineNumbers w:val="0"/>
            </w:pPr>
            <w:r>
              <w:rPr>
                <w:rFonts w:hint="eastAsia" w:ascii="宋体" w:hAnsi="宋体" w:eastAsia="宋体" w:cs="宋体"/>
                <w:b w:val="0"/>
                <w:bCs/>
                <w:color w:val="auto"/>
                <w:sz w:val="24"/>
                <w:szCs w:val="24"/>
                <w:highlight w:val="none"/>
              </w:rPr>
              <w:t xml:space="preserve">内容较丰富，较合理，培训形式较多样，可操作性较强的</w:t>
            </w:r>
            <w:r>
              <w:rPr>
                <w:rFonts w:hint="eastAsia" w:ascii="宋体" w:hAnsi="宋体" w:eastAsia="宋体" w:cs="宋体"/>
                <w:b/>
                <w:bCs w:val="0"/>
                <w:color w:val="auto"/>
                <w:sz w:val="24"/>
                <w:szCs w:val="24"/>
                <w:highlight w:val="none"/>
              </w:rPr>
              <w:t xml:space="preserve">得</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内容简单，合理性一般，形式单一，可操作性一般的</w:t>
            </w:r>
            <w:r>
              <w:rPr>
                <w:rFonts w:hint="eastAsia" w:ascii="宋体" w:hAnsi="宋体" w:eastAsia="宋体" w:cs="宋体"/>
                <w:b/>
                <w:bCs w:val="0"/>
                <w:color w:val="auto"/>
                <w:sz w:val="24"/>
                <w:szCs w:val="24"/>
                <w:highlight w:val="none"/>
              </w:rPr>
              <w:t xml:space="preserve">得</w:t>
            </w: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rPr>
              <w:t xml:space="preserve">分；</w:t>
            </w:r>
            <w:r/>
          </w:p>
          <w:p>
            <w:pPr>
              <w:ind w:left="0" w:right="0"/>
              <w:keepLines w:val="0"/>
              <w:keepNext w:val="0"/>
              <w:spacing w:before="0" w:beforeAutospacing="0" w:after="0" w:afterAutospacing="0" w:line="360" w:lineRule="auto"/>
              <w:rPr>
                <w:rFonts w:hint="eastAsia" w:ascii="宋体" w:hAnsi="宋体" w:eastAsia="宋体" w:cs="宋体"/>
                <w:b w:val="0"/>
                <w:bCs/>
                <w:color w:val="auto"/>
                <w:sz w:val="24"/>
                <w:szCs w:val="24"/>
                <w:highlight w:val="none"/>
                <w:lang w:val="en-US" w:eastAsia="zh-CN"/>
              </w:rPr>
              <w:suppressLineNumbers w:val="0"/>
            </w:pPr>
            <w:r>
              <w:rPr>
                <w:rFonts w:hint="eastAsia" w:ascii="宋体" w:hAnsi="宋体" w:eastAsia="宋体" w:cs="宋体"/>
                <w:b/>
                <w:bCs w:val="0"/>
                <w:color w:val="auto"/>
                <w:sz w:val="24"/>
                <w:szCs w:val="24"/>
                <w:highlight w:val="none"/>
              </w:rPr>
              <w:t xml:space="preserve">该项未见阐述不得分。</w:t>
            </w:r>
            <w:r/>
          </w:p>
        </w:tc>
      </w:tr>
    </w:tbl>
    <w:p>
      <w:pPr>
        <w:ind w:firstLine="482"/>
        <w:rPr>
          <w:rFonts w:hint="eastAsia" w:ascii="宋体" w:hAnsi="宋体" w:eastAsia="宋体" w:cs="宋体"/>
          <w:b/>
          <w:bCs/>
          <w:i w:val="0"/>
          <w:iCs w:val="0"/>
          <w:color w:val="auto"/>
          <w:sz w:val="24"/>
          <w:highlight w:val="none"/>
        </w:rPr>
      </w:pPr>
      <w:r>
        <w:rPr>
          <w:rFonts w:hint="eastAsia" w:ascii="宋体" w:hAnsi="宋体" w:eastAsia="宋体" w:cs="宋体"/>
          <w:b/>
          <w:bCs/>
          <w:i w:val="0"/>
          <w:iCs w:val="0"/>
          <w:color w:val="auto"/>
          <w:sz w:val="24"/>
          <w:highlight w:val="none"/>
        </w:rPr>
        <w:t xml:space="preserve">五、中标标准：</w:t>
      </w:r>
      <w:r/>
    </w:p>
    <w:p>
      <w:pPr>
        <w:ind w:left="0"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sectPr>
          <w:headerReference w:type="default" r:id="rId9"/>
          <w:footerReference w:type="default" r:id="rId13"/>
          <w:footnotePr/>
          <w:endnotePr/>
          <w:type w:val="nextPage"/>
          <w:pgSz w:w="11906" w:h="16838" w:orient="portrait"/>
          <w:pgMar w:top="1134" w:right="1134" w:bottom="1134" w:left="1134" w:header="851" w:footer="992" w:gutter="0"/>
          <w:pgNumType w:start="1"/>
          <w:cols w:num="1" w:sep="0" w:space="425" w:equalWidth="1"/>
          <w:docGrid w:linePitch="360"/>
        </w:sectPr>
      </w:pPr>
      <w:r>
        <w:rPr>
          <w:rFonts w:hint="eastAsia" w:ascii="宋体" w:hAnsi="宋体" w:eastAsia="宋体" w:cs="宋体"/>
          <w:bCs/>
          <w:color w:val="auto"/>
          <w:sz w:val="24"/>
          <w:szCs w:val="24"/>
          <w:highlight w:val="none"/>
          <w:lang w:val="en-US" w:eastAsia="zh-CN"/>
        </w:rPr>
      </w:r>
      <w:r/>
    </w:p>
    <w:p>
      <w:pPr>
        <w:pStyle w:val="719"/>
        <w:jc w:val="center"/>
        <w:spacing w:line="36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t xml:space="preserve">第六章  投标文件格式</w:t>
      </w:r>
      <w:bookmarkEnd w:id="6"/>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0"/>
        <w:jc w:val="center"/>
        <w:rPr>
          <w:rFonts w:hint="eastAsia" w:ascii="宋体" w:hAnsi="宋体" w:eastAsia="宋体" w:cs="宋体"/>
          <w:b/>
          <w:i w:val="0"/>
          <w:iCs w:val="0"/>
          <w:color w:val="auto"/>
          <w:sz w:val="52"/>
          <w:szCs w:val="52"/>
          <w:highlight w:val="none"/>
        </w:rPr>
      </w:pPr>
      <w:r>
        <w:rPr>
          <w:rFonts w:hint="eastAsia" w:ascii="宋体" w:hAnsi="宋体" w:eastAsia="宋体" w:cs="宋体"/>
          <w:b/>
          <w:i w:val="0"/>
          <w:iCs w:val="0"/>
          <w:color w:val="auto"/>
          <w:sz w:val="52"/>
          <w:szCs w:val="52"/>
          <w:highlight w:val="none"/>
        </w:rPr>
        <w:t xml:space="preserve">连 云 港 市 政 府 采 购</w:t>
      </w:r>
      <w:r/>
    </w:p>
    <w:p>
      <w:pPr>
        <w:pStyle w:val="735"/>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0"/>
        <w:jc w:val="center"/>
        <w:rPr>
          <w:rFonts w:hint="eastAsia" w:ascii="宋体" w:hAnsi="宋体" w:eastAsia="宋体" w:cs="宋体"/>
          <w:b/>
          <w:i w:val="0"/>
          <w:iCs w:val="0"/>
          <w:color w:val="auto"/>
          <w:sz w:val="72"/>
          <w:szCs w:val="21"/>
          <w:highlight w:val="none"/>
        </w:rPr>
      </w:pPr>
      <w:r>
        <w:rPr>
          <w:rFonts w:hint="eastAsia" w:ascii="宋体" w:hAnsi="宋体" w:eastAsia="宋体" w:cs="宋体"/>
          <w:b/>
          <w:i w:val="0"/>
          <w:iCs w:val="0"/>
          <w:color w:val="auto"/>
          <w:sz w:val="72"/>
          <w:szCs w:val="21"/>
          <w:highlight w:val="none"/>
        </w:rPr>
        <w:t xml:space="preserve">投标文件</w:t>
      </w:r>
      <w:r/>
    </w:p>
    <w:p>
      <w:pPr>
        <w:ind w:firstLine="1084"/>
        <w:rPr>
          <w:rFonts w:hint="eastAsia" w:ascii="宋体" w:hAnsi="宋体" w:eastAsia="宋体" w:cs="宋体"/>
          <w:b/>
          <w:i w:val="0"/>
          <w:iCs w:val="0"/>
          <w:color w:val="auto"/>
          <w:sz w:val="36"/>
          <w:szCs w:val="21"/>
          <w:highlight w:val="none"/>
        </w:rPr>
      </w:pPr>
      <w:r>
        <w:rPr>
          <w:rFonts w:hint="eastAsia" w:ascii="宋体" w:hAnsi="宋体" w:eastAsia="宋体" w:cs="宋体"/>
          <w:b/>
          <w:i w:val="0"/>
          <w:iCs w:val="0"/>
          <w:color w:val="auto"/>
          <w:sz w:val="36"/>
          <w:szCs w:val="21"/>
          <w:highlight w:val="none"/>
        </w:rPr>
      </w:r>
      <w:r/>
    </w:p>
    <w:p>
      <w:pPr>
        <w:pStyle w:val="766"/>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66"/>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66"/>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66"/>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66"/>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66"/>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ind w:firstLine="1084"/>
        <w:rPr>
          <w:rFonts w:hint="eastAsia" w:ascii="宋体" w:hAnsi="宋体" w:eastAsia="宋体" w:cs="宋体"/>
          <w:b/>
          <w:i w:val="0"/>
          <w:iCs w:val="0"/>
          <w:color w:val="auto"/>
          <w:sz w:val="36"/>
          <w:szCs w:val="21"/>
          <w:highlight w:val="none"/>
        </w:rPr>
      </w:pPr>
      <w:r>
        <w:rPr>
          <w:rFonts w:hint="eastAsia" w:ascii="宋体" w:hAnsi="宋体" w:eastAsia="宋体" w:cs="宋体"/>
          <w:b/>
          <w:i w:val="0"/>
          <w:iCs w:val="0"/>
          <w:color w:val="auto"/>
          <w:sz w:val="36"/>
          <w:szCs w:val="21"/>
          <w:highlight w:val="none"/>
        </w:rPr>
      </w:r>
      <w:r/>
    </w:p>
    <w:p>
      <w:pPr>
        <w:ind w:firstLine="964"/>
        <w:rPr>
          <w:rFonts w:hint="eastAsia" w:ascii="宋体" w:hAnsi="宋体" w:eastAsia="宋体" w:cs="宋体"/>
          <w:b/>
          <w:i w:val="0"/>
          <w:iCs w:val="0"/>
          <w:color w:val="auto"/>
          <w:sz w:val="32"/>
          <w:szCs w:val="32"/>
          <w:highlight w:val="none"/>
          <w:lang w:eastAsia="zh-CN"/>
        </w:rPr>
      </w:pPr>
      <w:r>
        <w:rPr>
          <w:rFonts w:hint="eastAsia" w:ascii="宋体" w:hAnsi="宋体" w:eastAsia="宋体" w:cs="宋体"/>
          <w:b/>
          <w:i w:val="0"/>
          <w:iCs w:val="0"/>
          <w:color w:val="auto"/>
          <w:sz w:val="32"/>
          <w:szCs w:val="32"/>
          <w:highlight w:val="none"/>
        </w:rPr>
        <w:t xml:space="preserve">标 段 名 称：</w:t>
      </w:r>
      <w:r/>
    </w:p>
    <w:p>
      <w:pPr>
        <w:pStyle w:val="766"/>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ind w:firstLine="96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t xml:space="preserve">标 段 编 号：</w:t>
      </w:r>
      <w:r/>
    </w:p>
    <w:p>
      <w:pPr>
        <w:pStyle w:val="766"/>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r>
      <w:r/>
    </w:p>
    <w:p>
      <w:pPr>
        <w:pStyle w:val="766"/>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r>
      <w:r/>
    </w:p>
    <w:p>
      <w:pPr>
        <w:pStyle w:val="766"/>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r>
      <w:r/>
    </w:p>
    <w:p>
      <w:pPr>
        <w:pStyle w:val="766"/>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r>
      <w:r/>
    </w:p>
    <w:p>
      <w:pPr>
        <w:ind w:firstLine="96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t xml:space="preserve">投标人名称：</w:t>
      </w:r>
      <w:r/>
    </w:p>
    <w:p>
      <w:pPr>
        <w:pStyle w:val="766"/>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96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t xml:space="preserve">投标人地址： </w:t>
      </w:r>
      <w:r/>
    </w:p>
    <w:p>
      <w:pPr>
        <w:pStyle w:val="766"/>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96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t xml:space="preserve">法定代表人：</w:t>
      </w:r>
      <w:r/>
    </w:p>
    <w:p>
      <w:pPr>
        <w:pStyle w:val="766"/>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964"/>
        <w:rPr>
          <w:rFonts w:hint="eastAsia" w:ascii="宋体" w:hAnsi="宋体" w:eastAsia="宋体" w:cs="宋体"/>
          <w:b/>
          <w:i w:val="0"/>
          <w:iCs w:val="0"/>
          <w:color w:val="auto"/>
          <w:sz w:val="32"/>
          <w:szCs w:val="32"/>
          <w:highlight w:val="none"/>
        </w:rPr>
      </w:pPr>
      <w:r>
        <w:rPr>
          <w:rFonts w:hint="eastAsia" w:ascii="宋体" w:hAnsi="宋体" w:eastAsia="宋体" w:cs="宋体"/>
          <w:b/>
          <w:i w:val="0"/>
          <w:iCs w:val="0"/>
          <w:color w:val="auto"/>
          <w:sz w:val="32"/>
          <w:szCs w:val="32"/>
          <w:highlight w:val="none"/>
        </w:rPr>
        <w:t xml:space="preserve">日      期：</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left"/>
        <w:keepLines/>
        <w:keepNext/>
        <w:spacing w:before="360" w:after="200" w:line="360" w:lineRule="auto"/>
        <w:rPr>
          <w:rFonts w:hint="eastAsia" w:ascii="宋体" w:hAnsi="宋体" w:eastAsia="宋体" w:cs="宋体"/>
          <w:b/>
          <w:color w:val="auto"/>
          <w:sz w:val="36"/>
          <w:szCs w:val="36"/>
          <w:highlight w:val="none"/>
        </w:rPr>
        <w:outlineLvl w:val="1"/>
      </w:pPr>
      <w:r>
        <w:rPr>
          <w:rFonts w:hint="eastAsia" w:ascii="宋体" w:hAnsi="宋体" w:eastAsia="宋体" w:cs="宋体"/>
          <w:b/>
          <w:color w:val="auto"/>
          <w:sz w:val="36"/>
          <w:szCs w:val="36"/>
          <w:highlight w:val="none"/>
        </w:rPr>
        <w:t xml:space="preserve">一、法人或者其他组织的营业执照等证明文件，自然人的身份证明</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b/>
          <w:color w:val="auto"/>
          <w:sz w:val="36"/>
          <w:highlight w:val="none"/>
        </w:rPr>
        <w:t xml:space="preserve">二、上一年度的财务状况报告</w:t>
      </w:r>
      <w:r>
        <w:rPr>
          <w:rFonts w:hint="eastAsia" w:ascii="宋体" w:hAnsi="宋体" w:eastAsia="宋体" w:cs="宋体"/>
          <w:color w:val="auto"/>
          <w:sz w:val="24"/>
          <w:szCs w:val="24"/>
          <w:highlight w:val="none"/>
        </w:rPr>
        <w:t xml:space="preserve">（成立不满一年无需提供）</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根据连财购〔2023〕4号文件精神，可以提供《财务状况报告及税收、社会保障资金缴纳情况承诺函》</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三、依法缴纳税收和社会保障资金的相关材料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也可根据连财购〔2023〕4号文件精神，提供《财务状况报告及税收、社会保障资金缴纳情况承诺函》。</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承诺函：</w:t>
      </w:r>
      <w:r/>
    </w:p>
    <w:p>
      <w:pPr>
        <w:jc w:val="center"/>
        <w:spacing w:line="360" w:lineRule="auto"/>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财务状况报告及税收、社会保障资金缴纳情况承诺函</w:t>
      </w:r>
      <w:r/>
    </w:p>
    <w:p>
      <w:pPr>
        <w:jc w:val="lef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采购人名称</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（1）具有良好的商业信誉和健全的财务会计制度（财务状况报告）；</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（2）有依法缴纳税收和社会保障资金的良好记录。</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法定代表人（单位负责人）或委托代理人（签名或签章）：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四、具备履行合同所必需的设备和专业技术能力的声明及证明材料</w:t>
      </w:r>
      <w:r/>
    </w:p>
    <w:p>
      <w:pPr>
        <w:jc w:val="center"/>
        <w:spacing w:line="460" w:lineRule="exact"/>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具备履行合同所必需的设备和专业技术能力的声明及证明材料</w:t>
      </w:r>
      <w:r/>
    </w:p>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主要设备有：。（须附证明材料）</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主要专业技术能力有：。（须附证明材料）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附主要设备和主要专业技术能力的证明材料如下：</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五、参加政府采购活动前3年内在经营活动中没有重大违法记录的书面声明</w:t>
      </w:r>
      <w:r/>
    </w:p>
    <w:p>
      <w:pPr>
        <w:jc w:val="center"/>
        <w:spacing w:line="460" w:lineRule="exact"/>
        <w:rPr>
          <w:rFonts w:hint="eastAsia" w:ascii="宋体" w:hAnsi="宋体" w:eastAsia="宋体" w:cs="宋体"/>
          <w:b/>
          <w:bCs/>
          <w:color w:val="auto"/>
          <w:sz w:val="44"/>
          <w:szCs w:val="44"/>
          <w:highlight w:val="none"/>
        </w:rPr>
      </w:pPr>
      <w:r>
        <w:rPr>
          <w:rFonts w:hint="eastAsia" w:ascii="宋体" w:hAnsi="宋体" w:eastAsia="宋体" w:cs="宋体"/>
          <w:bCs/>
          <w:color w:val="auto"/>
          <w:sz w:val="36"/>
          <w:szCs w:val="28"/>
          <w:highlight w:val="none"/>
        </w:rPr>
        <w:t xml:space="preserve">声  明</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六、落实政府采购政策需满足的资格要求的证明文件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七、特定资格要求的证明文件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八、法律、行政法规规定的其他条件的证明文件</w:t>
      </w:r>
      <w:r/>
    </w:p>
    <w:p>
      <w:pPr>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（如有，请按要求提供）</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iCs/>
          <w:color w:val="auto"/>
          <w:sz w:val="36"/>
          <w:highlight w:val="none"/>
        </w:rPr>
      </w:pPr>
      <w:r>
        <w:rPr>
          <w:rFonts w:hint="eastAsia" w:ascii="宋体" w:hAnsi="宋体" w:eastAsia="宋体" w:cs="宋体"/>
          <w:b/>
          <w:iCs/>
          <w:color w:val="auto"/>
          <w:sz w:val="36"/>
          <w:highlight w:val="none"/>
        </w:rPr>
        <w:br w:type="page" w:clear="all"/>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九、授权委托书与法定代表人（单位负责人）身份证明</w:t>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授权委托书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的法定代表人（单位负责人），现委托</w:t>
      </w:r>
      <w:r>
        <w:rPr>
          <w:rFonts w:hint="eastAsia" w:ascii="宋体" w:hAnsi="宋体" w:eastAsia="宋体" w:cs="宋体"/>
          <w:color w:val="auto"/>
          <w:sz w:val="24"/>
          <w:szCs w:val="24"/>
          <w:highlight w:val="none"/>
          <w:u w:val="single"/>
        </w:rPr>
        <w:t xml:space="preserve"> （姓名）</w:t>
      </w:r>
      <w:r>
        <w:rPr>
          <w:rFonts w:hint="eastAsia" w:ascii="宋体" w:hAnsi="宋体" w:eastAsia="宋体" w:cs="宋体"/>
          <w:color w:val="auto"/>
          <w:sz w:val="24"/>
          <w:szCs w:val="24"/>
          <w:highlight w:val="none"/>
        </w:rPr>
        <w:t xml:space="preserve">为我方代理人，联系电话：。代理人根据授权，以我方名义签署、澄清确认、递交、撤回、修改</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项目（项目编号：）投标文件和处理有关事宜，其法律后果由我方承担。</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rPr>
          <w:rFonts w:hint="eastAsia" w:ascii="宋体" w:hAnsi="宋体" w:eastAsia="宋体" w:cs="宋体"/>
          <w:color w:val="auto"/>
          <w:sz w:val="24"/>
          <w:szCs w:val="24"/>
          <w:highlight w:val="none"/>
        </w:rPr>
        <w:b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法定代表人（单位负责人）（签字、签章或印鉴）：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委托代理人（签字/签章）：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2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72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3、供应商为自然人的情形，可不提供本《授权委托书》。</w:t>
      </w:r>
      <w:r/>
    </w:p>
    <w:p>
      <w:pPr>
        <w:ind w:firstLine="480"/>
        <w:jc w:val="left"/>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兹证明，姓名：性别：年龄：职务：系</w:t>
      </w:r>
      <w:r>
        <w:rPr>
          <w:rFonts w:hint="eastAsia" w:ascii="宋体" w:hAnsi="宋体" w:eastAsia="宋体" w:cs="宋体"/>
          <w:color w:val="auto"/>
          <w:sz w:val="24"/>
          <w:szCs w:val="24"/>
          <w:highlight w:val="none"/>
          <w:u w:val="single"/>
        </w:rPr>
        <w:t xml:space="preserve">（投标人名称）</w:t>
      </w:r>
      <w:r>
        <w:rPr>
          <w:rFonts w:hint="eastAsia" w:ascii="宋体" w:hAnsi="宋体" w:eastAsia="宋体" w:cs="宋体"/>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6"/>
        <w:spacing w:before="120" w:line="583"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72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c>
          <w:tcPr>
            <w:tcW w:w="4536"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p>
            <w:pPr>
              <w:ind w:left="0" w:right="0"/>
              <w:jc w:val="left"/>
              <w:keepLines w:val="0"/>
              <w:keepNext w:val="0"/>
              <w:spacing w:before="0" w:beforeAutospacing="0" w:after="0" w:afterAutospacing="0" w:line="360" w:lineRule="auto"/>
              <w:tabs>
                <w:tab w:val="left" w:pos="5580" w:leader="none"/>
              </w:tabs>
              <w:rPr>
                <w:rFonts w:hint="eastAsia" w:ascii="宋体" w:hAnsi="宋体" w:eastAsia="宋体" w:cs="宋体"/>
                <w:color w:val="auto"/>
                <w:sz w:val="24"/>
                <w:szCs w:val="20"/>
                <w:highlight w:val="none"/>
              </w:rPr>
              <w:suppressLineNumbers w:val="0"/>
            </w:pPr>
            <w:r>
              <w:rPr>
                <w:rFonts w:hint="eastAsia" w:ascii="宋体" w:hAnsi="宋体" w:eastAsia="宋体" w:cs="宋体"/>
                <w:color w:val="auto"/>
                <w:sz w:val="24"/>
                <w:szCs w:val="20"/>
                <w:highlight w:val="none"/>
              </w:rPr>
            </w:r>
            <w:r/>
          </w:p>
        </w:tc>
      </w:tr>
    </w:tbl>
    <w:p>
      <w:pPr>
        <w:ind w:right="4305"/>
        <w:spacing w:before="120" w:line="583" w:lineRule="auto"/>
        <w:tabs>
          <w:tab w:val="left" w:pos="567" w:leader="none"/>
        </w:tabs>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lang w:val="zh-CN"/>
        </w:rPr>
        <w:t xml:space="preserve">：</w:t>
      </w:r>
      <w:r/>
    </w:p>
    <w:p>
      <w:pPr>
        <w:ind w:firstLine="46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260" w:after="260" w:line="416" w:lineRule="auto"/>
        <w:rPr>
          <w:rFonts w:hint="eastAsia" w:ascii="宋体" w:hAnsi="宋体" w:eastAsia="宋体" w:cs="宋体"/>
          <w:b/>
          <w:color w:val="auto"/>
          <w:sz w:val="32"/>
          <w:szCs w:val="32"/>
          <w:highlight w:val="none"/>
        </w:rPr>
        <w:outlineLvl w:val="1"/>
      </w:pPr>
      <w:r>
        <w:rPr>
          <w:rFonts w:hint="eastAsia" w:ascii="宋体" w:hAnsi="宋体" w:eastAsia="宋体" w:cs="宋体"/>
          <w:b/>
          <w:iCs/>
          <w:color w:val="auto"/>
          <w:sz w:val="36"/>
          <w:highlight w:val="none"/>
        </w:rPr>
        <w:t xml:space="preserve">十、投标函</w:t>
      </w:r>
      <w:r/>
    </w:p>
    <w:p>
      <w:pPr>
        <w:jc w:val="cente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36"/>
          <w:szCs w:val="28"/>
          <w:highlight w:val="none"/>
        </w:rPr>
        <w:t xml:space="preserve">投标函</w:t>
      </w:r>
      <w:r/>
    </w:p>
    <w:p>
      <w:pPr>
        <w:jc w:val="left"/>
        <w:spacing w:line="500" w:lineRule="exact"/>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致：</w:t>
      </w:r>
      <w:r>
        <w:rPr>
          <w:rFonts w:hint="eastAsia" w:ascii="宋体" w:hAnsi="宋体" w:eastAsia="宋体" w:cs="宋体"/>
          <w:color w:val="auto"/>
          <w:sz w:val="24"/>
          <w:szCs w:val="21"/>
          <w:highlight w:val="none"/>
          <w:lang w:val="en-US" w:eastAsia="zh-CN"/>
        </w:rPr>
        <w:t xml:space="preserve">连云港徐圩新区应急救援指挥中心</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根据贵方的JSZC-_________________号招标文件，正式授权下述签字人___________(姓名)代表我方______________（投标人的名称），全权处理本次项目投标的有关事宜。</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1.按招标文件规定的各项要求，向买方提供所需服务（包含与服务相关的货物等）。</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2.我们完全理解贵方不一定将合同授予最低报价的投标人。</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7.与本投标有关的正式通讯地址为：</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投标人开户行：</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投标人（盖章）：</w:t>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十一、中小企业声明函（服务）</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中小企业声明函</w:t>
      </w:r>
      <w:r/>
    </w:p>
    <w:p>
      <w:pPr>
        <w:jc w:val="center"/>
        <w:spacing w:line="360" w:lineRule="auto"/>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（项目编号：，分包号：）采购活动，提供的</w:t>
      </w:r>
      <w:r>
        <w:rPr>
          <w:rFonts w:hint="eastAsia" w:ascii="宋体" w:hAnsi="宋体" w:eastAsia="宋体" w:cs="宋体"/>
          <w:color w:val="auto"/>
          <w:sz w:val="24"/>
          <w:highlight w:val="none"/>
        </w:rPr>
        <w:t xml:space="preserve">服务全部由符合政策要求的中小企业承接。</w:t>
      </w:r>
      <w:r/>
    </w:p>
    <w:p>
      <w:pPr>
        <w:ind w:firstLine="480"/>
        <w:spacing w:line="50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，从业人员人，营业收入为万元，资产总额为万元，属于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6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填报说明：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2、请供应商如实填写，所填内容将作为评审的依据，如填写不完整或不一致或填写有误，将承担一切不利后果。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3、中标人的《中小企业声明函》随中标结果公开。</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十二、残疾人福利性单位声明函</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残疾人福利性单位声明函</w:t>
      </w:r>
      <w:r/>
    </w:p>
    <w:p>
      <w:pPr>
        <w:jc w:val="center"/>
        <w:spacing w:line="360" w:lineRule="auto"/>
        <w:tabs>
          <w:tab w:val="left" w:pos="3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w:t>
      </w:r>
      <w:r>
        <w:rPr>
          <w:rFonts w:hint="eastAsia" w:ascii="宋体" w:hAnsi="宋体" w:eastAsia="宋体" w:cs="宋体"/>
          <w:color w:val="auto"/>
          <w:sz w:val="24"/>
          <w:szCs w:val="21"/>
          <w:highlight w:val="none"/>
        </w:rPr>
        <w:t xml:space="preserve">141号）的规定，本单位为符合条件的残疾人福利性单位，且本单位参加单位的项目（</w:t>
      </w:r>
      <w:r>
        <w:rPr>
          <w:rFonts w:hint="eastAsia" w:ascii="宋体" w:hAnsi="宋体" w:eastAsia="宋体" w:cs="宋体"/>
          <w:color w:val="auto"/>
          <w:sz w:val="24"/>
          <w:szCs w:val="24"/>
          <w:highlight w:val="none"/>
        </w:rPr>
        <w:t xml:space="preserve">项目编号：，分包号：</w:t>
      </w:r>
      <w:r>
        <w:rPr>
          <w:rFonts w:hint="eastAsia" w:ascii="宋体" w:hAnsi="宋体" w:eastAsia="宋体" w:cs="宋体"/>
          <w:color w:val="auto"/>
          <w:sz w:val="24"/>
          <w:szCs w:val="21"/>
          <w:highlight w:val="none"/>
        </w:rPr>
        <w:t xml:space="preserve">）采购活动由本单位提供全部服务。</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0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right="162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p>
      <w:pPr>
        <w:ind w:right="1140" w:firstLine="28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填报说明：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请供应商如实填写，</w:t>
      </w:r>
      <w:r>
        <w:rPr>
          <w:rFonts w:hint="eastAsia" w:ascii="宋体" w:hAnsi="宋体" w:eastAsia="宋体" w:cs="宋体"/>
          <w:bCs/>
          <w:color w:val="auto"/>
          <w:sz w:val="24"/>
          <w:highlight w:val="none"/>
        </w:rPr>
        <w:t xml:space="preserve">所填内容将作为评审的依据</w:t>
      </w:r>
      <w:r>
        <w:rPr>
          <w:rFonts w:hint="eastAsia" w:ascii="宋体" w:hAnsi="宋体" w:eastAsia="宋体" w:cs="宋体"/>
          <w:color w:val="auto"/>
          <w:sz w:val="24"/>
          <w:szCs w:val="24"/>
          <w:highlight w:val="none"/>
        </w:rPr>
        <w:t xml:space="preserve">，如填写不完整或不一致或填写有误，将承担一切不利后果。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2、中标人的《残疾人福利性单位声明函》随中标结果公开。</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十三、投标分项报价表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投标分项报价表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r>
      <w:r/>
    </w:p>
    <w:p>
      <w:pPr>
        <w:ind w:firstLine="36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              项目编号：             分包号：</w:t>
      </w:r>
      <w:r/>
    </w:p>
    <w:p>
      <w:pPr>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单位：元</w:t>
      </w:r>
      <w:r/>
    </w:p>
    <w:tbl>
      <w:tblPr>
        <w:tblStyle w:val="729"/>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083"/>
        <w:gridCol w:w="1461"/>
        <w:gridCol w:w="1134"/>
        <w:gridCol w:w="1134"/>
        <w:gridCol w:w="2693"/>
      </w:tblGrid>
      <w:tr>
        <w:trPr>
          <w:cantSplit/>
          <w:jc w:val="center"/>
          <w:trHeight w:val="898"/>
        </w:trPr>
        <w:tc>
          <w:tcPr>
            <w:tcW w:w="1135"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序号</w:t>
            </w:r>
            <w:r/>
          </w:p>
        </w:tc>
        <w:tc>
          <w:tcPr>
            <w:tcW w:w="2083"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产品、服务（标的）名称</w:t>
            </w:r>
            <w:r/>
          </w:p>
        </w:tc>
        <w:tc>
          <w:tcPr>
            <w:tcW w:w="1461"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分项单位</w:t>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数量</w:t>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单价</w:t>
            </w:r>
            <w:r/>
          </w:p>
        </w:tc>
        <w:tc>
          <w:tcPr>
            <w:tcW w:w="2693"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单项</w:t>
            </w:r>
            <w:r/>
          </w:p>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合计价</w:t>
            </w:r>
            <w:r/>
          </w:p>
        </w:tc>
      </w:tr>
      <w:tr>
        <w:trPr>
          <w:cantSplit/>
          <w:jc w:val="center"/>
          <w:trHeight w:val="501"/>
        </w:trPr>
        <w:tc>
          <w:tcPr>
            <w:tcW w:w="1135"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2083"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461"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2693"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cantSplit/>
          <w:jc w:val="center"/>
          <w:trHeight w:val="501"/>
        </w:trPr>
        <w:tc>
          <w:tcPr>
            <w:tcW w:w="1135"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2083"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461"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2693"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cantSplit/>
          <w:jc w:val="center"/>
          <w:trHeight w:val="501"/>
        </w:trPr>
        <w:tc>
          <w:tcPr>
            <w:tcW w:w="1135"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2083"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461"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c>
          <w:tcPr>
            <w:tcW w:w="2693"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r>
        <w:trPr>
          <w:cantSplit/>
          <w:jc w:val="center"/>
          <w:trHeight w:val="501"/>
        </w:trPr>
        <w:tc>
          <w:tcPr>
            <w:gridSpan w:val="5"/>
            <w:tcW w:w="6947"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总计（元）</w:t>
            </w:r>
            <w:r/>
          </w:p>
        </w:tc>
        <w:tc>
          <w:tcPr>
            <w:tcW w:w="2693" w:type="dxa"/>
            <w:vAlign w:val="center"/>
            <w:textDirection w:val="lrTb"/>
            <w:noWrap w:val="false"/>
          </w:tcPr>
          <w:p>
            <w:pPr>
              <w:ind w:left="0" w:right="0"/>
              <w:jc w:val="center"/>
              <w:keepLines w:val="0"/>
              <w:keepNext w:val="0"/>
              <w:spacing w:before="0" w:beforeAutospacing="0" w:after="0" w:afterAutospacing="0" w:line="56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r>
            <w:r/>
          </w:p>
        </w:tc>
      </w:tr>
    </w:tbl>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bookmarkStart w:id="7" w:name="_Hlt26955054"/>
      <w:r/>
      <w:bookmarkEnd w:id="7"/>
      <w:r>
        <w:rPr>
          <w:rFonts w:hint="eastAsia" w:ascii="宋体" w:hAnsi="宋体" w:eastAsia="宋体" w:cs="宋体"/>
          <w:b/>
          <w:iCs/>
          <w:color w:val="auto"/>
          <w:sz w:val="36"/>
          <w:highlight w:val="none"/>
        </w:rPr>
        <w:t xml:space="preserve">十四、商务要求响应及偏离表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商务要求响应及偏离表</w:t>
      </w:r>
      <w:r/>
    </w:p>
    <w:p>
      <w:pPr>
        <w:ind w:firstLine="36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29"/>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bookmarkStart w:id="8" w:name="_Hlt26671343"/>
            <w:r/>
            <w:bookmarkEnd w:id="8"/>
            <w:r/>
            <w:bookmarkStart w:id="9" w:name="_Hlt26671372"/>
            <w:r/>
            <w:bookmarkEnd w:id="9"/>
            <w:r/>
            <w:bookmarkStart w:id="10" w:name="_Hlt26609391"/>
            <w:r/>
            <w:bookmarkEnd w:id="10"/>
            <w:r/>
            <w:bookmarkStart w:id="11" w:name="_Hlt24879081"/>
            <w:r/>
            <w:bookmarkEnd w:id="11"/>
            <w:r/>
            <w:bookmarkStart w:id="12" w:name="_Hlt26580838"/>
            <w:r/>
            <w:bookmarkEnd w:id="12"/>
            <w:r/>
            <w:bookmarkStart w:id="13" w:name="_Hlt26955056"/>
            <w:r/>
            <w:bookmarkEnd w:id="13"/>
            <w:r/>
            <w:bookmarkStart w:id="14" w:name="_Hlt26955064"/>
            <w:r/>
            <w:bookmarkEnd w:id="14"/>
            <w:r/>
            <w:bookmarkStart w:id="15" w:name="_Hlt26782999"/>
            <w:r/>
            <w:bookmarkEnd w:id="15"/>
            <w:r>
              <w:rPr>
                <w:rFonts w:hint="eastAsia" w:ascii="宋体" w:hAnsi="宋体" w:eastAsia="宋体" w:cs="宋体"/>
                <w:color w:val="auto"/>
                <w:sz w:val="24"/>
                <w:szCs w:val="24"/>
                <w:highlight w:val="none"/>
              </w:rPr>
              <w:t xml:space="preserve">序号</w:t>
            </w:r>
            <w:r/>
          </w:p>
        </w:tc>
        <w:tc>
          <w:tcPr>
            <w:tcW w:w="3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招标文件要求</w:t>
            </w:r>
            <w:r/>
          </w:p>
        </w:tc>
        <w:tc>
          <w:tcPr>
            <w:tcW w:w="34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投标响应情况</w:t>
            </w:r>
            <w:r/>
          </w:p>
        </w:tc>
        <w:tc>
          <w:tcPr>
            <w:tcW w:w="18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超出、符合或偏离</w:t>
            </w:r>
            <w:r/>
          </w:p>
        </w:tc>
      </w:tr>
      <w:tr>
        <w:trPr>
          <w:cantSplit/>
          <w:trHeight w:val="640"/>
        </w:trPr>
        <w:tc>
          <w:tcPr>
            <w:tcW w:w="1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3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4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3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4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3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4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trHeight w:val="640"/>
        </w:trPr>
        <w:tc>
          <w:tcPr>
            <w:tcW w:w="12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326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40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84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bookmarkStart w:id="16" w:name="_Hlt26671374"/>
      <w:r/>
      <w:bookmarkEnd w:id="16"/>
      <w:r/>
      <w:bookmarkStart w:id="17" w:name="_格式2__法定代表人授权书"/>
      <w:r/>
      <w:bookmarkEnd w:id="17"/>
      <w:r/>
      <w:bookmarkStart w:id="18" w:name="_Hlt26955066"/>
      <w:r/>
      <w:bookmarkEnd w:id="18"/>
      <w:r/>
      <w:bookmarkStart w:id="19" w:name="_Hlt26609389"/>
      <w:r/>
      <w:bookmarkEnd w:id="19"/>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rPr>
          <w:rFonts w:hint="eastAsia" w:ascii="宋体" w:hAnsi="宋体" w:eastAsia="宋体" w:cs="宋体"/>
          <w:iCs/>
          <w:color w:val="auto"/>
          <w:sz w:val="36"/>
          <w:highlight w:val="none"/>
        </w:rPr>
        <w:sectPr>
          <w:footnotePr/>
          <w:endnotePr/>
          <w:type w:val="nextPage"/>
          <w:pgSz w:w="11906" w:h="16838" w:orient="portrait"/>
          <w:pgMar w:top="1134" w:right="1134" w:bottom="1134" w:left="1134" w:header="851" w:footer="992" w:gutter="0"/>
          <w:pgNumType w:start="1"/>
          <w:cols w:num="1" w:sep="0" w:space="425" w:equalWidth="1"/>
          <w:docGrid w:linePitch="360"/>
        </w:sectPr>
      </w:pPr>
      <w:r>
        <w:rPr>
          <w:rFonts w:hint="eastAsia" w:ascii="宋体" w:hAnsi="宋体" w:eastAsia="宋体" w:cs="宋体"/>
          <w:iCs/>
          <w:color w:val="auto"/>
          <w:sz w:val="36"/>
          <w:highlight w:val="none"/>
        </w:rPr>
      </w:r>
      <w:r/>
    </w:p>
    <w:p>
      <w:pPr>
        <w:jc w:val="left"/>
        <w:keepLines/>
        <w:keepNext/>
        <w:spacing w:before="360" w:after="200" w:line="360" w:lineRule="auto"/>
        <w:rPr>
          <w:rFonts w:hint="eastAsia" w:ascii="宋体" w:hAnsi="宋体" w:eastAsia="宋体" w:cs="宋体"/>
          <w:b/>
          <w:i w:val="0"/>
          <w:iCs/>
          <w:color w:val="auto"/>
          <w:sz w:val="36"/>
          <w:highlight w:val="none"/>
          <w:u w:val="none"/>
        </w:rPr>
        <w:outlineLvl w:val="1"/>
      </w:pPr>
      <w:r>
        <w:rPr>
          <w:rFonts w:hint="eastAsia" w:ascii="宋体" w:hAnsi="宋体" w:eastAsia="宋体" w:cs="宋体"/>
          <w:b/>
          <w:i w:val="0"/>
          <w:iCs/>
          <w:color w:val="auto"/>
          <w:sz w:val="36"/>
          <w:highlight w:val="none"/>
          <w:u w:val="none"/>
        </w:rPr>
        <w:t xml:space="preserve">十五、技术要求响应及偏离表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技术要求响应及偏离表</w: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项目名称：      项目编号：      分包号：</w:t>
      </w:r>
      <w:r>
        <w:rPr>
          <w:rFonts w:hint="eastAsia" w:ascii="宋体" w:hAnsi="宋体" w:eastAsia="宋体" w:cs="宋体"/>
          <w:bCs/>
          <w:color w:val="auto"/>
          <w:sz w:val="24"/>
          <w:szCs w:val="24"/>
          <w:highlight w:val="none"/>
        </w:rPr>
        <w:t xml:space="preserve"> </w:t>
      </w:r>
      <w:r/>
    </w:p>
    <w:tbl>
      <w:tblPr>
        <w:tblStyle w:val="72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3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招标文件要求</w:t>
            </w:r>
            <w:r/>
          </w:p>
        </w:tc>
        <w:tc>
          <w:tcPr>
            <w:tcW w:w="30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投标响应情况</w:t>
            </w:r>
            <w:r/>
          </w:p>
        </w:tc>
        <w:tc>
          <w:tcPr>
            <w:tcW w:w="13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3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3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3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327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302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3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r>
      <w:r/>
    </w:p>
    <w:p>
      <w:pPr>
        <w:rPr>
          <w:rFonts w:hint="eastAsia" w:ascii="宋体" w:hAnsi="宋体" w:eastAsia="宋体" w:cs="宋体"/>
          <w:iCs/>
          <w:color w:val="auto"/>
          <w:sz w:val="36"/>
          <w:szCs w:val="36"/>
          <w:highlight w:val="none"/>
        </w:rPr>
      </w:pPr>
      <w:r>
        <w:rPr>
          <w:rFonts w:hint="eastAsia" w:ascii="宋体" w:hAnsi="宋体" w:eastAsia="宋体" w:cs="宋体"/>
          <w:iCs/>
          <w:color w:val="auto"/>
          <w:sz w:val="36"/>
          <w:szCs w:val="36"/>
          <w:highlight w:val="none"/>
        </w:rPr>
      </w:r>
      <w:r/>
    </w:p>
    <w:p>
      <w:pPr>
        <w:jc w:val="left"/>
        <w:keepLines/>
        <w:keepNext/>
        <w:spacing w:before="360" w:after="200" w:line="360" w:lineRule="auto"/>
        <w:rPr>
          <w:rFonts w:hint="eastAsia" w:ascii="宋体" w:hAnsi="宋体" w:eastAsia="宋体" w:cs="宋体"/>
          <w:b/>
          <w:iCs/>
          <w:color w:val="auto"/>
          <w:sz w:val="36"/>
          <w:highlight w:val="none"/>
        </w:rPr>
        <w:sectPr>
          <w:footnotePr/>
          <w:endnotePr/>
          <w:type w:val="nextPage"/>
          <w:pgSz w:w="11906" w:h="16838" w:orient="portrait"/>
          <w:pgMar w:top="1134" w:right="1134" w:bottom="1134" w:left="1134" w:header="851" w:footer="992" w:gutter="0"/>
          <w:pgNumType w:start="1"/>
          <w:cols w:num="1" w:sep="0" w:space="425" w:equalWidth="1"/>
          <w:docGrid w:linePitch="360"/>
        </w:sectPr>
        <w:outlineLvl w:val="1"/>
      </w:pPr>
      <w:r>
        <w:rPr>
          <w:rFonts w:hint="eastAsia" w:ascii="宋体" w:hAnsi="宋体" w:eastAsia="宋体" w:cs="宋体"/>
          <w:b/>
          <w:iCs/>
          <w:color w:val="auto"/>
          <w:sz w:val="36"/>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w:t>
      </w:r>
      <w:r>
        <w:rPr>
          <w:rFonts w:hint="eastAsia" w:ascii="宋体" w:hAnsi="宋体" w:eastAsia="宋体" w:cs="宋体"/>
          <w:b/>
          <w:iCs/>
          <w:color w:val="auto"/>
          <w:sz w:val="36"/>
          <w:highlight w:val="none"/>
          <w:lang w:val="en-US" w:eastAsia="zh-CN"/>
        </w:rPr>
        <w:t xml:space="preserve">六</w:t>
      </w:r>
      <w:r>
        <w:rPr>
          <w:rFonts w:hint="eastAsia" w:ascii="宋体" w:hAnsi="宋体" w:eastAsia="宋体" w:cs="宋体"/>
          <w:b/>
          <w:iCs/>
          <w:color w:val="auto"/>
          <w:sz w:val="36"/>
          <w:highlight w:val="none"/>
        </w:rPr>
        <w:t xml:space="preserve">、类似项目业绩一览表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类似项目业绩一览表</w:t>
      </w:r>
      <w:r/>
    </w:p>
    <w:p>
      <w:pPr>
        <w:ind w:firstLine="24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29"/>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2693"/>
        <w:gridCol w:w="1985"/>
        <w:gridCol w:w="1984"/>
        <w:gridCol w:w="1558"/>
      </w:tblGrid>
      <w:tr>
        <w:trPr>
          <w:cantSplit/>
          <w:jc w:val="center"/>
        </w:trPr>
        <w:tc>
          <w:tcPr>
            <w:tcW w:w="1418" w:type="dxa"/>
            <w:vAlign w:val="center"/>
            <w:textDirection w:val="lrTb"/>
            <w:noWrap w:val="false"/>
          </w:tcPr>
          <w:p>
            <w:pPr>
              <w:ind w:left="0" w:right="0"/>
              <w:jc w:val="center"/>
              <w:keepLines w:val="0"/>
              <w:keepNext w:val="0"/>
              <w:spacing w:before="0" w:beforeAutospacing="0" w:after="0" w:afterAutospacing="0" w:line="48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2693" w:type="dxa"/>
            <w:vAlign w:val="center"/>
            <w:textDirection w:val="lrTb"/>
            <w:noWrap w:val="false"/>
          </w:tcPr>
          <w:p>
            <w:pPr>
              <w:ind w:left="0" w:right="0"/>
              <w:jc w:val="center"/>
              <w:keepLines w:val="0"/>
              <w:keepNext w:val="0"/>
              <w:spacing w:before="0" w:beforeAutospacing="0" w:after="0" w:afterAutospacing="0" w:line="48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w:t>
            </w:r>
            <w:r/>
          </w:p>
        </w:tc>
        <w:tc>
          <w:tcPr>
            <w:tcW w:w="1985" w:type="dxa"/>
            <w:vAlign w:val="center"/>
            <w:textDirection w:val="lrTb"/>
            <w:noWrap w:val="false"/>
          </w:tcPr>
          <w:p>
            <w:pPr>
              <w:ind w:left="0" w:right="0"/>
              <w:jc w:val="center"/>
              <w:keepLines w:val="0"/>
              <w:keepNext w:val="0"/>
              <w:spacing w:before="0" w:beforeAutospacing="0" w:after="0" w:afterAutospacing="0" w:line="48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签订时间</w:t>
            </w:r>
            <w:r/>
          </w:p>
        </w:tc>
        <w:tc>
          <w:tcPr>
            <w:tcW w:w="1984" w:type="dxa"/>
            <w:vAlign w:val="center"/>
            <w:textDirection w:val="lrTb"/>
            <w:noWrap w:val="false"/>
          </w:tcPr>
          <w:p>
            <w:pPr>
              <w:ind w:left="0" w:right="0"/>
              <w:jc w:val="center"/>
              <w:keepLines w:val="0"/>
              <w:keepNext w:val="0"/>
              <w:spacing w:before="0" w:beforeAutospacing="0" w:after="0" w:afterAutospacing="0" w:line="48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采购单位</w:t>
            </w:r>
            <w:r/>
          </w:p>
        </w:tc>
        <w:tc>
          <w:tcPr>
            <w:tcW w:w="1558" w:type="dxa"/>
            <w:vAlign w:val="center"/>
            <w:textDirection w:val="lrTb"/>
            <w:noWrap w:val="false"/>
          </w:tcPr>
          <w:p>
            <w:pPr>
              <w:ind w:left="0" w:right="0"/>
              <w:jc w:val="center"/>
              <w:keepLines w:val="0"/>
              <w:keepNext w:val="0"/>
              <w:spacing w:before="0" w:beforeAutospacing="0" w:after="0" w:afterAutospacing="0" w:line="48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主要标的</w:t>
            </w:r>
            <w:r/>
          </w:p>
        </w:tc>
      </w:tr>
      <w:tr>
        <w:trPr>
          <w:cantSplit/>
          <w:jc w:val="center"/>
          <w:trHeight w:val="640"/>
        </w:trPr>
        <w:tc>
          <w:tcPr>
            <w:tcW w:w="14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W w:w="26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85"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40"/>
        </w:trPr>
        <w:tc>
          <w:tcPr>
            <w:tcW w:w="14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W w:w="26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85"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40"/>
        </w:trPr>
        <w:tc>
          <w:tcPr>
            <w:tcW w:w="14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W w:w="26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85"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40"/>
        </w:trPr>
        <w:tc>
          <w:tcPr>
            <w:tcW w:w="14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w:t>
            </w:r>
            <w:r/>
          </w:p>
        </w:tc>
        <w:tc>
          <w:tcPr>
            <w:tcW w:w="2693"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85"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98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5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r>
      <w:r/>
    </w:p>
    <w:p>
      <w:pPr>
        <w:jc w:val="left"/>
        <w:keepLines/>
        <w:keepNext/>
        <w:spacing w:before="360" w:after="200" w:line="360" w:lineRule="auto"/>
        <w:rPr>
          <w:rFonts w:hint="eastAsia" w:ascii="宋体" w:hAnsi="宋体" w:eastAsia="宋体" w:cs="宋体"/>
          <w:b/>
          <w:iCs/>
          <w:color w:val="auto"/>
          <w:sz w:val="36"/>
          <w:highlight w:val="none"/>
        </w:rPr>
        <w:sectPr>
          <w:footnotePr/>
          <w:endnotePr/>
          <w:type w:val="nextPage"/>
          <w:pgSz w:w="11906" w:h="16838" w:orient="portrait"/>
          <w:pgMar w:top="1134" w:right="1134" w:bottom="1134" w:left="1134" w:header="851" w:footer="992" w:gutter="0"/>
          <w:pgNumType w:start="1"/>
          <w:cols w:num="1" w:sep="0" w:space="425" w:equalWidth="1"/>
          <w:docGrid w:linePitch="360"/>
        </w:sectPr>
        <w:outlineLvl w:val="1"/>
      </w:pPr>
      <w:r>
        <w:rPr>
          <w:rFonts w:hint="eastAsia" w:ascii="宋体" w:hAnsi="宋体" w:eastAsia="宋体" w:cs="宋体"/>
          <w:b/>
          <w:iCs/>
          <w:color w:val="auto"/>
          <w:sz w:val="36"/>
          <w:highlight w:val="none"/>
        </w:rPr>
      </w:r>
      <w:r/>
    </w:p>
    <w:p>
      <w:pPr>
        <w:jc w:val="left"/>
        <w:keepLines/>
        <w:keepNext/>
        <w:spacing w:before="360" w:after="200" w:line="360" w:lineRule="auto"/>
        <w:rPr>
          <w:rFonts w:hint="eastAsia" w:ascii="宋体" w:hAnsi="宋体" w:eastAsia="宋体" w:cs="宋体"/>
          <w:b/>
          <w:iCs/>
          <w:color w:val="auto"/>
          <w:sz w:val="36"/>
          <w:highlight w:val="none"/>
        </w:rPr>
        <w:outlineLvl w:val="1"/>
      </w:pPr>
      <w:r>
        <w:rPr>
          <w:rFonts w:hint="eastAsia" w:ascii="宋体" w:hAnsi="宋体" w:eastAsia="宋体" w:cs="宋体"/>
          <w:b/>
          <w:iCs/>
          <w:color w:val="auto"/>
          <w:sz w:val="36"/>
          <w:highlight w:val="none"/>
        </w:rPr>
        <w:t xml:space="preserve">十</w:t>
      </w:r>
      <w:r>
        <w:rPr>
          <w:rFonts w:hint="eastAsia" w:ascii="宋体" w:hAnsi="宋体" w:eastAsia="宋体" w:cs="宋体"/>
          <w:b/>
          <w:iCs/>
          <w:color w:val="auto"/>
          <w:sz w:val="36"/>
          <w:highlight w:val="none"/>
          <w:lang w:val="en-US" w:eastAsia="zh-CN"/>
        </w:rPr>
        <w:t xml:space="preserve">七</w:t>
      </w:r>
      <w:r>
        <w:rPr>
          <w:rFonts w:hint="eastAsia" w:ascii="宋体" w:hAnsi="宋体" w:eastAsia="宋体" w:cs="宋体"/>
          <w:b/>
          <w:iCs/>
          <w:color w:val="auto"/>
          <w:sz w:val="36"/>
          <w:highlight w:val="none"/>
        </w:rPr>
        <w:t xml:space="preserve">、项目团队人员一览表</w:t>
      </w:r>
      <w:r/>
    </w:p>
    <w:p>
      <w:pPr>
        <w:jc w:val="center"/>
        <w:spacing w:line="360" w:lineRule="auto"/>
        <w:tabs>
          <w:tab w:val="left" w:pos="360" w:leader="none"/>
        </w:tabs>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t xml:space="preserve">项目团队人员一览表</w:t>
      </w:r>
      <w:r/>
    </w:p>
    <w:p>
      <w:pPr>
        <w:ind w:firstLine="600"/>
        <w:jc w:val="left"/>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项目名称：           项目编号：           分包号：</w:t>
      </w:r>
      <w:r/>
    </w:p>
    <w:tbl>
      <w:tblPr>
        <w:tblStyle w:val="729"/>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1418"/>
        <w:gridCol w:w="2410"/>
        <w:gridCol w:w="1275"/>
        <w:gridCol w:w="1276"/>
        <w:gridCol w:w="2089"/>
      </w:tblGrid>
      <w:tr>
        <w:trPr>
          <w:cantSplit/>
          <w:jc w:val="center"/>
        </w:trPr>
        <w:tc>
          <w:tcPr>
            <w:tcW w:w="109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姓名</w:t>
            </w:r>
            <w:r/>
          </w:p>
        </w:tc>
        <w:tc>
          <w:tcPr>
            <w:tcW w:w="141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本项目拟担任职务</w:t>
            </w:r>
            <w:r/>
          </w:p>
        </w:tc>
        <w:tc>
          <w:tcPr>
            <w:tcW w:w="24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技术职称、专业资质</w:t>
            </w:r>
            <w:r/>
          </w:p>
        </w:tc>
        <w:tc>
          <w:tcPr>
            <w:tcW w:w="127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学历</w:t>
            </w:r>
            <w:r/>
          </w:p>
        </w:tc>
        <w:tc>
          <w:tcPr>
            <w:tcW w:w="127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年龄</w:t>
            </w:r>
            <w:r/>
          </w:p>
        </w:tc>
        <w:tc>
          <w:tcPr>
            <w:tcW w:w="208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主要资历及担任过的职务</w:t>
            </w:r>
            <w:r/>
          </w:p>
        </w:tc>
      </w:tr>
      <w:tr>
        <w:trPr>
          <w:cantSplit/>
          <w:jc w:val="center"/>
          <w:trHeight w:val="640"/>
        </w:trPr>
        <w:tc>
          <w:tcPr>
            <w:tcW w:w="10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41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75"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8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41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75"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8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41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75"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8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cantSplit/>
          <w:jc w:val="center"/>
          <w:trHeight w:val="640"/>
        </w:trPr>
        <w:tc>
          <w:tcPr>
            <w:tcW w:w="10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4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41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75"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2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08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注：投标人根据项目需求、评分办法编制项目团队人员一览表，格式不做固定要求。</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b/>
          <w:color w:val="auto"/>
          <w:sz w:val="36"/>
          <w:highlight w:val="none"/>
        </w:rPr>
        <w:outlineLvl w:val="1"/>
      </w:pPr>
      <w:r>
        <w:rPr>
          <w:rFonts w:hint="eastAsia" w:ascii="宋体" w:hAnsi="宋体" w:eastAsia="宋体" w:cs="宋体"/>
          <w:b/>
          <w:color w:val="auto"/>
          <w:sz w:val="36"/>
          <w:highlight w:val="none"/>
        </w:rPr>
        <w:t xml:space="preserve">十</w:t>
      </w:r>
      <w:r>
        <w:rPr>
          <w:rFonts w:hint="eastAsia" w:ascii="宋体" w:hAnsi="宋体" w:eastAsia="宋体" w:cs="宋体"/>
          <w:b/>
          <w:color w:val="auto"/>
          <w:sz w:val="36"/>
          <w:highlight w:val="none"/>
          <w:lang w:val="en-US" w:eastAsia="zh-CN"/>
        </w:rPr>
        <w:t xml:space="preserve">八</w:t>
      </w:r>
      <w:r>
        <w:rPr>
          <w:rFonts w:hint="eastAsia" w:ascii="宋体" w:hAnsi="宋体" w:eastAsia="宋体" w:cs="宋体"/>
          <w:b/>
          <w:color w:val="auto"/>
          <w:sz w:val="36"/>
          <w:highlight w:val="none"/>
        </w:rPr>
        <w:t xml:space="preserve">、开标一览表</w:t>
      </w:r>
      <w:r/>
    </w:p>
    <w:p>
      <w:pPr>
        <w:jc w:val="left"/>
        <w:spacing w:line="360" w:lineRule="auto"/>
        <w:rPr>
          <w:rFonts w:hint="eastAsia" w:ascii="宋体" w:hAnsi="宋体" w:eastAsia="宋体" w:cs="宋体"/>
          <w:color w:val="auto"/>
          <w:sz w:val="36"/>
          <w:highlight w:val="none"/>
        </w:rPr>
      </w:pPr>
      <w:r>
        <w:rPr>
          <w:rFonts w:hint="eastAsia" w:ascii="宋体" w:hAnsi="宋体" w:eastAsia="宋体" w:cs="宋体"/>
          <w:color w:val="auto"/>
          <w:sz w:val="24"/>
          <w:szCs w:val="24"/>
          <w:highlight w:val="none"/>
        </w:rPr>
        <w:t xml:space="preserve">项目编号：          分包号：</w:t>
      </w:r>
      <w:r/>
    </w:p>
    <w:p>
      <w:pPr>
        <w:ind w:firstLine="480"/>
        <w:jc w:val="righ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货币单位：人民币元</w:t>
      </w:r>
      <w:r/>
    </w:p>
    <w:tbl>
      <w:tblPr>
        <w:tblStyle w:val="760"/>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2841"/>
        <w:gridCol w:w="4066"/>
      </w:tblGrid>
      <w:tr>
        <w:trPr/>
        <w:tc>
          <w:tcPr>
            <w:tcW w:w="2840" w:type="dxa"/>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w:t>
            </w:r>
            <w:r/>
          </w:p>
        </w:tc>
        <w:tc>
          <w:tcPr>
            <w:tcW w:w="2841" w:type="dxa"/>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项目内容</w:t>
            </w:r>
            <w:r/>
          </w:p>
        </w:tc>
        <w:tc>
          <w:tcPr>
            <w:tcW w:w="4066" w:type="dxa"/>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总价（小写）</w:t>
            </w:r>
            <w:r/>
          </w:p>
        </w:tc>
      </w:tr>
      <w:tr>
        <w:trPr/>
        <w:tc>
          <w:tcPr>
            <w:tcW w:w="2840" w:type="dxa"/>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2841" w:type="dxa"/>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详见投标文件</w:t>
            </w:r>
            <w:r/>
          </w:p>
        </w:tc>
        <w:tc>
          <w:tcPr>
            <w:tcW w:w="4066" w:type="dxa"/>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               元</w:t>
            </w:r>
            <w:r/>
          </w:p>
        </w:tc>
      </w:tr>
      <w:tr>
        <w:trPr/>
        <w:tc>
          <w:tcPr>
            <w:tcW w:w="2840" w:type="dxa"/>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总价（大写）</w:t>
            </w:r>
            <w:r/>
          </w:p>
        </w:tc>
        <w:tc>
          <w:tcPr>
            <w:gridSpan w:val="2"/>
            <w:tcW w:w="6907" w:type="dxa"/>
            <w:textDirection w:val="lrTb"/>
            <w:noWrap w:val="false"/>
          </w:tcPr>
          <w:p>
            <w:pPr>
              <w:ind w:left="0" w:right="0"/>
              <w:jc w:val="center"/>
              <w:keepLines w:val="0"/>
              <w:keepNext w:val="0"/>
              <w:spacing w:before="0" w:beforeAutospacing="0" w:after="0" w:afterAutospacing="0" w:line="500" w:lineRule="exact"/>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36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投标人公章：             （电子签章）</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left"/>
        <w:widowControl/>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jc w:val="left"/>
        <w:widowControl/>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jc w:val="left"/>
        <w:widowControl/>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r>
      <w:r/>
    </w:p>
    <w:p>
      <w:pPr>
        <w:jc w:val="center"/>
        <w:rPr>
          <w:rFonts w:hint="eastAsia" w:ascii="宋体" w:hAnsi="宋体" w:eastAsia="宋体" w:cs="宋体"/>
          <w:bCs/>
          <w:color w:val="auto"/>
          <w:sz w:val="40"/>
          <w:szCs w:val="32"/>
          <w:highlight w:val="none"/>
        </w:rPr>
      </w:pPr>
      <w:r>
        <w:rPr>
          <w:rFonts w:hint="eastAsia" w:ascii="宋体" w:hAnsi="宋体" w:eastAsia="宋体" w:cs="宋体"/>
          <w:bCs/>
          <w:color w:val="auto"/>
          <w:sz w:val="40"/>
          <w:szCs w:val="32"/>
          <w:highlight w:val="none"/>
        </w:rPr>
        <w:t xml:space="preserve">质疑函范本</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致：</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联系人：联系电话：</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地址：邮编：</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质疑项目的编号：包号：</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50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r/>
    </w:p>
    <w:p>
      <w:pPr>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具体要求详见第二章 投标人须知 八、询问与质疑。</w:t>
      </w:r>
      <w:r/>
    </w:p>
    <w:p>
      <w:pPr>
        <w:pStyle w:val="7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jc w:val="left"/>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Calibri">
    <w:panose1 w:val="020F0502020204030204"/>
  </w:font>
  <w:font w:name="MS Mincho">
    <w:panose1 w:val="02020603050405090304"/>
  </w:font>
  <w:font w:name="仿宋_GB2312">
    <w:panose1 w:val="02010609060101010101"/>
  </w:font>
  <w:font w:name="Courier New">
    <w:panose1 w:val="02070309020205020404"/>
  </w:font>
  <w:font w:name="金山简黑体">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pPr>
    <w:r/>
    <w:r/>
  </w:p>
  <w:p>
    <w:pPr>
      <w:pStyle w:val="7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wps:spPr>
                    <wps:txbx>
                      <w:txbxContent>
                        <w:p>
                          <w:pPr>
                            <w:pStyle w:val="745"/>
                          </w:pPr>
                          <w:r>
                            <w:fldChar w:fldCharType="begin"/>
                          </w:r>
                          <w:r>
                            <w:instrText xml:space="preserve"> PAGE  \* MERGEFORMAT </w:instrText>
                          </w:r>
                          <w:r>
                            <w:fldChar w:fldCharType="separate"/>
                          </w:r>
                          <w:r>
                            <w:t xml:space="preserve">32</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745"/>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lear" w:pos="4153" w:leader="none"/>
        <w:tab w:val="center" w:pos="4725"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745"/>
          <w:jc w:val="center"/>
        </w:pPr>
        <w:r>
          <w:fldChar w:fldCharType="begin"/>
        </w:r>
        <w:r>
          <w:instrText xml:space="preserve"> PAGE   \* MERGEFORMAT </w:instrText>
        </w:r>
        <w:r>
          <w:fldChar w:fldCharType="separate"/>
        </w:r>
        <w:r>
          <w:rPr>
            <w:lang w:val="zh-CN"/>
          </w:rPr>
          <w:t xml:space="preserve">3</w:t>
        </w:r>
        <w:r>
          <w:rPr>
            <w:lang w:val="zh-CN"/>
          </w:rPr>
          <w:fldChar w:fldCharType="end"/>
        </w:r>
        <w:r/>
      </w:p>
    </w:sdtContent>
  </w:sdt>
  <w:p>
    <w:pPr>
      <w:pStyle w:val="74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uiPriority w:val="0"/>
    <w:qFormat/>
    <w:pPr>
      <w:jc w:val="both"/>
      <w:widowControl w:val="off"/>
    </w:pPr>
    <w:rPr>
      <w:rFonts w:hint="default" w:asciiTheme="minorHAnsi" w:hAnsiTheme="minorHAnsi" w:eastAsiaTheme="minorEastAsia" w:cstheme="minorBidi"/>
      <w:sz w:val="21"/>
      <w:szCs w:val="22"/>
    </w:rPr>
  </w:style>
  <w:style w:type="paragraph" w:styleId="719">
    <w:name w:val="Heading 1"/>
    <w:basedOn w:val="718"/>
    <w:next w:val="718"/>
    <w:link w:val="917"/>
    <w:uiPriority w:val="9"/>
    <w:qFormat/>
    <w:pPr>
      <w:keepLines/>
      <w:keepNext/>
      <w:spacing w:before="340" w:after="330" w:line="578" w:lineRule="auto"/>
      <w:outlineLvl w:val="0"/>
    </w:pPr>
    <w:rPr>
      <w:b/>
      <w:bCs/>
      <w:sz w:val="44"/>
      <w:szCs w:val="44"/>
    </w:rPr>
  </w:style>
  <w:style w:type="paragraph" w:styleId="720">
    <w:name w:val="Heading 2"/>
    <w:basedOn w:val="718"/>
    <w:next w:val="718"/>
    <w:link w:val="91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21">
    <w:name w:val="Heading 3"/>
    <w:basedOn w:val="718"/>
    <w:next w:val="718"/>
    <w:link w:val="920"/>
    <w:uiPriority w:val="9"/>
    <w:unhideWhenUsed/>
    <w:qFormat/>
    <w:pPr>
      <w:keepLines/>
      <w:keepNext/>
      <w:spacing w:before="260" w:after="260" w:line="416" w:lineRule="auto"/>
      <w:outlineLvl w:val="2"/>
    </w:pPr>
    <w:rPr>
      <w:b/>
      <w:bCs/>
      <w:sz w:val="32"/>
      <w:szCs w:val="32"/>
    </w:rPr>
  </w:style>
  <w:style w:type="paragraph" w:styleId="722">
    <w:name w:val="Heading 4"/>
    <w:basedOn w:val="718"/>
    <w:next w:val="718"/>
    <w:link w:val="770"/>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71"/>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72"/>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74"/>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75"/>
    <w:uiPriority w:val="9"/>
    <w:unhideWhenUsed/>
    <w:qFormat/>
    <w:pPr>
      <w:keepLines/>
      <w:keepNext/>
      <w:spacing w:before="320" w:after="200"/>
      <w:outlineLvl w:val="8"/>
    </w:pPr>
    <w:rPr>
      <w:rFonts w:ascii="Arial" w:hAnsi="Arial" w:eastAsia="Arial" w:cs="Arial"/>
      <w:i/>
      <w:iCs/>
      <w:sz w:val="21"/>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30">
    <w:name w:val="toc 7"/>
    <w:basedOn w:val="718"/>
    <w:next w:val="718"/>
    <w:uiPriority w:val="39"/>
    <w:unhideWhenUsed/>
    <w:qFormat/>
    <w:pPr>
      <w:ind w:left="1701" w:right="0" w:firstLine="0"/>
      <w:spacing w:after="57"/>
    </w:pPr>
  </w:style>
  <w:style w:type="paragraph" w:styleId="731">
    <w:name w:val="Normal Indent"/>
    <w:basedOn w:val="718"/>
    <w:uiPriority w:val="0"/>
    <w:qFormat/>
    <w:pPr>
      <w:ind w:firstLine="420"/>
    </w:pPr>
    <w:rPr>
      <w:szCs w:val="20"/>
    </w:rPr>
  </w:style>
  <w:style w:type="paragraph" w:styleId="732">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Document Map"/>
    <w:basedOn w:val="718"/>
    <w:link w:val="918"/>
    <w:uiPriority w:val="99"/>
    <w:semiHidden/>
    <w:unhideWhenUsed/>
    <w:qFormat/>
    <w:rPr>
      <w:rFonts w:ascii="宋体" w:eastAsia="宋体"/>
      <w:sz w:val="18"/>
      <w:szCs w:val="18"/>
    </w:rPr>
  </w:style>
  <w:style w:type="paragraph" w:styleId="734">
    <w:name w:val="annotation text"/>
    <w:basedOn w:val="718"/>
    <w:link w:val="922"/>
    <w:uiPriority w:val="0"/>
    <w:qFormat/>
    <w:pPr>
      <w:ind w:firstLine="922"/>
      <w:jc w:val="left"/>
      <w:spacing w:line="360" w:lineRule="auto"/>
    </w:pPr>
    <w:rPr>
      <w:rFonts w:ascii="Times New Roman" w:hAnsi="Times New Roman" w:eastAsia="宋体" w:cs="Times New Roman"/>
      <w:szCs w:val="24"/>
    </w:rPr>
  </w:style>
  <w:style w:type="paragraph" w:styleId="735">
    <w:name w:val="Body Text"/>
    <w:basedOn w:val="718"/>
    <w:next w:val="718"/>
    <w:uiPriority w:val="0"/>
    <w:qFormat/>
    <w:rPr>
      <w:rFonts w:ascii="金山简黑体" w:hAnsi="Courier New" w:eastAsia="金山简黑体"/>
      <w:b/>
      <w:spacing w:val="-8"/>
      <w:sz w:val="44"/>
      <w:szCs w:val="20"/>
    </w:rPr>
  </w:style>
  <w:style w:type="paragraph" w:styleId="736">
    <w:name w:val="Body Text Indent"/>
    <w:basedOn w:val="718"/>
    <w:next w:val="737"/>
    <w:link w:val="927"/>
    <w:uiPriority w:val="0"/>
    <w:qFormat/>
    <w:pPr>
      <w:ind w:firstLine="600"/>
    </w:pPr>
    <w:rPr>
      <w:rFonts w:eastAsia="仿宋_GB2312"/>
      <w:sz w:val="30"/>
      <w:szCs w:val="30"/>
    </w:rPr>
  </w:style>
  <w:style w:type="paragraph" w:styleId="737">
    <w:name w:val="envelope return"/>
    <w:basedOn w:val="718"/>
    <w:uiPriority w:val="0"/>
    <w:qFormat/>
    <w:rPr>
      <w:rFonts w:ascii="Arial" w:hAnsi="Arial"/>
    </w:rPr>
  </w:style>
  <w:style w:type="paragraph" w:styleId="738">
    <w:name w:val="toc 5"/>
    <w:basedOn w:val="718"/>
    <w:next w:val="718"/>
    <w:uiPriority w:val="39"/>
    <w:unhideWhenUsed/>
    <w:qFormat/>
    <w:pPr>
      <w:ind w:left="1134" w:right="0" w:firstLine="0"/>
      <w:spacing w:after="57"/>
    </w:pPr>
  </w:style>
  <w:style w:type="paragraph" w:styleId="739">
    <w:name w:val="toc 3"/>
    <w:basedOn w:val="718"/>
    <w:next w:val="718"/>
    <w:uiPriority w:val="39"/>
    <w:unhideWhenUsed/>
    <w:qFormat/>
    <w:pPr>
      <w:ind w:left="567" w:right="0" w:firstLine="0"/>
      <w:spacing w:after="57"/>
    </w:pPr>
  </w:style>
  <w:style w:type="paragraph" w:styleId="740">
    <w:name w:val="Plain Text"/>
    <w:basedOn w:val="718"/>
    <w:link w:val="925"/>
    <w:uiPriority w:val="0"/>
    <w:qFormat/>
    <w:rPr>
      <w:rFonts w:ascii="宋体" w:hAnsi="Courier New" w:eastAsia="宋体" w:cs="Times New Roman"/>
      <w:szCs w:val="20"/>
    </w:rPr>
  </w:style>
  <w:style w:type="paragraph" w:styleId="741">
    <w:name w:val="toc 8"/>
    <w:basedOn w:val="718"/>
    <w:next w:val="718"/>
    <w:uiPriority w:val="39"/>
    <w:unhideWhenUsed/>
    <w:qFormat/>
    <w:pPr>
      <w:ind w:left="1984" w:right="0" w:firstLine="0"/>
      <w:spacing w:after="57"/>
    </w:pPr>
  </w:style>
  <w:style w:type="paragraph" w:styleId="742">
    <w:name w:val="Date"/>
    <w:basedOn w:val="718"/>
    <w:next w:val="718"/>
    <w:link w:val="921"/>
    <w:uiPriority w:val="99"/>
    <w:semiHidden/>
    <w:unhideWhenUsed/>
    <w:qFormat/>
    <w:pPr>
      <w:ind w:left="100"/>
    </w:pPr>
  </w:style>
  <w:style w:type="paragraph" w:styleId="743">
    <w:name w:val="endnote text"/>
    <w:basedOn w:val="718"/>
    <w:link w:val="913"/>
    <w:uiPriority w:val="99"/>
    <w:semiHidden/>
    <w:unhideWhenUsed/>
    <w:qFormat/>
    <w:pPr>
      <w:spacing w:after="0" w:line="240" w:lineRule="auto"/>
    </w:pPr>
    <w:rPr>
      <w:sz w:val="20"/>
    </w:rPr>
  </w:style>
  <w:style w:type="paragraph" w:styleId="744">
    <w:name w:val="Balloon Text"/>
    <w:basedOn w:val="718"/>
    <w:link w:val="923"/>
    <w:uiPriority w:val="99"/>
    <w:semiHidden/>
    <w:unhideWhenUsed/>
    <w:qFormat/>
    <w:rPr>
      <w:sz w:val="18"/>
      <w:szCs w:val="18"/>
    </w:rPr>
  </w:style>
  <w:style w:type="paragraph" w:styleId="745">
    <w:name w:val="Footer"/>
    <w:basedOn w:val="718"/>
    <w:link w:val="916"/>
    <w:uiPriority w:val="99"/>
    <w:unhideWhenUsed/>
    <w:qFormat/>
    <w:pPr>
      <w:jc w:val="left"/>
      <w:tabs>
        <w:tab w:val="center" w:pos="4153" w:leader="none"/>
        <w:tab w:val="right" w:pos="8306" w:leader="none"/>
      </w:tabs>
    </w:pPr>
    <w:rPr>
      <w:sz w:val="18"/>
      <w:szCs w:val="18"/>
    </w:rPr>
  </w:style>
  <w:style w:type="paragraph" w:styleId="746">
    <w:name w:val="Header"/>
    <w:basedOn w:val="718"/>
    <w:link w:val="915"/>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47">
    <w:name w:val="toc 1"/>
    <w:basedOn w:val="718"/>
    <w:next w:val="718"/>
    <w:uiPriority w:val="39"/>
    <w:unhideWhenUsed/>
    <w:qFormat/>
    <w:pPr>
      <w:jc w:val="center"/>
      <w:spacing w:line="360" w:lineRule="auto"/>
      <w:tabs>
        <w:tab w:val="right" w:pos="9628" w:leader="dot"/>
      </w:tabs>
    </w:pPr>
    <w:rPr>
      <w:sz w:val="32"/>
    </w:rPr>
  </w:style>
  <w:style w:type="paragraph" w:styleId="748">
    <w:name w:val="toc 4"/>
    <w:basedOn w:val="718"/>
    <w:next w:val="718"/>
    <w:uiPriority w:val="39"/>
    <w:unhideWhenUsed/>
    <w:qFormat/>
    <w:pPr>
      <w:ind w:left="850" w:right="0" w:firstLine="0"/>
      <w:spacing w:after="57"/>
    </w:pPr>
  </w:style>
  <w:style w:type="paragraph" w:styleId="749">
    <w:name w:val="Subtitle"/>
    <w:basedOn w:val="718"/>
    <w:next w:val="718"/>
    <w:link w:val="779"/>
    <w:uiPriority w:val="11"/>
    <w:qFormat/>
    <w:pPr>
      <w:spacing w:before="200" w:after="200"/>
    </w:pPr>
    <w:rPr>
      <w:sz w:val="24"/>
      <w:szCs w:val="24"/>
    </w:rPr>
  </w:style>
  <w:style w:type="paragraph" w:styleId="750">
    <w:name w:val="footnote text"/>
    <w:basedOn w:val="718"/>
    <w:link w:val="912"/>
    <w:uiPriority w:val="99"/>
    <w:semiHidden/>
    <w:unhideWhenUsed/>
    <w:qFormat/>
    <w:pPr>
      <w:spacing w:after="40" w:line="240" w:lineRule="auto"/>
    </w:pPr>
    <w:rPr>
      <w:sz w:val="18"/>
    </w:rPr>
  </w:style>
  <w:style w:type="paragraph" w:styleId="751">
    <w:name w:val="toc 6"/>
    <w:basedOn w:val="718"/>
    <w:next w:val="718"/>
    <w:uiPriority w:val="39"/>
    <w:unhideWhenUsed/>
    <w:qFormat/>
    <w:pPr>
      <w:ind w:left="1417" w:right="0" w:firstLine="0"/>
      <w:spacing w:after="57"/>
    </w:pPr>
  </w:style>
  <w:style w:type="paragraph" w:styleId="752">
    <w:name w:val="table of figures"/>
    <w:basedOn w:val="718"/>
    <w:next w:val="718"/>
    <w:uiPriority w:val="99"/>
    <w:unhideWhenUsed/>
    <w:qFormat/>
    <w:pPr>
      <w:spacing w:after="0" w:afterAutospacing="0"/>
    </w:pPr>
  </w:style>
  <w:style w:type="paragraph" w:styleId="753">
    <w:name w:val="toc 2"/>
    <w:basedOn w:val="718"/>
    <w:next w:val="718"/>
    <w:uiPriority w:val="39"/>
    <w:unhideWhenUsed/>
    <w:qFormat/>
    <w:pPr>
      <w:ind w:left="283" w:right="0" w:firstLine="0"/>
      <w:spacing w:after="57"/>
    </w:pPr>
  </w:style>
  <w:style w:type="paragraph" w:styleId="754">
    <w:name w:val="toc 9"/>
    <w:basedOn w:val="718"/>
    <w:next w:val="718"/>
    <w:uiPriority w:val="39"/>
    <w:unhideWhenUsed/>
    <w:qFormat/>
    <w:pPr>
      <w:ind w:left="2268" w:right="0" w:firstLine="0"/>
      <w:spacing w:after="57"/>
    </w:pPr>
  </w:style>
  <w:style w:type="paragraph" w:styleId="755">
    <w:name w:val="Normal (Web)"/>
    <w:basedOn w:val="71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756">
    <w:name w:val="Title"/>
    <w:basedOn w:val="718"/>
    <w:next w:val="718"/>
    <w:link w:val="778"/>
    <w:uiPriority w:val="10"/>
    <w:qFormat/>
    <w:pPr>
      <w:contextualSpacing/>
      <w:spacing w:before="300" w:after="200"/>
    </w:pPr>
    <w:rPr>
      <w:sz w:val="48"/>
      <w:szCs w:val="48"/>
    </w:rPr>
  </w:style>
  <w:style w:type="paragraph" w:styleId="757">
    <w:name w:val="annotation subject"/>
    <w:basedOn w:val="734"/>
    <w:next w:val="734"/>
    <w:link w:val="926"/>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758">
    <w:name w:val="Body Text First Indent"/>
    <w:basedOn w:val="735"/>
    <w:uiPriority w:val="99"/>
    <w:unhideWhenUsed/>
    <w:qFormat/>
    <w:pPr>
      <w:ind w:firstLine="420"/>
    </w:pPr>
  </w:style>
  <w:style w:type="paragraph" w:styleId="759">
    <w:name w:val="Body Text First Indent 2"/>
    <w:basedOn w:val="736"/>
    <w:uiPriority w:val="0"/>
    <w:qFormat/>
    <w:pPr>
      <w:ind w:left="420" w:firstLine="210"/>
      <w:spacing w:before="0" w:after="120"/>
    </w:pPr>
  </w:style>
  <w:style w:type="table" w:styleId="760">
    <w:name w:val="Table Grid"/>
    <w:basedOn w:val="72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endnote reference"/>
    <w:basedOn w:val="728"/>
    <w:uiPriority w:val="99"/>
    <w:semiHidden/>
    <w:unhideWhenUsed/>
    <w:qFormat/>
    <w:rPr>
      <w:vertAlign w:val="superscript"/>
    </w:rPr>
  </w:style>
  <w:style w:type="character" w:styleId="762">
    <w:name w:val="Emphasis"/>
    <w:basedOn w:val="728"/>
    <w:uiPriority w:val="20"/>
    <w:qFormat/>
    <w:rPr>
      <w:i/>
    </w:rPr>
  </w:style>
  <w:style w:type="character" w:styleId="763">
    <w:name w:val="Hyperlink"/>
    <w:uiPriority w:val="99"/>
    <w:qFormat/>
    <w:rPr>
      <w:color w:val="0000ff"/>
      <w:u w:val="none"/>
    </w:rPr>
  </w:style>
  <w:style w:type="character" w:styleId="764">
    <w:name w:val="annotation reference"/>
    <w:uiPriority w:val="0"/>
    <w:qFormat/>
    <w:rPr>
      <w:sz w:val="21"/>
      <w:szCs w:val="21"/>
    </w:rPr>
  </w:style>
  <w:style w:type="character" w:styleId="765">
    <w:name w:val="footnote reference"/>
    <w:basedOn w:val="728"/>
    <w:uiPriority w:val="99"/>
    <w:unhideWhenUsed/>
    <w:qFormat/>
    <w:rPr>
      <w:vertAlign w:val="superscript"/>
    </w:rPr>
  </w:style>
  <w:style w:type="paragraph" w:styleId="766" w:customStyle="1">
    <w:name w:val="Default"/>
    <w:link w:val="924"/>
    <w:uiPriority w:val="99"/>
    <w:qFormat/>
    <w:pPr>
      <w:widowControl w:val="off"/>
    </w:pPr>
    <w:rPr>
      <w:rFonts w:hint="default" w:ascii="MS Mincho" w:hAnsi="Calibri" w:eastAsia="宋体" w:cs="Times New Roman"/>
      <w:color w:val="000000"/>
      <w:sz w:val="21"/>
      <w:szCs w:val="24"/>
    </w:rPr>
  </w:style>
  <w:style w:type="character" w:styleId="767" w:customStyle="1">
    <w:name w:val="Heading 1 Char"/>
    <w:basedOn w:val="728"/>
    <w:uiPriority w:val="9"/>
    <w:qFormat/>
    <w:rPr>
      <w:rFonts w:ascii="Arial" w:hAnsi="Arial" w:eastAsia="Arial" w:cs="Arial"/>
      <w:sz w:val="40"/>
      <w:szCs w:val="40"/>
    </w:rPr>
  </w:style>
  <w:style w:type="character" w:styleId="768" w:customStyle="1">
    <w:name w:val="Heading 2 Char"/>
    <w:basedOn w:val="728"/>
    <w:uiPriority w:val="9"/>
    <w:qFormat/>
    <w:rPr>
      <w:rFonts w:ascii="Arial" w:hAnsi="Arial" w:eastAsia="Arial" w:cs="Arial"/>
      <w:sz w:val="34"/>
    </w:rPr>
  </w:style>
  <w:style w:type="character" w:styleId="769" w:customStyle="1">
    <w:name w:val="Heading 3 Char"/>
    <w:basedOn w:val="728"/>
    <w:uiPriority w:val="9"/>
    <w:qFormat/>
    <w:rPr>
      <w:rFonts w:ascii="Arial" w:hAnsi="Arial" w:eastAsia="Arial" w:cs="Arial"/>
      <w:sz w:val="30"/>
      <w:szCs w:val="30"/>
    </w:rPr>
  </w:style>
  <w:style w:type="character" w:styleId="770" w:customStyle="1">
    <w:name w:val="Heading 4 Char"/>
    <w:basedOn w:val="728"/>
    <w:link w:val="722"/>
    <w:uiPriority w:val="9"/>
    <w:qFormat/>
    <w:rPr>
      <w:rFonts w:ascii="Arial" w:hAnsi="Arial" w:eastAsia="Arial" w:cs="Arial"/>
      <w:b/>
      <w:bCs/>
      <w:sz w:val="26"/>
      <w:szCs w:val="26"/>
    </w:rPr>
  </w:style>
  <w:style w:type="character" w:styleId="771" w:customStyle="1">
    <w:name w:val="Heading 5 Char"/>
    <w:basedOn w:val="728"/>
    <w:link w:val="723"/>
    <w:uiPriority w:val="9"/>
    <w:qFormat/>
    <w:rPr>
      <w:rFonts w:ascii="Arial" w:hAnsi="Arial" w:eastAsia="Arial" w:cs="Arial"/>
      <w:b/>
      <w:bCs/>
      <w:sz w:val="24"/>
      <w:szCs w:val="24"/>
    </w:rPr>
  </w:style>
  <w:style w:type="character" w:styleId="772" w:customStyle="1">
    <w:name w:val="Heading 6 Char"/>
    <w:basedOn w:val="728"/>
    <w:link w:val="724"/>
    <w:uiPriority w:val="9"/>
    <w:qFormat/>
    <w:rPr>
      <w:rFonts w:ascii="Arial" w:hAnsi="Arial" w:eastAsia="Arial" w:cs="Arial"/>
      <w:b/>
      <w:bCs/>
      <w:sz w:val="22"/>
      <w:szCs w:val="22"/>
    </w:rPr>
  </w:style>
  <w:style w:type="character" w:styleId="773" w:customStyle="1">
    <w:name w:val="Heading 7 Char"/>
    <w:basedOn w:val="728"/>
    <w:link w:val="725"/>
    <w:uiPriority w:val="9"/>
    <w:qFormat/>
    <w:rPr>
      <w:rFonts w:ascii="Arial" w:hAnsi="Arial" w:eastAsia="Arial" w:cs="Arial"/>
      <w:b/>
      <w:bCs/>
      <w:i/>
      <w:iCs/>
      <w:sz w:val="22"/>
      <w:szCs w:val="22"/>
    </w:rPr>
  </w:style>
  <w:style w:type="character" w:styleId="774" w:customStyle="1">
    <w:name w:val="Heading 8 Char"/>
    <w:basedOn w:val="728"/>
    <w:link w:val="726"/>
    <w:uiPriority w:val="9"/>
    <w:qFormat/>
    <w:rPr>
      <w:rFonts w:ascii="Arial" w:hAnsi="Arial" w:eastAsia="Arial" w:cs="Arial"/>
      <w:i/>
      <w:iCs/>
      <w:sz w:val="22"/>
      <w:szCs w:val="22"/>
    </w:rPr>
  </w:style>
  <w:style w:type="character" w:styleId="775" w:customStyle="1">
    <w:name w:val="Heading 9 Char"/>
    <w:basedOn w:val="728"/>
    <w:link w:val="727"/>
    <w:uiPriority w:val="9"/>
    <w:qFormat/>
    <w:rPr>
      <w:rFonts w:ascii="Arial" w:hAnsi="Arial" w:eastAsia="Arial" w:cs="Arial"/>
      <w:i/>
      <w:iCs/>
      <w:sz w:val="21"/>
      <w:szCs w:val="21"/>
    </w:rPr>
  </w:style>
  <w:style w:type="paragraph" w:styleId="776">
    <w:name w:val="List Paragraph"/>
    <w:basedOn w:val="718"/>
    <w:uiPriority w:val="34"/>
    <w:qFormat/>
    <w:pPr>
      <w:contextualSpacing/>
      <w:ind w:left="720"/>
    </w:pPr>
  </w:style>
  <w:style w:type="paragraph" w:styleId="777">
    <w:name w:val="No Spacing"/>
    <w:uiPriority w:val="1"/>
    <w:qFormat/>
    <w:pPr>
      <w:spacing w:before="0" w:after="0" w:line="240" w:lineRule="auto"/>
    </w:pPr>
    <w:rPr>
      <w:rFonts w:hint="default" w:asciiTheme="minorHAnsi" w:hAnsiTheme="minorHAnsi" w:eastAsiaTheme="minorEastAsia" w:cstheme="minorBidi"/>
    </w:rPr>
  </w:style>
  <w:style w:type="character" w:styleId="778" w:customStyle="1">
    <w:name w:val="Title Char"/>
    <w:basedOn w:val="728"/>
    <w:link w:val="756"/>
    <w:uiPriority w:val="10"/>
    <w:qFormat/>
    <w:rPr>
      <w:sz w:val="48"/>
      <w:szCs w:val="48"/>
    </w:rPr>
  </w:style>
  <w:style w:type="character" w:styleId="779" w:customStyle="1">
    <w:name w:val="Subtitle Char"/>
    <w:basedOn w:val="728"/>
    <w:link w:val="749"/>
    <w:uiPriority w:val="11"/>
    <w:qFormat/>
    <w:rPr>
      <w:sz w:val="24"/>
      <w:szCs w:val="24"/>
    </w:rPr>
  </w:style>
  <w:style w:type="paragraph" w:styleId="780">
    <w:name w:val="Quote"/>
    <w:basedOn w:val="718"/>
    <w:next w:val="718"/>
    <w:link w:val="781"/>
    <w:uiPriority w:val="29"/>
    <w:qFormat/>
    <w:pPr>
      <w:ind w:left="720" w:right="720"/>
    </w:pPr>
    <w:rPr>
      <w:i/>
    </w:rPr>
  </w:style>
  <w:style w:type="character" w:styleId="781" w:customStyle="1">
    <w:name w:val="Quote Char"/>
    <w:link w:val="780"/>
    <w:uiPriority w:val="29"/>
    <w:qFormat/>
    <w:rPr>
      <w:i/>
    </w:rPr>
  </w:style>
  <w:style w:type="paragraph" w:styleId="782">
    <w:name w:val="Intense Quote"/>
    <w:basedOn w:val="718"/>
    <w:next w:val="718"/>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Intense Quote Char"/>
    <w:link w:val="782"/>
    <w:uiPriority w:val="30"/>
    <w:qFormat/>
    <w:rPr>
      <w:i/>
    </w:rPr>
  </w:style>
  <w:style w:type="character" w:styleId="784" w:customStyle="1">
    <w:name w:val="Header Char"/>
    <w:basedOn w:val="728"/>
    <w:uiPriority w:val="99"/>
    <w:qFormat/>
  </w:style>
  <w:style w:type="character" w:styleId="785" w:customStyle="1">
    <w:name w:val="Footer Char"/>
    <w:basedOn w:val="728"/>
    <w:uiPriority w:val="99"/>
    <w:qFormat/>
  </w:style>
  <w:style w:type="character" w:styleId="786" w:customStyle="1">
    <w:name w:val="Caption Char"/>
    <w:uiPriority w:val="99"/>
    <w:qFormat/>
  </w:style>
  <w:style w:type="table" w:styleId="787" w:customStyle="1">
    <w:name w:val="Table Grid Light"/>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8" w:customStyle="1">
    <w:name w:val="Plain Table 1"/>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2"/>
    <w:basedOn w:val="7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3"/>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Plain Table 4"/>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Plain Table 5"/>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Grid Table 1 Light"/>
    <w:basedOn w:val="7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basedOn w:val="72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basedOn w:val="72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basedOn w:val="72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basedOn w:val="72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basedOn w:val="72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basedOn w:val="72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basedOn w:val="72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basedOn w:val="72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basedOn w:val="72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basedOn w:val="72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basedOn w:val="72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Grid Table 2 - Accent 6"/>
    <w:basedOn w:val="72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Grid Table 3"/>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basedOn w:val="72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basedOn w:val="72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basedOn w:val="72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basedOn w:val="72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basedOn w:val="72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basedOn w:val="72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basedOn w:val="7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basedOn w:val="72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6" w:customStyle="1">
    <w:name w:val="Grid Table 4 - Accent 2"/>
    <w:basedOn w:val="72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7" w:customStyle="1">
    <w:name w:val="Grid Table 4 - Accent 3"/>
    <w:basedOn w:val="72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8" w:customStyle="1">
    <w:name w:val="Grid Table 4 - Accent 4"/>
    <w:basedOn w:val="72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9" w:customStyle="1">
    <w:name w:val="Grid Table 4 - Accent 5"/>
    <w:basedOn w:val="72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0" w:customStyle="1">
    <w:name w:val="Grid Table 4 - Accent 6"/>
    <w:basedOn w:val="72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1" w:customStyle="1">
    <w:name w:val="Grid Table 5 Dark"/>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3" w:customStyle="1">
    <w:name w:val="Grid Table 5 Dark - Accent 2"/>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4" w:customStyle="1">
    <w:name w:val="Grid Table 5 Dark - Accent 3"/>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5" w:customStyle="1">
    <w:name w:val="Grid Table 5 Dark- Accent 4"/>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6" w:customStyle="1">
    <w:name w:val="Grid Table 5 Dark - Accent 5"/>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7" w:customStyle="1">
    <w:name w:val="Grid Table 5 Dark - Accent 6"/>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8" w:customStyle="1">
    <w:name w:val="Grid Table 6 Colorful"/>
    <w:basedOn w:val="7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Grid Table 6 Colorful - Accent 1"/>
    <w:basedOn w:val="72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0" w:customStyle="1">
    <w:name w:val="Grid Table 6 Colorful - Accent 2"/>
    <w:basedOn w:val="72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1" w:customStyle="1">
    <w:name w:val="Grid Table 6 Colorful - Accent 3"/>
    <w:basedOn w:val="72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2" w:customStyle="1">
    <w:name w:val="Grid Table 6 Colorful - Accent 4"/>
    <w:basedOn w:val="72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3" w:customStyle="1">
    <w:name w:val="Grid Table 6 Colorful - Accent 5"/>
    <w:basedOn w:val="72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6 Colorful - Accent 6"/>
    <w:basedOn w:val="72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7 Colorful"/>
    <w:basedOn w:val="7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basedOn w:val="72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basedOn w:val="72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basedOn w:val="72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basedOn w:val="72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basedOn w:val="72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basedOn w:val="72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2" w:customStyle="1">
    <w:name w:val="List Table 1 Light"/>
    <w:basedOn w:val="7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basedOn w:val="72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1 Light - Accent 2"/>
    <w:basedOn w:val="72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5" w:customStyle="1">
    <w:name w:val="List Table 1 Light - Accent 3"/>
    <w:basedOn w:val="72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6" w:customStyle="1">
    <w:name w:val="List Table 1 Light - Accent 4"/>
    <w:basedOn w:val="72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basedOn w:val="72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List Table 1 Light - Accent 6"/>
    <w:basedOn w:val="72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List Table 2"/>
    <w:basedOn w:val="7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2 - Accent 1"/>
    <w:basedOn w:val="72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1" w:customStyle="1">
    <w:name w:val="List Table 2 - Accent 2"/>
    <w:basedOn w:val="72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2" w:customStyle="1">
    <w:name w:val="List Table 2 - Accent 3"/>
    <w:basedOn w:val="72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3" w:customStyle="1">
    <w:name w:val="List Table 2 - Accent 4"/>
    <w:basedOn w:val="72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4" w:customStyle="1">
    <w:name w:val="List Table 2 - Accent 5"/>
    <w:basedOn w:val="72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5" w:customStyle="1">
    <w:name w:val="List Table 2 - Accent 6"/>
    <w:basedOn w:val="72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6" w:customStyle="1">
    <w:name w:val="List Table 3"/>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basedOn w:val="72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3 - Accent 2"/>
    <w:basedOn w:val="72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9" w:customStyle="1">
    <w:name w:val="List Table 3 - Accent 3"/>
    <w:basedOn w:val="72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0" w:customStyle="1">
    <w:name w:val="List Table 3 - Accent 4"/>
    <w:basedOn w:val="72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1" w:customStyle="1">
    <w:name w:val="List Table 3 - Accent 5"/>
    <w:basedOn w:val="72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2" w:customStyle="1">
    <w:name w:val="List Table 3 - Accent 6"/>
    <w:basedOn w:val="72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3" w:customStyle="1">
    <w:name w:val="List Table 4"/>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basedOn w:val="72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4 - Accent 2"/>
    <w:basedOn w:val="72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6" w:customStyle="1">
    <w:name w:val="List Table 4 - Accent 3"/>
    <w:basedOn w:val="72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7" w:customStyle="1">
    <w:name w:val="List Table 4 - Accent 4"/>
    <w:basedOn w:val="72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8" w:customStyle="1">
    <w:name w:val="List Table 4 - Accent 5"/>
    <w:basedOn w:val="72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9" w:customStyle="1">
    <w:name w:val="List Table 4 - Accent 6"/>
    <w:basedOn w:val="72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0" w:customStyle="1">
    <w:name w:val="List Table 5 Dark"/>
    <w:basedOn w:val="7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1"/>
    <w:basedOn w:val="72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2"/>
    <w:basedOn w:val="72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3"/>
    <w:basedOn w:val="72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4"/>
    <w:basedOn w:val="72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5"/>
    <w:basedOn w:val="72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6"/>
    <w:basedOn w:val="72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6 Colorful"/>
    <w:basedOn w:val="7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6 Colorful - Accent 1"/>
    <w:basedOn w:val="72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9" w:customStyle="1">
    <w:name w:val="List Table 6 Colorful - Accent 2"/>
    <w:basedOn w:val="72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0" w:customStyle="1">
    <w:name w:val="List Table 6 Colorful - Accent 3"/>
    <w:basedOn w:val="72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1" w:customStyle="1">
    <w:name w:val="List Table 6 Colorful - Accent 4"/>
    <w:basedOn w:val="72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2" w:customStyle="1">
    <w:name w:val="List Table 6 Colorful - Accent 5"/>
    <w:basedOn w:val="72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3" w:customStyle="1">
    <w:name w:val="List Table 6 Colorful - Accent 6"/>
    <w:basedOn w:val="72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4" w:customStyle="1">
    <w:name w:val="List Table 7 Colorful"/>
    <w:basedOn w:val="7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basedOn w:val="72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basedOn w:val="72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basedOn w:val="72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basedOn w:val="72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basedOn w:val="72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basedOn w:val="72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1" w:customStyle="1">
    <w:name w:val="Lined - Accent"/>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Lined - Accent 2"/>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Lined - Accent 3"/>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Lined - Accent 4"/>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Lined - Accent 5"/>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Lined - Accent 6"/>
    <w:basedOn w:val="72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amp; Lined - Accent"/>
    <w:basedOn w:val="72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basedOn w:val="72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Bordered &amp; Lined - Accent 2"/>
    <w:basedOn w:val="72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Bordered &amp; Lined - Accent 3"/>
    <w:basedOn w:val="72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Bordered &amp; Lined - Accent 4"/>
    <w:basedOn w:val="72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Bordered &amp; Lined - Accent 5"/>
    <w:basedOn w:val="72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Bordered &amp; Lined - Accent 6"/>
    <w:basedOn w:val="72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w:basedOn w:val="72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basedOn w:val="72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7" w:customStyle="1">
    <w:name w:val="Bordered - Accent 2"/>
    <w:basedOn w:val="72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8" w:customStyle="1">
    <w:name w:val="Bordered - Accent 3"/>
    <w:basedOn w:val="72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9" w:customStyle="1">
    <w:name w:val="Bordered - Accent 4"/>
    <w:basedOn w:val="72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0" w:customStyle="1">
    <w:name w:val="Bordered - Accent 5"/>
    <w:basedOn w:val="72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1" w:customStyle="1">
    <w:name w:val="Bordered - Accent 6"/>
    <w:basedOn w:val="72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2" w:customStyle="1">
    <w:name w:val="Footnote Text Char"/>
    <w:link w:val="750"/>
    <w:uiPriority w:val="99"/>
    <w:qFormat/>
    <w:rPr>
      <w:sz w:val="18"/>
    </w:rPr>
  </w:style>
  <w:style w:type="character" w:styleId="913" w:customStyle="1">
    <w:name w:val="Endnote Text Char"/>
    <w:link w:val="743"/>
    <w:uiPriority w:val="99"/>
    <w:qFormat/>
    <w:rPr>
      <w:sz w:val="20"/>
    </w:rPr>
  </w:style>
  <w:style w:type="paragraph" w:styleId="914" w:customStyle="1">
    <w:name w:val="TOC Heading"/>
    <w:uiPriority w:val="39"/>
    <w:unhideWhenUsed/>
    <w:qFormat/>
    <w:rPr>
      <w:rFonts w:hint="default" w:asciiTheme="minorHAnsi" w:hAnsiTheme="minorHAnsi" w:eastAsiaTheme="minorEastAsia" w:cstheme="minorBidi"/>
    </w:rPr>
  </w:style>
  <w:style w:type="character" w:styleId="915" w:customStyle="1">
    <w:name w:val="页眉 Char"/>
    <w:basedOn w:val="728"/>
    <w:link w:val="746"/>
    <w:uiPriority w:val="99"/>
    <w:semiHidden/>
    <w:qFormat/>
    <w:rPr>
      <w:sz w:val="18"/>
      <w:szCs w:val="18"/>
    </w:rPr>
  </w:style>
  <w:style w:type="character" w:styleId="916" w:customStyle="1">
    <w:name w:val="页脚 Char"/>
    <w:basedOn w:val="728"/>
    <w:link w:val="745"/>
    <w:uiPriority w:val="99"/>
    <w:qFormat/>
    <w:rPr>
      <w:sz w:val="18"/>
      <w:szCs w:val="18"/>
    </w:rPr>
  </w:style>
  <w:style w:type="character" w:styleId="917" w:customStyle="1">
    <w:name w:val="标题 1 Char"/>
    <w:basedOn w:val="728"/>
    <w:link w:val="719"/>
    <w:uiPriority w:val="9"/>
    <w:qFormat/>
    <w:rPr>
      <w:b/>
      <w:bCs/>
      <w:sz w:val="44"/>
      <w:szCs w:val="44"/>
    </w:rPr>
  </w:style>
  <w:style w:type="character" w:styleId="918" w:customStyle="1">
    <w:name w:val="文档结构图 Char"/>
    <w:basedOn w:val="728"/>
    <w:link w:val="733"/>
    <w:uiPriority w:val="99"/>
    <w:semiHidden/>
    <w:qFormat/>
    <w:rPr>
      <w:rFonts w:ascii="宋体" w:eastAsia="宋体"/>
      <w:sz w:val="18"/>
      <w:szCs w:val="18"/>
    </w:rPr>
  </w:style>
  <w:style w:type="character" w:styleId="919" w:customStyle="1">
    <w:name w:val="标题 2 Char"/>
    <w:basedOn w:val="728"/>
    <w:link w:val="720"/>
    <w:uiPriority w:val="9"/>
    <w:qFormat/>
    <w:rPr>
      <w:rFonts w:asciiTheme="majorHAnsi" w:hAnsiTheme="majorHAnsi" w:eastAsiaTheme="majorEastAsia" w:cstheme="majorBidi"/>
      <w:b/>
      <w:bCs/>
      <w:sz w:val="32"/>
      <w:szCs w:val="32"/>
    </w:rPr>
  </w:style>
  <w:style w:type="character" w:styleId="920" w:customStyle="1">
    <w:name w:val="标题 3 Char"/>
    <w:basedOn w:val="728"/>
    <w:link w:val="721"/>
    <w:uiPriority w:val="9"/>
    <w:qFormat/>
    <w:rPr>
      <w:b/>
      <w:bCs/>
      <w:sz w:val="32"/>
      <w:szCs w:val="32"/>
    </w:rPr>
  </w:style>
  <w:style w:type="character" w:styleId="921" w:customStyle="1">
    <w:name w:val="日期 Char"/>
    <w:basedOn w:val="728"/>
    <w:link w:val="742"/>
    <w:uiPriority w:val="99"/>
    <w:semiHidden/>
    <w:qFormat/>
  </w:style>
  <w:style w:type="character" w:styleId="922" w:customStyle="1">
    <w:name w:val="批注文字 Char"/>
    <w:basedOn w:val="728"/>
    <w:link w:val="734"/>
    <w:uiPriority w:val="0"/>
    <w:qFormat/>
    <w:rPr>
      <w:rFonts w:ascii="Times New Roman" w:hAnsi="Times New Roman" w:eastAsia="宋体" w:cs="Times New Roman"/>
      <w:szCs w:val="24"/>
    </w:rPr>
  </w:style>
  <w:style w:type="character" w:styleId="923" w:customStyle="1">
    <w:name w:val="批注框文本 Char"/>
    <w:basedOn w:val="728"/>
    <w:link w:val="744"/>
    <w:uiPriority w:val="99"/>
    <w:semiHidden/>
    <w:qFormat/>
    <w:rPr>
      <w:sz w:val="18"/>
      <w:szCs w:val="18"/>
    </w:rPr>
  </w:style>
  <w:style w:type="character" w:styleId="924" w:customStyle="1">
    <w:name w:val="Default Char"/>
    <w:link w:val="766"/>
    <w:uiPriority w:val="99"/>
    <w:qFormat/>
    <w:rPr>
      <w:rFonts w:ascii="MS Mincho" w:hAnsi="Calibri" w:eastAsia="宋体" w:cs="Times New Roman"/>
      <w:color w:val="000000"/>
      <w:szCs w:val="24"/>
    </w:rPr>
  </w:style>
  <w:style w:type="character" w:styleId="925" w:customStyle="1">
    <w:name w:val="纯文本 Char"/>
    <w:basedOn w:val="728"/>
    <w:link w:val="740"/>
    <w:uiPriority w:val="0"/>
    <w:qFormat/>
    <w:rPr>
      <w:rFonts w:ascii="宋体" w:hAnsi="Courier New" w:eastAsia="宋体" w:cs="Times New Roman"/>
      <w:szCs w:val="20"/>
    </w:rPr>
  </w:style>
  <w:style w:type="character" w:styleId="926" w:customStyle="1">
    <w:name w:val="批注主题 Char"/>
    <w:basedOn w:val="922"/>
    <w:link w:val="757"/>
    <w:uiPriority w:val="99"/>
    <w:semiHidden/>
    <w:qFormat/>
    <w:rPr>
      <w:b/>
      <w:bCs/>
    </w:rPr>
  </w:style>
  <w:style w:type="character" w:styleId="927" w:customStyle="1">
    <w:name w:val="正文文本缩进 Char"/>
    <w:basedOn w:val="728"/>
    <w:link w:val="736"/>
    <w:uiPriority w:val="0"/>
    <w:qFormat/>
    <w:rPr>
      <w:rFonts w:eastAsia="仿宋_GB2312"/>
      <w:sz w:val="30"/>
      <w:szCs w:val="30"/>
    </w:rPr>
  </w:style>
  <w:style w:type="paragraph" w:styleId="928" w:customStyle="1">
    <w:name w:val="正文1"/>
    <w:basedOn w:val="731"/>
    <w:uiPriority w:val="99"/>
    <w:qFormat/>
    <w:pPr>
      <w:jc w:val="both"/>
    </w:pPr>
    <w:rPr>
      <w:rFonts w:ascii="Calibri" w:hAnsi="Calibri" w:eastAsia="宋体" w:cs="Times New Roman"/>
      <w:sz w:val="21"/>
      <w:szCs w:val="21"/>
      <w:lang w:val="en-US" w:eastAsia="zh-CN" w:bidi="ar-SA"/>
    </w:rPr>
  </w:style>
  <w:style w:type="character" w:styleId="929" w:customStyle="1">
    <w:name w:val="15"/>
    <w:basedOn w:val="728"/>
    <w:uiPriority w:val="0"/>
    <w:qFormat/>
    <w:rPr>
      <w:rFonts w:hint="default" w:ascii="Times New Roman" w:hAnsi="Times New Roman" w:cs="Times New Roman"/>
    </w:rPr>
  </w:style>
  <w:style w:type="character" w:styleId="930" w:customStyle="1">
    <w:name w:val="font31"/>
    <w:basedOn w:val="728"/>
    <w:uiPriority w:val="0"/>
    <w:qFormat/>
    <w:rPr>
      <w:rFonts w:hint="eastAsia" w:ascii="方正仿宋_GBK" w:hAnsi="方正仿宋_GBK" w:eastAsia="方正仿宋_GBK" w:cs="方正仿宋_GBK"/>
      <w:color w:val="000000"/>
      <w:sz w:val="24"/>
      <w:szCs w:val="24"/>
      <w:u w:val="none"/>
    </w:rPr>
  </w:style>
  <w:style w:type="character" w:styleId="931" w:customStyle="1">
    <w:name w:val="font41"/>
    <w:basedOn w:val="728"/>
    <w:uiPriority w:val="0"/>
    <w:qFormat/>
    <w:rPr>
      <w:rFonts w:hint="default" w:ascii="Times New Roman" w:hAnsi="Times New Roman" w:cs="Times New Roman"/>
      <w:color w:val="000000"/>
      <w:sz w:val="24"/>
      <w:szCs w:val="24"/>
      <w:u w:val="none"/>
    </w:rPr>
  </w:style>
  <w:style w:type="character" w:styleId="932" w:customStyle="1">
    <w:name w:val="font51"/>
    <w:basedOn w:val="728"/>
    <w:uiPriority w:val="0"/>
    <w:qFormat/>
    <w:rPr>
      <w:rFonts w:hint="eastAsia" w:ascii="方正仿宋_GBK" w:hAnsi="方正仿宋_GBK" w:eastAsia="方正仿宋_GBK" w:cs="方正仿宋_GBK"/>
      <w:color w:val="333333"/>
      <w:sz w:val="24"/>
      <w:szCs w:val="24"/>
      <w:u w:val="none"/>
    </w:rPr>
  </w:style>
  <w:style w:type="character" w:styleId="933" w:customStyle="1">
    <w:name w:val="font61"/>
    <w:basedOn w:val="728"/>
    <w:uiPriority w:val="0"/>
    <w:qFormat/>
    <w:rPr>
      <w:rFonts w:hint="default" w:ascii="Times New Roman" w:hAnsi="Times New Roman" w:cs="Times New Roman"/>
      <w:color w:val="333333"/>
      <w:sz w:val="24"/>
      <w:szCs w:val="24"/>
      <w:u w:val="none"/>
    </w:rPr>
  </w:style>
  <w:style w:type="character" w:styleId="934" w:customStyle="1">
    <w:name w:val="font81"/>
    <w:basedOn w:val="728"/>
    <w:uiPriority w:val="0"/>
    <w:qFormat/>
    <w:rPr>
      <w:rFonts w:hint="default" w:ascii="Times New Roman" w:hAnsi="Times New Roman" w:cs="Times New Roman"/>
      <w:color w:val="000000"/>
      <w:sz w:val="28"/>
      <w:szCs w:val="28"/>
      <w:u w:val="none"/>
    </w:rPr>
  </w:style>
  <w:style w:type="character" w:styleId="935" w:customStyle="1">
    <w:name w:val="font71"/>
    <w:basedOn w:val="728"/>
    <w:uiPriority w:val="0"/>
    <w:qFormat/>
    <w:rPr>
      <w:rFonts w:hint="eastAsia" w:ascii="方正仿宋_GBK" w:hAnsi="方正仿宋_GBK" w:eastAsia="方正仿宋_GBK" w:cs="方正仿宋_GBK"/>
      <w:color w:val="000000"/>
      <w:sz w:val="28"/>
      <w:szCs w:val="28"/>
      <w:u w:val="none"/>
    </w:rPr>
  </w:style>
  <w:style w:type="character" w:styleId="936" w:customStyle="1">
    <w:name w:val="NormalCharacter"/>
    <w:link w:val="937"/>
    <w:uiPriority w:val="0"/>
    <w:semiHidden/>
    <w:qFormat/>
    <w:rPr>
      <w:sz w:val="20"/>
      <w:szCs w:val="20"/>
    </w:rPr>
  </w:style>
  <w:style w:type="paragraph" w:styleId="937" w:customStyle="1">
    <w:name w:val="UserStyle_0"/>
    <w:basedOn w:val="718"/>
    <w:link w:val="936"/>
    <w:uiPriority w:val="0"/>
    <w:semiHidden/>
    <w:qFormat/>
    <w:pPr>
      <w:widowControl/>
    </w:pPr>
    <w:rPr>
      <w:sz w:val="20"/>
      <w:szCs w:val="20"/>
    </w:rPr>
  </w:style>
  <w:style w:type="numbering" w:styleId="78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刘承杰</cp:lastModifiedBy>
  <cp:revision>2</cp:revision>
  <dcterms:created xsi:type="dcterms:W3CDTF">2024-01-04T03:50:00Z</dcterms:created>
  <dcterms:modified xsi:type="dcterms:W3CDTF">2025-10-09T02:01:39Z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B8725CF93180445BAE7A16C6D0845599_13</vt:lpwstr>
  </property>
  <property fmtid="{D5CDD505-2E9C-101B-9397-08002B2CF9AE}" pid="4" name="KSOTemplateDocerSaveRecord">
    <vt:lpwstr>eyJoZGlkIjoiZDJiNTBmMDllNTBkYjVjZjg4ZDEyZmJmY2M0MjNmOWIiLCJ1c2VySWQiOiIzMTk3MzA5ODIifQ==</vt:lpwstr>
  </property>
</Properties>
</file>