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074E">
      <w:pPr>
        <w:spacing w:line="360" w:lineRule="auto"/>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睢宁县精神病医院智慧医疗系统服务项目</w:t>
      </w:r>
    </w:p>
    <w:p w14:paraId="4CC4A3D3">
      <w:pPr>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更正（澄清）内容（一）</w:t>
      </w:r>
    </w:p>
    <w:p w14:paraId="1C51E9F3">
      <w:pPr>
        <w:pStyle w:val="8"/>
        <w:spacing w:line="360" w:lineRule="auto"/>
        <w:ind w:left="0" w:leftChars="0" w:firstLine="482" w:firstLineChars="20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一、以下为澄清或者修改的内容</w:t>
      </w:r>
      <w:bookmarkStart w:id="1" w:name="_GoBack"/>
      <w:bookmarkEnd w:id="1"/>
    </w:p>
    <w:p w14:paraId="21F81183">
      <w:pPr>
        <w:pStyle w:val="27"/>
        <w:ind w:firstLine="482" w:firstLineChars="200"/>
        <w:rPr>
          <w:rFonts w:hint="default" w:ascii="仿宋" w:hAnsi="仿宋" w:eastAsia="仿宋" w:cs="仿宋"/>
          <w:b/>
          <w:bCs/>
          <w:color w:val="auto"/>
          <w:sz w:val="24"/>
          <w:szCs w:val="24"/>
          <w:lang w:val="en-US" w:eastAsia="zh-CN"/>
        </w:rPr>
      </w:pPr>
      <w:r>
        <w:rPr>
          <w:rStyle w:val="7"/>
          <w:rFonts w:hint="eastAsia" w:ascii="仿宋" w:hAnsi="仿宋" w:eastAsia="仿宋" w:cs="仿宋"/>
          <w:b/>
          <w:bCs w:val="0"/>
          <w:i w:val="0"/>
          <w:iCs w:val="0"/>
          <w:caps w:val="0"/>
          <w:color w:val="auto"/>
          <w:spacing w:val="0"/>
          <w:sz w:val="24"/>
          <w:szCs w:val="24"/>
          <w:highlight w:val="none"/>
          <w:lang w:val="en-US" w:eastAsia="zh-CN"/>
        </w:rPr>
        <w:t>1、原招标文件</w:t>
      </w:r>
      <w:r>
        <w:rPr>
          <w:rFonts w:hint="eastAsia" w:ascii="仿宋" w:hAnsi="仿宋" w:eastAsia="仿宋" w:cs="仿宋"/>
          <w:b/>
          <w:bCs/>
          <w:color w:val="auto"/>
          <w:sz w:val="24"/>
          <w:szCs w:val="24"/>
          <w:lang w:val="en-US" w:eastAsia="zh-CN"/>
        </w:rPr>
        <w:t>第六章《采购需求》“四、建设清单及技术需求”中</w:t>
      </w:r>
    </w:p>
    <w:p w14:paraId="21B194BA">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1.5硬件部分技术参数需求</w:t>
      </w:r>
    </w:p>
    <w:p w14:paraId="5A19FD85">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1.5.1防火墙</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8227"/>
      </w:tblGrid>
      <w:tr w14:paraId="2C14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1" w:type="pct"/>
            <w:noWrap w:val="0"/>
            <w:vAlign w:val="center"/>
          </w:tcPr>
          <w:p w14:paraId="5F4E5038">
            <w:pPr>
              <w:keepNext w:val="0"/>
              <w:keepLines w:val="0"/>
              <w:widowControl/>
              <w:suppressLineNumbers w:val="0"/>
              <w:spacing w:before="0" w:beforeAutospacing="0" w:after="0" w:afterAutospacing="0" w:line="240" w:lineRule="auto"/>
              <w:ind w:left="0" w:right="0" w:firstLine="20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4129" w:type="pct"/>
            <w:shd w:val="clear" w:color="auto" w:fill="auto"/>
            <w:noWrap w:val="0"/>
            <w:vAlign w:val="center"/>
          </w:tcPr>
          <w:p w14:paraId="7F5FAA3C">
            <w:pPr>
              <w:keepNext w:val="0"/>
              <w:keepLines w:val="0"/>
              <w:widowControl/>
              <w:suppressLineNumbers w:val="0"/>
              <w:spacing w:before="0" w:beforeAutospacing="0" w:after="0" w:afterAutospacing="0" w:line="240" w:lineRule="auto"/>
              <w:ind w:left="0" w:right="0" w:firstLine="442"/>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51B6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noWrap w:val="0"/>
            <w:vAlign w:val="center"/>
          </w:tcPr>
          <w:p w14:paraId="419D1D3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基本规格</w:t>
            </w:r>
          </w:p>
        </w:tc>
        <w:tc>
          <w:tcPr>
            <w:tcW w:w="4129" w:type="pct"/>
            <w:shd w:val="clear" w:color="auto" w:fill="auto"/>
            <w:noWrap w:val="0"/>
            <w:vAlign w:val="center"/>
          </w:tcPr>
          <w:p w14:paraId="263DB51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标准机架式设备，</w:t>
            </w:r>
            <w:r>
              <w:rPr>
                <w:rFonts w:hint="eastAsia" w:ascii="仿宋" w:hAnsi="仿宋" w:eastAsia="仿宋" w:cs="仿宋"/>
                <w:color w:val="auto"/>
                <w:kern w:val="0"/>
                <w:sz w:val="24"/>
                <w:szCs w:val="24"/>
                <w:highlight w:val="none"/>
                <w:lang w:val="en-US" w:eastAsia="zh-CN"/>
              </w:rPr>
              <w:t>国产化</w:t>
            </w:r>
            <w:r>
              <w:rPr>
                <w:rFonts w:hint="eastAsia" w:ascii="仿宋" w:hAnsi="仿宋" w:eastAsia="仿宋" w:cs="仿宋"/>
                <w:color w:val="auto"/>
                <w:kern w:val="0"/>
                <w:sz w:val="24"/>
                <w:szCs w:val="24"/>
                <w:highlight w:val="none"/>
              </w:rPr>
              <w:t>硬件平台，配置8个10/100/1000M Base-TX；2个万兆口，16G内存，4T硬盘，吞吐量≧10G，并发连接数≧400万，默认支持IPSec VPN和SSL VPN模块（含200个并发用户授权）；开通AV模块，IPS模块；三年IPS特征库升级，三年AV病毒库升级，三年硬件质保。</w:t>
            </w:r>
          </w:p>
        </w:tc>
      </w:tr>
      <w:tr w14:paraId="3CE2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noWrap w:val="0"/>
            <w:vAlign w:val="center"/>
          </w:tcPr>
          <w:p w14:paraId="64402B1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工作模式</w:t>
            </w:r>
          </w:p>
        </w:tc>
        <w:tc>
          <w:tcPr>
            <w:tcW w:w="4129" w:type="pct"/>
            <w:shd w:val="clear" w:color="auto" w:fill="auto"/>
            <w:noWrap w:val="0"/>
            <w:vAlign w:val="center"/>
          </w:tcPr>
          <w:p w14:paraId="78EB589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r>
              <w:rPr>
                <w:rFonts w:hint="eastAsia" w:ascii="仿宋" w:hAnsi="仿宋" w:eastAsia="仿宋" w:cs="仿宋"/>
                <w:color w:val="auto"/>
                <w:kern w:val="0"/>
                <w:sz w:val="24"/>
                <w:szCs w:val="24"/>
                <w:highlight w:val="none"/>
                <w:lang w:eastAsia="zh-CN"/>
              </w:rPr>
              <w:t>国产</w:t>
            </w:r>
            <w:r>
              <w:rPr>
                <w:rFonts w:hint="eastAsia" w:ascii="仿宋" w:hAnsi="仿宋" w:eastAsia="仿宋" w:cs="仿宋"/>
                <w:color w:val="auto"/>
                <w:kern w:val="0"/>
                <w:sz w:val="24"/>
                <w:szCs w:val="24"/>
                <w:highlight w:val="none"/>
              </w:rPr>
              <w:t>操作系统，可在Web界面完成系统备份、系统恢复、指定启动系统操作</w:t>
            </w:r>
          </w:p>
        </w:tc>
      </w:tr>
      <w:tr w14:paraId="18A1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noWrap w:val="0"/>
            <w:vAlign w:val="center"/>
          </w:tcPr>
          <w:p w14:paraId="6BE1910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模版式配置管理</w:t>
            </w:r>
          </w:p>
        </w:tc>
        <w:tc>
          <w:tcPr>
            <w:tcW w:w="4129" w:type="pct"/>
            <w:shd w:val="clear" w:color="auto" w:fill="auto"/>
            <w:noWrap w:val="0"/>
            <w:vAlign w:val="center"/>
          </w:tcPr>
          <w:p w14:paraId="0E60D9B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▲支持系统主要防护功能的统一化模版设置，模版分为高、中、低三个级别，对应不同防护强度，可通过Web界面单击选择切换及扩展通过设备面板外置按键一键切换（提供面板外置按键照片证明）</w:t>
            </w:r>
          </w:p>
        </w:tc>
      </w:tr>
      <w:tr w14:paraId="3915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vMerge w:val="restart"/>
            <w:noWrap w:val="0"/>
            <w:vAlign w:val="center"/>
          </w:tcPr>
          <w:p w14:paraId="7CA3CE1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网络适应性</w:t>
            </w:r>
          </w:p>
        </w:tc>
        <w:tc>
          <w:tcPr>
            <w:tcW w:w="4129" w:type="pct"/>
            <w:shd w:val="clear" w:color="auto" w:fill="auto"/>
            <w:noWrap w:val="0"/>
            <w:vAlign w:val="center"/>
          </w:tcPr>
          <w:p w14:paraId="5864FC5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支持基于应用的策略路由，可实现为不同的应用类型智能选择相应的链路、支持基于文件类型的策略路由，可实现将预定义或者自定义的文件按照不同的分类进行智能选路。</w:t>
            </w:r>
          </w:p>
        </w:tc>
      </w:tr>
      <w:tr w14:paraId="77E2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vMerge w:val="continue"/>
            <w:noWrap w:val="0"/>
            <w:vAlign w:val="center"/>
          </w:tcPr>
          <w:p w14:paraId="6BCE6B0A">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9" w:type="pct"/>
            <w:shd w:val="clear" w:color="auto" w:fill="auto"/>
            <w:noWrap w:val="0"/>
            <w:vAlign w:val="center"/>
          </w:tcPr>
          <w:p w14:paraId="6FF754B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要求支持将任意接口数据完全镜像到设备自身的其他接口，用于抓包分析</w:t>
            </w:r>
          </w:p>
        </w:tc>
      </w:tr>
      <w:tr w14:paraId="3F3D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noWrap w:val="0"/>
            <w:vAlign w:val="center"/>
          </w:tcPr>
          <w:p w14:paraId="7ABCB6F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网络访问控制</w:t>
            </w:r>
          </w:p>
        </w:tc>
        <w:tc>
          <w:tcPr>
            <w:tcW w:w="4129" w:type="pct"/>
            <w:shd w:val="clear" w:color="auto" w:fill="auto"/>
            <w:noWrap w:val="0"/>
            <w:vAlign w:val="center"/>
          </w:tcPr>
          <w:p w14:paraId="0F40892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支持策略命中数显示，并支持通过安全策略命中数范围查询</w:t>
            </w:r>
          </w:p>
        </w:tc>
      </w:tr>
      <w:tr w14:paraId="7973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restart"/>
            <w:noWrap w:val="0"/>
            <w:vAlign w:val="center"/>
          </w:tcPr>
          <w:p w14:paraId="401C134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IPSEC VPN</w:t>
            </w:r>
          </w:p>
        </w:tc>
        <w:tc>
          <w:tcPr>
            <w:tcW w:w="4129" w:type="pct"/>
            <w:shd w:val="clear" w:color="auto" w:fill="auto"/>
            <w:noWrap w:val="0"/>
            <w:vAlign w:val="center"/>
          </w:tcPr>
          <w:p w14:paraId="3D3B3E1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支持DMVPN，在增加一个新的分支节点网关后，不需要在中心网关更改任何配置，且支持路由推送，实现spoke to spoke互通，不必建立额外隧道</w:t>
            </w:r>
          </w:p>
        </w:tc>
      </w:tr>
      <w:tr w14:paraId="784C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continue"/>
            <w:noWrap w:val="0"/>
            <w:vAlign w:val="center"/>
          </w:tcPr>
          <w:p w14:paraId="15E74CB3">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9" w:type="pct"/>
            <w:shd w:val="clear" w:color="auto" w:fill="auto"/>
            <w:noWrap w:val="0"/>
            <w:vAlign w:val="center"/>
          </w:tcPr>
          <w:p w14:paraId="688C3AD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支持多NAT环境下的多用户L2TP认证加密接入</w:t>
            </w:r>
          </w:p>
        </w:tc>
      </w:tr>
      <w:tr w14:paraId="50C3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restart"/>
            <w:noWrap w:val="0"/>
            <w:vAlign w:val="center"/>
          </w:tcPr>
          <w:p w14:paraId="738EF68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入侵防御</w:t>
            </w:r>
          </w:p>
        </w:tc>
        <w:tc>
          <w:tcPr>
            <w:tcW w:w="4129" w:type="pct"/>
            <w:shd w:val="clear" w:color="auto" w:fill="auto"/>
            <w:noWrap w:val="0"/>
            <w:vAlign w:val="center"/>
          </w:tcPr>
          <w:p w14:paraId="5AE2241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支持基于策略的入侵检测与防护，可针对不同的源目IP地址、源MAC地址、服务、时间、安全域、用户等，采用不同的入侵防护策略</w:t>
            </w:r>
          </w:p>
        </w:tc>
      </w:tr>
      <w:tr w14:paraId="39CE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continue"/>
            <w:noWrap w:val="0"/>
            <w:vAlign w:val="center"/>
          </w:tcPr>
          <w:p w14:paraId="0D1409C8">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9" w:type="pct"/>
            <w:shd w:val="clear" w:color="auto" w:fill="auto"/>
            <w:noWrap w:val="0"/>
            <w:vAlign w:val="center"/>
          </w:tcPr>
          <w:p w14:paraId="6201BD0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支持HTTP类攻击重定向功能，能够把HTTP协议的攻击类型重定向到指定蜜罐系统，便于对攻击进行审计与分析</w:t>
            </w:r>
          </w:p>
        </w:tc>
      </w:tr>
      <w:tr w14:paraId="1074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restart"/>
            <w:noWrap w:val="0"/>
            <w:vAlign w:val="center"/>
          </w:tcPr>
          <w:p w14:paraId="32A0D55D">
            <w:pPr>
              <w:keepNext w:val="0"/>
              <w:keepLines w:val="0"/>
              <w:widowControl/>
              <w:suppressLineNumbers w:val="0"/>
              <w:spacing w:before="0" w:beforeAutospacing="0" w:after="0" w:afterAutospacing="0" w:line="240" w:lineRule="auto"/>
              <w:ind w:left="0" w:right="0" w:firstLine="199"/>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防病毒</w:t>
            </w:r>
          </w:p>
        </w:tc>
        <w:tc>
          <w:tcPr>
            <w:tcW w:w="4129" w:type="pct"/>
            <w:shd w:val="clear" w:color="auto" w:fill="auto"/>
            <w:noWrap w:val="0"/>
            <w:vAlign w:val="center"/>
          </w:tcPr>
          <w:p w14:paraId="1D1A74B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支持基于策略的病毒扫描与防护，可针对不同的源目IP地址、源MAC地址、服务、时间、安全域、用户等，采用不同的病毒防护策略</w:t>
            </w:r>
          </w:p>
        </w:tc>
      </w:tr>
      <w:tr w14:paraId="5F4B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continue"/>
            <w:noWrap w:val="0"/>
            <w:vAlign w:val="center"/>
          </w:tcPr>
          <w:p w14:paraId="1E4C6CD3">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9" w:type="pct"/>
            <w:shd w:val="clear" w:color="auto" w:fill="auto"/>
            <w:noWrap w:val="0"/>
            <w:vAlign w:val="center"/>
          </w:tcPr>
          <w:p w14:paraId="667A833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支持隔离病毒源地址，防止病毒源主机访问内部网络，提高网络整体安全性</w:t>
            </w:r>
          </w:p>
        </w:tc>
      </w:tr>
      <w:tr w14:paraId="33D4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noWrap w:val="0"/>
          </w:tcPr>
          <w:p w14:paraId="3344E2B7">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p w14:paraId="79BC585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加密算法</w:t>
            </w:r>
          </w:p>
        </w:tc>
        <w:tc>
          <w:tcPr>
            <w:tcW w:w="4129" w:type="pct"/>
            <w:shd w:val="clear" w:color="auto" w:fill="auto"/>
            <w:noWrap w:val="0"/>
            <w:vAlign w:val="center"/>
          </w:tcPr>
          <w:p w14:paraId="54DE236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▲TLS加密算法支持选择TLS1.0、TLS1.1、TL</w:t>
            </w:r>
            <w:r>
              <w:rPr>
                <w:rFonts w:hint="eastAsia" w:ascii="仿宋" w:hAnsi="仿宋" w:eastAsia="仿宋" w:cs="仿宋"/>
                <w:color w:val="auto"/>
                <w:kern w:val="0"/>
                <w:sz w:val="24"/>
                <w:szCs w:val="24"/>
                <w:highlight w:val="none"/>
                <w:lang w:val="en-US" w:eastAsia="zh-CN"/>
              </w:rPr>
              <w:t>S</w:t>
            </w:r>
            <w:r>
              <w:rPr>
                <w:rFonts w:hint="eastAsia" w:ascii="仿宋" w:hAnsi="仿宋" w:eastAsia="仿宋" w:cs="仿宋"/>
                <w:color w:val="auto"/>
                <w:kern w:val="0"/>
                <w:sz w:val="24"/>
                <w:szCs w:val="24"/>
                <w:highlight w:val="none"/>
              </w:rPr>
              <w:t>1.2和TLS1.3，并支持国密TLS；(要求提供具有第三方检测机构报告)</w:t>
            </w:r>
          </w:p>
        </w:tc>
      </w:tr>
      <w:tr w14:paraId="422B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noWrap w:val="0"/>
          </w:tcPr>
          <w:p w14:paraId="1879ABC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抗拒绝服务攻击</w:t>
            </w:r>
          </w:p>
        </w:tc>
        <w:tc>
          <w:tcPr>
            <w:tcW w:w="4129" w:type="pct"/>
            <w:shd w:val="clear" w:color="auto" w:fill="auto"/>
            <w:noWrap w:val="0"/>
            <w:vAlign w:val="center"/>
          </w:tcPr>
          <w:p w14:paraId="4E72D63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支持主流ICMPFLOOD\SYNFLOOD\ACKFLOOD\SYNACKFLOOD\UDPFLOOD攻击防护，采用专业高效攻击防护算法，非采用简单的阈值进行攻击防护</w:t>
            </w:r>
          </w:p>
        </w:tc>
      </w:tr>
      <w:tr w14:paraId="72F9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1" w:type="pct"/>
            <w:vMerge w:val="restart"/>
            <w:noWrap w:val="0"/>
          </w:tcPr>
          <w:p w14:paraId="53E57CE8">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7B3D82C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统一认证管理</w:t>
            </w:r>
          </w:p>
        </w:tc>
        <w:tc>
          <w:tcPr>
            <w:tcW w:w="4129" w:type="pct"/>
            <w:shd w:val="clear" w:color="auto" w:fill="auto"/>
            <w:noWrap w:val="0"/>
            <w:vAlign w:val="center"/>
          </w:tcPr>
          <w:p w14:paraId="18129C3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支持对入网终端的系统版本和运行进程进行准入检查</w:t>
            </w:r>
          </w:p>
        </w:tc>
      </w:tr>
      <w:tr w14:paraId="2231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1" w:type="pct"/>
            <w:vMerge w:val="continue"/>
            <w:noWrap w:val="0"/>
          </w:tcPr>
          <w:p w14:paraId="7D62E466">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9" w:type="pct"/>
            <w:shd w:val="clear" w:color="auto" w:fill="auto"/>
            <w:noWrap w:val="0"/>
            <w:vAlign w:val="center"/>
          </w:tcPr>
          <w:p w14:paraId="7197F47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支持显示详细的用户在线信息，包括用户名称、真实姓名、所属组、认证源、接入方式、认证方式、登录IP/MAC、在线时间、登录时间和可对其进行相关操作</w:t>
            </w:r>
          </w:p>
        </w:tc>
      </w:tr>
      <w:tr w14:paraId="5C04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1" w:type="pct"/>
            <w:noWrap w:val="0"/>
          </w:tcPr>
          <w:p w14:paraId="486094F5">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p w14:paraId="2B471F2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漏洞扫描</w:t>
            </w:r>
          </w:p>
        </w:tc>
        <w:tc>
          <w:tcPr>
            <w:tcW w:w="4129" w:type="pct"/>
            <w:shd w:val="clear" w:color="auto" w:fill="auto"/>
            <w:noWrap w:val="0"/>
            <w:vAlign w:val="center"/>
          </w:tcPr>
          <w:p w14:paraId="47A793F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包括后门、服务探测、文件共享、Windows系统补丁、认证等主动式扫描、支持周，月定时漏洞扫描设置,及一次性漏洞扫描设置、支持同多台漏扫服务器联动同步，并根据安全策略对漏扫服务器高等级漏洞进行处理</w:t>
            </w:r>
          </w:p>
        </w:tc>
      </w:tr>
      <w:tr w14:paraId="7139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noWrap w:val="0"/>
            <w:vAlign w:val="center"/>
          </w:tcPr>
          <w:p w14:paraId="385FA7B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资产风险评估</w:t>
            </w:r>
          </w:p>
        </w:tc>
        <w:tc>
          <w:tcPr>
            <w:tcW w:w="4129" w:type="pct"/>
            <w:shd w:val="clear" w:color="auto" w:fill="auto"/>
            <w:noWrap w:val="0"/>
            <w:vAlign w:val="center"/>
          </w:tcPr>
          <w:p w14:paraId="584FE96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全方位、多角度的风险趋势呈现。支持以曲线图形的方式呈现全网和核心资产的风险变化趋势。支持以柱状堆叠图形（按安全事件分类）的方式呈现全网和核心资产安全事件的趋势统计，每类安全事件是否参与统计可调节。支持以处理动作（如阻断/放行）的趋势统计</w:t>
            </w:r>
          </w:p>
        </w:tc>
      </w:tr>
      <w:tr w14:paraId="3372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noWrap w:val="0"/>
            <w:vAlign w:val="center"/>
          </w:tcPr>
          <w:p w14:paraId="4827BEE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安全日志</w:t>
            </w:r>
          </w:p>
        </w:tc>
        <w:tc>
          <w:tcPr>
            <w:tcW w:w="4129" w:type="pct"/>
            <w:shd w:val="clear" w:color="auto" w:fill="auto"/>
            <w:noWrap w:val="0"/>
            <w:vAlign w:val="center"/>
          </w:tcPr>
          <w:p w14:paraId="49A9907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支持3个Syslog服务器，发送流量、系统或默认3类型日志到不同服务器</w:t>
            </w:r>
          </w:p>
        </w:tc>
      </w:tr>
      <w:tr w14:paraId="7690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1" w:type="pct"/>
            <w:noWrap w:val="0"/>
            <w:vAlign w:val="center"/>
          </w:tcPr>
          <w:p w14:paraId="647A1D7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审计中心</w:t>
            </w:r>
          </w:p>
        </w:tc>
        <w:tc>
          <w:tcPr>
            <w:tcW w:w="4129" w:type="pct"/>
            <w:shd w:val="clear" w:color="auto" w:fill="auto"/>
            <w:noWrap w:val="0"/>
            <w:vAlign w:val="center"/>
          </w:tcPr>
          <w:p w14:paraId="48DA481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可支持内置或外置数据存储介质；支持根据存储时间或硬盘使用率发送告警邮件；支持智能优化存储空间，保证近期数据的可追溯性，且必须支持手动删除保存时间较长的数据</w:t>
            </w:r>
          </w:p>
        </w:tc>
      </w:tr>
      <w:tr w14:paraId="0B41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1" w:type="pct"/>
            <w:noWrap w:val="0"/>
            <w:vAlign w:val="center"/>
          </w:tcPr>
          <w:p w14:paraId="21F3137B">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升级维护</w:t>
            </w:r>
          </w:p>
        </w:tc>
        <w:tc>
          <w:tcPr>
            <w:tcW w:w="4129" w:type="pct"/>
            <w:shd w:val="clear" w:color="auto" w:fill="auto"/>
            <w:noWrap w:val="0"/>
            <w:vAlign w:val="center"/>
          </w:tcPr>
          <w:p w14:paraId="2B7E3EB0">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▲支持自动创建和手动创建两种方式创建快照，数量不少于16个，自动创建可根据客户的预设置时间，每周或每月自动创建系统快照；（提供功能截图）</w:t>
            </w:r>
          </w:p>
        </w:tc>
      </w:tr>
      <w:tr w14:paraId="301D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1" w:type="pct"/>
            <w:noWrap w:val="0"/>
            <w:vAlign w:val="center"/>
          </w:tcPr>
          <w:p w14:paraId="2593924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高可用性</w:t>
            </w:r>
          </w:p>
        </w:tc>
        <w:tc>
          <w:tcPr>
            <w:tcW w:w="4129" w:type="pct"/>
            <w:shd w:val="clear" w:color="auto" w:fill="auto"/>
            <w:noWrap w:val="0"/>
            <w:vAlign w:val="center"/>
          </w:tcPr>
          <w:p w14:paraId="6BDF7D0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自动同步、心跳接口多级（≥2级）物理备份</w:t>
            </w:r>
          </w:p>
        </w:tc>
      </w:tr>
      <w:tr w14:paraId="52F8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restart"/>
            <w:shd w:val="clear" w:color="auto" w:fill="auto"/>
            <w:noWrap w:val="0"/>
            <w:vAlign w:val="center"/>
          </w:tcPr>
          <w:p w14:paraId="606C364F">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▲资质要求</w:t>
            </w:r>
          </w:p>
        </w:tc>
        <w:tc>
          <w:tcPr>
            <w:tcW w:w="4129" w:type="pct"/>
            <w:shd w:val="clear" w:color="auto" w:fill="auto"/>
            <w:noWrap w:val="0"/>
            <w:vAlign w:val="center"/>
          </w:tcPr>
          <w:p w14:paraId="07A2EC45">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厂商为</w:t>
            </w:r>
            <w:r>
              <w:rPr>
                <w:rFonts w:hint="eastAsia" w:ascii="仿宋" w:hAnsi="仿宋" w:eastAsia="仿宋" w:cs="仿宋"/>
                <w:color w:val="auto"/>
                <w:kern w:val="0"/>
                <w:sz w:val="24"/>
                <w:szCs w:val="24"/>
                <w:highlight w:val="none"/>
                <w:lang w:eastAsia="zh-CN"/>
              </w:rPr>
              <w:t>相关部门</w:t>
            </w:r>
            <w:r>
              <w:rPr>
                <w:rFonts w:hint="eastAsia" w:ascii="仿宋" w:hAnsi="仿宋" w:eastAsia="仿宋" w:cs="仿宋"/>
                <w:color w:val="auto"/>
                <w:kern w:val="0"/>
                <w:sz w:val="24"/>
                <w:szCs w:val="24"/>
                <w:highlight w:val="none"/>
              </w:rPr>
              <w:t>网络安全威胁和漏洞信息共享平台-通用网络安全产品漏洞库三星级支持单位</w:t>
            </w:r>
          </w:p>
        </w:tc>
      </w:tr>
      <w:tr w14:paraId="7ABF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continue"/>
            <w:shd w:val="clear" w:color="auto" w:fill="auto"/>
            <w:noWrap w:val="0"/>
            <w:vAlign w:val="center"/>
          </w:tcPr>
          <w:p w14:paraId="05B359B4">
            <w:pPr>
              <w:keepNext w:val="0"/>
              <w:keepLines w:val="0"/>
              <w:widowControl/>
              <w:suppressLineNumbers w:val="0"/>
              <w:spacing w:before="0" w:beforeAutospacing="0" w:after="0" w:afterAutospacing="0" w:line="240" w:lineRule="auto"/>
              <w:ind w:left="0" w:right="0" w:firstLine="480"/>
              <w:jc w:val="both"/>
              <w:rPr>
                <w:rFonts w:hint="eastAsia" w:ascii="仿宋" w:hAnsi="仿宋" w:eastAsia="仿宋" w:cs="仿宋"/>
                <w:color w:val="auto"/>
                <w:kern w:val="0"/>
                <w:sz w:val="24"/>
                <w:szCs w:val="24"/>
                <w:highlight w:val="none"/>
              </w:rPr>
            </w:pPr>
          </w:p>
        </w:tc>
        <w:tc>
          <w:tcPr>
            <w:tcW w:w="4129" w:type="pct"/>
            <w:shd w:val="clear" w:color="auto" w:fill="auto"/>
            <w:noWrap w:val="0"/>
            <w:vAlign w:val="center"/>
          </w:tcPr>
          <w:p w14:paraId="5078F75D">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厂商具备</w:t>
            </w:r>
            <w:r>
              <w:rPr>
                <w:rFonts w:hint="eastAsia" w:ascii="仿宋" w:hAnsi="仿宋" w:eastAsia="仿宋" w:cs="仿宋"/>
                <w:color w:val="auto"/>
                <w:kern w:val="0"/>
                <w:sz w:val="24"/>
                <w:szCs w:val="24"/>
                <w:highlight w:val="none"/>
                <w:lang w:eastAsia="zh-CN"/>
              </w:rPr>
              <w:t>相关</w:t>
            </w:r>
            <w:r>
              <w:rPr>
                <w:rFonts w:hint="eastAsia" w:ascii="仿宋" w:hAnsi="仿宋" w:eastAsia="仿宋" w:cs="仿宋"/>
                <w:color w:val="auto"/>
                <w:kern w:val="0"/>
                <w:sz w:val="24"/>
                <w:szCs w:val="24"/>
                <w:highlight w:val="none"/>
              </w:rPr>
              <w:t>测评中心颁发的信息安全服务资质（安全工程类三级）</w:t>
            </w:r>
          </w:p>
        </w:tc>
      </w:tr>
      <w:tr w14:paraId="6F13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continue"/>
            <w:shd w:val="clear" w:color="auto" w:fill="auto"/>
            <w:noWrap w:val="0"/>
            <w:vAlign w:val="center"/>
          </w:tcPr>
          <w:p w14:paraId="183A78A8">
            <w:pPr>
              <w:keepNext w:val="0"/>
              <w:keepLines w:val="0"/>
              <w:widowControl/>
              <w:suppressLineNumbers w:val="0"/>
              <w:spacing w:before="0" w:beforeAutospacing="0" w:after="0" w:afterAutospacing="0" w:line="240" w:lineRule="auto"/>
              <w:ind w:left="0" w:right="0" w:firstLine="480"/>
              <w:jc w:val="both"/>
              <w:rPr>
                <w:rFonts w:hint="eastAsia" w:ascii="仿宋" w:hAnsi="仿宋" w:eastAsia="仿宋" w:cs="仿宋"/>
                <w:color w:val="auto"/>
                <w:kern w:val="0"/>
                <w:sz w:val="24"/>
                <w:szCs w:val="24"/>
                <w:highlight w:val="none"/>
              </w:rPr>
            </w:pPr>
          </w:p>
        </w:tc>
        <w:tc>
          <w:tcPr>
            <w:tcW w:w="4129" w:type="pct"/>
            <w:shd w:val="clear" w:color="auto" w:fill="auto"/>
            <w:noWrap w:val="0"/>
            <w:vAlign w:val="center"/>
          </w:tcPr>
          <w:p w14:paraId="7B89EA33">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产品通过</w:t>
            </w:r>
            <w:r>
              <w:rPr>
                <w:rFonts w:hint="eastAsia" w:ascii="仿宋" w:hAnsi="仿宋" w:eastAsia="仿宋" w:cs="仿宋"/>
                <w:color w:val="auto"/>
                <w:kern w:val="0"/>
                <w:sz w:val="24"/>
                <w:szCs w:val="24"/>
                <w:highlight w:val="none"/>
                <w:lang w:eastAsia="zh-CN"/>
              </w:rPr>
              <w:t>相关</w:t>
            </w:r>
            <w:r>
              <w:rPr>
                <w:rFonts w:hint="eastAsia" w:ascii="仿宋" w:hAnsi="仿宋" w:eastAsia="仿宋" w:cs="仿宋"/>
                <w:color w:val="auto"/>
                <w:kern w:val="0"/>
                <w:sz w:val="24"/>
                <w:szCs w:val="24"/>
                <w:highlight w:val="none"/>
              </w:rPr>
              <w:t>检验中心的电磁兼容性、浪涌（冲击）抗扰度、雷击型式测试；</w:t>
            </w:r>
          </w:p>
        </w:tc>
      </w:tr>
    </w:tbl>
    <w:p w14:paraId="31953BB2">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1.5.2日志审计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1A97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7E587A7F">
            <w:pPr>
              <w:keepNext w:val="0"/>
              <w:keepLines w:val="0"/>
              <w:widowControl/>
              <w:suppressLineNumbers w:val="0"/>
              <w:spacing w:before="0" w:beforeAutospacing="0" w:after="0" w:afterAutospacing="0" w:line="240" w:lineRule="auto"/>
              <w:ind w:left="0" w:right="0" w:firstLine="44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shd w:val="clear" w:color="auto" w:fill="auto"/>
            <w:noWrap w:val="0"/>
            <w:vAlign w:val="center"/>
          </w:tcPr>
          <w:p w14:paraId="277F087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1AB3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0201565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▲硬件外观</w:t>
            </w:r>
          </w:p>
        </w:tc>
        <w:tc>
          <w:tcPr>
            <w:tcW w:w="3944" w:type="pct"/>
            <w:shd w:val="clear" w:color="auto" w:fill="auto"/>
            <w:noWrap w:val="0"/>
            <w:vAlign w:val="center"/>
          </w:tcPr>
          <w:p w14:paraId="37F71A4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1U标准机架设备；设备配置≥6个千兆电口，≥4个千兆光口,，≥3个扩展槽；</w:t>
            </w:r>
          </w:p>
        </w:tc>
      </w:tr>
      <w:tr w14:paraId="7466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019254C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▲性能要求</w:t>
            </w:r>
          </w:p>
        </w:tc>
        <w:tc>
          <w:tcPr>
            <w:tcW w:w="3944" w:type="pct"/>
            <w:shd w:val="clear" w:color="auto" w:fill="auto"/>
            <w:noWrap w:val="0"/>
            <w:vAlign w:val="center"/>
          </w:tcPr>
          <w:p w14:paraId="5C431B1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使用国产化操作系统和CPU，内存不小于16G，硬盘不小于2T，设备开通不小于50个资源管理数授权，此次提供三年硬件质保。</w:t>
            </w:r>
          </w:p>
        </w:tc>
      </w:tr>
      <w:tr w14:paraId="639B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592483A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▲硬件架构</w:t>
            </w:r>
          </w:p>
        </w:tc>
        <w:tc>
          <w:tcPr>
            <w:tcW w:w="3944" w:type="pct"/>
            <w:shd w:val="clear" w:color="auto" w:fill="auto"/>
            <w:noWrap w:val="0"/>
            <w:vAlign w:val="center"/>
          </w:tcPr>
          <w:p w14:paraId="39579E7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要求采用设备硬件状态监测技术对网络资产进行安全监控，提供权威第三方机构出具的证明复印件并加盖原厂公章</w:t>
            </w:r>
          </w:p>
        </w:tc>
      </w:tr>
      <w:tr w14:paraId="33DD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712E3A3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管理范围</w:t>
            </w:r>
          </w:p>
        </w:tc>
        <w:tc>
          <w:tcPr>
            <w:tcW w:w="3944" w:type="pct"/>
            <w:shd w:val="clear" w:color="auto" w:fill="auto"/>
            <w:noWrap w:val="0"/>
            <w:vAlign w:val="center"/>
          </w:tcPr>
          <w:p w14:paraId="793B270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能对网络设备、安全设备和系统、主机操作系统、数据库以及各种应用系统的日志、事件、告警等安全信息进行全面的审计。</w:t>
            </w:r>
          </w:p>
        </w:tc>
      </w:tr>
      <w:tr w14:paraId="4D48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2450947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操作系统</w:t>
            </w:r>
          </w:p>
        </w:tc>
        <w:tc>
          <w:tcPr>
            <w:tcW w:w="3944" w:type="pct"/>
            <w:shd w:val="clear" w:color="auto" w:fill="auto"/>
            <w:noWrap w:val="0"/>
            <w:vAlign w:val="center"/>
          </w:tcPr>
          <w:p w14:paraId="5D9E29B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无需安装任何其他软件和组件，用户只需要安装审计中心即可实现对日志的采集、分析；</w:t>
            </w:r>
          </w:p>
        </w:tc>
      </w:tr>
      <w:tr w14:paraId="1842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110A6C6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日志分析</w:t>
            </w:r>
          </w:p>
        </w:tc>
        <w:tc>
          <w:tcPr>
            <w:tcW w:w="3944" w:type="pct"/>
            <w:shd w:val="clear" w:color="auto" w:fill="auto"/>
            <w:noWrap w:val="0"/>
            <w:vAlign w:val="center"/>
          </w:tcPr>
          <w:p w14:paraId="717B4F9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支持对日志提供在线/离线地图定位、支持源IP与目的IP分布走向的视网膜图展示、支持事件拓扑分析用于描述整个事件的访问关系及过程、支持多维分析；</w:t>
            </w:r>
          </w:p>
        </w:tc>
      </w:tr>
      <w:tr w14:paraId="1C43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7342CE6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部署方式</w:t>
            </w:r>
          </w:p>
        </w:tc>
        <w:tc>
          <w:tcPr>
            <w:tcW w:w="3944" w:type="pct"/>
            <w:shd w:val="clear" w:color="auto" w:fill="auto"/>
            <w:noWrap w:val="0"/>
            <w:vAlign w:val="center"/>
          </w:tcPr>
          <w:p w14:paraId="22640AE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支持单级部署，无需安装任何其他软件和组件，用户只需要安装审计中心即可实现对日志的采集、分析；支持级联部署，两个审计中心之间可以进行级联，形成大规模统一审计。</w:t>
            </w:r>
          </w:p>
        </w:tc>
      </w:tr>
      <w:tr w14:paraId="7784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285A086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资产管理</w:t>
            </w:r>
          </w:p>
        </w:tc>
        <w:tc>
          <w:tcPr>
            <w:tcW w:w="3944" w:type="pct"/>
            <w:shd w:val="clear" w:color="auto" w:fill="auto"/>
            <w:noWrap w:val="0"/>
            <w:vAlign w:val="center"/>
          </w:tcPr>
          <w:p w14:paraId="267B064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要求系统提供基于资产的拓扑视图，可以按列表和拓扑两种模式显示资产拓扑节点；要求拓扑视图可以显示被审计资产之间的网络连接关系。</w:t>
            </w:r>
          </w:p>
        </w:tc>
      </w:tr>
      <w:tr w14:paraId="7347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3E19E40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日志采集</w:t>
            </w:r>
          </w:p>
        </w:tc>
        <w:tc>
          <w:tcPr>
            <w:tcW w:w="3944" w:type="pct"/>
            <w:shd w:val="clear" w:color="auto" w:fill="auto"/>
            <w:noWrap w:val="0"/>
            <w:vAlign w:val="center"/>
          </w:tcPr>
          <w:p w14:paraId="43A8570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要求采用先进的设备统一控制技术，可针对设备的日志进行统一的采集控制，有证明材料。</w:t>
            </w:r>
          </w:p>
        </w:tc>
      </w:tr>
      <w:tr w14:paraId="7BAD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1DC4028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日志传输和存储转发</w:t>
            </w:r>
          </w:p>
        </w:tc>
        <w:tc>
          <w:tcPr>
            <w:tcW w:w="3944" w:type="pct"/>
            <w:shd w:val="clear" w:color="auto" w:fill="auto"/>
            <w:noWrap w:val="0"/>
            <w:vAlign w:val="center"/>
          </w:tcPr>
          <w:p w14:paraId="3D28286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系统需支持加密压缩方式转发，定时转发。</w:t>
            </w:r>
          </w:p>
        </w:tc>
      </w:tr>
      <w:tr w14:paraId="1BC4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5298F90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日志综合显示</w:t>
            </w:r>
          </w:p>
        </w:tc>
        <w:tc>
          <w:tcPr>
            <w:tcW w:w="3944" w:type="pct"/>
            <w:shd w:val="clear" w:color="auto" w:fill="auto"/>
            <w:noWrap w:val="0"/>
            <w:vAlign w:val="center"/>
          </w:tcPr>
          <w:p w14:paraId="1CCD3A9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系统可以提供传统的线形图、饼图、条状图等多种方式来显示信息。</w:t>
            </w:r>
          </w:p>
        </w:tc>
      </w:tr>
      <w:tr w14:paraId="26EB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37BB5B4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产品证书</w:t>
            </w:r>
          </w:p>
        </w:tc>
        <w:tc>
          <w:tcPr>
            <w:tcW w:w="3944" w:type="pct"/>
            <w:shd w:val="clear" w:color="auto" w:fill="auto"/>
            <w:noWrap w:val="0"/>
            <w:vAlign w:val="center"/>
          </w:tcPr>
          <w:p w14:paraId="58DA1D6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产品具有网络关键设备和网络安全专用产品安全认证证书。</w:t>
            </w:r>
          </w:p>
        </w:tc>
      </w:tr>
      <w:tr w14:paraId="7B02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78EC6DE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▲厂商资质</w:t>
            </w:r>
          </w:p>
        </w:tc>
        <w:tc>
          <w:tcPr>
            <w:tcW w:w="3944" w:type="pct"/>
            <w:shd w:val="clear" w:color="auto" w:fill="auto"/>
            <w:noWrap w:val="0"/>
            <w:vAlign w:val="center"/>
          </w:tcPr>
          <w:p w14:paraId="0F9F6CE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为了保证信息安全产品的售后服务，要求厂商通过商品售后服务评价体系认证，具有售后服务认证证书（五星级），提供相关证书复印件加盖厂商公章。</w:t>
            </w:r>
          </w:p>
        </w:tc>
      </w:tr>
    </w:tbl>
    <w:p w14:paraId="166051DA">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1.5.3堡垒机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8344"/>
      </w:tblGrid>
      <w:tr w14:paraId="7538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08C9EBC3">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4188" w:type="pct"/>
            <w:shd w:val="clear" w:color="auto" w:fill="auto"/>
            <w:noWrap w:val="0"/>
            <w:vAlign w:val="center"/>
          </w:tcPr>
          <w:p w14:paraId="4466DF4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08C2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65C4449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▲硬件外观</w:t>
            </w:r>
          </w:p>
        </w:tc>
        <w:tc>
          <w:tcPr>
            <w:tcW w:w="4188" w:type="pct"/>
            <w:shd w:val="clear" w:color="auto" w:fill="auto"/>
            <w:noWrap w:val="0"/>
            <w:vAlign w:val="bottom"/>
          </w:tcPr>
          <w:p w14:paraId="78BE479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1U标准机架设备；设备配置≥6个千兆电口，≥4个千兆光口，≥3个扩展槽；</w:t>
            </w:r>
          </w:p>
        </w:tc>
      </w:tr>
      <w:tr w14:paraId="6B78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2" w:type="pct"/>
            <w:shd w:val="clear" w:color="auto" w:fill="auto"/>
            <w:noWrap w:val="0"/>
            <w:vAlign w:val="center"/>
          </w:tcPr>
          <w:p w14:paraId="1B801E9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▲性能要求</w:t>
            </w:r>
          </w:p>
        </w:tc>
        <w:tc>
          <w:tcPr>
            <w:tcW w:w="4188" w:type="pct"/>
            <w:shd w:val="clear" w:color="auto" w:fill="auto"/>
            <w:noWrap w:val="0"/>
            <w:vAlign w:val="bottom"/>
          </w:tcPr>
          <w:p w14:paraId="0945B04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使用国产化操作系统和CPU，内存不小于8G，硬盘不小于4T，设备开通不小于50个被管理资源数授权，此次提供三年硬件质保。</w:t>
            </w:r>
          </w:p>
        </w:tc>
      </w:tr>
      <w:tr w14:paraId="5B14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2" w:type="pct"/>
            <w:shd w:val="clear" w:color="auto" w:fill="auto"/>
            <w:noWrap w:val="0"/>
            <w:vAlign w:val="center"/>
          </w:tcPr>
          <w:p w14:paraId="3E6B381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部署方式</w:t>
            </w:r>
          </w:p>
        </w:tc>
        <w:tc>
          <w:tcPr>
            <w:tcW w:w="4188" w:type="pct"/>
            <w:shd w:val="clear" w:color="auto" w:fill="auto"/>
            <w:noWrap w:val="0"/>
            <w:vAlign w:val="bottom"/>
          </w:tcPr>
          <w:p w14:paraId="5A42823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支持NAT地址映射部署，通过映射后的IP地址访问堡垒机进行管理和运维操作，支持从多个映射地址访问，适用于内外网隔离的复杂网络环境。</w:t>
            </w:r>
          </w:p>
        </w:tc>
      </w:tr>
      <w:tr w14:paraId="1667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1D2EBF8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分权分域</w:t>
            </w:r>
          </w:p>
        </w:tc>
        <w:tc>
          <w:tcPr>
            <w:tcW w:w="4188" w:type="pct"/>
            <w:shd w:val="clear" w:color="auto" w:fill="auto"/>
            <w:noWrap w:val="0"/>
            <w:vAlign w:val="bottom"/>
          </w:tcPr>
          <w:p w14:paraId="1792DFB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支持管理员帐号设置双因认证、IP/MAC限制，提升帐号安全性。</w:t>
            </w:r>
          </w:p>
        </w:tc>
      </w:tr>
      <w:tr w14:paraId="4950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50AEA36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资源管理</w:t>
            </w:r>
          </w:p>
        </w:tc>
        <w:tc>
          <w:tcPr>
            <w:tcW w:w="4188" w:type="pct"/>
            <w:shd w:val="clear" w:color="auto" w:fill="auto"/>
            <w:noWrap w:val="0"/>
            <w:vAlign w:val="bottom"/>
          </w:tcPr>
          <w:p w14:paraId="64F4D35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支持限定配置中可指定用户通过指定的应用发布服务器对资源进行访问。</w:t>
            </w:r>
          </w:p>
        </w:tc>
      </w:tr>
      <w:tr w14:paraId="34D9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2" w:type="pct"/>
            <w:shd w:val="clear" w:color="auto" w:fill="auto"/>
            <w:noWrap w:val="0"/>
            <w:vAlign w:val="center"/>
          </w:tcPr>
          <w:p w14:paraId="0AEC77B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帐号托管</w:t>
            </w:r>
          </w:p>
        </w:tc>
        <w:tc>
          <w:tcPr>
            <w:tcW w:w="4188" w:type="pct"/>
            <w:shd w:val="clear" w:color="auto" w:fill="auto"/>
            <w:noWrap w:val="0"/>
            <w:vAlign w:val="bottom"/>
          </w:tcPr>
          <w:p w14:paraId="0C0ADDE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支持数据库协议自动改密，改密类型支持：Oracle、PostgreSQL、MySql、DB2、Informix 、SYBASE、Mssql(2005,2008,2012)</w:t>
            </w:r>
            <w:r>
              <w:rPr>
                <w:rFonts w:hint="eastAsia" w:ascii="仿宋" w:hAnsi="仿宋" w:eastAsia="仿宋" w:cs="仿宋"/>
                <w:color w:val="auto"/>
                <w:kern w:val="0"/>
                <w:sz w:val="24"/>
                <w:szCs w:val="24"/>
                <w:highlight w:val="none"/>
                <w:lang w:eastAsia="zh-CN"/>
              </w:rPr>
              <w:t>以及主流的国产数据库</w:t>
            </w:r>
            <w:r>
              <w:rPr>
                <w:rFonts w:hint="eastAsia" w:ascii="仿宋" w:hAnsi="仿宋" w:eastAsia="仿宋" w:cs="仿宋"/>
                <w:color w:val="auto"/>
                <w:kern w:val="0"/>
                <w:sz w:val="24"/>
                <w:szCs w:val="24"/>
                <w:highlight w:val="none"/>
              </w:rPr>
              <w:t>。</w:t>
            </w:r>
          </w:p>
        </w:tc>
      </w:tr>
      <w:tr w14:paraId="0050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2" w:type="pct"/>
            <w:shd w:val="clear" w:color="auto" w:fill="auto"/>
            <w:noWrap w:val="0"/>
            <w:vAlign w:val="center"/>
          </w:tcPr>
          <w:p w14:paraId="657D78A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技术能力</w:t>
            </w:r>
          </w:p>
        </w:tc>
        <w:tc>
          <w:tcPr>
            <w:tcW w:w="4188" w:type="pct"/>
            <w:shd w:val="clear" w:color="auto" w:fill="auto"/>
            <w:noWrap w:val="0"/>
            <w:vAlign w:val="bottom"/>
          </w:tcPr>
          <w:p w14:paraId="34A031A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采用网络安全设备命令行的解析技术，对设备进行运维管理，提供第三方权威机构出具的相关证明材料。</w:t>
            </w:r>
          </w:p>
        </w:tc>
      </w:tr>
      <w:tr w14:paraId="3E44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4C24379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运维方式</w:t>
            </w:r>
          </w:p>
        </w:tc>
        <w:tc>
          <w:tcPr>
            <w:tcW w:w="4188" w:type="pct"/>
            <w:shd w:val="clear" w:color="auto" w:fill="auto"/>
            <w:noWrap w:val="0"/>
            <w:vAlign w:val="bottom"/>
          </w:tcPr>
          <w:p w14:paraId="2340544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支持windows终端调用国产化应用发布工具运维，支持国产化终端调用应用发布工具运维。</w:t>
            </w:r>
          </w:p>
        </w:tc>
      </w:tr>
      <w:tr w14:paraId="6153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2" w:type="pct"/>
            <w:shd w:val="clear" w:color="auto" w:fill="auto"/>
            <w:noWrap w:val="0"/>
            <w:vAlign w:val="center"/>
          </w:tcPr>
          <w:p w14:paraId="737FA52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字符、文件传输协议审计</w:t>
            </w:r>
          </w:p>
        </w:tc>
        <w:tc>
          <w:tcPr>
            <w:tcW w:w="4188" w:type="pct"/>
            <w:shd w:val="clear" w:color="auto" w:fill="auto"/>
            <w:noWrap w:val="0"/>
            <w:vAlign w:val="bottom"/>
          </w:tcPr>
          <w:p w14:paraId="453573A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通过应用发布实现字符协议和文件传输协议的命令级审计和图形审计的双重审计效果，命令级审计便于重现真实的完整操作命令，图形审计便于直观的查看到真实的操作行为，并支持通过搜索操作语句或执行结果中关键字定位审计回放。</w:t>
            </w:r>
          </w:p>
        </w:tc>
      </w:tr>
      <w:tr w14:paraId="52CF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2" w:type="pct"/>
            <w:shd w:val="clear" w:color="auto" w:fill="auto"/>
            <w:noWrap w:val="0"/>
            <w:vAlign w:val="center"/>
          </w:tcPr>
          <w:p w14:paraId="6C0B7EB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▲审计查询</w:t>
            </w:r>
          </w:p>
        </w:tc>
        <w:tc>
          <w:tcPr>
            <w:tcW w:w="4188" w:type="pct"/>
            <w:shd w:val="clear" w:color="auto" w:fill="auto"/>
            <w:noWrap w:val="0"/>
            <w:vAlign w:val="bottom"/>
          </w:tcPr>
          <w:p w14:paraId="1F6AE38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查询关键字和结果显示支持多种编码(UTF-8,Big5,EUC-JP,EUC-KR,GB2312,GB18030,ISO-8859-2,KOI8-R,KS_C_5601_1987,Shift_JIS,Window-874)，由审计管理员自主选择（产品具有CNAS、CMA、ilac-MRA认证的权威检测机构出具的检测报告复印件）。</w:t>
            </w:r>
          </w:p>
        </w:tc>
      </w:tr>
      <w:tr w14:paraId="5BE6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4199B9A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IPV4/IPV6</w:t>
            </w:r>
          </w:p>
        </w:tc>
        <w:tc>
          <w:tcPr>
            <w:tcW w:w="4188" w:type="pct"/>
            <w:shd w:val="clear" w:color="auto" w:fill="auto"/>
            <w:noWrap w:val="0"/>
            <w:vAlign w:val="bottom"/>
          </w:tcPr>
          <w:p w14:paraId="580D8C9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支持在IPV4与IPV6网络环境下部署。</w:t>
            </w:r>
          </w:p>
        </w:tc>
      </w:tr>
      <w:tr w14:paraId="647F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7841312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产品证书</w:t>
            </w:r>
          </w:p>
        </w:tc>
        <w:tc>
          <w:tcPr>
            <w:tcW w:w="4188" w:type="pct"/>
            <w:shd w:val="clear" w:color="auto" w:fill="auto"/>
            <w:noWrap w:val="0"/>
            <w:vAlign w:val="bottom"/>
          </w:tcPr>
          <w:p w14:paraId="0F49EF5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产品具有网络安全专用产品安全检测证书。</w:t>
            </w:r>
          </w:p>
        </w:tc>
      </w:tr>
      <w:tr w14:paraId="1487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4EA9A0C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▲厂商资质</w:t>
            </w:r>
          </w:p>
        </w:tc>
        <w:tc>
          <w:tcPr>
            <w:tcW w:w="4188" w:type="pct"/>
            <w:shd w:val="clear" w:color="auto" w:fill="auto"/>
            <w:noWrap w:val="0"/>
            <w:vAlign w:val="bottom"/>
          </w:tcPr>
          <w:p w14:paraId="68DA366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为保障产品成熟度，要求设备厂商具有CMMI5证书。</w:t>
            </w:r>
          </w:p>
        </w:tc>
      </w:tr>
    </w:tbl>
    <w:p w14:paraId="61BCF13E">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1.5.4杀毒软件</w:t>
      </w:r>
    </w:p>
    <w:tbl>
      <w:tblPr>
        <w:tblStyle w:val="5"/>
        <w:tblW w:w="5000" w:type="pct"/>
        <w:tblInd w:w="0" w:type="dxa"/>
        <w:tblLayout w:type="autofit"/>
        <w:tblCellMar>
          <w:top w:w="0" w:type="dxa"/>
          <w:left w:w="108" w:type="dxa"/>
          <w:bottom w:w="0" w:type="dxa"/>
          <w:right w:w="108" w:type="dxa"/>
        </w:tblCellMar>
      </w:tblPr>
      <w:tblGrid>
        <w:gridCol w:w="2104"/>
        <w:gridCol w:w="7858"/>
      </w:tblGrid>
      <w:tr w14:paraId="40BEBDC9">
        <w:tblPrEx>
          <w:tblCellMar>
            <w:top w:w="0" w:type="dxa"/>
            <w:left w:w="108" w:type="dxa"/>
            <w:bottom w:w="0" w:type="dxa"/>
            <w:right w:w="108" w:type="dxa"/>
          </w:tblCellMar>
        </w:tblPrEx>
        <w:trPr>
          <w:trHeight w:val="288"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054F49">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tcBorders>
              <w:top w:val="single" w:color="auto" w:sz="4" w:space="0"/>
              <w:left w:val="nil"/>
              <w:bottom w:val="single" w:color="auto" w:sz="4" w:space="0"/>
              <w:right w:val="single" w:color="auto" w:sz="4" w:space="0"/>
            </w:tcBorders>
            <w:shd w:val="clear" w:color="auto" w:fill="auto"/>
            <w:noWrap w:val="0"/>
            <w:vAlign w:val="center"/>
          </w:tcPr>
          <w:p w14:paraId="710E5A8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34D4D2EB">
        <w:tblPrEx>
          <w:tblCellMar>
            <w:top w:w="0" w:type="dxa"/>
            <w:left w:w="108" w:type="dxa"/>
            <w:bottom w:w="0" w:type="dxa"/>
            <w:right w:w="108" w:type="dxa"/>
          </w:tblCellMar>
        </w:tblPrEx>
        <w:trPr>
          <w:trHeight w:val="1440" w:hRule="atLeast"/>
        </w:trPr>
        <w:tc>
          <w:tcPr>
            <w:tcW w:w="1056" w:type="pct"/>
            <w:tcBorders>
              <w:top w:val="nil"/>
              <w:left w:val="single" w:color="auto" w:sz="4" w:space="0"/>
              <w:bottom w:val="single" w:color="auto" w:sz="4" w:space="0"/>
              <w:right w:val="single" w:color="auto" w:sz="4" w:space="0"/>
            </w:tcBorders>
            <w:shd w:val="clear" w:color="auto" w:fill="auto"/>
            <w:noWrap w:val="0"/>
            <w:vAlign w:val="center"/>
          </w:tcPr>
          <w:p w14:paraId="628420E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杀毒软件</w:t>
            </w:r>
          </w:p>
        </w:tc>
        <w:tc>
          <w:tcPr>
            <w:tcW w:w="3944" w:type="pct"/>
            <w:tcBorders>
              <w:top w:val="nil"/>
              <w:left w:val="nil"/>
              <w:bottom w:val="single" w:color="auto" w:sz="4" w:space="0"/>
              <w:right w:val="single" w:color="auto" w:sz="4" w:space="0"/>
            </w:tcBorders>
            <w:shd w:val="clear" w:color="auto" w:fill="auto"/>
            <w:noWrap w:val="0"/>
            <w:vAlign w:val="bottom"/>
          </w:tcPr>
          <w:p w14:paraId="2C1EF50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1.支持查看资产的安全态势，并进行统一任务下发、策略配置，对资产进行统一管理；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2.支持采集、展示多种日志，包括防护日志、操作日志、运维日志，并支持一键导出。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3.支持对终端进行详细信息展示，包括网络信息、环境信息等。并支持远程关闭、重启主机；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4.支持多级中心部署，查看所有下级控制中心的资产部署情况以及风险数据。</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5.配置：一个管理中心，服务器端杀毒50点，三年病毒库升级。</w:t>
            </w:r>
          </w:p>
        </w:tc>
      </w:tr>
    </w:tbl>
    <w:p w14:paraId="1EAAD093">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1.5.5数据库审计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571B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291E3AC4">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shd w:val="clear" w:color="auto" w:fill="auto"/>
            <w:noWrap w:val="0"/>
            <w:vAlign w:val="center"/>
          </w:tcPr>
          <w:p w14:paraId="4997C0F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0878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30105EC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▲硬件外观</w:t>
            </w:r>
          </w:p>
        </w:tc>
        <w:tc>
          <w:tcPr>
            <w:tcW w:w="3943" w:type="pct"/>
            <w:shd w:val="clear" w:color="auto" w:fill="auto"/>
            <w:noWrap w:val="0"/>
            <w:vAlign w:val="bottom"/>
          </w:tcPr>
          <w:p w14:paraId="1B096EA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1U标准机架设备；设备配置≥6个千兆电口，≥4个千兆光口，≥3个扩展槽；</w:t>
            </w:r>
          </w:p>
        </w:tc>
      </w:tr>
      <w:tr w14:paraId="5D9C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3D41C5E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▲性能要求</w:t>
            </w:r>
          </w:p>
        </w:tc>
        <w:tc>
          <w:tcPr>
            <w:tcW w:w="3943" w:type="pct"/>
            <w:shd w:val="clear" w:color="auto" w:fill="auto"/>
            <w:noWrap w:val="0"/>
            <w:vAlign w:val="bottom"/>
          </w:tcPr>
          <w:p w14:paraId="6291597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使用国产化操作系统和CPU，内存不小于16G，硬盘不小于4T，设备开通不小于10个数据库授权，此次提供三年硬件质保。</w:t>
            </w:r>
          </w:p>
        </w:tc>
      </w:tr>
      <w:tr w14:paraId="3DFB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27C903F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产品部署</w:t>
            </w:r>
          </w:p>
        </w:tc>
        <w:tc>
          <w:tcPr>
            <w:tcW w:w="3943" w:type="pct"/>
            <w:shd w:val="clear" w:color="auto" w:fill="auto"/>
            <w:noWrap w:val="0"/>
            <w:vAlign w:val="bottom"/>
          </w:tcPr>
          <w:p w14:paraId="64736C1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支持对部署在vmware、KVM、Xen等虚拟化环境中的数据库进行审计，审计系统可虚拟化部署。</w:t>
            </w:r>
          </w:p>
        </w:tc>
      </w:tr>
      <w:tr w14:paraId="6083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28DCD6E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数据审计</w:t>
            </w:r>
          </w:p>
        </w:tc>
        <w:tc>
          <w:tcPr>
            <w:tcW w:w="3943" w:type="pct"/>
            <w:shd w:val="clear" w:color="auto" w:fill="auto"/>
            <w:noWrap w:val="0"/>
            <w:vAlign w:val="bottom"/>
          </w:tcPr>
          <w:p w14:paraId="2C90872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支持对针对数据库的SQL注入、CVE高危漏洞利用、口令攻击、缓冲区溢出等攻击行为进行审计。</w:t>
            </w:r>
          </w:p>
        </w:tc>
      </w:tr>
      <w:tr w14:paraId="065E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2E5A4F9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数据审计</w:t>
            </w:r>
          </w:p>
        </w:tc>
        <w:tc>
          <w:tcPr>
            <w:tcW w:w="3943" w:type="pct"/>
            <w:shd w:val="clear" w:color="auto" w:fill="auto"/>
            <w:noWrap w:val="0"/>
            <w:vAlign w:val="bottom"/>
          </w:tcPr>
          <w:p w14:paraId="02CC1FA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支持国产数据库人大金仓、达梦、南大通用、神通、高斯、瀚高、巨杉、虚谷、OceanBase、AnalyticDB MySql 、AnalyticDB PostgreSQL、RDS MySql、RDS PostgreSQL等数据库的审计。</w:t>
            </w:r>
          </w:p>
        </w:tc>
      </w:tr>
      <w:tr w14:paraId="355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69DAA28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审计能力与效果</w:t>
            </w:r>
          </w:p>
        </w:tc>
        <w:tc>
          <w:tcPr>
            <w:tcW w:w="3943" w:type="pct"/>
            <w:shd w:val="clear" w:color="auto" w:fill="auto"/>
            <w:noWrap w:val="0"/>
            <w:vAlign w:val="bottom"/>
          </w:tcPr>
          <w:p w14:paraId="7942453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数据库审计策略支持频次统计，某一操作在周期时间内达到设定的次数阀值后可以进行单独记录和展示，周期事件和次数可按需配置。</w:t>
            </w:r>
          </w:p>
        </w:tc>
      </w:tr>
      <w:tr w14:paraId="1F16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6AE10D2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业务关联审计</w:t>
            </w:r>
          </w:p>
        </w:tc>
        <w:tc>
          <w:tcPr>
            <w:tcW w:w="3943" w:type="pct"/>
            <w:shd w:val="clear" w:color="auto" w:fill="auto"/>
            <w:noWrap w:val="0"/>
            <w:vAlign w:val="bottom"/>
          </w:tcPr>
          <w:p w14:paraId="69B5A7C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支持中间件环境下的SQL语句关联到HTTP操作，HTTP操作关联到HTTP-ID，实现中间件环境下的审计追溯。</w:t>
            </w:r>
          </w:p>
        </w:tc>
      </w:tr>
      <w:tr w14:paraId="159A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50E53F3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▲统一管理</w:t>
            </w:r>
          </w:p>
        </w:tc>
        <w:tc>
          <w:tcPr>
            <w:tcW w:w="3943" w:type="pct"/>
            <w:shd w:val="clear" w:color="auto" w:fill="auto"/>
            <w:noWrap w:val="0"/>
            <w:vAlign w:val="bottom"/>
          </w:tcPr>
          <w:p w14:paraId="24EFFE4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采用设备控制技术，可对设备进行统一安全管理，提供第三方权威机构证明材料复印件，加盖原厂公章。</w:t>
            </w:r>
          </w:p>
        </w:tc>
      </w:tr>
      <w:tr w14:paraId="7CC5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67AC241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智能发现</w:t>
            </w:r>
          </w:p>
        </w:tc>
        <w:tc>
          <w:tcPr>
            <w:tcW w:w="3943" w:type="pct"/>
            <w:shd w:val="clear" w:color="auto" w:fill="auto"/>
            <w:noWrap w:val="0"/>
            <w:vAlign w:val="bottom"/>
          </w:tcPr>
          <w:p w14:paraId="4BAFDE4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网络流量的资产发现功能，能够发现数据库表和资源账号，其中数据库表的自动发现支持表名、数据库名、发现次数和发现日期，资源账号自动发现支持在线天数、首次发现日期、末次发现日期，提供截图证明并盖原厂公章。</w:t>
            </w:r>
          </w:p>
        </w:tc>
      </w:tr>
      <w:tr w14:paraId="7008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5835712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多样审计访问</w:t>
            </w:r>
          </w:p>
        </w:tc>
        <w:tc>
          <w:tcPr>
            <w:tcW w:w="3943" w:type="pct"/>
            <w:shd w:val="clear" w:color="auto" w:fill="auto"/>
            <w:noWrap w:val="0"/>
            <w:vAlign w:val="bottom"/>
          </w:tcPr>
          <w:p w14:paraId="5267E8E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审计访问数据库的时间，源/目的IP，源/目的端口，源/目的mac，资源账号，数据库名，规则名称，表名，命令，SQL语句、级别，响应时间、错误码，影响行数，连接方式，客户端程序名，模式名，客户端用户，SQL执行结果。</w:t>
            </w:r>
          </w:p>
        </w:tc>
      </w:tr>
      <w:tr w14:paraId="4F2B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7C37E86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▲厂商资质</w:t>
            </w:r>
          </w:p>
        </w:tc>
        <w:tc>
          <w:tcPr>
            <w:tcW w:w="3943" w:type="pct"/>
            <w:shd w:val="clear" w:color="auto" w:fill="auto"/>
            <w:noWrap w:val="0"/>
            <w:vAlign w:val="bottom"/>
          </w:tcPr>
          <w:p w14:paraId="73CDF27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为了保证信息安全产品的售后服务，要求厂商通过</w:t>
            </w:r>
            <w:r>
              <w:rPr>
                <w:rFonts w:hint="eastAsia" w:ascii="仿宋" w:hAnsi="仿宋" w:eastAsia="仿宋" w:cs="仿宋"/>
                <w:color w:val="auto"/>
                <w:kern w:val="0"/>
                <w:sz w:val="24"/>
                <w:szCs w:val="24"/>
                <w:highlight w:val="none"/>
                <w:lang w:eastAsia="zh-CN"/>
              </w:rPr>
              <w:t>相关</w:t>
            </w:r>
            <w:r>
              <w:rPr>
                <w:rFonts w:hint="eastAsia" w:ascii="仿宋" w:hAnsi="仿宋" w:eastAsia="仿宋" w:cs="仿宋"/>
                <w:color w:val="auto"/>
                <w:kern w:val="0"/>
                <w:sz w:val="24"/>
                <w:szCs w:val="24"/>
                <w:highlight w:val="none"/>
              </w:rPr>
              <w:t>商品售后服务评价体系认证，具有售后服务认证证书（五星级）和《数据安全服务能力-数据安全“评估”能力二级》，提供相关证书复印件加盖厂商公章。</w:t>
            </w:r>
          </w:p>
        </w:tc>
      </w:tr>
    </w:tbl>
    <w:p w14:paraId="4BED7A09">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1.5.6 VPN网关</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6533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7F8D263E">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shd w:val="clear" w:color="auto" w:fill="auto"/>
            <w:noWrap w:val="0"/>
            <w:vAlign w:val="center"/>
          </w:tcPr>
          <w:p w14:paraId="0C6EAAF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2B4B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shd w:val="clear" w:color="auto" w:fill="auto"/>
            <w:noWrap w:val="0"/>
            <w:vAlign w:val="center"/>
          </w:tcPr>
          <w:p w14:paraId="23BEDC2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▲硬件外观</w:t>
            </w:r>
          </w:p>
        </w:tc>
        <w:tc>
          <w:tcPr>
            <w:tcW w:w="3944" w:type="pct"/>
            <w:shd w:val="clear" w:color="auto" w:fill="auto"/>
            <w:noWrap w:val="0"/>
            <w:vAlign w:val="bottom"/>
          </w:tcPr>
          <w:p w14:paraId="7066771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1U标准机架式设备，国产化硬件平台，设备配置1个RJ-45 Console口，8个10/100/1000M自适应电口，4个千兆SFP插槽，2个网络接口扩展槽位，2个USB口，交流单电源；设备配置硬件加密卡，支持国家商用密码算法SM2、SM3、SM4，产品具有国家密码管理局发布的商用密码产品认证证书，此次提供三年硬件保修和基础型技术支持服务。</w:t>
            </w:r>
          </w:p>
        </w:tc>
      </w:tr>
      <w:tr w14:paraId="421F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132823C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▲性能要求</w:t>
            </w:r>
          </w:p>
        </w:tc>
        <w:tc>
          <w:tcPr>
            <w:tcW w:w="3944" w:type="pct"/>
            <w:shd w:val="clear" w:color="auto" w:fill="auto"/>
            <w:noWrap w:val="0"/>
            <w:vAlign w:val="bottom"/>
          </w:tcPr>
          <w:p w14:paraId="4B98579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IPSec/SSL国密加解密吞吐不小于300Mbps，推荐并发用户数不小于1000，整机吞吐不小于5Gbps；此次提供不小于50点SSL VPN授权。</w:t>
            </w:r>
          </w:p>
        </w:tc>
      </w:tr>
      <w:tr w14:paraId="60EC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45FEE09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基本功能：</w:t>
            </w:r>
          </w:p>
        </w:tc>
        <w:tc>
          <w:tcPr>
            <w:tcW w:w="3944" w:type="pct"/>
            <w:shd w:val="clear" w:color="auto" w:fill="auto"/>
            <w:noWrap w:val="0"/>
            <w:vAlign w:val="bottom"/>
          </w:tcPr>
          <w:p w14:paraId="3F1CE8C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客户端支持龙芯、兆芯、飞腾、鲲鹏等国产化平台，支持中标麒麟，银河麒麟，普华、深度（deepin）、优麒麟、UOS统信操作系统、中科方德等国产化操作系统客户端</w:t>
            </w:r>
          </w:p>
        </w:tc>
      </w:tr>
      <w:tr w14:paraId="518D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56" w:type="pct"/>
            <w:shd w:val="clear" w:color="auto" w:fill="auto"/>
            <w:noWrap w:val="0"/>
            <w:vAlign w:val="center"/>
          </w:tcPr>
          <w:p w14:paraId="766EC44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多系统引导</w:t>
            </w:r>
          </w:p>
        </w:tc>
        <w:tc>
          <w:tcPr>
            <w:tcW w:w="3944" w:type="pct"/>
            <w:shd w:val="clear" w:color="auto" w:fill="auto"/>
            <w:noWrap w:val="0"/>
            <w:vAlign w:val="bottom"/>
          </w:tcPr>
          <w:p w14:paraId="66D12BE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支持多系统引导，即系统A、系统B和备份系统，可在管理员界面直接配置启动顺序，支持两个操作系统，管理员可自由选择当前启动系统，每个系统拥有独立的配置文件，且配置文件分别支持加密导入导出，备份系统用于应急恢复。</w:t>
            </w:r>
          </w:p>
        </w:tc>
      </w:tr>
      <w:tr w14:paraId="749F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2A582BC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SSL VPN</w:t>
            </w:r>
          </w:p>
        </w:tc>
        <w:tc>
          <w:tcPr>
            <w:tcW w:w="3944" w:type="pct"/>
            <w:shd w:val="clear" w:color="auto" w:fill="auto"/>
            <w:noWrap w:val="0"/>
            <w:vAlign w:val="bottom"/>
          </w:tcPr>
          <w:p w14:paraId="60FF621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支持设置SSL代理模式，可选择用户以VPN 接口IP、客户端源地址、或为用户分配独立虚拟IP 模式，来访问应用便于对用户访问行为进行审计溯源。</w:t>
            </w:r>
          </w:p>
        </w:tc>
      </w:tr>
      <w:tr w14:paraId="16C9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704D878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用户认证</w:t>
            </w:r>
          </w:p>
        </w:tc>
        <w:tc>
          <w:tcPr>
            <w:tcW w:w="3944" w:type="pct"/>
            <w:shd w:val="clear" w:color="auto" w:fill="auto"/>
            <w:noWrap w:val="0"/>
            <w:vAlign w:val="bottom"/>
          </w:tcPr>
          <w:p w14:paraId="35EA70B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支持IPSec、SSL 、PPTP、L2TP VPN的统一用户管理和认证体系，实现用户名口令一次配置，即可适用于全部VPN类型接入，无需分别购买不同类型VPN接入授权。</w:t>
            </w:r>
          </w:p>
        </w:tc>
      </w:tr>
      <w:tr w14:paraId="0B85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26D0909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IPv6</w:t>
            </w:r>
          </w:p>
        </w:tc>
        <w:tc>
          <w:tcPr>
            <w:tcW w:w="3944" w:type="pct"/>
            <w:shd w:val="clear" w:color="auto" w:fill="auto"/>
            <w:noWrap w:val="0"/>
            <w:vAlign w:val="bottom"/>
          </w:tcPr>
          <w:p w14:paraId="7077A9F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IPSec VPN支持网关、单臂部署模式，IPSec VPN支持透明、路由、冗余等网络接入方式。</w:t>
            </w:r>
          </w:p>
        </w:tc>
      </w:tr>
      <w:tr w14:paraId="0662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581BA3B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▲支持终端认证功能，</w:t>
            </w:r>
          </w:p>
        </w:tc>
        <w:tc>
          <w:tcPr>
            <w:tcW w:w="3944" w:type="pct"/>
            <w:shd w:val="clear" w:color="auto" w:fill="auto"/>
            <w:noWrap w:val="0"/>
            <w:vAlign w:val="bottom"/>
          </w:tcPr>
          <w:p w14:paraId="364DE3E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包含硬件特征码、IP、MAC、主机绑定，特征码信息无需用户手动设置输入可自动生成，支持自定义用户绑定终端数量。支持硬件特征码批量导入导出。（产品具有</w:t>
            </w:r>
            <w:r>
              <w:rPr>
                <w:rFonts w:hint="eastAsia" w:ascii="仿宋" w:hAnsi="仿宋" w:eastAsia="仿宋" w:cs="仿宋"/>
                <w:color w:val="auto"/>
                <w:kern w:val="0"/>
                <w:sz w:val="24"/>
                <w:szCs w:val="24"/>
                <w:highlight w:val="none"/>
                <w:lang w:eastAsia="zh-CN"/>
              </w:rPr>
              <w:t>相关部门</w:t>
            </w:r>
            <w:r>
              <w:rPr>
                <w:rFonts w:hint="eastAsia" w:ascii="仿宋" w:hAnsi="仿宋" w:eastAsia="仿宋" w:cs="仿宋"/>
                <w:color w:val="auto"/>
                <w:kern w:val="0"/>
                <w:sz w:val="24"/>
                <w:szCs w:val="24"/>
                <w:highlight w:val="none"/>
              </w:rPr>
              <w:t>出具的检测报告复印件）</w:t>
            </w:r>
          </w:p>
        </w:tc>
      </w:tr>
      <w:tr w14:paraId="42BC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36B46A6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IPSec VPN</w:t>
            </w:r>
          </w:p>
        </w:tc>
        <w:tc>
          <w:tcPr>
            <w:tcW w:w="3944" w:type="pct"/>
            <w:shd w:val="clear" w:color="auto" w:fill="auto"/>
            <w:noWrap w:val="0"/>
            <w:vAlign w:val="bottom"/>
          </w:tcPr>
          <w:p w14:paraId="3A6CEBF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支持IPSec手动隧道，手动输入密钥参数，无需协商，可以满足IPSec VPN跨越单向光闸传输加密要求。</w:t>
            </w:r>
          </w:p>
        </w:tc>
      </w:tr>
      <w:tr w14:paraId="532B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5A7C9C8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访问控制</w:t>
            </w:r>
          </w:p>
        </w:tc>
        <w:tc>
          <w:tcPr>
            <w:tcW w:w="3944" w:type="pct"/>
            <w:shd w:val="clear" w:color="auto" w:fill="auto"/>
            <w:noWrap w:val="0"/>
            <w:vAlign w:val="bottom"/>
          </w:tcPr>
          <w:p w14:paraId="1E3E70E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采用滤除网络攻击流量的方法。</w:t>
            </w:r>
          </w:p>
        </w:tc>
      </w:tr>
      <w:tr w14:paraId="5ED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12284AA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产品证书</w:t>
            </w:r>
          </w:p>
        </w:tc>
        <w:tc>
          <w:tcPr>
            <w:tcW w:w="3944" w:type="pct"/>
            <w:shd w:val="clear" w:color="auto" w:fill="auto"/>
            <w:noWrap w:val="0"/>
            <w:vAlign w:val="bottom"/>
          </w:tcPr>
          <w:p w14:paraId="21B4431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产品具有网络安全专用产品安全检测证书。</w:t>
            </w:r>
          </w:p>
        </w:tc>
      </w:tr>
      <w:tr w14:paraId="4D61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0413FC9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▲厂商资质</w:t>
            </w:r>
          </w:p>
        </w:tc>
        <w:tc>
          <w:tcPr>
            <w:tcW w:w="3944" w:type="pct"/>
            <w:shd w:val="clear" w:color="auto" w:fill="auto"/>
            <w:noWrap w:val="0"/>
            <w:vAlign w:val="bottom"/>
          </w:tcPr>
          <w:p w14:paraId="4CE9520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为保障信息系统建设和服务能力，要求设备厂商具有信息系统建设和服务能力等级证书和《数据安全服务能力评定资格证书》证书，提供相关证书复印件加盖厂商公章。</w:t>
            </w:r>
          </w:p>
        </w:tc>
      </w:tr>
    </w:tbl>
    <w:p w14:paraId="11A40EFC">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1.5.7 备份一体机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1E7C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1764F322">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shd w:val="clear" w:color="auto" w:fill="auto"/>
            <w:noWrap w:val="0"/>
            <w:vAlign w:val="center"/>
          </w:tcPr>
          <w:p w14:paraId="23681D7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7FFD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5858AF4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国产化平台</w:t>
            </w:r>
          </w:p>
        </w:tc>
        <w:tc>
          <w:tcPr>
            <w:tcW w:w="3944" w:type="pct"/>
            <w:shd w:val="clear" w:color="auto" w:fill="auto"/>
            <w:noWrap w:val="0"/>
            <w:vAlign w:val="bottom"/>
          </w:tcPr>
          <w:p w14:paraId="776E5DA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w:t>
            </w:r>
            <w:r>
              <w:rPr>
                <w:rFonts w:hint="eastAsia" w:ascii="仿宋" w:hAnsi="仿宋" w:eastAsia="仿宋" w:cs="仿宋"/>
                <w:color w:val="auto"/>
                <w:kern w:val="0"/>
                <w:sz w:val="24"/>
                <w:szCs w:val="24"/>
                <w:highlight w:val="none"/>
                <w:lang w:eastAsia="zh-CN"/>
              </w:rPr>
              <w:t>国产化</w:t>
            </w:r>
            <w:r>
              <w:rPr>
                <w:rFonts w:hint="eastAsia" w:ascii="仿宋" w:hAnsi="仿宋" w:eastAsia="仿宋" w:cs="仿宋"/>
                <w:color w:val="auto"/>
                <w:kern w:val="0"/>
                <w:sz w:val="24"/>
                <w:szCs w:val="24"/>
                <w:highlight w:val="none"/>
              </w:rPr>
              <w:t>平台（国产CPU架构或国产操作系统）部署备份存储服务器；</w:t>
            </w:r>
          </w:p>
        </w:tc>
      </w:tr>
      <w:tr w14:paraId="1560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shd w:val="clear" w:color="auto" w:fill="auto"/>
            <w:noWrap w:val="0"/>
            <w:vAlign w:val="center"/>
          </w:tcPr>
          <w:p w14:paraId="5FDE402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硬件要求</w:t>
            </w:r>
          </w:p>
        </w:tc>
        <w:tc>
          <w:tcPr>
            <w:tcW w:w="3944" w:type="pct"/>
            <w:shd w:val="clear" w:color="auto" w:fill="auto"/>
            <w:noWrap w:val="0"/>
            <w:vAlign w:val="bottom"/>
          </w:tcPr>
          <w:p w14:paraId="5BBD3E7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配置：CPU:≥2颗国产处理器，单颗主频≥2.6GHz，单颗物理核数≥32核，≥内存：128GB，16个DIMM插槽，最大支持2T 内存；系统盘：≥2*480GB SSD 数据盘：≥6*8TB SATA 阵列卡：≥2GB缓存RAID卡（含掉电保护） 网络接口：≥4*1GE 电口，≥4*10GE 光口（含多模光纤模块）；扩展槽位：≥3个可用PCIe插槽；国产，非OEM品牌，备份软件授权≥14TB；</w:t>
            </w:r>
          </w:p>
        </w:tc>
      </w:tr>
      <w:tr w14:paraId="6A91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shd w:val="clear" w:color="auto" w:fill="auto"/>
            <w:noWrap w:val="0"/>
            <w:vAlign w:val="center"/>
          </w:tcPr>
          <w:p w14:paraId="13EC2C0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▲虚拟化和云操作系统保护</w:t>
            </w:r>
          </w:p>
        </w:tc>
        <w:tc>
          <w:tcPr>
            <w:tcW w:w="3944" w:type="pct"/>
            <w:shd w:val="clear" w:color="auto" w:fill="auto"/>
            <w:noWrap w:val="0"/>
            <w:vAlign w:val="bottom"/>
          </w:tcPr>
          <w:p w14:paraId="1287797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支持国产虚拟化或云平台的备份恢复，包括但不限于KVM、FusionCompute、FusionCloud（Huawei Cloud Stack）、H3C CAS、OpenStack、CNware、RHV、易捷行云EasyStack、腾讯云TStack、ZStack、品高云等虚拟化平台或云平台的备份恢复（提供不少于6家虚拟化或云平台厂商的产品兼容性互认证证书复印件，并加盖公章）</w:t>
            </w:r>
          </w:p>
        </w:tc>
      </w:tr>
      <w:tr w14:paraId="002A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pct"/>
            <w:vMerge w:val="restart"/>
            <w:shd w:val="clear" w:color="auto" w:fill="auto"/>
            <w:noWrap w:val="0"/>
            <w:vAlign w:val="center"/>
          </w:tcPr>
          <w:p w14:paraId="0B89AEF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数据库保护基本功能要求</w:t>
            </w:r>
          </w:p>
        </w:tc>
        <w:tc>
          <w:tcPr>
            <w:tcW w:w="3944" w:type="pct"/>
            <w:shd w:val="clear" w:color="auto" w:fill="auto"/>
            <w:noWrap w:val="0"/>
            <w:vAlign w:val="bottom"/>
          </w:tcPr>
          <w:p w14:paraId="334EECC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支持国产主流的数据备份恢复，包括但不限于达梦（DM）、人大金仓（Kingbase）、南大通用（GBase）、GBase 8a MPP、神舟通用（ShenTong）、优炫（UXDB）、瀚高（Highgo）、虚谷、openGauss、Vastbase（海量）、SG-RDB-PG、GoldenDB、HotDB、TDSQL-PG、AntDB（亚信）、FusionDB、MogDB、TBase、GaussDB（DWS）和 GaussDB（for openGauss）等数据库。（提供不少于6家上述国产数据库产品的兼容性互认证证书复印件，并加盖公章）</w:t>
            </w:r>
          </w:p>
        </w:tc>
      </w:tr>
      <w:tr w14:paraId="524F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continue"/>
            <w:noWrap w:val="0"/>
            <w:vAlign w:val="center"/>
          </w:tcPr>
          <w:p w14:paraId="1AA2052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bottom"/>
          </w:tcPr>
          <w:p w14:paraId="7A2F52C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▲针对Oracle的redo log和archive log提供连续日志备份方式，实现RPO达到秒级的安全保护要求。（提供产品功能截图）</w:t>
            </w:r>
          </w:p>
        </w:tc>
      </w:tr>
      <w:tr w14:paraId="7BBC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vMerge w:val="continue"/>
            <w:noWrap w:val="0"/>
            <w:vAlign w:val="center"/>
          </w:tcPr>
          <w:p w14:paraId="4D9AE3F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bottom"/>
          </w:tcPr>
          <w:p w14:paraId="36AF8F3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▲支持华为GaussDB，原 GaussDB(for openGauss)非侵入式备份，无需在GaussDB节点安装Agent，即可实现备份恢复。同时兼容 Roach 与 TPOPS 方案，Roach 支持完全备份、增量备份、累积增量备份，TPOPS 支持完全备份、增量备份、日志备份和任意时间点恢复。支持将GaussDB实例7、恢复至原集群和同构异集群。（提供产品功能截图）</w:t>
            </w:r>
          </w:p>
        </w:tc>
      </w:tr>
      <w:tr w14:paraId="675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restart"/>
            <w:shd w:val="clear" w:color="auto" w:fill="auto"/>
            <w:noWrap w:val="0"/>
            <w:vAlign w:val="center"/>
          </w:tcPr>
          <w:p w14:paraId="6F7271C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数据重删复制冗余基本功能要求</w:t>
            </w:r>
          </w:p>
        </w:tc>
        <w:tc>
          <w:tcPr>
            <w:tcW w:w="3944" w:type="pct"/>
            <w:shd w:val="clear" w:color="auto" w:fill="auto"/>
            <w:noWrap w:val="0"/>
            <w:vAlign w:val="bottom"/>
          </w:tcPr>
          <w:p w14:paraId="23BB90D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支持固定块、变长块的数据重删技术，在创建重删存储空间时，需要提供变长和固定长度的块大小选择。</w:t>
            </w:r>
          </w:p>
        </w:tc>
      </w:tr>
      <w:tr w14:paraId="4135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5E8A540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bottom"/>
          </w:tcPr>
          <w:p w14:paraId="3AD615E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支持源端重删和目标端重删技术。</w:t>
            </w:r>
          </w:p>
        </w:tc>
      </w:tr>
      <w:tr w14:paraId="44F3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continue"/>
            <w:noWrap w:val="0"/>
            <w:vAlign w:val="center"/>
          </w:tcPr>
          <w:p w14:paraId="3529F2E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bottom"/>
          </w:tcPr>
          <w:p w14:paraId="2CA793B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支持重删池的状态检查，显示各重删池的指纹库大小、已用空间等信息。支持重删池的空间使用图表，显示空间使用和节省率趋势。</w:t>
            </w:r>
          </w:p>
        </w:tc>
      </w:tr>
      <w:tr w14:paraId="0ACA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continue"/>
            <w:noWrap w:val="0"/>
            <w:vAlign w:val="center"/>
          </w:tcPr>
          <w:p w14:paraId="2551B0E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bottom"/>
          </w:tcPr>
          <w:p w14:paraId="78AB038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支持指纹库异常修复和优化，包括指纹库重建和重分片、碎片自动整理机制等，保障重删备份恢复性能。</w:t>
            </w:r>
          </w:p>
        </w:tc>
      </w:tr>
      <w:tr w14:paraId="61AA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restart"/>
            <w:shd w:val="clear" w:color="auto" w:fill="auto"/>
            <w:noWrap w:val="0"/>
            <w:vAlign w:val="center"/>
          </w:tcPr>
          <w:p w14:paraId="78AAC2D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厂商资质</w:t>
            </w:r>
          </w:p>
        </w:tc>
        <w:tc>
          <w:tcPr>
            <w:tcW w:w="3944" w:type="pct"/>
            <w:shd w:val="clear" w:color="auto" w:fill="auto"/>
            <w:noWrap w:val="0"/>
            <w:vAlign w:val="bottom"/>
          </w:tcPr>
          <w:p w14:paraId="6055C20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厂商提供投标产品必须具有IPV6认证。（提供原厂盖章的证书复印件）</w:t>
            </w:r>
          </w:p>
        </w:tc>
      </w:tr>
      <w:tr w14:paraId="1F92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7F7475F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bottom"/>
          </w:tcPr>
          <w:p w14:paraId="65017C7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▲厂商具有</w:t>
            </w:r>
            <w:r>
              <w:rPr>
                <w:rFonts w:hint="eastAsia" w:ascii="仿宋" w:hAnsi="仿宋" w:eastAsia="仿宋" w:cs="仿宋"/>
                <w:color w:val="auto"/>
                <w:kern w:val="0"/>
                <w:sz w:val="24"/>
                <w:szCs w:val="24"/>
                <w:highlight w:val="none"/>
                <w:lang w:eastAsia="zh-CN"/>
              </w:rPr>
              <w:t>相关部门</w:t>
            </w:r>
            <w:r>
              <w:rPr>
                <w:rFonts w:hint="eastAsia" w:ascii="仿宋" w:hAnsi="仿宋" w:eastAsia="仿宋" w:cs="仿宋"/>
                <w:color w:val="auto"/>
                <w:kern w:val="0"/>
                <w:sz w:val="24"/>
                <w:szCs w:val="24"/>
                <w:highlight w:val="none"/>
              </w:rPr>
              <w:t>颁发的《源代码安全审计证书》（提供原厂盖章的证书复印件）</w:t>
            </w:r>
          </w:p>
        </w:tc>
      </w:tr>
      <w:tr w14:paraId="73EC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52149B1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质保服务</w:t>
            </w:r>
          </w:p>
        </w:tc>
        <w:tc>
          <w:tcPr>
            <w:tcW w:w="3944" w:type="pct"/>
            <w:shd w:val="clear" w:color="auto" w:fill="auto"/>
            <w:noWrap w:val="0"/>
            <w:vAlign w:val="bottom"/>
          </w:tcPr>
          <w:p w14:paraId="3AD7832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三年原厂硬件质保服务，三年原厂软件质保服务；</w:t>
            </w:r>
          </w:p>
        </w:tc>
      </w:tr>
    </w:tbl>
    <w:p w14:paraId="1093B059">
      <w:pPr>
        <w:widowControl w:val="0"/>
        <w:spacing w:line="400" w:lineRule="exact"/>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1.5.8前置服务器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57F1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5DD42185">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shd w:val="clear" w:color="auto" w:fill="auto"/>
            <w:noWrap w:val="0"/>
            <w:vAlign w:val="center"/>
          </w:tcPr>
          <w:p w14:paraId="7289980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0AF2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0018E84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前置服务器</w:t>
            </w:r>
          </w:p>
        </w:tc>
        <w:tc>
          <w:tcPr>
            <w:tcW w:w="3944" w:type="pct"/>
            <w:shd w:val="clear" w:color="auto" w:fill="auto"/>
            <w:noWrap w:val="0"/>
            <w:vAlign w:val="bottom"/>
          </w:tcPr>
          <w:p w14:paraId="456859C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国产化</w:t>
            </w:r>
            <w:r>
              <w:rPr>
                <w:rFonts w:hint="eastAsia" w:ascii="仿宋" w:hAnsi="仿宋" w:eastAsia="仿宋" w:cs="仿宋"/>
                <w:color w:val="auto"/>
                <w:kern w:val="0"/>
                <w:sz w:val="24"/>
                <w:szCs w:val="24"/>
                <w:highlight w:val="none"/>
              </w:rPr>
              <w:t>CPU:≥2颗，单颗主频≥2.4GHz，单颗物理核数≥16核，内存：≥128GB，内存；系统盘：≥2*480GB SSD 数据盘：≥3*8TB SATA； 阵列卡：≥2GB缓存RAID卡（含掉电保护）； 网络接口：≥4*1GE 电口，≥2*10GE 光口（含多模光纤模块）</w:t>
            </w:r>
          </w:p>
        </w:tc>
      </w:tr>
    </w:tbl>
    <w:p w14:paraId="356407C3">
      <w:pPr>
        <w:widowControl w:val="0"/>
        <w:spacing w:line="4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1.5.9业务超融合</w:t>
      </w:r>
    </w:p>
    <w:tbl>
      <w:tblPr>
        <w:tblStyle w:val="5"/>
        <w:tblW w:w="9987" w:type="dxa"/>
        <w:jc w:val="center"/>
        <w:tblLayout w:type="fixed"/>
        <w:tblCellMar>
          <w:top w:w="0" w:type="dxa"/>
          <w:left w:w="108" w:type="dxa"/>
          <w:bottom w:w="0" w:type="dxa"/>
          <w:right w:w="108" w:type="dxa"/>
        </w:tblCellMar>
      </w:tblPr>
      <w:tblGrid>
        <w:gridCol w:w="1706"/>
        <w:gridCol w:w="8281"/>
      </w:tblGrid>
      <w:tr w14:paraId="572AA111">
        <w:tblPrEx>
          <w:tblCellMar>
            <w:top w:w="0" w:type="dxa"/>
            <w:left w:w="108" w:type="dxa"/>
            <w:bottom w:w="0" w:type="dxa"/>
            <w:right w:w="108" w:type="dxa"/>
          </w:tblCellMar>
        </w:tblPrEx>
        <w:trPr>
          <w:trHeight w:val="42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471C1CE8">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8281" w:type="dxa"/>
            <w:tcBorders>
              <w:top w:val="single" w:color="auto" w:sz="4" w:space="0"/>
              <w:left w:val="single" w:color="auto" w:sz="4" w:space="0"/>
              <w:bottom w:val="single" w:color="auto" w:sz="4" w:space="0"/>
              <w:right w:val="single" w:color="auto" w:sz="4" w:space="0"/>
            </w:tcBorders>
            <w:noWrap w:val="0"/>
            <w:vAlign w:val="center"/>
          </w:tcPr>
          <w:p w14:paraId="232BADE9">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技术要求</w:t>
            </w:r>
          </w:p>
        </w:tc>
      </w:tr>
      <w:tr w14:paraId="06FD3019">
        <w:tblPrEx>
          <w:tblCellMar>
            <w:top w:w="0" w:type="dxa"/>
            <w:left w:w="108" w:type="dxa"/>
            <w:bottom w:w="0" w:type="dxa"/>
            <w:right w:w="108" w:type="dxa"/>
          </w:tblCellMar>
        </w:tblPrEx>
        <w:trPr>
          <w:trHeight w:val="42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410B5F98">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云资源要求</w:t>
            </w:r>
          </w:p>
        </w:tc>
        <w:tc>
          <w:tcPr>
            <w:tcW w:w="8281" w:type="dxa"/>
            <w:tcBorders>
              <w:top w:val="single" w:color="auto" w:sz="4" w:space="0"/>
              <w:left w:val="single" w:color="auto" w:sz="4" w:space="0"/>
              <w:bottom w:val="single" w:color="auto" w:sz="4" w:space="0"/>
              <w:right w:val="single" w:color="auto" w:sz="4" w:space="0"/>
            </w:tcBorders>
            <w:noWrap w:val="0"/>
            <w:vAlign w:val="center"/>
          </w:tcPr>
          <w:p w14:paraId="4D7AF350">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国产化CPU,单节点提供两颗C86 CPU,主频不少于2.5GHz，核数不少于64核，内存不少于512GB, 不少于960GB SATA SSD系统盘， 不少于3.84TB NVMe SSD缓存盘，不少于32TB 数据盘，RAID卡（带4GB缓存），冗余电源。为保证软硬件兼容性，以及后期售后服务一致性，要求硬件与云软件为同一品牌。</w:t>
            </w:r>
          </w:p>
        </w:tc>
      </w:tr>
      <w:tr w14:paraId="6DB60DFE">
        <w:tblPrEx>
          <w:tblCellMar>
            <w:top w:w="0" w:type="dxa"/>
            <w:left w:w="108" w:type="dxa"/>
            <w:bottom w:w="0" w:type="dxa"/>
            <w:right w:w="108" w:type="dxa"/>
          </w:tblCellMar>
        </w:tblPrEx>
        <w:trPr>
          <w:trHeight w:val="42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717EAE82">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软件授权</w:t>
            </w:r>
          </w:p>
        </w:tc>
        <w:tc>
          <w:tcPr>
            <w:tcW w:w="8281" w:type="dxa"/>
            <w:tcBorders>
              <w:top w:val="single" w:color="auto" w:sz="4" w:space="0"/>
              <w:left w:val="single" w:color="auto" w:sz="4" w:space="0"/>
              <w:bottom w:val="single" w:color="auto" w:sz="4" w:space="0"/>
              <w:right w:val="single" w:color="auto" w:sz="4" w:space="0"/>
            </w:tcBorders>
            <w:noWrap w:val="0"/>
            <w:vAlign w:val="center"/>
          </w:tcPr>
          <w:p w14:paraId="559CE808">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1、每台服务器提供不少于2颗CPU授权的计算虚拟化、存储虚拟化、网络虚拟化、云计算管理平台授权. </w:t>
            </w:r>
          </w:p>
          <w:p w14:paraId="65364F6D">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2、为保障国产化替代进程，云软件需兼容国产C86、ARM架构处理器。</w:t>
            </w:r>
          </w:p>
          <w:p w14:paraId="15B02546">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3、提供3年软件升级服务。</w:t>
            </w:r>
          </w:p>
        </w:tc>
      </w:tr>
      <w:tr w14:paraId="65EAF80F">
        <w:tblPrEx>
          <w:tblCellMar>
            <w:top w:w="0" w:type="dxa"/>
            <w:left w:w="108" w:type="dxa"/>
            <w:bottom w:w="0" w:type="dxa"/>
            <w:right w:w="108" w:type="dxa"/>
          </w:tblCellMar>
        </w:tblPrEx>
        <w:trPr>
          <w:trHeight w:val="442"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38C6910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功能要求</w:t>
            </w:r>
          </w:p>
        </w:tc>
        <w:tc>
          <w:tcPr>
            <w:tcW w:w="8281" w:type="dxa"/>
            <w:tcBorders>
              <w:top w:val="single" w:color="auto" w:sz="4" w:space="0"/>
              <w:left w:val="single" w:color="auto" w:sz="4" w:space="0"/>
              <w:bottom w:val="single" w:color="auto" w:sz="4" w:space="0"/>
              <w:right w:val="single" w:color="auto" w:sz="4" w:space="0"/>
            </w:tcBorders>
            <w:noWrap w:val="0"/>
            <w:vAlign w:val="center"/>
          </w:tcPr>
          <w:p w14:paraId="73260A7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支持健康巡检功能，用于快速查看系统健康情况</w:t>
            </w:r>
          </w:p>
        </w:tc>
      </w:tr>
      <w:tr w14:paraId="03156FF7">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51A0F89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24B53BB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运维要求：针对云资源整体软硬件故障问题，提供统一的可视的监控管理中心，可视化实时监控中心从硬件可靠性、系统可靠性、服务可靠性三大层面进行实时监控、分层展示，运维人员可以直观查看集群的整体运行情况，可以快速诊断集群的健康状态，同时支持对无需关注的检测异常启用屏蔽功能，启用屏蔽功能的检测异常将不会上报显示。</w:t>
            </w:r>
          </w:p>
        </w:tc>
      </w:tr>
      <w:tr w14:paraId="54FCA6AD">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171EC4A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21164EE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扩容要求：可以依据资源的使用情况，云资源支持按需选择扩容计算存储融合型节点、计算虚拟化型节点、存储虚拟化型节点，满足后期按业务对资源的需求进行灵活扩容，并节省采购成本要求；（需提供产品功能截图）</w:t>
            </w:r>
          </w:p>
        </w:tc>
      </w:tr>
      <w:tr w14:paraId="3E15B861">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24DFF38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tcPr>
          <w:p w14:paraId="17B5A1C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置迁移工具：云资源管理平台内置在线p2v、v2v迁移工具，支持业界主流的操作系统、公有云平台、虚拟化平台。包括但不限于VMware、华为、Hyper-V等平台的迁移功能，提升被迁移业务平台的普适性、降低业务上云的难度，降低运维工作量</w:t>
            </w:r>
          </w:p>
        </w:tc>
      </w:tr>
      <w:tr w14:paraId="4092AD43">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334C6C0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tcPr>
          <w:p w14:paraId="78AFBFE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资保障需求：支持使用一键鼠标按钮快速查看、启动、删除、批量启动和批量删除长时间未使用且处于关闭状态的虚拟机，进行资源利用率统计，降低运维工作量与难度，保障投资（提供具有CNAS及CMA认证的第三方权威机构出具的测试报告）</w:t>
            </w:r>
          </w:p>
        </w:tc>
      </w:tr>
      <w:tr w14:paraId="7ED2FF80">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34C87CD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59D1AE3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支持一键切换展示大屏功能，直观展示虚拟化资源池的健康度、告警、资源使用情况等，同时展示内容支持用户自定义</w:t>
            </w:r>
          </w:p>
        </w:tc>
      </w:tr>
      <w:tr w14:paraId="1BE22BCA">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11E3363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167B7FA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▲容量故障预测：支持资源容量预测服务，管理平台自动化实现数据检索预测，提供用户易用的数据预测服务，服务支持呈现实时的CPU、内存和 存储容量资源使用数据信息展示，并给出基于AI机器学习算法预测分析得到的预警时间点的提示，帮助用户做好资源扩容、成本预算等，提升业务可靠性。（需提供产品功能截图）</w:t>
            </w:r>
          </w:p>
        </w:tc>
      </w:tr>
      <w:tr w14:paraId="1CCD6EE3">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3366C4E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36B2F3A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自动部署要求：管理平台对于新上线节点设备可基于链路层协议、被管理节点自动发现，自动分配其IP地址，降低管理难度</w:t>
            </w:r>
          </w:p>
        </w:tc>
      </w:tr>
      <w:tr w14:paraId="320F5D46">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6D981CC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1BEE451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支持安装在通用的x86、ARM架构服务器，支持现有市场上主要国内外操作系统，包括Windows、CentOS、Fedora、RedHat、SUSE、Ubuntu、FreeBSD、中标红旗、中标麒麟、中标普华、深度、一铭、凝思等</w:t>
            </w:r>
          </w:p>
        </w:tc>
      </w:tr>
      <w:tr w14:paraId="69E5DA04">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4029496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0AB3898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运维管理要求：支持虚拟机桌面预览功能，无需登录虚拟机即可在虚拟化管理平台上看到虚拟机当前桌面的状态。</w:t>
            </w:r>
          </w:p>
        </w:tc>
      </w:tr>
      <w:tr w14:paraId="12BD6DDC">
        <w:tblPrEx>
          <w:tblCellMar>
            <w:top w:w="0" w:type="dxa"/>
            <w:left w:w="108" w:type="dxa"/>
            <w:bottom w:w="0" w:type="dxa"/>
            <w:right w:w="108" w:type="dxa"/>
          </w:tblCellMar>
        </w:tblPrEx>
        <w:trPr>
          <w:trHeight w:val="44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36B843F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6F1F9DD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采用分布式的软件定义存储架构，在通用服务器部署，把所有服务器硬盘组织成一个虚拟存储资源池，提供分布式存储服务</w:t>
            </w:r>
          </w:p>
        </w:tc>
      </w:tr>
      <w:tr w14:paraId="7A3723BC">
        <w:tblPrEx>
          <w:tblCellMar>
            <w:top w:w="0" w:type="dxa"/>
            <w:left w:w="108" w:type="dxa"/>
            <w:bottom w:w="0" w:type="dxa"/>
            <w:right w:w="108" w:type="dxa"/>
          </w:tblCellMar>
        </w:tblPrEx>
        <w:trPr>
          <w:trHeight w:val="821"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466ADC3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517E813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▲投资保障需求：支持使用一键鼠标按钮分析后端存储上的无效镜像文件，并提供一键清理和释放存储空间能力。（提供具有CNAS及CMA认证的第三方权威机构出具的测试报告）</w:t>
            </w:r>
          </w:p>
        </w:tc>
      </w:tr>
      <w:tr w14:paraId="746DDA6D">
        <w:tblPrEx>
          <w:tblCellMar>
            <w:top w:w="0" w:type="dxa"/>
            <w:left w:w="108" w:type="dxa"/>
            <w:bottom w:w="0" w:type="dxa"/>
            <w:right w:w="108" w:type="dxa"/>
          </w:tblCellMar>
        </w:tblPrEx>
        <w:trPr>
          <w:trHeight w:val="487"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3D50EDD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281" w:type="dxa"/>
            <w:tcBorders>
              <w:top w:val="single" w:color="auto" w:sz="4" w:space="0"/>
              <w:left w:val="single" w:color="auto" w:sz="4" w:space="0"/>
              <w:bottom w:val="single" w:color="auto" w:sz="4" w:space="0"/>
              <w:right w:val="single" w:color="auto" w:sz="4" w:space="0"/>
            </w:tcBorders>
            <w:noWrap w:val="0"/>
            <w:vAlign w:val="center"/>
          </w:tcPr>
          <w:p w14:paraId="16432FF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管理平台上可以通过拖拽虚拟设备图标和连线就能完成网络拓扑的构建，快速的实现整个业务逻辑，并且可以连接、开启、关闭虚拟网络设备，支持对整个平台虚拟设备实现统一的管理，提升运维管理的工作效率。（需提供产品功能截图）</w:t>
            </w:r>
          </w:p>
        </w:tc>
      </w:tr>
      <w:tr w14:paraId="6DA24A1A">
        <w:tblPrEx>
          <w:tblCellMar>
            <w:top w:w="0" w:type="dxa"/>
            <w:left w:w="108" w:type="dxa"/>
            <w:bottom w:w="0" w:type="dxa"/>
            <w:right w:w="108" w:type="dxa"/>
          </w:tblCellMar>
        </w:tblPrEx>
        <w:trPr>
          <w:trHeight w:val="487" w:hRule="atLeast"/>
          <w:jc w:val="center"/>
        </w:trPr>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0322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质保服务</w:t>
            </w:r>
          </w:p>
        </w:tc>
        <w:tc>
          <w:tcPr>
            <w:tcW w:w="8281" w:type="dxa"/>
            <w:tcBorders>
              <w:top w:val="single" w:color="auto" w:sz="4" w:space="0"/>
              <w:left w:val="single" w:color="auto" w:sz="4" w:space="0"/>
              <w:bottom w:val="single" w:color="auto" w:sz="4" w:space="0"/>
              <w:right w:val="single" w:color="auto" w:sz="4" w:space="0"/>
            </w:tcBorders>
            <w:shd w:val="clear" w:color="auto" w:fill="auto"/>
            <w:noWrap w:val="0"/>
            <w:vAlign w:val="bottom"/>
          </w:tcPr>
          <w:p w14:paraId="198980F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原厂质保三年</w:t>
            </w:r>
            <w:r>
              <w:rPr>
                <w:rFonts w:hint="eastAsia" w:ascii="仿宋" w:hAnsi="仿宋" w:eastAsia="仿宋" w:cs="仿宋"/>
                <w:color w:val="auto"/>
                <w:kern w:val="0"/>
                <w:sz w:val="24"/>
                <w:szCs w:val="24"/>
                <w:highlight w:val="none"/>
                <w:lang w:eastAsia="zh-CN"/>
              </w:rPr>
              <w:t>，提供原厂三年质保函并加盖公章。</w:t>
            </w:r>
          </w:p>
        </w:tc>
      </w:tr>
    </w:tbl>
    <w:p w14:paraId="2518E9D7">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1.5.10 PACS存储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01F5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056" w:type="pct"/>
            <w:shd w:val="clear" w:color="auto" w:fill="auto"/>
            <w:noWrap w:val="0"/>
            <w:vAlign w:val="center"/>
          </w:tcPr>
          <w:p w14:paraId="66FA7199">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shd w:val="clear" w:color="auto" w:fill="auto"/>
            <w:noWrap w:val="0"/>
            <w:vAlign w:val="center"/>
          </w:tcPr>
          <w:p w14:paraId="44B5AFF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7156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13C0DB2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▲国产操作系统</w:t>
            </w:r>
          </w:p>
        </w:tc>
        <w:tc>
          <w:tcPr>
            <w:tcW w:w="3944" w:type="pct"/>
            <w:shd w:val="clear" w:color="auto" w:fill="auto"/>
            <w:noWrap w:val="0"/>
            <w:vAlign w:val="bottom"/>
          </w:tcPr>
          <w:p w14:paraId="1A66ECA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投存储底层操作系统采用欧拉、统信、麒麟等国产操作系统，使用成熟稳定的国产品牌自主研发CPU，并且CPU通过国家保密科技测评中心最新的安全可靠测评，提供投标产品使用CPU型号、主频等证明材料以及中国信息安全测评中心官网安全可靠测评结果截图并加盖投标人公章。</w:t>
            </w:r>
          </w:p>
        </w:tc>
      </w:tr>
      <w:tr w14:paraId="6FBC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shd w:val="clear" w:color="auto" w:fill="auto"/>
            <w:noWrap w:val="0"/>
            <w:vAlign w:val="center"/>
          </w:tcPr>
          <w:p w14:paraId="76DB64A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▲硬件配置</w:t>
            </w:r>
          </w:p>
        </w:tc>
        <w:tc>
          <w:tcPr>
            <w:tcW w:w="3944" w:type="pct"/>
            <w:shd w:val="clear" w:color="auto" w:fill="auto"/>
            <w:noWrap w:val="0"/>
            <w:vAlign w:val="bottom"/>
          </w:tcPr>
          <w:p w14:paraId="53DD491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本次配置≥3个存储节点，单节点配置：CPU:≥2颗国产处理器，单颗主频：≥2.6GHz，单颗物理核数：≥32核，内存：≥8*32GB DDR4 内存，硬盘：≥2*480GB SSD 硬盘，≥1*3.2TB NVME SSD 硬盘，≥12*8TB SATA 硬盘；网口：≥4*GE网口，≥4*25GE 网口（含万兆光模块），软件：配置对应可得容量的存储软件授权；</w:t>
            </w:r>
          </w:p>
        </w:tc>
      </w:tr>
      <w:tr w14:paraId="085E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restart"/>
            <w:shd w:val="clear" w:color="auto" w:fill="auto"/>
            <w:noWrap w:val="0"/>
            <w:vAlign w:val="center"/>
          </w:tcPr>
          <w:p w14:paraId="73497A1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分布式架构</w:t>
            </w:r>
          </w:p>
        </w:tc>
        <w:tc>
          <w:tcPr>
            <w:tcW w:w="3944" w:type="pct"/>
            <w:shd w:val="clear" w:color="auto" w:fill="auto"/>
            <w:noWrap w:val="0"/>
            <w:vAlign w:val="bottom"/>
          </w:tcPr>
          <w:p w14:paraId="27D6010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采用全对称分布式架构，无独立元数据节点，随着存储节点数的增加，分布式存储性能和容量也随着近线性增长，扩容过程中业务不中断；</w:t>
            </w:r>
          </w:p>
        </w:tc>
      </w:tr>
      <w:tr w14:paraId="5EF0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continue"/>
            <w:noWrap w:val="0"/>
            <w:vAlign w:val="center"/>
          </w:tcPr>
          <w:p w14:paraId="6524CC7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bottom"/>
          </w:tcPr>
          <w:p w14:paraId="574DE39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具备大规模横向扩展能力，单集群规模最大可扩展至≥4096节点，支持横向扩展能力，新增节点带来的集群性能提升不低于单节点性能的80％；</w:t>
            </w:r>
          </w:p>
        </w:tc>
      </w:tr>
      <w:tr w14:paraId="7698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5DB6378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bottom"/>
          </w:tcPr>
          <w:p w14:paraId="0A736B1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支持在线缩容和扩容；支持存储软件在线升级，升级操作均不影响前端业务的连续性；</w:t>
            </w:r>
          </w:p>
        </w:tc>
      </w:tr>
      <w:tr w14:paraId="4BA3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03D3CF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CIFS协议</w:t>
            </w:r>
          </w:p>
        </w:tc>
        <w:tc>
          <w:tcPr>
            <w:tcW w:w="3944" w:type="pct"/>
            <w:shd w:val="clear" w:color="auto" w:fill="auto"/>
            <w:noWrap w:val="0"/>
            <w:vAlign w:val="bottom"/>
          </w:tcPr>
          <w:p w14:paraId="3DE4FDA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支持创建目录、删除目录、创建文件、删除文件、拷贝文件、查看文件、修改文件等；</w:t>
            </w:r>
          </w:p>
        </w:tc>
      </w:tr>
      <w:tr w14:paraId="2403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F6B593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业务连续能力</w:t>
            </w:r>
          </w:p>
        </w:tc>
        <w:tc>
          <w:tcPr>
            <w:tcW w:w="3944" w:type="pct"/>
            <w:shd w:val="clear" w:color="auto" w:fill="auto"/>
            <w:noWrap w:val="0"/>
            <w:vAlign w:val="bottom"/>
          </w:tcPr>
          <w:p w14:paraId="1F33098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支持Failover,支持在接入节点发生故障时业务不中断；</w:t>
            </w:r>
          </w:p>
        </w:tc>
      </w:tr>
      <w:tr w14:paraId="0EBB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06237BE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▲并行客户端功能</w:t>
            </w:r>
          </w:p>
        </w:tc>
        <w:tc>
          <w:tcPr>
            <w:tcW w:w="3944" w:type="pct"/>
            <w:shd w:val="clear" w:color="auto" w:fill="auto"/>
            <w:noWrap w:val="0"/>
            <w:vAlign w:val="bottom"/>
          </w:tcPr>
          <w:p w14:paraId="1CE4678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为大幅提升医生客户端阅片性能，降低访问时延，所投存储产品支持并行客户端功能，支持MPI-IO，兼容OpenMPI， MPICH2，提供具备CNAS或CMA资质的第三方权威评测机构签字盖章的测试报告复印件并加盖设备厂商原厂公章；</w:t>
            </w:r>
          </w:p>
        </w:tc>
      </w:tr>
      <w:tr w14:paraId="4EDE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26504BD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文件访问控制</w:t>
            </w:r>
          </w:p>
        </w:tc>
        <w:tc>
          <w:tcPr>
            <w:tcW w:w="3944" w:type="pct"/>
            <w:shd w:val="clear" w:color="auto" w:fill="auto"/>
            <w:noWrap w:val="0"/>
            <w:vAlign w:val="bottom"/>
          </w:tcPr>
          <w:p w14:paraId="2844479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支持对文件多种访问控制，只读、只读写、完成控制（读/写/删除/创建）、禁止（无权限访问）权限；</w:t>
            </w:r>
          </w:p>
        </w:tc>
      </w:tr>
      <w:tr w14:paraId="61DE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1F769D3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▲目录文件数要求</w:t>
            </w:r>
          </w:p>
        </w:tc>
        <w:tc>
          <w:tcPr>
            <w:tcW w:w="3944" w:type="pct"/>
            <w:shd w:val="clear" w:color="auto" w:fill="auto"/>
            <w:noWrap w:val="0"/>
            <w:vAlign w:val="bottom"/>
          </w:tcPr>
          <w:p w14:paraId="17B7120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单个目录支持的文件数不低于3000万，单个文件最大支持1PB，提供具备CMA和CNAS认证资质且隶属国家部委的认证机构的认证报告；</w:t>
            </w:r>
          </w:p>
        </w:tc>
      </w:tr>
      <w:tr w14:paraId="3656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2A8E1D5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▲数据完整性校验</w:t>
            </w:r>
          </w:p>
        </w:tc>
        <w:tc>
          <w:tcPr>
            <w:tcW w:w="3944" w:type="pct"/>
            <w:shd w:val="clear" w:color="auto" w:fill="auto"/>
            <w:noWrap w:val="0"/>
            <w:vAlign w:val="bottom"/>
          </w:tcPr>
          <w:p w14:paraId="587C983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支持数据完整性校验功能(DIF)，数据静默错误可自动校验并修复。提供具备CMA和CNAS认证资质且隶属国家部委的认证机构的认证报告；</w:t>
            </w:r>
          </w:p>
        </w:tc>
      </w:tr>
      <w:tr w14:paraId="2FBD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52124F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质保服务</w:t>
            </w:r>
          </w:p>
        </w:tc>
        <w:tc>
          <w:tcPr>
            <w:tcW w:w="3944" w:type="pct"/>
            <w:shd w:val="clear" w:color="auto" w:fill="auto"/>
            <w:noWrap w:val="0"/>
            <w:vAlign w:val="bottom"/>
          </w:tcPr>
          <w:p w14:paraId="245D5E6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原厂质保三年</w:t>
            </w:r>
            <w:r>
              <w:rPr>
                <w:rFonts w:hint="eastAsia" w:ascii="仿宋" w:hAnsi="仿宋" w:eastAsia="仿宋" w:cs="仿宋"/>
                <w:color w:val="auto"/>
                <w:kern w:val="0"/>
                <w:sz w:val="24"/>
                <w:szCs w:val="24"/>
                <w:highlight w:val="none"/>
                <w:lang w:eastAsia="zh-CN"/>
              </w:rPr>
              <w:t>，提供原厂三年质保函并加盖公章。</w:t>
            </w:r>
          </w:p>
        </w:tc>
      </w:tr>
    </w:tbl>
    <w:p w14:paraId="227989F1">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1.5.11数据中心交换机</w:t>
      </w:r>
    </w:p>
    <w:tbl>
      <w:tblPr>
        <w:tblStyle w:val="5"/>
        <w:tblW w:w="5000" w:type="pct"/>
        <w:tblInd w:w="0" w:type="dxa"/>
        <w:tblLayout w:type="fixed"/>
        <w:tblCellMar>
          <w:top w:w="0" w:type="dxa"/>
          <w:left w:w="108" w:type="dxa"/>
          <w:bottom w:w="0" w:type="dxa"/>
          <w:right w:w="108" w:type="dxa"/>
        </w:tblCellMar>
      </w:tblPr>
      <w:tblGrid>
        <w:gridCol w:w="1950"/>
        <w:gridCol w:w="8012"/>
      </w:tblGrid>
      <w:tr w14:paraId="11A8B6C9">
        <w:trPr>
          <w:trHeight w:val="288" w:hRule="atLeast"/>
        </w:trPr>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1A15FB">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4021" w:type="pct"/>
            <w:tcBorders>
              <w:top w:val="single" w:color="auto" w:sz="4" w:space="0"/>
              <w:left w:val="nil"/>
              <w:bottom w:val="single" w:color="auto" w:sz="4" w:space="0"/>
              <w:right w:val="single" w:color="auto" w:sz="4" w:space="0"/>
            </w:tcBorders>
            <w:shd w:val="clear" w:color="auto" w:fill="auto"/>
            <w:noWrap w:val="0"/>
            <w:vAlign w:val="center"/>
          </w:tcPr>
          <w:p w14:paraId="48C349D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19508CF9">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2B44441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转发性能</w:t>
            </w:r>
          </w:p>
        </w:tc>
        <w:tc>
          <w:tcPr>
            <w:tcW w:w="4021" w:type="pct"/>
            <w:tcBorders>
              <w:top w:val="nil"/>
              <w:left w:val="nil"/>
              <w:bottom w:val="single" w:color="auto" w:sz="4" w:space="0"/>
              <w:right w:val="single" w:color="auto" w:sz="4" w:space="0"/>
            </w:tcBorders>
            <w:shd w:val="clear" w:color="auto" w:fill="auto"/>
            <w:noWrap/>
            <w:vAlign w:val="center"/>
          </w:tcPr>
          <w:p w14:paraId="364AFDF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交换容量≥4.8Tbps，以官网所列最低参数为准；包转发率≥2000Mpps，以官网所列最低参数为准；</w:t>
            </w:r>
          </w:p>
        </w:tc>
      </w:tr>
      <w:tr w14:paraId="1CD15FDA">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2F93E7C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硬件规格</w:t>
            </w:r>
          </w:p>
        </w:tc>
        <w:tc>
          <w:tcPr>
            <w:tcW w:w="4021" w:type="pct"/>
            <w:tcBorders>
              <w:top w:val="nil"/>
              <w:left w:val="nil"/>
              <w:bottom w:val="single" w:color="auto" w:sz="4" w:space="0"/>
              <w:right w:val="single" w:color="auto" w:sz="4" w:space="0"/>
            </w:tcBorders>
            <w:shd w:val="clear" w:color="auto" w:fill="auto"/>
            <w:noWrap/>
            <w:vAlign w:val="center"/>
          </w:tcPr>
          <w:p w14:paraId="39EF156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高度≤1U，固定接口交换机，电源1+1备份，风扇模块3+1备份；</w:t>
            </w:r>
          </w:p>
        </w:tc>
      </w:tr>
      <w:tr w14:paraId="72994CCE">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5299FC9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▲CPU</w:t>
            </w:r>
          </w:p>
        </w:tc>
        <w:tc>
          <w:tcPr>
            <w:tcW w:w="4021" w:type="pct"/>
            <w:tcBorders>
              <w:top w:val="nil"/>
              <w:left w:val="nil"/>
              <w:bottom w:val="single" w:color="auto" w:sz="4" w:space="0"/>
              <w:right w:val="single" w:color="auto" w:sz="4" w:space="0"/>
            </w:tcBorders>
            <w:shd w:val="clear" w:color="auto" w:fill="auto"/>
            <w:noWrap/>
            <w:vAlign w:val="center"/>
          </w:tcPr>
          <w:p w14:paraId="24BAEFE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国产芯片，自主可控，提供第三方测试报告；</w:t>
            </w:r>
          </w:p>
        </w:tc>
      </w:tr>
      <w:tr w14:paraId="4AF9B6F5">
        <w:tblPrEx>
          <w:tblCellMar>
            <w:top w:w="0" w:type="dxa"/>
            <w:left w:w="108" w:type="dxa"/>
            <w:bottom w:w="0" w:type="dxa"/>
            <w:right w:w="108" w:type="dxa"/>
          </w:tblCellMar>
        </w:tblPrEx>
        <w:trPr>
          <w:trHeight w:val="288" w:hRule="atLeast"/>
        </w:trPr>
        <w:tc>
          <w:tcPr>
            <w:tcW w:w="979" w:type="pct"/>
            <w:vMerge w:val="restart"/>
            <w:tcBorders>
              <w:top w:val="nil"/>
              <w:left w:val="single" w:color="auto" w:sz="4" w:space="0"/>
              <w:bottom w:val="single" w:color="auto" w:sz="4" w:space="0"/>
              <w:right w:val="single" w:color="auto" w:sz="4" w:space="0"/>
            </w:tcBorders>
            <w:shd w:val="clear" w:color="auto" w:fill="auto"/>
            <w:noWrap w:val="0"/>
            <w:vAlign w:val="center"/>
          </w:tcPr>
          <w:p w14:paraId="6497E9F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特性</w:t>
            </w:r>
          </w:p>
        </w:tc>
        <w:tc>
          <w:tcPr>
            <w:tcW w:w="4021" w:type="pct"/>
            <w:tcBorders>
              <w:top w:val="nil"/>
              <w:left w:val="nil"/>
              <w:bottom w:val="single" w:color="auto" w:sz="4" w:space="0"/>
              <w:right w:val="single" w:color="auto" w:sz="4" w:space="0"/>
            </w:tcBorders>
            <w:shd w:val="clear" w:color="auto" w:fill="auto"/>
            <w:noWrap/>
            <w:vAlign w:val="center"/>
          </w:tcPr>
          <w:p w14:paraId="7385B74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4、设备缓存≥32M，支持前后、后前风道；</w:t>
            </w:r>
          </w:p>
        </w:tc>
      </w:tr>
      <w:tr w14:paraId="0F3698EC">
        <w:tblPrEx>
          <w:tblCellMar>
            <w:top w:w="0" w:type="dxa"/>
            <w:left w:w="108" w:type="dxa"/>
            <w:bottom w:w="0" w:type="dxa"/>
            <w:right w:w="108" w:type="dxa"/>
          </w:tblCellMar>
        </w:tblPrEx>
        <w:trPr>
          <w:trHeight w:val="288" w:hRule="atLeast"/>
        </w:trPr>
        <w:tc>
          <w:tcPr>
            <w:tcW w:w="979" w:type="pct"/>
            <w:vMerge w:val="continue"/>
            <w:tcBorders>
              <w:top w:val="nil"/>
              <w:left w:val="single" w:color="auto" w:sz="4" w:space="0"/>
              <w:bottom w:val="single" w:color="auto" w:sz="4" w:space="0"/>
              <w:right w:val="single" w:color="auto" w:sz="4" w:space="0"/>
            </w:tcBorders>
            <w:noWrap w:val="0"/>
            <w:vAlign w:val="center"/>
          </w:tcPr>
          <w:p w14:paraId="2D35499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4021" w:type="pct"/>
            <w:tcBorders>
              <w:top w:val="nil"/>
              <w:left w:val="nil"/>
              <w:bottom w:val="single" w:color="auto" w:sz="4" w:space="0"/>
              <w:right w:val="single" w:color="auto" w:sz="4" w:space="0"/>
            </w:tcBorders>
            <w:shd w:val="clear" w:color="auto" w:fill="auto"/>
            <w:noWrap/>
            <w:vAlign w:val="center"/>
          </w:tcPr>
          <w:p w14:paraId="42631B3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5、支持M-LAG或vPC或DRNI等跨机箱链路捆绑技术;</w:t>
            </w:r>
          </w:p>
        </w:tc>
      </w:tr>
      <w:tr w14:paraId="17B2623B">
        <w:tblPrEx>
          <w:tblCellMar>
            <w:top w:w="0" w:type="dxa"/>
            <w:left w:w="108" w:type="dxa"/>
            <w:bottom w:w="0" w:type="dxa"/>
            <w:right w:w="108" w:type="dxa"/>
          </w:tblCellMar>
        </w:tblPrEx>
        <w:trPr>
          <w:trHeight w:val="288" w:hRule="atLeast"/>
        </w:trPr>
        <w:tc>
          <w:tcPr>
            <w:tcW w:w="979" w:type="pct"/>
            <w:vMerge w:val="continue"/>
            <w:tcBorders>
              <w:top w:val="nil"/>
              <w:left w:val="single" w:color="auto" w:sz="4" w:space="0"/>
              <w:bottom w:val="single" w:color="auto" w:sz="4" w:space="0"/>
              <w:right w:val="single" w:color="auto" w:sz="4" w:space="0"/>
            </w:tcBorders>
            <w:noWrap w:val="0"/>
            <w:vAlign w:val="center"/>
          </w:tcPr>
          <w:p w14:paraId="36EF7A4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4021" w:type="pct"/>
            <w:tcBorders>
              <w:top w:val="nil"/>
              <w:left w:val="nil"/>
              <w:bottom w:val="single" w:color="auto" w:sz="4" w:space="0"/>
              <w:right w:val="single" w:color="auto" w:sz="4" w:space="0"/>
            </w:tcBorders>
            <w:shd w:val="clear" w:color="auto" w:fill="auto"/>
            <w:noWrap/>
            <w:vAlign w:val="center"/>
          </w:tcPr>
          <w:p w14:paraId="4AB85AA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6、支持BFD3.3ms检测间隔</w:t>
            </w:r>
          </w:p>
        </w:tc>
      </w:tr>
      <w:tr w14:paraId="6889F9AA">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6A0742D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端口配置要求</w:t>
            </w:r>
          </w:p>
        </w:tc>
        <w:tc>
          <w:tcPr>
            <w:tcW w:w="4021" w:type="pct"/>
            <w:tcBorders>
              <w:top w:val="nil"/>
              <w:left w:val="nil"/>
              <w:bottom w:val="single" w:color="auto" w:sz="4" w:space="0"/>
              <w:right w:val="single" w:color="auto" w:sz="4" w:space="0"/>
            </w:tcBorders>
            <w:shd w:val="clear" w:color="auto" w:fill="auto"/>
            <w:noWrap/>
            <w:vAlign w:val="center"/>
          </w:tcPr>
          <w:p w14:paraId="3F4CFEA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48个10GE光端口数量，6个100GE 光接口；</w:t>
            </w:r>
          </w:p>
        </w:tc>
      </w:tr>
      <w:tr w14:paraId="27C16175">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0751EAD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模块</w:t>
            </w:r>
          </w:p>
        </w:tc>
        <w:tc>
          <w:tcPr>
            <w:tcW w:w="4021" w:type="pct"/>
            <w:tcBorders>
              <w:top w:val="nil"/>
              <w:left w:val="nil"/>
              <w:bottom w:val="single" w:color="auto" w:sz="4" w:space="0"/>
              <w:right w:val="single" w:color="auto" w:sz="4" w:space="0"/>
            </w:tcBorders>
            <w:shd w:val="clear" w:color="auto" w:fill="auto"/>
            <w:noWrap/>
            <w:vAlign w:val="center"/>
          </w:tcPr>
          <w:p w14:paraId="7B49685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配置20个万兆多模光模块；</w:t>
            </w:r>
          </w:p>
        </w:tc>
      </w:tr>
      <w:tr w14:paraId="33845447">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503DE09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质保服务</w:t>
            </w:r>
          </w:p>
        </w:tc>
        <w:tc>
          <w:tcPr>
            <w:tcW w:w="4021" w:type="pct"/>
            <w:tcBorders>
              <w:top w:val="nil"/>
              <w:left w:val="nil"/>
              <w:bottom w:val="single" w:color="auto" w:sz="4" w:space="0"/>
              <w:right w:val="single" w:color="auto" w:sz="4" w:space="0"/>
            </w:tcBorders>
            <w:shd w:val="clear" w:color="auto" w:fill="auto"/>
            <w:noWrap/>
            <w:vAlign w:val="center"/>
          </w:tcPr>
          <w:p w14:paraId="78029B0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原厂质保三年。</w:t>
            </w:r>
          </w:p>
        </w:tc>
      </w:tr>
    </w:tbl>
    <w:p w14:paraId="37518FDA">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1.5.12千兆交换机</w:t>
      </w:r>
    </w:p>
    <w:tbl>
      <w:tblPr>
        <w:tblStyle w:val="5"/>
        <w:tblW w:w="5000" w:type="pct"/>
        <w:tblInd w:w="0" w:type="dxa"/>
        <w:tblLayout w:type="autofit"/>
        <w:tblCellMar>
          <w:top w:w="0" w:type="dxa"/>
          <w:left w:w="108" w:type="dxa"/>
          <w:bottom w:w="0" w:type="dxa"/>
          <w:right w:w="108" w:type="dxa"/>
        </w:tblCellMar>
      </w:tblPr>
      <w:tblGrid>
        <w:gridCol w:w="2104"/>
        <w:gridCol w:w="7858"/>
      </w:tblGrid>
      <w:tr w14:paraId="7F0BFE13">
        <w:tblPrEx>
          <w:tblCellMar>
            <w:top w:w="0" w:type="dxa"/>
            <w:left w:w="108" w:type="dxa"/>
            <w:bottom w:w="0" w:type="dxa"/>
            <w:right w:w="108" w:type="dxa"/>
          </w:tblCellMar>
        </w:tblPrEx>
        <w:trPr>
          <w:trHeight w:val="288"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83DE12">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tcBorders>
              <w:top w:val="single" w:color="auto" w:sz="4" w:space="0"/>
              <w:left w:val="nil"/>
              <w:bottom w:val="single" w:color="auto" w:sz="4" w:space="0"/>
              <w:right w:val="single" w:color="auto" w:sz="4" w:space="0"/>
            </w:tcBorders>
            <w:shd w:val="clear" w:color="auto" w:fill="auto"/>
            <w:noWrap w:val="0"/>
            <w:vAlign w:val="center"/>
          </w:tcPr>
          <w:p w14:paraId="6685B7B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3115CC60">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1D72641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端口</w:t>
            </w:r>
          </w:p>
        </w:tc>
        <w:tc>
          <w:tcPr>
            <w:tcW w:w="3944" w:type="pct"/>
            <w:tcBorders>
              <w:top w:val="nil"/>
              <w:left w:val="nil"/>
              <w:bottom w:val="single" w:color="auto" w:sz="4" w:space="0"/>
              <w:right w:val="single" w:color="auto" w:sz="4" w:space="0"/>
            </w:tcBorders>
            <w:shd w:val="clear" w:color="auto" w:fill="auto"/>
            <w:noWrap/>
            <w:vAlign w:val="bottom"/>
          </w:tcPr>
          <w:p w14:paraId="2D76C07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24个10/100/1000M以太网电口，4个千兆 SFP接口；</w:t>
            </w:r>
          </w:p>
        </w:tc>
      </w:tr>
      <w:tr w14:paraId="347A90DF">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5D190E5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w:t>
            </w:r>
          </w:p>
        </w:tc>
        <w:tc>
          <w:tcPr>
            <w:tcW w:w="3944" w:type="pct"/>
            <w:tcBorders>
              <w:top w:val="nil"/>
              <w:left w:val="nil"/>
              <w:bottom w:val="single" w:color="auto" w:sz="4" w:space="0"/>
              <w:right w:val="single" w:color="auto" w:sz="4" w:space="0"/>
            </w:tcBorders>
            <w:shd w:val="clear" w:color="auto" w:fill="auto"/>
            <w:noWrap/>
            <w:vAlign w:val="bottom"/>
          </w:tcPr>
          <w:p w14:paraId="1791163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交换容量：≥672Gbps/6.72Tbps；包转发率：126Mpps；</w:t>
            </w:r>
          </w:p>
        </w:tc>
      </w:tr>
      <w:tr w14:paraId="557DC6EB">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33C753D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CPU</w:t>
            </w:r>
          </w:p>
        </w:tc>
        <w:tc>
          <w:tcPr>
            <w:tcW w:w="3944" w:type="pct"/>
            <w:tcBorders>
              <w:top w:val="nil"/>
              <w:left w:val="nil"/>
              <w:bottom w:val="single" w:color="auto" w:sz="4" w:space="0"/>
              <w:right w:val="single" w:color="auto" w:sz="4" w:space="0"/>
            </w:tcBorders>
            <w:shd w:val="clear" w:color="auto" w:fill="auto"/>
            <w:noWrap/>
            <w:vAlign w:val="bottom"/>
          </w:tcPr>
          <w:p w14:paraId="4E94113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国产芯片，自主可控，提供权威第三方测试报告;</w:t>
            </w:r>
          </w:p>
        </w:tc>
      </w:tr>
      <w:tr w14:paraId="5A00DD39">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54FF389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MAC地址</w:t>
            </w:r>
          </w:p>
        </w:tc>
        <w:tc>
          <w:tcPr>
            <w:tcW w:w="3944" w:type="pct"/>
            <w:tcBorders>
              <w:top w:val="nil"/>
              <w:left w:val="nil"/>
              <w:bottom w:val="single" w:color="auto" w:sz="4" w:space="0"/>
              <w:right w:val="single" w:color="auto" w:sz="4" w:space="0"/>
            </w:tcBorders>
            <w:shd w:val="clear" w:color="auto" w:fill="auto"/>
            <w:noWrap/>
            <w:vAlign w:val="bottom"/>
          </w:tcPr>
          <w:p w14:paraId="6D046DD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≥32K，预留可支持到64K的能力;</w:t>
            </w:r>
          </w:p>
        </w:tc>
      </w:tr>
      <w:tr w14:paraId="1FBAFBE0">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577F88C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质保服务</w:t>
            </w:r>
          </w:p>
        </w:tc>
        <w:tc>
          <w:tcPr>
            <w:tcW w:w="3944" w:type="pct"/>
            <w:tcBorders>
              <w:top w:val="nil"/>
              <w:left w:val="nil"/>
              <w:bottom w:val="single" w:color="auto" w:sz="4" w:space="0"/>
              <w:right w:val="single" w:color="auto" w:sz="4" w:space="0"/>
            </w:tcBorders>
            <w:shd w:val="clear" w:color="auto" w:fill="auto"/>
            <w:noWrap/>
            <w:vAlign w:val="bottom"/>
          </w:tcPr>
          <w:p w14:paraId="622A180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原厂三年质保。</w:t>
            </w:r>
          </w:p>
        </w:tc>
      </w:tr>
    </w:tbl>
    <w:p w14:paraId="511ECE26">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1.5.13核心交换机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18A8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70453E47">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shd w:val="clear" w:color="auto" w:fill="auto"/>
            <w:noWrap w:val="0"/>
            <w:vAlign w:val="center"/>
          </w:tcPr>
          <w:p w14:paraId="5AE993B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3C86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4B567C3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自主可控</w:t>
            </w:r>
          </w:p>
        </w:tc>
        <w:tc>
          <w:tcPr>
            <w:tcW w:w="3944" w:type="pct"/>
            <w:shd w:val="clear" w:color="auto" w:fill="auto"/>
            <w:noWrap w:val="0"/>
            <w:vAlign w:val="bottom"/>
          </w:tcPr>
          <w:p w14:paraId="37CEF5C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采用国产芯片，自主可控，提供权威第三方测试报告;</w:t>
            </w:r>
          </w:p>
        </w:tc>
      </w:tr>
      <w:tr w14:paraId="2C0B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1A8EEB5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▲可靠性</w:t>
            </w:r>
          </w:p>
        </w:tc>
        <w:tc>
          <w:tcPr>
            <w:tcW w:w="3944" w:type="pct"/>
            <w:shd w:val="clear" w:color="auto" w:fill="auto"/>
            <w:noWrap w:val="0"/>
            <w:vAlign w:val="bottom"/>
          </w:tcPr>
          <w:p w14:paraId="7EB4DAE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主控上的业务端口，在主控复位时，依然可以正常工作；</w:t>
            </w:r>
          </w:p>
        </w:tc>
      </w:tr>
      <w:tr w14:paraId="3F6E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D5B510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w:t>
            </w:r>
          </w:p>
        </w:tc>
        <w:tc>
          <w:tcPr>
            <w:tcW w:w="3944" w:type="pct"/>
            <w:shd w:val="clear" w:color="auto" w:fill="auto"/>
            <w:noWrap w:val="0"/>
            <w:vAlign w:val="bottom"/>
          </w:tcPr>
          <w:p w14:paraId="5604E76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包转发率：≥100/460 Tbps，交换容量：≥76800 Mpps；</w:t>
            </w:r>
          </w:p>
        </w:tc>
      </w:tr>
      <w:tr w14:paraId="47D2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restart"/>
            <w:shd w:val="clear" w:color="auto" w:fill="auto"/>
            <w:noWrap w:val="0"/>
            <w:vAlign w:val="center"/>
          </w:tcPr>
          <w:p w14:paraId="30C30C3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▲配置要求</w:t>
            </w:r>
          </w:p>
        </w:tc>
        <w:tc>
          <w:tcPr>
            <w:tcW w:w="3944" w:type="pct"/>
            <w:shd w:val="clear" w:color="auto" w:fill="auto"/>
            <w:noWrap w:val="0"/>
            <w:vAlign w:val="center"/>
          </w:tcPr>
          <w:p w14:paraId="616AC29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主控板槽位数：≥2；</w:t>
            </w:r>
          </w:p>
        </w:tc>
      </w:tr>
      <w:tr w14:paraId="6FC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074154B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center"/>
          </w:tcPr>
          <w:p w14:paraId="0AA33EA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业务板槽位数：≥6；</w:t>
            </w:r>
          </w:p>
        </w:tc>
      </w:tr>
      <w:tr w14:paraId="16E6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40C1ADE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center"/>
          </w:tcPr>
          <w:p w14:paraId="44FB2FF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支持颗粒化电源，整机电源槽位数≥6；</w:t>
            </w:r>
          </w:p>
        </w:tc>
      </w:tr>
      <w:tr w14:paraId="4F07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2B3016E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4" w:type="pct"/>
            <w:shd w:val="clear" w:color="auto" w:fill="auto"/>
            <w:noWrap w:val="0"/>
            <w:vAlign w:val="center"/>
          </w:tcPr>
          <w:p w14:paraId="331982B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为了部署的方便性，POE电源模块须内置于机框内，不使用外置电源模块</w:t>
            </w:r>
          </w:p>
        </w:tc>
      </w:tr>
      <w:tr w14:paraId="041D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376A2DC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▲实际配置</w:t>
            </w:r>
          </w:p>
        </w:tc>
        <w:tc>
          <w:tcPr>
            <w:tcW w:w="3944" w:type="pct"/>
            <w:shd w:val="clear" w:color="auto" w:fill="auto"/>
            <w:noWrap w:val="0"/>
            <w:vAlign w:val="center"/>
          </w:tcPr>
          <w:p w14:paraId="3251F01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板卡：两个主控；网口：≥48个万兆光口，≥48个千兆电口；光模块：≥12个10GE多模光模块，≥1个10GE高速电缆-3m；</w:t>
            </w:r>
          </w:p>
        </w:tc>
      </w:tr>
      <w:tr w14:paraId="0245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bottom"/>
          </w:tcPr>
          <w:p w14:paraId="65E9137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w:t>
            </w:r>
          </w:p>
        </w:tc>
        <w:tc>
          <w:tcPr>
            <w:tcW w:w="3944" w:type="pct"/>
            <w:shd w:val="clear" w:color="auto" w:fill="auto"/>
            <w:noWrap w:val="0"/>
            <w:vAlign w:val="center"/>
          </w:tcPr>
          <w:p w14:paraId="2EBED48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冗余电源</w:t>
            </w:r>
          </w:p>
        </w:tc>
      </w:tr>
      <w:tr w14:paraId="7837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bottom"/>
          </w:tcPr>
          <w:p w14:paraId="6CFC715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w:t>
            </w:r>
          </w:p>
        </w:tc>
        <w:tc>
          <w:tcPr>
            <w:tcW w:w="3944" w:type="pct"/>
            <w:shd w:val="clear" w:color="auto" w:fill="auto"/>
            <w:noWrap w:val="0"/>
            <w:vAlign w:val="center"/>
          </w:tcPr>
          <w:p w14:paraId="6A35389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原厂三年质保。</w:t>
            </w:r>
          </w:p>
        </w:tc>
      </w:tr>
    </w:tbl>
    <w:p w14:paraId="408BEC48">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1.5.14配套软件</w:t>
      </w:r>
    </w:p>
    <w:tbl>
      <w:tblPr>
        <w:tblStyle w:val="5"/>
        <w:tblW w:w="5000" w:type="pct"/>
        <w:tblInd w:w="0" w:type="dxa"/>
        <w:tblLayout w:type="autofit"/>
        <w:tblCellMar>
          <w:top w:w="0" w:type="dxa"/>
          <w:left w:w="108" w:type="dxa"/>
          <w:bottom w:w="0" w:type="dxa"/>
          <w:right w:w="108" w:type="dxa"/>
        </w:tblCellMar>
      </w:tblPr>
      <w:tblGrid>
        <w:gridCol w:w="2104"/>
        <w:gridCol w:w="7858"/>
      </w:tblGrid>
      <w:tr w14:paraId="608F3729">
        <w:tblPrEx>
          <w:tblCellMar>
            <w:top w:w="0" w:type="dxa"/>
            <w:left w:w="108" w:type="dxa"/>
            <w:bottom w:w="0" w:type="dxa"/>
            <w:right w:w="108" w:type="dxa"/>
          </w:tblCellMar>
        </w:tblPrEx>
        <w:trPr>
          <w:trHeight w:val="288"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366575">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tcBorders>
              <w:top w:val="single" w:color="auto" w:sz="4" w:space="0"/>
              <w:left w:val="nil"/>
              <w:bottom w:val="single" w:color="auto" w:sz="4" w:space="0"/>
              <w:right w:val="single" w:color="auto" w:sz="4" w:space="0"/>
            </w:tcBorders>
            <w:shd w:val="clear" w:color="auto" w:fill="auto"/>
            <w:noWrap w:val="0"/>
            <w:vAlign w:val="center"/>
          </w:tcPr>
          <w:p w14:paraId="0715CB0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71C6DD58">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56B68E8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软件</w:t>
            </w:r>
          </w:p>
        </w:tc>
        <w:tc>
          <w:tcPr>
            <w:tcW w:w="3943" w:type="pct"/>
            <w:tcBorders>
              <w:top w:val="nil"/>
              <w:left w:val="nil"/>
              <w:bottom w:val="single" w:color="auto" w:sz="4" w:space="0"/>
              <w:right w:val="single" w:color="auto" w:sz="4" w:space="0"/>
            </w:tcBorders>
            <w:shd w:val="clear" w:color="auto" w:fill="auto"/>
            <w:noWrap/>
            <w:vAlign w:val="bottom"/>
          </w:tcPr>
          <w:p w14:paraId="39FC45F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国产化操作系统、国产化数据库</w:t>
            </w:r>
          </w:p>
        </w:tc>
      </w:tr>
    </w:tbl>
    <w:p w14:paraId="4418B929">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1.5.15运维服务</w:t>
      </w:r>
    </w:p>
    <w:tbl>
      <w:tblPr>
        <w:tblStyle w:val="5"/>
        <w:tblW w:w="5000" w:type="pct"/>
        <w:tblInd w:w="0" w:type="dxa"/>
        <w:tblLayout w:type="fixed"/>
        <w:tblCellMar>
          <w:top w:w="0" w:type="dxa"/>
          <w:left w:w="108" w:type="dxa"/>
          <w:bottom w:w="0" w:type="dxa"/>
          <w:right w:w="108" w:type="dxa"/>
        </w:tblCellMar>
      </w:tblPr>
      <w:tblGrid>
        <w:gridCol w:w="2135"/>
        <w:gridCol w:w="7827"/>
      </w:tblGrid>
      <w:tr w14:paraId="61BAEB4D">
        <w:tblPrEx>
          <w:tblCellMar>
            <w:top w:w="0" w:type="dxa"/>
            <w:left w:w="108" w:type="dxa"/>
            <w:bottom w:w="0" w:type="dxa"/>
            <w:right w:w="108" w:type="dxa"/>
          </w:tblCellMar>
        </w:tblPrEx>
        <w:trPr>
          <w:trHeight w:val="288" w:hRule="atLeast"/>
        </w:trPr>
        <w:tc>
          <w:tcPr>
            <w:tcW w:w="107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05B6D8">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28" w:type="pct"/>
            <w:tcBorders>
              <w:top w:val="single" w:color="auto" w:sz="4" w:space="0"/>
              <w:left w:val="nil"/>
              <w:bottom w:val="single" w:color="auto" w:sz="4" w:space="0"/>
              <w:right w:val="single" w:color="auto" w:sz="4" w:space="0"/>
            </w:tcBorders>
            <w:shd w:val="clear" w:color="auto" w:fill="auto"/>
            <w:noWrap w:val="0"/>
            <w:vAlign w:val="center"/>
          </w:tcPr>
          <w:p w14:paraId="4FE041A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437B654F">
        <w:tblPrEx>
          <w:tblCellMar>
            <w:top w:w="0" w:type="dxa"/>
            <w:left w:w="108" w:type="dxa"/>
            <w:bottom w:w="0" w:type="dxa"/>
            <w:right w:w="108" w:type="dxa"/>
          </w:tblCellMar>
        </w:tblPrEx>
        <w:trPr>
          <w:trHeight w:val="288" w:hRule="atLeast"/>
        </w:trPr>
        <w:tc>
          <w:tcPr>
            <w:tcW w:w="1071" w:type="pct"/>
            <w:tcBorders>
              <w:top w:val="nil"/>
              <w:left w:val="single" w:color="auto" w:sz="4" w:space="0"/>
              <w:bottom w:val="single" w:color="auto" w:sz="4" w:space="0"/>
              <w:right w:val="single" w:color="auto" w:sz="4" w:space="0"/>
            </w:tcBorders>
            <w:shd w:val="clear" w:color="auto" w:fill="auto"/>
            <w:noWrap w:val="0"/>
            <w:vAlign w:val="center"/>
          </w:tcPr>
          <w:p w14:paraId="08B42D3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运维服务</w:t>
            </w:r>
          </w:p>
        </w:tc>
        <w:tc>
          <w:tcPr>
            <w:tcW w:w="3928" w:type="pct"/>
            <w:tcBorders>
              <w:top w:val="nil"/>
              <w:left w:val="nil"/>
              <w:bottom w:val="single" w:color="auto" w:sz="4" w:space="0"/>
              <w:right w:val="single" w:color="auto" w:sz="4" w:space="0"/>
            </w:tcBorders>
            <w:shd w:val="clear" w:color="auto" w:fill="auto"/>
            <w:noWrap/>
            <w:vAlign w:val="bottom"/>
          </w:tcPr>
          <w:p w14:paraId="5CD7916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一、运维服务要求</w:t>
            </w:r>
          </w:p>
          <w:p w14:paraId="6E49DB0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如需要，</w:t>
            </w:r>
            <w:r>
              <w:rPr>
                <w:rFonts w:hint="eastAsia" w:ascii="仿宋" w:hAnsi="仿宋" w:eastAsia="仿宋" w:cs="仿宋"/>
                <w:color w:val="auto"/>
                <w:kern w:val="0"/>
                <w:sz w:val="24"/>
                <w:szCs w:val="24"/>
                <w:highlight w:val="none"/>
              </w:rPr>
              <w:t>供应商需提供标准机柜，空间需满足招标设备安装需求。同时机柜所在机房环境需满足如下要求：</w:t>
            </w:r>
          </w:p>
          <w:p w14:paraId="2E624EE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1、动环要求</w:t>
            </w:r>
          </w:p>
          <w:p w14:paraId="71C0A7D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①两组UPS，切换时间小于10ms，UPS电源的供电时间不小于</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小时；</w:t>
            </w:r>
          </w:p>
          <w:p w14:paraId="1DF4DF6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②一组油机，额定功率不低于500Kw；</w:t>
            </w:r>
          </w:p>
          <w:p w14:paraId="20FE2A6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③两路市电；</w:t>
            </w:r>
          </w:p>
          <w:p w14:paraId="5933476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④机房内空调制冷量不低于320Kw；</w:t>
            </w:r>
          </w:p>
          <w:p w14:paraId="3E435BF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2、驻场服务</w:t>
            </w:r>
          </w:p>
          <w:p w14:paraId="30BF2D8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提供2名专业技术人员</w:t>
            </w:r>
            <w:r>
              <w:rPr>
                <w:rFonts w:hint="eastAsia" w:ascii="仿宋" w:hAnsi="仿宋" w:eastAsia="仿宋" w:cs="仿宋"/>
                <w:color w:val="auto"/>
                <w:kern w:val="0"/>
                <w:sz w:val="24"/>
                <w:szCs w:val="24"/>
                <w:highlight w:val="none"/>
                <w:lang w:eastAsia="zh-CN"/>
              </w:rPr>
              <w:t>（人员须为资深工程师）</w:t>
            </w:r>
            <w:r>
              <w:rPr>
                <w:rFonts w:hint="eastAsia" w:ascii="仿宋" w:hAnsi="仿宋" w:eastAsia="仿宋" w:cs="仿宋"/>
                <w:color w:val="auto"/>
                <w:kern w:val="0"/>
                <w:sz w:val="24"/>
                <w:szCs w:val="24"/>
                <w:highlight w:val="none"/>
              </w:rPr>
              <w:t>，24小时*365天驻场服务，驻场期间由采购人提供办公场所，驻场人员要自行提供工作工具，按照采购人的作息时间进行工作，接受管理和工作安排。</w:t>
            </w:r>
          </w:p>
          <w:p w14:paraId="356DEDB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3、巡检要求</w:t>
            </w:r>
          </w:p>
          <w:p w14:paraId="03E29D2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必须对维护范围内的信息化软硬件设备每4小时进行一次巡检且必须提供记录，及时发现系统存在的隐患与安全漏洞，提出书面报告，并与采购人共同解决存在的问题与隐患。每次巡检应提供书面巡检报告，并根据巡检报告及时与采购人进行交流，及时协调解决维护工作中的问题。</w:t>
            </w:r>
          </w:p>
          <w:p w14:paraId="621D2AD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4、咨询服务</w:t>
            </w:r>
          </w:p>
          <w:p w14:paraId="05F429C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对用户信息系统进行定期的维护管理和配置优化，确保用户整个信息系统运转的高效、稳定和安全，减少和避免系统性能瓶颈，杜绝信息系统安全事故，并且能根据用户需要，提供信息系统运行的合理化建议和方案。</w:t>
            </w:r>
          </w:p>
          <w:p w14:paraId="1C99A125">
            <w:pPr>
              <w:keepNext w:val="0"/>
              <w:keepLines w:val="0"/>
              <w:widowControl/>
              <w:numPr>
                <w:ilvl w:val="0"/>
                <w:numId w:val="1"/>
              </w:numPr>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运维周期</w:t>
            </w:r>
          </w:p>
          <w:p w14:paraId="7B607DB4">
            <w:pPr>
              <w:keepNext w:val="0"/>
              <w:keepLines w:val="0"/>
              <w:widowControl/>
              <w:numPr>
                <w:ilvl w:val="0"/>
                <w:numId w:val="0"/>
              </w:numPr>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供应商承诺对所投软硬件产品原厂质保三年，整体项目免费运维服务三年。</w:t>
            </w:r>
          </w:p>
          <w:p w14:paraId="0B34246A">
            <w:pPr>
              <w:keepNext w:val="0"/>
              <w:keepLines w:val="0"/>
              <w:widowControl/>
              <w:numPr>
                <w:ilvl w:val="0"/>
                <w:numId w:val="0"/>
              </w:numPr>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6、如甲方提供机柜、机房，供应商需无条件将设备迁移至指定位置。</w:t>
            </w:r>
          </w:p>
        </w:tc>
      </w:tr>
    </w:tbl>
    <w:p w14:paraId="6ABCC5C7">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1.5.16配套链路</w:t>
      </w:r>
    </w:p>
    <w:tbl>
      <w:tblPr>
        <w:tblStyle w:val="5"/>
        <w:tblW w:w="5000" w:type="pct"/>
        <w:tblInd w:w="0" w:type="dxa"/>
        <w:tblLayout w:type="autofit"/>
        <w:tblCellMar>
          <w:top w:w="0" w:type="dxa"/>
          <w:left w:w="108" w:type="dxa"/>
          <w:bottom w:w="0" w:type="dxa"/>
          <w:right w:w="108" w:type="dxa"/>
        </w:tblCellMar>
      </w:tblPr>
      <w:tblGrid>
        <w:gridCol w:w="2104"/>
        <w:gridCol w:w="7858"/>
      </w:tblGrid>
      <w:tr w14:paraId="3C041F6D">
        <w:tblPrEx>
          <w:tblCellMar>
            <w:top w:w="0" w:type="dxa"/>
            <w:left w:w="108" w:type="dxa"/>
            <w:bottom w:w="0" w:type="dxa"/>
            <w:right w:w="108" w:type="dxa"/>
          </w:tblCellMar>
        </w:tblPrEx>
        <w:trPr>
          <w:trHeight w:val="288"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EEAA59">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tcBorders>
              <w:top w:val="single" w:color="auto" w:sz="4" w:space="0"/>
              <w:left w:val="nil"/>
              <w:bottom w:val="single" w:color="auto" w:sz="4" w:space="0"/>
              <w:right w:val="single" w:color="auto" w:sz="4" w:space="0"/>
            </w:tcBorders>
            <w:shd w:val="clear" w:color="auto" w:fill="auto"/>
            <w:noWrap w:val="0"/>
            <w:vAlign w:val="center"/>
          </w:tcPr>
          <w:p w14:paraId="697A014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5484ACB6">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726529A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专线链路</w:t>
            </w:r>
          </w:p>
        </w:tc>
        <w:tc>
          <w:tcPr>
            <w:tcW w:w="3943" w:type="pct"/>
            <w:tcBorders>
              <w:top w:val="nil"/>
              <w:left w:val="nil"/>
              <w:bottom w:val="single" w:color="auto" w:sz="4" w:space="0"/>
              <w:right w:val="single" w:color="auto" w:sz="4" w:space="0"/>
            </w:tcBorders>
            <w:shd w:val="clear" w:color="auto" w:fill="auto"/>
            <w:noWrap/>
            <w:vAlign w:val="bottom"/>
          </w:tcPr>
          <w:p w14:paraId="3D2588D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供应商需提供2条不低于1G带宽的的专线链路。</w:t>
            </w:r>
          </w:p>
        </w:tc>
      </w:tr>
    </w:tbl>
    <w:p w14:paraId="6B37AE46">
      <w:pPr>
        <w:spacing w:after="0" w:line="360" w:lineRule="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现更正为：</w:t>
      </w:r>
    </w:p>
    <w:p w14:paraId="63CE262F">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1.5硬件部分技术参数需求</w:t>
      </w:r>
    </w:p>
    <w:p w14:paraId="7D849FD3">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1.5.1防火墙</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226"/>
      </w:tblGrid>
      <w:tr w14:paraId="0FA9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1" w:type="pct"/>
            <w:noWrap w:val="0"/>
            <w:vAlign w:val="center"/>
          </w:tcPr>
          <w:p w14:paraId="604750E4">
            <w:pPr>
              <w:keepNext w:val="0"/>
              <w:keepLines w:val="0"/>
              <w:widowControl/>
              <w:suppressLineNumbers w:val="0"/>
              <w:spacing w:before="0" w:beforeAutospacing="0" w:after="0" w:afterAutospacing="0" w:line="240" w:lineRule="auto"/>
              <w:ind w:left="0" w:right="0" w:firstLine="20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4128" w:type="pct"/>
            <w:shd w:val="clear" w:color="auto" w:fill="auto"/>
            <w:noWrap w:val="0"/>
            <w:vAlign w:val="center"/>
          </w:tcPr>
          <w:p w14:paraId="44CC93CB">
            <w:pPr>
              <w:keepNext w:val="0"/>
              <w:keepLines w:val="0"/>
              <w:widowControl/>
              <w:suppressLineNumbers w:val="0"/>
              <w:spacing w:before="0" w:beforeAutospacing="0" w:after="0" w:afterAutospacing="0" w:line="240" w:lineRule="auto"/>
              <w:ind w:left="0" w:right="0" w:firstLine="442"/>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04E6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noWrap w:val="0"/>
            <w:vAlign w:val="center"/>
          </w:tcPr>
          <w:p w14:paraId="752932D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基本规格</w:t>
            </w:r>
          </w:p>
        </w:tc>
        <w:tc>
          <w:tcPr>
            <w:tcW w:w="4128" w:type="pct"/>
            <w:shd w:val="clear" w:color="auto" w:fill="auto"/>
            <w:noWrap w:val="0"/>
            <w:vAlign w:val="center"/>
          </w:tcPr>
          <w:p w14:paraId="0DFE0A2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▲标准机架式设备，</w:t>
            </w:r>
            <w:r>
              <w:rPr>
                <w:rFonts w:hint="eastAsia" w:ascii="仿宋" w:hAnsi="仿宋" w:eastAsia="仿宋" w:cs="仿宋"/>
                <w:color w:val="auto"/>
                <w:kern w:val="0"/>
                <w:sz w:val="24"/>
                <w:szCs w:val="24"/>
                <w:highlight w:val="none"/>
                <w:lang w:val="en-US" w:eastAsia="zh-CN"/>
              </w:rPr>
              <w:t>国产化</w:t>
            </w:r>
            <w:r>
              <w:rPr>
                <w:rFonts w:hint="eastAsia" w:ascii="仿宋" w:hAnsi="仿宋" w:eastAsia="仿宋" w:cs="仿宋"/>
                <w:color w:val="auto"/>
                <w:kern w:val="0"/>
                <w:sz w:val="24"/>
                <w:szCs w:val="24"/>
                <w:highlight w:val="none"/>
              </w:rPr>
              <w:t>硬件平台，配置8个10/100/1000M Base-TX；2个万兆口，16G内存，4T硬盘，吞吐量≧10G，并发连接数≧400万，默认支持IPSec VPN和SSL VPN模块（含200个并发用户授权）；开通AV模块，IPS模块；三年IPS特征库升级，三年AV病毒库升级，三年硬件质保。</w:t>
            </w:r>
          </w:p>
        </w:tc>
      </w:tr>
      <w:tr w14:paraId="3F2F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noWrap w:val="0"/>
            <w:vAlign w:val="center"/>
          </w:tcPr>
          <w:p w14:paraId="2561C04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工作模式</w:t>
            </w:r>
          </w:p>
        </w:tc>
        <w:tc>
          <w:tcPr>
            <w:tcW w:w="4128" w:type="pct"/>
            <w:shd w:val="clear" w:color="auto" w:fill="auto"/>
            <w:noWrap w:val="0"/>
            <w:vAlign w:val="center"/>
          </w:tcPr>
          <w:p w14:paraId="07C8651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r>
              <w:rPr>
                <w:rFonts w:hint="eastAsia" w:ascii="仿宋" w:hAnsi="仿宋" w:eastAsia="仿宋" w:cs="仿宋"/>
                <w:color w:val="auto"/>
                <w:kern w:val="0"/>
                <w:sz w:val="24"/>
                <w:szCs w:val="24"/>
                <w:highlight w:val="none"/>
                <w:lang w:eastAsia="zh-CN"/>
              </w:rPr>
              <w:t>国产</w:t>
            </w:r>
            <w:r>
              <w:rPr>
                <w:rFonts w:hint="eastAsia" w:ascii="仿宋" w:hAnsi="仿宋" w:eastAsia="仿宋" w:cs="仿宋"/>
                <w:color w:val="auto"/>
                <w:kern w:val="0"/>
                <w:sz w:val="24"/>
                <w:szCs w:val="24"/>
                <w:highlight w:val="none"/>
              </w:rPr>
              <w:t>操作系统，可在Web界面完成系统备份、系统恢复、指定启动系统操作</w:t>
            </w:r>
          </w:p>
        </w:tc>
      </w:tr>
      <w:tr w14:paraId="44D5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noWrap w:val="0"/>
            <w:vAlign w:val="center"/>
          </w:tcPr>
          <w:p w14:paraId="6F728DC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模版式配置管理</w:t>
            </w:r>
          </w:p>
        </w:tc>
        <w:tc>
          <w:tcPr>
            <w:tcW w:w="4128" w:type="pct"/>
            <w:shd w:val="clear" w:color="auto" w:fill="auto"/>
            <w:noWrap w:val="0"/>
            <w:vAlign w:val="center"/>
          </w:tcPr>
          <w:p w14:paraId="3567C58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支持系统主要防护功能的统一化模版设置，模版分为高、中、低三个级别，对应不同防护强度，可通过Web界面单击选择切换及扩展通过设备面板外置按键一键切换（提供面板外置按键照片证明）</w:t>
            </w:r>
          </w:p>
        </w:tc>
      </w:tr>
      <w:tr w14:paraId="50E0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vMerge w:val="restart"/>
            <w:noWrap w:val="0"/>
            <w:vAlign w:val="center"/>
          </w:tcPr>
          <w:p w14:paraId="6B0B8A6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网络适应性</w:t>
            </w:r>
          </w:p>
        </w:tc>
        <w:tc>
          <w:tcPr>
            <w:tcW w:w="4128" w:type="pct"/>
            <w:shd w:val="clear" w:color="auto" w:fill="auto"/>
            <w:noWrap w:val="0"/>
            <w:vAlign w:val="center"/>
          </w:tcPr>
          <w:p w14:paraId="28A6DE6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支持基于应用的策略路由，可实现为不同的应用类型智能选择相应的链路、支持基于文件类型的策略路由，可实现将预定义或者自定义的文件按照不同的分类进行智能选路。</w:t>
            </w:r>
          </w:p>
        </w:tc>
      </w:tr>
      <w:tr w14:paraId="6703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vMerge w:val="continue"/>
            <w:noWrap w:val="0"/>
            <w:vAlign w:val="center"/>
          </w:tcPr>
          <w:p w14:paraId="19841018">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8" w:type="pct"/>
            <w:shd w:val="clear" w:color="auto" w:fill="auto"/>
            <w:noWrap w:val="0"/>
            <w:vAlign w:val="center"/>
          </w:tcPr>
          <w:p w14:paraId="163331D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要求支持将任意接口数据完全镜像到设备自身的其他接口，用于抓包分析</w:t>
            </w:r>
          </w:p>
        </w:tc>
      </w:tr>
      <w:tr w14:paraId="1AB1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noWrap w:val="0"/>
            <w:vAlign w:val="center"/>
          </w:tcPr>
          <w:p w14:paraId="12CE31D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网络访问控制</w:t>
            </w:r>
          </w:p>
        </w:tc>
        <w:tc>
          <w:tcPr>
            <w:tcW w:w="4128" w:type="pct"/>
            <w:shd w:val="clear" w:color="auto" w:fill="auto"/>
            <w:noWrap w:val="0"/>
            <w:vAlign w:val="center"/>
          </w:tcPr>
          <w:p w14:paraId="611E608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支持策略命中数显示，并支持通过安全策略命中数范围查询</w:t>
            </w:r>
          </w:p>
        </w:tc>
      </w:tr>
      <w:tr w14:paraId="31B6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restart"/>
            <w:noWrap w:val="0"/>
            <w:vAlign w:val="center"/>
          </w:tcPr>
          <w:p w14:paraId="7353494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IPSEC VPN</w:t>
            </w:r>
          </w:p>
        </w:tc>
        <w:tc>
          <w:tcPr>
            <w:tcW w:w="4128" w:type="pct"/>
            <w:shd w:val="clear" w:color="auto" w:fill="auto"/>
            <w:noWrap w:val="0"/>
            <w:vAlign w:val="center"/>
          </w:tcPr>
          <w:p w14:paraId="52163B2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支持DMVPN，在增加一个新的分支节点网关后，不需要在中心网关更改任何配置，且支持路由推送，实现spoke to spoke互通，不必建立额外隧道</w:t>
            </w:r>
          </w:p>
        </w:tc>
      </w:tr>
      <w:tr w14:paraId="5FD0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continue"/>
            <w:noWrap w:val="0"/>
            <w:vAlign w:val="center"/>
          </w:tcPr>
          <w:p w14:paraId="48109382">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8" w:type="pct"/>
            <w:shd w:val="clear" w:color="auto" w:fill="auto"/>
            <w:noWrap w:val="0"/>
            <w:vAlign w:val="center"/>
          </w:tcPr>
          <w:p w14:paraId="1BB33F8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支持多NAT环境下的多用户L2TP认证加密接入</w:t>
            </w:r>
          </w:p>
        </w:tc>
      </w:tr>
      <w:tr w14:paraId="7726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restart"/>
            <w:noWrap w:val="0"/>
            <w:vAlign w:val="center"/>
          </w:tcPr>
          <w:p w14:paraId="7FDBFEB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入侵防御</w:t>
            </w:r>
          </w:p>
        </w:tc>
        <w:tc>
          <w:tcPr>
            <w:tcW w:w="4128" w:type="pct"/>
            <w:shd w:val="clear" w:color="auto" w:fill="auto"/>
            <w:noWrap w:val="0"/>
            <w:vAlign w:val="center"/>
          </w:tcPr>
          <w:p w14:paraId="26D312D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支持基于策略的入侵检测与防护，可针对不同的源目IP地址、源MAC地址、服务、时间、安全域、用户等，采用不同的入侵防护策略</w:t>
            </w:r>
          </w:p>
        </w:tc>
      </w:tr>
      <w:tr w14:paraId="4AF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continue"/>
            <w:noWrap w:val="0"/>
            <w:vAlign w:val="center"/>
          </w:tcPr>
          <w:p w14:paraId="5B3B6D32">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8" w:type="pct"/>
            <w:shd w:val="clear" w:color="auto" w:fill="auto"/>
            <w:noWrap w:val="0"/>
            <w:vAlign w:val="center"/>
          </w:tcPr>
          <w:p w14:paraId="58F3443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支持HTTP类攻击重定向功能，能够把HTTP协议的攻击类型重定向到指定蜜罐系统，便于对攻击进行审计与分析</w:t>
            </w:r>
          </w:p>
        </w:tc>
      </w:tr>
      <w:tr w14:paraId="3411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restart"/>
            <w:noWrap w:val="0"/>
            <w:vAlign w:val="center"/>
          </w:tcPr>
          <w:p w14:paraId="48654A64">
            <w:pPr>
              <w:keepNext w:val="0"/>
              <w:keepLines w:val="0"/>
              <w:widowControl/>
              <w:suppressLineNumbers w:val="0"/>
              <w:spacing w:before="0" w:beforeAutospacing="0" w:after="0" w:afterAutospacing="0" w:line="240" w:lineRule="auto"/>
              <w:ind w:left="0" w:right="0" w:firstLine="199"/>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防病毒</w:t>
            </w:r>
          </w:p>
        </w:tc>
        <w:tc>
          <w:tcPr>
            <w:tcW w:w="4128" w:type="pct"/>
            <w:shd w:val="clear" w:color="auto" w:fill="auto"/>
            <w:noWrap w:val="0"/>
            <w:vAlign w:val="center"/>
          </w:tcPr>
          <w:p w14:paraId="6700532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支持基于策略的病毒扫描与防护，可针对不同的源目IP地址、源MAC地址、服务、时间、安全域、用户等，采用不同的病毒防护策略</w:t>
            </w:r>
          </w:p>
        </w:tc>
      </w:tr>
      <w:tr w14:paraId="1AAB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vMerge w:val="continue"/>
            <w:noWrap w:val="0"/>
            <w:vAlign w:val="center"/>
          </w:tcPr>
          <w:p w14:paraId="45D1889E">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8" w:type="pct"/>
            <w:shd w:val="clear" w:color="auto" w:fill="auto"/>
            <w:noWrap w:val="0"/>
            <w:vAlign w:val="center"/>
          </w:tcPr>
          <w:p w14:paraId="1B927A3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支持隔离病毒源地址，防止病毒源主机访问内部网络，提高网络整体安全性</w:t>
            </w:r>
          </w:p>
        </w:tc>
      </w:tr>
      <w:tr w14:paraId="782E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noWrap w:val="0"/>
          </w:tcPr>
          <w:p w14:paraId="239345CA">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p w14:paraId="056BD5D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加密算法</w:t>
            </w:r>
          </w:p>
        </w:tc>
        <w:tc>
          <w:tcPr>
            <w:tcW w:w="4128" w:type="pct"/>
            <w:shd w:val="clear" w:color="auto" w:fill="auto"/>
            <w:noWrap w:val="0"/>
            <w:vAlign w:val="center"/>
          </w:tcPr>
          <w:p w14:paraId="54830DC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TLS加密算法支持选择TL</w:t>
            </w:r>
            <w:r>
              <w:rPr>
                <w:rFonts w:hint="eastAsia" w:ascii="仿宋" w:hAnsi="仿宋" w:eastAsia="仿宋" w:cs="仿宋"/>
                <w:color w:val="auto"/>
                <w:kern w:val="0"/>
                <w:sz w:val="24"/>
                <w:szCs w:val="24"/>
                <w:highlight w:val="none"/>
                <w:lang w:val="en-US" w:eastAsia="zh-CN"/>
              </w:rPr>
              <w:t>S</w:t>
            </w:r>
            <w:r>
              <w:rPr>
                <w:rFonts w:hint="eastAsia" w:ascii="仿宋" w:hAnsi="仿宋" w:eastAsia="仿宋" w:cs="仿宋"/>
                <w:color w:val="auto"/>
                <w:kern w:val="0"/>
                <w:sz w:val="24"/>
                <w:szCs w:val="24"/>
                <w:highlight w:val="none"/>
              </w:rPr>
              <w:t>1.2和TLS1.3，</w:t>
            </w:r>
            <w:r>
              <w:rPr>
                <w:rFonts w:hint="eastAsia" w:ascii="仿宋" w:hAnsi="仿宋" w:eastAsia="仿宋" w:cs="仿宋"/>
                <w:color w:val="auto"/>
                <w:kern w:val="0"/>
                <w:sz w:val="24"/>
                <w:szCs w:val="24"/>
                <w:highlight w:val="none"/>
                <w:lang w:eastAsia="zh-CN"/>
              </w:rPr>
              <w:t>可</w:t>
            </w:r>
            <w:r>
              <w:rPr>
                <w:rFonts w:hint="eastAsia" w:ascii="仿宋" w:hAnsi="仿宋" w:eastAsia="仿宋" w:cs="仿宋"/>
                <w:color w:val="auto"/>
                <w:kern w:val="0"/>
                <w:sz w:val="24"/>
                <w:szCs w:val="24"/>
                <w:highlight w:val="none"/>
              </w:rPr>
              <w:t>支持国密TLS；</w:t>
            </w:r>
          </w:p>
        </w:tc>
      </w:tr>
      <w:tr w14:paraId="78C7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noWrap w:val="0"/>
          </w:tcPr>
          <w:p w14:paraId="2CA3086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抗拒绝服务攻击</w:t>
            </w:r>
          </w:p>
        </w:tc>
        <w:tc>
          <w:tcPr>
            <w:tcW w:w="4128" w:type="pct"/>
            <w:shd w:val="clear" w:color="auto" w:fill="auto"/>
            <w:noWrap w:val="0"/>
            <w:vAlign w:val="center"/>
          </w:tcPr>
          <w:p w14:paraId="2B6EE3F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支持主流ICMPFLOOD\SYNFLOOD\ACKFLOOD\SYNACKFLOOD\UDPFLOOD攻击防护，采用专业高效攻击防护算法，非采用简单的阈值进行攻击防护</w:t>
            </w:r>
          </w:p>
        </w:tc>
      </w:tr>
      <w:tr w14:paraId="3929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1" w:type="pct"/>
            <w:vMerge w:val="restart"/>
            <w:noWrap w:val="0"/>
          </w:tcPr>
          <w:p w14:paraId="5F8E00FA">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E75103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统一认证管理</w:t>
            </w:r>
          </w:p>
        </w:tc>
        <w:tc>
          <w:tcPr>
            <w:tcW w:w="4128" w:type="pct"/>
            <w:shd w:val="clear" w:color="auto" w:fill="auto"/>
            <w:noWrap w:val="0"/>
            <w:vAlign w:val="center"/>
          </w:tcPr>
          <w:p w14:paraId="2FD6E8C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支持对入网终端的系统版本和运行进程进行准入检查</w:t>
            </w:r>
          </w:p>
        </w:tc>
      </w:tr>
      <w:tr w14:paraId="3D97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1" w:type="pct"/>
            <w:vMerge w:val="continue"/>
            <w:noWrap w:val="0"/>
          </w:tcPr>
          <w:p w14:paraId="621C8498">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tc>
        <w:tc>
          <w:tcPr>
            <w:tcW w:w="4128" w:type="pct"/>
            <w:shd w:val="clear" w:color="auto" w:fill="auto"/>
            <w:noWrap w:val="0"/>
            <w:vAlign w:val="center"/>
          </w:tcPr>
          <w:p w14:paraId="68E4366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支持显示详细的用户在线信息，包括用户名称、真实姓名、所属组、认证源、接入方式、认证方式、登录IP/MAC、在线时间、登录时间和可对其进行相关操作</w:t>
            </w:r>
          </w:p>
        </w:tc>
      </w:tr>
      <w:tr w14:paraId="17E7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1" w:type="pct"/>
            <w:noWrap w:val="0"/>
          </w:tcPr>
          <w:p w14:paraId="58CCA0AD">
            <w:pPr>
              <w:keepNext w:val="0"/>
              <w:keepLines w:val="0"/>
              <w:widowControl/>
              <w:suppressLineNumbers w:val="0"/>
              <w:spacing w:before="0" w:beforeAutospacing="0" w:after="0" w:afterAutospacing="0" w:line="240" w:lineRule="auto"/>
              <w:ind w:left="0" w:right="0" w:firstLine="480"/>
              <w:jc w:val="left"/>
              <w:rPr>
                <w:rFonts w:hint="eastAsia" w:ascii="仿宋" w:hAnsi="仿宋" w:eastAsia="仿宋" w:cs="仿宋"/>
                <w:color w:val="auto"/>
                <w:kern w:val="0"/>
                <w:sz w:val="24"/>
                <w:szCs w:val="24"/>
                <w:highlight w:val="none"/>
              </w:rPr>
            </w:pPr>
          </w:p>
          <w:p w14:paraId="0A2712A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漏洞扫描</w:t>
            </w:r>
          </w:p>
        </w:tc>
        <w:tc>
          <w:tcPr>
            <w:tcW w:w="4128" w:type="pct"/>
            <w:shd w:val="clear" w:color="auto" w:fill="auto"/>
            <w:noWrap w:val="0"/>
            <w:vAlign w:val="center"/>
          </w:tcPr>
          <w:p w14:paraId="412CB57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包括后门、服务探测、文件共享、Windows系统补丁、认证等主动式扫描、支持周，月定时漏洞扫描设置,及一次性漏洞扫描设置、支持同多台漏扫服务器联动同步，并根据安全策略对漏扫服务器高等级漏洞进行处理</w:t>
            </w:r>
          </w:p>
        </w:tc>
      </w:tr>
      <w:tr w14:paraId="5E08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noWrap w:val="0"/>
            <w:vAlign w:val="center"/>
          </w:tcPr>
          <w:p w14:paraId="13CCFCD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资产风险评估</w:t>
            </w:r>
          </w:p>
        </w:tc>
        <w:tc>
          <w:tcPr>
            <w:tcW w:w="4128" w:type="pct"/>
            <w:shd w:val="clear" w:color="auto" w:fill="auto"/>
            <w:noWrap w:val="0"/>
            <w:vAlign w:val="center"/>
          </w:tcPr>
          <w:p w14:paraId="74FFC06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全方位、多角度的风险趋势呈现。支持以曲线图形的方式呈现全网和核心资产的风险变化趋势。支持以柱状堆叠图形（按安全事件分类）的方式呈现全网和核心资产安全事件的趋势统计，每类安全事件是否参与统计可调节。支持以处理动作（如阻断/放行）的趋势统计</w:t>
            </w:r>
          </w:p>
        </w:tc>
      </w:tr>
      <w:tr w14:paraId="4444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1" w:type="pct"/>
            <w:noWrap w:val="0"/>
            <w:vAlign w:val="center"/>
          </w:tcPr>
          <w:p w14:paraId="31FD175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安全日志</w:t>
            </w:r>
          </w:p>
        </w:tc>
        <w:tc>
          <w:tcPr>
            <w:tcW w:w="4128" w:type="pct"/>
            <w:shd w:val="clear" w:color="auto" w:fill="auto"/>
            <w:noWrap w:val="0"/>
            <w:vAlign w:val="center"/>
          </w:tcPr>
          <w:p w14:paraId="2F3B829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支持3个Syslog服务器，发送流量、系统或默认3类型日志到不同服务器</w:t>
            </w:r>
          </w:p>
        </w:tc>
      </w:tr>
      <w:tr w14:paraId="074D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1" w:type="pct"/>
            <w:noWrap w:val="0"/>
            <w:vAlign w:val="center"/>
          </w:tcPr>
          <w:p w14:paraId="3838C29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审计中心</w:t>
            </w:r>
          </w:p>
        </w:tc>
        <w:tc>
          <w:tcPr>
            <w:tcW w:w="4128" w:type="pct"/>
            <w:shd w:val="clear" w:color="auto" w:fill="auto"/>
            <w:noWrap w:val="0"/>
            <w:vAlign w:val="center"/>
          </w:tcPr>
          <w:p w14:paraId="2213148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可支持内置或外置数据存储介质；支持根据存储时间或硬盘使用率发送告警邮件；支持智能优化存储空间，保证近期数据的可追溯性，且必须支持手动删除保存时间较长的数据</w:t>
            </w:r>
          </w:p>
        </w:tc>
      </w:tr>
      <w:tr w14:paraId="35F9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1" w:type="pct"/>
            <w:noWrap w:val="0"/>
            <w:vAlign w:val="center"/>
          </w:tcPr>
          <w:p w14:paraId="1BD58795">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升级维护</w:t>
            </w:r>
          </w:p>
        </w:tc>
        <w:tc>
          <w:tcPr>
            <w:tcW w:w="4128" w:type="pct"/>
            <w:shd w:val="clear" w:color="auto" w:fill="auto"/>
            <w:noWrap w:val="0"/>
            <w:vAlign w:val="center"/>
          </w:tcPr>
          <w:p w14:paraId="02AEE78E">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▲支持自动创建和手动创建两种方式创建快照，数量不少于16个，自动创建可根据客户的预设置时间，每周或每月自动创建系统快照；</w:t>
            </w:r>
          </w:p>
        </w:tc>
      </w:tr>
      <w:tr w14:paraId="6E0E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1" w:type="pct"/>
            <w:noWrap w:val="0"/>
            <w:vAlign w:val="center"/>
          </w:tcPr>
          <w:p w14:paraId="1CDFD6B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高可用性</w:t>
            </w:r>
          </w:p>
        </w:tc>
        <w:tc>
          <w:tcPr>
            <w:tcW w:w="4128" w:type="pct"/>
            <w:shd w:val="clear" w:color="auto" w:fill="auto"/>
            <w:noWrap w:val="0"/>
            <w:vAlign w:val="center"/>
          </w:tcPr>
          <w:p w14:paraId="05FD3B2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自动同步、心跳接口多级（≥2级）物理备份</w:t>
            </w:r>
          </w:p>
        </w:tc>
      </w:tr>
    </w:tbl>
    <w:p w14:paraId="1C84C045">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1.5.2日志审计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31CA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735E6E04">
            <w:pPr>
              <w:keepNext w:val="0"/>
              <w:keepLines w:val="0"/>
              <w:widowControl/>
              <w:suppressLineNumbers w:val="0"/>
              <w:spacing w:before="0" w:beforeAutospacing="0" w:after="0" w:afterAutospacing="0" w:line="240" w:lineRule="auto"/>
              <w:ind w:left="0" w:right="0" w:firstLine="44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shd w:val="clear" w:color="auto" w:fill="auto"/>
            <w:noWrap w:val="0"/>
            <w:vAlign w:val="center"/>
          </w:tcPr>
          <w:p w14:paraId="0B6CCDE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31E9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4C75119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▲硬件外观</w:t>
            </w:r>
          </w:p>
        </w:tc>
        <w:tc>
          <w:tcPr>
            <w:tcW w:w="3943" w:type="pct"/>
            <w:shd w:val="clear" w:color="auto" w:fill="auto"/>
            <w:noWrap w:val="0"/>
            <w:vAlign w:val="center"/>
          </w:tcPr>
          <w:p w14:paraId="5F9036D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1U标准机架设备；设备配置≥6个千兆电口，≥4个千兆光口,，≥3个扩展槽；</w:t>
            </w:r>
          </w:p>
        </w:tc>
      </w:tr>
      <w:tr w14:paraId="63A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4DD5593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▲性能要求</w:t>
            </w:r>
          </w:p>
        </w:tc>
        <w:tc>
          <w:tcPr>
            <w:tcW w:w="3943" w:type="pct"/>
            <w:shd w:val="clear" w:color="auto" w:fill="auto"/>
            <w:noWrap w:val="0"/>
            <w:vAlign w:val="center"/>
          </w:tcPr>
          <w:p w14:paraId="7B9E920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使用国产化操作系统和CPU，内存不小于16G，硬盘不小于2T，设备开通不小于50个资源管理数授权，此次提供三年硬件质保。</w:t>
            </w:r>
          </w:p>
        </w:tc>
      </w:tr>
      <w:tr w14:paraId="72BF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pct"/>
            <w:shd w:val="clear" w:color="auto" w:fill="auto"/>
            <w:noWrap w:val="0"/>
            <w:vAlign w:val="center"/>
          </w:tcPr>
          <w:p w14:paraId="569E4EB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硬件架构</w:t>
            </w:r>
          </w:p>
        </w:tc>
        <w:tc>
          <w:tcPr>
            <w:tcW w:w="3943" w:type="pct"/>
            <w:shd w:val="clear" w:color="auto" w:fill="auto"/>
            <w:noWrap w:val="0"/>
            <w:vAlign w:val="center"/>
          </w:tcPr>
          <w:p w14:paraId="4CBA175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要求采用设备硬件状态监测技术对网络资产进行安全监控，提供权威第三方机构出具的证明复印件</w:t>
            </w:r>
            <w:r>
              <w:rPr>
                <w:rFonts w:hint="eastAsia" w:ascii="仿宋" w:hAnsi="仿宋" w:eastAsia="仿宋" w:cs="仿宋"/>
                <w:color w:val="auto"/>
                <w:kern w:val="0"/>
                <w:sz w:val="24"/>
                <w:szCs w:val="24"/>
                <w:highlight w:val="none"/>
                <w:lang w:eastAsia="zh-CN"/>
              </w:rPr>
              <w:t>。</w:t>
            </w:r>
          </w:p>
        </w:tc>
      </w:tr>
      <w:tr w14:paraId="6E81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6AF8DE7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管理范围</w:t>
            </w:r>
          </w:p>
        </w:tc>
        <w:tc>
          <w:tcPr>
            <w:tcW w:w="3943" w:type="pct"/>
            <w:shd w:val="clear" w:color="auto" w:fill="auto"/>
            <w:noWrap w:val="0"/>
            <w:vAlign w:val="center"/>
          </w:tcPr>
          <w:p w14:paraId="541D7CC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能对网络设备、安全设备和系统、主机操作系统、数据库以及各种应用系统的日志、事件、告警等安全信息进行全面的审计。</w:t>
            </w:r>
          </w:p>
        </w:tc>
      </w:tr>
      <w:tr w14:paraId="4CA7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1FDE6C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操作系统</w:t>
            </w:r>
          </w:p>
        </w:tc>
        <w:tc>
          <w:tcPr>
            <w:tcW w:w="3943" w:type="pct"/>
            <w:shd w:val="clear" w:color="auto" w:fill="auto"/>
            <w:noWrap w:val="0"/>
            <w:vAlign w:val="center"/>
          </w:tcPr>
          <w:p w14:paraId="3DBEF68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无需安装任何其他软件和组件，用户只需要安装审计中心即可实现对日志的采集、分析；</w:t>
            </w:r>
          </w:p>
        </w:tc>
      </w:tr>
      <w:tr w14:paraId="2AD6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04746E9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日志分析</w:t>
            </w:r>
          </w:p>
        </w:tc>
        <w:tc>
          <w:tcPr>
            <w:tcW w:w="3943" w:type="pct"/>
            <w:shd w:val="clear" w:color="auto" w:fill="auto"/>
            <w:noWrap w:val="0"/>
            <w:vAlign w:val="center"/>
          </w:tcPr>
          <w:p w14:paraId="4E0E01B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支持对日志提供在线/离线地图定位、支持源IP与目的IP分布走向的视网膜图展示、支持事件拓扑分析用于描述整个事件的访问关系及过程、支持多维分析；</w:t>
            </w:r>
          </w:p>
        </w:tc>
      </w:tr>
      <w:tr w14:paraId="348E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24CB231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部署方式</w:t>
            </w:r>
          </w:p>
        </w:tc>
        <w:tc>
          <w:tcPr>
            <w:tcW w:w="3943" w:type="pct"/>
            <w:shd w:val="clear" w:color="auto" w:fill="auto"/>
            <w:noWrap w:val="0"/>
            <w:vAlign w:val="center"/>
          </w:tcPr>
          <w:p w14:paraId="5347541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支持单级部署，无需安装任何其他软件和组件，用户只需要安装审计中心即可实现对日志的采集、分析；支持级联部署，两个审计中心之间可以进行级联，形成大规模统一审计。</w:t>
            </w:r>
          </w:p>
        </w:tc>
      </w:tr>
      <w:tr w14:paraId="57E3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3646A55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资产管理</w:t>
            </w:r>
          </w:p>
        </w:tc>
        <w:tc>
          <w:tcPr>
            <w:tcW w:w="3943" w:type="pct"/>
            <w:shd w:val="clear" w:color="auto" w:fill="auto"/>
            <w:noWrap w:val="0"/>
            <w:vAlign w:val="center"/>
          </w:tcPr>
          <w:p w14:paraId="130A345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要求系统提供基于资产的拓扑视图，可以按列表和拓扑两种模式显示资产拓扑节点；要求拓扑视图可以显示被审计资产之间的网络连接关系。</w:t>
            </w:r>
          </w:p>
        </w:tc>
      </w:tr>
      <w:tr w14:paraId="1653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5029257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日志采集</w:t>
            </w:r>
          </w:p>
        </w:tc>
        <w:tc>
          <w:tcPr>
            <w:tcW w:w="3943" w:type="pct"/>
            <w:shd w:val="clear" w:color="auto" w:fill="auto"/>
            <w:noWrap w:val="0"/>
            <w:vAlign w:val="center"/>
          </w:tcPr>
          <w:p w14:paraId="0800C1B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要求采用先进的设备统一控制技术，可针对设备的日志进行统一的采集控制，有证明材料。</w:t>
            </w:r>
          </w:p>
        </w:tc>
      </w:tr>
      <w:tr w14:paraId="495D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552F3AB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日志传输和存储转发</w:t>
            </w:r>
          </w:p>
        </w:tc>
        <w:tc>
          <w:tcPr>
            <w:tcW w:w="3943" w:type="pct"/>
            <w:shd w:val="clear" w:color="auto" w:fill="auto"/>
            <w:noWrap w:val="0"/>
            <w:vAlign w:val="center"/>
          </w:tcPr>
          <w:p w14:paraId="398C006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系统需支持加密压缩方式转发，定时转发。</w:t>
            </w:r>
          </w:p>
        </w:tc>
      </w:tr>
      <w:tr w14:paraId="361F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04F7A69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日志综合显示</w:t>
            </w:r>
          </w:p>
        </w:tc>
        <w:tc>
          <w:tcPr>
            <w:tcW w:w="3943" w:type="pct"/>
            <w:shd w:val="clear" w:color="auto" w:fill="auto"/>
            <w:noWrap w:val="0"/>
            <w:vAlign w:val="center"/>
          </w:tcPr>
          <w:p w14:paraId="0775AAD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系统可以提供传统的线形图、饼图、条状图等多种方式来显示信息。</w:t>
            </w:r>
          </w:p>
        </w:tc>
      </w:tr>
      <w:tr w14:paraId="6727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70E1EAA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产品证书</w:t>
            </w:r>
          </w:p>
        </w:tc>
        <w:tc>
          <w:tcPr>
            <w:tcW w:w="3943" w:type="pct"/>
            <w:shd w:val="clear" w:color="auto" w:fill="auto"/>
            <w:noWrap w:val="0"/>
            <w:vAlign w:val="center"/>
          </w:tcPr>
          <w:p w14:paraId="2F9992E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产品具有网络关键设备和网络安全专用产品安全认证证书。</w:t>
            </w:r>
          </w:p>
        </w:tc>
      </w:tr>
    </w:tbl>
    <w:p w14:paraId="3C58DE43">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1.5.3堡垒机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8344"/>
      </w:tblGrid>
      <w:tr w14:paraId="5D1C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5B3D6E44">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4187" w:type="pct"/>
            <w:shd w:val="clear" w:color="auto" w:fill="auto"/>
            <w:noWrap w:val="0"/>
            <w:vAlign w:val="center"/>
          </w:tcPr>
          <w:p w14:paraId="155310A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0603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30378F9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▲硬件外观</w:t>
            </w:r>
          </w:p>
        </w:tc>
        <w:tc>
          <w:tcPr>
            <w:tcW w:w="4187" w:type="pct"/>
            <w:shd w:val="clear" w:color="auto" w:fill="auto"/>
            <w:noWrap w:val="0"/>
            <w:vAlign w:val="bottom"/>
          </w:tcPr>
          <w:p w14:paraId="7262720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1U标准机架设备；设备配置≥6个千兆电口，≥4个千兆光口，≥3个扩展槽；</w:t>
            </w:r>
          </w:p>
        </w:tc>
      </w:tr>
      <w:tr w14:paraId="1149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2" w:type="pct"/>
            <w:shd w:val="clear" w:color="auto" w:fill="auto"/>
            <w:noWrap w:val="0"/>
            <w:vAlign w:val="center"/>
          </w:tcPr>
          <w:p w14:paraId="506E171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▲性能要求</w:t>
            </w:r>
          </w:p>
        </w:tc>
        <w:tc>
          <w:tcPr>
            <w:tcW w:w="4187" w:type="pct"/>
            <w:shd w:val="clear" w:color="auto" w:fill="auto"/>
            <w:noWrap w:val="0"/>
            <w:vAlign w:val="bottom"/>
          </w:tcPr>
          <w:p w14:paraId="4E1A56B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使用国产化操作系统和CPU，内存不小于8G，硬盘不小于4T，设备开通不小于50个被管理资源数授权，此次提供三年硬件质保。</w:t>
            </w:r>
          </w:p>
        </w:tc>
      </w:tr>
      <w:tr w14:paraId="2AC5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2" w:type="pct"/>
            <w:shd w:val="clear" w:color="auto" w:fill="auto"/>
            <w:noWrap w:val="0"/>
            <w:vAlign w:val="center"/>
          </w:tcPr>
          <w:p w14:paraId="191F1E5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部署方式</w:t>
            </w:r>
          </w:p>
        </w:tc>
        <w:tc>
          <w:tcPr>
            <w:tcW w:w="4187" w:type="pct"/>
            <w:shd w:val="clear" w:color="auto" w:fill="auto"/>
            <w:noWrap w:val="0"/>
            <w:vAlign w:val="bottom"/>
          </w:tcPr>
          <w:p w14:paraId="65FBEFB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支持NAT地址映射部署，通过映射后的IP地址访问堡垒机进行管理和运维操作，支持从多个映射地址访问，适用于内外网隔离的复杂网络环境。</w:t>
            </w:r>
          </w:p>
        </w:tc>
      </w:tr>
      <w:tr w14:paraId="33BF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0285AF1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分权分域</w:t>
            </w:r>
          </w:p>
        </w:tc>
        <w:tc>
          <w:tcPr>
            <w:tcW w:w="4187" w:type="pct"/>
            <w:shd w:val="clear" w:color="auto" w:fill="auto"/>
            <w:noWrap w:val="0"/>
            <w:vAlign w:val="bottom"/>
          </w:tcPr>
          <w:p w14:paraId="68933FA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支持管理员帐号设置双因认证、IP/MAC限制，提升帐号安全性。</w:t>
            </w:r>
          </w:p>
        </w:tc>
      </w:tr>
      <w:tr w14:paraId="11B6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3200CF9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资源管理</w:t>
            </w:r>
          </w:p>
        </w:tc>
        <w:tc>
          <w:tcPr>
            <w:tcW w:w="4187" w:type="pct"/>
            <w:shd w:val="clear" w:color="auto" w:fill="auto"/>
            <w:noWrap w:val="0"/>
            <w:vAlign w:val="bottom"/>
          </w:tcPr>
          <w:p w14:paraId="255BDE5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支持限定配置中可指定用户通过指定的应用发布服务器对资源进行访问。</w:t>
            </w:r>
          </w:p>
        </w:tc>
      </w:tr>
      <w:tr w14:paraId="6A40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2" w:type="pct"/>
            <w:shd w:val="clear" w:color="auto" w:fill="auto"/>
            <w:noWrap w:val="0"/>
            <w:vAlign w:val="center"/>
          </w:tcPr>
          <w:p w14:paraId="3C00D62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▲帐号托管</w:t>
            </w:r>
          </w:p>
        </w:tc>
        <w:tc>
          <w:tcPr>
            <w:tcW w:w="4187" w:type="pct"/>
            <w:shd w:val="clear" w:color="auto" w:fill="auto"/>
            <w:noWrap w:val="0"/>
            <w:vAlign w:val="bottom"/>
          </w:tcPr>
          <w:p w14:paraId="40FC150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支持数据库协议自动改密，改密类型支持：Oracle、PostgreSQL、MySql、DB2、Informix 、SYBASE、Mssql(2005,2008,2012)</w:t>
            </w:r>
            <w:r>
              <w:rPr>
                <w:rFonts w:hint="eastAsia" w:ascii="仿宋" w:hAnsi="仿宋" w:eastAsia="仿宋" w:cs="仿宋"/>
                <w:color w:val="auto"/>
                <w:kern w:val="0"/>
                <w:sz w:val="24"/>
                <w:szCs w:val="24"/>
                <w:highlight w:val="none"/>
                <w:lang w:eastAsia="zh-CN"/>
              </w:rPr>
              <w:t>以及主流的国产数据库</w:t>
            </w:r>
            <w:r>
              <w:rPr>
                <w:rFonts w:hint="eastAsia" w:ascii="仿宋" w:hAnsi="仿宋" w:eastAsia="仿宋" w:cs="仿宋"/>
                <w:color w:val="auto"/>
                <w:kern w:val="0"/>
                <w:sz w:val="24"/>
                <w:szCs w:val="24"/>
                <w:highlight w:val="none"/>
              </w:rPr>
              <w:t>。</w:t>
            </w:r>
          </w:p>
        </w:tc>
      </w:tr>
      <w:tr w14:paraId="3B8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2" w:type="pct"/>
            <w:shd w:val="clear" w:color="auto" w:fill="auto"/>
            <w:noWrap w:val="0"/>
            <w:vAlign w:val="center"/>
          </w:tcPr>
          <w:p w14:paraId="0700D63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技术能力</w:t>
            </w:r>
          </w:p>
        </w:tc>
        <w:tc>
          <w:tcPr>
            <w:tcW w:w="4187" w:type="pct"/>
            <w:shd w:val="clear" w:color="auto" w:fill="auto"/>
            <w:noWrap w:val="0"/>
            <w:vAlign w:val="bottom"/>
          </w:tcPr>
          <w:p w14:paraId="2931D5B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采用网络安全设备命令行的解析技术，对设备进行运维管理，提供第三方权威机构出具的相关证明材料。</w:t>
            </w:r>
          </w:p>
        </w:tc>
      </w:tr>
      <w:tr w14:paraId="4A6B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02229E2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运维方式</w:t>
            </w:r>
          </w:p>
        </w:tc>
        <w:tc>
          <w:tcPr>
            <w:tcW w:w="4187" w:type="pct"/>
            <w:shd w:val="clear" w:color="auto" w:fill="auto"/>
            <w:noWrap w:val="0"/>
            <w:vAlign w:val="bottom"/>
          </w:tcPr>
          <w:p w14:paraId="33DE1A8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支持windows终端调用国产化应用发布工具运维，支持国产化终端调用应用发布工具运维。</w:t>
            </w:r>
          </w:p>
        </w:tc>
      </w:tr>
      <w:tr w14:paraId="68F7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2" w:type="pct"/>
            <w:shd w:val="clear" w:color="auto" w:fill="auto"/>
            <w:noWrap w:val="0"/>
            <w:vAlign w:val="center"/>
          </w:tcPr>
          <w:p w14:paraId="1E8E3AB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字符、文件传输协议审计</w:t>
            </w:r>
          </w:p>
        </w:tc>
        <w:tc>
          <w:tcPr>
            <w:tcW w:w="4187" w:type="pct"/>
            <w:shd w:val="clear" w:color="auto" w:fill="auto"/>
            <w:noWrap w:val="0"/>
            <w:vAlign w:val="bottom"/>
          </w:tcPr>
          <w:p w14:paraId="33ABCC3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通过应用发布实现字符协议和文件传输协议的命令级审计和图形审计的双重审计效果，命令级审计便于重现真实的完整操作命令，图形审计便于直观的查看到真实的操作行为，并支持通过搜索操作语句或执行结果中关键字定位审计回放。</w:t>
            </w:r>
          </w:p>
        </w:tc>
      </w:tr>
      <w:tr w14:paraId="4DDD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2" w:type="pct"/>
            <w:shd w:val="clear" w:color="auto" w:fill="auto"/>
            <w:noWrap w:val="0"/>
            <w:vAlign w:val="center"/>
          </w:tcPr>
          <w:p w14:paraId="779DE99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审计查询</w:t>
            </w:r>
          </w:p>
        </w:tc>
        <w:tc>
          <w:tcPr>
            <w:tcW w:w="4187" w:type="pct"/>
            <w:shd w:val="clear" w:color="auto" w:fill="auto"/>
            <w:noWrap w:val="0"/>
            <w:vAlign w:val="bottom"/>
          </w:tcPr>
          <w:p w14:paraId="06989E1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查询关键字和结果显示支持多种编码(UTF-8,Big5,EUC-JP,EUC-KR,GB2312,GB18030,ISO-8859-2,KOI8-R,KS_C_5601_1987,Shift_JIS,Window-874)，由审计管理员自主选择（产品具有CNAS、CMA、ilac-MRA认证的权威检测机构出具的检测报告复印件）。</w:t>
            </w:r>
          </w:p>
        </w:tc>
      </w:tr>
      <w:tr w14:paraId="71EE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2" w:type="pct"/>
            <w:shd w:val="clear" w:color="auto" w:fill="auto"/>
            <w:noWrap w:val="0"/>
            <w:vAlign w:val="center"/>
          </w:tcPr>
          <w:p w14:paraId="6A0CB74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IPV4/IPV6</w:t>
            </w:r>
          </w:p>
        </w:tc>
        <w:tc>
          <w:tcPr>
            <w:tcW w:w="4187" w:type="pct"/>
            <w:shd w:val="clear" w:color="auto" w:fill="auto"/>
            <w:noWrap w:val="0"/>
            <w:vAlign w:val="bottom"/>
          </w:tcPr>
          <w:p w14:paraId="1C67848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支持在IPV4与IPV6网络环境下部署。</w:t>
            </w:r>
          </w:p>
        </w:tc>
      </w:tr>
      <w:tr w14:paraId="002F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pct"/>
            <w:shd w:val="clear" w:color="auto" w:fill="auto"/>
            <w:noWrap w:val="0"/>
            <w:vAlign w:val="center"/>
          </w:tcPr>
          <w:p w14:paraId="26EF330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产品证书</w:t>
            </w:r>
          </w:p>
        </w:tc>
        <w:tc>
          <w:tcPr>
            <w:tcW w:w="4187" w:type="pct"/>
            <w:shd w:val="clear" w:color="auto" w:fill="auto"/>
            <w:noWrap w:val="0"/>
            <w:vAlign w:val="bottom"/>
          </w:tcPr>
          <w:p w14:paraId="4F4D522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产品具有网络安全专用产品安全检测证书。</w:t>
            </w:r>
          </w:p>
        </w:tc>
      </w:tr>
    </w:tbl>
    <w:p w14:paraId="7AB9AC90">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1.5.4杀毒软件</w:t>
      </w:r>
    </w:p>
    <w:tbl>
      <w:tblPr>
        <w:tblStyle w:val="5"/>
        <w:tblW w:w="5000" w:type="pct"/>
        <w:tblInd w:w="0" w:type="dxa"/>
        <w:tblLayout w:type="autofit"/>
        <w:tblCellMar>
          <w:top w:w="0" w:type="dxa"/>
          <w:left w:w="108" w:type="dxa"/>
          <w:bottom w:w="0" w:type="dxa"/>
          <w:right w:w="108" w:type="dxa"/>
        </w:tblCellMar>
      </w:tblPr>
      <w:tblGrid>
        <w:gridCol w:w="2104"/>
        <w:gridCol w:w="7858"/>
      </w:tblGrid>
      <w:tr w14:paraId="6C160B8F">
        <w:tblPrEx>
          <w:tblCellMar>
            <w:top w:w="0" w:type="dxa"/>
            <w:left w:w="108" w:type="dxa"/>
            <w:bottom w:w="0" w:type="dxa"/>
            <w:right w:w="108" w:type="dxa"/>
          </w:tblCellMar>
        </w:tblPrEx>
        <w:trPr>
          <w:trHeight w:val="288"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69F4C0">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tcBorders>
              <w:top w:val="single" w:color="auto" w:sz="4" w:space="0"/>
              <w:left w:val="nil"/>
              <w:bottom w:val="single" w:color="auto" w:sz="4" w:space="0"/>
              <w:right w:val="single" w:color="auto" w:sz="4" w:space="0"/>
            </w:tcBorders>
            <w:shd w:val="clear" w:color="auto" w:fill="auto"/>
            <w:noWrap w:val="0"/>
            <w:vAlign w:val="center"/>
          </w:tcPr>
          <w:p w14:paraId="677E3A2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06C2A2AD">
        <w:tblPrEx>
          <w:tblCellMar>
            <w:top w:w="0" w:type="dxa"/>
            <w:left w:w="108" w:type="dxa"/>
            <w:bottom w:w="0" w:type="dxa"/>
            <w:right w:w="108" w:type="dxa"/>
          </w:tblCellMar>
        </w:tblPrEx>
        <w:trPr>
          <w:trHeight w:val="1440" w:hRule="atLeast"/>
        </w:trPr>
        <w:tc>
          <w:tcPr>
            <w:tcW w:w="1056" w:type="pct"/>
            <w:tcBorders>
              <w:top w:val="nil"/>
              <w:left w:val="single" w:color="auto" w:sz="4" w:space="0"/>
              <w:bottom w:val="single" w:color="auto" w:sz="4" w:space="0"/>
              <w:right w:val="single" w:color="auto" w:sz="4" w:space="0"/>
            </w:tcBorders>
            <w:shd w:val="clear" w:color="auto" w:fill="auto"/>
            <w:noWrap w:val="0"/>
            <w:vAlign w:val="center"/>
          </w:tcPr>
          <w:p w14:paraId="32787B5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杀毒软件</w:t>
            </w:r>
          </w:p>
        </w:tc>
        <w:tc>
          <w:tcPr>
            <w:tcW w:w="3944" w:type="pct"/>
            <w:tcBorders>
              <w:top w:val="nil"/>
              <w:left w:val="nil"/>
              <w:bottom w:val="single" w:color="auto" w:sz="4" w:space="0"/>
              <w:right w:val="single" w:color="auto" w:sz="4" w:space="0"/>
            </w:tcBorders>
            <w:shd w:val="clear" w:color="auto" w:fill="auto"/>
            <w:noWrap w:val="0"/>
            <w:vAlign w:val="bottom"/>
          </w:tcPr>
          <w:p w14:paraId="6A7FC9E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1.支持查看资产的安全态势，并进行统一任务下发、策略配置，对资产进行统一管理；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2.支持采集、展示多种日志，包括防护日志、操作日志、运维日志，并支持一键导出。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3.支持对终端进行详细信息展示，包括网络信息、环境信息等。并支持远程关闭、重启主机；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4.支持多级中心部署，查看所有下级控制中心的资产部署情况以及风险数据。</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5.配置：一个管理中心，服务器端杀毒50点，三年病毒库升级。</w:t>
            </w:r>
          </w:p>
        </w:tc>
      </w:tr>
    </w:tbl>
    <w:p w14:paraId="4083F352">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1.5.5数据库审计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5EE4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30AC6F7D">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shd w:val="clear" w:color="auto" w:fill="auto"/>
            <w:noWrap w:val="0"/>
            <w:vAlign w:val="center"/>
          </w:tcPr>
          <w:p w14:paraId="2F437A8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7A1E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5FD6CA7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▲硬件外观</w:t>
            </w:r>
          </w:p>
        </w:tc>
        <w:tc>
          <w:tcPr>
            <w:tcW w:w="3943" w:type="pct"/>
            <w:shd w:val="clear" w:color="auto" w:fill="auto"/>
            <w:noWrap w:val="0"/>
            <w:vAlign w:val="bottom"/>
          </w:tcPr>
          <w:p w14:paraId="7CED7FD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1U标准机架设备；设备配置≥6个千兆电口，≥4个千兆光口，≥3个扩展槽；</w:t>
            </w:r>
          </w:p>
        </w:tc>
      </w:tr>
      <w:tr w14:paraId="3B04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3840ACD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▲性能要求</w:t>
            </w:r>
          </w:p>
        </w:tc>
        <w:tc>
          <w:tcPr>
            <w:tcW w:w="3943" w:type="pct"/>
            <w:shd w:val="clear" w:color="auto" w:fill="auto"/>
            <w:noWrap w:val="0"/>
            <w:vAlign w:val="bottom"/>
          </w:tcPr>
          <w:p w14:paraId="6720E86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使用国产化操作系统和CPU，内存不小于16G，硬盘不小于4T，设备开通不小于10个数据库授权，此次提供三年硬件质保。</w:t>
            </w:r>
          </w:p>
        </w:tc>
      </w:tr>
      <w:tr w14:paraId="6398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C0F80E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产品部署</w:t>
            </w:r>
          </w:p>
        </w:tc>
        <w:tc>
          <w:tcPr>
            <w:tcW w:w="3943" w:type="pct"/>
            <w:shd w:val="clear" w:color="auto" w:fill="auto"/>
            <w:noWrap w:val="0"/>
            <w:vAlign w:val="bottom"/>
          </w:tcPr>
          <w:p w14:paraId="6F0477F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支持对部署在vmware、KVM、Xen等虚拟化环境中的数据库进行审计，审计系统可虚拟化部署。</w:t>
            </w:r>
          </w:p>
        </w:tc>
      </w:tr>
      <w:tr w14:paraId="42D7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1C03B73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数据审计</w:t>
            </w:r>
          </w:p>
        </w:tc>
        <w:tc>
          <w:tcPr>
            <w:tcW w:w="3943" w:type="pct"/>
            <w:shd w:val="clear" w:color="auto" w:fill="auto"/>
            <w:noWrap w:val="0"/>
            <w:vAlign w:val="bottom"/>
          </w:tcPr>
          <w:p w14:paraId="4203DB5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支持对针对数据库的SQL注入、CVE高危漏洞利用、口令攻击、缓冲区溢出等攻击行为进行审计。</w:t>
            </w:r>
          </w:p>
        </w:tc>
      </w:tr>
      <w:tr w14:paraId="58C5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6DBBD5C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▲数据审计</w:t>
            </w:r>
          </w:p>
        </w:tc>
        <w:tc>
          <w:tcPr>
            <w:tcW w:w="3943" w:type="pct"/>
            <w:shd w:val="clear" w:color="auto" w:fill="auto"/>
            <w:noWrap w:val="0"/>
            <w:vAlign w:val="bottom"/>
          </w:tcPr>
          <w:p w14:paraId="541CFFF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支持国产数据库人大金仓、达梦、南大通用、神通、高斯、瀚高、巨杉、虚谷、OceanBase、AnalyticDB MySql 、AnalyticDB PostgreSQL、RDS MySql、RDS PostgreSQL等数据库的审计。</w:t>
            </w:r>
          </w:p>
        </w:tc>
      </w:tr>
      <w:tr w14:paraId="783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4D808D6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审计能力与效果</w:t>
            </w:r>
          </w:p>
        </w:tc>
        <w:tc>
          <w:tcPr>
            <w:tcW w:w="3943" w:type="pct"/>
            <w:shd w:val="clear" w:color="auto" w:fill="auto"/>
            <w:noWrap w:val="0"/>
            <w:vAlign w:val="bottom"/>
          </w:tcPr>
          <w:p w14:paraId="2A8A65C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数据库审计策略支持频次统计，某一操作在周期时间内达到设定的次数阀值后可以进行单独记录和展示，周期事件和次数可按需配置。</w:t>
            </w:r>
          </w:p>
        </w:tc>
      </w:tr>
      <w:tr w14:paraId="7D4D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285DC72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业务关联审计</w:t>
            </w:r>
          </w:p>
        </w:tc>
        <w:tc>
          <w:tcPr>
            <w:tcW w:w="3943" w:type="pct"/>
            <w:shd w:val="clear" w:color="auto" w:fill="auto"/>
            <w:noWrap w:val="0"/>
            <w:vAlign w:val="bottom"/>
          </w:tcPr>
          <w:p w14:paraId="6FB8B8F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支持中间件环境下的SQL语句关联到HTTP操作，HTTP操作关联到HTTP-ID，实现中间件环境下的审计追溯。</w:t>
            </w:r>
          </w:p>
        </w:tc>
      </w:tr>
      <w:tr w14:paraId="777E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644B601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统一管理</w:t>
            </w:r>
          </w:p>
        </w:tc>
        <w:tc>
          <w:tcPr>
            <w:tcW w:w="3943" w:type="pct"/>
            <w:shd w:val="clear" w:color="auto" w:fill="auto"/>
            <w:noWrap w:val="0"/>
            <w:vAlign w:val="center"/>
          </w:tcPr>
          <w:p w14:paraId="5869BA6D">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采用设备控制技术，可对设备进行统一安全管理。</w:t>
            </w:r>
          </w:p>
        </w:tc>
      </w:tr>
      <w:tr w14:paraId="2E34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2FE9D32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智能发现</w:t>
            </w:r>
          </w:p>
        </w:tc>
        <w:tc>
          <w:tcPr>
            <w:tcW w:w="3943" w:type="pct"/>
            <w:shd w:val="clear" w:color="auto" w:fill="auto"/>
            <w:noWrap w:val="0"/>
            <w:vAlign w:val="bottom"/>
          </w:tcPr>
          <w:p w14:paraId="3D1765B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网络流量的资产发现功能，能够发现数据库表和资源账号，其中数据库表的自动发现支持表名、数据库名、发现次数和发现日期，资源账号自动发现支持在线天数、首次发现日期、末次发现日期，提供截图证明并盖原厂公章。</w:t>
            </w:r>
          </w:p>
        </w:tc>
      </w:tr>
      <w:tr w14:paraId="5BB8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50A2CCB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多样审计访问</w:t>
            </w:r>
          </w:p>
        </w:tc>
        <w:tc>
          <w:tcPr>
            <w:tcW w:w="3943" w:type="pct"/>
            <w:shd w:val="clear" w:color="auto" w:fill="auto"/>
            <w:noWrap w:val="0"/>
            <w:vAlign w:val="bottom"/>
          </w:tcPr>
          <w:p w14:paraId="71FBE76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审计访问数据库的时间，源/目的IP，源/目的端口，源/目的mac，资源账号，数据库名，规则名称，表名，命令，SQL语句、级别，响应时间、错误码，影响行数，连接方式，客户端程序名，模式名，客户端用户，SQL执行结果。</w:t>
            </w:r>
          </w:p>
        </w:tc>
      </w:tr>
    </w:tbl>
    <w:p w14:paraId="76E3F5B9">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1.5.6 VPN网关</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4AAB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421143F5">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shd w:val="clear" w:color="auto" w:fill="auto"/>
            <w:noWrap w:val="0"/>
            <w:vAlign w:val="center"/>
          </w:tcPr>
          <w:p w14:paraId="06D9119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2244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shd w:val="clear" w:color="auto" w:fill="auto"/>
            <w:noWrap w:val="0"/>
            <w:vAlign w:val="center"/>
          </w:tcPr>
          <w:p w14:paraId="481F0FB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▲硬件外观</w:t>
            </w:r>
          </w:p>
        </w:tc>
        <w:tc>
          <w:tcPr>
            <w:tcW w:w="3943" w:type="pct"/>
            <w:shd w:val="clear" w:color="auto" w:fill="auto"/>
            <w:noWrap w:val="0"/>
            <w:vAlign w:val="bottom"/>
          </w:tcPr>
          <w:p w14:paraId="52FCB7C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1U标准机架式设备，国产化硬件平台，设备配置1个RJ-45 Console口，8个10/100/1000M自适应电口，4个千兆SFP插槽，2个网络接口扩展槽位，2个USB口，交流单电源；设备配置硬件加密卡，支持国家商用密码算法SM2、SM3、SM4，产品具有国家密码管理局发布的商用密码产品认证证书，此次提供三年硬件保修和基础型技术支持服务。</w:t>
            </w:r>
          </w:p>
        </w:tc>
      </w:tr>
      <w:tr w14:paraId="4326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718C9E2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▲性能要求</w:t>
            </w:r>
          </w:p>
        </w:tc>
        <w:tc>
          <w:tcPr>
            <w:tcW w:w="3943" w:type="pct"/>
            <w:shd w:val="clear" w:color="auto" w:fill="auto"/>
            <w:noWrap w:val="0"/>
            <w:vAlign w:val="bottom"/>
          </w:tcPr>
          <w:p w14:paraId="088C5BE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IPSec/SSL国密加解密吞吐不小于300Mbps，推荐并发用户数不小于1000，整机吞吐不小于5Gbps；此次提供不小于50点SSL VPN授权。</w:t>
            </w:r>
          </w:p>
        </w:tc>
      </w:tr>
      <w:tr w14:paraId="5A18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451564C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▲基本功能：</w:t>
            </w:r>
          </w:p>
        </w:tc>
        <w:tc>
          <w:tcPr>
            <w:tcW w:w="3943" w:type="pct"/>
            <w:shd w:val="clear" w:color="auto" w:fill="auto"/>
            <w:noWrap w:val="0"/>
            <w:vAlign w:val="bottom"/>
          </w:tcPr>
          <w:p w14:paraId="225957C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客户端支持龙芯、兆芯、飞腾、鲲鹏等国产化平台，支持中标麒麟，银河麒麟，普华、深度（deepin）、优麒麟、UOS统信操作系统等国产化操作系统客户端</w:t>
            </w:r>
            <w:r>
              <w:rPr>
                <w:rFonts w:hint="eastAsia" w:ascii="仿宋" w:hAnsi="仿宋" w:eastAsia="仿宋" w:cs="仿宋"/>
                <w:color w:val="auto"/>
                <w:kern w:val="0"/>
                <w:sz w:val="24"/>
                <w:szCs w:val="24"/>
                <w:highlight w:val="none"/>
                <w:lang w:eastAsia="zh-CN"/>
              </w:rPr>
              <w:t>。</w:t>
            </w:r>
          </w:p>
        </w:tc>
      </w:tr>
      <w:tr w14:paraId="7E22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56" w:type="pct"/>
            <w:shd w:val="clear" w:color="auto" w:fill="auto"/>
            <w:noWrap w:val="0"/>
            <w:vAlign w:val="center"/>
          </w:tcPr>
          <w:p w14:paraId="494E62B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多系统引导</w:t>
            </w:r>
          </w:p>
        </w:tc>
        <w:tc>
          <w:tcPr>
            <w:tcW w:w="3943" w:type="pct"/>
            <w:shd w:val="clear" w:color="auto" w:fill="auto"/>
            <w:noWrap w:val="0"/>
            <w:vAlign w:val="bottom"/>
          </w:tcPr>
          <w:p w14:paraId="319AFD9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支持多系统引导，即系统A、系统B和备份系统，可在管理员界面直接配置启动顺序，支持两个操作系统，管理员可自由选择当前启动系统，每个系统拥有独立的配置文件，且配置文件分别支持加密导入导出，备份系统用于应急恢复。</w:t>
            </w:r>
          </w:p>
        </w:tc>
      </w:tr>
      <w:tr w14:paraId="577A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6AEC234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SSL VPN</w:t>
            </w:r>
          </w:p>
        </w:tc>
        <w:tc>
          <w:tcPr>
            <w:tcW w:w="3943" w:type="pct"/>
            <w:shd w:val="clear" w:color="auto" w:fill="auto"/>
            <w:noWrap w:val="0"/>
            <w:vAlign w:val="bottom"/>
          </w:tcPr>
          <w:p w14:paraId="1E0D2FD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支持设置SSL代理模式，可选择用户以VPN 接口IP、客户端源地址、或为用户分配独立虚拟IP 模式，来访问应用便于对用户访问行为进行审计溯源。</w:t>
            </w:r>
          </w:p>
        </w:tc>
      </w:tr>
      <w:tr w14:paraId="5AEC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25FA271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用户认证</w:t>
            </w:r>
          </w:p>
        </w:tc>
        <w:tc>
          <w:tcPr>
            <w:tcW w:w="3943" w:type="pct"/>
            <w:shd w:val="clear" w:color="auto" w:fill="auto"/>
            <w:noWrap w:val="0"/>
            <w:vAlign w:val="bottom"/>
          </w:tcPr>
          <w:p w14:paraId="3E2C739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支持IPSec、SSL 、PPTP、L2TP VPN的统一用户管理和认证体系，实现用户名口令一次配置，即可适用于全部VPN类型接入，无需分别购买不同类型VPN接入授权。</w:t>
            </w:r>
          </w:p>
        </w:tc>
      </w:tr>
      <w:tr w14:paraId="6554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4B2B6DA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IPv6</w:t>
            </w:r>
          </w:p>
        </w:tc>
        <w:tc>
          <w:tcPr>
            <w:tcW w:w="3943" w:type="pct"/>
            <w:shd w:val="clear" w:color="auto" w:fill="auto"/>
            <w:noWrap w:val="0"/>
            <w:vAlign w:val="bottom"/>
          </w:tcPr>
          <w:p w14:paraId="0F3308E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IPSec VPN支持网关、单臂部署模式，IPSec VPN支持透明、路由、冗余等网络接入方式。</w:t>
            </w:r>
          </w:p>
        </w:tc>
      </w:tr>
      <w:tr w14:paraId="2776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pct"/>
            <w:shd w:val="clear" w:color="auto" w:fill="auto"/>
            <w:noWrap w:val="0"/>
            <w:vAlign w:val="center"/>
          </w:tcPr>
          <w:p w14:paraId="57EE6F8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支持终端认证功能，</w:t>
            </w:r>
          </w:p>
        </w:tc>
        <w:tc>
          <w:tcPr>
            <w:tcW w:w="3943" w:type="pct"/>
            <w:shd w:val="clear" w:color="auto" w:fill="auto"/>
            <w:noWrap w:val="0"/>
            <w:vAlign w:val="bottom"/>
          </w:tcPr>
          <w:p w14:paraId="50FA9EE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包含硬件特征码、IP、MAC、主机绑定，特征码信息无需用户手动设置输入可自动生成，支持自定义用户绑定终端数量。支持硬件特征码批量导入导出。</w:t>
            </w:r>
          </w:p>
        </w:tc>
      </w:tr>
      <w:tr w14:paraId="4EE9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447ABE4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IPSec VPN</w:t>
            </w:r>
          </w:p>
        </w:tc>
        <w:tc>
          <w:tcPr>
            <w:tcW w:w="3943" w:type="pct"/>
            <w:shd w:val="clear" w:color="auto" w:fill="auto"/>
            <w:noWrap w:val="0"/>
            <w:vAlign w:val="bottom"/>
          </w:tcPr>
          <w:p w14:paraId="5DC3BB9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支持IPSec手动隧道，手动输入密钥参数，无需协商，可以满足IPSec VPN跨越单向光闸传输加密要求。</w:t>
            </w:r>
          </w:p>
        </w:tc>
      </w:tr>
      <w:tr w14:paraId="39CC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BA8BE5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访问控制</w:t>
            </w:r>
          </w:p>
        </w:tc>
        <w:tc>
          <w:tcPr>
            <w:tcW w:w="3943" w:type="pct"/>
            <w:shd w:val="clear" w:color="auto" w:fill="auto"/>
            <w:noWrap w:val="0"/>
            <w:vAlign w:val="bottom"/>
          </w:tcPr>
          <w:p w14:paraId="76550B1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采用滤除网络攻击流量的方法。</w:t>
            </w:r>
          </w:p>
        </w:tc>
      </w:tr>
      <w:tr w14:paraId="0F2C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383A2FC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产品证书</w:t>
            </w:r>
          </w:p>
        </w:tc>
        <w:tc>
          <w:tcPr>
            <w:tcW w:w="3943" w:type="pct"/>
            <w:shd w:val="clear" w:color="auto" w:fill="auto"/>
            <w:noWrap w:val="0"/>
            <w:vAlign w:val="bottom"/>
          </w:tcPr>
          <w:p w14:paraId="22E516C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产品具有网络安全专用产品安全检测证书。</w:t>
            </w:r>
          </w:p>
        </w:tc>
      </w:tr>
    </w:tbl>
    <w:p w14:paraId="073AE9D9">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1.5.7 备份一体机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4FB7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32B41A52">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shd w:val="clear" w:color="auto" w:fill="auto"/>
            <w:noWrap w:val="0"/>
            <w:vAlign w:val="center"/>
          </w:tcPr>
          <w:p w14:paraId="65B846C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2130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77424F8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国产化平台</w:t>
            </w:r>
          </w:p>
        </w:tc>
        <w:tc>
          <w:tcPr>
            <w:tcW w:w="3943" w:type="pct"/>
            <w:shd w:val="clear" w:color="auto" w:fill="auto"/>
            <w:noWrap w:val="0"/>
            <w:vAlign w:val="bottom"/>
          </w:tcPr>
          <w:p w14:paraId="4D39C9E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支持基于</w:t>
            </w:r>
            <w:r>
              <w:rPr>
                <w:rFonts w:hint="eastAsia" w:ascii="仿宋" w:hAnsi="仿宋" w:eastAsia="仿宋" w:cs="仿宋"/>
                <w:color w:val="auto"/>
                <w:kern w:val="0"/>
                <w:sz w:val="24"/>
                <w:szCs w:val="24"/>
                <w:highlight w:val="none"/>
                <w:lang w:eastAsia="zh-CN"/>
              </w:rPr>
              <w:t>国产化</w:t>
            </w:r>
            <w:r>
              <w:rPr>
                <w:rFonts w:hint="eastAsia" w:ascii="仿宋" w:hAnsi="仿宋" w:eastAsia="仿宋" w:cs="仿宋"/>
                <w:color w:val="auto"/>
                <w:kern w:val="0"/>
                <w:sz w:val="24"/>
                <w:szCs w:val="24"/>
                <w:highlight w:val="none"/>
              </w:rPr>
              <w:t>平台（国产CPU架构或国产操作系统）部署备份存储服务器；</w:t>
            </w:r>
          </w:p>
        </w:tc>
      </w:tr>
      <w:tr w14:paraId="0730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shd w:val="clear" w:color="auto" w:fill="auto"/>
            <w:noWrap w:val="0"/>
            <w:vAlign w:val="center"/>
          </w:tcPr>
          <w:p w14:paraId="6DF69C2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▲硬件要求</w:t>
            </w:r>
          </w:p>
        </w:tc>
        <w:tc>
          <w:tcPr>
            <w:tcW w:w="3943" w:type="pct"/>
            <w:shd w:val="clear" w:color="auto" w:fill="auto"/>
            <w:noWrap w:val="0"/>
            <w:vAlign w:val="bottom"/>
          </w:tcPr>
          <w:p w14:paraId="37B35B1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配置：CPU:≥2颗国产处理器，单颗主频≥2.6GHz，单颗物理核数≥32核，≥内存：128GB，16个DIMM插槽，最大支持2T 内存；系统盘：≥2*480GB SSD 数据盘：≥6*8TB SATA 阵列卡：≥2GB缓存RAID卡（含掉电保护） 网络接口：≥4*1GE 电口，≥4*10GE 光口（含多模光纤模块）；扩展槽位：≥3个可用PCIe插槽；国产品牌，备份软件授权≥14TB；</w:t>
            </w:r>
          </w:p>
        </w:tc>
      </w:tr>
      <w:tr w14:paraId="4E4E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6" w:type="pct"/>
            <w:shd w:val="clear" w:color="auto" w:fill="auto"/>
            <w:noWrap w:val="0"/>
            <w:vAlign w:val="center"/>
          </w:tcPr>
          <w:p w14:paraId="69F4399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▲虚拟化和云操作系统保护</w:t>
            </w:r>
          </w:p>
        </w:tc>
        <w:tc>
          <w:tcPr>
            <w:tcW w:w="3943" w:type="pct"/>
            <w:shd w:val="clear" w:color="auto" w:fill="auto"/>
            <w:noWrap w:val="0"/>
            <w:vAlign w:val="bottom"/>
          </w:tcPr>
          <w:p w14:paraId="2E9B4E2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支持国产虚拟化或云平台的备份恢复，包括但不限于KVM、FusionCompute、FusionCloud（Huawei Cloud Stack）、H3C CAS、OpenStack、CNware、RHV、易捷行云EasyStack、腾讯云TStack、ZStack、品高云等虚拟化平台或云平台的备份恢复（提供不少于</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家虚拟化或云平台厂商的产品兼容性互认证证书复印件，并加盖公章）</w:t>
            </w:r>
          </w:p>
        </w:tc>
      </w:tr>
      <w:tr w14:paraId="7D58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pct"/>
            <w:vMerge w:val="restart"/>
            <w:shd w:val="clear" w:color="auto" w:fill="auto"/>
            <w:noWrap w:val="0"/>
            <w:vAlign w:val="center"/>
          </w:tcPr>
          <w:p w14:paraId="5B4A2C9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数据库保护基本功能要求</w:t>
            </w:r>
          </w:p>
        </w:tc>
        <w:tc>
          <w:tcPr>
            <w:tcW w:w="3943" w:type="pct"/>
            <w:shd w:val="clear" w:color="auto" w:fill="auto"/>
            <w:noWrap w:val="0"/>
            <w:vAlign w:val="bottom"/>
          </w:tcPr>
          <w:p w14:paraId="0AE974D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支持国产主流的数据备份恢复，包括但不限于达梦（DM）、人大金仓（Kingbase）、南大通用（GBase）、GBase 8a MPP、神舟通用（ShenTong）、优炫（UXDB）、瀚高（Highgo）、虚谷、openGauss、Vastbase（海量）、SG-RDB-PG、GoldenDB、HotDB、TDSQL-PG、AntDB（亚信）、FusionDB、MogDB、TBase、GaussDB（DWS）和 GaussDB（for openGauss）等数据库。（提供不少于</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家上述国产数据库产品的兼容性互认证证书复印件，并加盖公章）</w:t>
            </w:r>
          </w:p>
        </w:tc>
      </w:tr>
      <w:tr w14:paraId="0D4E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continue"/>
            <w:noWrap w:val="0"/>
            <w:vAlign w:val="center"/>
          </w:tcPr>
          <w:p w14:paraId="6BA7B79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bottom"/>
          </w:tcPr>
          <w:p w14:paraId="1B017A9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▲针对Oracle的redo log和archive log提供连续日志备份方式，实现RPO达到秒级的安全保护要求。（提供产品功能截图）</w:t>
            </w:r>
          </w:p>
        </w:tc>
      </w:tr>
      <w:tr w14:paraId="5EF4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vMerge w:val="continue"/>
            <w:noWrap w:val="0"/>
            <w:vAlign w:val="center"/>
          </w:tcPr>
          <w:p w14:paraId="7D6E429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bottom"/>
          </w:tcPr>
          <w:p w14:paraId="364F8D7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▲支持GaussDB，原 GaussDB(for openGauss)非侵入式备份，无需在GaussDB节点安装Agent，即可实现备份恢复，Roach 支持完全备份、增量备份、累积增量备份，TPOPS 支持完全备份、增量备份、日志备份和任意时间点恢复。支持将GaussDB实例7、恢复至原集群和同构异集群。（提供产品功能截图）</w:t>
            </w:r>
          </w:p>
        </w:tc>
      </w:tr>
      <w:tr w14:paraId="5D34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restart"/>
            <w:shd w:val="clear" w:color="auto" w:fill="auto"/>
            <w:noWrap w:val="0"/>
            <w:vAlign w:val="center"/>
          </w:tcPr>
          <w:p w14:paraId="42688CC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数据重删复制冗余基本功能要求</w:t>
            </w:r>
          </w:p>
        </w:tc>
        <w:tc>
          <w:tcPr>
            <w:tcW w:w="3943" w:type="pct"/>
            <w:shd w:val="clear" w:color="auto" w:fill="auto"/>
            <w:noWrap w:val="0"/>
            <w:vAlign w:val="bottom"/>
          </w:tcPr>
          <w:p w14:paraId="487D1BB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支持固定块、变长块的数据重删技术，在创建重删存储空间时，需要提供变长和固定长度的块大小选择。</w:t>
            </w:r>
          </w:p>
        </w:tc>
      </w:tr>
      <w:tr w14:paraId="4EAA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10F0554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bottom"/>
          </w:tcPr>
          <w:p w14:paraId="653BB68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支持源端重删和目标端重删技术。</w:t>
            </w:r>
          </w:p>
        </w:tc>
      </w:tr>
      <w:tr w14:paraId="58D0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continue"/>
            <w:noWrap w:val="0"/>
            <w:vAlign w:val="center"/>
          </w:tcPr>
          <w:p w14:paraId="50150D1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bottom"/>
          </w:tcPr>
          <w:p w14:paraId="313E48C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支持重删池的状态检查，显示各重删池的指纹库大小、已用空间等信息。支持重删池的空间使用图表，显示空间使用和节省率趋势。</w:t>
            </w:r>
          </w:p>
        </w:tc>
      </w:tr>
      <w:tr w14:paraId="1238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continue"/>
            <w:noWrap w:val="0"/>
            <w:vAlign w:val="center"/>
          </w:tcPr>
          <w:p w14:paraId="28E58A7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bottom"/>
          </w:tcPr>
          <w:p w14:paraId="2F1528F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支持指纹库异常修复和优化，包括指纹库重建和重分片、碎片自动整理机制等，保障重删备份恢复性能。</w:t>
            </w:r>
          </w:p>
        </w:tc>
      </w:tr>
      <w:tr w14:paraId="3DC4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156B23D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质保服务</w:t>
            </w:r>
          </w:p>
        </w:tc>
        <w:tc>
          <w:tcPr>
            <w:tcW w:w="3943" w:type="pct"/>
            <w:shd w:val="clear" w:color="auto" w:fill="auto"/>
            <w:noWrap w:val="0"/>
            <w:vAlign w:val="bottom"/>
          </w:tcPr>
          <w:p w14:paraId="437E3C4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三年原厂硬件质保服务，三年原厂软件质保服务；</w:t>
            </w:r>
          </w:p>
        </w:tc>
      </w:tr>
    </w:tbl>
    <w:p w14:paraId="4F86483C">
      <w:pPr>
        <w:widowControl w:val="0"/>
        <w:spacing w:line="400" w:lineRule="exact"/>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1.5.8前置服务器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37FE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31445D02">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shd w:val="clear" w:color="auto" w:fill="auto"/>
            <w:noWrap w:val="0"/>
            <w:vAlign w:val="center"/>
          </w:tcPr>
          <w:p w14:paraId="5544E14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7FE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1EC4D22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前置服务器</w:t>
            </w:r>
          </w:p>
        </w:tc>
        <w:tc>
          <w:tcPr>
            <w:tcW w:w="3944" w:type="pct"/>
            <w:shd w:val="clear" w:color="auto" w:fill="auto"/>
            <w:noWrap w:val="0"/>
            <w:vAlign w:val="bottom"/>
          </w:tcPr>
          <w:p w14:paraId="58C7B28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国产化</w:t>
            </w:r>
            <w:r>
              <w:rPr>
                <w:rFonts w:hint="eastAsia" w:ascii="仿宋" w:hAnsi="仿宋" w:eastAsia="仿宋" w:cs="仿宋"/>
                <w:color w:val="auto"/>
                <w:kern w:val="0"/>
                <w:sz w:val="24"/>
                <w:szCs w:val="24"/>
                <w:highlight w:val="none"/>
              </w:rPr>
              <w:t>CPU:≥2颗，单颗主频≥2.</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GHz，单颗物理核数≥16核，内存：≥128GB，内存；系统盘：≥2*480GB SSD 数据盘：≥3*8TB SATA； 阵列卡：≥2GB缓存RAID卡（含掉电保护）； 网络接口：≥4*1GE 电口，≥2*10GE 光口（含多模光纤模块）</w:t>
            </w:r>
          </w:p>
        </w:tc>
      </w:tr>
    </w:tbl>
    <w:p w14:paraId="6A5D697C">
      <w:pPr>
        <w:widowControl w:val="0"/>
        <w:spacing w:line="4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1.5.9业务超融合</w:t>
      </w:r>
    </w:p>
    <w:tbl>
      <w:tblPr>
        <w:tblStyle w:val="5"/>
        <w:tblW w:w="9987" w:type="dxa"/>
        <w:jc w:val="center"/>
        <w:tblLayout w:type="fixed"/>
        <w:tblCellMar>
          <w:top w:w="0" w:type="dxa"/>
          <w:left w:w="108" w:type="dxa"/>
          <w:bottom w:w="0" w:type="dxa"/>
          <w:right w:w="108" w:type="dxa"/>
        </w:tblCellMar>
      </w:tblPr>
      <w:tblGrid>
        <w:gridCol w:w="1793"/>
        <w:gridCol w:w="8194"/>
      </w:tblGrid>
      <w:tr w14:paraId="24470748">
        <w:tblPrEx>
          <w:tblCellMar>
            <w:top w:w="0" w:type="dxa"/>
            <w:left w:w="108" w:type="dxa"/>
            <w:bottom w:w="0" w:type="dxa"/>
            <w:right w:w="108" w:type="dxa"/>
          </w:tblCellMar>
        </w:tblPrEx>
        <w:trPr>
          <w:trHeight w:val="42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28B5FB31">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8194" w:type="dxa"/>
            <w:tcBorders>
              <w:top w:val="single" w:color="auto" w:sz="4" w:space="0"/>
              <w:left w:val="single" w:color="auto" w:sz="4" w:space="0"/>
              <w:bottom w:val="single" w:color="auto" w:sz="4" w:space="0"/>
              <w:right w:val="single" w:color="auto" w:sz="4" w:space="0"/>
            </w:tcBorders>
            <w:noWrap w:val="0"/>
            <w:vAlign w:val="center"/>
          </w:tcPr>
          <w:p w14:paraId="6B9E5C40">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技术要求</w:t>
            </w:r>
          </w:p>
        </w:tc>
      </w:tr>
      <w:tr w14:paraId="38384BD7">
        <w:tblPrEx>
          <w:tblCellMar>
            <w:top w:w="0" w:type="dxa"/>
            <w:left w:w="108" w:type="dxa"/>
            <w:bottom w:w="0" w:type="dxa"/>
            <w:right w:w="108" w:type="dxa"/>
          </w:tblCellMar>
        </w:tblPrEx>
        <w:trPr>
          <w:trHeight w:val="42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3DDFFBAD">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▲云资源要求</w:t>
            </w:r>
          </w:p>
        </w:tc>
        <w:tc>
          <w:tcPr>
            <w:tcW w:w="8194" w:type="dxa"/>
            <w:tcBorders>
              <w:top w:val="single" w:color="auto" w:sz="4" w:space="0"/>
              <w:left w:val="single" w:color="auto" w:sz="4" w:space="0"/>
              <w:bottom w:val="single" w:color="auto" w:sz="4" w:space="0"/>
              <w:right w:val="single" w:color="auto" w:sz="4" w:space="0"/>
            </w:tcBorders>
            <w:noWrap w:val="0"/>
            <w:vAlign w:val="center"/>
          </w:tcPr>
          <w:p w14:paraId="7C6AF3D3">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国产化CPU,单节点提供两颗C86 CPU,主频不少于2.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GHz，核数不少于</w:t>
            </w:r>
            <w:r>
              <w:rPr>
                <w:rFonts w:hint="eastAsia" w:ascii="仿宋" w:hAnsi="仿宋" w:eastAsia="仿宋" w:cs="仿宋"/>
                <w:color w:val="auto"/>
                <w:kern w:val="0"/>
                <w:sz w:val="24"/>
                <w:szCs w:val="24"/>
                <w:highlight w:val="none"/>
                <w:lang w:val="en-US" w:eastAsia="zh-CN"/>
              </w:rPr>
              <w:t>32</w:t>
            </w:r>
            <w:r>
              <w:rPr>
                <w:rFonts w:hint="eastAsia" w:ascii="仿宋" w:hAnsi="仿宋" w:eastAsia="仿宋" w:cs="仿宋"/>
                <w:color w:val="auto"/>
                <w:kern w:val="0"/>
                <w:sz w:val="24"/>
                <w:szCs w:val="24"/>
                <w:highlight w:val="none"/>
              </w:rPr>
              <w:t>核，内存不少于512GB, 不少于960GB SATA SSD系统盘， 不少于3.84TB NVMe SSD缓存盘，不少于32TB 数据盘，RAID卡（带4GB缓存），冗余电源。为保证软硬件兼容性，以及后期售后服务一致性，要求硬件与云软件为同一品牌。</w:t>
            </w:r>
          </w:p>
        </w:tc>
      </w:tr>
      <w:tr w14:paraId="254B9E75">
        <w:tblPrEx>
          <w:tblCellMar>
            <w:top w:w="0" w:type="dxa"/>
            <w:left w:w="108" w:type="dxa"/>
            <w:bottom w:w="0" w:type="dxa"/>
            <w:right w:w="108" w:type="dxa"/>
          </w:tblCellMar>
        </w:tblPrEx>
        <w:trPr>
          <w:trHeight w:val="42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7763E44B">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▲软件授权</w:t>
            </w:r>
          </w:p>
        </w:tc>
        <w:tc>
          <w:tcPr>
            <w:tcW w:w="8194" w:type="dxa"/>
            <w:tcBorders>
              <w:top w:val="single" w:color="auto" w:sz="4" w:space="0"/>
              <w:left w:val="single" w:color="auto" w:sz="4" w:space="0"/>
              <w:bottom w:val="single" w:color="auto" w:sz="4" w:space="0"/>
              <w:right w:val="single" w:color="auto" w:sz="4" w:space="0"/>
            </w:tcBorders>
            <w:noWrap w:val="0"/>
            <w:vAlign w:val="center"/>
          </w:tcPr>
          <w:p w14:paraId="717E458B">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1、每台服务器提供不少于2颗CPU授权的计算虚拟化、存储虚拟化、网络虚拟化、云计算管理平台授权. </w:t>
            </w:r>
          </w:p>
          <w:p w14:paraId="5B1B26DD">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2、为保障国产化替代进程，云软件需兼容国产C86、ARM架构处理器。</w:t>
            </w:r>
          </w:p>
          <w:p w14:paraId="192A7554">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3、提供3年软件升级服务。</w:t>
            </w:r>
          </w:p>
        </w:tc>
      </w:tr>
      <w:tr w14:paraId="436447EE">
        <w:tblPrEx>
          <w:tblCellMar>
            <w:top w:w="0" w:type="dxa"/>
            <w:left w:w="108" w:type="dxa"/>
            <w:bottom w:w="0" w:type="dxa"/>
            <w:right w:w="108" w:type="dxa"/>
          </w:tblCellMar>
        </w:tblPrEx>
        <w:trPr>
          <w:trHeight w:val="442" w:hRule="atLeast"/>
          <w:jc w:val="center"/>
        </w:trPr>
        <w:tc>
          <w:tcPr>
            <w:tcW w:w="1793" w:type="dxa"/>
            <w:vMerge w:val="restart"/>
            <w:tcBorders>
              <w:top w:val="single" w:color="auto" w:sz="4" w:space="0"/>
              <w:left w:val="single" w:color="auto" w:sz="4" w:space="0"/>
              <w:bottom w:val="single" w:color="auto" w:sz="4" w:space="0"/>
              <w:right w:val="single" w:color="auto" w:sz="4" w:space="0"/>
            </w:tcBorders>
            <w:noWrap w:val="0"/>
            <w:vAlign w:val="center"/>
          </w:tcPr>
          <w:p w14:paraId="1B4A35B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功能要求</w:t>
            </w:r>
          </w:p>
        </w:tc>
        <w:tc>
          <w:tcPr>
            <w:tcW w:w="8194" w:type="dxa"/>
            <w:tcBorders>
              <w:top w:val="single" w:color="auto" w:sz="4" w:space="0"/>
              <w:left w:val="single" w:color="auto" w:sz="4" w:space="0"/>
              <w:bottom w:val="single" w:color="auto" w:sz="4" w:space="0"/>
              <w:right w:val="single" w:color="auto" w:sz="4" w:space="0"/>
            </w:tcBorders>
            <w:noWrap w:val="0"/>
            <w:vAlign w:val="center"/>
          </w:tcPr>
          <w:p w14:paraId="3D85540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支持健康巡检功能，用于快速查看系统健康情况</w:t>
            </w:r>
          </w:p>
        </w:tc>
      </w:tr>
      <w:tr w14:paraId="5663AC0E">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32C1C6A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vAlign w:val="center"/>
          </w:tcPr>
          <w:p w14:paraId="7252DDB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运维要求：针对云资源整体软硬件故障问题，提供统一的可视的监控管理中心，可视化实时监控中心从硬件可靠性、系统可靠性、服务可靠性三大层面进行实时监控、分层展示，运维人员可以直观查看集群的整体运行情况，可以快速诊断集群的健康状态，同时支持对无需关注的检测异常启用屏蔽功能，启用屏蔽功能的检测异常将不会上报显示。</w:t>
            </w:r>
          </w:p>
        </w:tc>
      </w:tr>
      <w:tr w14:paraId="185CFDBD">
        <w:tblPrEx>
          <w:tblCellMar>
            <w:top w:w="0" w:type="dxa"/>
            <w:left w:w="108" w:type="dxa"/>
            <w:bottom w:w="0" w:type="dxa"/>
            <w:right w:w="108" w:type="dxa"/>
          </w:tblCellMar>
        </w:tblPrEx>
        <w:trPr>
          <w:trHeight w:val="90"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1CF48E4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vAlign w:val="center"/>
          </w:tcPr>
          <w:p w14:paraId="6871930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bookmarkStart w:id="0" w:name="_Hlk171417909"/>
            <w:r>
              <w:rPr>
                <w:rFonts w:hint="eastAsia" w:ascii="仿宋" w:hAnsi="仿宋" w:eastAsia="仿宋" w:cs="仿宋"/>
                <w:color w:val="auto"/>
                <w:kern w:val="0"/>
                <w:sz w:val="24"/>
                <w:szCs w:val="24"/>
                <w:highlight w:val="none"/>
              </w:rPr>
              <w:t>资源扩容要求：可以依据资源的使用情况，进行计算资源、存储资源不中断业务扩容，支持分布式存储集群在线扩容节点、缩减节点，扩缩容后支持数据重均衡；</w:t>
            </w:r>
            <w:bookmarkEnd w:id="0"/>
          </w:p>
        </w:tc>
      </w:tr>
      <w:tr w14:paraId="0DFEF05C">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69A0FE2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tcPr>
          <w:p w14:paraId="7444155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内置迁移工具：云资源管理平台内置在线p2v、v2v迁移工具，支持业界主流的操作系统、公有云平台、虚拟化平台。包括但不限于VMware、华为、Hyper-V等平台的迁移功能，提升被迁移业务平台的普适性、降低业务上云的难度，降低运维工作量</w:t>
            </w:r>
            <w:r>
              <w:rPr>
                <w:rFonts w:hint="eastAsia" w:ascii="仿宋" w:hAnsi="仿宋" w:eastAsia="仿宋" w:cs="仿宋"/>
                <w:color w:val="auto"/>
                <w:kern w:val="0"/>
                <w:sz w:val="24"/>
                <w:szCs w:val="24"/>
                <w:highlight w:val="none"/>
                <w:lang w:eastAsia="zh-CN"/>
              </w:rPr>
              <w:t>。</w:t>
            </w:r>
          </w:p>
        </w:tc>
      </w:tr>
      <w:tr w14:paraId="7388487D">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1D62BE2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tcPr>
          <w:p w14:paraId="30D3C46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投资保障需求：支持使用一键鼠标按钮快速查看、启动、删除、批量启动和批量删除长时间未使用且处于关闭状态的虚拟机，进行资源利用率统计，降低运维工作量与难度，保障投资</w:t>
            </w:r>
            <w:r>
              <w:rPr>
                <w:rFonts w:hint="eastAsia" w:ascii="仿宋" w:hAnsi="仿宋" w:eastAsia="仿宋" w:cs="仿宋"/>
                <w:color w:val="auto"/>
                <w:kern w:val="0"/>
                <w:sz w:val="24"/>
                <w:szCs w:val="24"/>
                <w:highlight w:val="none"/>
                <w:lang w:val="en-US" w:eastAsia="zh-CN"/>
              </w:rPr>
              <w:t>.</w:t>
            </w:r>
          </w:p>
        </w:tc>
      </w:tr>
      <w:tr w14:paraId="6AC73845">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2651E86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vAlign w:val="center"/>
          </w:tcPr>
          <w:p w14:paraId="5912545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支持切换展示大屏功能，直观展示虚拟化资源池的健康度、告警、资源使用情况等，同时展示内容支持用户自定义</w:t>
            </w:r>
          </w:p>
        </w:tc>
      </w:tr>
      <w:tr w14:paraId="25157974">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27FEED6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vAlign w:val="center"/>
          </w:tcPr>
          <w:p w14:paraId="2E3B362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▲容量故障预测：支持资源容量预测服务，管理平台自动化实现数据检索预测，提供用户易用的数据预测服务，服务支持呈现实时的CPU、内存和存储容量资源使用数据信息展示。（需提供产品功能截图）</w:t>
            </w:r>
          </w:p>
        </w:tc>
      </w:tr>
      <w:tr w14:paraId="65DC6FF7">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6A8B160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vAlign w:val="center"/>
          </w:tcPr>
          <w:p w14:paraId="39BC100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自动部署要求：管理平台对于新上线节点设备可基于链路层协议、被管理节点自动发现，自动分配其IP地址，降低管理难度</w:t>
            </w:r>
          </w:p>
        </w:tc>
      </w:tr>
      <w:tr w14:paraId="67305B43">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473328B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vAlign w:val="center"/>
          </w:tcPr>
          <w:p w14:paraId="598F838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▲支持安装在通用的x86、ARM架构服务器，支持现有市场上主要国内外操作系统，包括Windows、CentOS、Fedora、RedHat、SUSE、Ubuntu、FreeBSD、中标红旗、中标麒麟、中标普华、深度、一铭、凝思等</w:t>
            </w:r>
          </w:p>
        </w:tc>
      </w:tr>
      <w:tr w14:paraId="42206232">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050A809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vAlign w:val="center"/>
          </w:tcPr>
          <w:p w14:paraId="15B4105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运维管理要求：支持虚拟机桌面预览功能，无需登录虚拟机即可在虚拟化管理平台上看到虚拟机当前桌面的状态。</w:t>
            </w:r>
          </w:p>
        </w:tc>
      </w:tr>
      <w:tr w14:paraId="5A0FE635">
        <w:tblPrEx>
          <w:tblCellMar>
            <w:top w:w="0" w:type="dxa"/>
            <w:left w:w="108" w:type="dxa"/>
            <w:bottom w:w="0" w:type="dxa"/>
            <w:right w:w="108" w:type="dxa"/>
          </w:tblCellMar>
        </w:tblPrEx>
        <w:trPr>
          <w:trHeight w:val="442" w:hRule="atLeast"/>
          <w:jc w:val="center"/>
        </w:trPr>
        <w:tc>
          <w:tcPr>
            <w:tcW w:w="1793" w:type="dxa"/>
            <w:vMerge w:val="continue"/>
            <w:tcBorders>
              <w:top w:val="single" w:color="auto" w:sz="4" w:space="0"/>
              <w:left w:val="single" w:color="auto" w:sz="4" w:space="0"/>
              <w:bottom w:val="single" w:color="auto" w:sz="4" w:space="0"/>
              <w:right w:val="single" w:color="auto" w:sz="4" w:space="0"/>
            </w:tcBorders>
            <w:noWrap w:val="0"/>
            <w:vAlign w:val="center"/>
          </w:tcPr>
          <w:p w14:paraId="2588C1D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p>
        </w:tc>
        <w:tc>
          <w:tcPr>
            <w:tcW w:w="8194" w:type="dxa"/>
            <w:tcBorders>
              <w:top w:val="single" w:color="auto" w:sz="4" w:space="0"/>
              <w:left w:val="single" w:color="auto" w:sz="4" w:space="0"/>
              <w:bottom w:val="single" w:color="auto" w:sz="4" w:space="0"/>
              <w:right w:val="single" w:color="auto" w:sz="4" w:space="0"/>
            </w:tcBorders>
            <w:noWrap w:val="0"/>
            <w:vAlign w:val="center"/>
          </w:tcPr>
          <w:p w14:paraId="52205D7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采用分布式的软件定义存储架构，在通用服务器部署，把所有服务器硬盘组织成一个虚拟存储资源池，提供分布式存储服务</w:t>
            </w:r>
          </w:p>
        </w:tc>
      </w:tr>
    </w:tbl>
    <w:p w14:paraId="32B79141">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1.5.10 PACS存储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59AD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7E5F0132">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shd w:val="clear" w:color="auto" w:fill="auto"/>
            <w:noWrap w:val="0"/>
            <w:vAlign w:val="center"/>
          </w:tcPr>
          <w:p w14:paraId="5F4EE1B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36E9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3A156CA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▲国产操作系统</w:t>
            </w:r>
          </w:p>
        </w:tc>
        <w:tc>
          <w:tcPr>
            <w:tcW w:w="3943" w:type="pct"/>
            <w:shd w:val="clear" w:color="auto" w:fill="auto"/>
            <w:noWrap w:val="0"/>
            <w:vAlign w:val="bottom"/>
          </w:tcPr>
          <w:p w14:paraId="2A42105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投存储底层操作系统采用欧拉、统信、麒麟等国产操作系统，使用成熟稳定的国产品牌自主研发CPU，并且CPU通过国家保密科技测评中心最新的安全可靠测评，提供投标产品使用CPU型号、主频等证明材料以及中国信息安全测评中心官网安全可靠测评结果截图并加盖投标人公章。</w:t>
            </w:r>
          </w:p>
        </w:tc>
      </w:tr>
      <w:tr w14:paraId="5F6A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6" w:type="pct"/>
            <w:shd w:val="clear" w:color="auto" w:fill="auto"/>
            <w:noWrap w:val="0"/>
            <w:vAlign w:val="center"/>
          </w:tcPr>
          <w:p w14:paraId="14A82F2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▲硬件配置</w:t>
            </w:r>
          </w:p>
        </w:tc>
        <w:tc>
          <w:tcPr>
            <w:tcW w:w="3943" w:type="pct"/>
            <w:shd w:val="clear" w:color="auto" w:fill="auto"/>
            <w:noWrap w:val="0"/>
            <w:vAlign w:val="bottom"/>
          </w:tcPr>
          <w:p w14:paraId="72B7738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本次配置≥3个存储节点，单节点配置：CPU:≥2颗国产处理器，单颗主频：≥2.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GHz，单颗物理核数：≥32核，内存：≥8*32GB DDR4 内存，硬盘：≥2*480GB SSD 硬盘，≥1*3.2TB SSD 硬盘，≥</w:t>
            </w:r>
            <w:r>
              <w:rPr>
                <w:rFonts w:hint="eastAsia" w:ascii="仿宋" w:hAnsi="仿宋" w:eastAsia="仿宋" w:cs="仿宋"/>
                <w:color w:val="auto"/>
                <w:kern w:val="0"/>
                <w:sz w:val="24"/>
                <w:szCs w:val="24"/>
                <w:highlight w:val="none"/>
                <w:lang w:val="en-US" w:eastAsia="zh-CN"/>
              </w:rPr>
              <w:t xml:space="preserve">96T </w:t>
            </w:r>
            <w:r>
              <w:rPr>
                <w:rFonts w:hint="eastAsia" w:ascii="仿宋" w:hAnsi="仿宋" w:eastAsia="仿宋" w:cs="仿宋"/>
                <w:color w:val="auto"/>
                <w:kern w:val="0"/>
                <w:sz w:val="24"/>
                <w:szCs w:val="24"/>
                <w:highlight w:val="none"/>
              </w:rPr>
              <w:t>SATA 硬盘；网口：≥4*GE网口，≥4*25GE 网口（含万兆光模块），软件：配置对应可得容量的存储软件授权；</w:t>
            </w:r>
          </w:p>
        </w:tc>
      </w:tr>
      <w:tr w14:paraId="2B5B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restart"/>
            <w:shd w:val="clear" w:color="auto" w:fill="auto"/>
            <w:noWrap w:val="0"/>
            <w:vAlign w:val="center"/>
          </w:tcPr>
          <w:p w14:paraId="77A2EE1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分布式架构</w:t>
            </w:r>
          </w:p>
        </w:tc>
        <w:tc>
          <w:tcPr>
            <w:tcW w:w="3943" w:type="pct"/>
            <w:shd w:val="clear" w:color="auto" w:fill="auto"/>
            <w:noWrap w:val="0"/>
            <w:vAlign w:val="bottom"/>
          </w:tcPr>
          <w:p w14:paraId="536CDFF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采用全对称分布式架构，无独立元数据节点，随着存储节点数的增加，分布式存储性能和容量也随着近线性增长，扩容过程中业务不中断；</w:t>
            </w:r>
          </w:p>
        </w:tc>
      </w:tr>
      <w:tr w14:paraId="469E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vMerge w:val="continue"/>
            <w:noWrap w:val="0"/>
            <w:vAlign w:val="center"/>
          </w:tcPr>
          <w:p w14:paraId="1109684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bottom"/>
          </w:tcPr>
          <w:p w14:paraId="4136AC4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具备大规模横向扩展能力，单集群规模最大可扩展至≥4096节点，支持横向扩展能力，新增节点带来的集群性能提升不低于单节点性能的80％；</w:t>
            </w:r>
          </w:p>
        </w:tc>
      </w:tr>
      <w:tr w14:paraId="2732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1B70404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bottom"/>
          </w:tcPr>
          <w:p w14:paraId="37BD767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支持在线缩容和扩容；支持存储软件在线升级，升级操作均不影响前端业务的连续性；</w:t>
            </w:r>
          </w:p>
        </w:tc>
      </w:tr>
      <w:tr w14:paraId="1B24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43846C4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CIFS协议</w:t>
            </w:r>
          </w:p>
        </w:tc>
        <w:tc>
          <w:tcPr>
            <w:tcW w:w="3943" w:type="pct"/>
            <w:shd w:val="clear" w:color="auto" w:fill="auto"/>
            <w:noWrap w:val="0"/>
            <w:vAlign w:val="bottom"/>
          </w:tcPr>
          <w:p w14:paraId="2CC994E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支持创建目录、删除目录、创建文件、删除文件、拷贝文件、查看文件、修改文件等；</w:t>
            </w:r>
          </w:p>
        </w:tc>
      </w:tr>
      <w:tr w14:paraId="042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051C10C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业务连续能力</w:t>
            </w:r>
          </w:p>
        </w:tc>
        <w:tc>
          <w:tcPr>
            <w:tcW w:w="3943" w:type="pct"/>
            <w:shd w:val="clear" w:color="auto" w:fill="auto"/>
            <w:noWrap w:val="0"/>
            <w:vAlign w:val="bottom"/>
          </w:tcPr>
          <w:p w14:paraId="2044D72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支持Failover,支持在接入节点发生故障时业务不中断；</w:t>
            </w:r>
          </w:p>
        </w:tc>
      </w:tr>
      <w:tr w14:paraId="6109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6" w:type="pct"/>
            <w:shd w:val="clear" w:color="auto" w:fill="auto"/>
            <w:noWrap w:val="0"/>
            <w:vAlign w:val="center"/>
          </w:tcPr>
          <w:p w14:paraId="5F99849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▲并行客户端功能</w:t>
            </w:r>
          </w:p>
        </w:tc>
        <w:tc>
          <w:tcPr>
            <w:tcW w:w="3943" w:type="pct"/>
            <w:shd w:val="clear" w:color="auto" w:fill="auto"/>
            <w:noWrap w:val="0"/>
            <w:vAlign w:val="bottom"/>
          </w:tcPr>
          <w:p w14:paraId="48AE17D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为大幅提升医生客户端阅片性能，降低访问时延，所投存储产品支持客户端功能，支持MPI-IO</w:t>
            </w:r>
            <w:r>
              <w:rPr>
                <w:rFonts w:hint="eastAsia" w:ascii="仿宋" w:hAnsi="仿宋" w:eastAsia="仿宋" w:cs="仿宋"/>
                <w:color w:val="auto"/>
                <w:kern w:val="0"/>
                <w:sz w:val="24"/>
                <w:szCs w:val="24"/>
                <w:highlight w:val="none"/>
                <w:lang w:eastAsia="zh-CN"/>
              </w:rPr>
              <w:t>等</w:t>
            </w:r>
            <w:r>
              <w:rPr>
                <w:rFonts w:hint="eastAsia" w:ascii="仿宋" w:hAnsi="仿宋" w:eastAsia="仿宋" w:cs="仿宋"/>
                <w:color w:val="auto"/>
                <w:kern w:val="0"/>
                <w:sz w:val="24"/>
                <w:szCs w:val="24"/>
                <w:highlight w:val="none"/>
              </w:rPr>
              <w:t>，兼容OpenMPI， MPICH2</w:t>
            </w:r>
            <w:r>
              <w:rPr>
                <w:rFonts w:hint="eastAsia" w:ascii="仿宋" w:hAnsi="仿宋" w:eastAsia="仿宋" w:cs="仿宋"/>
                <w:color w:val="auto"/>
                <w:kern w:val="0"/>
                <w:sz w:val="24"/>
                <w:szCs w:val="24"/>
                <w:highlight w:val="none"/>
                <w:lang w:eastAsia="zh-CN"/>
              </w:rPr>
              <w:t>等</w:t>
            </w:r>
            <w:r>
              <w:rPr>
                <w:rFonts w:hint="eastAsia" w:ascii="仿宋" w:hAnsi="仿宋" w:eastAsia="仿宋" w:cs="仿宋"/>
                <w:color w:val="auto"/>
                <w:kern w:val="0"/>
                <w:sz w:val="24"/>
                <w:szCs w:val="24"/>
                <w:highlight w:val="none"/>
              </w:rPr>
              <w:t>；（需提供产品功能截图）</w:t>
            </w:r>
          </w:p>
        </w:tc>
      </w:tr>
      <w:tr w14:paraId="3A02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4E41301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文件访问控制</w:t>
            </w:r>
          </w:p>
        </w:tc>
        <w:tc>
          <w:tcPr>
            <w:tcW w:w="3943" w:type="pct"/>
            <w:shd w:val="clear" w:color="auto" w:fill="auto"/>
            <w:noWrap w:val="0"/>
            <w:vAlign w:val="bottom"/>
          </w:tcPr>
          <w:p w14:paraId="2054AAB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支持对文件多种访问控制，只读、只读写、完成控制（读/写/删除/创建）、禁止（无权限访问）权限；</w:t>
            </w:r>
          </w:p>
        </w:tc>
      </w:tr>
    </w:tbl>
    <w:p w14:paraId="50F88A5F">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1.5.11数据中心交换机</w:t>
      </w:r>
    </w:p>
    <w:tbl>
      <w:tblPr>
        <w:tblStyle w:val="5"/>
        <w:tblW w:w="5000" w:type="pct"/>
        <w:tblInd w:w="0" w:type="dxa"/>
        <w:tblLayout w:type="fixed"/>
        <w:tblCellMar>
          <w:top w:w="0" w:type="dxa"/>
          <w:left w:w="108" w:type="dxa"/>
          <w:bottom w:w="0" w:type="dxa"/>
          <w:right w:w="108" w:type="dxa"/>
        </w:tblCellMar>
      </w:tblPr>
      <w:tblGrid>
        <w:gridCol w:w="1950"/>
        <w:gridCol w:w="8012"/>
      </w:tblGrid>
      <w:tr w14:paraId="1D652C80">
        <w:tblPrEx>
          <w:tblCellMar>
            <w:top w:w="0" w:type="dxa"/>
            <w:left w:w="108" w:type="dxa"/>
            <w:bottom w:w="0" w:type="dxa"/>
            <w:right w:w="108" w:type="dxa"/>
          </w:tblCellMar>
        </w:tblPrEx>
        <w:trPr>
          <w:trHeight w:val="288" w:hRule="atLeast"/>
        </w:trPr>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20CA76">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4021" w:type="pct"/>
            <w:tcBorders>
              <w:top w:val="single" w:color="auto" w:sz="4" w:space="0"/>
              <w:left w:val="nil"/>
              <w:bottom w:val="single" w:color="auto" w:sz="4" w:space="0"/>
              <w:right w:val="single" w:color="auto" w:sz="4" w:space="0"/>
            </w:tcBorders>
            <w:shd w:val="clear" w:color="auto" w:fill="auto"/>
            <w:noWrap w:val="0"/>
            <w:vAlign w:val="center"/>
          </w:tcPr>
          <w:p w14:paraId="46BB675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7CAAACDD">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5E68F47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▲转发性能</w:t>
            </w:r>
          </w:p>
        </w:tc>
        <w:tc>
          <w:tcPr>
            <w:tcW w:w="4021" w:type="pct"/>
            <w:tcBorders>
              <w:top w:val="nil"/>
              <w:left w:val="nil"/>
              <w:bottom w:val="single" w:color="auto" w:sz="4" w:space="0"/>
              <w:right w:val="single" w:color="auto" w:sz="4" w:space="0"/>
            </w:tcBorders>
            <w:shd w:val="clear" w:color="auto" w:fill="auto"/>
            <w:noWrap/>
            <w:vAlign w:val="center"/>
          </w:tcPr>
          <w:p w14:paraId="5F4068E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交换容量≥4.8Tbps，以官网所列最低参数为准；包转发率≥2000Mpps，以官网所列最低参数为准；</w:t>
            </w:r>
          </w:p>
        </w:tc>
      </w:tr>
      <w:tr w14:paraId="5266DEE3">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2FEE75B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硬件规格</w:t>
            </w:r>
          </w:p>
        </w:tc>
        <w:tc>
          <w:tcPr>
            <w:tcW w:w="4021" w:type="pct"/>
            <w:tcBorders>
              <w:top w:val="nil"/>
              <w:left w:val="nil"/>
              <w:bottom w:val="single" w:color="auto" w:sz="4" w:space="0"/>
              <w:right w:val="single" w:color="auto" w:sz="4" w:space="0"/>
            </w:tcBorders>
            <w:shd w:val="clear" w:color="auto" w:fill="auto"/>
            <w:noWrap/>
            <w:vAlign w:val="center"/>
          </w:tcPr>
          <w:p w14:paraId="67AB4B3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高度≤1U，固定接口交换机，电源1+1备份，风扇模块3+1备份；</w:t>
            </w:r>
          </w:p>
        </w:tc>
      </w:tr>
      <w:tr w14:paraId="4AD5926F">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07BE443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CPU</w:t>
            </w:r>
          </w:p>
        </w:tc>
        <w:tc>
          <w:tcPr>
            <w:tcW w:w="4021" w:type="pct"/>
            <w:tcBorders>
              <w:top w:val="nil"/>
              <w:left w:val="nil"/>
              <w:bottom w:val="single" w:color="auto" w:sz="4" w:space="0"/>
              <w:right w:val="single" w:color="auto" w:sz="4" w:space="0"/>
            </w:tcBorders>
            <w:shd w:val="clear" w:color="auto" w:fill="auto"/>
            <w:noWrap/>
            <w:vAlign w:val="center"/>
          </w:tcPr>
          <w:p w14:paraId="6F7FFAB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国产芯片，自主可控，提供第三方测试报告；</w:t>
            </w:r>
          </w:p>
        </w:tc>
      </w:tr>
      <w:tr w14:paraId="0C63BBF9">
        <w:tblPrEx>
          <w:tblCellMar>
            <w:top w:w="0" w:type="dxa"/>
            <w:left w:w="108" w:type="dxa"/>
            <w:bottom w:w="0" w:type="dxa"/>
            <w:right w:w="108" w:type="dxa"/>
          </w:tblCellMar>
        </w:tblPrEx>
        <w:trPr>
          <w:trHeight w:val="288" w:hRule="atLeast"/>
        </w:trPr>
        <w:tc>
          <w:tcPr>
            <w:tcW w:w="979" w:type="pct"/>
            <w:vMerge w:val="restart"/>
            <w:tcBorders>
              <w:top w:val="nil"/>
              <w:left w:val="single" w:color="auto" w:sz="4" w:space="0"/>
              <w:bottom w:val="single" w:color="auto" w:sz="4" w:space="0"/>
              <w:right w:val="single" w:color="auto" w:sz="4" w:space="0"/>
            </w:tcBorders>
            <w:shd w:val="clear" w:color="auto" w:fill="auto"/>
            <w:noWrap w:val="0"/>
            <w:vAlign w:val="center"/>
          </w:tcPr>
          <w:p w14:paraId="68024DB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特性</w:t>
            </w:r>
          </w:p>
        </w:tc>
        <w:tc>
          <w:tcPr>
            <w:tcW w:w="4021" w:type="pct"/>
            <w:tcBorders>
              <w:top w:val="nil"/>
              <w:left w:val="nil"/>
              <w:bottom w:val="single" w:color="auto" w:sz="4" w:space="0"/>
              <w:right w:val="single" w:color="auto" w:sz="4" w:space="0"/>
            </w:tcBorders>
            <w:shd w:val="clear" w:color="auto" w:fill="auto"/>
            <w:noWrap/>
            <w:vAlign w:val="center"/>
          </w:tcPr>
          <w:p w14:paraId="5A97BB4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4、设备缓存≥32M，支持前后、后前风道；</w:t>
            </w:r>
          </w:p>
        </w:tc>
      </w:tr>
      <w:tr w14:paraId="1005A025">
        <w:tblPrEx>
          <w:tblCellMar>
            <w:top w:w="0" w:type="dxa"/>
            <w:left w:w="108" w:type="dxa"/>
            <w:bottom w:w="0" w:type="dxa"/>
            <w:right w:w="108" w:type="dxa"/>
          </w:tblCellMar>
        </w:tblPrEx>
        <w:trPr>
          <w:trHeight w:val="288" w:hRule="atLeast"/>
        </w:trPr>
        <w:tc>
          <w:tcPr>
            <w:tcW w:w="979" w:type="pct"/>
            <w:vMerge w:val="continue"/>
            <w:tcBorders>
              <w:top w:val="nil"/>
              <w:left w:val="single" w:color="auto" w:sz="4" w:space="0"/>
              <w:bottom w:val="single" w:color="auto" w:sz="4" w:space="0"/>
              <w:right w:val="single" w:color="auto" w:sz="4" w:space="0"/>
            </w:tcBorders>
            <w:noWrap w:val="0"/>
            <w:vAlign w:val="center"/>
          </w:tcPr>
          <w:p w14:paraId="475885D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4021" w:type="pct"/>
            <w:tcBorders>
              <w:top w:val="nil"/>
              <w:left w:val="nil"/>
              <w:bottom w:val="single" w:color="auto" w:sz="4" w:space="0"/>
              <w:right w:val="single" w:color="auto" w:sz="4" w:space="0"/>
            </w:tcBorders>
            <w:shd w:val="clear" w:color="auto" w:fill="auto"/>
            <w:noWrap/>
            <w:vAlign w:val="center"/>
          </w:tcPr>
          <w:p w14:paraId="5ED3A41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5、支持M-LAG或vPC或DRNI等跨机箱链路捆绑技术;</w:t>
            </w:r>
          </w:p>
        </w:tc>
      </w:tr>
      <w:tr w14:paraId="58CCF94C">
        <w:tblPrEx>
          <w:tblCellMar>
            <w:top w:w="0" w:type="dxa"/>
            <w:left w:w="108" w:type="dxa"/>
            <w:bottom w:w="0" w:type="dxa"/>
            <w:right w:w="108" w:type="dxa"/>
          </w:tblCellMar>
        </w:tblPrEx>
        <w:trPr>
          <w:trHeight w:val="288" w:hRule="atLeast"/>
        </w:trPr>
        <w:tc>
          <w:tcPr>
            <w:tcW w:w="979" w:type="pct"/>
            <w:vMerge w:val="continue"/>
            <w:tcBorders>
              <w:top w:val="nil"/>
              <w:left w:val="single" w:color="auto" w:sz="4" w:space="0"/>
              <w:bottom w:val="single" w:color="auto" w:sz="4" w:space="0"/>
              <w:right w:val="single" w:color="auto" w:sz="4" w:space="0"/>
            </w:tcBorders>
            <w:noWrap w:val="0"/>
            <w:vAlign w:val="center"/>
          </w:tcPr>
          <w:p w14:paraId="52868F4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4021" w:type="pct"/>
            <w:tcBorders>
              <w:top w:val="nil"/>
              <w:left w:val="nil"/>
              <w:bottom w:val="single" w:color="auto" w:sz="4" w:space="0"/>
              <w:right w:val="single" w:color="auto" w:sz="4" w:space="0"/>
            </w:tcBorders>
            <w:shd w:val="clear" w:color="auto" w:fill="auto"/>
            <w:noWrap/>
            <w:vAlign w:val="center"/>
          </w:tcPr>
          <w:p w14:paraId="5483241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6、支持BFD3.3ms检测间隔</w:t>
            </w:r>
          </w:p>
        </w:tc>
      </w:tr>
      <w:tr w14:paraId="7D7ED8B8">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1C78F61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端口配置要求</w:t>
            </w:r>
          </w:p>
        </w:tc>
        <w:tc>
          <w:tcPr>
            <w:tcW w:w="4021" w:type="pct"/>
            <w:tcBorders>
              <w:top w:val="nil"/>
              <w:left w:val="nil"/>
              <w:bottom w:val="single" w:color="auto" w:sz="4" w:space="0"/>
              <w:right w:val="single" w:color="auto" w:sz="4" w:space="0"/>
            </w:tcBorders>
            <w:shd w:val="clear" w:color="auto" w:fill="auto"/>
            <w:noWrap/>
            <w:vAlign w:val="center"/>
          </w:tcPr>
          <w:p w14:paraId="1587272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48个10GE光端口数量，6个100GE 光接口；</w:t>
            </w:r>
          </w:p>
        </w:tc>
      </w:tr>
      <w:tr w14:paraId="7FC28E9A">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45D0A64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模块</w:t>
            </w:r>
          </w:p>
        </w:tc>
        <w:tc>
          <w:tcPr>
            <w:tcW w:w="4021" w:type="pct"/>
            <w:tcBorders>
              <w:top w:val="nil"/>
              <w:left w:val="nil"/>
              <w:bottom w:val="single" w:color="auto" w:sz="4" w:space="0"/>
              <w:right w:val="single" w:color="auto" w:sz="4" w:space="0"/>
            </w:tcBorders>
            <w:shd w:val="clear" w:color="auto" w:fill="auto"/>
            <w:noWrap/>
            <w:vAlign w:val="center"/>
          </w:tcPr>
          <w:p w14:paraId="27A3DDA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配置20个万兆多模光模块；</w:t>
            </w:r>
          </w:p>
        </w:tc>
      </w:tr>
      <w:tr w14:paraId="2E7BE61A">
        <w:tblPrEx>
          <w:tblCellMar>
            <w:top w:w="0" w:type="dxa"/>
            <w:left w:w="108" w:type="dxa"/>
            <w:bottom w:w="0" w:type="dxa"/>
            <w:right w:w="108" w:type="dxa"/>
          </w:tblCellMar>
        </w:tblPrEx>
        <w:trPr>
          <w:trHeight w:val="288" w:hRule="atLeast"/>
        </w:trPr>
        <w:tc>
          <w:tcPr>
            <w:tcW w:w="979" w:type="pct"/>
            <w:tcBorders>
              <w:top w:val="nil"/>
              <w:left w:val="single" w:color="auto" w:sz="4" w:space="0"/>
              <w:bottom w:val="single" w:color="auto" w:sz="4" w:space="0"/>
              <w:right w:val="single" w:color="auto" w:sz="4" w:space="0"/>
            </w:tcBorders>
            <w:shd w:val="clear" w:color="auto" w:fill="auto"/>
            <w:noWrap w:val="0"/>
            <w:vAlign w:val="center"/>
          </w:tcPr>
          <w:p w14:paraId="0AF891E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质保服务</w:t>
            </w:r>
          </w:p>
        </w:tc>
        <w:tc>
          <w:tcPr>
            <w:tcW w:w="4021" w:type="pct"/>
            <w:tcBorders>
              <w:top w:val="nil"/>
              <w:left w:val="nil"/>
              <w:bottom w:val="single" w:color="auto" w:sz="4" w:space="0"/>
              <w:right w:val="single" w:color="auto" w:sz="4" w:space="0"/>
            </w:tcBorders>
            <w:shd w:val="clear" w:color="auto" w:fill="auto"/>
            <w:noWrap/>
            <w:vAlign w:val="center"/>
          </w:tcPr>
          <w:p w14:paraId="589EE3E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原厂质保三年。</w:t>
            </w:r>
          </w:p>
        </w:tc>
      </w:tr>
    </w:tbl>
    <w:p w14:paraId="0E1256E8">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1.5.12千兆交换机</w:t>
      </w:r>
    </w:p>
    <w:tbl>
      <w:tblPr>
        <w:tblStyle w:val="5"/>
        <w:tblW w:w="5000" w:type="pct"/>
        <w:tblInd w:w="0" w:type="dxa"/>
        <w:tblLayout w:type="autofit"/>
        <w:tblCellMar>
          <w:top w:w="0" w:type="dxa"/>
          <w:left w:w="108" w:type="dxa"/>
          <w:bottom w:w="0" w:type="dxa"/>
          <w:right w:w="108" w:type="dxa"/>
        </w:tblCellMar>
      </w:tblPr>
      <w:tblGrid>
        <w:gridCol w:w="2104"/>
        <w:gridCol w:w="7858"/>
      </w:tblGrid>
      <w:tr w14:paraId="01943A6D">
        <w:tblPrEx>
          <w:tblCellMar>
            <w:top w:w="0" w:type="dxa"/>
            <w:left w:w="108" w:type="dxa"/>
            <w:bottom w:w="0" w:type="dxa"/>
            <w:right w:w="108" w:type="dxa"/>
          </w:tblCellMar>
        </w:tblPrEx>
        <w:trPr>
          <w:trHeight w:val="288"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040223">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4" w:type="pct"/>
            <w:tcBorders>
              <w:top w:val="single" w:color="auto" w:sz="4" w:space="0"/>
              <w:left w:val="nil"/>
              <w:bottom w:val="single" w:color="auto" w:sz="4" w:space="0"/>
              <w:right w:val="single" w:color="auto" w:sz="4" w:space="0"/>
            </w:tcBorders>
            <w:shd w:val="clear" w:color="auto" w:fill="auto"/>
            <w:noWrap w:val="0"/>
            <w:vAlign w:val="center"/>
          </w:tcPr>
          <w:p w14:paraId="01F7E82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4B74390E">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7D46E61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▲端口</w:t>
            </w:r>
          </w:p>
        </w:tc>
        <w:tc>
          <w:tcPr>
            <w:tcW w:w="3944" w:type="pct"/>
            <w:tcBorders>
              <w:top w:val="nil"/>
              <w:left w:val="nil"/>
              <w:bottom w:val="single" w:color="auto" w:sz="4" w:space="0"/>
              <w:right w:val="single" w:color="auto" w:sz="4" w:space="0"/>
            </w:tcBorders>
            <w:shd w:val="clear" w:color="auto" w:fill="auto"/>
            <w:noWrap/>
            <w:vAlign w:val="bottom"/>
          </w:tcPr>
          <w:p w14:paraId="4BAD988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24个10/100/1000M电口，4个千兆 SFP接口；</w:t>
            </w:r>
          </w:p>
        </w:tc>
      </w:tr>
      <w:tr w14:paraId="4CCE58FA">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5E263ED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w:t>
            </w:r>
          </w:p>
        </w:tc>
        <w:tc>
          <w:tcPr>
            <w:tcW w:w="3944" w:type="pct"/>
            <w:tcBorders>
              <w:top w:val="nil"/>
              <w:left w:val="nil"/>
              <w:bottom w:val="single" w:color="auto" w:sz="4" w:space="0"/>
              <w:right w:val="single" w:color="auto" w:sz="4" w:space="0"/>
            </w:tcBorders>
            <w:shd w:val="clear" w:color="auto" w:fill="auto"/>
            <w:noWrap/>
            <w:vAlign w:val="bottom"/>
          </w:tcPr>
          <w:p w14:paraId="3A47F80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交换容量：≥672Gbps/6.72Tbps；包转发率：126Mpps；</w:t>
            </w:r>
          </w:p>
        </w:tc>
      </w:tr>
      <w:tr w14:paraId="79E5D542">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039A1E3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CPU</w:t>
            </w:r>
          </w:p>
        </w:tc>
        <w:tc>
          <w:tcPr>
            <w:tcW w:w="3944" w:type="pct"/>
            <w:tcBorders>
              <w:top w:val="nil"/>
              <w:left w:val="nil"/>
              <w:bottom w:val="single" w:color="auto" w:sz="4" w:space="0"/>
              <w:right w:val="single" w:color="auto" w:sz="4" w:space="0"/>
            </w:tcBorders>
            <w:shd w:val="clear" w:color="auto" w:fill="auto"/>
            <w:noWrap/>
            <w:vAlign w:val="bottom"/>
          </w:tcPr>
          <w:p w14:paraId="1667998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国产芯片，自主可控，提供权威第三方测试报告;</w:t>
            </w:r>
          </w:p>
        </w:tc>
      </w:tr>
      <w:tr w14:paraId="35CBE467">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507C76D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MAC地址</w:t>
            </w:r>
          </w:p>
        </w:tc>
        <w:tc>
          <w:tcPr>
            <w:tcW w:w="3944" w:type="pct"/>
            <w:tcBorders>
              <w:top w:val="nil"/>
              <w:left w:val="nil"/>
              <w:bottom w:val="single" w:color="auto" w:sz="4" w:space="0"/>
              <w:right w:val="single" w:color="auto" w:sz="4" w:space="0"/>
            </w:tcBorders>
            <w:shd w:val="clear" w:color="auto" w:fill="auto"/>
            <w:noWrap/>
            <w:vAlign w:val="bottom"/>
          </w:tcPr>
          <w:p w14:paraId="587CEF2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≥32K，预留可支持到64K的能力;</w:t>
            </w:r>
          </w:p>
        </w:tc>
      </w:tr>
      <w:tr w14:paraId="0FD39921">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12634BF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质保服务</w:t>
            </w:r>
          </w:p>
        </w:tc>
        <w:tc>
          <w:tcPr>
            <w:tcW w:w="3944" w:type="pct"/>
            <w:tcBorders>
              <w:top w:val="nil"/>
              <w:left w:val="nil"/>
              <w:bottom w:val="single" w:color="auto" w:sz="4" w:space="0"/>
              <w:right w:val="single" w:color="auto" w:sz="4" w:space="0"/>
            </w:tcBorders>
            <w:shd w:val="clear" w:color="auto" w:fill="auto"/>
            <w:noWrap/>
            <w:vAlign w:val="bottom"/>
          </w:tcPr>
          <w:p w14:paraId="4F4302D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原厂三年质保。</w:t>
            </w:r>
          </w:p>
        </w:tc>
      </w:tr>
    </w:tbl>
    <w:p w14:paraId="7FDBD40C">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1.5.13核心交换机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858"/>
      </w:tblGrid>
      <w:tr w14:paraId="2110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D52D4EF">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shd w:val="clear" w:color="auto" w:fill="auto"/>
            <w:noWrap w:val="0"/>
            <w:vAlign w:val="center"/>
          </w:tcPr>
          <w:p w14:paraId="6CCD78D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7009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6C4BC0D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自主可控</w:t>
            </w:r>
          </w:p>
        </w:tc>
        <w:tc>
          <w:tcPr>
            <w:tcW w:w="3943" w:type="pct"/>
            <w:shd w:val="clear" w:color="auto" w:fill="auto"/>
            <w:noWrap w:val="0"/>
            <w:vAlign w:val="bottom"/>
          </w:tcPr>
          <w:p w14:paraId="1F9CC0D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采用国产芯片，自主可控，提供权威第三方测试报告;</w:t>
            </w:r>
          </w:p>
        </w:tc>
      </w:tr>
      <w:tr w14:paraId="0BE8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7271A3A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可靠性</w:t>
            </w:r>
          </w:p>
        </w:tc>
        <w:tc>
          <w:tcPr>
            <w:tcW w:w="3943" w:type="pct"/>
            <w:shd w:val="clear" w:color="auto" w:fill="auto"/>
            <w:noWrap w:val="0"/>
            <w:vAlign w:val="bottom"/>
          </w:tcPr>
          <w:p w14:paraId="5581DFF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主控上的业务端口，在主控复位时，依然可以正常工作；</w:t>
            </w:r>
          </w:p>
        </w:tc>
      </w:tr>
      <w:tr w14:paraId="397D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center"/>
          </w:tcPr>
          <w:p w14:paraId="05501D5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性能</w:t>
            </w:r>
          </w:p>
        </w:tc>
        <w:tc>
          <w:tcPr>
            <w:tcW w:w="3943" w:type="pct"/>
            <w:shd w:val="clear" w:color="auto" w:fill="auto"/>
            <w:noWrap w:val="0"/>
            <w:vAlign w:val="bottom"/>
          </w:tcPr>
          <w:p w14:paraId="4622814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包转发率：≥100/460 Tbps，交换容量：≥76800 Mpps；</w:t>
            </w:r>
          </w:p>
        </w:tc>
      </w:tr>
      <w:tr w14:paraId="63BC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restart"/>
            <w:shd w:val="clear" w:color="auto" w:fill="auto"/>
            <w:noWrap w:val="0"/>
            <w:vAlign w:val="center"/>
          </w:tcPr>
          <w:p w14:paraId="7EA2036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▲配置要求</w:t>
            </w:r>
          </w:p>
        </w:tc>
        <w:tc>
          <w:tcPr>
            <w:tcW w:w="3943" w:type="pct"/>
            <w:shd w:val="clear" w:color="auto" w:fill="auto"/>
            <w:noWrap w:val="0"/>
            <w:vAlign w:val="center"/>
          </w:tcPr>
          <w:p w14:paraId="284B7F2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主控板槽位数：≥2；</w:t>
            </w:r>
          </w:p>
        </w:tc>
      </w:tr>
      <w:tr w14:paraId="7DBE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7FFB6EC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center"/>
          </w:tcPr>
          <w:p w14:paraId="58CE605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业务板槽位数：≥6；</w:t>
            </w:r>
          </w:p>
        </w:tc>
      </w:tr>
      <w:tr w14:paraId="65C2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5A8780D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center"/>
          </w:tcPr>
          <w:p w14:paraId="44C1726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支持颗粒化电源，整机电源槽位数≥6；</w:t>
            </w:r>
          </w:p>
        </w:tc>
      </w:tr>
      <w:tr w14:paraId="0FF4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vMerge w:val="continue"/>
            <w:noWrap w:val="0"/>
            <w:vAlign w:val="center"/>
          </w:tcPr>
          <w:p w14:paraId="23103B0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p>
        </w:tc>
        <w:tc>
          <w:tcPr>
            <w:tcW w:w="3943" w:type="pct"/>
            <w:shd w:val="clear" w:color="auto" w:fill="auto"/>
            <w:noWrap w:val="0"/>
            <w:vAlign w:val="center"/>
          </w:tcPr>
          <w:p w14:paraId="495C63E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为了部署的方便性，POE电源模块须内置于机框内，不使用外置电源模块</w:t>
            </w:r>
          </w:p>
        </w:tc>
      </w:tr>
      <w:tr w14:paraId="6DD7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56" w:type="pct"/>
            <w:shd w:val="clear" w:color="auto" w:fill="auto"/>
            <w:noWrap w:val="0"/>
            <w:vAlign w:val="center"/>
          </w:tcPr>
          <w:p w14:paraId="7525210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▲实际配置</w:t>
            </w:r>
          </w:p>
        </w:tc>
        <w:tc>
          <w:tcPr>
            <w:tcW w:w="3943" w:type="pct"/>
            <w:shd w:val="clear" w:color="auto" w:fill="auto"/>
            <w:noWrap w:val="0"/>
            <w:vAlign w:val="center"/>
          </w:tcPr>
          <w:p w14:paraId="0B51051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板卡：两个主控；网口：≥48个万兆光口，≥48个千兆电口；光模块：≥12个10GE多模光模块，≥1个10GE高速电缆-3m；</w:t>
            </w:r>
          </w:p>
        </w:tc>
      </w:tr>
      <w:tr w14:paraId="7A97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bottom"/>
          </w:tcPr>
          <w:p w14:paraId="16697A1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w:t>
            </w:r>
          </w:p>
        </w:tc>
        <w:tc>
          <w:tcPr>
            <w:tcW w:w="3943" w:type="pct"/>
            <w:shd w:val="clear" w:color="auto" w:fill="auto"/>
            <w:noWrap w:val="0"/>
            <w:vAlign w:val="center"/>
          </w:tcPr>
          <w:p w14:paraId="5B1D159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冗余电源</w:t>
            </w:r>
          </w:p>
        </w:tc>
      </w:tr>
      <w:tr w14:paraId="4C90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6" w:type="pct"/>
            <w:shd w:val="clear" w:color="auto" w:fill="auto"/>
            <w:noWrap w:val="0"/>
            <w:vAlign w:val="bottom"/>
          </w:tcPr>
          <w:p w14:paraId="549B1B9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w:t>
            </w:r>
          </w:p>
        </w:tc>
        <w:tc>
          <w:tcPr>
            <w:tcW w:w="3943" w:type="pct"/>
            <w:shd w:val="clear" w:color="auto" w:fill="auto"/>
            <w:noWrap w:val="0"/>
            <w:vAlign w:val="center"/>
          </w:tcPr>
          <w:p w14:paraId="0412686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原厂三年质保。</w:t>
            </w:r>
          </w:p>
        </w:tc>
      </w:tr>
    </w:tbl>
    <w:p w14:paraId="699B2350">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1.5.14配套软件</w:t>
      </w:r>
    </w:p>
    <w:tbl>
      <w:tblPr>
        <w:tblStyle w:val="5"/>
        <w:tblW w:w="5000" w:type="pct"/>
        <w:tblInd w:w="0" w:type="dxa"/>
        <w:tblLayout w:type="autofit"/>
        <w:tblCellMar>
          <w:top w:w="0" w:type="dxa"/>
          <w:left w:w="108" w:type="dxa"/>
          <w:bottom w:w="0" w:type="dxa"/>
          <w:right w:w="108" w:type="dxa"/>
        </w:tblCellMar>
      </w:tblPr>
      <w:tblGrid>
        <w:gridCol w:w="2104"/>
        <w:gridCol w:w="7858"/>
      </w:tblGrid>
      <w:tr w14:paraId="7EEAEDDC">
        <w:tblPrEx>
          <w:tblCellMar>
            <w:top w:w="0" w:type="dxa"/>
            <w:left w:w="108" w:type="dxa"/>
            <w:bottom w:w="0" w:type="dxa"/>
            <w:right w:w="108" w:type="dxa"/>
          </w:tblCellMar>
        </w:tblPrEx>
        <w:trPr>
          <w:trHeight w:val="288"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4B606C">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tcBorders>
              <w:top w:val="single" w:color="auto" w:sz="4" w:space="0"/>
              <w:left w:val="nil"/>
              <w:bottom w:val="single" w:color="auto" w:sz="4" w:space="0"/>
              <w:right w:val="single" w:color="auto" w:sz="4" w:space="0"/>
            </w:tcBorders>
            <w:shd w:val="clear" w:color="auto" w:fill="auto"/>
            <w:noWrap w:val="0"/>
            <w:vAlign w:val="center"/>
          </w:tcPr>
          <w:p w14:paraId="70EA8A0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5D7E48ED">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4C63DE6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软件</w:t>
            </w:r>
          </w:p>
        </w:tc>
        <w:tc>
          <w:tcPr>
            <w:tcW w:w="3943" w:type="pct"/>
            <w:tcBorders>
              <w:top w:val="nil"/>
              <w:left w:val="nil"/>
              <w:bottom w:val="single" w:color="auto" w:sz="4" w:space="0"/>
              <w:right w:val="single" w:color="auto" w:sz="4" w:space="0"/>
            </w:tcBorders>
            <w:shd w:val="clear" w:color="auto" w:fill="auto"/>
            <w:noWrap/>
            <w:vAlign w:val="bottom"/>
          </w:tcPr>
          <w:p w14:paraId="5D8342C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国产化操作系统、国产化数据库</w:t>
            </w:r>
          </w:p>
        </w:tc>
      </w:tr>
    </w:tbl>
    <w:p w14:paraId="1DA88405">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1.5.15运维服务</w:t>
      </w:r>
    </w:p>
    <w:tbl>
      <w:tblPr>
        <w:tblStyle w:val="5"/>
        <w:tblW w:w="5000" w:type="pct"/>
        <w:tblInd w:w="0" w:type="dxa"/>
        <w:tblLayout w:type="fixed"/>
        <w:tblCellMar>
          <w:top w:w="0" w:type="dxa"/>
          <w:left w:w="108" w:type="dxa"/>
          <w:bottom w:w="0" w:type="dxa"/>
          <w:right w:w="108" w:type="dxa"/>
        </w:tblCellMar>
      </w:tblPr>
      <w:tblGrid>
        <w:gridCol w:w="2135"/>
        <w:gridCol w:w="7827"/>
      </w:tblGrid>
      <w:tr w14:paraId="17BB5A1B">
        <w:tblPrEx>
          <w:tblCellMar>
            <w:top w:w="0" w:type="dxa"/>
            <w:left w:w="108" w:type="dxa"/>
            <w:bottom w:w="0" w:type="dxa"/>
            <w:right w:w="108" w:type="dxa"/>
          </w:tblCellMar>
        </w:tblPrEx>
        <w:trPr>
          <w:trHeight w:val="288" w:hRule="atLeast"/>
        </w:trPr>
        <w:tc>
          <w:tcPr>
            <w:tcW w:w="107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DD7848">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28" w:type="pct"/>
            <w:tcBorders>
              <w:top w:val="single" w:color="auto" w:sz="4" w:space="0"/>
              <w:left w:val="nil"/>
              <w:bottom w:val="single" w:color="auto" w:sz="4" w:space="0"/>
              <w:right w:val="single" w:color="auto" w:sz="4" w:space="0"/>
            </w:tcBorders>
            <w:shd w:val="clear" w:color="auto" w:fill="auto"/>
            <w:noWrap w:val="0"/>
            <w:vAlign w:val="center"/>
          </w:tcPr>
          <w:p w14:paraId="61D5C04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33DDA53A">
        <w:tblPrEx>
          <w:tblCellMar>
            <w:top w:w="0" w:type="dxa"/>
            <w:left w:w="108" w:type="dxa"/>
            <w:bottom w:w="0" w:type="dxa"/>
            <w:right w:w="108" w:type="dxa"/>
          </w:tblCellMar>
        </w:tblPrEx>
        <w:trPr>
          <w:trHeight w:val="288" w:hRule="atLeast"/>
        </w:trPr>
        <w:tc>
          <w:tcPr>
            <w:tcW w:w="1071" w:type="pct"/>
            <w:tcBorders>
              <w:top w:val="nil"/>
              <w:left w:val="single" w:color="auto" w:sz="4" w:space="0"/>
              <w:bottom w:val="single" w:color="auto" w:sz="4" w:space="0"/>
              <w:right w:val="single" w:color="auto" w:sz="4" w:space="0"/>
            </w:tcBorders>
            <w:shd w:val="clear" w:color="auto" w:fill="auto"/>
            <w:noWrap w:val="0"/>
            <w:vAlign w:val="center"/>
          </w:tcPr>
          <w:p w14:paraId="63BB0F0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运维服务</w:t>
            </w:r>
          </w:p>
        </w:tc>
        <w:tc>
          <w:tcPr>
            <w:tcW w:w="3928" w:type="pct"/>
            <w:tcBorders>
              <w:top w:val="nil"/>
              <w:left w:val="nil"/>
              <w:bottom w:val="single" w:color="auto" w:sz="4" w:space="0"/>
              <w:right w:val="single" w:color="auto" w:sz="4" w:space="0"/>
            </w:tcBorders>
            <w:shd w:val="clear" w:color="auto" w:fill="auto"/>
            <w:noWrap/>
            <w:vAlign w:val="bottom"/>
          </w:tcPr>
          <w:p w14:paraId="68AE9F7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一、运维服务要求</w:t>
            </w:r>
          </w:p>
          <w:p w14:paraId="45F9657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如需要，</w:t>
            </w:r>
            <w:r>
              <w:rPr>
                <w:rFonts w:hint="eastAsia" w:ascii="仿宋" w:hAnsi="仿宋" w:eastAsia="仿宋" w:cs="仿宋"/>
                <w:color w:val="auto"/>
                <w:kern w:val="0"/>
                <w:sz w:val="24"/>
                <w:szCs w:val="24"/>
                <w:highlight w:val="none"/>
              </w:rPr>
              <w:t>供应商需提供标准机柜，空间需满足招标设备安装需求。同时机柜所在机房环境需满足如下要求：</w:t>
            </w:r>
          </w:p>
          <w:p w14:paraId="0C65AC4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1、动环要求</w:t>
            </w:r>
          </w:p>
          <w:p w14:paraId="6F6CC70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①两组UPS，切换时间小于10ms，UPS电源的供电时间不小于</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小时；</w:t>
            </w:r>
          </w:p>
          <w:p w14:paraId="4025498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②一组油机，额定功率不低于500Kw；</w:t>
            </w:r>
          </w:p>
          <w:p w14:paraId="5AF71F3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③两路市电；</w:t>
            </w:r>
          </w:p>
          <w:p w14:paraId="29B9E72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④机房内空调制冷量不低于320Kw；</w:t>
            </w:r>
          </w:p>
          <w:p w14:paraId="6416BC9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2、驻场服务</w:t>
            </w:r>
          </w:p>
          <w:p w14:paraId="7FA8904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提供2名专业技术人员</w:t>
            </w:r>
            <w:r>
              <w:rPr>
                <w:rFonts w:hint="eastAsia" w:ascii="仿宋" w:hAnsi="仿宋" w:eastAsia="仿宋" w:cs="仿宋"/>
                <w:color w:val="auto"/>
                <w:kern w:val="0"/>
                <w:sz w:val="24"/>
                <w:szCs w:val="24"/>
                <w:highlight w:val="none"/>
                <w:lang w:eastAsia="zh-CN"/>
              </w:rPr>
              <w:t>（人员须为资深工程师）</w:t>
            </w:r>
            <w:r>
              <w:rPr>
                <w:rFonts w:hint="eastAsia" w:ascii="仿宋" w:hAnsi="仿宋" w:eastAsia="仿宋" w:cs="仿宋"/>
                <w:color w:val="auto"/>
                <w:kern w:val="0"/>
                <w:sz w:val="24"/>
                <w:szCs w:val="24"/>
                <w:highlight w:val="none"/>
              </w:rPr>
              <w:t>，24小时*365天驻场服务，驻场期间由采购人提供办公场所，驻场人员要自行提供工作工具，按照采购人的作息时间进行工作，接受管理和工作安排。</w:t>
            </w:r>
          </w:p>
          <w:p w14:paraId="65D7928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3、巡检要求</w:t>
            </w:r>
          </w:p>
          <w:p w14:paraId="5E30EED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必须对维护范围内的信息化软硬件设备每4小时进行一次巡检且必须提供记录，及时发现系统存在的隐患与安全漏洞，提出书面报告，并与采购人共同解决存在的问题与隐患。每次巡检应提供书面巡检报告，并根据巡检报告及时与采购人进行交流，及时协调解决维护工作中的问题。</w:t>
            </w:r>
          </w:p>
          <w:p w14:paraId="59C0E7F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4、咨询服务</w:t>
            </w:r>
          </w:p>
          <w:p w14:paraId="261C690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对用户信息系统进行定期的维护管理和配置优化，确保用户整个信息系统运转的高效、稳定和安全，减少和避免系统性能瓶颈，杜绝信息系统安全事故，并且能根据用户需要，提供信息系统运行的合理化建议和方案。</w:t>
            </w:r>
          </w:p>
          <w:p w14:paraId="6AE1052F">
            <w:pPr>
              <w:keepNext w:val="0"/>
              <w:keepLines w:val="0"/>
              <w:widowControl/>
              <w:numPr>
                <w:ilvl w:val="0"/>
                <w:numId w:val="1"/>
              </w:numPr>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运维周期</w:t>
            </w:r>
          </w:p>
          <w:p w14:paraId="02622AF0">
            <w:pPr>
              <w:keepNext w:val="0"/>
              <w:keepLines w:val="0"/>
              <w:widowControl/>
              <w:numPr>
                <w:ilvl w:val="0"/>
                <w:numId w:val="0"/>
              </w:numPr>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供应商承诺对所投软硬件产品原厂质保三年，整体项目免费运维服务三年。</w:t>
            </w:r>
          </w:p>
          <w:p w14:paraId="6686CBC7">
            <w:pPr>
              <w:keepNext w:val="0"/>
              <w:keepLines w:val="0"/>
              <w:widowControl/>
              <w:numPr>
                <w:ilvl w:val="0"/>
                <w:numId w:val="0"/>
              </w:numPr>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6、如甲方提供机柜、机房，供应商需无条件将设备迁移至指定位置。</w:t>
            </w:r>
          </w:p>
        </w:tc>
      </w:tr>
    </w:tbl>
    <w:p w14:paraId="4AD0318B">
      <w:pPr>
        <w:widowControl w:val="0"/>
        <w:spacing w:line="400" w:lineRule="exact"/>
        <w:ind w:firstLine="482"/>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1.5.16配套链路</w:t>
      </w:r>
    </w:p>
    <w:tbl>
      <w:tblPr>
        <w:tblStyle w:val="5"/>
        <w:tblW w:w="5000" w:type="pct"/>
        <w:tblInd w:w="0" w:type="dxa"/>
        <w:tblLayout w:type="autofit"/>
        <w:tblCellMar>
          <w:top w:w="0" w:type="dxa"/>
          <w:left w:w="108" w:type="dxa"/>
          <w:bottom w:w="0" w:type="dxa"/>
          <w:right w:w="108" w:type="dxa"/>
        </w:tblCellMar>
      </w:tblPr>
      <w:tblGrid>
        <w:gridCol w:w="2104"/>
        <w:gridCol w:w="7858"/>
      </w:tblGrid>
      <w:tr w14:paraId="717802B5">
        <w:tblPrEx>
          <w:tblCellMar>
            <w:top w:w="0" w:type="dxa"/>
            <w:left w:w="108" w:type="dxa"/>
            <w:bottom w:w="0" w:type="dxa"/>
            <w:right w:w="108" w:type="dxa"/>
          </w:tblCellMar>
        </w:tblPrEx>
        <w:trPr>
          <w:trHeight w:val="288" w:hRule="atLeast"/>
        </w:trPr>
        <w:tc>
          <w:tcPr>
            <w:tcW w:w="10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0A5C9F">
            <w:pPr>
              <w:keepNext w:val="0"/>
              <w:keepLines w:val="0"/>
              <w:widowControl/>
              <w:suppressLineNumbers w:val="0"/>
              <w:spacing w:before="0" w:beforeAutospacing="0" w:after="0" w:afterAutospacing="0" w:line="240" w:lineRule="auto"/>
              <w:ind w:left="0" w:right="0" w:firstLine="442"/>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943" w:type="pct"/>
            <w:tcBorders>
              <w:top w:val="single" w:color="auto" w:sz="4" w:space="0"/>
              <w:left w:val="nil"/>
              <w:bottom w:val="single" w:color="auto" w:sz="4" w:space="0"/>
              <w:right w:val="single" w:color="auto" w:sz="4" w:space="0"/>
            </w:tcBorders>
            <w:shd w:val="clear" w:color="auto" w:fill="auto"/>
            <w:noWrap w:val="0"/>
            <w:vAlign w:val="center"/>
          </w:tcPr>
          <w:p w14:paraId="4FA03A0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r>
      <w:tr w14:paraId="4047885D">
        <w:tblPrEx>
          <w:tblCellMar>
            <w:top w:w="0" w:type="dxa"/>
            <w:left w:w="108" w:type="dxa"/>
            <w:bottom w:w="0" w:type="dxa"/>
            <w:right w:w="108" w:type="dxa"/>
          </w:tblCellMar>
        </w:tblPrEx>
        <w:trPr>
          <w:trHeight w:val="288" w:hRule="atLeast"/>
        </w:trPr>
        <w:tc>
          <w:tcPr>
            <w:tcW w:w="1056" w:type="pct"/>
            <w:tcBorders>
              <w:top w:val="nil"/>
              <w:left w:val="single" w:color="auto" w:sz="4" w:space="0"/>
              <w:bottom w:val="single" w:color="auto" w:sz="4" w:space="0"/>
              <w:right w:val="single" w:color="auto" w:sz="4" w:space="0"/>
            </w:tcBorders>
            <w:shd w:val="clear" w:color="auto" w:fill="auto"/>
            <w:noWrap w:val="0"/>
            <w:vAlign w:val="bottom"/>
          </w:tcPr>
          <w:p w14:paraId="1BD9F0B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专线链路</w:t>
            </w:r>
          </w:p>
        </w:tc>
        <w:tc>
          <w:tcPr>
            <w:tcW w:w="3943" w:type="pct"/>
            <w:tcBorders>
              <w:top w:val="nil"/>
              <w:left w:val="nil"/>
              <w:bottom w:val="single" w:color="auto" w:sz="4" w:space="0"/>
              <w:right w:val="single" w:color="auto" w:sz="4" w:space="0"/>
            </w:tcBorders>
            <w:shd w:val="clear" w:color="auto" w:fill="auto"/>
            <w:noWrap/>
            <w:vAlign w:val="bottom"/>
          </w:tcPr>
          <w:p w14:paraId="184F2A4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供应商需提供2条不低于1G带宽的的专线链路。</w:t>
            </w:r>
          </w:p>
        </w:tc>
      </w:tr>
    </w:tbl>
    <w:p w14:paraId="02E2F756">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仿宋" w:hAnsi="仿宋" w:eastAsia="仿宋" w:cs="仿宋"/>
          <w:b/>
          <w:bCs/>
          <w:color w:val="auto"/>
          <w:kern w:val="2"/>
          <w:sz w:val="24"/>
          <w:szCs w:val="24"/>
          <w:lang w:val="en-US" w:eastAsia="zh-CN" w:bidi="ar-SA"/>
        </w:rPr>
      </w:pPr>
    </w:p>
    <w:p w14:paraId="53247F3B">
      <w:pPr>
        <w:pStyle w:val="8"/>
        <w:spacing w:line="360" w:lineRule="auto"/>
        <w:ind w:left="0" w:leftChars="0" w:firstLine="482" w:firstLineChars="200"/>
        <w:rPr>
          <w:rFonts w:hint="eastAsia" w:ascii="仿宋" w:hAnsi="仿宋" w:eastAsia="仿宋" w:cs="仿宋"/>
          <w:color w:val="auto"/>
          <w:highlight w:val="none"/>
        </w:rPr>
      </w:pPr>
      <w:r>
        <w:rPr>
          <w:rFonts w:hint="eastAsia" w:ascii="仿宋" w:hAnsi="仿宋" w:eastAsia="仿宋" w:cs="仿宋"/>
          <w:b/>
          <w:bCs/>
          <w:color w:val="auto"/>
          <w:kern w:val="2"/>
          <w:sz w:val="24"/>
          <w:szCs w:val="24"/>
          <w:lang w:val="en-US" w:eastAsia="zh-CN" w:bidi="ar-SA"/>
        </w:rPr>
        <w:t>二、其他内容不变。</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20B0503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OTYyZDU1MTBjMzczMGYyMjMxNDc0MWNjYzU2Y2QifQ=="/>
  </w:docVars>
  <w:rsids>
    <w:rsidRoot w:val="40345D51"/>
    <w:rsid w:val="009E7E80"/>
    <w:rsid w:val="019B32C6"/>
    <w:rsid w:val="02ED4364"/>
    <w:rsid w:val="04B2316F"/>
    <w:rsid w:val="05ED459A"/>
    <w:rsid w:val="06103500"/>
    <w:rsid w:val="074309F6"/>
    <w:rsid w:val="07A567A9"/>
    <w:rsid w:val="07AB0349"/>
    <w:rsid w:val="086E632C"/>
    <w:rsid w:val="08E21B49"/>
    <w:rsid w:val="09B039F5"/>
    <w:rsid w:val="0A9B28F7"/>
    <w:rsid w:val="0AA736ED"/>
    <w:rsid w:val="0B711F0F"/>
    <w:rsid w:val="0D1A5D55"/>
    <w:rsid w:val="0D731544"/>
    <w:rsid w:val="0E43752E"/>
    <w:rsid w:val="0EFB21FF"/>
    <w:rsid w:val="10846E57"/>
    <w:rsid w:val="11DF131B"/>
    <w:rsid w:val="120314AE"/>
    <w:rsid w:val="126F6B43"/>
    <w:rsid w:val="132B7C1A"/>
    <w:rsid w:val="13BE4ED6"/>
    <w:rsid w:val="16B32D77"/>
    <w:rsid w:val="176D73C9"/>
    <w:rsid w:val="183A374F"/>
    <w:rsid w:val="1B7C7BDB"/>
    <w:rsid w:val="1C0B0687"/>
    <w:rsid w:val="1E911BEF"/>
    <w:rsid w:val="1F837885"/>
    <w:rsid w:val="209C515B"/>
    <w:rsid w:val="20EF73E7"/>
    <w:rsid w:val="22BF31CF"/>
    <w:rsid w:val="23D76961"/>
    <w:rsid w:val="258C4EBE"/>
    <w:rsid w:val="25BD237B"/>
    <w:rsid w:val="263465BA"/>
    <w:rsid w:val="263E08AF"/>
    <w:rsid w:val="263E440B"/>
    <w:rsid w:val="26555BF8"/>
    <w:rsid w:val="26CD578F"/>
    <w:rsid w:val="275D221F"/>
    <w:rsid w:val="27D71879"/>
    <w:rsid w:val="27FC27CF"/>
    <w:rsid w:val="28C332ED"/>
    <w:rsid w:val="2ADB0380"/>
    <w:rsid w:val="2BF122DB"/>
    <w:rsid w:val="2C070B96"/>
    <w:rsid w:val="2CB74F17"/>
    <w:rsid w:val="2D360531"/>
    <w:rsid w:val="2DCE2518"/>
    <w:rsid w:val="2E5A6189"/>
    <w:rsid w:val="2F152213"/>
    <w:rsid w:val="2F633C95"/>
    <w:rsid w:val="2F7075FF"/>
    <w:rsid w:val="32601BAD"/>
    <w:rsid w:val="330F5F53"/>
    <w:rsid w:val="332B3F69"/>
    <w:rsid w:val="37D71C5C"/>
    <w:rsid w:val="37EA62A0"/>
    <w:rsid w:val="38E66E80"/>
    <w:rsid w:val="3A3709D9"/>
    <w:rsid w:val="3A371445"/>
    <w:rsid w:val="3B66021B"/>
    <w:rsid w:val="3BBF50AE"/>
    <w:rsid w:val="3C0B4937"/>
    <w:rsid w:val="3D801355"/>
    <w:rsid w:val="3DC2196D"/>
    <w:rsid w:val="3DEE5F7C"/>
    <w:rsid w:val="3FD85562"/>
    <w:rsid w:val="3FDA11F0"/>
    <w:rsid w:val="40345D51"/>
    <w:rsid w:val="42E02820"/>
    <w:rsid w:val="433E3844"/>
    <w:rsid w:val="436C6603"/>
    <w:rsid w:val="43C75732"/>
    <w:rsid w:val="4575196F"/>
    <w:rsid w:val="46E666CD"/>
    <w:rsid w:val="47633879"/>
    <w:rsid w:val="47C83BEC"/>
    <w:rsid w:val="48360F8E"/>
    <w:rsid w:val="4A436F5B"/>
    <w:rsid w:val="4BA50529"/>
    <w:rsid w:val="4CEE7FC3"/>
    <w:rsid w:val="4D693BB4"/>
    <w:rsid w:val="4F986150"/>
    <w:rsid w:val="510A6352"/>
    <w:rsid w:val="51535CF6"/>
    <w:rsid w:val="52630BD1"/>
    <w:rsid w:val="527F7DD5"/>
    <w:rsid w:val="53EC109A"/>
    <w:rsid w:val="55425416"/>
    <w:rsid w:val="55866EA2"/>
    <w:rsid w:val="58160494"/>
    <w:rsid w:val="586730DC"/>
    <w:rsid w:val="58684B4D"/>
    <w:rsid w:val="589F5E3D"/>
    <w:rsid w:val="58D24195"/>
    <w:rsid w:val="58DE7519"/>
    <w:rsid w:val="5B686D6A"/>
    <w:rsid w:val="5D0B07E3"/>
    <w:rsid w:val="5D471B56"/>
    <w:rsid w:val="5E4915C3"/>
    <w:rsid w:val="5EEA61D6"/>
    <w:rsid w:val="5F2A4616"/>
    <w:rsid w:val="61E15FB7"/>
    <w:rsid w:val="62467BC8"/>
    <w:rsid w:val="62AC0785"/>
    <w:rsid w:val="633D546F"/>
    <w:rsid w:val="653A3E91"/>
    <w:rsid w:val="664E2F14"/>
    <w:rsid w:val="66680A54"/>
    <w:rsid w:val="67C2305E"/>
    <w:rsid w:val="683C3F47"/>
    <w:rsid w:val="68F640F6"/>
    <w:rsid w:val="6A274783"/>
    <w:rsid w:val="6B880B98"/>
    <w:rsid w:val="6BBB33D4"/>
    <w:rsid w:val="6C027255"/>
    <w:rsid w:val="6D147240"/>
    <w:rsid w:val="6E41114D"/>
    <w:rsid w:val="6EC06F9E"/>
    <w:rsid w:val="6F046E40"/>
    <w:rsid w:val="6F9330BE"/>
    <w:rsid w:val="6FD11419"/>
    <w:rsid w:val="70254467"/>
    <w:rsid w:val="7036127C"/>
    <w:rsid w:val="744A3547"/>
    <w:rsid w:val="74510D7A"/>
    <w:rsid w:val="74771547"/>
    <w:rsid w:val="74E7348C"/>
    <w:rsid w:val="75894543"/>
    <w:rsid w:val="75B64028"/>
    <w:rsid w:val="75BE42BE"/>
    <w:rsid w:val="763806B4"/>
    <w:rsid w:val="766F78F4"/>
    <w:rsid w:val="76D27471"/>
    <w:rsid w:val="78120BFB"/>
    <w:rsid w:val="79FF197D"/>
    <w:rsid w:val="7ADD4E38"/>
    <w:rsid w:val="7BB816DF"/>
    <w:rsid w:val="7BF162D0"/>
    <w:rsid w:val="7C8617DD"/>
    <w:rsid w:val="7E68083E"/>
    <w:rsid w:val="7EA85E87"/>
    <w:rsid w:val="7EB22415"/>
    <w:rsid w:val="7EB919F5"/>
    <w:rsid w:val="7F6D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toc 2"/>
    <w:basedOn w:val="1"/>
    <w:next w:val="1"/>
    <w:unhideWhenUsed/>
    <w:qFormat/>
    <w:uiPriority w:val="39"/>
    <w:pPr>
      <w:spacing w:after="57"/>
      <w:ind w:left="283"/>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文本块11"/>
    <w:basedOn w:val="9"/>
    <w:autoRedefine/>
    <w:unhideWhenUsed/>
    <w:qFormat/>
    <w:uiPriority w:val="6"/>
    <w:pPr>
      <w:spacing w:after="120"/>
      <w:ind w:left="1440" w:right="1440"/>
    </w:pPr>
  </w:style>
  <w:style w:type="paragraph" w:customStyle="1" w:styleId="9">
    <w:name w:val="正文12"/>
    <w:next w:val="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0">
    <w:name w:val="无间隔1"/>
    <w:autoRedefine/>
    <w:qFormat/>
    <w:uiPriority w:val="0"/>
    <w:rPr>
      <w:rFonts w:hint="default" w:ascii="Times New Roman" w:hAnsi="Times New Roman" w:eastAsia="宋体" w:cs="Times New Roman"/>
      <w:sz w:val="22"/>
      <w:szCs w:val="22"/>
      <w:lang w:eastAsia="en-US"/>
    </w:rPr>
  </w:style>
  <w:style w:type="paragraph" w:customStyle="1" w:styleId="11">
    <w:name w:val="正文1"/>
    <w:basedOn w:val="12"/>
    <w:next w:val="23"/>
    <w:autoRedefine/>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2">
    <w:name w:val="正文111"/>
    <w:next w:val="1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首行缩进1"/>
    <w:basedOn w:val="14"/>
    <w:next w:val="20"/>
    <w:autoRedefine/>
    <w:qFormat/>
    <w:uiPriority w:val="0"/>
    <w:pPr>
      <w:ind w:firstLine="420"/>
    </w:pPr>
  </w:style>
  <w:style w:type="paragraph" w:customStyle="1" w:styleId="14">
    <w:name w:val="正文文本11"/>
    <w:basedOn w:val="15"/>
    <w:next w:val="17"/>
    <w:autoRedefine/>
    <w:qFormat/>
    <w:uiPriority w:val="0"/>
    <w:pPr>
      <w:spacing w:after="120"/>
    </w:pPr>
  </w:style>
  <w:style w:type="paragraph" w:customStyle="1" w:styleId="15">
    <w:name w:val="正文11"/>
    <w:next w:val="16"/>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文本 21"/>
    <w:basedOn w:val="15"/>
    <w:qFormat/>
    <w:uiPriority w:val="0"/>
    <w:pPr>
      <w:spacing w:after="120" w:line="480" w:lineRule="auto"/>
    </w:pPr>
  </w:style>
  <w:style w:type="paragraph" w:customStyle="1" w:styleId="17">
    <w:name w:val="一级条标题"/>
    <w:basedOn w:val="18"/>
    <w:next w:val="19"/>
    <w:autoRedefine/>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18">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9">
    <w:name w:val="段"/>
    <w:basedOn w:val="11"/>
    <w:next w:val="1"/>
    <w:autoRedefine/>
    <w:qFormat/>
    <w:uiPriority w:val="0"/>
    <w:pPr>
      <w:widowControl/>
      <w:ind w:firstLine="200"/>
    </w:pPr>
    <w:rPr>
      <w:rFonts w:ascii="宋体"/>
      <w:sz w:val="20"/>
      <w:szCs w:val="20"/>
    </w:rPr>
  </w:style>
  <w:style w:type="paragraph" w:customStyle="1" w:styleId="20">
    <w:name w:val="正文首行缩进 21"/>
    <w:basedOn w:val="21"/>
    <w:next w:val="12"/>
    <w:autoRedefine/>
    <w:qFormat/>
    <w:uiPriority w:val="0"/>
    <w:pPr>
      <w:ind w:firstLine="420"/>
    </w:pPr>
  </w:style>
  <w:style w:type="paragraph" w:customStyle="1" w:styleId="21">
    <w:name w:val="正文文本缩进1"/>
    <w:basedOn w:val="1"/>
    <w:next w:val="22"/>
    <w:autoRedefine/>
    <w:qFormat/>
    <w:uiPriority w:val="0"/>
    <w:pPr>
      <w:spacing w:after="120"/>
      <w:ind w:left="420"/>
    </w:pPr>
  </w:style>
  <w:style w:type="paragraph" w:customStyle="1" w:styleId="22">
    <w:name w:val="寄信人地址1"/>
    <w:basedOn w:val="1"/>
    <w:autoRedefine/>
    <w:unhideWhenUsed/>
    <w:qFormat/>
    <w:uiPriority w:val="99"/>
    <w:rPr>
      <w:rFonts w:ascii="Arial" w:hAnsi="Arial"/>
    </w:rPr>
  </w:style>
  <w:style w:type="paragraph" w:customStyle="1" w:styleId="23">
    <w:name w:val="脚注文本1"/>
    <w:basedOn w:val="11"/>
    <w:next w:val="24"/>
    <w:autoRedefine/>
    <w:qFormat/>
    <w:uiPriority w:val="0"/>
    <w:pPr>
      <w:jc w:val="left"/>
    </w:pPr>
    <w:rPr>
      <w:rFonts w:ascii="宋体" w:eastAsia="Times New Roman"/>
      <w:sz w:val="18"/>
      <w:szCs w:val="18"/>
    </w:rPr>
  </w:style>
  <w:style w:type="paragraph" w:customStyle="1" w:styleId="24">
    <w:name w:val="索引 51"/>
    <w:basedOn w:val="1"/>
    <w:next w:val="11"/>
    <w:autoRedefine/>
    <w:qFormat/>
    <w:uiPriority w:val="0"/>
  </w:style>
  <w:style w:type="paragraph" w:customStyle="1" w:styleId="25">
    <w:name w:val="标题 21"/>
    <w:basedOn w:val="1"/>
    <w:next w:val="15"/>
    <w:autoRedefine/>
    <w:semiHidden/>
    <w:unhideWhenUsed/>
    <w:qFormat/>
    <w:uiPriority w:val="9"/>
    <w:pPr>
      <w:keepNext/>
      <w:keepLines/>
      <w:spacing w:before="360" w:after="200"/>
      <w:outlineLvl w:val="1"/>
    </w:pPr>
    <w:rPr>
      <w:rFonts w:ascii="Arial" w:hAnsi="Arial" w:eastAsia="Arial" w:cs="Arial"/>
      <w:sz w:val="34"/>
    </w:rPr>
  </w:style>
  <w:style w:type="paragraph" w:styleId="26">
    <w:name w:val="List Paragraph"/>
    <w:basedOn w:val="1"/>
    <w:autoRedefine/>
    <w:qFormat/>
    <w:uiPriority w:val="34"/>
    <w:pPr>
      <w:ind w:left="720"/>
      <w:contextualSpacing/>
    </w:pPr>
  </w:style>
  <w:style w:type="paragraph" w:customStyle="1" w:styleId="27">
    <w:name w:val="目录 11"/>
    <w:basedOn w:val="15"/>
    <w:next w:val="15"/>
    <w:qFormat/>
    <w:uiPriority w:val="0"/>
    <w:pPr>
      <w:widowControl/>
      <w:spacing w:after="100" w:line="259" w:lineRule="auto"/>
      <w:jc w:val="left"/>
    </w:pPr>
    <w:rPr>
      <w:rFonts w:ascii="Calibri" w:hAnsi="Calibr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1281</Words>
  <Characters>1525</Characters>
  <Lines>0</Lines>
  <Paragraphs>0</Paragraphs>
  <TotalTime>1</TotalTime>
  <ScaleCrop>false</ScaleCrop>
  <LinksUpToDate>false</LinksUpToDate>
  <CharactersWithSpaces>1541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2024-05-10T09:36:00Z</dcterms:created>
  <dc:creator>噗噗</dc:creator>
  <cp:lastModifiedBy>天然呆</cp:lastModifiedBy>
  <dcterms:modified xsi:type="dcterms:W3CDTF">2025-09-01T12:58:23Z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C82B5967E49B47BD8DB46D03F5331E6C_13</vt:lpwstr>
  </property>
  <property fmtid="{D5CDD505-2E9C-101B-9397-08002B2CF9AE}" pid="4" name="KSOTemplateDocerSaveRecord">
    <vt:lpwstr>eyJoZGlkIjoiMmNhOTA4NDM3ODA5ZDUzYjU5Y2RlN2VlNGJjNzUwODkiLCJ1c2VySWQiOiIyMzU2NjUyODgifQ==</vt:lpwstr>
  </property>
</Properties>
</file>