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spacing w:before="120" w:beforeAutospacing="0" w:after="120" w:afterAutospacing="0" w:line="360" w:lineRule="auto"/>
      </w:pPr>
      <w:r>
        <w:t xml:space="preserve"> </w:t>
      </w:r>
      <w:r/>
    </w:p>
    <w:p>
      <w:pPr>
        <w:pStyle w:val="854"/>
        <w:jc w:val="center"/>
        <w:spacing w:before="120" w:beforeAutospacing="0" w:after="120" w:afterAutospacing="0" w:line="360" w:lineRule="auto"/>
      </w:pPr>
      <w:r>
        <w:rPr>
          <w:rFonts w:ascii="Arial" w:hAnsi="Arial" w:cs="Arial"/>
          <w:b/>
          <w:color w:val="000000"/>
          <w:sz w:val="84"/>
          <w:szCs w:val="84"/>
        </w:rPr>
        <w:t xml:space="preserve">招 标 文 件</w:t>
      </w:r>
      <w:r/>
    </w:p>
    <w:p>
      <w:pPr>
        <w:pStyle w:val="854"/>
        <w:ind w:firstLine="643"/>
        <w:jc w:val="left"/>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numPr>
          <w:ilvl w:val="0"/>
          <w:numId w:val="0"/>
        </w:numPr>
        <w:ind w:firstLine="643"/>
        <w:keepLines w:val="0"/>
        <w:keepNext w:val="0"/>
        <w:pageBreakBefore w:val="0"/>
        <w:spacing w:line="440" w:lineRule="exact"/>
        <w:widowControl w:val="off"/>
        <w:tabs>
          <w:tab w:val="left" w:pos="900" w:leader="none"/>
        </w:tabs>
        <w:rPr>
          <w:rFonts w:hint="default" w:ascii="Arial" w:hAnsi="Arial" w:cs="Arial"/>
          <w:b/>
          <w:color w:val="000000"/>
          <w:sz w:val="32"/>
          <w:szCs w:val="32"/>
          <w:lang w:val="en-US" w:eastAsia="zh-CN"/>
        </w:rPr>
      </w:pPr>
      <w:r>
        <w:rPr>
          <w:rFonts w:ascii="Arial" w:hAnsi="Arial" w:cs="Arial"/>
          <w:b/>
          <w:color w:val="000000"/>
          <w:sz w:val="32"/>
          <w:szCs w:val="32"/>
        </w:rPr>
        <w:t xml:space="preserve">项目名称：</w:t>
      </w:r>
      <w:r>
        <w:rPr>
          <w:rFonts w:hint="eastAsia" w:ascii="Arial" w:hAnsi="Arial" w:cs="Arial"/>
          <w:b/>
          <w:color w:val="000000"/>
          <w:sz w:val="32"/>
          <w:szCs w:val="32"/>
          <w:lang w:val="en-US" w:eastAsia="zh-CN"/>
        </w:rPr>
        <w:t xml:space="preserve">东台市2024年秸秆机械化还田、打捆离田作业补助第三方核查项目</w:t>
      </w:r>
      <w:r/>
    </w:p>
    <w:p>
      <w:pPr>
        <w:numPr>
          <w:ilvl w:val="0"/>
          <w:numId w:val="0"/>
        </w:numPr>
        <w:ind w:firstLine="643"/>
        <w:keepLines w:val="0"/>
        <w:keepNext w:val="0"/>
        <w:pageBreakBefore w:val="0"/>
        <w:spacing w:line="440" w:lineRule="exact"/>
        <w:widowControl w:val="off"/>
        <w:tabs>
          <w:tab w:val="left" w:pos="900" w:leader="none"/>
        </w:tabs>
        <w:rPr>
          <w:rFonts w:ascii="Arial" w:hAnsi="Arial" w:cs="Arial"/>
          <w:b/>
          <w:color w:val="000000"/>
          <w:sz w:val="32"/>
          <w:szCs w:val="32"/>
        </w:rPr>
      </w:pPr>
      <w:r>
        <w:rPr>
          <w:rFonts w:ascii="Arial" w:hAnsi="Arial" w:cs="Arial"/>
          <w:b/>
          <w:color w:val="000000"/>
          <w:sz w:val="32"/>
          <w:szCs w:val="32"/>
        </w:rPr>
      </w:r>
      <w:r/>
    </w:p>
    <w:p>
      <w:pPr>
        <w:pStyle w:val="854"/>
        <w:ind w:firstLine="643"/>
        <w:jc w:val="left"/>
        <w:spacing w:beforeAutospacing="0" w:afterAutospacing="0"/>
        <w:rPr>
          <w:rFonts w:hint="default" w:ascii="Arial" w:hAnsi="Arial" w:cs="Arial" w:eastAsiaTheme="minorEastAsia"/>
          <w:b/>
          <w:color w:val="000000"/>
          <w:sz w:val="32"/>
          <w:szCs w:val="32"/>
          <w:highlight w:val="none"/>
          <w:lang w:val="en-US" w:eastAsia="zh-CN" w:bidi="ar-SA"/>
        </w:rPr>
      </w:pPr>
      <w:r>
        <w:rPr>
          <w:rFonts w:hint="eastAsia" w:ascii="Arial" w:hAnsi="Arial" w:cs="Arial" w:eastAsiaTheme="minorEastAsia"/>
          <w:b/>
          <w:color w:val="000000"/>
          <w:sz w:val="32"/>
          <w:szCs w:val="32"/>
          <w:highlight w:val="none"/>
          <w:lang w:val="en-US" w:eastAsia="zh-CN" w:bidi="ar-SA"/>
        </w:rPr>
        <w:t xml:space="preserve">项目编号：JSZC-320981-BJZC-G2024-0008</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 </w:t>
      </w:r>
      <w:r/>
    </w:p>
    <w:p>
      <w:pPr>
        <w:pStyle w:val="854"/>
        <w:spacing w:beforeAutospacing="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ind w:firstLine="964"/>
        <w:jc w:val="left"/>
        <w:spacing w:before="120" w:beforeAutospacing="0" w:after="12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r>
      <w:r/>
    </w:p>
    <w:p>
      <w:pPr>
        <w:pStyle w:val="854"/>
        <w:jc w:val="center"/>
        <w:spacing w:before="120" w:beforeAutospacing="0" w:after="120" w:afterAutospacing="0" w:line="360" w:lineRule="auto"/>
        <w:rPr>
          <w:rFonts w:hint="eastAsia"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采购单位：东台市农业农村局</w:t>
      </w:r>
      <w:r/>
    </w:p>
    <w:p>
      <w:pPr>
        <w:pStyle w:val="854"/>
        <w:jc w:val="center"/>
        <w:spacing w:before="120" w:beforeAutospacing="0" w:after="120" w:afterAutospacing="0" w:line="360" w:lineRule="auto"/>
        <w:rPr>
          <w:rFonts w:hint="default" w:ascii="Arial" w:hAnsi="Arial" w:cs="Arial" w:eastAsiaTheme="minorEastAsia"/>
          <w:b/>
          <w:color w:val="000000"/>
          <w:sz w:val="32"/>
          <w:szCs w:val="32"/>
          <w:lang w:val="en-US" w:eastAsia="zh-CN" w:bidi="ar-SA"/>
        </w:rPr>
      </w:pPr>
      <w:r>
        <w:rPr>
          <w:rFonts w:hint="eastAsia" w:ascii="Arial" w:hAnsi="Arial" w:cs="Arial" w:eastAsiaTheme="minorEastAsia"/>
          <w:b/>
          <w:color w:val="000000"/>
          <w:sz w:val="32"/>
          <w:szCs w:val="32"/>
          <w:lang w:val="en-US" w:eastAsia="zh-CN" w:bidi="ar-SA"/>
        </w:rPr>
        <w:t xml:space="preserve">采购代理机构：北京中昌工程咨询有限公司</w:t>
      </w:r>
      <w:r/>
    </w:p>
    <w:p>
      <w:pPr>
        <w:pStyle w:val="854"/>
        <w:jc w:val="center"/>
        <w:spacing w:before="120" w:beforeAutospacing="0" w:after="120" w:afterAutospacing="0" w:line="360" w:lineRule="auto"/>
        <w:rPr>
          <w:rFonts w:hint="eastAsia" w:ascii="Arial" w:hAnsi="Arial" w:cs="Arial" w:eastAsiaTheme="minorEastAsia"/>
          <w:b/>
          <w:color w:val="000000"/>
          <w:sz w:val="32"/>
          <w:szCs w:val="32"/>
          <w:highlight w:val="none"/>
          <w:lang w:val="en-US" w:eastAsia="zh-CN" w:bidi="ar-SA"/>
        </w:rPr>
      </w:pPr>
      <w:r>
        <w:rPr>
          <w:rFonts w:hint="eastAsia" w:ascii="Arial" w:hAnsi="Arial" w:cs="Arial" w:eastAsiaTheme="minorEastAsia"/>
          <w:b/>
          <w:color w:val="000000"/>
          <w:sz w:val="32"/>
          <w:szCs w:val="32"/>
          <w:highlight w:val="none"/>
          <w:lang w:val="en-US" w:eastAsia="zh-CN" w:bidi="ar-SA"/>
        </w:rPr>
        <w:t xml:space="preserve">2024年04月0</w:t>
      </w:r>
      <w:r>
        <w:rPr>
          <w:rFonts w:hint="eastAsia" w:ascii="Arial" w:hAnsi="Arial" w:cs="Arial"/>
          <w:b/>
          <w:color w:val="000000"/>
          <w:sz w:val="32"/>
          <w:szCs w:val="32"/>
          <w:highlight w:val="none"/>
          <w:lang w:val="en-US" w:eastAsia="zh-CN" w:bidi="ar-SA"/>
        </w:rPr>
        <w:t xml:space="preserve">9</w:t>
      </w:r>
      <w:r>
        <w:rPr>
          <w:rFonts w:hint="eastAsia" w:ascii="Arial" w:hAnsi="Arial" w:cs="Arial" w:eastAsiaTheme="minorEastAsia"/>
          <w:b/>
          <w:color w:val="000000"/>
          <w:sz w:val="32"/>
          <w:szCs w:val="32"/>
          <w:highlight w:val="none"/>
          <w:lang w:val="en-US" w:eastAsia="zh-CN" w:bidi="ar-SA"/>
        </w:rPr>
        <w:t xml:space="preserve">日</w:t>
      </w:r>
      <w:r/>
    </w:p>
    <w:p>
      <w:pPr>
        <w:pStyle w:val="85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513029200"/>
      <w:r/>
      <w:bookmarkStart w:id="2" w:name="_Toc479757206"/>
      <w:r/>
      <w:bookmarkStart w:id="3" w:name="_Toc523127445"/>
      <w:r/>
      <w:bookmarkStart w:id="4" w:name="_Toc16938516"/>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sdt>
      <w:sdtPr>
        <w15:appearance w15:val="boundingBox"/>
        <w15:color w:val="dbdbdb"/>
        <w:id w:val="147474810"/>
        <w:docPartObj>
          <w:docPartGallery w:val="Table of Contents"/>
          <w:docPartUnique w:val="true"/>
        </w:docPartObj>
        <w:rPr>
          <w:rFonts w:hint="eastAsia" w:ascii="黑体" w:hAnsi="黑体" w:eastAsia="黑体" w:cs="黑体"/>
          <w:sz w:val="44"/>
          <w:szCs w:val="44"/>
          <w:lang w:val="en-US" w:eastAsia="zh-CN"/>
        </w:rPr>
      </w:sdtPr>
      <w:sdtContent>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lang w:val="en-US" w:eastAsia="zh-CN"/>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TOC \o "1-1" \h \u </w:instrText>
          </w:r>
          <w:r>
            <w:rPr>
              <w:rFonts w:hint="eastAsia" w:ascii="黑体" w:hAnsi="黑体" w:eastAsia="黑体" w:cs="黑体"/>
              <w:sz w:val="44"/>
              <w:szCs w:val="44"/>
            </w:rPr>
            <w:fldChar w:fldCharType="separate"/>
          </w: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_Toc19097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第一章  </w:t>
          </w:r>
          <w:r>
            <w:rPr>
              <w:rFonts w:hint="eastAsia" w:ascii="黑体" w:hAnsi="黑体" w:eastAsia="黑体" w:cs="黑体"/>
              <w:sz w:val="44"/>
              <w:szCs w:val="44"/>
              <w:lang w:val="en-US" w:eastAsia="zh-CN"/>
            </w:rPr>
            <w:t xml:space="preserve">招标</w:t>
          </w:r>
          <w:r>
            <w:rPr>
              <w:rFonts w:hint="eastAsia" w:ascii="黑体" w:hAnsi="黑体" w:eastAsia="黑体" w:cs="黑体"/>
              <w:sz w:val="44"/>
              <w:szCs w:val="44"/>
            </w:rPr>
            <w:fldChar w:fldCharType="end"/>
          </w:r>
          <w:r>
            <w:rPr>
              <w:rFonts w:hint="eastAsia" w:ascii="黑体" w:hAnsi="黑体" w:eastAsia="黑体" w:cs="黑体"/>
              <w:sz w:val="44"/>
              <w:szCs w:val="44"/>
              <w:lang w:val="en-US" w:eastAsia="zh-CN"/>
            </w:rPr>
            <w:t xml:space="preserve">公告</w:t>
          </w:r>
          <w:r/>
        </w:p>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_Toc28299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第二章  投标人须知</w:t>
          </w:r>
          <w:r>
            <w:rPr>
              <w:rFonts w:hint="eastAsia" w:ascii="黑体" w:hAnsi="黑体" w:eastAsia="黑体" w:cs="黑体"/>
              <w:sz w:val="44"/>
              <w:szCs w:val="44"/>
            </w:rPr>
            <w:fldChar w:fldCharType="end"/>
          </w:r>
          <w:r/>
        </w:p>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_Toc23761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第三章  合同文本</w:t>
          </w:r>
          <w:r>
            <w:rPr>
              <w:rFonts w:hint="eastAsia" w:ascii="黑体" w:hAnsi="黑体" w:eastAsia="黑体" w:cs="黑体"/>
              <w:sz w:val="44"/>
              <w:szCs w:val="44"/>
            </w:rPr>
            <w:fldChar w:fldCharType="end"/>
          </w:r>
          <w:r/>
        </w:p>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_Toc23581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第四章  采购需求</w:t>
          </w:r>
          <w:r>
            <w:rPr>
              <w:rFonts w:hint="eastAsia" w:ascii="黑体" w:hAnsi="黑体" w:eastAsia="黑体" w:cs="黑体"/>
              <w:sz w:val="44"/>
              <w:szCs w:val="44"/>
            </w:rPr>
            <w:fldChar w:fldCharType="end"/>
          </w:r>
          <w:r/>
        </w:p>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_Toc13969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第五章  评标方法与评标标准</w:t>
          </w:r>
          <w:r>
            <w:rPr>
              <w:rFonts w:hint="eastAsia" w:ascii="黑体" w:hAnsi="黑体" w:eastAsia="黑体" w:cs="黑体"/>
              <w:sz w:val="44"/>
              <w:szCs w:val="44"/>
            </w:rPr>
            <w:fldChar w:fldCharType="end"/>
          </w:r>
          <w:r/>
        </w:p>
        <w:p>
          <w:pPr>
            <w:pStyle w:val="864"/>
            <w:ind w:firstLine="880"/>
            <w:keepLines w:val="0"/>
            <w:keepNext w:val="0"/>
            <w:pageBreakBefore w:val="0"/>
            <w:spacing w:line="480" w:lineRule="auto"/>
            <w:widowControl/>
            <w:tabs>
              <w:tab w:val="right" w:pos="9752" w:leader="dot"/>
            </w:tabs>
            <w:rPr>
              <w:rFonts w:hint="eastAsia" w:ascii="黑体" w:hAnsi="黑体" w:eastAsia="黑体" w:cs="黑体"/>
              <w:sz w:val="44"/>
              <w:szCs w:val="44"/>
            </w:rPr>
          </w:pPr>
          <w:r>
            <w:rPr>
              <w:rFonts w:hint="eastAsia" w:ascii="黑体" w:hAnsi="黑体" w:eastAsia="黑体" w:cs="黑体"/>
              <w:sz w:val="44"/>
              <w:szCs w:val="44"/>
            </w:rPr>
            <w:fldChar w:fldCharType="begin"/>
          </w:r>
          <w:r>
            <w:rPr>
              <w:rFonts w:hint="eastAsia" w:ascii="黑体" w:hAnsi="黑体" w:eastAsia="黑体" w:cs="黑体"/>
              <w:sz w:val="44"/>
              <w:szCs w:val="44"/>
            </w:rPr>
            <w:instrText xml:space="preserve"> HYPERLINK \l _Toc14881 </w:instrText>
          </w:r>
          <w:r>
            <w:rPr>
              <w:rFonts w:hint="eastAsia" w:ascii="黑体" w:hAnsi="黑体" w:eastAsia="黑体" w:cs="黑体"/>
              <w:sz w:val="44"/>
              <w:szCs w:val="44"/>
            </w:rPr>
            <w:fldChar w:fldCharType="separate"/>
          </w:r>
          <w:r>
            <w:rPr>
              <w:rFonts w:hint="eastAsia" w:ascii="黑体" w:hAnsi="黑体" w:eastAsia="黑体" w:cs="黑体"/>
              <w:sz w:val="44"/>
              <w:szCs w:val="44"/>
            </w:rPr>
            <w:t xml:space="preserve">第六章  投标文件格式</w:t>
          </w:r>
          <w:r>
            <w:rPr>
              <w:rFonts w:hint="eastAsia" w:ascii="黑体" w:hAnsi="黑体" w:eastAsia="黑体" w:cs="黑体"/>
              <w:sz w:val="44"/>
              <w:szCs w:val="44"/>
            </w:rPr>
            <w:fldChar w:fldCharType="end"/>
          </w:r>
          <w:r/>
        </w:p>
        <w:p>
          <w:pPr>
            <w:pStyle w:val="864"/>
            <w:ind w:firstLine="880"/>
            <w:keepLines w:val="0"/>
            <w:keepNext w:val="0"/>
            <w:pageBreakBefore w:val="0"/>
            <w:spacing w:line="480" w:lineRule="auto"/>
            <w:widowControl/>
            <w:tabs>
              <w:tab w:val="right" w:pos="9752" w:leader="dot"/>
            </w:tabs>
          </w:pPr>
          <w:r>
            <w:rPr>
              <w:rFonts w:hint="eastAsia" w:ascii="黑体" w:hAnsi="黑体" w:eastAsia="黑体" w:cs="黑体"/>
              <w:sz w:val="44"/>
              <w:szCs w:val="44"/>
            </w:rPr>
            <w:fldChar w:fldCharType="end"/>
          </w:r>
          <w:r/>
        </w:p>
      </w:sdtContent>
    </w:sdt>
    <w:p>
      <w:pPr>
        <w:rPr>
          <w:rFonts w:hint="eastAsia" w:ascii="黑体" w:hAnsi="宋体" w:eastAsia="黑体" w:cs="黑体"/>
          <w:color w:val="000000"/>
          <w:sz w:val="44"/>
          <w:szCs w:val="44"/>
        </w:rPr>
      </w:pPr>
      <w:r/>
      <w:r>
        <w:rPr>
          <w:rFonts w:hint="eastAsia" w:ascii="黑体" w:hAnsi="宋体" w:eastAsia="黑体" w:cs="黑体"/>
          <w:color w:val="000000"/>
          <w:sz w:val="44"/>
          <w:szCs w:val="44"/>
        </w:rP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东台市2024年秸秆机械化还田、打捆离田作业补助第三方核查项目 JSZC-320981-BJZC-G2024-0008 招标项目的潜在投标人应在江苏政府采购网 获取招标文件，并于2024-05-07 09:00 （北京时间）前递交投标文件。</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项目编号：JSZC-320981-BJZC-G2024-0008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项目名称：东台市2024年秸秆机械化还田、打捆离田作业补助第三方核查项目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预算金额：56.200000万元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color w:val="000000"/>
          <w:sz w:val="24"/>
          <w:u w:val="single"/>
        </w:rPr>
        <w:t xml:space="preserve">0.4</w:t>
      </w:r>
      <w:r>
        <w:rPr>
          <w:rFonts w:ascii="SimSun" w:hAnsi="SimSun" w:eastAsia="SimSun" w:cs="SimSun"/>
          <w:color w:val="000000"/>
          <w:sz w:val="24"/>
        </w:rPr>
        <w:t xml:space="preserve">元/亩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东台市2024年秸秆机械化还田、打捆离田作业补助第三方核查</w:t>
      </w:r>
      <w:r>
        <w:rPr>
          <w:rFonts w:ascii="SimSun" w:hAnsi="SimSun" w:eastAsia="SimSun" w:cs="SimSun"/>
          <w:color w:val="000000"/>
          <w:sz w:val="24"/>
        </w:rPr>
        <w:t xml:space="preserve">（详细内容见本招标文件第四章）。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1年</w:t>
      </w: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7.投标人为被授权人近期缴纳的社会养老保险证明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8.与资格审查有关的其他资料（如有）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时间：2024年04月09日 至2024年05月07日 ，每天上午00:00-12:00,下午12:00-23:59 （北京时间，法定节假日除外）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方式：在“江苏政府采购网”自行免费下载招标文件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2024-05-07 09:00 （北京时间）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 </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2.有关本次招标的事项若存在变动或修改，敬请及时关注“中国政府采购网”、“江苏政府采购网”、“盐城市政府采购网”发布的更正公告。</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pStyle w:val="861"/>
        <w:ind w:left="0" w:right="0" w:firstLine="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称：东台市农业农村局</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址：东台市广场路6号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人：陈女士</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联系电话：0515-68961110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称：北京中昌工程咨询有限公司</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址：东台市汇银广场3-215</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人：练女士</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联系电话：13585667080</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箱：793641654@qq.com</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项目联系方式</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项目联系人：陈女士（采购人），练女士（代理机构）</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话：0515-68961110，13585667080</w:t>
      </w:r>
      <w:r/>
    </w:p>
    <w:p>
      <w:pPr>
        <w:ind w:firstLine="480"/>
        <w:pageBreakBefore w:val="0"/>
        <w:spacing w:line="360" w:lineRule="auto"/>
        <w:widowControl/>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pStyle w:val="854"/>
        <w:ind w:right="840"/>
        <w:jc w:val="center"/>
        <w:spacing w:beforeAutospacing="0" w:afterAutospacing="0"/>
        <w:outlineLvl w:val="0"/>
      </w:pPr>
      <w:r>
        <w:rPr>
          <w:rFonts w:hint="eastAsia" w:ascii="宋体" w:hAnsi="宋体" w:eastAsia="宋体" w:cs="宋体"/>
          <w:color w:val="000000"/>
        </w:rPr>
        <w:br w:type="page" w:clear="all"/>
      </w:r>
      <w:bookmarkStart w:id="44" w:name="_Toc28299"/>
      <w:r>
        <w:rPr>
          <w:rFonts w:hint="eastAsia" w:ascii="宋体" w:hAnsi="宋体" w:eastAsia="宋体" w:cs="宋体"/>
          <w:color w:val="000000"/>
        </w:rPr>
        <w:t xml:space="preserve"> </w:t>
      </w:r>
      <w:bookmarkStart w:id="45" w:name="_Toc120614211"/>
      <w:r>
        <w:rPr>
          <w:rFonts w:hint="eastAsia" w:ascii="黑体" w:hAnsi="宋体" w:eastAsia="黑体" w:cs="黑体"/>
          <w:b/>
          <w:color w:val="000000"/>
          <w:sz w:val="44"/>
          <w:szCs w:val="44"/>
        </w:rPr>
        <w:t xml:space="preserve">第二章  </w:t>
      </w:r>
      <w:bookmarkEnd w:id="45"/>
      <w:r/>
      <w:bookmarkStart w:id="46" w:name="_Toc120614213"/>
      <w:r/>
      <w:bookmarkStart w:id="47" w:name="_Toc20823274"/>
      <w:r/>
      <w:bookmarkStart w:id="48" w:name="_Toc513029202"/>
      <w:r/>
      <w:bookmarkStart w:id="49" w:name="_Toc16938518"/>
      <w:r>
        <w:rPr>
          <w:rFonts w:hint="eastAsia" w:ascii="黑体" w:hAnsi="宋体" w:eastAsia="黑体" w:cs="黑体"/>
          <w:b/>
          <w:color w:val="000000"/>
          <w:sz w:val="44"/>
          <w:szCs w:val="44"/>
        </w:rPr>
        <w:t xml:space="preserve">投标人须知</w:t>
      </w:r>
      <w:bookmarkEnd w:id="44"/>
      <w:r/>
      <w:bookmarkEnd w:id="46"/>
      <w:r/>
      <w:bookmarkEnd w:id="47"/>
      <w:r/>
      <w:bookmarkEnd w:id="48"/>
      <w:r/>
      <w:bookmarkEnd w:id="49"/>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50" w:name="_Toc16938519"/>
      <w:r/>
      <w:bookmarkStart w:id="51" w:name="_Toc120614214"/>
      <w:r/>
      <w:bookmarkStart w:id="52" w:name="_Toc513029203"/>
      <w:r/>
      <w:bookmarkStart w:id="53" w:name="_Toc20823275"/>
      <w:r>
        <w:rPr>
          <w:rFonts w:hint="eastAsia" w:ascii="黑体" w:hAnsi="黑体" w:eastAsia="黑体" w:cs="黑体"/>
          <w:sz w:val="28"/>
          <w:szCs w:val="28"/>
        </w:rPr>
        <w:t xml:space="preserve">一、总则</w:t>
      </w:r>
      <w:bookmarkEnd w:id="50"/>
      <w:r/>
      <w:bookmarkEnd w:id="51"/>
      <w:r/>
      <w:bookmarkEnd w:id="52"/>
      <w:r/>
      <w:bookmarkEnd w:id="53"/>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54" w:name="_Toc120614215"/>
      <w:r/>
      <w:bookmarkStart w:id="55" w:name="_Toc20823281"/>
      <w:r/>
      <w:bookmarkStart w:id="56" w:name="_Toc513029209"/>
      <w:r/>
      <w:bookmarkStart w:id="57" w:name="_Toc16938525"/>
      <w:r/>
      <w:bookmarkStart w:id="58" w:name="_Hlt16619475"/>
      <w:r>
        <w:rPr>
          <w:rFonts w:hint="eastAsia" w:ascii="黑体" w:hAnsi="黑体" w:eastAsia="黑体" w:cs="黑体"/>
          <w:sz w:val="28"/>
          <w:szCs w:val="28"/>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二、招标文件</w:t>
      </w:r>
      <w:bookmarkEnd w:id="54"/>
      <w:r/>
      <w:bookmarkEnd w:id="55"/>
      <w:r/>
      <w:bookmarkEnd w:id="56"/>
      <w:r/>
      <w:bookmarkEnd w:id="57"/>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59" w:name="_Toc513029210"/>
      <w:r/>
      <w:bookmarkStart w:id="60" w:name="_Toc16938526"/>
      <w:r/>
      <w:bookmarkStart w:id="61" w:name="_Toc20823282"/>
      <w:r>
        <w:rPr>
          <w:rFonts w:hint="eastAsia" w:ascii="黑体" w:hAnsi="黑体" w:eastAsia="黑体" w:cs="黑体"/>
          <w:sz w:val="28"/>
          <w:szCs w:val="28"/>
        </w:rPr>
        <w:t xml:space="preserve">6、招标文件构成</w:t>
      </w:r>
      <w:bookmarkEnd w:id="59"/>
      <w:r/>
      <w:bookmarkEnd w:id="60"/>
      <w:r/>
      <w:bookmarkEnd w:id="61"/>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62" w:name="_Toc16938527"/>
      <w:r/>
      <w:bookmarkStart w:id="63" w:name="_Toc462564070"/>
      <w:r/>
      <w:bookmarkStart w:id="64" w:name="_Toc513029211"/>
      <w:r/>
      <w:bookmarkStart w:id="65" w:name="_Toc20823283"/>
      <w:r>
        <w:rPr>
          <w:rFonts w:hint="eastAsia" w:ascii="黑体" w:hAnsi="黑体" w:eastAsia="黑体" w:cs="黑体"/>
          <w:sz w:val="28"/>
          <w:szCs w:val="28"/>
        </w:rPr>
        <w:t xml:space="preserve">7、招标文件的澄清</w:t>
      </w:r>
      <w:bookmarkEnd w:id="62"/>
      <w:r/>
      <w:bookmarkEnd w:id="63"/>
      <w:r/>
      <w:bookmarkEnd w:id="64"/>
      <w:r/>
      <w:bookmarkEnd w:id="65"/>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日前按招标公告中的通讯地址，以书面形式通知</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66" w:name="_Toc513029212"/>
      <w:r/>
      <w:bookmarkStart w:id="67" w:name="_Toc462564071"/>
      <w:r/>
      <w:bookmarkStart w:id="68" w:name="_Toc20823284"/>
      <w:r/>
      <w:bookmarkStart w:id="69" w:name="_Toc16938528"/>
      <w:r>
        <w:rPr>
          <w:rFonts w:hint="eastAsia" w:ascii="黑体" w:hAnsi="黑体" w:eastAsia="黑体" w:cs="黑体"/>
          <w:sz w:val="28"/>
          <w:szCs w:val="28"/>
        </w:rPr>
        <w:t xml:space="preserve">8、招标文件的修改</w:t>
      </w:r>
      <w:bookmarkEnd w:id="66"/>
      <w:r/>
      <w:bookmarkEnd w:id="67"/>
      <w:r/>
      <w:bookmarkEnd w:id="68"/>
      <w:r/>
      <w:bookmarkEnd w:id="69"/>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eastAsia="zh-CN"/>
        </w:rPr>
        <w:t xml:space="preserve">“中国政府采购网、江苏政府采购网、盐城市政府采购网”</w:t>
      </w:r>
      <w:r>
        <w:rPr>
          <w:rFonts w:hint="eastAsia" w:ascii="宋体" w:hAnsi="宋体" w:eastAsia="宋体" w:cs="宋体"/>
          <w:sz w:val="24"/>
          <w:szCs w:val="24"/>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0" w:name="_Toc120614216"/>
      <w:r/>
      <w:bookmarkStart w:id="71" w:name="_Toc462564072"/>
      <w:r/>
      <w:bookmarkStart w:id="72" w:name="_Toc513029213"/>
      <w:r/>
      <w:bookmarkStart w:id="73" w:name="_Toc20823285"/>
      <w:r/>
      <w:bookmarkStart w:id="74" w:name="_Toc16938529"/>
      <w:r>
        <w:rPr>
          <w:rFonts w:hint="eastAsia" w:ascii="黑体" w:hAnsi="黑体" w:eastAsia="黑体" w:cs="黑体"/>
          <w:sz w:val="28"/>
          <w:szCs w:val="28"/>
        </w:rPr>
        <w:t xml:space="preserve">三、投标文件的编制</w:t>
      </w:r>
      <w:bookmarkEnd w:id="70"/>
      <w:r/>
      <w:bookmarkEnd w:id="71"/>
      <w:r/>
      <w:bookmarkEnd w:id="72"/>
      <w:r/>
      <w:bookmarkEnd w:id="73"/>
      <w:r/>
      <w:bookmarkEnd w:id="74"/>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5" w:name="_Toc462564073"/>
      <w:r/>
      <w:bookmarkStart w:id="76" w:name="_Toc513029214"/>
      <w:r/>
      <w:bookmarkStart w:id="77" w:name="_Toc20823286"/>
      <w:r/>
      <w:bookmarkStart w:id="78" w:name="_Toc16938530"/>
      <w:r>
        <w:rPr>
          <w:rFonts w:hint="eastAsia" w:ascii="黑体" w:hAnsi="黑体" w:eastAsia="黑体" w:cs="黑体"/>
          <w:sz w:val="28"/>
          <w:szCs w:val="28"/>
        </w:rPr>
        <w:t xml:space="preserve">9、投标文件的语言及度量衡单位</w:t>
      </w:r>
      <w:bookmarkEnd w:id="75"/>
      <w:r/>
      <w:bookmarkEnd w:id="76"/>
      <w:r/>
      <w:bookmarkEnd w:id="77"/>
      <w:r/>
      <w:bookmarkEnd w:id="78"/>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w:t>
      </w:r>
      <w:r>
        <w:rPr>
          <w:rFonts w:hint="eastAsia" w:ascii="宋体" w:hAnsi="宋体" w:eastAsia="宋体" w:cs="宋体"/>
          <w:sz w:val="24"/>
          <w:szCs w:val="24"/>
          <w:lang w:val="en-US" w:eastAsia="zh-CN"/>
        </w:rPr>
        <w:t xml:space="preserve"> </w:t>
      </w:r>
      <w:r>
        <w:rPr>
          <w:rFonts w:hint="eastAsia" w:ascii="宋体" w:hAnsi="宋体"/>
          <w:sz w:val="24"/>
        </w:rPr>
        <w:t xml:space="preserve">投标人提交的投标文件以及投标人与</w:t>
      </w:r>
      <w:r>
        <w:rPr>
          <w:rFonts w:hint="eastAsia" w:ascii="宋体" w:hAnsi="宋体"/>
          <w:sz w:val="24"/>
          <w:lang w:val="en-US" w:eastAsia="zh-CN"/>
        </w:rPr>
        <w:t xml:space="preserve">采购人</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w:t>
      </w:r>
      <w:r>
        <w:rPr>
          <w:rFonts w:hint="eastAsia" w:ascii="宋体" w:hAnsi="宋体" w:eastAsia="宋体" w:cs="宋体"/>
          <w:sz w:val="24"/>
          <w:szCs w:val="24"/>
          <w:lang w:val="en-US" w:eastAsia="zh-CN"/>
        </w:rPr>
        <w:t xml:space="preserve"> </w:t>
      </w:r>
      <w:r>
        <w:rPr>
          <w:rFonts w:hint="eastAsia" w:ascii="宋体" w:hAnsi="宋体"/>
          <w:sz w:val="24"/>
        </w:rPr>
        <w:t xml:space="preserve">除技术性能另有规定外，投标文件所使用的度量衡单位，均须采用国家法定计量单位</w:t>
      </w:r>
      <w:r>
        <w:rPr>
          <w:rFonts w:hint="eastAsia" w:ascii="宋体" w:hAnsi="宋体" w:eastAsia="宋体" w:cs="宋体"/>
          <w:sz w:val="24"/>
          <w:szCs w:val="24"/>
        </w:rPr>
        <w:t xml:space="preserve">。</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79" w:name="_Toc16938531"/>
      <w:r/>
      <w:bookmarkStart w:id="80" w:name="_Toc20823287"/>
      <w:r/>
      <w:bookmarkStart w:id="81" w:name="_Toc462564074"/>
      <w:r/>
      <w:bookmarkStart w:id="82" w:name="_Toc513029215"/>
      <w:r>
        <w:rPr>
          <w:rFonts w:hint="eastAsia" w:ascii="黑体" w:hAnsi="黑体" w:eastAsia="黑体" w:cs="黑体"/>
          <w:sz w:val="28"/>
          <w:szCs w:val="28"/>
        </w:rPr>
        <w:t xml:space="preserve">10、投标文件构成</w:t>
      </w:r>
      <w:bookmarkEnd w:id="79"/>
      <w:r/>
      <w:bookmarkEnd w:id="80"/>
      <w:r/>
      <w:bookmarkEnd w:id="81"/>
      <w:r/>
      <w:bookmarkEnd w:id="82"/>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10.2.2上一年度（或上上年度）经审计的财务报告（投标人成立不满一年无需提供）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10.2.5参加政府采购活动前3年内在经营活动中没有重大违法记录的书面声明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10.2.7投标人为被授权人近期缴纳的社会养老保险证明；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10.3.3所供服务（服务附带的产品）内容及服务要求偏离表（如有）；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10.3.4投标人的服务承诺；</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10.3.5中小企业声明函、残疾人福利性单位声明函（如有）；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10.3.7东台市政府采购事前信用承诺书；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2）如为法定代表人参与公开招标的无须提供“投标文件签署授权委托书”和“被授权人近期缴纳的社会养老保险证明”。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Times New Roman" w:hAnsi="Times New Roman" w:eastAsia="宋体" w:cs="Times New Roman"/>
          <w:color w:val="auto"/>
          <w:sz w:val="24"/>
          <w:szCs w:val="22"/>
          <w:highlight w:val="none"/>
          <w:lang w:val="en-US" w:eastAsia="zh-CN" w:bidi="ar-SA"/>
        </w:rPr>
        <w:t xml:space="preserve">10.6</w:t>
      </w:r>
      <w:r>
        <w:rPr>
          <w:rFonts w:hint="eastAsia" w:ascii="宋体" w:hAnsi="宋体" w:eastAsia="宋体" w:cs="宋体"/>
          <w:sz w:val="24"/>
          <w:szCs w:val="24"/>
        </w:rPr>
        <w:t xml:space="preserve">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83" w:name="_Toc513029216"/>
      <w:r/>
      <w:bookmarkStart w:id="84" w:name="_Toc14577357"/>
      <w:r/>
      <w:bookmarkStart w:id="85" w:name="_Toc14577354"/>
      <w:r/>
      <w:bookmarkStart w:id="86" w:name="_Toc513029219"/>
      <w:r/>
      <w:bookmarkStart w:id="87" w:name="_Toc49090507"/>
      <w:r/>
      <w:bookmarkStart w:id="88" w:name="_Toc49090509"/>
      <w:r/>
      <w:bookmarkStart w:id="89" w:name="_Hlt26670360"/>
      <w:r/>
      <w:bookmarkStart w:id="90" w:name="_Hlt26954838"/>
      <w:r/>
      <w:bookmarkStart w:id="91" w:name="_Hlt26668975"/>
      <w:r>
        <w:rPr>
          <w:rFonts w:hint="eastAsia" w:ascii="黑体" w:hAnsi="黑体" w:eastAsia="黑体" w:cs="黑体"/>
          <w:sz w:val="28"/>
          <w:szCs w:val="28"/>
        </w:rPr>
        <w:t xml:space="preserve">11、证明投标人及投标标的符合招标文件规定的文件</w:t>
      </w:r>
      <w:bookmarkEnd w:id="83"/>
      <w:r/>
      <w:bookmarkEnd w:id="84"/>
      <w:r/>
      <w:bookmarkEnd w:id="85"/>
      <w:r/>
      <w:bookmarkEnd w:id="86"/>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92" w:name="_Toc49090508"/>
      <w:r/>
      <w:bookmarkStart w:id="93" w:name="_Toc14577355"/>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bookmarkEnd w:id="92"/>
      <w:r/>
      <w:bookmarkEnd w:id="93"/>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11.3“上一年度（或上上年度）的财务报告”，投标人应提供经审计的财务报告，或银行出具的资信证明。</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lang w:val="en-US" w:eastAsia="zh-CN"/>
        </w:rPr>
        <w:t xml:space="preserve">11.4“依法缴纳税收的相关材料”，投标人应提供</w:t>
      </w:r>
      <w:r>
        <w:rPr>
          <w:rFonts w:hint="eastAsia" w:ascii="宋体" w:hAnsi="宋体" w:eastAsia="宋体" w:cs="宋体"/>
          <w:sz w:val="24"/>
          <w:szCs w:val="24"/>
        </w:rPr>
        <w:t xml:space="preserve">提交投标文件截止时间前一年内至少一个月</w:t>
      </w:r>
      <w:r>
        <w:rPr>
          <w:rFonts w:hint="eastAsia" w:ascii="宋体" w:hAnsi="宋体" w:eastAsia="宋体" w:cs="Times New Roman"/>
          <w:sz w:val="24"/>
          <w:szCs w:val="24"/>
          <w:highlight w:val="none"/>
          <w:lang w:val="en-US" w:eastAsia="zh-CN"/>
        </w:rPr>
        <w:t xml:space="preserve">缴纳税收的凭据。</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11.5 “依法缴纳社会保障资金的相关材料”，投标人应提供</w:t>
      </w:r>
      <w:r>
        <w:rPr>
          <w:rFonts w:hint="eastAsia" w:ascii="宋体" w:hAnsi="宋体" w:eastAsia="宋体" w:cs="宋体"/>
          <w:sz w:val="24"/>
          <w:szCs w:val="24"/>
        </w:rPr>
        <w:t xml:space="preserve">提交投标文件截止时间前一年内至少一个月</w:t>
      </w:r>
      <w:r>
        <w:rPr>
          <w:rFonts w:hint="eastAsia" w:ascii="宋体" w:hAnsi="宋体" w:eastAsia="宋体" w:cs="Times New Roman"/>
          <w:sz w:val="24"/>
          <w:lang w:val="en-US" w:eastAsia="zh-CN"/>
        </w:rPr>
        <w:t xml:space="preserve">缴纳社会保障资金</w:t>
      </w:r>
      <w:r>
        <w:rPr>
          <w:rFonts w:hint="eastAsia" w:ascii="宋体" w:hAnsi="宋体" w:eastAsia="宋体" w:cs="宋体"/>
          <w:sz w:val="24"/>
          <w:szCs w:val="24"/>
        </w:rPr>
        <w:t xml:space="preserve">证明材料</w:t>
      </w:r>
      <w:r>
        <w:rPr>
          <w:rFonts w:hint="eastAsia" w:ascii="宋体" w:hAnsi="宋体" w:eastAsia="宋体" w:cs="Times New Roman"/>
          <w:sz w:val="24"/>
          <w:szCs w:val="24"/>
          <w:highlight w:val="none"/>
          <w:lang w:val="en-US" w:eastAsia="zh-CN"/>
        </w:rPr>
        <w:t xml:space="preserve">。</w:t>
      </w:r>
      <w:r/>
    </w:p>
    <w:p>
      <w:pPr>
        <w:ind w:firstLine="480"/>
        <w:pageBreakBefore w:val="0"/>
        <w:spacing w:line="460" w:lineRule="exact"/>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11.6 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11.7 “申请人的资格要求”和“资格审查资料”中的“近期”是指近两年以来的任一时间段。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sz w:val="28"/>
          <w:szCs w:val="28"/>
          <w:lang w:eastAsia="zh-CN"/>
        </w:rPr>
      </w:pPr>
      <w:r>
        <w:rPr>
          <w:rFonts w:hint="eastAsia" w:ascii="黑体" w:hAnsi="黑体" w:eastAsia="黑体" w:cs="黑体"/>
          <w:sz w:val="28"/>
          <w:szCs w:val="28"/>
        </w:rPr>
        <w:t xml:space="preserve">12、投标</w:t>
      </w:r>
      <w:bookmarkStart w:id="94" w:name="_Hlt26670373"/>
      <w:r>
        <w:rPr>
          <w:rFonts w:hint="eastAsia" w:ascii="黑体" w:hAnsi="黑体" w:eastAsia="黑体" w:cs="黑体"/>
          <w:sz w:val="28"/>
          <w:szCs w:val="28"/>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12.1投</w:t>
      </w:r>
      <w:bookmarkStart w:id="95" w:name="_Hlt26954840"/>
      <w:r>
        <w:rPr>
          <w:rFonts w:hint="eastAsia" w:ascii="宋体" w:hAnsi="宋体" w:eastAsia="宋体" w:cs="宋体"/>
          <w:sz w:val="24"/>
          <w:szCs w:val="24"/>
        </w:rPr>
        <w:t xml:space="preserve">标人应按照招标文件规定格式填报投标</w:t>
      </w:r>
      <w:bookmarkStart w:id="96" w:name="_Hlt26670399"/>
      <w:r>
        <w:rPr>
          <w:rFonts w:hint="eastAsia" w:ascii="宋体" w:hAnsi="宋体" w:eastAsia="宋体" w:cs="宋体"/>
          <w:sz w:val="24"/>
          <w:szCs w:val="24"/>
          <w:lang w:eastAsia="zh-CN"/>
        </w:rPr>
        <w:t xml:space="preserve">报价明细表</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sz w:val="24"/>
          <w:lang w:val="en-US" w:eastAsia="zh-CN"/>
        </w:rPr>
      </w:pPr>
      <w:r/>
      <w:bookmarkStart w:id="97" w:name="_Hlt26670403"/>
      <w:r/>
      <w:bookmarkStart w:id="98" w:name="_Hlt26668983"/>
      <w:r/>
      <w:bookmarkStart w:id="99" w:name="_Hlt26954846"/>
      <w:r/>
      <w:bookmarkStart w:id="100" w:name="_Hlt26954848"/>
      <w:r/>
      <w:bookmarkStart w:id="101" w:name="_Hlt26954731"/>
      <w:r/>
      <w:bookmarkStart w:id="102" w:name="_Hlt26670425"/>
      <w:r/>
      <w:bookmarkStart w:id="103" w:name="_Hlt26670486"/>
      <w:r/>
      <w:bookmarkStart w:id="104" w:name="_Hlt26954844"/>
      <w:r/>
      <w:bookmarkStart w:id="105" w:name="_Hlt26670482"/>
      <w:r/>
      <w:bookmarkStart w:id="106" w:name="_Hlt26954842"/>
      <w:r>
        <w:rPr>
          <w:rFonts w:hint="eastAsia" w:ascii="宋体" w:hAnsi="宋体" w:eastAsia="宋体" w:cs="Times New Roman"/>
          <w:sz w:val="24"/>
          <w:lang w:val="en-US" w:eastAsia="zh-CN"/>
        </w:rPr>
        <w:t xml:space="preserve">12.3投标人应按照第六章投标文件格式完整地填写报价明细表，说明其拟提供服务的名称、服务内容、数量、价格等，采购人要求投标人明确填写的相关内容的，也应填写。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12.4每项服务内容只允许有一个报价，任何有选择的报价将不予接受。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12.5报价除标的物的价款外还应包括全部工作内容的价格体现，以及为完成全部工作内容所必须的人工费、材料费、不可预见的费用、管理费、利润、税金和文件规定的其他各项应有的全部费用（综合报价）。</w:t>
      </w:r>
      <w:r/>
    </w:p>
    <w:p>
      <w:pPr>
        <w:ind w:firstLine="560"/>
        <w:jc w:val="left"/>
        <w:keepLines w:val="0"/>
        <w:keepNext w:val="0"/>
        <w:pageBreakBefore w:val="0"/>
        <w:spacing w:line="360" w:lineRule="auto"/>
        <w:widowControl w:val="off"/>
        <w:rPr>
          <w:rFonts w:hint="eastAsia" w:ascii="黑体" w:hAnsi="黑体" w:eastAsia="黑体" w:cs="黑体"/>
          <w:sz w:val="28"/>
          <w:szCs w:val="28"/>
          <w:lang w:val="en-US" w:eastAsia="zh-CN"/>
        </w:rPr>
      </w:pPr>
      <w:r>
        <w:rPr>
          <w:rFonts w:hint="eastAsia" w:ascii="黑体" w:hAnsi="黑体" w:eastAsia="黑体" w:cs="黑体"/>
          <w:sz w:val="28"/>
          <w:szCs w:val="28"/>
        </w:rPr>
        <w:t xml:space="preserve">13、</w:t>
      </w:r>
      <w:r>
        <w:rPr>
          <w:rFonts w:hint="eastAsia" w:ascii="黑体" w:hAnsi="黑体" w:eastAsia="黑体" w:cs="黑体"/>
          <w:sz w:val="28"/>
          <w:szCs w:val="28"/>
          <w:lang w:val="en-US" w:eastAsia="zh-CN"/>
        </w:rPr>
        <w:t xml:space="preserve">所供服务（服务附带的产品）内容及服务要求偏离表</w:t>
      </w:r>
      <w:r/>
    </w:p>
    <w:p>
      <w:pPr>
        <w:ind w:firstLine="480"/>
        <w:pageBreakBefore w:val="0"/>
        <w:spacing w:line="460" w:lineRule="exact"/>
        <w:widowControl w:val="off"/>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en-US" w:eastAsia="zh-CN"/>
        </w:rPr>
        <w:t xml:space="preserve">3</w:t>
      </w:r>
      <w:r>
        <w:rPr>
          <w:rFonts w:ascii="宋体" w:hAnsi="Arial" w:cs="宋体"/>
          <w:bCs/>
          <w:sz w:val="24"/>
          <w:highlight w:val="none"/>
          <w:lang w:val="zh-CN"/>
        </w:rPr>
        <w:t xml:space="preserve">.1</w:t>
      </w:r>
      <w:r>
        <w:rPr>
          <w:rFonts w:hint="eastAsia" w:ascii="宋体" w:hAnsi="Arial" w:cs="宋体"/>
          <w:sz w:val="24"/>
          <w:highlight w:val="none"/>
          <w:lang w:val="zh-CN"/>
        </w:rPr>
        <w:t xml:space="preserve">投标人需对招标文件中的</w:t>
      </w:r>
      <w:r>
        <w:rPr>
          <w:rFonts w:hint="eastAsia" w:ascii="宋体" w:hAnsi="Arial" w:cs="宋体"/>
          <w:sz w:val="24"/>
          <w:highlight w:val="none"/>
          <w:lang w:val="en-US" w:eastAsia="zh-CN"/>
        </w:rPr>
        <w:t xml:space="preserve">服务内容及服务要求</w:t>
      </w:r>
      <w:r>
        <w:rPr>
          <w:rFonts w:hint="eastAsia" w:ascii="宋体" w:hAnsi="Arial" w:cs="宋体"/>
          <w:sz w:val="24"/>
          <w:highlight w:val="none"/>
          <w:lang w:val="zh-CN"/>
        </w:rPr>
        <w:t xml:space="preserve">要求逐项作出响应或偏离，并说明原因。</w:t>
      </w:r>
      <w:r/>
    </w:p>
    <w:p>
      <w:pPr>
        <w:ind w:firstLine="480"/>
        <w:pageBreakBefore w:val="0"/>
        <w:spacing w:line="460" w:lineRule="exact"/>
        <w:widowControl w:val="off"/>
        <w:tabs>
          <w:tab w:val="left" w:pos="1035" w:leader="none"/>
        </w:tabs>
        <w:rPr>
          <w:rFonts w:hint="eastAsia" w:ascii="宋体" w:hAnsi="Arial" w:cs="宋体"/>
          <w:sz w:val="24"/>
          <w:highlight w:val="none"/>
          <w:lang w:val="zh-CN"/>
        </w:rPr>
      </w:pPr>
      <w:r>
        <w:rPr>
          <w:rFonts w:hint="eastAsia" w:ascii="宋体" w:hAnsi="Arial" w:cs="宋体"/>
          <w:sz w:val="24"/>
          <w:highlight w:val="none"/>
          <w:lang w:val="zh-CN"/>
        </w:rPr>
        <w:t xml:space="preserve">1</w:t>
      </w:r>
      <w:r>
        <w:rPr>
          <w:rFonts w:hint="eastAsia" w:ascii="宋体" w:hAnsi="Arial" w:cs="宋体"/>
          <w:sz w:val="24"/>
          <w:highlight w:val="none"/>
          <w:lang w:val="en-US" w:eastAsia="zh-CN"/>
        </w:rPr>
        <w:t xml:space="preserve">3</w:t>
      </w:r>
      <w:r>
        <w:rPr>
          <w:rFonts w:hint="eastAsia" w:ascii="宋体" w:hAnsi="Arial" w:cs="宋体"/>
          <w:sz w:val="24"/>
          <w:highlight w:val="none"/>
          <w:lang w:val="zh-CN"/>
        </w:rPr>
        <w:t xml:space="preserve">.2投标人可在投标文件中提供认为需要的其他技术文件或说明。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07" w:name="_Toc14577359"/>
      <w:r/>
      <w:bookmarkStart w:id="108" w:name="_Toc49090510"/>
      <w:r>
        <w:rPr>
          <w:rFonts w:hint="eastAsia" w:ascii="黑体" w:hAnsi="黑体" w:eastAsia="黑体" w:cs="黑体"/>
          <w:sz w:val="28"/>
          <w:szCs w:val="28"/>
        </w:rPr>
        <w:t xml:space="preserve">14、投标函和开标一览表</w:t>
      </w:r>
      <w:bookmarkEnd w:id="107"/>
      <w:r/>
      <w:bookmarkEnd w:id="108"/>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14.2对于采用货币报价的项目，开标一览表中的投标总报价应与投标</w:t>
      </w:r>
      <w:r>
        <w:rPr>
          <w:rFonts w:hint="eastAsia" w:ascii="宋体" w:hAnsi="宋体" w:eastAsia="宋体" w:cs="宋体"/>
          <w:sz w:val="24"/>
          <w:szCs w:val="24"/>
          <w:lang w:eastAsia="zh-CN"/>
        </w:rPr>
        <w:t xml:space="preserve">报价明细表</w:t>
      </w:r>
      <w:r>
        <w:rPr>
          <w:rFonts w:hint="eastAsia" w:ascii="宋体" w:hAnsi="宋体" w:eastAsia="宋体" w:cs="宋体"/>
          <w:sz w:val="24"/>
          <w:szCs w:val="24"/>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09" w:name="_Toc14577360"/>
      <w:r/>
      <w:bookmarkStart w:id="110" w:name="_Toc49090511"/>
      <w:r/>
      <w:bookmarkStart w:id="111" w:name="_Hlt26954734"/>
      <w:r/>
      <w:bookmarkStart w:id="112" w:name="_Hlt26670489"/>
      <w:r/>
      <w:bookmarkStart w:id="113" w:name="_Hlt26954850"/>
      <w:r>
        <w:rPr>
          <w:rFonts w:hint="eastAsia" w:ascii="黑体" w:hAnsi="黑体" w:eastAsia="黑体" w:cs="黑体"/>
          <w:sz w:val="28"/>
          <w:szCs w:val="28"/>
        </w:rPr>
        <w:t xml:space="preserve">15、投标有效期</w:t>
      </w:r>
      <w:bookmarkEnd w:id="109"/>
      <w:r/>
      <w:bookmarkEnd w:id="110"/>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15.1投标有效期为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16.1在特殊情况下，采购中心于原投标有效期满之前，可向投标人提出延长投标有效期的要求。这种要求与答复均应采用书面形式。投标人可以拒绝</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14" w:name="_Toc20823296"/>
      <w:r/>
      <w:bookmarkStart w:id="115" w:name="_Toc16938540"/>
      <w:r/>
      <w:bookmarkStart w:id="116" w:name="_Toc513029224"/>
      <w:r/>
      <w:bookmarkStart w:id="117" w:name="_Toc120614217"/>
      <w:r/>
      <w:bookmarkStart w:id="118" w:name="_Hlt26954739"/>
      <w:r/>
      <w:bookmarkStart w:id="119" w:name="_Hlt26954852"/>
      <w:r>
        <w:rPr>
          <w:rFonts w:hint="eastAsia" w:ascii="黑体" w:hAnsi="黑体" w:eastAsia="黑体" w:cs="黑体"/>
          <w:sz w:val="28"/>
          <w:szCs w:val="28"/>
        </w:rPr>
        <w:t xml:space="preserve">四、投标文件的递交</w:t>
      </w:r>
      <w:bookmarkEnd w:id="114"/>
      <w:r/>
      <w:bookmarkEnd w:id="115"/>
      <w:r/>
      <w:bookmarkEnd w:id="116"/>
      <w:r/>
      <w:bookmarkEnd w:id="117"/>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20" w:name="_Toc462564084"/>
      <w:r/>
      <w:bookmarkStart w:id="121" w:name="_Toc16938541"/>
      <w:r/>
      <w:bookmarkStart w:id="122" w:name="_Toc513029225"/>
      <w:r/>
      <w:bookmarkStart w:id="123" w:name="_Toc20823297"/>
      <w:r>
        <w:rPr>
          <w:rFonts w:hint="eastAsia" w:ascii="黑体" w:hAnsi="黑体" w:eastAsia="黑体" w:cs="黑体"/>
          <w:sz w:val="28"/>
          <w:szCs w:val="28"/>
        </w:rPr>
        <w:t xml:space="preserve">17、投标文件</w:t>
      </w:r>
      <w:bookmarkEnd w:id="120"/>
      <w:r/>
      <w:bookmarkEnd w:id="121"/>
      <w:r/>
      <w:bookmarkEnd w:id="122"/>
      <w:r/>
      <w:bookmarkEnd w:id="123"/>
      <w:r>
        <w:rPr>
          <w:rFonts w:hint="eastAsia" w:ascii="黑体" w:hAnsi="黑体" w:eastAsia="黑体" w:cs="黑体"/>
          <w:sz w:val="28"/>
          <w:szCs w:val="28"/>
        </w:rPr>
        <w:t xml:space="preserve">的递交</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电子投标文件的递交</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24" w:name="_Toc16938542"/>
      <w:r/>
      <w:bookmarkEnd w:id="124"/>
      <w:r/>
      <w:bookmarkStart w:id="125" w:name="_Toc20823298"/>
      <w:r/>
      <w:bookmarkEnd w:id="125"/>
      <w:r/>
      <w:bookmarkStart w:id="126" w:name="_Toc513029226"/>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27" w:name="_Toc16938543"/>
      <w:r/>
      <w:bookmarkStart w:id="128" w:name="_Toc20823299"/>
      <w:r/>
      <w:bookmarkStart w:id="129" w:name="_Toc513029227"/>
      <w:r>
        <w:rPr>
          <w:rFonts w:hint="eastAsia" w:ascii="黑体" w:hAnsi="黑体" w:eastAsia="黑体" w:cs="黑体"/>
          <w:sz w:val="28"/>
          <w:szCs w:val="28"/>
        </w:rPr>
        <w:t xml:space="preserve">19、投标文件</w:t>
      </w:r>
      <w:bookmarkEnd w:id="127"/>
      <w:r/>
      <w:bookmarkEnd w:id="128"/>
      <w:r/>
      <w:bookmarkEnd w:id="129"/>
      <w:r>
        <w:rPr>
          <w:rFonts w:hint="eastAsia" w:ascii="黑体" w:hAnsi="黑体" w:eastAsia="黑体" w:cs="黑体"/>
          <w:sz w:val="28"/>
          <w:szCs w:val="28"/>
        </w:rPr>
        <w:t xml:space="preserve">的拒收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30" w:name="_Toc513029228"/>
      <w:r/>
      <w:bookmarkStart w:id="131" w:name="_Toc16938544"/>
      <w:r/>
      <w:bookmarkStart w:id="132" w:name="_Toc20823300"/>
      <w:r>
        <w:rPr>
          <w:rFonts w:hint="eastAsia" w:ascii="黑体" w:hAnsi="黑体" w:eastAsia="黑体" w:cs="黑体"/>
          <w:sz w:val="28"/>
          <w:szCs w:val="28"/>
        </w:rPr>
        <w:t xml:space="preserve">20、投标文件的撤回和修改</w:t>
      </w:r>
      <w:bookmarkEnd w:id="130"/>
      <w:r/>
      <w:bookmarkEnd w:id="131"/>
      <w:r/>
      <w:bookmarkEnd w:id="132"/>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33" w:name="_Toc513029229"/>
      <w:r/>
      <w:bookmarkStart w:id="134" w:name="_Toc120614218"/>
      <w:r/>
      <w:bookmarkStart w:id="135" w:name="_Toc16938545"/>
      <w:r/>
      <w:bookmarkStart w:id="136" w:name="_Toc20823301"/>
      <w:r>
        <w:rPr>
          <w:rFonts w:hint="eastAsia" w:ascii="黑体" w:hAnsi="黑体" w:eastAsia="黑体" w:cs="黑体"/>
          <w:sz w:val="28"/>
          <w:szCs w:val="28"/>
        </w:rPr>
        <w:t xml:space="preserve">五、开标与评标</w:t>
      </w:r>
      <w:bookmarkEnd w:id="133"/>
      <w:r/>
      <w:bookmarkEnd w:id="134"/>
      <w:r/>
      <w:bookmarkEnd w:id="135"/>
      <w:r/>
      <w:bookmarkEnd w:id="136"/>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37" w:name="_Toc16938546"/>
      <w:r/>
      <w:bookmarkStart w:id="138" w:name="_Toc20823302"/>
      <w:r/>
      <w:bookmarkStart w:id="139" w:name="_Toc513029230"/>
      <w:r>
        <w:rPr>
          <w:rFonts w:hint="eastAsia" w:ascii="黑体" w:hAnsi="黑体" w:eastAsia="黑体" w:cs="黑体"/>
          <w:sz w:val="28"/>
          <w:szCs w:val="28"/>
        </w:rPr>
        <w:t xml:space="preserve">21、开标</w:t>
      </w:r>
      <w:bookmarkEnd w:id="137"/>
      <w:r/>
      <w:bookmarkEnd w:id="138"/>
      <w:r/>
      <w:bookmarkEnd w:id="139"/>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21.2开标仪式由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40" w:name="_Toc513029231"/>
      <w:r/>
      <w:bookmarkStart w:id="141" w:name="_Toc16938547"/>
      <w:r/>
      <w:bookmarkStart w:id="142" w:name="_Toc20823303"/>
      <w:r>
        <w:rPr>
          <w:rFonts w:hint="eastAsia" w:ascii="黑体" w:hAnsi="黑体" w:eastAsia="黑体" w:cs="黑体"/>
          <w:sz w:val="28"/>
          <w:szCs w:val="28"/>
        </w:rPr>
        <w:t xml:space="preserve">22、评标委员会</w:t>
      </w:r>
      <w:bookmarkEnd w:id="140"/>
      <w:r/>
      <w:bookmarkEnd w:id="141"/>
      <w:r/>
      <w:bookmarkEnd w:id="142"/>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22.1开标后，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22.3评委会独立工作，负责评审所有投标文件并确定中标侯选人。</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43" w:name="_Toc20823304"/>
      <w:r/>
      <w:bookmarkStart w:id="144" w:name="_Toc16938548"/>
      <w:r/>
      <w:bookmarkStart w:id="145" w:name="_Toc513029232"/>
      <w:r>
        <w:rPr>
          <w:rFonts w:hint="eastAsia" w:ascii="黑体" w:hAnsi="黑体" w:eastAsia="黑体" w:cs="黑体"/>
          <w:sz w:val="28"/>
          <w:szCs w:val="28"/>
        </w:rPr>
        <w:t xml:space="preserve">24、投标文件的澄清</w:t>
      </w:r>
      <w:bookmarkEnd w:id="143"/>
      <w:r/>
      <w:bookmarkEnd w:id="144"/>
      <w:r/>
      <w:bookmarkEnd w:id="145"/>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46" w:name="_Toc16938549"/>
      <w:r/>
      <w:bookmarkStart w:id="147" w:name="_Toc513029233"/>
      <w:r/>
      <w:bookmarkStart w:id="148" w:name="_Toc20823305"/>
      <w:r>
        <w:rPr>
          <w:rFonts w:hint="eastAsia" w:ascii="黑体" w:hAnsi="黑体" w:eastAsia="黑体" w:cs="黑体"/>
          <w:sz w:val="28"/>
          <w:szCs w:val="28"/>
        </w:rPr>
        <w:t xml:space="preserve">25、对投标文件的初审</w:t>
      </w:r>
      <w:bookmarkEnd w:id="146"/>
      <w:r/>
      <w:bookmarkEnd w:id="147"/>
      <w:r/>
      <w:bookmarkEnd w:id="148"/>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将在苏采云系统中告知未通过资格审查或符合性审查的原因，评标结束后，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49" w:name="_Toc20823306"/>
      <w:r/>
      <w:bookmarkStart w:id="150" w:name="_Toc16938550"/>
      <w:r/>
      <w:bookmarkStart w:id="151" w:name="_Toc513029234"/>
      <w:r>
        <w:rPr>
          <w:rFonts w:hint="eastAsia" w:ascii="宋体" w:hAnsi="宋体" w:eastAsia="宋体" w:cs="宋体"/>
          <w:sz w:val="24"/>
          <w:szCs w:val="24"/>
        </w:rPr>
        <w:t xml:space="preserve">25.6投标人在开、评标全过程中应保持通讯畅通，及时登录苏采云系统查阅、答复相关信息，并安排专人与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及评标委员会联系。</w:t>
      </w:r>
      <w:bookmarkEnd w:id="149"/>
      <w:r/>
      <w:bookmarkEnd w:id="150"/>
      <w:r/>
      <w:bookmarkEnd w:id="151"/>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52" w:name="_Toc16938551"/>
      <w:r/>
      <w:bookmarkStart w:id="153" w:name="_Toc20823307"/>
      <w:r/>
      <w:bookmarkStart w:id="154" w:name="_Toc513029235"/>
      <w:r>
        <w:rPr>
          <w:rFonts w:hint="eastAsia" w:ascii="宋体" w:hAnsi="宋体" w:eastAsia="宋体" w:cs="宋体"/>
          <w:sz w:val="24"/>
          <w:szCs w:val="24"/>
        </w:rPr>
        <w:t xml:space="preserve">26.1无效投标条款</w:t>
      </w:r>
      <w:bookmarkEnd w:id="152"/>
      <w:r/>
      <w:bookmarkEnd w:id="153"/>
      <w:r/>
      <w:bookmarkEnd w:id="154"/>
      <w:r/>
      <w:r/>
    </w:p>
    <w:p>
      <w:pPr>
        <w:ind w:firstLine="480"/>
        <w:pageBreakBefore w:val="0"/>
        <w:spacing w:line="460" w:lineRule="exact"/>
        <w:widowControl w:val="off"/>
        <w:rPr>
          <w:rFonts w:hint="eastAsia" w:ascii="宋体" w:hAnsi="宋体"/>
          <w:bCs/>
          <w:sz w:val="24"/>
          <w:szCs w:val="24"/>
        </w:rPr>
      </w:pPr>
      <w:r>
        <w:rPr>
          <w:rFonts w:hint="eastAsia" w:ascii="宋体" w:hAnsi="宋体"/>
          <w:bCs/>
          <w:sz w:val="24"/>
          <w:lang w:eastAsia="zh-CN"/>
        </w:rPr>
        <w:t xml:space="preserve">26.1</w:t>
      </w:r>
      <w:r>
        <w:rPr>
          <w:rFonts w:hint="eastAsia" w:ascii="宋体" w:hAnsi="宋体"/>
          <w:bCs/>
          <w:sz w:val="24"/>
          <w:szCs w:val="24"/>
        </w:rPr>
        <w:t xml:space="preserve">.1投标人在</w:t>
      </w:r>
      <w:r>
        <w:rPr>
          <w:rFonts w:hint="eastAsia" w:ascii="宋体" w:hAnsi="宋体"/>
          <w:color w:val="auto"/>
          <w:sz w:val="24"/>
          <w:szCs w:val="24"/>
        </w:rPr>
        <w:t xml:space="preserve">苏采云系统</w:t>
      </w:r>
      <w:r>
        <w:rPr>
          <w:rFonts w:hint="eastAsia" w:ascii="宋体" w:hAnsi="宋体"/>
          <w:bCs/>
          <w:sz w:val="24"/>
          <w:szCs w:val="24"/>
        </w:rPr>
        <w:t xml:space="preserve">规定的时间内未成功解密电子投标文件的。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.2投标人未按照招标文件要求上传电子投标文件的。</w:t>
      </w:r>
      <w:r/>
    </w:p>
    <w:p>
      <w:pPr>
        <w:ind w:left="479"/>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.3同一投标人投标人递交两份或多份内容不同的投标文件，或在一份投标文件中对同一采购项目报有两个或多个报价，且未声明哪一个有效，按招标文件规定提交备选方案的除外。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4</w:t>
      </w:r>
      <w:r>
        <w:rPr>
          <w:rFonts w:hint="eastAsia" w:ascii="宋体" w:hAnsi="宋体"/>
          <w:bCs/>
          <w:sz w:val="24"/>
        </w:rPr>
        <w:t xml:space="preserve">投标人不具备招标文件中规定资格要求的。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sz w:val="24"/>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.6被授权人无法提供证明其为本单位正式职工的社会养老保险缴费证明的。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sz w:val="24"/>
          <w:lang w:val="en-US" w:eastAsia="zh-CN"/>
        </w:rPr>
        <w:t xml:space="preserve">26.1.7</w:t>
      </w:r>
      <w:r>
        <w:rPr>
          <w:rFonts w:hint="eastAsia" w:ascii="Times New Roman" w:hAnsi="Times New Roman" w:eastAsia="宋体" w:cs="Times New Roman"/>
          <w:color w:val="auto"/>
          <w:sz w:val="24"/>
          <w:szCs w:val="22"/>
          <w:highlight w:val="none"/>
          <w:lang w:val="en-US" w:eastAsia="zh-CN" w:bidi="ar-SA"/>
        </w:rPr>
        <w:t xml:space="preserve">由被授权人参加，但未随投标文件一起提交合法、有效的“授权委托书”的。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8</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9</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sz w:val="24"/>
          <w:u w:val="single"/>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10</w:t>
      </w:r>
      <w:r>
        <w:rPr>
          <w:rFonts w:hint="eastAsia" w:ascii="宋体" w:hAnsi="宋体"/>
          <w:bCs/>
          <w:sz w:val="24"/>
        </w:rPr>
        <w:t xml:space="preserve">未通过符合性审查的。</w:t>
      </w:r>
      <w:r/>
    </w:p>
    <w:p>
      <w:pPr>
        <w:ind w:firstLine="480"/>
        <w:pageBreakBefore w:val="0"/>
        <w:spacing w:line="460" w:lineRule="exact"/>
        <w:widowControl w:val="off"/>
        <w:rPr>
          <w:rFonts w:hint="eastAsia" w:ascii="宋体" w:hAnsi="宋体"/>
          <w:bCs/>
          <w:sz w:val="24"/>
          <w:lang w:eastAsia="zh-CN"/>
        </w:rPr>
      </w:pPr>
      <w:r>
        <w:rPr>
          <w:rFonts w:hint="eastAsia" w:ascii="宋体" w:hAnsi="宋体"/>
          <w:bCs/>
          <w:sz w:val="24"/>
          <w:lang w:eastAsia="zh-CN"/>
        </w:rPr>
        <w:t xml:space="preserve">26.1.</w:t>
      </w:r>
      <w:r>
        <w:rPr>
          <w:rFonts w:hint="eastAsia" w:ascii="宋体" w:hAnsi="宋体"/>
          <w:bCs/>
          <w:sz w:val="24"/>
          <w:lang w:val="en-US" w:eastAsia="zh-CN"/>
        </w:rPr>
        <w:t xml:space="preserve">11</w:t>
      </w:r>
      <w:r>
        <w:rPr>
          <w:rFonts w:hint="eastAsia" w:ascii="宋体" w:hAnsi="宋体"/>
          <w:bCs/>
          <w:sz w:val="24"/>
          <w:lang w:eastAsia="zh-CN"/>
        </w:rPr>
        <w:t xml:space="preserve">不符合招标文件中规定的实质性要求和条件的</w:t>
      </w:r>
      <w:r>
        <w:rPr>
          <w:rFonts w:hint="eastAsia" w:ascii="宋体" w:hAnsi="宋体"/>
          <w:bCs/>
          <w:sz w:val="24"/>
          <w:lang w:val="en-US" w:eastAsia="zh-CN"/>
        </w:rPr>
        <w:t xml:space="preserve">。</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12</w:t>
      </w:r>
      <w:r>
        <w:rPr>
          <w:rFonts w:hint="eastAsia" w:ascii="宋体" w:hAnsi="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13</w:t>
      </w:r>
      <w:r>
        <w:rPr>
          <w:rFonts w:hint="eastAsia" w:ascii="宋体" w:hAnsi="宋体"/>
          <w:bCs/>
          <w:sz w:val="24"/>
        </w:rPr>
        <w:t xml:space="preserve">投标文件含有采购人不能接受的附加条件的。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14</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auto"/>
          <w:sz w:val="24"/>
        </w:rPr>
        <w:t xml:space="preserve">要求</w:t>
      </w:r>
      <w:r>
        <w:rPr>
          <w:rFonts w:hint="eastAsia" w:ascii="宋体" w:hAnsi="宋体"/>
          <w:bCs/>
          <w:sz w:val="24"/>
        </w:rPr>
        <w:t xml:space="preserve">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sz w:val="24"/>
        </w:rPr>
        <w:t xml:space="preserve">。</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26.1.15投标文件中所供产品供货期限（服务周期）、售后服务条款不符合招标文件相关条款要求或技术指标要求、货物的包装方式、检验标准等低于招标文件规定指标、要求的；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26.1.16以他人的名义投标、串通投标、以行贿手段谋取中标或者以其他弄虚作假方式投标的；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26.1.17组成联合体，投标文件未附联合体协议的。</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26.1.18投标文件未按照招标文件要求签署或加盖CA电子公章的。</w:t>
      </w:r>
      <w:r/>
    </w:p>
    <w:p>
      <w:pPr>
        <w:ind w:firstLine="480"/>
        <w:pageBreakBefore w:val="0"/>
        <w:spacing w:line="460" w:lineRule="exact"/>
        <w:widowControl w:val="off"/>
        <w:rPr>
          <w:rFonts w:hint="eastAsia" w:ascii="宋体" w:hAnsi="宋体"/>
          <w:bCs/>
          <w:sz w:val="24"/>
        </w:rPr>
      </w:pPr>
      <w:r>
        <w:rPr>
          <w:rFonts w:hint="eastAsia" w:ascii="宋体" w:hAnsi="宋体"/>
          <w:bCs/>
          <w:sz w:val="24"/>
          <w:lang w:eastAsia="zh-CN"/>
        </w:rPr>
        <w:t xml:space="preserve">26.1</w:t>
      </w:r>
      <w:r>
        <w:rPr>
          <w:rFonts w:hint="eastAsia" w:ascii="宋体" w:hAnsi="宋体"/>
          <w:bCs/>
          <w:sz w:val="24"/>
        </w:rPr>
        <w:t xml:space="preserve">.</w:t>
      </w:r>
      <w:r>
        <w:rPr>
          <w:rFonts w:hint="eastAsia" w:ascii="宋体" w:hAnsi="宋体"/>
          <w:bCs/>
          <w:sz w:val="24"/>
          <w:lang w:val="en-US" w:eastAsia="zh-CN"/>
        </w:rPr>
        <w:t xml:space="preserve">19</w:t>
      </w:r>
      <w:r>
        <w:rPr>
          <w:rFonts w:hint="eastAsia" w:ascii="宋体" w:hAnsi="宋体"/>
          <w:bCs/>
          <w:sz w:val="24"/>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26.2废标条款</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26.2.5因苏采云系统故障原因造成开标不成功的。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55" w:name="_Toc120614219"/>
      <w:r>
        <w:rPr>
          <w:rFonts w:hint="eastAsia" w:ascii="黑体" w:hAnsi="黑体" w:eastAsia="黑体" w:cs="黑体"/>
          <w:sz w:val="28"/>
          <w:szCs w:val="28"/>
        </w:rPr>
        <w:t xml:space="preserve">六、定标</w:t>
      </w:r>
      <w:bookmarkEnd w:id="155"/>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56" w:name="_Toc20823310"/>
      <w:r/>
      <w:bookmarkStart w:id="157" w:name="_Toc513029238"/>
      <w:r/>
      <w:bookmarkStart w:id="158" w:name="_Toc16938554"/>
      <w:r>
        <w:rPr>
          <w:rFonts w:hint="eastAsia" w:ascii="黑体" w:hAnsi="黑体" w:eastAsia="黑体" w:cs="黑体"/>
          <w:sz w:val="28"/>
          <w:szCs w:val="28"/>
        </w:rPr>
        <w:t xml:space="preserve">27、</w:t>
      </w:r>
      <w:bookmarkEnd w:id="156"/>
      <w:r>
        <w:rPr>
          <w:rFonts w:hint="eastAsia" w:ascii="黑体" w:hAnsi="黑体" w:eastAsia="黑体" w:cs="黑体"/>
          <w:sz w:val="28"/>
          <w:szCs w:val="28"/>
        </w:rPr>
        <w:t xml:space="preserve">确定</w:t>
      </w:r>
      <w:bookmarkEnd w:id="157"/>
      <w:r/>
      <w:bookmarkEnd w:id="158"/>
      <w:r>
        <w:rPr>
          <w:rFonts w:hint="eastAsia" w:ascii="黑体" w:hAnsi="黑体" w:eastAsia="黑体" w:cs="黑体"/>
          <w:sz w:val="28"/>
          <w:szCs w:val="28"/>
        </w:rPr>
        <w:t xml:space="preserve">中标单位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27.3</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sz w:val="24"/>
          <w:szCs w:val="24"/>
        </w:rPr>
      </w:pPr>
      <w:r/>
      <w:bookmarkStart w:id="159" w:name="_Toc200451960"/>
      <w:r>
        <w:rPr>
          <w:rFonts w:hint="eastAsia" w:ascii="宋体" w:hAnsi="宋体" w:eastAsia="宋体" w:cs="宋体"/>
          <w:sz w:val="24"/>
          <w:szCs w:val="24"/>
        </w:rPr>
        <w:t xml:space="preserve">27.5有下列情形之一的，视为投标人串通投标，投标无效：</w:t>
      </w:r>
      <w:bookmarkEnd w:id="159"/>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color w:val="ff0000"/>
          <w:sz w:val="24"/>
          <w:szCs w:val="24"/>
        </w:rPr>
      </w:pPr>
      <w:r>
        <w:rPr>
          <w:rFonts w:hint="eastAsia" w:ascii="宋体" w:hAnsi="宋体"/>
          <w:sz w:val="24"/>
          <w:szCs w:val="24"/>
        </w:rPr>
        <w:t xml:space="preserve">采购人只接收以纸质原件形式送达的质疑,建议供应商尽量通过邮寄方式提</w:t>
      </w:r>
      <w:r>
        <w:rPr>
          <w:rFonts w:hint="eastAsia" w:ascii="宋体" w:hAnsi="宋体"/>
          <w:color w:val="auto"/>
          <w:sz w:val="24"/>
          <w:szCs w:val="24"/>
        </w:rPr>
        <w:t xml:space="preserve">交质疑（采购人不接受未填写快递运单的快件）</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质疑受理部门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东台市农业农村局</w:t>
      </w:r>
      <w:r/>
    </w:p>
    <w:p>
      <w:pPr>
        <w:ind w:firstLine="48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东台市广场路6号</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0515-68961110</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29、中标通知书</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29.l 中标结果确定后，采购人将向中标人发出中标通知书。</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60" w:name="_Toc20823308"/>
      <w:r/>
      <w:bookmarkStart w:id="161" w:name="_Toc120614220"/>
      <w:r/>
      <w:bookmarkStart w:id="162" w:name="_Toc513029236"/>
      <w:r/>
      <w:bookmarkStart w:id="163" w:name="_Toc16938552"/>
      <w:r>
        <w:rPr>
          <w:rFonts w:hint="eastAsia" w:ascii="黑体" w:hAnsi="黑体" w:eastAsia="黑体" w:cs="黑体"/>
          <w:sz w:val="28"/>
          <w:szCs w:val="28"/>
        </w:rPr>
        <w:t xml:space="preserve">七、授予合同</w:t>
      </w:r>
      <w:bookmarkEnd w:id="160"/>
      <w:r/>
      <w:bookmarkEnd w:id="161"/>
      <w:r/>
      <w:bookmarkEnd w:id="162"/>
      <w:r/>
      <w:bookmarkEnd w:id="163"/>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64" w:name="_Toc20823309"/>
      <w:r/>
      <w:bookmarkStart w:id="165" w:name="_Toc513029237"/>
      <w:r/>
      <w:bookmarkStart w:id="166" w:name="_Toc16938553"/>
      <w:r>
        <w:rPr>
          <w:rFonts w:hint="eastAsia" w:ascii="黑体" w:hAnsi="黑体" w:eastAsia="黑体" w:cs="黑体"/>
          <w:sz w:val="28"/>
          <w:szCs w:val="28"/>
        </w:rPr>
        <w:t xml:space="preserve">30.签订合同</w:t>
      </w:r>
      <w:bookmarkEnd w:id="164"/>
      <w:r/>
      <w:bookmarkEnd w:id="165"/>
      <w:r/>
      <w:bookmarkEnd w:id="166"/>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30.2 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sz w:val="28"/>
          <w:szCs w:val="28"/>
        </w:rPr>
      </w:pPr>
      <w:r>
        <w:rPr>
          <w:rFonts w:hint="eastAsia" w:ascii="黑体" w:hAnsi="黑体" w:eastAsia="黑体" w:cs="黑体"/>
          <w:sz w:val="28"/>
          <w:szCs w:val="28"/>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keepLines w:val="0"/>
        <w:keepNext w:val="0"/>
        <w:pageBreakBefore w:val="0"/>
        <w:spacing w:line="360" w:lineRule="auto"/>
        <w:widowControl w:val="off"/>
        <w:rPr>
          <w:rFonts w:hint="eastAsia" w:ascii="黑体" w:hAnsi="黑体" w:eastAsia="黑体" w:cs="黑体"/>
          <w:sz w:val="28"/>
          <w:szCs w:val="28"/>
        </w:rPr>
      </w:pPr>
      <w:r/>
      <w:bookmarkStart w:id="167" w:name="_Toc513029242"/>
      <w:r/>
      <w:bookmarkStart w:id="168" w:name="_Toc120614221"/>
      <w:r/>
      <w:bookmarkStart w:id="169" w:name="_Toc20823314"/>
      <w:r/>
      <w:bookmarkStart w:id="170" w:name="_Toc479757207"/>
      <w:r/>
      <w:bookmarkStart w:id="171" w:name="_Toc16938558"/>
      <w:r>
        <w:rPr>
          <w:rFonts w:hint="eastAsia" w:ascii="黑体" w:hAnsi="黑体" w:eastAsia="黑体" w:cs="黑体"/>
          <w:sz w:val="28"/>
          <w:szCs w:val="28"/>
        </w:rPr>
        <w:t xml:space="preserve">32、政府采购履约资金扶持政策</w:t>
      </w:r>
      <w:bookmarkEnd w:id="167"/>
      <w:r/>
      <w:bookmarkEnd w:id="168"/>
      <w:r/>
      <w:bookmarkEnd w:id="169"/>
      <w:r/>
      <w:bookmarkEnd w:id="170"/>
      <w:r/>
      <w:bookmarkEnd w:id="171"/>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4"/>
        <w:jc w:val="center"/>
        <w:keepNext/>
        <w:spacing w:beforeAutospacing="0" w:afterAutospacing="0"/>
        <w:outlineLvl w:val="0"/>
      </w:pPr>
      <w:r/>
      <w:bookmarkStart w:id="172" w:name="_Toc23761"/>
      <w:r>
        <w:rPr>
          <w:rFonts w:hint="eastAsia" w:ascii="黑体" w:hAnsi="宋体" w:eastAsia="黑体" w:cs="黑体"/>
          <w:color w:val="000000"/>
          <w:sz w:val="44"/>
          <w:szCs w:val="44"/>
        </w:rPr>
        <w:t xml:space="preserve">第三章  合同文本</w:t>
      </w:r>
      <w:bookmarkEnd w:id="172"/>
      <w:r/>
      <w:r/>
    </w:p>
    <w:p>
      <w:pPr>
        <w:pStyle w:val="854"/>
        <w:ind w:firstLine="480"/>
        <w:jc w:val="both"/>
        <w:spacing w:beforeAutospacing="0" w:afterAutospacing="0" w:line="0" w:lineRule="atLeast"/>
      </w:pPr>
      <w:r/>
      <w:bookmarkStart w:id="173" w:name="_Toc513029243"/>
      <w:r/>
      <w:bookmarkStart w:id="174" w:name="_Toc20823315"/>
      <w:r/>
      <w:bookmarkStart w:id="175" w:name="_Toc16938559"/>
      <w:r>
        <w:rPr>
          <w:rFonts w:hint="eastAsia" w:ascii="宋体" w:hAnsi="宋体" w:eastAsia="宋体" w:cs="宋体"/>
          <w:color w:val="000000"/>
        </w:rPr>
        <w:t xml:space="preserve">以下为中标后签定本项目合同的通用条款，中标人不得提出实质性的修改。</w:t>
      </w:r>
      <w:bookmarkEnd w:id="173"/>
      <w:r/>
      <w:bookmarkEnd w:id="174"/>
      <w:r/>
      <w:bookmarkEnd w:id="175"/>
      <w:r/>
      <w:r/>
    </w:p>
    <w:p>
      <w:pPr>
        <w:pStyle w:val="854"/>
        <w:jc w:val="center"/>
        <w:spacing w:before="145" w:beforeAutospacing="0" w:after="145" w:afterAutospacing="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sz w:val="24"/>
          <w:szCs w:val="24"/>
        </w:rPr>
        <w:t xml:space="preserve">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目</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w:t>
      </w:r>
      <w:r>
        <w:rPr>
          <w:rFonts w:hint="eastAsia" w:ascii="宋体" w:hAnsi="宋体" w:eastAsia="宋体" w:cs="宋体"/>
          <w:color w:val="000000"/>
          <w:sz w:val="24"/>
          <w:szCs w:val="24"/>
          <w:u w:val="single"/>
          <w:lang w:val="en-US" w:eastAsia="zh-CN" w:bidi="ar-SA"/>
        </w:rPr>
        <w:t xml:space="preserve">东台市2024年秸秆机械化还田、打捆离田作业补助第三方核查项目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lightGray"/>
        </w:rPr>
      </w:pPr>
      <w:r>
        <w:rPr>
          <w:rFonts w:hint="eastAsia" w:ascii="宋体" w:hAnsi="宋体" w:eastAsia="宋体" w:cs="宋体"/>
          <w:sz w:val="24"/>
          <w:szCs w:val="24"/>
          <w:lang w:val="en-US" w:eastAsia="zh-CN"/>
        </w:rPr>
        <w:t xml:space="preserve">项 目 编 号：</w:t>
      </w:r>
      <w:r>
        <w:rPr>
          <w:rFonts w:hint="eastAsia" w:ascii="宋体" w:hAnsi="宋体" w:eastAsia="宋体" w:cs="宋体"/>
          <w:color w:val="000000"/>
          <w:sz w:val="24"/>
          <w:szCs w:val="24"/>
          <w:u w:val="single"/>
          <w:lang w:val="en-US" w:eastAsia="zh-CN" w:bidi="ar-SA"/>
        </w:rPr>
        <w:t xml:space="preserve">JSZC-320981-BJZC-G2024-0008</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sz w:val="24"/>
          <w:szCs w:val="24"/>
        </w:rPr>
        <w:t xml:space="preserve">甲方（买方）：</w:t>
      </w:r>
      <w:r>
        <w:rPr>
          <w:rFonts w:hint="eastAsia" w:ascii="宋体" w:hAnsi="宋体" w:eastAsia="宋体" w:cs="宋体"/>
          <w:sz w:val="24"/>
          <w:szCs w:val="24"/>
          <w:u w:val="single"/>
          <w:lang w:val="en-US" w:eastAsia="zh-CN"/>
        </w:rPr>
        <w:t xml:space="preserve">东台市农业农村局</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乙方（卖方）：</w:t>
      </w:r>
      <w:r>
        <w:rPr>
          <w:rFonts w:hint="eastAsia" w:ascii="宋体" w:hAnsi="宋体" w:eastAsia="宋体" w:cs="宋体"/>
          <w:sz w:val="24"/>
          <w:szCs w:val="24"/>
          <w:u w:val="single"/>
        </w:rPr>
        <w:t xml:space="preserve">           </w:t>
      </w:r>
      <w:r/>
    </w:p>
    <w:p>
      <w:pPr>
        <w:pStyle w:val="854"/>
        <w:ind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u w:val="none"/>
          <w:lang w:val="en-US" w:eastAsia="zh-CN" w:bidi="ar-SA"/>
        </w:rPr>
        <w:t xml:space="preserve">东台市2024年秸秆机械化还田、打捆离田作业补助第三方核查项目</w:t>
      </w:r>
      <w:r>
        <w:rPr>
          <w:rFonts w:hint="eastAsia" w:ascii="宋体" w:hAnsi="宋体" w:eastAsia="宋体" w:cs="宋体"/>
          <w:color w:val="000000"/>
          <w:sz w:val="24"/>
          <w:szCs w:val="24"/>
        </w:rPr>
        <w:t xml:space="preserve">公开招标的结果，签署本合同。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一、合同内容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1.1标的名称：</w:t>
      </w:r>
      <w:r>
        <w:rPr>
          <w:rFonts w:hint="eastAsia" w:ascii="宋体" w:hAnsi="宋体" w:eastAsia="宋体" w:cs="宋体"/>
          <w:color w:val="000000"/>
          <w:sz w:val="24"/>
          <w:szCs w:val="24"/>
          <w:u w:val="single"/>
          <w:lang w:val="en-US" w:eastAsia="zh-CN" w:bidi="ar-SA"/>
        </w:rPr>
        <w:t xml:space="preserve">东台市2024年秸秆机械化还田、打捆离田作业补助第三方核查项目</w:t>
      </w:r>
      <w:r/>
    </w:p>
    <w:p>
      <w:pPr>
        <w:ind w:firstLine="480"/>
        <w:keepLines w:val="0"/>
        <w:keepNext w:val="0"/>
        <w:pageBreakBefore w:val="0"/>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1.2标的质量：</w:t>
      </w:r>
      <w:r>
        <w:rPr>
          <w:rFonts w:hint="eastAsia" w:ascii="宋体" w:hAnsi="宋体" w:eastAsia="宋体" w:cs="宋体"/>
          <w:color w:val="000000"/>
          <w:sz w:val="24"/>
          <w:szCs w:val="24"/>
          <w:u w:val="single"/>
          <w:lang w:val="en-US" w:eastAsia="zh-CN" w:bidi="ar-SA"/>
        </w:rPr>
        <w:t xml:space="preserve">根据我市秸秆机械化还田、打捆离田技术路线和作业标准组织开展核查。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rPr>
        <w:t xml:space="preserve">1.3标的数量（规模）：</w:t>
      </w:r>
      <w:r>
        <w:rPr>
          <w:rFonts w:hint="eastAsia" w:ascii="宋体" w:hAnsi="宋体" w:eastAsia="宋体" w:cs="宋体"/>
          <w:color w:val="000000"/>
          <w:sz w:val="24"/>
          <w:szCs w:val="24"/>
          <w:u w:val="single"/>
          <w:lang w:val="en-US" w:eastAsia="zh-CN" w:bidi="ar-SA"/>
        </w:rPr>
        <w:t xml:space="preserve">全市夏秋两季稻、麦、玉米种植面积约180万亩；涉及农户约12万户次（具体还田、离田面积及户数以实际情况为准）。</w:t>
      </w:r>
      <w:r/>
    </w:p>
    <w:p>
      <w:pPr>
        <w:pStyle w:val="854"/>
        <w:ind w:left="0" w:firstLine="480"/>
        <w:jc w:val="left"/>
        <w:keepLines w:val="0"/>
        <w:keepNext w:val="0"/>
        <w:pageBreakBefore w:val="0"/>
        <w:spacing w:beforeAutospacing="0" w:afterAutospacing="0" w:line="360" w:lineRule="auto"/>
        <w:widowControl w:val="off"/>
        <w:rPr>
          <w:rFonts w:hint="default" w:ascii="宋体" w:hAnsi="宋体" w:eastAsia="宋体" w:cs="宋体"/>
          <w:sz w:val="24"/>
          <w:szCs w:val="24"/>
          <w:u w:val="single"/>
          <w:lang w:val="en-US" w:eastAsia="zh-CN"/>
        </w:rPr>
      </w:pPr>
      <w:r>
        <w:rPr>
          <w:rFonts w:hint="eastAsia" w:ascii="宋体" w:hAnsi="宋体" w:eastAsia="宋体" w:cs="宋体"/>
          <w:color w:val="000000"/>
          <w:sz w:val="24"/>
          <w:szCs w:val="24"/>
        </w:rPr>
        <w:t xml:space="preserve">1.4履行时间（期限）：</w:t>
      </w:r>
      <w:r>
        <w:rPr>
          <w:rFonts w:hint="eastAsia" w:ascii="宋体" w:hAnsi="宋体" w:eastAsia="宋体" w:cs="宋体"/>
          <w:color w:val="000000"/>
          <w:sz w:val="24"/>
          <w:szCs w:val="24"/>
          <w:u w:val="single"/>
          <w:lang w:val="en-US" w:eastAsia="zh-CN"/>
        </w:rPr>
        <w:t xml:space="preserve">1年</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color w:val="000000"/>
          <w:sz w:val="24"/>
          <w:szCs w:val="24"/>
        </w:rPr>
        <w:t xml:space="preserve">1.5履行地点：</w:t>
      </w:r>
      <w:r>
        <w:rPr>
          <w:rFonts w:hint="eastAsia" w:ascii="宋体" w:hAnsi="宋体" w:eastAsia="宋体" w:cs="宋体"/>
          <w:color w:val="000000"/>
          <w:sz w:val="24"/>
          <w:szCs w:val="24"/>
          <w:u w:val="single"/>
          <w:lang w:val="en-US" w:eastAsia="zh-CN"/>
        </w:rPr>
        <w:t xml:space="preserve">东台市</w:t>
      </w:r>
      <w:r/>
    </w:p>
    <w:p>
      <w:pPr>
        <w:ind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1.6履行方式：</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（1）现场核查。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动态核查：到申报还田、离田村组，现场查看机械还田、打捆离田作业情况，还田要检查到所有作业20亩以上的种植户及所有参加作业的农机合作社；离田按照总农户数100%、总核查面积不低于35%比例核查。做到见人、见机械、见还（离）田质量，做好记录，留有影像资料。</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静态核查：作业结束后，现场查看还田、打捆离田作业面积和作业质量，还田按照总核查面积60%比例核查（核查户数不低于镇级上报户数的10%），逐村开展核查；打捆离田按照总核查面积和农户数100%比例核查。要求深入村组和作业田块，进行现场核查，可采用顺查与逆查相结合的方法进行现场实地查勘。顺查是指由人到田，以名册上的机手、农户姓名为序，核查面积；逆查是指由田到人，以现场田亩核查到名册上的记载。现场核查要有必要的影像记录，拍摄还田、离田效果照片（有固定参照物）。</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电话访查。还田作业核查按照总核查面积和农户数40%比例访查，随机抽取申报表上的机手、秸秆机械化还田作业确认单中的农户（实际种植者）电话号码进行电话调查，重点核查作业面积和作业质量满意度；离田作业核查按照总核查面积和农户数100%比例访查，对申报表上的稻麦秸秆机械化打捆离田作业主体（机手）进行电话调查，重点核查作业农户和作业面积。</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二、合同金额</w:t>
      </w:r>
      <w:r/>
    </w:p>
    <w:p>
      <w:pPr>
        <w:ind w:firstLine="480"/>
        <w:spacing w:line="360" w:lineRule="auto"/>
        <w:rPr>
          <w:rFonts w:hint="eastAsia"/>
          <w:sz w:val="24"/>
          <w:szCs w:val="24"/>
          <w:lang w:val="en-US" w:eastAsia="zh-CN"/>
        </w:rPr>
      </w:pPr>
      <w:r>
        <w:rPr>
          <w:rFonts w:hint="eastAsia" w:ascii="宋体" w:hAnsi="宋体" w:eastAsia="宋体" w:cs="宋体"/>
          <w:color w:val="000000"/>
          <w:sz w:val="24"/>
          <w:szCs w:val="24"/>
          <w:lang w:val="en-US" w:eastAsia="zh-CN" w:bidi="ar-SA"/>
        </w:rPr>
        <w:t xml:space="preserve">2.1核</w:t>
      </w:r>
      <w:r>
        <w:rPr>
          <w:rFonts w:hint="eastAsia"/>
          <w:sz w:val="24"/>
          <w:szCs w:val="24"/>
          <w:lang w:val="en-US" w:eastAsia="zh-CN"/>
        </w:rPr>
        <w:t xml:space="preserve">查费用由核定面积（具体还田、离田面积及户数以实际情况为准）费用及核减面积费用构成，其中，核定面积费用为</w:t>
      </w:r>
      <w:r>
        <w:rPr>
          <w:rFonts w:hint="eastAsia"/>
          <w:sz w:val="24"/>
          <w:szCs w:val="24"/>
          <w:u w:val="single"/>
          <w:lang w:val="en-US" w:eastAsia="zh-CN"/>
        </w:rPr>
        <w:t xml:space="preserve">    </w:t>
      </w:r>
      <w:r>
        <w:rPr>
          <w:rFonts w:hint="eastAsia"/>
          <w:sz w:val="24"/>
          <w:szCs w:val="24"/>
          <w:lang w:val="en-US" w:eastAsia="zh-CN"/>
        </w:rPr>
        <w:t xml:space="preserve">元/亩，核减面积费用按核定面积费用中标价上浮25%计算。（注：本合同本年度总服务田亩数暂以140万亩估算，最终结算以实际发生面积为准）</w:t>
      </w:r>
      <w:r/>
    </w:p>
    <w:p>
      <w:pPr>
        <w:ind w:firstLine="480"/>
        <w:spacing w:line="360" w:lineRule="auto"/>
        <w:rPr>
          <w:sz w:val="24"/>
          <w:szCs w:val="24"/>
        </w:rPr>
      </w:pPr>
      <w:r>
        <w:rPr>
          <w:rFonts w:hint="eastAsia" w:ascii="宋体" w:hAnsi="宋体" w:eastAsia="宋体" w:cs="宋体"/>
          <w:color w:val="000000"/>
          <w:sz w:val="24"/>
          <w:szCs w:val="24"/>
          <w:lang w:val="en-US" w:eastAsia="zh-CN" w:bidi="ar-SA"/>
        </w:rPr>
        <w:t xml:space="preserve">2.2</w:t>
      </w:r>
      <w:r>
        <w:rPr>
          <w:rFonts w:hint="eastAsia"/>
          <w:sz w:val="24"/>
          <w:szCs w:val="24"/>
        </w:rPr>
        <w:t xml:space="preserve">本合同价款包含所有乙方提供合同约定的服务报酬及乙方提供合同中服务所支出的所有费用，甲方在上述合同价款之外不再向乙方支付其他任何费用。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三、技术资料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四、知识产权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五、产权担保</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5.1乙方保证所交付的服务（包含与服务相关的货物）的所有权完全属于乙方且无任何抵押、查封等产权瑕疵。</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六、履约保证金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w:t>
      </w:r>
      <w:r>
        <w:rPr>
          <w:rFonts w:ascii="SimSun" w:hAnsi="SimSun" w:eastAsia="SimSun" w:cs="SimSun"/>
          <w:color w:val="000000"/>
          <w:sz w:val="24"/>
          <w:u w:val="single"/>
        </w:rPr>
        <w:t xml:space="preserve">中标价的10％</w:t>
      </w:r>
      <w:r>
        <w:rPr>
          <w:rFonts w:ascii="SimSun" w:hAnsi="SimSun" w:eastAsia="SimSun" w:cs="SimSun"/>
          <w:color w:val="000000"/>
          <w:sz w:val="24"/>
        </w:rPr>
        <w:t xml:space="preserve">_作为本合同的履约保证金。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ascii="SimSun" w:hAnsi="SimSun" w:eastAsia="SimSun" w:cs="SimSun"/>
          <w:b/>
          <w:color w:val="7030a0"/>
          <w:sz w:val="24"/>
          <w:u w:val="single"/>
        </w:rPr>
        <w:t xml:space="preserve"> 是 </w:t>
      </w:r>
      <w:r>
        <w:rPr>
          <w:rFonts w:ascii="SimSun" w:hAnsi="SimSun" w:eastAsia="SimSun" w:cs="SimSun"/>
          <w:color w:val="7030a0"/>
          <w:sz w:val="24"/>
        </w:rPr>
        <w:t xml:space="preserve">免收 ，降低履约保证金缴纳比例</w:t>
      </w:r>
      <w:r>
        <w:rPr>
          <w:rFonts w:ascii="SimSun" w:hAnsi="SimSun" w:eastAsia="SimSun" w:cs="SimSun"/>
          <w:b/>
          <w:color w:val="7030a0"/>
          <w:sz w:val="24"/>
          <w:u w:val="single"/>
        </w:rPr>
        <w:t xml:space="preserve"> 100%  </w:t>
      </w:r>
      <w:r>
        <w:rPr>
          <w:rFonts w:ascii="SimSun" w:hAnsi="SimSun" w:eastAsia="SimSun" w:cs="SimSun"/>
          <w:b/>
          <w:color w:val="7030a0"/>
          <w:sz w:val="24"/>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6.2合同履行结束后，甲方应及时退还交纳的履约保证金。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七、合同转包或分包</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八、合同款项支付</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8.1合同款项的支付方式及进度安排</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8.1.1预付款支付时间：合同签订后</w:t>
      </w:r>
      <w:r>
        <w:rPr>
          <w:rFonts w:hint="eastAsia" w:ascii="宋体" w:hAnsi="宋体" w:eastAsia="宋体" w:cs="宋体"/>
          <w:color w:val="auto"/>
          <w:sz w:val="24"/>
          <w:szCs w:val="24"/>
          <w:u w:val="single"/>
          <w:lang w:val="en-US" w:eastAsia="zh-CN"/>
        </w:rPr>
        <w:t xml:space="preserve">收到乙方开具的发票后支付预付款</w:t>
      </w:r>
      <w:r>
        <w:rPr>
          <w:rFonts w:hint="eastAsia" w:ascii="宋体" w:hAnsi="宋体" w:eastAsia="宋体" w:cs="宋体"/>
          <w:color w:val="auto"/>
          <w:sz w:val="24"/>
          <w:szCs w:val="24"/>
          <w:u w:val="single"/>
        </w:rPr>
        <w:t xml:space="preserve">，</w:t>
      </w:r>
      <w:r>
        <w:rPr>
          <w:rFonts w:hint="eastAsia" w:ascii="宋体" w:hAnsi="宋体" w:eastAsia="宋体" w:cs="宋体"/>
          <w:b/>
          <w:bCs/>
          <w:color w:val="auto"/>
          <w:sz w:val="24"/>
          <w:szCs w:val="24"/>
          <w:u w:val="single"/>
        </w:rPr>
        <w:t xml:space="preserve">预付款支付比例：合同金额的</w:t>
      </w:r>
      <w:r>
        <w:rPr>
          <w:rFonts w:hint="eastAsia" w:ascii="宋体" w:hAnsi="宋体" w:eastAsia="宋体" w:cs="宋体"/>
          <w:b/>
          <w:bCs/>
          <w:color w:val="auto"/>
          <w:sz w:val="24"/>
          <w:szCs w:val="24"/>
          <w:u w:val="single"/>
          <w:lang w:val="en-US" w:eastAsia="zh-CN"/>
        </w:rPr>
        <w:t xml:space="preserve">10</w:t>
      </w:r>
      <w:r>
        <w:rPr>
          <w:rFonts w:hint="eastAsia" w:ascii="宋体" w:hAnsi="宋体" w:eastAsia="宋体" w:cs="宋体"/>
          <w:b/>
          <w:bCs/>
          <w:color w:val="auto"/>
          <w:sz w:val="24"/>
          <w:szCs w:val="24"/>
          <w:u w:val="single"/>
        </w:rPr>
        <w:t xml:space="preserve">%。</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u w:val="single"/>
        </w:rPr>
        <w:t xml:space="preserve">8.1.2尾款支付时间：服务结束并验收合格,</w:t>
      </w:r>
      <w:r>
        <w:rPr>
          <w:rFonts w:hint="eastAsia" w:ascii="宋体" w:hAnsi="宋体" w:eastAsia="宋体" w:cs="宋体"/>
          <w:color w:val="auto"/>
          <w:sz w:val="24"/>
          <w:szCs w:val="24"/>
          <w:u w:val="single"/>
          <w:lang w:val="en-US" w:eastAsia="zh-CN"/>
        </w:rPr>
        <w:t xml:space="preserve">由</w:t>
      </w:r>
      <w:r>
        <w:rPr>
          <w:rFonts w:hint="eastAsia" w:ascii="宋体" w:hAnsi="宋体" w:eastAsia="宋体" w:cs="宋体"/>
          <w:color w:val="auto"/>
          <w:sz w:val="24"/>
          <w:szCs w:val="24"/>
          <w:u w:val="single"/>
        </w:rPr>
        <w:t xml:space="preserve">采购人</w:t>
      </w:r>
      <w:r>
        <w:rPr>
          <w:rFonts w:hint="eastAsia" w:ascii="宋体" w:hAnsi="宋体" w:eastAsia="宋体" w:cs="宋体"/>
          <w:color w:val="auto"/>
          <w:sz w:val="24"/>
          <w:szCs w:val="24"/>
          <w:u w:val="single"/>
          <w:lang w:val="en-US" w:eastAsia="zh-CN"/>
        </w:rPr>
        <w:t xml:space="preserve">成立的考核小组对乙方核查服务结果进行考核和</w:t>
      </w:r>
      <w:r>
        <w:rPr>
          <w:rFonts w:hint="eastAsia" w:ascii="宋体" w:hAnsi="宋体" w:eastAsia="宋体" w:cs="宋体"/>
          <w:color w:val="auto"/>
          <w:sz w:val="24"/>
          <w:szCs w:val="24"/>
          <w:u w:val="single"/>
        </w:rPr>
        <w:t xml:space="preserve">验收</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甲方根据考核结果支付余款。</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九、税费</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十、项目验收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十一、违约责任</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11.1乙方未按合同规定完成受托核查工作的，甲方可视具体情况扣减部分或拒付全部核查评价费用；若甲方发现因乙方核查不到位造成秸秆还田、离田补助资金发放违规的，甲方将按违规发放的补助资金2：1扣减乙方履约保证金，未扣减的履约保证金在合同履约完成后退还给乙方。</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乙方承诺若中标后合同签订至履约完成，并严格按甲方考核办法进行核查服务，若成果文件不满足招标要求的，乙方无条件在甲方规定的期限内整改到位，一次整改不到位扣减10%的合同价款，两次以上整改扣减30%的合同价款，给甲方造成损失的，甲方依法追偿。</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11.3如果乙方无法按规定的日期提交核查报告时，按500元/天的标准扣除履约保证金，如果超过一周未提交，甲方有权扣除履约保证金并解除合同，给甲方造成损失的，甲方依法追偿。</w:t>
      </w:r>
      <w:r/>
    </w:p>
    <w:p>
      <w:pPr>
        <w:ind w:firstLine="480"/>
        <w:keepLines w:val="0"/>
        <w:keepNext w:val="0"/>
        <w:pageBreakBefore w:val="0"/>
        <w:spacing w:line="48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11.4乙方承诺在收到招标人通知后能提供</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分钟（含）之内到达现场服务，如不能在承诺期限到达，每次扣除履约保证金1000元，如果超过7次未在承诺期限到达，甲方有权扣除履约保证金并解除合同，给甲方造成损失的，甲方依法追偿。</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11.5乙方承诺若中标后合同签订至履约完成，不得更换项目负责人，核查专业服务人员调整比例不得超过</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%，如人员变动超过承诺百分比，甲方有权利扣除履约保证金并终止合同。</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11.6乙方擅自转包本合同标的，甲方有权解除合同，并可要求乙方赔偿已付项目价款的150%。</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11.7发生合同纠纷，由甲方所在地仲裁部门仲裁。</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十二、不可抗力事件处理</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12.2不可抗力事件发生后，应立即通知对方，并寄送有关权威机构出具的证明。</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12.3不可抗力事件延续120天以上，双方应通过友好协商，确定是否继续履行合同。</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十三、解决争议的方法</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w:t>
      </w:r>
      <w:r>
        <w:rPr>
          <w:rFonts w:hint="eastAsia" w:ascii="宋体" w:hAnsi="宋体" w:eastAsia="宋体" w:cs="宋体"/>
          <w:color w:val="000000"/>
        </w:rPr>
        <w:t xml:space="preserve">依法向甲方所在地人民法院提起诉讼。</w:t>
      </w:r>
      <w:r/>
    </w:p>
    <w:p>
      <w:pPr>
        <w:pStyle w:val="854"/>
        <w:ind w:left="0" w:firstLine="482"/>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十四、合同生效及其它</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14.1合同经双方法定代表人或授权委托代表人签字并加盖单位公章后生效。</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甲方：               乙方：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地址：               地址：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法定代表人或授权代表：       法定代表人或授权代表：</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pStyle w:val="854"/>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      年    月   日</w:t>
      </w:r>
      <w:bookmarkStart w:id="176" w:name="_Toc479757211"/>
      <w:r/>
      <w:bookmarkStart w:id="177" w:name="_Toc16938590"/>
      <w:r/>
      <w:bookmarkStart w:id="178" w:name="_Toc462564139"/>
      <w:r/>
      <w:bookmarkStart w:id="179" w:name="_Toc120614244"/>
      <w:r/>
      <w:bookmarkStart w:id="180" w:name="_Toc20823346"/>
      <w:r/>
      <w:bookmarkStart w:id="181" w:name="_Hlt16619350"/>
      <w:r/>
      <w:bookmarkStart w:id="182" w:name="_Hlt16619369"/>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854"/>
        <w:jc w:val="center"/>
        <w:keepLines w:val="0"/>
        <w:keepNext w:val="0"/>
        <w:pageBreakBefore w:val="0"/>
        <w:spacing w:beforeAutospacing="0" w:afterAutospacing="0" w:line="360" w:lineRule="auto"/>
        <w:widowControl w:val="off"/>
        <w:outlineLvl w:val="0"/>
      </w:pPr>
      <w:r/>
      <w:bookmarkStart w:id="183" w:name="_Toc23581"/>
      <w:r>
        <w:rPr>
          <w:rFonts w:hint="eastAsia" w:ascii="黑体" w:hAnsi="宋体" w:eastAsia="黑体" w:cs="黑体"/>
          <w:color w:val="000000"/>
          <w:sz w:val="44"/>
          <w:szCs w:val="44"/>
        </w:rPr>
        <w:t xml:space="preserve">第</w:t>
      </w:r>
      <w:bookmarkEnd w:id="176"/>
      <w:r>
        <w:rPr>
          <w:rFonts w:hint="eastAsia" w:ascii="黑体" w:hAnsi="宋体" w:eastAsia="黑体" w:cs="黑体"/>
          <w:color w:val="000000"/>
          <w:sz w:val="44"/>
          <w:szCs w:val="44"/>
        </w:rPr>
        <w:t xml:space="preserve">四章 采购需求</w:t>
      </w:r>
      <w:bookmarkEnd w:id="177"/>
      <w:r/>
      <w:bookmarkEnd w:id="178"/>
      <w:r/>
      <w:bookmarkEnd w:id="179"/>
      <w:r/>
      <w:bookmarkEnd w:id="180"/>
      <w:r/>
      <w:bookmarkEnd w:id="181"/>
      <w:r/>
      <w:bookmarkEnd w:id="183"/>
      <w:r/>
      <w:r/>
    </w:p>
    <w:p>
      <w:pPr>
        <w:pStyle w:val="854"/>
        <w:jc w:val="both"/>
        <w:spacing w:beforeAutospacing="0" w:afterAutospacing="0" w:line="0" w:lineRule="atLeast"/>
      </w:pPr>
      <w:r/>
      <w:bookmarkStart w:id="184" w:name="_Toc49090575"/>
      <w:r/>
      <w:bookmarkStart w:id="185" w:name="_Toc26554093"/>
      <w:r>
        <w:rPr>
          <w:rFonts w:hint="eastAsia" w:ascii="宋体" w:hAnsi="宋体" w:eastAsia="宋体" w:cs="宋体"/>
          <w:color w:val="000000"/>
        </w:rPr>
        <w:t xml:space="preserve">项目属性:服务类项目。</w:t>
      </w:r>
      <w:bookmarkEnd w:id="184"/>
      <w:r/>
      <w:bookmarkEnd w:id="185"/>
      <w:r/>
      <w:r/>
    </w:p>
    <w:p>
      <w:pPr>
        <w:numPr>
          <w:ilvl w:val="0"/>
          <w:numId w:val="0"/>
        </w:numPr>
        <w:ind w:left="420"/>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bookmarkStart w:id="186" w:name="_Toc13969"/>
      <w:r/>
      <w:bookmarkStart w:id="187" w:name="_Toc120614281"/>
      <w:r>
        <w:rPr>
          <w:rFonts w:hint="eastAsia" w:ascii="宋体" w:hAnsi="宋体" w:eastAsia="宋体" w:cs="宋体"/>
          <w:b/>
          <w:bCs/>
          <w:color w:val="000000"/>
          <w:sz w:val="24"/>
          <w:szCs w:val="24"/>
          <w:lang w:val="en-US" w:eastAsia="zh-CN" w:bidi="ar-SA"/>
        </w:rPr>
        <w:t xml:space="preserve">一、核查对象及核查比例</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1.核查对象：为在本市开展秸秆机械化还田、打捆离田作业的农机服务组织、实际种植户（省属农场除外）。</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核查比例：秸秆机械化还田、打捆离田核查作业分别按各村（居）申报补助作业面积的35%以上、100%比例确定各自总核查面积，均需覆盖全部实施村。对于作业面积较大、机具保有量变化较大、农民机手反映问题较多的镇级要进行重点核查。</w:t>
      </w:r>
      <w:r/>
    </w:p>
    <w:p>
      <w:pPr>
        <w:pStyle w:val="868"/>
        <w:ind w:firstLine="602"/>
        <w:keepLines w:val="0"/>
        <w:keepNext w:val="0"/>
        <w:pageBreakBefore w:val="0"/>
        <w:spacing w:line="600" w:lineRule="exact"/>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二</w:t>
      </w:r>
      <w:r>
        <w:rPr>
          <w:rFonts w:hint="eastAsia" w:ascii="宋体" w:hAnsi="宋体" w:eastAsia="宋体" w:cs="宋体"/>
          <w:b/>
          <w:bCs/>
          <w:color w:val="000000"/>
          <w:sz w:val="24"/>
          <w:szCs w:val="24"/>
          <w:lang w:val="en-US" w:eastAsia="zh-CN" w:bidi="ar-SA"/>
        </w:rPr>
        <w:t xml:space="preserve">、核查内容及核查标准</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核查内容：一是申报作业补助对象具备的资格条件。还田作业核查重点审核能满足作业要求的动力机械及配套秸秆还田机具的拥有情况；打捆离田作业核查重点审核稻、麦种植主体机械化打捆离田的规模和区域位置的合规</w:t>
      </w:r>
      <w:r>
        <w:rPr>
          <w:rFonts w:hint="eastAsia" w:ascii="宋体" w:hAnsi="宋体" w:eastAsia="宋体" w:cs="宋体"/>
          <w:color w:val="000000"/>
          <w:sz w:val="24"/>
          <w:szCs w:val="24"/>
          <w:lang w:val="en-US" w:eastAsia="zh-CN" w:bidi="ar-SA"/>
        </w:rPr>
        <w:t xml:space="preserve">性。二是秸秆机械化还田、打捆离田上报面积的真实性。将申报的还田作业面积、机械化打捆离田作业面积、人工齐草离田面积与二轮承包面积、稻谷补贴面积进行全部比对，原则上补助对象当季申报的机械化打捆离田面积与还田面积、人工齐草离田面积之和不得超过当季实际种植面积（要提供所有土地来源合同或者相关的佐证材料；有临时土地转让的，以双方书面协议确定受益方）。还田作业情况要根据上报作业面积清册重点核查村组干部申报面积、还田面积20亩以上、年度新增20亩以上作业面积准确性，作业面积与作业机手的对应关系等真实情况。机械化打捆离田作</w:t>
      </w:r>
      <w:r>
        <w:rPr>
          <w:rFonts w:hint="eastAsia" w:ascii="宋体" w:hAnsi="宋体" w:eastAsia="宋体" w:cs="宋体"/>
          <w:color w:val="000000"/>
          <w:sz w:val="24"/>
          <w:szCs w:val="24"/>
          <w:lang w:val="en-US" w:eastAsia="zh-CN" w:bidi="ar-SA"/>
        </w:rPr>
        <w:t xml:space="preserve">业核查要根据提供的秸秆机械化打捆离田作业村级审核确认表、镇级审核汇总表和所有土地来源手续。三是还田、打捆离田作业补助申报材料的真实性和完整性，重点核查所有资料是否齐全、表格填写章印是否齐全、合同协议是否规范、村级公示是否到位等；四是秸秆机械化打捆离田后去向，重点核查秸秆机械化打捆离田作业协议、收储站点证明等；五是作业标准执行情况，秸秆机械化还田重点抽查作业质量；秸秆机械化打捆离田重点核查田间直接机械化打捆稻麦秸秆、离田转运到秸秆收贮点（码放点或加工利用点）的作业情况；六是根据实际需要提出的其他相关核查内容。</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2.核查标准：根据我市秸秆机械化还田、打捆离田技术路线和作业标准组织开展核查。</w:t>
      </w:r>
      <w:r/>
    </w:p>
    <w:p>
      <w:pPr>
        <w:ind w:firstLine="482"/>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三、核查形式</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（一）现场核查。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动态核查：到申报还田、离田村组，现场查看机械还田、打捆离田作业情况，还田要检查到所有作业20亩以上的种植户及所有参加作业的农机合作社；离田按照总农户数100%、总核查面积不低于35%比例核查。做到见人、见机械、见还（离）田质量，做好记录，留有影像资料。</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静态核查：作业结束后，现场查看还田、打捆离田作业面积和作业质量，还田按照总核查面积60%比例核查（核查户数不低于镇级上报户数的10%），逐村开展核查；打捆离田按照总核查面积和农户数100%比例核查。要求深入村组和作业田块，进行现场核查，可采用顺查与逆查相结合的方法进行现场实地查勘。顺查是指由人到田，以名册上的机手、农户姓名为序，核查面积；逆查是指由田到人，以现场田亩核查到名册上的记载。现场核查要有必要的影像记录，拍摄还田、离田效果照片（有固定参照物）。</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电话访查。还田作业核查按照总核查面积和农户数40%比例访查，随机抽取申报表上的机手、秸秆机械化还田作业确认单中的农户（实际种植者）电话号码进行电话调查，重点核查作业面积和作业质量满意度；离田作业核查按照总核查面积和农户数100%比例访查，对申报表上的稻麦秸秆机械化打捆离田作业主体（机手）进行电话调查，重点核查作业农户和作业面积。</w:t>
      </w:r>
      <w:r/>
    </w:p>
    <w:p>
      <w:pPr>
        <w:ind w:firstLine="482"/>
        <w:keepLines w:val="0"/>
        <w:keepNext w:val="0"/>
        <w:pageBreakBefore w:val="0"/>
        <w:spacing w:line="480" w:lineRule="exact"/>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四、台账资料检查</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还田作业核查按100%比例检查农机服务组织和机手的作业台账资料，重点检查作业机械、作业地点、作业面积等内容是否详实。离田作业核查按100%比例检查所有镇村申报补助对象的台账资料，重点检查种植户土地来源手续的相关材料，镇村相关《审核确认表》、《申报公示表》、《汇总表》等，村级公示图像资料，机械化打捆离田协议、收储站点提供的证明，离田作业面积比对记录，以及镇村提供的相关证明材料（如需要）等内容是否详实齐全。</w:t>
      </w:r>
      <w:r/>
    </w:p>
    <w:p>
      <w:pPr>
        <w:ind w:firstLine="482"/>
        <w:keepLines w:val="0"/>
        <w:keepNext w:val="0"/>
        <w:pageBreakBefore w:val="0"/>
        <w:spacing w:line="480" w:lineRule="exact"/>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五、进度、人员及核查质量要求</w:t>
      </w:r>
      <w:r/>
    </w:p>
    <w:p>
      <w:pPr>
        <w:ind w:firstLine="480"/>
        <w:keepLines w:val="0"/>
        <w:keepNext w:val="0"/>
        <w:pageBreakBefore w:val="0"/>
        <w:spacing w:line="48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1.进度要求</w:t>
      </w:r>
      <w:r/>
    </w:p>
    <w:p>
      <w:p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市级核查工作分夏季、秋季两次进行。还田核查工作夏季在8月25日前完成，秋季在12月31日前完成，并提交核查报告；离田核查工作夏季要在9月15日前完成，秋季要在次年1月30日前完成并提交核查报告，如因天气原因等特殊情况提出延期提交要经市农业农村局同意。</w:t>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2.拟派项目人员配置：</w:t>
      </w:r>
      <w:r/>
    </w:p>
    <w:tbl>
      <w:tblPr>
        <w:tblStyle w:val="8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063"/>
        <w:gridCol w:w="1680"/>
        <w:gridCol w:w="2753"/>
        <w:gridCol w:w="2035"/>
      </w:tblGrid>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035"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姓名</w:t>
            </w:r>
            <w:r/>
          </w:p>
        </w:tc>
        <w:tc>
          <w:tcPr>
            <w:tcW w:w="843"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职称</w:t>
            </w:r>
            <w:r/>
          </w:p>
        </w:tc>
        <w:tc>
          <w:tcPr>
            <w:tcW w:w="138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证书编号</w:t>
            </w:r>
            <w:r/>
          </w:p>
        </w:tc>
        <w:tc>
          <w:tcPr>
            <w:tcW w:w="102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担任岗位</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项目负责人</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A组</w:t>
            </w:r>
            <w:r/>
          </w:p>
          <w:p>
            <w:pPr>
              <w:jc w:val="center"/>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项目组专业服务人员</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B组</w:t>
            </w:r>
            <w:r/>
          </w:p>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项目组专业服务人员</w:t>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ind w:firstLine="480"/>
              <w:keepLines w:val="0"/>
              <w:keepNext w:val="0"/>
              <w:pageBreakBefore w:val="0"/>
              <w:spacing w:line="440" w:lineRule="exact"/>
              <w:widowControl w:val="off"/>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54" w:hRule="exact"/>
        </w:trPr>
        <w:tc>
          <w:tcPr>
            <w:tcW w:w="71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35"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843"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381" w:type="pct"/>
            <w:vAlign w:val="center"/>
            <w:textDirection w:val="lrTb"/>
            <w:noWrap w:val="false"/>
          </w:tcPr>
          <w:p>
            <w:pPr>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21" w:type="pct"/>
            <w:vAlign w:val="center"/>
            <w:vMerge w:val="continue"/>
            <w:textDirection w:val="lrTb"/>
            <w:noWrap w:val="false"/>
          </w:tcPr>
          <w:p>
            <w:pPr>
              <w:ind w:firstLine="480"/>
              <w:jc w:val="center"/>
              <w:keepLines w:val="0"/>
              <w:keepNext w:val="0"/>
              <w:pageBreakBefore w:val="0"/>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核查工作开始前，市农业农村局、财政局对参加核查的人员开展上岗培训，全面讲解核查工作任务和技术方法，统一核查标准，明确核查纪律和工作要求，并进行核查人员备案。</w:t>
      </w:r>
      <w:r/>
    </w:p>
    <w:p>
      <w:pPr>
        <w:ind w:firstLine="482"/>
        <w:keepLines w:val="0"/>
        <w:keepNext w:val="0"/>
        <w:pageBreakBefore w:val="0"/>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六、核查质量要求</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做好核查过程记录。无论是现场实地查勘，还是检查台账资料，按“谁核查，谁签字”的要求，建立核查结果签字确认制度，必须形成工作记录并妥善保存。具体内容包括核查时间、核查人员、被核查对象、申报还田和打捆离田情况、还田和打捆离田作业质量、实际核查结果，需说明事项等。核查工作建立“谁核实、谁签字”的责任追究制度。</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严格按照规范开展工作。出现未按规定完成受托核查工作、未能提供现场核查影像资料等因核查不到位、资料不完整造成秸秆还田、离田补助资金发放违规的情况，将按违规发放的补助资金双倍扣减第三方核查单位的合同价款。</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3.出具核查报告。核查结束后，按要求及时完成核查报告，并上报市农业农村局、财政局。一户一档核查依据资料收集齐全，装订成册，一式两份，一份报市农业农村局，一份存档备查，原则上保存5年。</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4"/>
        <w:jc w:val="center"/>
        <w:keepNext/>
        <w:spacing w:beforeAutospacing="0" w:afterAutospacing="0"/>
        <w:outlineLvl w:val="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bookmarkEnd w:id="186"/>
      <w:r/>
      <w:r/>
    </w:p>
    <w:p>
      <w:pPr>
        <w:pStyle w:val="854"/>
        <w:jc w:val="both"/>
        <w:spacing w:beforeAutospacing="0" w:afterAutospacing="0"/>
      </w:pPr>
      <w:r/>
      <w:r/>
    </w:p>
    <w:p>
      <w:pPr>
        <w:pStyle w:val="854"/>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4"/>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rPr>
        <w:t xml:space="preserve">1、小微型企业价格扣除</w:t>
      </w:r>
      <w:r/>
    </w:p>
    <w:p>
      <w:pPr>
        <w:pStyle w:val="854"/>
        <w:ind w:firstLine="36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的扣除价格，用扣除后的价格参与评审。</w:t>
      </w:r>
      <w:r/>
    </w:p>
    <w:p>
      <w:pPr>
        <w:pStyle w:val="85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54"/>
        <w:ind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2、残疾人福利单位价格扣除</w:t>
      </w:r>
      <w:r/>
    </w:p>
    <w:p>
      <w:pPr>
        <w:pStyle w:val="854"/>
        <w:ind w:left="120" w:firstLine="36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p>
    <w:p>
      <w:pPr>
        <w:pStyle w:val="85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4"/>
        <w:ind w:left="120" w:firstLine="360"/>
        <w:spacing w:before="120" w:beforeAutospacing="0" w:after="120" w:afterAutospacing="0" w:line="0" w:lineRule="atLeast"/>
        <w:rPr>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3、监狱和戒毒企业价格扣除</w:t>
      </w:r>
      <w:r/>
    </w:p>
    <w:p>
      <w:pPr>
        <w:pStyle w:val="854"/>
        <w:ind w:firstLine="48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p>
    <w:p>
      <w:pPr>
        <w:pStyle w:val="854"/>
        <w:ind w:firstLine="480"/>
        <w:spacing w:before="120" w:beforeAutospacing="0" w:after="120" w:afterAutospacing="0" w:line="0" w:lineRule="atLeast"/>
        <w:rPr>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4"/>
        <w:ind w:firstLine="48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54"/>
        <w:ind w:firstLine="48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54"/>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848"/>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334"/>
        <w:gridCol w:w="1617"/>
        <w:gridCol w:w="1139"/>
        <w:gridCol w:w="5242"/>
      </w:tblGrid>
      <w:tr>
        <w:trPr>
          <w:jc w:val="center"/>
          <w:trHeight w:val="543"/>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序</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分部内容</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分项内容</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分值</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ind w:firstLine="420"/>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t xml:space="preserve">价格部分</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lang w:val="en-US" w:eastAsia="zh-CN"/>
              </w:rPr>
              <w:t xml:space="preserve">投标</w:t>
            </w:r>
            <w:r>
              <w:rPr>
                <w:rFonts w:hint="eastAsia" w:asciiTheme="minorEastAsia" w:hAnsiTheme="minorEastAsia" w:eastAsiaTheme="minorEastAsia" w:cstheme="minorEastAsia"/>
                <w:b w:val="0"/>
                <w:bCs w:val="0"/>
                <w:color w:val="000000"/>
                <w:highlight w:val="none"/>
              </w:rPr>
              <w:t xml:space="preserve">报价</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rPr>
            </w:pPr>
            <w:r>
              <w:rPr>
                <w:rFonts w:hint="eastAsia" w:asciiTheme="minorEastAsia" w:hAnsiTheme="minorEastAsia" w:eastAsiaTheme="minorEastAsia" w:cstheme="minorEastAsia"/>
                <w:b w:val="0"/>
                <w:bCs w:val="0"/>
                <w:color w:val="000000"/>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lang w:val="en-US" w:eastAsia="zh-CN"/>
              </w:rPr>
              <w:t xml:space="preserve">满足招标文件要求且投标价格最低的投标报价为基准价，其价格分为满分。报价得分=(评标基准价/投标报价)×30。</w:t>
            </w:r>
            <w:r/>
          </w:p>
        </w:tc>
      </w:tr>
      <w:tr>
        <w:trPr>
          <w:jc w:val="center"/>
          <w:trHeight w:val="307"/>
        </w:trPr>
        <w:tc>
          <w:tcPr>
            <w:tcBorders>
              <w:top w:val="single" w:color="auto" w:sz="4" w:space="0"/>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二</w:t>
            </w:r>
            <w:r/>
          </w:p>
        </w:tc>
        <w:tc>
          <w:tcPr>
            <w:tcBorders>
              <w:top w:val="single" w:color="auto" w:sz="4" w:space="0"/>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技术部分</w:t>
            </w:r>
            <w:r/>
          </w:p>
        </w:tc>
        <w:tc>
          <w:tcPr>
            <w:tcBorders>
              <w:top w:val="single" w:color="auto" w:sz="4" w:space="0"/>
              <w:left w:val="single" w:color="auto" w:sz="4" w:space="0"/>
              <w:right w:val="single" w:color="auto" w:sz="4" w:space="0"/>
            </w:tcBorders>
            <w:tcW w:w="812"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服务方案</w:t>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lang w:val="en-US" w:eastAsia="zh-CN"/>
              </w:rPr>
            </w:pPr>
            <w:r>
              <w:rPr>
                <w:rFonts w:hint="eastAsia" w:asciiTheme="minorEastAsia" w:hAnsiTheme="minorEastAsia" w:eastAsiaTheme="minorEastAsia" w:cstheme="minorEastAsia"/>
                <w:b/>
                <w:bCs/>
                <w:color w:val="000000"/>
                <w:highlight w:val="none"/>
                <w:lang w:val="en-US" w:eastAsia="zh-CN"/>
              </w:rPr>
              <w:t xml:space="preserve">组织机构：</w:t>
            </w:r>
            <w:r>
              <w:rPr>
                <w:rFonts w:hint="eastAsia" w:asciiTheme="minorEastAsia" w:hAnsiTheme="minorEastAsia" w:eastAsiaTheme="minorEastAsia" w:cstheme="minorEastAsia"/>
                <w:b w:val="0"/>
                <w:bCs w:val="0"/>
                <w:color w:val="000000"/>
                <w:highlight w:val="none"/>
                <w:lang w:val="en-US" w:eastAsia="zh-CN"/>
              </w:rPr>
              <w:t xml:space="preserve">评委根据项目管理机构的配备，管理人员、专业服务人员，是否满足项目需要的合理程度。评分区间：6-9分。无本项内容按0分处理。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highlight w:val="none"/>
                <w:lang w:val="en-US" w:eastAsia="zh-CN"/>
              </w:rPr>
              <w:t xml:space="preserve">进度保证措施：</w:t>
            </w:r>
            <w:r>
              <w:rPr>
                <w:rFonts w:hint="eastAsia" w:asciiTheme="minorEastAsia" w:hAnsiTheme="minorEastAsia" w:eastAsiaTheme="minorEastAsia" w:cstheme="minorEastAsia"/>
                <w:b w:val="0"/>
                <w:bCs w:val="0"/>
                <w:color w:val="000000"/>
                <w:highlight w:val="none"/>
                <w:lang w:val="en-US" w:eastAsia="zh-CN"/>
              </w:rPr>
              <w:t xml:space="preserve">核查服务进度计划和各阶段进度的保证措施安排合理、保证措施可行。</w:t>
            </w:r>
            <w:r>
              <w:rPr>
                <w:rFonts w:hint="eastAsia" w:asciiTheme="minorEastAsia" w:hAnsiTheme="minorEastAsia" w:eastAsiaTheme="minorEastAsia" w:cstheme="minorEastAsia"/>
                <w:b w:val="0"/>
                <w:bCs w:val="0"/>
                <w:color w:val="auto"/>
                <w:highlight w:val="none"/>
                <w:lang w:val="en-US" w:eastAsia="zh-CN"/>
              </w:rPr>
              <w:t xml:space="preserve">评分区间：6-9分，无本项内容按0分处理。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highlight w:val="none"/>
                <w:lang w:val="en-US" w:eastAsia="zh-CN"/>
              </w:rPr>
              <w:t xml:space="preserve">质量保证措施：</w:t>
            </w:r>
            <w:r>
              <w:rPr>
                <w:rFonts w:hint="eastAsia" w:asciiTheme="minorEastAsia" w:hAnsiTheme="minorEastAsia" w:eastAsiaTheme="minorEastAsia" w:cstheme="minorEastAsia"/>
                <w:b w:val="0"/>
                <w:bCs w:val="0"/>
                <w:color w:val="000000"/>
                <w:highlight w:val="none"/>
                <w:lang w:val="en-US" w:eastAsia="zh-CN"/>
              </w:rPr>
              <w:t xml:space="preserve">评委根据第三方核查服务质量保证体系和保证措施是否齐全得力，能否保证第三方服务准确率达到承诺标准。</w:t>
            </w:r>
            <w:r>
              <w:rPr>
                <w:rFonts w:hint="eastAsia" w:asciiTheme="minorEastAsia" w:hAnsiTheme="minorEastAsia" w:eastAsiaTheme="minorEastAsia" w:cstheme="minorEastAsia"/>
                <w:b w:val="0"/>
                <w:bCs w:val="0"/>
                <w:color w:val="auto"/>
                <w:highlight w:val="none"/>
                <w:lang w:val="en-US" w:eastAsia="zh-CN"/>
              </w:rPr>
              <w:t xml:space="preserve">评分区间：7-10分，无本项内容按0分处理。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pStyle w:val="869"/>
              <w:jc w:val="left"/>
              <w:keepLines w:val="0"/>
              <w:keepNext w:val="0"/>
              <w:pageBreakBefore w:val="0"/>
              <w:spacing w:before="104"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sz w:val="21"/>
                <w:szCs w:val="20"/>
                <w:highlight w:val="none"/>
                <w:lang w:val="en-US" w:eastAsia="zh-CN"/>
              </w:rPr>
              <w:t xml:space="preserve">内审措施：</w:t>
            </w:r>
            <w:r>
              <w:rPr>
                <w:rFonts w:hint="eastAsia" w:asciiTheme="minorEastAsia" w:hAnsiTheme="minorEastAsia" w:eastAsiaTheme="minorEastAsia" w:cstheme="minorEastAsia"/>
                <w:b w:val="0"/>
                <w:bCs w:val="0"/>
                <w:color w:val="000000"/>
                <w:sz w:val="21"/>
                <w:szCs w:val="20"/>
                <w:highlight w:val="none"/>
                <w:lang w:val="en-US" w:eastAsia="zh-CN"/>
              </w:rPr>
              <w:t xml:space="preserve">评委根据第三方核查服务单位的内审措施是否齐全，内审制度是否合理，保证措施、奖惩措施是否得力可行。评分区间：7-10分，</w:t>
            </w:r>
            <w:r>
              <w:rPr>
                <w:rFonts w:hint="eastAsia" w:asciiTheme="minorEastAsia" w:hAnsiTheme="minorEastAsia" w:eastAsiaTheme="minorEastAsia" w:cstheme="minorEastAsia"/>
                <w:b w:val="0"/>
                <w:bCs w:val="0"/>
                <w:color w:val="auto"/>
                <w:sz w:val="21"/>
                <w:szCs w:val="20"/>
                <w:highlight w:val="none"/>
                <w:lang w:val="en-US" w:eastAsia="zh-CN"/>
              </w:rPr>
              <w:t xml:space="preserve">无本项内容按0分处理。</w:t>
            </w:r>
            <w:r/>
          </w:p>
        </w:tc>
      </w:tr>
      <w:tr>
        <w:trPr>
          <w:jc w:val="center"/>
          <w:trHeight w:val="307"/>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eastAsia="zh-CN"/>
              </w:rPr>
            </w:pPr>
            <w:r>
              <w:rPr>
                <w:rFonts w:hint="eastAsia" w:asciiTheme="minorEastAsia" w:hAnsiTheme="minorEastAsia" w:eastAsiaTheme="minorEastAsia" w:cstheme="minorEastAsia"/>
                <w:b w:val="0"/>
                <w:bCs w:val="0"/>
                <w:color w:val="000000"/>
                <w:highlight w:val="none"/>
                <w:lang w:eastAsia="zh-CN"/>
              </w:rPr>
            </w:r>
            <w:r/>
          </w:p>
        </w:tc>
        <w:tc>
          <w:tcPr>
            <w:tcBorders>
              <w:left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pStyle w:val="869"/>
              <w:jc w:val="left"/>
              <w:keepLines w:val="0"/>
              <w:keepNext w:val="0"/>
              <w:pageBreakBefore w:val="0"/>
              <w:spacing w:before="107"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bCs/>
                <w:color w:val="000000"/>
                <w:sz w:val="21"/>
                <w:szCs w:val="20"/>
                <w:highlight w:val="none"/>
                <w:lang w:val="en-US" w:eastAsia="zh-CN"/>
              </w:rPr>
              <w:t xml:space="preserve">廉政建设情况：</w:t>
            </w:r>
            <w:r>
              <w:rPr>
                <w:rFonts w:hint="eastAsia" w:asciiTheme="minorEastAsia" w:hAnsiTheme="minorEastAsia" w:eastAsiaTheme="minorEastAsia" w:cstheme="minorEastAsia"/>
                <w:b w:val="0"/>
                <w:bCs w:val="0"/>
                <w:color w:val="000000"/>
                <w:sz w:val="21"/>
                <w:szCs w:val="20"/>
                <w:highlight w:val="none"/>
                <w:lang w:val="en-US" w:eastAsia="zh-CN"/>
              </w:rPr>
              <w:t xml:space="preserve">廉政建设的保证措施是否得力可行。评分区间：7-10分，无本项内容按0分处理。</w:t>
            </w:r>
            <w:r/>
          </w:p>
        </w:tc>
      </w:tr>
      <w:tr>
        <w:trPr>
          <w:jc w:val="center"/>
          <w:trHeight w:val="555"/>
        </w:trPr>
        <w:tc>
          <w:tcPr>
            <w:tcBorders>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三</w:t>
            </w:r>
            <w:r/>
          </w:p>
        </w:tc>
        <w:tc>
          <w:tcPr>
            <w:tcBorders>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服务水平</w:t>
            </w:r>
            <w:r/>
          </w:p>
        </w:tc>
        <w:tc>
          <w:tcPr>
            <w:tcBorders>
              <w:left w:val="single" w:color="auto" w:sz="4" w:space="0"/>
              <w:right w:val="single" w:color="auto" w:sz="4" w:space="0"/>
            </w:tcBorders>
            <w:tcW w:w="812"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为保证项目服务便利和及时性，在收到招标人通知后能提供2小时内到达现场服务得1分；若投标人能提供90分钟（含）以内到达现场服务得1.5分；能提供45分钟（含）以内到达现场服务得2分。</w:t>
            </w:r>
            <w:r>
              <w:rPr>
                <w:rFonts w:hint="eastAsia" w:asciiTheme="minorEastAsia" w:hAnsiTheme="minorEastAsia" w:eastAsiaTheme="minorEastAsia" w:cstheme="minorEastAsia"/>
                <w:b/>
                <w:bCs/>
                <w:color w:val="000000"/>
                <w:highlight w:val="none"/>
                <w:lang w:val="en-US" w:eastAsia="zh-CN"/>
              </w:rPr>
              <w:t xml:space="preserve">（不承诺不得分）</w:t>
            </w:r>
            <w:r/>
          </w:p>
        </w:tc>
      </w:tr>
      <w:tr>
        <w:trPr>
          <w:jc w:val="center"/>
          <w:trHeight w:val="1422"/>
        </w:trPr>
        <w:tc>
          <w:tcPr>
            <w:tcBorders>
              <w:left w:val="single" w:color="auto" w:sz="4" w:space="0"/>
              <w:right w:val="single" w:color="auto" w:sz="4" w:space="0"/>
            </w:tcBorders>
            <w:tcW w:w="311"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bottom w:val="single" w:color="auto" w:sz="4" w:space="0"/>
              <w:right w:val="single" w:color="auto" w:sz="4" w:space="0"/>
            </w:tcBorders>
            <w:tcW w:w="812"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投标人承诺若中标后合同签订至履约完成，不得更换项目负责人，承诺核查专业服务人员调整比例不超过30%得1分；核查专业服务人员调整比例不超过20%得2分；核查专业服务人员调整比例不超过15%得3分。</w:t>
            </w:r>
            <w:r>
              <w:rPr>
                <w:rFonts w:hint="eastAsia" w:asciiTheme="minorEastAsia" w:hAnsiTheme="minorEastAsia" w:eastAsiaTheme="minorEastAsia" w:cstheme="minorEastAsia"/>
                <w:b/>
                <w:bCs/>
                <w:color w:val="000000"/>
                <w:highlight w:val="none"/>
                <w:lang w:val="en-US" w:eastAsia="zh-CN"/>
              </w:rPr>
              <w:t xml:space="preserve">（不承诺不得分）</w:t>
            </w:r>
            <w:r/>
          </w:p>
        </w:tc>
      </w:tr>
      <w:tr>
        <w:trPr>
          <w:jc w:val="center"/>
          <w:trHeight w:val="555"/>
        </w:trPr>
        <w:tc>
          <w:tcPr>
            <w:tcBorders>
              <w:left w:val="single" w:color="auto" w:sz="4" w:space="0"/>
              <w:right w:val="single" w:color="auto" w:sz="4" w:space="0"/>
            </w:tcBorders>
            <w:tcW w:w="311"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 xml:space="preserve">四</w:t>
            </w:r>
            <w:r/>
          </w:p>
        </w:tc>
        <w:tc>
          <w:tcPr>
            <w:tcBorders>
              <w:left w:val="single" w:color="auto" w:sz="4" w:space="0"/>
              <w:right w:val="single" w:color="auto" w:sz="4" w:space="0"/>
            </w:tcBorders>
            <w:tcW w:w="670" w:type="pct"/>
            <w:vAlign w:val="center"/>
            <w:vMerge w:val="restart"/>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履约能力</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投标人针对本项目采购需求结合实际现场情况，在满足招标需求的拟派项目人员分2组；</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拟派专业服务人员共达到20（含）人以上得5分；</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拟派专业服务人员共达到15-19人得3分；</w:t>
            </w:r>
            <w:r/>
          </w:p>
          <w:p>
            <w:pP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拟派专业服务人员共达到11-14人得1分；</w:t>
            </w:r>
            <w:r/>
          </w:p>
          <w:p>
            <w:pPr>
              <w:keepLines w:val="0"/>
              <w:keepNext w:val="0"/>
              <w:pageBreakBefore w:val="0"/>
              <w:spacing w:line="28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bCs/>
                <w:color w:val="000000"/>
                <w:sz w:val="21"/>
                <w:szCs w:val="21"/>
              </w:rPr>
              <w:t xml:space="preserve">（须提供拟</w:t>
            </w:r>
            <w:r>
              <w:rPr>
                <w:rFonts w:hint="eastAsia" w:asciiTheme="minorEastAsia" w:hAnsiTheme="minorEastAsia" w:eastAsiaTheme="minorEastAsia" w:cstheme="minorEastAsia"/>
                <w:b/>
                <w:bCs/>
                <w:color w:val="000000"/>
                <w:sz w:val="21"/>
                <w:szCs w:val="21"/>
                <w:lang w:val="en-US" w:eastAsia="zh-CN"/>
              </w:rPr>
              <w:t xml:space="preserve">派项目人员配置表</w:t>
            </w:r>
            <w:r>
              <w:rPr>
                <w:rFonts w:hint="eastAsia" w:asciiTheme="minorEastAsia" w:hAnsiTheme="minorEastAsia" w:eastAsiaTheme="minorEastAsia" w:cstheme="minorEastAsia"/>
                <w:b/>
                <w:bCs/>
                <w:color w:val="000000"/>
                <w:sz w:val="21"/>
                <w:szCs w:val="21"/>
              </w:rPr>
              <w:t xml:space="preserve">，提供相关部门出具的社保缴纳证明材料</w:t>
            </w:r>
            <w:r>
              <w:rPr>
                <w:rFonts w:hint="eastAsia" w:asciiTheme="minorEastAsia" w:hAnsiTheme="minorEastAsia" w:eastAsiaTheme="minorEastAsia" w:cstheme="minorEastAsia"/>
                <w:b/>
                <w:bCs/>
                <w:color w:val="000000"/>
                <w:sz w:val="21"/>
                <w:szCs w:val="21"/>
                <w:lang w:val="en-US" w:eastAsia="zh-CN"/>
              </w:rPr>
              <w:t xml:space="preserve">并盖投标人公章</w:t>
            </w:r>
            <w:r>
              <w:rPr>
                <w:rFonts w:hint="eastAsia" w:asciiTheme="minorEastAsia" w:hAnsiTheme="minorEastAsia" w:eastAsiaTheme="minorEastAsia" w:cstheme="minorEastAsia"/>
                <w:b/>
                <w:bCs/>
                <w:color w:val="000000"/>
                <w:sz w:val="21"/>
                <w:szCs w:val="21"/>
              </w:rPr>
              <w:t xml:space="preserve">。）</w:t>
            </w:r>
            <w:r/>
          </w:p>
        </w:tc>
      </w:tr>
      <w:tr>
        <w:trPr>
          <w:jc w:val="center"/>
          <w:trHeight w:val="370"/>
        </w:trPr>
        <w:tc>
          <w:tcPr>
            <w:tcBorders>
              <w:left w:val="single" w:color="auto" w:sz="4" w:space="0"/>
              <w:right w:val="single" w:color="auto" w:sz="4" w:space="0"/>
            </w:tcBorders>
            <w:tcW w:w="311" w:type="pct"/>
            <w:vAlign w:val="center"/>
            <w:vMerge w:val="continue"/>
            <w:textDirection w:val="lrTb"/>
            <w:noWrap w:val="false"/>
          </w:tcPr>
          <w:p>
            <w:pPr>
              <w:ind w:firstLine="420"/>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rPr>
            </w:pPr>
            <w:r>
              <w:rPr>
                <w:rFonts w:hint="eastAsia" w:asciiTheme="minorEastAsia" w:hAnsiTheme="minorEastAsia" w:eastAsiaTheme="minorEastAsia" w:cstheme="minorEastAsia"/>
                <w:b w:val="0"/>
                <w:bCs w:val="0"/>
                <w:color w:val="000000"/>
                <w:highlight w:val="none"/>
              </w:rPr>
            </w:r>
            <w:r/>
          </w:p>
        </w:tc>
        <w:tc>
          <w:tcPr>
            <w:tcBorders>
              <w:left w:val="single" w:color="auto" w:sz="4" w:space="0"/>
              <w:right w:val="single" w:color="auto" w:sz="4" w:space="0"/>
            </w:tcBorders>
            <w:tcW w:w="670"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r>
            <w:r/>
          </w:p>
        </w:tc>
        <w:tc>
          <w:tcPr>
            <w:tcBorders>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专业人员水平</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投标人提供的专业服务人员中具有</w:t>
            </w:r>
            <w:r>
              <w:rPr>
                <w:rFonts w:hint="eastAsia" w:asciiTheme="minorEastAsia" w:hAnsiTheme="minorEastAsia" w:eastAsiaTheme="minorEastAsia" w:cstheme="minorEastAsia"/>
                <w:b w:val="0"/>
                <w:bCs w:val="0"/>
                <w:color w:val="auto"/>
                <w:highlight w:val="none"/>
                <w:lang w:val="en-US" w:eastAsia="zh-CN"/>
              </w:rPr>
              <w:t xml:space="preserve">经济类中级职称的每人得0.5分，具有经济类高级职称的每人得1分，最多得5分。投标人提供的专业服</w:t>
            </w:r>
            <w:r>
              <w:rPr>
                <w:rFonts w:hint="eastAsia" w:asciiTheme="minorEastAsia" w:hAnsiTheme="minorEastAsia" w:eastAsiaTheme="minorEastAsia" w:cstheme="minorEastAsia"/>
                <w:b w:val="0"/>
                <w:bCs w:val="0"/>
                <w:color w:val="000000"/>
                <w:highlight w:val="none"/>
                <w:lang w:val="en-US" w:eastAsia="zh-CN"/>
              </w:rPr>
              <w:t xml:space="preserve">务人员中具有注册会计师的每人得1分，最多3分。</w:t>
            </w:r>
            <w:r>
              <w:rPr>
                <w:rFonts w:hint="eastAsia" w:asciiTheme="minorEastAsia" w:hAnsiTheme="minorEastAsia" w:eastAsiaTheme="minorEastAsia" w:cstheme="minorEastAsia"/>
                <w:b/>
                <w:bCs/>
                <w:color w:val="000000"/>
                <w:highlight w:val="none"/>
                <w:lang w:val="en-US" w:eastAsia="zh-CN"/>
              </w:rPr>
              <w:t xml:space="preserve">（须提供职称证书、注册会计师证书</w:t>
            </w:r>
            <w:r>
              <w:rPr>
                <w:rFonts w:hint="eastAsia" w:asciiTheme="minorEastAsia" w:hAnsiTheme="minorEastAsia" w:cstheme="minorEastAsia"/>
                <w:b/>
                <w:bCs/>
                <w:color w:val="000000"/>
                <w:highlight w:val="none"/>
                <w:lang w:val="en-US" w:eastAsia="zh-CN"/>
              </w:rPr>
              <w:t xml:space="preserve">复印件或扫描件</w:t>
            </w:r>
            <w:r>
              <w:rPr>
                <w:rFonts w:hint="eastAsia" w:asciiTheme="minorEastAsia" w:hAnsiTheme="minorEastAsia" w:eastAsiaTheme="minorEastAsia" w:cstheme="minorEastAsia"/>
                <w:b/>
                <w:bCs/>
                <w:color w:val="000000"/>
                <w:highlight w:val="none"/>
                <w:lang w:val="en-US" w:eastAsia="zh-CN"/>
              </w:rPr>
              <w:t xml:space="preserve">并盖投标人公章，不提供不得分）</w:t>
            </w:r>
            <w:r/>
          </w:p>
        </w:tc>
      </w:tr>
      <w:tr>
        <w:trPr>
          <w:jc w:val="center"/>
          <w:trHeight w:val="90"/>
        </w:trPr>
        <w:tc>
          <w:tcPr>
            <w:tcBorders>
              <w:left w:val="single" w:color="auto" w:sz="4" w:space="0"/>
              <w:right w:val="single" w:color="auto" w:sz="4" w:space="0"/>
            </w:tcBorders>
            <w:tcW w:w="311"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cstheme="minorEastAsia"/>
                <w:b w:val="0"/>
                <w:bCs w:val="0"/>
                <w:color w:val="000000"/>
                <w:highlight w:val="none"/>
                <w:lang w:val="en-US" w:eastAsia="zh-CN"/>
              </w:rPr>
              <w:t xml:space="preserve">五</w:t>
            </w:r>
            <w:r/>
          </w:p>
        </w:tc>
        <w:tc>
          <w:tcPr>
            <w:tcBorders>
              <w:left w:val="single" w:color="auto" w:sz="4" w:space="0"/>
              <w:right w:val="single" w:color="auto" w:sz="4" w:space="0"/>
            </w:tcBorders>
            <w:tcW w:w="670"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其他</w:t>
            </w:r>
            <w:r/>
          </w:p>
        </w:tc>
        <w:tc>
          <w:tcPr>
            <w:tcBorders>
              <w:top w:val="single" w:color="auto" w:sz="4" w:space="0"/>
              <w:left w:val="single" w:color="auto" w:sz="4" w:space="0"/>
              <w:right w:val="single" w:color="auto" w:sz="4" w:space="0"/>
            </w:tcBorders>
            <w:tcW w:w="81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572"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b w:val="0"/>
                <w:bCs w:val="0"/>
                <w:color w:val="000000"/>
                <w:highlight w:val="none"/>
                <w:lang w:val="en-US" w:eastAsia="zh-CN"/>
              </w:rPr>
            </w:pPr>
            <w:r>
              <w:rPr>
                <w:rFonts w:hint="eastAsia" w:asciiTheme="minorEastAsia" w:hAnsiTheme="minorEastAsia" w:eastAsiaTheme="minorEastAsia" w:cstheme="minorEastAsia"/>
                <w:b w:val="0"/>
                <w:bCs w:val="0"/>
                <w:color w:val="000000"/>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633" w:type="pct"/>
            <w:vAlign w:val="center"/>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b w:val="0"/>
                <w:bCs w:val="0"/>
                <w:color w:val="ff0000"/>
                <w:highlight w:val="none"/>
                <w:lang w:val="en-US" w:eastAsia="zh-CN"/>
              </w:rPr>
            </w:pPr>
            <w:r>
              <w:rPr>
                <w:rFonts w:hint="eastAsia" w:asciiTheme="minorEastAsia" w:hAnsiTheme="minorEastAsia" w:eastAsiaTheme="minorEastAsia" w:cstheme="minorEastAsia"/>
                <w:b w:val="0"/>
                <w:bCs w:val="0"/>
                <w:color w:val="auto"/>
                <w:highlight w:val="none"/>
                <w:lang w:val="en-US" w:eastAsia="zh-CN"/>
              </w:rPr>
              <w:t xml:space="preserve">投标人2020年1月1日以来(以合同签订时间为准)承担过承接过涉农类（包括农业、林业、畜牧业、渔业、蚕桑业等）核查项目的，每提供1个得</w:t>
            </w:r>
            <w:r>
              <w:rPr>
                <w:rFonts w:hint="eastAsia" w:asciiTheme="minorEastAsia" w:hAnsiTheme="minorEastAsia" w:cstheme="minorEastAsia"/>
                <w:b w:val="0"/>
                <w:bCs w:val="0"/>
                <w:color w:val="auto"/>
                <w:highlight w:val="none"/>
                <w:lang w:val="en-US" w:eastAsia="zh-CN"/>
              </w:rPr>
              <w:t xml:space="preserve">1</w:t>
            </w:r>
            <w:r>
              <w:rPr>
                <w:rFonts w:hint="eastAsia" w:asciiTheme="minorEastAsia" w:hAnsiTheme="minorEastAsia" w:eastAsiaTheme="minorEastAsia" w:cstheme="minorEastAsia"/>
                <w:b w:val="0"/>
                <w:bCs w:val="0"/>
                <w:color w:val="auto"/>
                <w:highlight w:val="none"/>
                <w:lang w:val="en-US" w:eastAsia="zh-CN"/>
              </w:rPr>
              <w:t xml:space="preserve">分，最高得4分；</w:t>
            </w:r>
            <w:r>
              <w:rPr>
                <w:rFonts w:hint="eastAsia" w:asciiTheme="minorEastAsia" w:hAnsiTheme="minorEastAsia" w:eastAsiaTheme="minorEastAsia" w:cstheme="minorEastAsia"/>
                <w:b/>
                <w:bCs/>
                <w:color w:val="auto"/>
                <w:highlight w:val="none"/>
                <w:lang w:val="en-US" w:eastAsia="zh-CN"/>
              </w:rPr>
              <w:t xml:space="preserve">（须提供合同、核查报告复印件或扫描件</w:t>
            </w:r>
            <w:r>
              <w:rPr>
                <w:rFonts w:hint="eastAsia" w:asciiTheme="minorEastAsia" w:hAnsiTheme="minorEastAsia" w:cstheme="minorEastAsia"/>
                <w:b/>
                <w:bCs/>
                <w:color w:val="auto"/>
                <w:highlight w:val="none"/>
                <w:lang w:val="en-US" w:eastAsia="zh-CN"/>
              </w:rPr>
              <w:t xml:space="preserve">并盖投标人公章）</w:t>
            </w:r>
            <w:r>
              <w:rPr>
                <w:rFonts w:hint="eastAsia" w:asciiTheme="minorEastAsia" w:hAnsiTheme="minorEastAsia" w:eastAsiaTheme="minorEastAsia" w:cstheme="minorEastAsia"/>
                <w:b/>
                <w:bCs/>
                <w:color w:val="auto"/>
                <w:highlight w:val="none"/>
                <w:lang w:val="en-US" w:eastAsia="zh-CN"/>
              </w:rPr>
              <w:t xml:space="preserve">，</w:t>
            </w:r>
            <w:r>
              <w:rPr>
                <w:rFonts w:hint="eastAsia" w:asciiTheme="minorEastAsia" w:hAnsiTheme="minorEastAsia" w:cstheme="minorEastAsia"/>
                <w:b/>
                <w:bCs/>
                <w:color w:val="auto"/>
                <w:highlight w:val="none"/>
                <w:lang w:val="en-US" w:eastAsia="zh-CN"/>
              </w:rPr>
              <w:t xml:space="preserve">不</w:t>
            </w:r>
            <w:r>
              <w:rPr>
                <w:rFonts w:hint="eastAsia" w:asciiTheme="minorEastAsia" w:hAnsiTheme="minorEastAsia" w:eastAsiaTheme="minorEastAsia" w:cstheme="minorEastAsia"/>
                <w:b/>
                <w:bCs/>
                <w:color w:val="auto"/>
                <w:highlight w:val="none"/>
                <w:lang w:val="en-US" w:eastAsia="zh-CN"/>
              </w:rPr>
              <w:t xml:space="preserve">提供不得分。</w:t>
            </w:r>
            <w:bookmarkStart w:id="204" w:name="_GoBack"/>
            <w:r/>
            <w:bookmarkEnd w:id="204"/>
            <w:r/>
            <w:r/>
          </w:p>
        </w:tc>
      </w:tr>
    </w:tbl>
    <w:p>
      <w:pPr>
        <w:pStyle w:val="854"/>
        <w:jc w:val="center"/>
        <w:keepNext/>
        <w:spacing w:beforeAutospacing="0" w:afterAutospacing="0"/>
        <w:rPr>
          <w:rFonts w:hint="eastAsia" w:ascii="黑体" w:hAnsi="宋体" w:eastAsia="黑体" w:cs="黑体"/>
          <w:color w:val="000000"/>
          <w:sz w:val="44"/>
          <w:szCs w:val="44"/>
        </w:rPr>
        <w:outlineLvl w:val="0"/>
      </w:pPr>
      <w:r/>
      <w:bookmarkStart w:id="188" w:name="_Toc14881"/>
      <w:r>
        <w:rPr>
          <w:rFonts w:hint="eastAsia" w:ascii="黑体" w:hAnsi="宋体" w:eastAsia="黑体" w:cs="黑体"/>
          <w:color w:val="000000"/>
          <w:sz w:val="44"/>
          <w:szCs w:val="44"/>
        </w:rPr>
        <w:t xml:space="preserve">第六章  投标文件格式</w:t>
      </w:r>
      <w:bookmarkEnd w:id="188"/>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jc w:val="center"/>
        <w:keepNext/>
        <w:spacing w:beforeAutospacing="0" w:afterAutospacing="0"/>
      </w:pPr>
      <w:r>
        <w:rPr>
          <w:rFonts w:hint="eastAsia" w:ascii="黑体" w:hAnsi="宋体" w:eastAsia="黑体" w:cs="黑体"/>
          <w:color w:val="000000"/>
          <w:sz w:val="44"/>
          <w:szCs w:val="44"/>
        </w:rPr>
        <w:t xml:space="preserve"> </w:t>
      </w:r>
      <w:r/>
    </w:p>
    <w:p>
      <w:pPr>
        <w:pStyle w:val="854"/>
        <w:jc w:val="center"/>
        <w:spacing w:beforeAutospacing="0" w:afterAutospacing="0"/>
      </w:pPr>
      <w:r/>
      <w:bookmarkStart w:id="189" w:name="_Hlt26671244"/>
      <w:r/>
      <w:bookmarkEnd w:id="189"/>
      <w:r/>
      <w:bookmarkStart w:id="190" w:name="_Hlt26955039"/>
      <w:r/>
      <w:bookmarkEnd w:id="190"/>
      <w:r/>
      <w:bookmarkStart w:id="191" w:name="_Toc26554094"/>
      <w:r/>
      <w:bookmarkEnd w:id="191"/>
      <w:r/>
      <w:bookmarkStart w:id="192" w:name="_Toc49090576"/>
      <w:r/>
      <w:bookmarkStart w:id="193" w:name="_Toc120614282"/>
      <w:r>
        <w:rPr>
          <w:rFonts w:hint="eastAsia" w:ascii="宋体" w:hAnsi="宋体" w:eastAsia="宋体" w:cs="宋体"/>
          <w:b/>
          <w:color w:val="000000"/>
          <w:sz w:val="72"/>
          <w:szCs w:val="72"/>
        </w:rPr>
        <w:t xml:space="preserve">投  标  文  件</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5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4"/>
        <w:jc w:val="center"/>
        <w:spacing w:beforeAutospacing="0" w:afterAutospacing="0" w:line="0" w:lineRule="atLeast"/>
      </w:pPr>
      <w:r>
        <w:t xml:space="preserve"> </w:t>
      </w:r>
      <w:r/>
    </w:p>
    <w:p>
      <w:pPr>
        <w:pStyle w:val="854"/>
        <w:jc w:val="both"/>
        <w:spacing w:beforeAutospacing="0" w:afterAutospacing="0" w:line="0" w:lineRule="atLeast"/>
      </w:pPr>
      <w:r>
        <w:t xml:space="preserve"> </w:t>
      </w:r>
      <w:r/>
    </w:p>
    <w:p>
      <w:pPr>
        <w:ind w:firstLine="0"/>
        <w:jc w:val="center"/>
        <w:spacing w:line="240" w:lineRule="auto"/>
        <w:rPr>
          <w:rFonts w:hint="eastAsia" w:ascii="宋体" w:hAnsi="宋体"/>
          <w:b/>
          <w:bCs/>
          <w:sz w:val="32"/>
          <w:szCs w:val="32"/>
        </w:rPr>
      </w:pPr>
      <w:r/>
      <w:bookmarkStart w:id="194" w:name="_Hlt26955066"/>
      <w:r/>
      <w:bookmarkStart w:id="195" w:name="_格式2__法定代表人授权书"/>
      <w:r/>
      <w:bookmarkStart w:id="196" w:name="_格式3__银行出具的资信证明"/>
      <w:r/>
      <w:bookmarkStart w:id="197" w:name="_Hlt26671380"/>
      <w:r/>
      <w:bookmarkStart w:id="198" w:name="_Toc462564146"/>
      <w:r/>
      <w:bookmarkStart w:id="199" w:name="_Hlt26955070"/>
      <w:r/>
      <w:bookmarkStart w:id="200" w:name="_Hlt26955054"/>
      <w:r/>
      <w:bookmarkStart w:id="201" w:name="_Hlt26609389"/>
      <w:r/>
      <w:bookmarkStart w:id="202" w:name="_Hlt26671374"/>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一、开标一览表（系统固定格式）</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二、资格审查资料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（5）参加政府采购活动前 3 年内在经营活动中没有重大违法记录的书面声明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（7）投标人为被授权人近期缴纳的社会养老保险证明；</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（8）与资格审查有关的其他资料（如有）。</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三、符合性资料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（1）投标报价明细表；</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（2）投标函；</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（3）所供服务（服务附带的产品）内容及服务要求偏离表（如有）；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（4）投标人的服务承诺；</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（5）小微企业声明函；（如有）</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（6）残疾人福利性单位声明函；（如有）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（7）联合体协议（如有）；</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（8）东台市政府采购事前信用承诺书；</w:t>
      </w:r>
      <w:r/>
    </w:p>
    <w:p>
      <w:pPr>
        <w:ind w:firstLine="480"/>
        <w:spacing w:line="44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四、综合评审相关资料</w:t>
      </w:r>
      <w:r/>
    </w:p>
    <w:p>
      <w:pPr>
        <w:ind w:firstLine="480"/>
        <w:spacing w:line="44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五、价格折扣文件（如有）</w:t>
      </w:r>
      <w:r/>
    </w:p>
    <w:p>
      <w:pPr>
        <w:jc w:val="center"/>
        <w:rPr>
          <w:rFonts w:hint="eastAsia" w:ascii="黑体" w:eastAsia="黑体"/>
          <w:b/>
          <w:bCs/>
          <w:sz w:val="32"/>
          <w:szCs w:val="32"/>
          <w:highlight w:val="none"/>
        </w:rPr>
      </w:pPr>
      <w:r>
        <w:rPr>
          <w:rFonts w:hint="eastAsia" w:ascii="黑体" w:hAnsi="黑体" w:eastAsia="黑体"/>
          <w:i/>
          <w:sz w:val="32"/>
          <w:szCs w:val="32"/>
          <w:u w:val="single"/>
        </w:rPr>
        <w:br w:type="page" w:clear="all"/>
      </w:r>
      <w:bookmarkStart w:id="203" w:name="_Toc120614284"/>
      <w:r>
        <w:rPr>
          <w:rFonts w:hint="eastAsia" w:ascii="黑体" w:hAnsi="Times New Roman" w:eastAsia="黑体" w:cs="Times New Roman"/>
          <w:b/>
          <w:bCs/>
          <w:i w:val="0"/>
          <w:sz w:val="32"/>
          <w:szCs w:val="32"/>
          <w:highlight w:val="none"/>
          <w:u w:val="none"/>
          <w:lang w:val="en-US" w:eastAsia="zh-CN"/>
        </w:rPr>
        <w:t xml:space="preserve">1.</w:t>
      </w:r>
      <w:r>
        <w:rPr>
          <w:rFonts w:hint="eastAsia" w:ascii="黑体" w:hAnsi="Times New Roman" w:eastAsia="黑体" w:cs="Times New Roman"/>
          <w:b/>
          <w:bCs/>
          <w:sz w:val="32"/>
          <w:szCs w:val="32"/>
          <w:highlight w:val="none"/>
        </w:rPr>
        <w:t xml:space="preserve">具有履</w:t>
      </w:r>
      <w:r>
        <w:rPr>
          <w:rFonts w:hint="eastAsia" w:ascii="黑体" w:eastAsia="黑体"/>
          <w:b/>
          <w:bCs/>
          <w:sz w:val="32"/>
          <w:szCs w:val="32"/>
          <w:highlight w:val="none"/>
        </w:rPr>
        <w:t xml:space="preserve">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492"/>
        <w:spacing w:line="460" w:lineRule="exact"/>
        <w:rPr>
          <w:rFonts w:hint="eastAsia" w:ascii="宋体" w:hAnsi="宋体" w:eastAsia="宋体" w:cs="宋体"/>
          <w:bCs/>
          <w:sz w:val="24"/>
        </w:rPr>
      </w:pPr>
      <w:r>
        <w:rPr>
          <w:rFonts w:hint="eastAsia" w:ascii="宋体" w:hAnsi="宋体" w:eastAsia="宋体" w:cs="宋体"/>
          <w:bCs/>
          <w:sz w:val="24"/>
        </w:rPr>
      </w:r>
      <w:r/>
    </w:p>
    <w:p>
      <w:pPr>
        <w:spacing w:line="460" w:lineRule="exact"/>
        <w:rPr>
          <w:rFonts w:hint="eastAsia" w:ascii="宋体" w:hAnsi="宋体"/>
          <w:bCs/>
          <w:sz w:val="24"/>
        </w:rPr>
      </w:pPr>
      <w:r>
        <w:rPr>
          <w:rFonts w:hint="eastAsia" w:ascii="宋体" w:hAnsi="宋体"/>
          <w:bCs/>
          <w:sz w:val="24"/>
        </w:rPr>
        <w:t xml:space="preserve">                                     </w:t>
      </w:r>
      <w:r/>
    </w:p>
    <w:p>
      <w:pPr>
        <w:pStyle w:val="849"/>
        <w:ind w:firstLine="0"/>
        <w:rPr>
          <w:rFonts w:hint="eastAsia"/>
        </w:rPr>
      </w:pPr>
      <w:r>
        <w:rPr>
          <w:rFonts w:hint="eastAsia"/>
        </w:rPr>
      </w:r>
      <w:r/>
    </w:p>
    <w:p>
      <w:pPr>
        <w:jc w:val="center"/>
        <w:spacing w:line="600" w:lineRule="exact"/>
        <w:rPr>
          <w:rFonts w:hint="eastAsia" w:ascii="黑体" w:eastAsia="黑体"/>
          <w:b/>
          <w:bCs/>
          <w:sz w:val="32"/>
          <w:szCs w:val="32"/>
          <w:highlight w:val="none"/>
        </w:rPr>
      </w:pPr>
      <w:r>
        <w:rPr>
          <w:rFonts w:hint="eastAsia" w:ascii="黑体" w:hAnsi="黑体" w:eastAsia="黑体"/>
          <w:i/>
          <w:sz w:val="32"/>
          <w:szCs w:val="32"/>
          <w:u w:val="single"/>
        </w:rPr>
        <w:br w:type="page" w:clear="all"/>
      </w:r>
      <w:r>
        <w:rPr>
          <w:rFonts w:hint="eastAsia" w:ascii="黑体" w:hAnsi="Calibri" w:eastAsia="黑体" w:cs="Times New Roman"/>
          <w:b/>
          <w:bCs/>
          <w:i w:val="0"/>
          <w:sz w:val="32"/>
          <w:szCs w:val="32"/>
          <w:highlight w:val="none"/>
          <w:u w:val="none"/>
          <w:lang w:val="en-US" w:eastAsia="zh-CN"/>
        </w:rPr>
        <w:t xml:space="preserve">2.</w:t>
      </w:r>
      <w:r>
        <w:rPr>
          <w:rFonts w:hint="eastAsia" w:ascii="黑体" w:hAnsi="Calibri" w:eastAsia="黑体" w:cs="Times New Roman"/>
          <w:b/>
          <w:bCs/>
          <w:sz w:val="32"/>
          <w:szCs w:val="32"/>
          <w:highlight w:val="none"/>
        </w:rPr>
        <w:t xml:space="preserve">参加政</w:t>
      </w:r>
      <w:r>
        <w:rPr>
          <w:rFonts w:hint="eastAsia" w:ascii="黑体" w:eastAsia="黑体"/>
          <w:b/>
          <w:bCs/>
          <w:sz w:val="32"/>
          <w:szCs w:val="32"/>
          <w:highlight w:val="none"/>
        </w:rPr>
        <w:t xml:space="preserve">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1680"/>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460" w:lineRule="exact"/>
        <w:rPr>
          <w:rFonts w:hint="eastAsia" w:ascii="宋体" w:hAnsi="宋体"/>
          <w:bCs/>
          <w:sz w:val="24"/>
        </w:rPr>
      </w:pPr>
      <w:r>
        <w:rPr>
          <w:rFonts w:hint="eastAsia" w:ascii="宋体" w:hAnsi="宋体"/>
          <w:bCs/>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600" w:lineRule="exact"/>
        <w:rPr>
          <w:rFonts w:hint="eastAsia" w:ascii="黑体" w:eastAsia="黑体"/>
          <w:b/>
          <w:bCs/>
          <w:sz w:val="32"/>
          <w:szCs w:val="32"/>
          <w:highlight w:val="none"/>
        </w:rPr>
        <w:outlineLvl w:val="1"/>
      </w:pPr>
      <w:r>
        <w:rPr>
          <w:rFonts w:hint="eastAsia" w:ascii="黑体" w:hAnsi="黑体" w:eastAsia="黑体"/>
          <w:i/>
          <w:sz w:val="32"/>
          <w:szCs w:val="32"/>
          <w:u w:val="single"/>
        </w:rPr>
        <w:br w:type="page" w:clear="all"/>
      </w:r>
      <w:r>
        <w:rPr>
          <w:rFonts w:hint="eastAsia" w:ascii="黑体" w:hAnsi="Calibri" w:eastAsia="黑体" w:cs="Times New Roman"/>
          <w:b/>
          <w:bCs/>
          <w:sz w:val="32"/>
          <w:szCs w:val="32"/>
          <w:highlight w:val="none"/>
          <w:lang w:val="en-US" w:eastAsia="zh-CN"/>
        </w:rPr>
        <w:t xml:space="preserve">3.</w:t>
      </w:r>
      <w:r>
        <w:rPr>
          <w:rFonts w:hint="eastAsia" w:ascii="黑体" w:hAnsi="Calibri" w:eastAsia="黑体" w:cs="Times New Roman"/>
          <w:b/>
          <w:bCs/>
          <w:sz w:val="32"/>
          <w:szCs w:val="32"/>
          <w:highlight w:val="none"/>
        </w:rPr>
        <w:t xml:space="preserve">法</w:t>
      </w:r>
      <w:r>
        <w:rPr>
          <w:rFonts w:hint="eastAsia" w:ascii="黑体" w:eastAsia="黑体"/>
          <w:b/>
          <w:bCs/>
          <w:sz w:val="32"/>
          <w:szCs w:val="32"/>
          <w:highlight w:val="none"/>
        </w:rPr>
        <w:t xml:space="preserve">定代表人身份证明书</w:t>
      </w:r>
      <w:r/>
    </w:p>
    <w:p>
      <w:pPr>
        <w:jc w:val="center"/>
        <w:spacing w:line="600" w:lineRule="exact"/>
        <w:rPr>
          <w:rFonts w:hint="eastAsia" w:ascii="黑体" w:eastAsia="黑体"/>
          <w:b/>
          <w:sz w:val="28"/>
          <w:highlight w:val="none"/>
        </w:rPr>
      </w:pPr>
      <w:r>
        <w:rPr>
          <w:rFonts w:hint="eastAsia" w:ascii="黑体" w:eastAsia="黑体"/>
          <w:b/>
          <w:sz w:val="28"/>
          <w:highlight w:val="none"/>
        </w:rPr>
      </w:r>
      <w:r/>
    </w:p>
    <w:p>
      <w:pPr>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：（采购人名称）</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（法定代表人姓名） </w:t>
      </w:r>
      <w:r>
        <w:rPr>
          <w:rFonts w:hint="eastAsia" w:ascii="宋体" w:hAnsi="宋体" w:eastAsia="宋体" w:cs="宋体"/>
          <w:sz w:val="24"/>
          <w:highlight w:val="none"/>
        </w:rPr>
        <w:t xml:space="preserve">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任</w:t>
      </w:r>
      <w:r>
        <w:rPr>
          <w:rFonts w:hint="eastAsia" w:ascii="宋体" w:hAnsi="宋体" w:eastAsia="宋体" w:cs="宋体"/>
          <w:sz w:val="24"/>
          <w:highlight w:val="none"/>
          <w:u w:val="single"/>
        </w:rPr>
        <w:t xml:space="preserve">（职务名称）</w:t>
      </w:r>
      <w:r>
        <w:rPr>
          <w:rFonts w:hint="eastAsia" w:ascii="宋体" w:hAnsi="宋体" w:eastAsia="宋体" w:cs="宋体"/>
          <w:sz w:val="24"/>
          <w:highlight w:val="none"/>
        </w:rPr>
        <w:t xml:space="preserve">职务，是</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sz w:val="24"/>
          <w:highlight w:val="none"/>
        </w:rPr>
        <w:t xml:space="preserve">。</w:t>
      </w:r>
      <w:r/>
    </w:p>
    <w:p>
      <w:pPr>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560"/>
        <w:spacing w:line="600" w:lineRule="exact"/>
        <w:rPr>
          <w:rFonts w:hint="eastAsia" w:ascii="宋体" w:hAnsi="宋体" w:eastAsia="宋体" w:cs="宋体"/>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sz w:val="24"/>
          <w:szCs w:val="24"/>
          <w:lang w:eastAsia="zh-CN"/>
        </w:rPr>
        <w:t xml:space="preserve">：</w:t>
      </w:r>
      <w:r>
        <w:rPr>
          <w:rFonts w:hint="eastAsia" w:ascii="宋体" w:hAnsi="宋体" w:eastAsia="宋体" w:cs="宋体"/>
          <w:sz w:val="24"/>
          <w:highlight w:val="none"/>
        </w:rPr>
        <w:t xml:space="preserve">      </w:t>
      </w:r>
      <w:r/>
    </w:p>
    <w:p>
      <w:pPr>
        <w:ind w:firstLine="120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126"/>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p>
    <w:p>
      <w:pPr>
        <w:jc w:val="left"/>
        <w:spacing w:line="6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left"/>
        <w:spacing w:line="6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（附：法定代表人身份证正反面</w:t>
      </w:r>
      <w:r>
        <w:rPr>
          <w:rFonts w:hint="eastAsia" w:ascii="宋体" w:hAnsi="宋体" w:eastAsia="宋体" w:cs="宋体"/>
          <w:b/>
          <w:bCs/>
          <w:sz w:val="24"/>
          <w:highlight w:val="none"/>
          <w:lang w:eastAsia="zh-CN"/>
        </w:rPr>
        <w:t xml:space="preserve">复印件或扫描件</w:t>
      </w:r>
      <w:r>
        <w:rPr>
          <w:rFonts w:hint="eastAsia" w:ascii="宋体" w:hAnsi="宋体" w:eastAsia="宋体" w:cs="宋体"/>
          <w:b/>
          <w:bCs/>
          <w:sz w:val="24"/>
          <w:highlight w:val="none"/>
        </w:rPr>
        <w:t xml:space="preserve">）</w:t>
      </w:r>
      <w:r/>
    </w:p>
    <w:p>
      <w:pPr>
        <w:jc w:val="center"/>
        <w:spacing w:line="400" w:lineRule="exact"/>
        <w:rPr>
          <w:rFonts w:hint="eastAsia" w:ascii="黑体" w:eastAsia="黑体"/>
          <w:sz w:val="28"/>
          <w:highlight w:val="none"/>
        </w:rPr>
      </w:pPr>
      <w:r>
        <w:rPr>
          <w:rFonts w:hint="eastAsia" w:ascii="黑体" w:hAnsi="黑体" w:eastAsia="黑体"/>
          <w:i/>
          <w:sz w:val="32"/>
          <w:szCs w:val="32"/>
          <w:u w:val="single"/>
        </w:rPr>
        <w:br w:type="page" w:clear="all"/>
      </w:r>
      <w:r>
        <w:rPr>
          <w:rFonts w:hint="eastAsia" w:ascii="黑体" w:hAnsi="Times New Roman" w:eastAsia="黑体" w:cs="Times New Roman"/>
          <w:b/>
          <w:bCs/>
          <w:i w:val="0"/>
          <w:sz w:val="32"/>
          <w:szCs w:val="32"/>
          <w:highlight w:val="none"/>
          <w:u w:val="none"/>
          <w:lang w:val="en-US" w:eastAsia="zh-CN"/>
        </w:rPr>
        <w:t xml:space="preserve">4.</w:t>
      </w:r>
      <w:r>
        <w:rPr>
          <w:rFonts w:hint="eastAsia" w:ascii="黑体" w:hAnsi="Times New Roman" w:eastAsia="黑体" w:cs="Times New Roman"/>
          <w:b/>
          <w:bCs/>
          <w:sz w:val="32"/>
          <w:szCs w:val="32"/>
          <w:highlight w:val="none"/>
        </w:rPr>
        <w:t xml:space="preserve">授权委托</w:t>
      </w:r>
      <w:r>
        <w:rPr>
          <w:rFonts w:hint="eastAsia" w:ascii="黑体" w:eastAsia="黑体"/>
          <w:b/>
          <w:bCs/>
          <w:sz w:val="32"/>
          <w:szCs w:val="32"/>
          <w:highlight w:val="none"/>
        </w:rPr>
        <w:t xml:space="preserve">书</w:t>
      </w:r>
      <w:r/>
    </w:p>
    <w:p>
      <w:pPr>
        <w:ind w:firstLine="480"/>
        <w:jc w:val="both"/>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highlight w:val="none"/>
        </w:rPr>
        <w:t xml:space="preserve">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投标人</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的法定代表人，现授权</w:t>
      </w:r>
      <w:r>
        <w:rPr>
          <w:rFonts w:hint="eastAsia" w:ascii="宋体" w:hAnsi="宋体" w:eastAsia="宋体" w:cs="宋体"/>
          <w:sz w:val="24"/>
          <w:szCs w:val="24"/>
        </w:rPr>
        <w:t xml:space="preserve">____________（投标人名称）</w:t>
      </w:r>
      <w:r>
        <w:rPr>
          <w:rFonts w:hint="eastAsia" w:ascii="宋体" w:hAnsi="宋体" w:eastAsia="宋体" w:cs="宋体"/>
          <w:sz w:val="24"/>
          <w:highlight w:val="none"/>
        </w:rPr>
        <w:t xml:space="preserve">的</w:t>
      </w:r>
      <w:r>
        <w:rPr>
          <w:rFonts w:hint="eastAsia" w:ascii="宋体" w:hAnsi="宋体" w:eastAsia="宋体" w:cs="宋体"/>
          <w:sz w:val="24"/>
          <w:szCs w:val="24"/>
        </w:rPr>
        <w:t xml:space="preserve">________________（被授权人的姓名）为</w:t>
      </w:r>
      <w:r>
        <w:rPr>
          <w:rFonts w:hint="eastAsia" w:ascii="宋体" w:hAnsi="宋体" w:eastAsia="宋体" w:cs="宋体"/>
          <w:sz w:val="24"/>
          <w:szCs w:val="24"/>
          <w:lang w:val="en-US" w:eastAsia="zh-CN"/>
        </w:rPr>
        <w:t xml:space="preserve">我单位</w:t>
      </w:r>
      <w:r>
        <w:rPr>
          <w:rFonts w:hint="eastAsia" w:ascii="宋体" w:hAnsi="宋体" w:eastAsia="宋体" w:cs="宋体"/>
          <w:sz w:val="24"/>
          <w:szCs w:val="24"/>
        </w:rPr>
        <w:t xml:space="preserve">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号项目的</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的法定代表人授权委托代理，</w:t>
      </w:r>
      <w:r>
        <w:rPr>
          <w:rFonts w:hint="eastAsia" w:ascii="宋体" w:hAnsi="宋体" w:eastAsia="宋体" w:cs="宋体"/>
          <w:sz w:val="24"/>
          <w:highlight w:val="none"/>
        </w:rPr>
        <w:t xml:space="preserve">，我承认</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全权代表我所签署的本项目的</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的内容。</w:t>
      </w:r>
      <w:r>
        <w:rPr>
          <w:rFonts w:hint="eastAsia" w:ascii="宋体" w:hAnsi="宋体" w:eastAsia="宋体" w:cs="宋体"/>
          <w:sz w:val="24"/>
          <w:szCs w:val="24"/>
        </w:rPr>
        <w:t xml:space="preserve">以本单位名义全权处理一切与该项目采购有关的事务。</w:t>
      </w:r>
      <w:r/>
    </w:p>
    <w:p>
      <w:pPr>
        <w:pStyle w:val="865"/>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865"/>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865"/>
        <w:ind w:firstLine="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865"/>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865"/>
        <w:ind w:firstLine="480"/>
        <w:spacing w:line="480" w:lineRule="auto"/>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865"/>
        <w:ind w:firstLine="480"/>
        <w:spacing w:line="480" w:lineRule="auto"/>
        <w:rPr>
          <w:rFonts w:hint="eastAsia" w:ascii="宋体" w:hAnsi="宋体" w:eastAsia="宋体" w:cs="宋体"/>
          <w:sz w:val="24"/>
          <w:highlight w:val="none"/>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szCs w:val="24"/>
          <w:u w:val="single"/>
        </w:rPr>
        <w:t xml:space="preserve">（加盖CA电子公章）</w:t>
      </w:r>
      <w:r/>
    </w:p>
    <w:p>
      <w:pPr>
        <w:pStyle w:val="865"/>
        <w:ind w:firstLine="1200"/>
        <w:spacing w:line="48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jc w:val="left"/>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rPr>
          <w:rFonts w:hint="eastAsia" w:ascii="宋体" w:hAnsi="宋体" w:eastAsia="宋体" w:cs="宋体"/>
          <w:b/>
          <w:bCs/>
          <w:sz w:val="24"/>
          <w:highlight w:val="none"/>
          <w:lang w:eastAsia="zh-CN"/>
        </w:rPr>
        <w:t xml:space="preserve">复印件或扫描件</w:t>
      </w:r>
      <w:r>
        <w:rPr>
          <w:rFonts w:hint="eastAsia" w:ascii="宋体" w:hAnsi="宋体" w:eastAsia="宋体" w:cs="宋体"/>
          <w:b/>
          <w:bCs/>
          <w:sz w:val="24"/>
          <w:highlight w:val="none"/>
        </w:rPr>
        <w:t xml:space="preserve">）</w:t>
      </w:r>
      <w:r/>
    </w:p>
    <w:p>
      <w:pPr>
        <w:pStyle w:val="849"/>
        <w:spacing w:line="480" w:lineRule="auto"/>
        <w:rPr>
          <w:rFonts w:hint="eastAsia" w:ascii="宋体" w:hAnsi="宋体" w:eastAsia="宋体" w:cs="宋体"/>
          <w:i/>
          <w:sz w:val="24"/>
          <w:szCs w:val="24"/>
          <w:u w:val="single"/>
        </w:rPr>
      </w:pPr>
      <w:r>
        <w:rPr>
          <w:rFonts w:hint="eastAsia" w:ascii="宋体" w:hAnsi="宋体" w:eastAsia="宋体" w:cs="宋体"/>
          <w:i/>
          <w:sz w:val="24"/>
          <w:szCs w:val="24"/>
          <w:u w:val="single"/>
        </w:rPr>
      </w:r>
      <w:r/>
    </w:p>
    <w:p>
      <w:pPr>
        <w:spacing w:line="48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并提供投标人为被授权人近期缴纳的社会养老保险证明。</w:t>
      </w:r>
      <w:r/>
    </w:p>
    <w:p>
      <w:pPr>
        <w:spacing w:line="460" w:lineRule="exact"/>
        <w:rPr>
          <w:rFonts w:hint="eastAsia" w:ascii="宋体" w:hAnsi="宋体"/>
          <w:bCs/>
          <w:sz w:val="24"/>
        </w:rPr>
      </w:pPr>
      <w:r>
        <w:rPr>
          <w:rFonts w:hint="eastAsia" w:ascii="宋体" w:hAnsi="宋体"/>
          <w:bCs/>
          <w:sz w:val="24"/>
        </w:rPr>
      </w:r>
      <w:r/>
    </w:p>
    <w:p>
      <w:pPr>
        <w:jc w:val="center"/>
        <w:spacing w:before="50" w:after="50"/>
        <w:rPr>
          <w:rFonts w:hint="eastAsia" w:ascii="黑体" w:hAnsi="Times New Roman" w:eastAsia="黑体" w:cs="Times New Roman"/>
          <w:b/>
          <w:bCs/>
          <w:sz w:val="32"/>
          <w:szCs w:val="32"/>
          <w:highlight w:val="none"/>
        </w:rPr>
      </w:pPr>
      <w:r>
        <w:rPr>
          <w:rFonts w:ascii="宋体" w:hAnsi="宋体"/>
          <w:bCs/>
          <w:sz w:val="24"/>
        </w:rPr>
        <w:br w:type="page" w:clear="all"/>
      </w:r>
      <w:r>
        <w:rPr>
          <w:rFonts w:hint="eastAsia" w:ascii="黑体" w:hAnsi="Times New Roman" w:eastAsia="黑体" w:cs="Times New Roman"/>
          <w:b/>
          <w:bCs/>
          <w:sz w:val="32"/>
          <w:szCs w:val="32"/>
          <w:highlight w:val="none"/>
          <w:lang w:val="en-US" w:eastAsia="zh-CN"/>
        </w:rPr>
        <w:t xml:space="preserve">5.</w:t>
      </w:r>
      <w:r>
        <w:rPr>
          <w:rFonts w:hint="eastAsia" w:ascii="黑体" w:hAnsi="Times New Roman" w:eastAsia="黑体" w:cs="Times New Roman"/>
          <w:b/>
          <w:bCs/>
          <w:sz w:val="32"/>
          <w:szCs w:val="32"/>
          <w:highlight w:val="none"/>
        </w:rPr>
        <w:t xml:space="preserve">开标一览表（格式）</w:t>
      </w:r>
      <w:r/>
    </w:p>
    <w:p>
      <w:pPr>
        <w:jc w:val="center"/>
        <w:spacing w:before="50" w:after="50"/>
        <w:rPr>
          <w:rFonts w:hint="eastAsia" w:ascii="黑体" w:eastAsia="黑体"/>
          <w:sz w:val="32"/>
          <w:szCs w:val="32"/>
        </w:rPr>
      </w:pPr>
      <w:r>
        <w:rPr>
          <w:rFonts w:hint="eastAsia" w:ascii="黑体" w:eastAsia="黑体"/>
          <w:sz w:val="32"/>
          <w:szCs w:val="32"/>
        </w:rPr>
      </w:r>
      <w:r/>
    </w:p>
    <w:tbl>
      <w:tblPr>
        <w:tblStyle w:val="848"/>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szCs w:val="28"/>
              </w:rPr>
            </w:pPr>
            <w:r>
              <w:rPr>
                <w:rFonts w:hint="eastAsia" w:ascii="宋体"/>
                <w:szCs w:val="28"/>
              </w:rPr>
              <w:t xml:space="preserve">项 目 编 号</w:t>
            </w:r>
            <w:r/>
          </w:p>
        </w:tc>
        <w:tc>
          <w:tcPr>
            <w:tcW w:w="7445" w:type="dxa"/>
            <w:vAlign w:val="center"/>
            <w:textDirection w:val="lrTb"/>
            <w:noWrap w:val="false"/>
          </w:tcPr>
          <w:p>
            <w:pPr>
              <w:pStyle w:val="844"/>
              <w:ind w:firstLine="689"/>
              <w:jc w:val="both"/>
              <w:rPr>
                <w:rFonts w:hint="eastAsia" w:ascii="宋体" w:hAnsi="宋体" w:eastAsia="宋体"/>
                <w:sz w:val="28"/>
                <w:szCs w:val="28"/>
              </w:rPr>
            </w:pPr>
            <w:r>
              <w:rPr>
                <w:rFonts w:hint="eastAsia" w:ascii="宋体" w:hAnsi="宋体" w:eastAsia="宋体"/>
                <w:sz w:val="28"/>
                <w:szCs w:val="28"/>
              </w:rPr>
            </w:r>
            <w:r/>
          </w:p>
        </w:tc>
      </w:tr>
      <w:tr>
        <w:trPr>
          <w:cantSplit/>
          <w:trHeight w:val="789"/>
        </w:trPr>
        <w:tc>
          <w:tcPr>
            <w:tcW w:w="2700" w:type="dxa"/>
            <w:vAlign w:val="center"/>
            <w:textDirection w:val="lrTb"/>
            <w:noWrap w:val="false"/>
          </w:tcPr>
          <w:p>
            <w:pPr>
              <w:ind w:firstLine="420"/>
              <w:rPr>
                <w:rFonts w:hint="eastAsia" w:ascii="宋体"/>
                <w:szCs w:val="28"/>
              </w:rPr>
            </w:pPr>
            <w:r>
              <w:rPr>
                <w:rFonts w:hint="eastAsia" w:ascii="宋体"/>
                <w:szCs w:val="28"/>
              </w:rPr>
              <w:t xml:space="preserve">项 目 名 称</w:t>
            </w:r>
            <w:r/>
          </w:p>
        </w:tc>
        <w:tc>
          <w:tcPr>
            <w:tcW w:w="7445" w:type="dxa"/>
            <w:vAlign w:val="center"/>
            <w:textDirection w:val="lrTb"/>
            <w:noWrap w:val="false"/>
          </w:tcPr>
          <w:p>
            <w:pPr>
              <w:pStyle w:val="844"/>
              <w:jc w:val="both"/>
              <w:rPr>
                <w:rFonts w:hint="eastAsia"/>
                <w:sz w:val="28"/>
                <w:szCs w:val="28"/>
              </w:rPr>
            </w:pPr>
            <w:r>
              <w:rPr>
                <w:rFonts w:hint="eastAsia"/>
                <w:sz w:val="28"/>
                <w:szCs w:val="28"/>
              </w:rPr>
            </w:r>
            <w:r/>
          </w:p>
        </w:tc>
      </w:tr>
      <w:tr>
        <w:trPr>
          <w:cantSplit/>
          <w:trHeight w:val="821"/>
        </w:trPr>
        <w:tc>
          <w:tcPr>
            <w:gridSpan w:val="2"/>
            <w:tcW w:w="10145" w:type="dxa"/>
            <w:vAlign w:val="center"/>
            <w:textDirection w:val="lrTb"/>
            <w:noWrap w:val="false"/>
          </w:tcPr>
          <w:p>
            <w:pPr>
              <w:rPr>
                <w:rFonts w:hint="eastAsia" w:ascii="宋体"/>
                <w:szCs w:val="28"/>
              </w:rPr>
            </w:pPr>
            <w:r>
              <w:rPr>
                <w:rFonts w:hint="eastAsia" w:ascii="宋体"/>
                <w:b/>
                <w:bCs/>
                <w:szCs w:val="28"/>
              </w:rPr>
              <w:t xml:space="preserve">项目投标报价：（大写）</w:t>
            </w:r>
            <w:r>
              <w:rPr>
                <w:rFonts w:hint="eastAsia" w:ascii="宋体"/>
                <w:b/>
                <w:bCs/>
                <w:szCs w:val="28"/>
                <w:u w:val="single"/>
              </w:rPr>
              <w:t xml:space="preserve">                       </w:t>
            </w:r>
            <w:r>
              <w:rPr>
                <w:rFonts w:hint="eastAsia" w:ascii="宋体"/>
                <w:b/>
                <w:bCs/>
                <w:szCs w:val="28"/>
              </w:rPr>
              <w:t xml:space="preserve">，小写：</w:t>
            </w:r>
            <w:r>
              <w:rPr>
                <w:rFonts w:hint="eastAsia" w:ascii="宋体"/>
                <w:b/>
                <w:bCs/>
                <w:szCs w:val="28"/>
                <w:u w:val="single"/>
              </w:rPr>
              <w:t xml:space="preserve">                     </w:t>
            </w:r>
            <w:r>
              <w:rPr>
                <w:rFonts w:hint="eastAsia" w:ascii="宋体"/>
                <w:b/>
                <w:bCs/>
                <w:szCs w:val="28"/>
              </w:rPr>
              <w:t xml:space="preserve"> </w:t>
            </w:r>
            <w:r/>
          </w:p>
        </w:tc>
      </w:tr>
      <w:tr>
        <w:trPr>
          <w:cantSplit/>
          <w:trHeight w:val="821"/>
        </w:trPr>
        <w:tc>
          <w:tcPr>
            <w:gridSpan w:val="2"/>
            <w:tcW w:w="10145" w:type="dxa"/>
            <w:vAlign w:val="center"/>
            <w:textDirection w:val="lrTb"/>
            <w:noWrap w:val="false"/>
          </w:tcPr>
          <w:p>
            <w:pPr>
              <w:rPr>
                <w:rFonts w:hint="eastAsia" w:ascii="宋体"/>
                <w:b/>
                <w:bCs/>
                <w:szCs w:val="28"/>
              </w:rPr>
            </w:pPr>
            <w:r>
              <w:rPr>
                <w:rFonts w:hint="eastAsia" w:ascii="宋体"/>
                <w:b/>
                <w:bCs/>
                <w:szCs w:val="28"/>
              </w:rPr>
              <w:t xml:space="preserve">是否提供《企业类型声明函》：</w:t>
            </w:r>
            <w:r>
              <w:rPr>
                <w:rFonts w:hint="eastAsia" w:ascii="宋体"/>
                <w:b/>
                <w:bCs/>
                <w:szCs w:val="28"/>
                <w:u w:val="single"/>
              </w:rPr>
              <w:t xml:space="preserve">  是/否   </w:t>
            </w:r>
            <w:r/>
          </w:p>
        </w:tc>
      </w:tr>
    </w:tbl>
    <w:p>
      <w:pPr>
        <w:spacing w:line="180" w:lineRule="atLeast"/>
        <w:rPr>
          <w:rFonts w:hint="eastAsia" w:ascii="宋体" w:hAnsi="宋体"/>
          <w:szCs w:val="28"/>
        </w:rPr>
      </w:pPr>
      <w:r>
        <w:rPr>
          <w:rFonts w:hint="eastAsia" w:ascii="宋体" w:hAnsi="宋体"/>
          <w:szCs w:val="28"/>
        </w:rPr>
        <w:t xml:space="preserve">填写说明：</w:t>
      </w:r>
      <w:r/>
    </w:p>
    <w:p>
      <w:pPr>
        <w:numPr>
          <w:ilvl w:val="0"/>
          <w:numId w:val="1"/>
        </w:numPr>
        <w:rPr>
          <w:rStyle w:val="858"/>
          <w:rFonts w:hint="eastAsia" w:ascii="宋体" w:hAnsi="宋体"/>
          <w:sz w:val="24"/>
        </w:rPr>
      </w:pPr>
      <w:r>
        <w:rPr>
          <w:rStyle w:val="858"/>
          <w:rFonts w:ascii="宋体" w:hAnsi="宋体"/>
          <w:sz w:val="24"/>
        </w:rPr>
        <w:t xml:space="preserve">开标一览表不得填报选择性报价，否则将作为无效投标</w:t>
      </w:r>
      <w:r>
        <w:rPr>
          <w:rStyle w:val="858"/>
          <w:rFonts w:hint="eastAsia" w:ascii="宋体" w:hAnsi="宋体"/>
          <w:sz w:val="24"/>
        </w:rPr>
        <w:t xml:space="preserve">。</w:t>
      </w:r>
      <w:r/>
    </w:p>
    <w:p>
      <w:pPr>
        <w:numPr>
          <w:ilvl w:val="0"/>
          <w:numId w:val="1"/>
        </w:numPr>
        <w:rPr>
          <w:rStyle w:val="858"/>
          <w:rFonts w:hint="eastAsia" w:ascii="宋体" w:hAnsi="宋体"/>
          <w:sz w:val="24"/>
        </w:rPr>
      </w:pPr>
      <w:r>
        <w:rPr>
          <w:rFonts w:hint="eastAsia" w:ascii="宋体" w:hAnsi="宋体" w:cs="宋体"/>
          <w:sz w:val="24"/>
          <w:szCs w:val="24"/>
        </w:rPr>
        <w:t xml:space="preserve">投标报价保留两位小数。</w:t>
      </w:r>
      <w:r/>
    </w:p>
    <w:p>
      <w:pPr>
        <w:pStyle w:val="866"/>
        <w:rPr>
          <w:rFonts w:hint="eastAsia" w:ascii="宋体" w:hAnsi="宋体"/>
          <w:b/>
          <w:sz w:val="24"/>
        </w:rPr>
      </w:pPr>
      <w:r>
        <w:rPr>
          <w:rFonts w:hint="eastAsia" w:ascii="宋体" w:hAnsi="宋体"/>
          <w:b/>
          <w:sz w:val="24"/>
        </w:rPr>
      </w:r>
      <w:r/>
    </w:p>
    <w:p>
      <w:pPr>
        <w:ind w:firstLine="2400"/>
        <w:spacing w:line="600" w:lineRule="exact"/>
        <w:rPr>
          <w:rFonts w:hint="eastAsia" w:ascii="仿宋_GB2312" w:eastAsia="仿宋_GB2312"/>
          <w:sz w:val="24"/>
        </w:rPr>
      </w:pPr>
      <w:r>
        <w:rPr>
          <w:rFonts w:hint="eastAsia" w:ascii="仿宋_GB2312" w:eastAsia="仿宋_GB2312"/>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rPr>
          <w:rFonts w:hint="eastAsia" w:ascii="宋体" w:hAnsi="宋体" w:eastAsia="宋体" w:cs="宋体"/>
          <w:sz w:val="24"/>
          <w:lang w:val="en-US" w:eastAsia="zh-CN"/>
        </w:rPr>
        <w:t xml:space="preserve">）</w:t>
      </w:r>
      <w:r>
        <w:rPr>
          <w:rFonts w:hint="eastAsia" w:ascii="宋体" w:hAnsi="宋体" w:eastAsia="宋体" w:cs="宋体"/>
          <w:sz w:val="24"/>
        </w:rPr>
        <w:t xml:space="preserve">：</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rPr>
        <w:t xml:space="preserve">：</w:t>
      </w:r>
      <w:r/>
    </w:p>
    <w:p>
      <w:pPr>
        <w:ind w:firstLine="1200"/>
        <w:spacing w:line="600" w:lineRule="exact"/>
        <w:rPr>
          <w:rFonts w:hint="eastAsia" w:ascii="仿宋_GB2312" w:eastAsia="仿宋_GB2312"/>
          <w:sz w:val="24"/>
        </w:rPr>
      </w:pPr>
      <w:r>
        <w:rPr>
          <w:rFonts w:hint="eastAsia" w:ascii="仿宋_GB2312" w:eastAsia="仿宋_GB2312"/>
          <w:sz w:val="24"/>
        </w:rPr>
        <w:t xml:space="preserve">      </w:t>
      </w:r>
      <w:r/>
    </w:p>
    <w:p>
      <w:pPr>
        <w:jc w:val="right"/>
        <w:rPr>
          <w:rFonts w:ascii="仿宋_GB2312" w:eastAsia="仿宋_GB2312"/>
          <w:color w:val="auto"/>
          <w:sz w:val="24"/>
          <w:highlight w:val="none"/>
        </w:rPr>
        <w:outlineLvl w:val="1"/>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Times New Roman" w:eastAsia="黑体" w:cs="Times New Roman"/>
          <w:b/>
          <w:bCs/>
          <w:sz w:val="32"/>
          <w:szCs w:val="32"/>
          <w:highlight w:val="none"/>
          <w:lang w:val="en-US" w:eastAsia="zh-CN"/>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highlight w:val="none"/>
          <w:lang w:val="en-US" w:eastAsia="zh-CN"/>
        </w:rPr>
        <w:t xml:space="preserve">6.报价明细表（格式）</w:t>
      </w:r>
      <w:r/>
    </w:p>
    <w:tbl>
      <w:tblPr>
        <w:tblStyle w:val="848"/>
        <w:tblW w:w="4998" w:type="pct"/>
        <w:jc w:val="center"/>
        <w:tblLayout w:type="autofit"/>
        <w:tblCellMar>
          <w:left w:w="0" w:type="dxa"/>
          <w:top w:w="0" w:type="dxa"/>
          <w:right w:w="0" w:type="dxa"/>
          <w:bottom w:w="0" w:type="dxa"/>
        </w:tblCellMar>
        <w:tblLook w:val="04A0" w:firstRow="1" w:lastRow="0" w:firstColumn="1" w:lastColumn="0" w:noHBand="0" w:noVBand="1"/>
      </w:tblPr>
      <w:tblGrid>
        <w:gridCol w:w="661"/>
        <w:gridCol w:w="2708"/>
        <w:gridCol w:w="2606"/>
        <w:gridCol w:w="1317"/>
        <w:gridCol w:w="1031"/>
        <w:gridCol w:w="1455"/>
      </w:tblGrid>
      <w:tr>
        <w:trPr>
          <w:jc w:val="center"/>
          <w:trHeight w:val="68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4"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32"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3"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7"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3" w:type="pct"/>
            <w:vAlign w:val="center"/>
            <w:textDirection w:val="lrTb"/>
            <w:noWrap w:val="false"/>
          </w:tcPr>
          <w:p>
            <w:pPr>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单价</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元</w:t>
            </w:r>
            <w:r>
              <w:rPr>
                <w:rFonts w:hint="eastAsia" w:asciiTheme="minorEastAsia" w:hAnsiTheme="minorEastAsia" w:cstheme="minorEastAsia"/>
                <w:sz w:val="24"/>
                <w:lang w:val="en-US" w:eastAsia="zh-CN"/>
              </w:rPr>
              <w:t xml:space="preserve">/亩</w:t>
            </w:r>
            <w:r>
              <w:rPr>
                <w:rFonts w:hint="eastAsia" w:asciiTheme="minorEastAsia" w:hAnsiTheme="minorEastAsia" w:eastAsiaTheme="minorEastAsia" w:cstheme="minorEastAsia"/>
                <w:sz w:val="24"/>
                <w:lang w:eastAsia="zh-CN"/>
              </w:rPr>
              <w:t xml:space="preserve">）</w:t>
            </w:r>
            <w:r/>
          </w:p>
        </w:tc>
      </w:tr>
      <w:tr>
        <w:trPr>
          <w:jc w:val="center"/>
          <w:trHeight w:val="6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84"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东台市2024年秸秆机械化还田、打捆离田作业补助第三方核查项目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32"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全市夏秋两季稻、麦、玉米种植面积约180万亩；涉及农户约12万户次（具体还田、离田面积及户数以实际情况为准），核查费用由核定面积费用及核减面积费用构成，其中，核定面积费用最高限价为0.4元/亩，核减面积费用按核定面积费用中标价上浮25%计算。</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3"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7" w:type="pct"/>
            <w:vAlign w:val="center"/>
            <w:textDirection w:val="lrTb"/>
            <w:noWrap w:val="false"/>
          </w:tcPr>
          <w:p>
            <w:pPr>
              <w:jc w:val="center"/>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43" w:type="pct"/>
            <w:vAlign w:val="center"/>
            <w:textDirection w:val="lrTb"/>
            <w:noWrap w:val="false"/>
          </w:tcPr>
          <w:p>
            <w:pPr>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ind w:firstLine="420"/>
        <w:spacing w:line="600" w:lineRule="exact"/>
        <w:rPr>
          <w:rFonts w:hint="eastAsia" w:ascii="宋体" w:hAnsi="宋体" w:eastAsia="宋体" w:cs="宋体"/>
          <w:sz w:val="24"/>
          <w:lang w:val="en-US" w:eastAsia="zh-CN"/>
        </w:rPr>
      </w:pPr>
      <w:r>
        <w:rPr>
          <w:rFonts w:hint="eastAsia" w:ascii="宋体" w:hAnsi="宋体" w:eastAsia="宋体" w:cs="宋体"/>
          <w:sz w:val="24"/>
        </w:rPr>
        <w:t xml:space="preserve">注：</w:t>
      </w:r>
      <w:r>
        <w:rPr>
          <w:rFonts w:hint="eastAsia" w:ascii="宋体" w:hAnsi="宋体" w:eastAsia="宋体" w:cs="宋体"/>
          <w:sz w:val="24"/>
          <w:lang w:val="en-US" w:eastAsia="zh-CN"/>
        </w:rPr>
        <w:t xml:space="preserve">1.投标报价应是招标范围内全部工作内容的价格体现，报价明细表中的报价应包括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p>
    <w:p>
      <w:pPr>
        <w:ind w:firstLine="420"/>
        <w:spacing w:line="60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此表可以根据需要自行增减行数。</w:t>
      </w:r>
      <w:r/>
    </w:p>
    <w:p>
      <w:pPr>
        <w:ind w:firstLine="480"/>
        <w:spacing w:line="600" w:lineRule="exact"/>
        <w:rPr>
          <w:rFonts w:hint="eastAsia" w:ascii="宋体" w:hAnsi="宋体" w:eastAsia="宋体" w:cs="宋体"/>
          <w:sz w:val="24"/>
        </w:rPr>
      </w:pPr>
      <w:r>
        <w:rPr>
          <w:rFonts w:hint="eastAsia" w:ascii="宋体" w:hAnsi="宋体" w:eastAsia="宋体" w:cs="宋体"/>
          <w:sz w:val="24"/>
        </w:rPr>
        <w:t xml:space="preserve">★如服务类项目采购人可根据项目需求特点自行制作。</w:t>
      </w:r>
      <w:r/>
    </w:p>
    <w:p>
      <w:pPr>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rPr>
        <w:t xml:space="preserve">法定代表人或</w:t>
      </w:r>
      <w:r>
        <w:rPr>
          <w:rFonts w:hint="eastAsia" w:ascii="宋体" w:hAnsi="宋体" w:eastAsia="宋体" w:cs="宋体"/>
          <w:sz w:val="24"/>
          <w:lang w:val="en-US" w:eastAsia="zh-CN"/>
        </w:rPr>
        <w:t xml:space="preserve">被授权人（</w:t>
      </w:r>
      <w:r>
        <w:rPr>
          <w:rFonts w:hint="eastAsia" w:ascii="宋体" w:hAnsi="宋体" w:eastAsia="宋体" w:cs="宋体"/>
          <w:sz w:val="24"/>
        </w:rPr>
        <w:t xml:space="preserve">签字</w:t>
      </w:r>
      <w:r>
        <w:rPr>
          <w:rFonts w:hint="eastAsia" w:ascii="宋体" w:hAnsi="宋体" w:eastAsia="宋体" w:cs="宋体"/>
          <w:sz w:val="24"/>
          <w:lang w:val="en-US" w:eastAsia="zh-CN"/>
        </w:rPr>
        <w:t xml:space="preserve">）</w:t>
      </w:r>
      <w:r>
        <w:rPr>
          <w:rFonts w:hint="eastAsia" w:ascii="宋体" w:hAnsi="宋体" w:eastAsia="宋体" w:cs="宋体"/>
          <w:sz w:val="24"/>
        </w:rPr>
        <w:t xml:space="preserve">：</w:t>
      </w:r>
      <w:r/>
    </w:p>
    <w:p>
      <w:pPr>
        <w:ind w:firstLine="1680"/>
        <w:spacing w:line="600" w:lineRule="exact"/>
        <w:rPr>
          <w:rFonts w:hint="eastAsia" w:ascii="宋体" w:hAnsi="宋体" w:eastAsia="宋体" w:cs="宋体"/>
          <w:sz w:val="24"/>
        </w:rPr>
      </w:pPr>
      <w:r>
        <w:rPr>
          <w:rFonts w:hint="eastAsia" w:ascii="宋体" w:hAnsi="宋体" w:eastAsia="宋体" w:cs="宋体"/>
          <w:sz w:val="24"/>
        </w:rPr>
      </w:r>
      <w:r/>
    </w:p>
    <w:p>
      <w:pPr>
        <w:ind w:firstLine="3360"/>
        <w:spacing w:line="600" w:lineRule="exact"/>
        <w:rPr>
          <w:rFonts w:hint="eastAsia" w:ascii="宋体" w:hAnsi="宋体" w:eastAsia="宋体" w:cs="宋体"/>
          <w:sz w:val="24"/>
        </w:rPr>
      </w:pPr>
      <w:r>
        <w:rPr>
          <w:rFonts w:hint="eastAsia" w:ascii="宋体" w:hAnsi="宋体" w:eastAsia="宋体" w:cs="宋体"/>
          <w:sz w:val="24"/>
          <w:szCs w:val="24"/>
        </w:rPr>
        <w:t xml:space="preserve">企业名称（加盖CA电子公章）</w:t>
      </w:r>
      <w:r>
        <w:rPr>
          <w:rFonts w:hint="eastAsia" w:ascii="宋体" w:hAnsi="宋体" w:eastAsia="宋体" w:cs="宋体"/>
          <w:sz w:val="24"/>
        </w:rPr>
        <w:t xml:space="preserve">：</w:t>
      </w:r>
      <w:r/>
    </w:p>
    <w:p>
      <w:pPr>
        <w:ind w:firstLine="1200"/>
        <w:spacing w:line="600" w:lineRule="exact"/>
        <w:rPr>
          <w:rFonts w:hint="eastAsia" w:ascii="宋体" w:hAnsi="宋体" w:eastAsia="宋体" w:cs="宋体"/>
          <w:sz w:val="24"/>
        </w:rPr>
      </w:pPr>
      <w:r>
        <w:rPr>
          <w:rFonts w:hint="eastAsia" w:ascii="宋体" w:hAnsi="宋体" w:eastAsia="宋体" w:cs="宋体"/>
          <w:sz w:val="24"/>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7.投标函</w:t>
      </w:r>
      <w:r/>
    </w:p>
    <w:p>
      <w:pPr>
        <w:pStyle w:val="867"/>
        <w:ind w:firstLine="0"/>
        <w:spacing w:before="0" w:after="0" w:line="420" w:lineRule="exact"/>
        <w:rPr>
          <w:rFonts w:hint="default" w:ascii="宋体" w:hAnsi="宋体" w:eastAsia="宋体"/>
          <w:szCs w:val="21"/>
          <w:u w:val="single"/>
          <w:lang w:val="en-US" w:eastAsia="zh-CN"/>
        </w:rPr>
      </w:pPr>
      <w:r>
        <w:rPr>
          <w:rFonts w:hint="eastAsia" w:ascii="宋体" w:hAnsi="宋体"/>
          <w:szCs w:val="21"/>
        </w:rPr>
        <w:t xml:space="preserve">致：</w:t>
      </w:r>
      <w:r>
        <w:rPr>
          <w:rFonts w:hint="eastAsia" w:ascii="宋体" w:hAnsi="宋体"/>
          <w:szCs w:val="21"/>
          <w:u w:val="single"/>
          <w:lang w:val="en-US" w:eastAsia="zh-CN"/>
        </w:rPr>
        <w:t xml:space="preserve">                </w:t>
      </w:r>
      <w:r/>
    </w:p>
    <w:p>
      <w:pPr>
        <w:pStyle w:val="867"/>
        <w:spacing w:before="0" w:after="0" w:line="420" w:lineRule="exact"/>
        <w:rPr>
          <w:rFonts w:hint="eastAsia" w:ascii="宋体" w:hAnsi="宋体"/>
          <w:szCs w:val="21"/>
        </w:rPr>
      </w:pP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eastAsia="宋体" w:cs="宋体"/>
          <w:color w:val="000000"/>
          <w:sz w:val="24"/>
          <w:szCs w:val="24"/>
          <w:u w:val="single"/>
          <w:lang w:val="en-US" w:eastAsia="zh-CN" w:bidi="ar-SA"/>
        </w:rPr>
        <w:t xml:space="preserve">JSZC-320981-BJZC-G2024-0008</w:t>
      </w:r>
      <w:r>
        <w:rPr>
          <w:rFonts w:hint="eastAsia" w:ascii="宋体" w:hAnsi="宋体"/>
          <w:szCs w:val="21"/>
        </w:rPr>
        <w:t xml:space="preserve">号招标文件，正式授权下述签字人______(姓名)代表我方______________（投标人的名称），全权处理本次项目投标的有关事宜。</w:t>
      </w:r>
      <w:r/>
    </w:p>
    <w:p>
      <w:pPr>
        <w:pStyle w:val="86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6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867"/>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sz w:val="24"/>
          <w:szCs w:val="24"/>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lang w:val="en-US" w:eastAsia="zh-CN"/>
        </w:rPr>
        <w:t xml:space="preserve"> </w:t>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numPr>
          <w:ilvl w:val="0"/>
          <w:numId w:val="0"/>
        </w:numPr>
        <w:ind w:left="480"/>
        <w:jc w:val="center"/>
        <w:rPr>
          <w:rFonts w:hint="eastAsia" w:ascii="黑体" w:hAnsi="Times New Roman" w:eastAsia="黑体" w:cs="Times New Roman"/>
          <w:b/>
          <w:bCs/>
          <w:sz w:val="32"/>
          <w:szCs w:val="32"/>
          <w:highlight w:val="none"/>
          <w:lang w:val="en-US" w:eastAsia="zh-CN"/>
        </w:rPr>
        <w:outlineLvl w:val="1"/>
      </w:pPr>
      <w:r>
        <w:rPr>
          <w:rFonts w:hint="eastAsia" w:ascii="黑体" w:hAnsi="Times New Roman" w:eastAsia="黑体" w:cs="Times New Roman"/>
          <w:b/>
          <w:bCs/>
          <w:sz w:val="32"/>
          <w:szCs w:val="32"/>
          <w:highlight w:val="none"/>
          <w:lang w:val="en-US" w:eastAsia="zh-CN"/>
        </w:rPr>
        <w:t xml:space="preserve">8.所供服务（服务附带的产品）内容及服务要求偏离表（如有）</w:t>
      </w:r>
      <w:r/>
    </w:p>
    <w:p>
      <w:pPr>
        <w:pStyle w:val="866"/>
        <w:numPr>
          <w:ilvl w:val="0"/>
          <w:numId w:val="0"/>
        </w:numPr>
        <w:ind w:left="480"/>
        <w:rPr>
          <w:rFonts w:hint="eastAsia"/>
          <w:highlight w:val="none"/>
        </w:rPr>
      </w:pPr>
      <w:r>
        <w:rPr>
          <w:rFonts w:hint="eastAsia"/>
          <w:highlight w:val="none"/>
        </w:rPr>
      </w:r>
      <w:r/>
    </w:p>
    <w:tbl>
      <w:tblPr>
        <w:tblStyle w:val="848"/>
        <w:tblW w:w="4998" w:type="pct"/>
        <w:jc w:val="center"/>
        <w:tblLayout w:type="autofit"/>
        <w:tblCellMar>
          <w:left w:w="0" w:type="dxa"/>
          <w:top w:w="0" w:type="dxa"/>
          <w:right w:w="0" w:type="dxa"/>
          <w:bottom w:w="0" w:type="dxa"/>
        </w:tblCellMar>
        <w:tblLook w:val="04A0" w:firstRow="1" w:lastRow="0" w:firstColumn="1" w:lastColumn="0" w:noHBand="0" w:noVBand="1"/>
      </w:tblPr>
      <w:tblGrid>
        <w:gridCol w:w="851"/>
        <w:gridCol w:w="2070"/>
        <w:gridCol w:w="2933"/>
        <w:gridCol w:w="2669"/>
        <w:gridCol w:w="1255"/>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5" w:type="pct"/>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58"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99" w:type="pct"/>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364"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1" w:type="pct"/>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bl>
    <w:p>
      <w:pPr>
        <w:ind w:firstLine="420"/>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w:t>
      </w:r>
      <w:r>
        <w:rPr>
          <w:rFonts w:hint="eastAsia" w:asciiTheme="minorEastAsia" w:hAnsiTheme="minorEastAsia" w:eastAsiaTheme="minorEastAsia" w:cstheme="minorEastAsia"/>
          <w:sz w:val="24"/>
          <w:highlight w:val="none"/>
          <w:lang w:val="en-US" w:eastAsia="zh-CN"/>
        </w:rPr>
        <w:t xml:space="preserve">被授权人</w:t>
      </w:r>
      <w:r>
        <w:rPr>
          <w:rFonts w:hint="eastAsia" w:asciiTheme="minorEastAsia" w:hAnsiTheme="minorEastAsia" w:eastAsiaTheme="minorEastAsia" w:cstheme="minorEastAsia"/>
          <w:sz w:val="24"/>
          <w:highlight w:val="none"/>
        </w:rPr>
        <w:t xml:space="preserve">签字：</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宋体" w:hAnsi="宋体" w:eastAsia="宋体" w:cs="宋体"/>
          <w:sz w:val="24"/>
          <w:szCs w:val="24"/>
        </w:rPr>
        <w:t xml:space="preserve">企业名称（加盖CA电子公章）</w:t>
      </w:r>
      <w:r>
        <w:rPr>
          <w:rFonts w:hint="eastAsia" w:asciiTheme="minorEastAsia" w:hAnsiTheme="minorEastAsia" w:eastAsiaTheme="minorEastAsia" w:cstheme="minorEastAsia"/>
          <w:sz w:val="24"/>
          <w:highlight w:val="none"/>
        </w:rPr>
        <w:t xml:space="preserve">：</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jc w:val="right"/>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日</w:t>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9.服  务  承  诺</w:t>
      </w:r>
      <w:r/>
    </w:p>
    <w:p>
      <w:pPr>
        <w:rPr>
          <w:rFonts w:hint="eastAsia" w:ascii="仿宋_GB2312" w:eastAsia="仿宋_GB2312"/>
          <w:sz w:val="24"/>
          <w:highlight w:val="none"/>
        </w:rPr>
      </w:pPr>
      <w:r>
        <w:rPr>
          <w:rFonts w:hint="eastAsia" w:ascii="仿宋_GB2312" w:eastAsia="仿宋_GB2312"/>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如我方</w:t>
      </w:r>
      <w:r>
        <w:rPr>
          <w:rFonts w:hint="eastAsia" w:asciiTheme="minorEastAsia" w:hAnsiTheme="minorEastAsia" w:eastAsiaTheme="minorEastAsia" w:cstheme="minorEastAsia"/>
          <w:sz w:val="24"/>
          <w:highlight w:val="none"/>
          <w:lang w:eastAsia="zh-CN"/>
        </w:rPr>
        <w:t xml:space="preserve">中标</w:t>
      </w:r>
      <w:r>
        <w:rPr>
          <w:rFonts w:hint="eastAsia" w:asciiTheme="minorEastAsia" w:hAnsiTheme="minorEastAsia" w:eastAsiaTheme="minorEastAsia" w:cstheme="minorEastAsia"/>
          <w:sz w:val="24"/>
          <w:highlight w:val="none"/>
        </w:rPr>
        <w:t xml:space="preserve">，郑重承诺如下：</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经认真分析，领会了贵方提供的</w:t>
      </w:r>
      <w:r>
        <w:rPr>
          <w:rFonts w:hint="eastAsia" w:asciiTheme="minorEastAsia" w:hAnsiTheme="minorEastAsia" w:eastAsiaTheme="minorEastAsia" w:cstheme="minorEastAsia"/>
          <w:sz w:val="24"/>
          <w:highlight w:val="none"/>
          <w:lang w:val="en-US" w:eastAsia="zh-CN"/>
        </w:rPr>
        <w:t xml:space="preserve">东台市2024年秸秆机械化还田、打捆离田作业补助第三方核查项目</w:t>
      </w:r>
      <w:r>
        <w:rPr>
          <w:rFonts w:hint="eastAsia" w:asciiTheme="minorEastAsia" w:hAnsiTheme="minorEastAsia" w:eastAsiaTheme="minorEastAsia" w:cstheme="minorEastAsia"/>
          <w:sz w:val="24"/>
          <w:highlight w:val="none"/>
        </w:rPr>
        <w:t xml:space="preserve">的招标文件，依据贵方招标文件中提出的各项要求，我方在此郑重表示：</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1.我方保证按投标文件所列的人员及设备进场实施</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我方在收到招标人通知后能提供</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lang w:val="en-US" w:eastAsia="zh-CN"/>
        </w:rPr>
        <w:t xml:space="preserve">小时内到达现场服务，合同签订至履约完成，不得更换项目负责人，核查专业服务人员调整比例不得超过</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u w:val="none"/>
          <w:lang w:val="en-US" w:eastAsia="zh-CN"/>
        </w:rPr>
        <w:t xml:space="preserve">。</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2.我方保证按照招标文件的质量要求进行实施</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如果出现质量问题或者违规违纪行为，将适当扣除劳务费用，如出现重大责任事故，将依据性质及造成的后果追究其责任。</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3.如果我们的投标书被接受，我们将严格履行招标文件中规定的每一项要求，按期、保质、保量履行义务。</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4.我方愿意承担招标文件中对中标人规定的各项责任。</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5.我方同意如发现我方提供的材料虚假或对招标文件所要求说明的情况故意隐瞒或虚报，如中标则取消其中标资格。</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6.</w:t>
      </w:r>
      <w:r>
        <w:rPr>
          <w:rFonts w:hint="eastAsia" w:asciiTheme="minorEastAsia" w:hAnsiTheme="minorEastAsia" w:eastAsiaTheme="minorEastAsia" w:cstheme="minorEastAsia"/>
          <w:sz w:val="24"/>
          <w:highlight w:val="none"/>
        </w:rPr>
        <w:t xml:space="preserve">严格按照廉洁自律的相关要求，不得收取</w:t>
      </w:r>
      <w:r>
        <w:rPr>
          <w:rFonts w:hint="eastAsia" w:asciiTheme="minorEastAsia" w:hAnsiTheme="minorEastAsia" w:eastAsiaTheme="minorEastAsia" w:cstheme="minorEastAsia"/>
          <w:sz w:val="24"/>
          <w:highlight w:val="none"/>
          <w:lang w:val="en-US" w:eastAsia="zh-CN"/>
        </w:rPr>
        <w:t xml:space="preserve">任何单位或个人</w:t>
      </w:r>
      <w:r>
        <w:rPr>
          <w:rFonts w:hint="eastAsia" w:asciiTheme="minorEastAsia" w:hAnsiTheme="minorEastAsia" w:eastAsiaTheme="minorEastAsia" w:cstheme="minorEastAsia"/>
          <w:sz w:val="24"/>
          <w:highlight w:val="none"/>
        </w:rPr>
        <w:t xml:space="preserve">的礼品与现金、实物和有价票证，不得收取任何费用。</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7、如果我公司为非东台本地企业，我方保证中标后15天内在东台城区内设立固定办公场所，并提供经不动产管理部门登记备案的房屋租赁合同复印件交于贵方备案。如果我方未能完成上述承诺，同意贵方取消我方中标资格。</w:t>
      </w:r>
      <w:r/>
    </w:p>
    <w:p>
      <w:pPr>
        <w:ind w:firstLine="420"/>
        <w:keepLines w:val="0"/>
        <w:keepNext w:val="0"/>
        <w:pageBreakBefore w:val="0"/>
        <w:spacing w:line="480" w:lineRule="exact"/>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8、如果我方中标，我方承诺按照贵方要求派遣</w:t>
      </w:r>
      <w:r>
        <w:rPr>
          <w:rFonts w:hint="default" w:asciiTheme="minorEastAsia" w:hAnsiTheme="minorEastAsia" w:eastAsiaTheme="minorEastAsia" w:cstheme="minorEastAsia"/>
          <w:sz w:val="24"/>
          <w:highlight w:val="none"/>
          <w:lang w:val="en-US" w:eastAsia="zh-CN"/>
        </w:rPr>
        <w:t xml:space="preserve">核查服务人员</w:t>
      </w:r>
      <w:r>
        <w:rPr>
          <w:rFonts w:hint="eastAsia" w:asciiTheme="minorEastAsia" w:hAnsiTheme="minorEastAsia" w:eastAsiaTheme="minorEastAsia" w:cstheme="minorEastAsia"/>
          <w:sz w:val="24"/>
          <w:highlight w:val="none"/>
          <w:lang w:val="en-US" w:eastAsia="zh-CN"/>
        </w:rPr>
        <w:t xml:space="preserve">常驻东台。如未能做到，我方同意贵方取消我方中标资格。</w:t>
      </w:r>
      <w:r/>
    </w:p>
    <w:p>
      <w:pPr>
        <w:ind w:firstLine="46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w:t>
      </w:r>
      <w:r>
        <w:rPr>
          <w:rFonts w:hint="eastAsia" w:asciiTheme="minorEastAsia" w:hAnsiTheme="minorEastAsia" w:eastAsiaTheme="minorEastAsia" w:cstheme="minorEastAsia"/>
          <w:sz w:val="24"/>
          <w:highlight w:val="none"/>
          <w:lang w:val="en-US" w:eastAsia="zh-CN"/>
        </w:rPr>
        <w:t xml:space="preserve">被授权人</w:t>
      </w:r>
      <w:r>
        <w:rPr>
          <w:rFonts w:hint="eastAsia" w:asciiTheme="minorEastAsia" w:hAnsiTheme="minorEastAsia" w:eastAsiaTheme="minorEastAsia" w:cstheme="minorEastAsia"/>
          <w:sz w:val="24"/>
          <w:highlight w:val="none"/>
        </w:rPr>
        <w:t xml:space="preserve">签字：</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宋体" w:hAnsi="宋体" w:eastAsia="宋体" w:cs="宋体"/>
          <w:sz w:val="24"/>
          <w:szCs w:val="24"/>
        </w:rPr>
        <w:t xml:space="preserve">企业名称（加盖CA电子公章）</w:t>
      </w:r>
      <w:r>
        <w:rPr>
          <w:rFonts w:hint="eastAsia" w:asciiTheme="minorEastAsia" w:hAnsiTheme="minorEastAsia" w:eastAsiaTheme="minorEastAsia" w:cstheme="minorEastAsia"/>
          <w:sz w:val="24"/>
          <w:highlight w:val="none"/>
        </w:rPr>
        <w:t xml:space="preserve">：</w:t>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16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日</w:t>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spacing w:line="460" w:lineRule="exact"/>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10.</w:t>
      </w:r>
      <w:r>
        <w:rPr>
          <w:rFonts w:hint="eastAsia" w:ascii="黑体" w:hAnsi="宋体" w:eastAsia="黑体" w:cs="黑体"/>
          <w:b/>
          <w:color w:val="000000"/>
          <w:sz w:val="32"/>
          <w:szCs w:val="32"/>
        </w:rPr>
        <w:t xml:space="preserve">小微企业声明函（服务）</w:t>
      </w:r>
      <w:r/>
    </w:p>
    <w:p>
      <w:pPr>
        <w:ind w:left="0"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组织的采购编号为</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行业；承接企业为（企业名称），从业人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（小型企业、微型企业）</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行业；承接企业为（企业名称），从业人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（小型企业、微型企业）</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firstLine="55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w:t>
      </w:r>
      <w:r/>
    </w:p>
    <w:p>
      <w:pPr>
        <w:pStyle w:val="845"/>
        <w:rPr>
          <w:rFonts w:hint="eastAsia"/>
        </w:rPr>
      </w:pPr>
      <w:r>
        <w:rPr>
          <w:rFonts w:hint="eastAsia"/>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备注2：供应商如不提供此声明函，价格将不做相应扣除。</w:t>
      </w:r>
      <w:r/>
    </w:p>
    <w:p>
      <w:pPr>
        <w:jc w:val="center"/>
        <w:spacing w:line="560" w:lineRule="exact"/>
        <w:rPr>
          <w:rFonts w:hint="eastAsia" w:ascii="黑体" w:hAnsi="Times New Roman"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br w:type="page" w:clear="all"/>
      </w:r>
      <w:r>
        <w:rPr>
          <w:rFonts w:hint="eastAsia" w:ascii="黑体" w:hAnsi="Times New Roman" w:eastAsia="黑体" w:cs="Times New Roman"/>
          <w:b/>
          <w:bCs/>
          <w:sz w:val="32"/>
          <w:szCs w:val="32"/>
          <w:highlight w:val="none"/>
          <w:lang w:val="en-US" w:eastAsia="zh-CN"/>
        </w:rPr>
        <w:t xml:space="preserve">11.残疾人福利性单位声明函</w:t>
      </w:r>
      <w:r/>
    </w:p>
    <w:p>
      <w:pPr>
        <w:ind w:firstLine="480"/>
        <w:spacing w:line="588" w:lineRule="exact"/>
        <w:rPr>
          <w:rFonts w:hint="eastAsia" w:ascii="宋体" w:hAnsi="宋体"/>
          <w:color w:val="000000"/>
          <w:sz w:val="24"/>
          <w:szCs w:val="21"/>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lang w:eastAsia="zh-CN"/>
        </w:rPr>
        <w:t xml:space="preserve">。（</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br w:type="page" w:clear="all"/>
      </w:r>
      <w:r/>
    </w:p>
    <w:p>
      <w:pPr>
        <w:jc w:val="center"/>
        <w:rPr>
          <w:rFonts w:hint="eastAsia" w:ascii="黑体" w:hAnsi="Times New Roman" w:eastAsia="黑体" w:cs="Times New Roman"/>
          <w:b/>
          <w:bCs/>
          <w:sz w:val="32"/>
          <w:szCs w:val="32"/>
          <w:highlight w:val="none"/>
          <w:lang w:val="en-US" w:eastAsia="zh-CN"/>
        </w:rPr>
      </w:pPr>
      <w:r>
        <w:rPr>
          <w:rFonts w:hint="eastAsia" w:ascii="黑体" w:hAnsi="Times New Roman" w:eastAsia="黑体" w:cs="Times New Roman"/>
          <w:b/>
          <w:bCs/>
          <w:sz w:val="32"/>
          <w:szCs w:val="32"/>
          <w:highlight w:val="none"/>
          <w:lang w:val="en-US" w:eastAsia="zh-CN"/>
        </w:rPr>
        <w:t xml:space="preserve">12.联合体协议（参考格式）</w:t>
      </w:r>
      <w:r/>
    </w:p>
    <w:p>
      <w:pPr>
        <w:spacing w:line="560" w:lineRule="exact"/>
        <w:rPr>
          <w:rFonts w:ascii="宋体" w:hAnsi="宋体"/>
          <w:sz w:val="24"/>
        </w:rPr>
      </w:pPr>
      <w:r>
        <w:rPr>
          <w:rFonts w:hint="eastAsia" w:ascii="宋体" w:hAnsi="宋体"/>
          <w:sz w:val="24"/>
          <w:u w:val="single"/>
        </w:rPr>
        <w:t xml:space="preserve">（联合体中各供应商全称）</w:t>
      </w:r>
      <w:r>
        <w:rPr>
          <w:rFonts w:hint="eastAsia" w:ascii="宋体" w:hAnsi="宋体"/>
          <w:sz w:val="24"/>
        </w:rPr>
        <w:t xml:space="preserve">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、我们自愿组成联合体，参加采购编号为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84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rPr>
          <w:rFonts w:hint="eastAsia"/>
          <w:lang w:val="en-US" w:eastAsia="zh-CN"/>
        </w:rPr>
      </w:pPr>
      <w:r>
        <w:rPr>
          <w:rFonts w:hint="eastAsia"/>
          <w:lang w:val="en-US" w:eastAsia="zh-CN"/>
        </w:rPr>
      </w:r>
      <w:r/>
    </w:p>
    <w:p>
      <w:pPr>
        <w:ind w:firstLine="384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66"/>
        <w:keepLines w:val="0"/>
        <w:keepNext w:val="0"/>
        <w:pageBreakBefore w:val="0"/>
        <w:spacing w:line="48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bookmarkEnd w:id="203"/>
      <w:r/>
      <w:r/>
    </w:p>
    <w:p>
      <w:pPr>
        <w:jc w:val="center"/>
        <w:rPr>
          <w:rFonts w:hint="default" w:ascii="黑体" w:hAnsi="Times New Roman" w:eastAsia="黑体" w:cs="Times New Roman"/>
          <w:b/>
          <w:bCs/>
          <w:sz w:val="32"/>
          <w:szCs w:val="32"/>
          <w:highlight w:val="none"/>
          <w:lang w:val="en-US" w:eastAsia="zh-CN"/>
        </w:rPr>
        <w:outlineLvl w:val="1"/>
      </w:pPr>
      <w:r>
        <w:rPr>
          <w:rFonts w:hint="eastAsia" w:ascii="黑体" w:hAnsi="Calibri" w:eastAsia="黑体" w:cs="Times New Roman"/>
          <w:b/>
          <w:bCs/>
          <w:sz w:val="32"/>
          <w:szCs w:val="32"/>
          <w:highlight w:val="none"/>
          <w:lang w:val="en-US" w:eastAsia="zh-CN"/>
        </w:rPr>
        <w:br w:type="page" w:clear="all"/>
      </w:r>
      <w:r>
        <w:rPr>
          <w:rFonts w:hint="eastAsia" w:ascii="黑体" w:hAnsi="Times New Roman" w:eastAsia="黑体" w:cs="Times New Roman"/>
          <w:b/>
          <w:bCs/>
          <w:sz w:val="32"/>
          <w:szCs w:val="32"/>
          <w:highlight w:val="none"/>
          <w:lang w:val="en-US" w:eastAsia="zh-CN"/>
        </w:rPr>
        <w:t xml:space="preserve">13.东台市政府采购事前信用承诺书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ind w:right="1560" w:firstLine="480"/>
        <w:jc w:val="center"/>
        <w:spacing w:line="588" w:lineRule="exact"/>
        <w:tabs>
          <w:tab w:val="left" w:pos="4860" w:leader="none"/>
        </w:tabs>
        <w:rPr>
          <w:rFonts w:ascii="宋体" w:hAnsi="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sz w:val="24"/>
        </w:rPr>
        <w:t xml:space="preserve">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日  期：</w:t>
      </w:r>
      <w:r/>
    </w:p>
    <w:p>
      <w:pPr>
        <w:pStyle w:val="854"/>
        <w:jc w:val="center"/>
        <w:spacing w:beforeAutospacing="0" w:afterAutospacing="0"/>
      </w:pPr>
      <w:r/>
      <w:bookmarkEnd w:id="58"/>
      <w:r/>
      <w:bookmarkEnd w:id="89"/>
      <w:r/>
      <w:bookmarkEnd w:id="90"/>
      <w:r/>
      <w:bookmarkEnd w:id="91"/>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11"/>
      <w:r/>
      <w:bookmarkEnd w:id="112"/>
      <w:r/>
      <w:bookmarkEnd w:id="113"/>
      <w:r/>
      <w:bookmarkEnd w:id="118"/>
      <w:r/>
      <w:bookmarkEnd w:id="119"/>
      <w:r/>
      <w:bookmarkEnd w:id="126"/>
      <w:r/>
      <w:bookmarkEnd w:id="182"/>
      <w:r/>
      <w:bookmarkEnd w:id="187"/>
      <w:r/>
      <w:bookmarkEnd w:id="192"/>
      <w:r/>
      <w:bookmarkEnd w:id="193"/>
      <w:r/>
      <w:bookmarkEnd w:id="194"/>
      <w:r/>
      <w:bookmarkEnd w:id="195"/>
      <w:r/>
      <w:bookmarkEnd w:id="196"/>
      <w:r/>
      <w:bookmarkEnd w:id="197"/>
      <w:r/>
      <w:bookmarkEnd w:id="198"/>
      <w:r/>
      <w:bookmarkEnd w:id="199"/>
      <w:r/>
      <w:bookmarkEnd w:id="200"/>
      <w:r/>
      <w:bookmarkEnd w:id="201"/>
      <w:r/>
      <w:bookmarkEnd w:id="202"/>
      <w:r/>
      <w:r/>
    </w:p>
    <w:p>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jc w:val="center"/>
        <w:rPr>
          <w:rFonts w:hint="eastAsia" w:ascii="黑体" w:hAnsi="Times New Roman" w:eastAsia="黑体" w:cs="Times New Roman"/>
          <w:b/>
          <w:bCs/>
          <w:sz w:val="32"/>
          <w:szCs w:val="32"/>
          <w:highlight w:val="none"/>
          <w:lang w:val="en-US" w:eastAsia="zh-CN"/>
        </w:rPr>
        <w:outlineLvl w:val="1"/>
      </w:pPr>
      <w:r>
        <w:rPr>
          <w:rFonts w:hint="eastAsia" w:ascii="黑体" w:hAnsi="Times New Roman" w:eastAsia="黑体" w:cs="Times New Roman"/>
          <w:b/>
          <w:bCs/>
          <w:sz w:val="32"/>
          <w:szCs w:val="32"/>
          <w:highlight w:val="none"/>
          <w:lang w:val="en-US" w:eastAsia="zh-CN"/>
        </w:rPr>
        <w:t xml:space="preserve">14.拟派项目人员配置</w:t>
      </w:r>
      <w:r/>
    </w:p>
    <w:tbl>
      <w:tblPr>
        <w:tblStyle w:val="8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063"/>
        <w:gridCol w:w="1680"/>
        <w:gridCol w:w="2753"/>
        <w:gridCol w:w="2035"/>
      </w:tblGrid>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序号</w:t>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姓名</w:t>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职称</w:t>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证书编号</w:t>
            </w:r>
            <w:r/>
          </w:p>
        </w:tc>
        <w:tc>
          <w:tcPr>
            <w:tcW w:w="102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 xml:space="preserve">担任岗位</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项目负责人</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restart"/>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A组</w:t>
            </w:r>
            <w:r/>
          </w:p>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项目组专业服务人员</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restart"/>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B组</w:t>
            </w:r>
            <w:r/>
          </w:p>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项目组专业服务人员</w:t>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r>
        <w:trPr>
          <w:jc w:val="center"/>
          <w:trHeight w:val="510" w:hRule="exact"/>
        </w:trPr>
        <w:tc>
          <w:tcPr>
            <w:tcW w:w="718"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w:t>
            </w:r>
            <w:r/>
          </w:p>
        </w:tc>
        <w:tc>
          <w:tcPr>
            <w:tcW w:w="1035"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843"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381" w:type="pct"/>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c>
          <w:tcPr>
            <w:tcW w:w="1021" w:type="pct"/>
            <w:vAlign w:val="center"/>
            <w:vMerge w:val="continue"/>
            <w:textDirection w:val="lrTb"/>
            <w:noWrap w:val="false"/>
          </w:tcPr>
          <w:p>
            <w:pPr>
              <w:ind w:left="0" w:firstLine="480"/>
              <w:jc w:val="cente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r>
            <w:r/>
          </w:p>
        </w:tc>
      </w:tr>
    </w:tbl>
    <w:p>
      <w:pPr>
        <w:ind w:left="0" w:firstLine="480"/>
        <w:jc w:val="left"/>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                  法定代表人签名（签字）：</w:t>
      </w:r>
      <w:r/>
    </w:p>
    <w:p>
      <w:pPr>
        <w:ind w:left="0" w:firstLine="2640"/>
        <w:jc w:val="left"/>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lang w:val="en-US" w:eastAsia="zh-CN"/>
        </w:rPr>
      </w:pPr>
      <w:r>
        <w:rPr>
          <w:rFonts w:hint="eastAsia" w:ascii="宋体" w:hAnsi="宋体" w:eastAsia="宋体" w:cs="宋体"/>
          <w:sz w:val="24"/>
          <w:szCs w:val="24"/>
        </w:rPr>
        <w:t xml:space="preserve">企业名称</w:t>
      </w:r>
      <w:r>
        <w:rPr>
          <w:rFonts w:hint="eastAsia" w:asciiTheme="minorEastAsia" w:hAnsiTheme="minorEastAsia" w:eastAsiaTheme="minorEastAsia" w:cstheme="minorEastAsia"/>
          <w:color w:val="auto"/>
          <w:sz w:val="24"/>
          <w:highlight w:val="none"/>
          <w:lang w:val="en-US" w:eastAsia="zh-CN"/>
        </w:rPr>
        <w:t xml:space="preserve">（</w:t>
      </w:r>
      <w:r>
        <w:rPr>
          <w:rFonts w:hint="eastAsia" w:ascii="宋体" w:hAnsi="宋体" w:eastAsia="宋体" w:cs="宋体"/>
          <w:sz w:val="24"/>
          <w:szCs w:val="24"/>
        </w:rPr>
        <w:t xml:space="preserve">加盖CA电子公章</w:t>
      </w:r>
      <w:r>
        <w:rPr>
          <w:rFonts w:hint="eastAsia" w:asciiTheme="minorEastAsia" w:hAnsiTheme="minorEastAsia" w:eastAsiaTheme="minorEastAsia" w:cstheme="minorEastAsia"/>
          <w:color w:val="auto"/>
          <w:sz w:val="24"/>
          <w:highlight w:val="none"/>
          <w:lang w:val="en-US" w:eastAsia="zh-CN"/>
        </w:rPr>
        <w:t xml:space="preserve">）：</w:t>
      </w:r>
      <w:r/>
    </w:p>
    <w:p>
      <w:pPr>
        <w:ind w:firstLine="57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pStyle w:val="85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5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5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5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7"/>
    <w:link w:val="859"/>
    <w:uiPriority w:val="9"/>
    <w:rPr>
      <w:rFonts w:ascii="Arial" w:hAnsi="Arial" w:eastAsia="Arial" w:cs="Arial"/>
      <w:sz w:val="40"/>
      <w:szCs w:val="40"/>
    </w:rPr>
  </w:style>
  <w:style w:type="character" w:styleId="672">
    <w:name w:val="Heading 2 Char"/>
    <w:basedOn w:val="847"/>
    <w:link w:val="861"/>
    <w:uiPriority w:val="9"/>
    <w:rPr>
      <w:rFonts w:ascii="Arial" w:hAnsi="Arial" w:eastAsia="Arial" w:cs="Arial"/>
      <w:sz w:val="34"/>
    </w:rPr>
  </w:style>
  <w:style w:type="character" w:styleId="673">
    <w:name w:val="Heading 3 Char"/>
    <w:basedOn w:val="847"/>
    <w:link w:val="845"/>
    <w:uiPriority w:val="9"/>
    <w:rPr>
      <w:rFonts w:ascii="Arial" w:hAnsi="Arial" w:eastAsia="Arial" w:cs="Arial"/>
      <w:sz w:val="30"/>
      <w:szCs w:val="30"/>
    </w:rPr>
  </w:style>
  <w:style w:type="character" w:styleId="674">
    <w:name w:val="Heading 4 Char"/>
    <w:basedOn w:val="847"/>
    <w:link w:val="860"/>
    <w:uiPriority w:val="9"/>
    <w:rPr>
      <w:rFonts w:ascii="Arial" w:hAnsi="Arial" w:eastAsia="Arial" w:cs="Arial"/>
      <w:b/>
      <w:bCs/>
      <w:sz w:val="26"/>
      <w:szCs w:val="26"/>
    </w:rPr>
  </w:style>
  <w:style w:type="paragraph" w:styleId="675">
    <w:name w:val="Heading 5"/>
    <w:basedOn w:val="843"/>
    <w:next w:val="843"/>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basedOn w:val="847"/>
    <w:link w:val="675"/>
    <w:uiPriority w:val="9"/>
    <w:rPr>
      <w:rFonts w:ascii="Arial" w:hAnsi="Arial" w:eastAsia="Arial" w:cs="Arial"/>
      <w:b/>
      <w:bCs/>
      <w:sz w:val="24"/>
      <w:szCs w:val="24"/>
    </w:rPr>
  </w:style>
  <w:style w:type="paragraph" w:styleId="677">
    <w:name w:val="Heading 6"/>
    <w:basedOn w:val="843"/>
    <w:next w:val="843"/>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basedOn w:val="847"/>
    <w:link w:val="677"/>
    <w:uiPriority w:val="9"/>
    <w:rPr>
      <w:rFonts w:ascii="Arial" w:hAnsi="Arial" w:eastAsia="Arial" w:cs="Arial"/>
      <w:b/>
      <w:bCs/>
      <w:sz w:val="22"/>
      <w:szCs w:val="22"/>
    </w:rPr>
  </w:style>
  <w:style w:type="paragraph" w:styleId="679">
    <w:name w:val="Heading 7"/>
    <w:basedOn w:val="843"/>
    <w:next w:val="843"/>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7"/>
    <w:link w:val="679"/>
    <w:uiPriority w:val="9"/>
    <w:rPr>
      <w:rFonts w:ascii="Arial" w:hAnsi="Arial" w:eastAsia="Arial" w:cs="Arial"/>
      <w:b/>
      <w:bCs/>
      <w:i/>
      <w:iCs/>
      <w:sz w:val="22"/>
      <w:szCs w:val="22"/>
    </w:rPr>
  </w:style>
  <w:style w:type="paragraph" w:styleId="681">
    <w:name w:val="Heading 8"/>
    <w:basedOn w:val="843"/>
    <w:next w:val="843"/>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7"/>
    <w:link w:val="681"/>
    <w:uiPriority w:val="9"/>
    <w:rPr>
      <w:rFonts w:ascii="Arial" w:hAnsi="Arial" w:eastAsia="Arial" w:cs="Arial"/>
      <w:i/>
      <w:iCs/>
      <w:sz w:val="22"/>
      <w:szCs w:val="22"/>
    </w:rPr>
  </w:style>
  <w:style w:type="paragraph" w:styleId="683">
    <w:name w:val="Heading 9"/>
    <w:basedOn w:val="843"/>
    <w:next w:val="843"/>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7"/>
    <w:link w:val="683"/>
    <w:uiPriority w:val="9"/>
    <w:rPr>
      <w:rFonts w:ascii="Arial" w:hAnsi="Arial" w:eastAsia="Arial" w:cs="Arial"/>
      <w:i/>
      <w:iCs/>
      <w:sz w:val="21"/>
      <w:szCs w:val="21"/>
    </w:rPr>
  </w:style>
  <w:style w:type="paragraph" w:styleId="685">
    <w:name w:val="List Paragraph"/>
    <w:basedOn w:val="843"/>
    <w:uiPriority w:val="34"/>
    <w:qFormat/>
    <w:pPr>
      <w:contextualSpacing/>
      <w:ind w:left="720"/>
    </w:pPr>
  </w:style>
  <w:style w:type="paragraph" w:styleId="686">
    <w:name w:val="No Spacing"/>
    <w:uiPriority w:val="1"/>
    <w:qFormat/>
    <w:pPr>
      <w:spacing w:before="0" w:after="0" w:line="240" w:lineRule="auto"/>
    </w:pPr>
  </w:style>
  <w:style w:type="paragraph" w:styleId="687">
    <w:name w:val="Title"/>
    <w:basedOn w:val="843"/>
    <w:next w:val="843"/>
    <w:link w:val="688"/>
    <w:uiPriority w:val="10"/>
    <w:qFormat/>
    <w:pPr>
      <w:contextualSpacing/>
      <w:spacing w:before="300" w:after="200"/>
    </w:pPr>
    <w:rPr>
      <w:sz w:val="48"/>
      <w:szCs w:val="48"/>
    </w:rPr>
  </w:style>
  <w:style w:type="character" w:styleId="688">
    <w:name w:val="Title Char"/>
    <w:basedOn w:val="847"/>
    <w:link w:val="687"/>
    <w:uiPriority w:val="10"/>
    <w:rPr>
      <w:sz w:val="48"/>
      <w:szCs w:val="48"/>
    </w:rPr>
  </w:style>
  <w:style w:type="paragraph" w:styleId="689">
    <w:name w:val="Subtitle"/>
    <w:basedOn w:val="843"/>
    <w:next w:val="843"/>
    <w:link w:val="690"/>
    <w:uiPriority w:val="11"/>
    <w:qFormat/>
    <w:pPr>
      <w:spacing w:before="200" w:after="200"/>
    </w:pPr>
    <w:rPr>
      <w:sz w:val="24"/>
      <w:szCs w:val="24"/>
    </w:rPr>
  </w:style>
  <w:style w:type="character" w:styleId="690">
    <w:name w:val="Subtitle Char"/>
    <w:basedOn w:val="847"/>
    <w:link w:val="689"/>
    <w:uiPriority w:val="11"/>
    <w:rPr>
      <w:sz w:val="24"/>
      <w:szCs w:val="24"/>
    </w:rPr>
  </w:style>
  <w:style w:type="paragraph" w:styleId="691">
    <w:name w:val="Quote"/>
    <w:basedOn w:val="843"/>
    <w:next w:val="843"/>
    <w:link w:val="692"/>
    <w:uiPriority w:val="29"/>
    <w:qFormat/>
    <w:pPr>
      <w:ind w:left="720" w:right="720"/>
    </w:pPr>
    <w:rPr>
      <w:i/>
    </w:rPr>
  </w:style>
  <w:style w:type="character" w:styleId="692">
    <w:name w:val="Quote Char"/>
    <w:link w:val="691"/>
    <w:uiPriority w:val="29"/>
    <w:rPr>
      <w:i/>
    </w:rPr>
  </w:style>
  <w:style w:type="paragraph" w:styleId="693">
    <w:name w:val="Intense Quote"/>
    <w:basedOn w:val="843"/>
    <w:next w:val="843"/>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7"/>
    <w:link w:val="852"/>
    <w:uiPriority w:val="99"/>
  </w:style>
  <w:style w:type="character" w:styleId="696">
    <w:name w:val="Footer Char"/>
    <w:basedOn w:val="847"/>
    <w:link w:val="851"/>
    <w:uiPriority w:val="99"/>
  </w:style>
  <w:style w:type="paragraph" w:styleId="697">
    <w:name w:val="Caption"/>
    <w:basedOn w:val="843"/>
    <w:next w:val="843"/>
    <w:uiPriority w:val="35"/>
    <w:semiHidden/>
    <w:unhideWhenUsed/>
    <w:qFormat/>
    <w:pPr>
      <w:spacing w:line="276" w:lineRule="auto"/>
    </w:pPr>
    <w:rPr>
      <w:b/>
      <w:bCs/>
      <w:color w:val="4f81bd" w:themeColor="accent1"/>
      <w:sz w:val="18"/>
      <w:szCs w:val="18"/>
    </w:rPr>
  </w:style>
  <w:style w:type="character" w:styleId="698">
    <w:name w:val="Caption Char"/>
    <w:basedOn w:val="697"/>
    <w:link w:val="851"/>
    <w:uiPriority w:val="99"/>
  </w:style>
  <w:style w:type="table" w:styleId="699">
    <w:name w:val="Table Grid"/>
    <w:basedOn w:val="8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0">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1">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8">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9">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0">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1">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2">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3">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5">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6">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7">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8">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9">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0">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9">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0">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1">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2">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3">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6">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7">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8">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9">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0">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1">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3">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4">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5">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6">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8">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0">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4">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5">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7">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8">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9">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0">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1">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2">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4">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5">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6">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7">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8">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2">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3">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4">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5">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6">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8">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9">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0">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1">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2">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3">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2">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3">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4">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5">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6">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7">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8">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9">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0">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1">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2">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3">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4">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3">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7">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9">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0">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1">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2">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3">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4">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5">
    <w:name w:val="Hyperlink"/>
    <w:uiPriority w:val="99"/>
    <w:unhideWhenUsed/>
    <w:rPr>
      <w:color w:val="0000ff" w:themeColor="hyperlink"/>
      <w:u w:val="single"/>
    </w:rPr>
  </w:style>
  <w:style w:type="paragraph" w:styleId="826">
    <w:name w:val="footnote text"/>
    <w:basedOn w:val="843"/>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7"/>
    <w:uiPriority w:val="99"/>
    <w:unhideWhenUsed/>
    <w:rPr>
      <w:vertAlign w:val="superscript"/>
    </w:rPr>
  </w:style>
  <w:style w:type="paragraph" w:styleId="829">
    <w:name w:val="endnote text"/>
    <w:basedOn w:val="843"/>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7"/>
    <w:uiPriority w:val="99"/>
    <w:semiHidden/>
    <w:unhideWhenUsed/>
    <w:rPr>
      <w:vertAlign w:val="superscript"/>
    </w:rPr>
  </w:style>
  <w:style w:type="paragraph" w:styleId="832">
    <w:name w:val="toc 1"/>
    <w:basedOn w:val="843"/>
    <w:next w:val="843"/>
    <w:uiPriority w:val="39"/>
    <w:unhideWhenUsed/>
    <w:pPr>
      <w:ind w:left="0" w:right="0" w:firstLine="0"/>
      <w:spacing w:after="57"/>
    </w:p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next w:val="84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4">
    <w:name w:val="Heading 2"/>
    <w:basedOn w:val="843"/>
    <w:next w:val="8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name w:val="Heading 3"/>
    <w:basedOn w:val="843"/>
    <w:next w:val="843"/>
    <w:uiPriority w:val="0"/>
    <w:qFormat/>
    <w:pPr>
      <w:jc w:val="left"/>
      <w:keepLines/>
      <w:keepNext/>
      <w:spacing w:before="360" w:beforeAutospacing="0" w:after="120" w:afterAutospacing="0"/>
      <w:outlineLvl w:val="2"/>
    </w:pPr>
    <w:rPr>
      <w:rFonts w:ascii="宋体"/>
      <w:b/>
      <w:sz w:val="24"/>
      <w:u w:val="single"/>
    </w:rPr>
  </w:style>
  <w:style w:type="paragraph" w:styleId="846">
    <w:name w:val="Heading 4"/>
    <w:basedOn w:val="843"/>
    <w:next w:val="849"/>
    <w:uiPriority w:val="0"/>
    <w:qFormat/>
    <w:pPr>
      <w:keepLines/>
      <w:keepNext/>
      <w:spacing w:before="280" w:after="290" w:line="376" w:lineRule="auto"/>
      <w:outlineLvl w:val="3"/>
    </w:pPr>
    <w:rPr>
      <w:rFonts w:ascii="Arial" w:hAnsi="Arial" w:eastAsia="黑体" w:cs="Arial"/>
      <w:b/>
      <w:bCs/>
      <w:sz w:val="28"/>
      <w:szCs w:val="28"/>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Normal Indent"/>
    <w:basedOn w:val="843"/>
    <w:uiPriority w:val="0"/>
    <w:qFormat/>
    <w:pPr>
      <w:ind w:firstLine="420"/>
    </w:pPr>
  </w:style>
  <w:style w:type="paragraph" w:styleId="850">
    <w:name w:val="Body Text"/>
    <w:basedOn w:val="843"/>
    <w:uiPriority w:val="0"/>
    <w:qFormat/>
    <w:rPr>
      <w:rFonts w:ascii="楷体_GB2312" w:hAnsi="Arial" w:eastAsia="楷体_GB2312"/>
      <w:sz w:val="28"/>
      <w:szCs w:val="20"/>
    </w:rPr>
  </w:style>
  <w:style w:type="paragraph" w:styleId="851">
    <w:name w:val="Footer"/>
    <w:basedOn w:val="843"/>
    <w:link w:val="857"/>
    <w:uiPriority w:val="0"/>
    <w:qFormat/>
    <w:pPr>
      <w:jc w:val="left"/>
      <w:tabs>
        <w:tab w:val="center" w:pos="4153" w:leader="none"/>
        <w:tab w:val="right" w:pos="8306" w:leader="none"/>
      </w:tabs>
    </w:pPr>
    <w:rPr>
      <w:sz w:val="18"/>
      <w:szCs w:val="18"/>
    </w:rPr>
  </w:style>
  <w:style w:type="paragraph" w:styleId="852">
    <w:name w:val="Header"/>
    <w:basedOn w:val="843"/>
    <w:link w:val="856"/>
    <w:uiPriority w:val="0"/>
    <w:qFormat/>
    <w:pPr>
      <w:jc w:val="center"/>
      <w:tabs>
        <w:tab w:val="center" w:pos="4153" w:leader="none"/>
        <w:tab w:val="right" w:pos="8306" w:leader="none"/>
      </w:tabs>
      <w:pBdr>
        <w:bottom w:val="single" w:color="auto" w:sz="6" w:space="1"/>
      </w:pBdr>
    </w:pPr>
    <w:rPr>
      <w:sz w:val="18"/>
      <w:szCs w:val="18"/>
    </w:rPr>
  </w:style>
  <w:style w:type="paragraph" w:styleId="853">
    <w:name w:val="index 9"/>
    <w:basedOn w:val="843"/>
    <w:next w:val="843"/>
    <w:uiPriority w:val="0"/>
    <w:qFormat/>
    <w:pPr>
      <w:ind w:left="1600"/>
    </w:pPr>
    <w:rPr>
      <w:rFonts w:ascii="Times New Roman" w:hAnsi="Times New Roman" w:eastAsia="宋体" w:cs="Times New Roman"/>
    </w:rPr>
  </w:style>
  <w:style w:type="paragraph" w:styleId="854">
    <w:name w:val="Normal (Web)"/>
    <w:basedOn w:val="843"/>
    <w:uiPriority w:val="0"/>
    <w:qFormat/>
    <w:pPr>
      <w:jc w:val="left"/>
      <w:spacing w:beforeAutospacing="1" w:afterAutospacing="1"/>
    </w:pPr>
    <w:rPr>
      <w:rFonts w:cs="Times New Roman"/>
      <w:sz w:val="24"/>
    </w:rPr>
  </w:style>
  <w:style w:type="character" w:styleId="855">
    <w:name w:val="page number"/>
    <w:uiPriority w:val="0"/>
    <w:qFormat/>
  </w:style>
  <w:style w:type="character" w:styleId="856" w:customStyle="1">
    <w:name w:val="页眉 Char"/>
    <w:basedOn w:val="847"/>
    <w:link w:val="852"/>
    <w:uiPriority w:val="0"/>
    <w:qFormat/>
    <w:rPr>
      <w:rFonts w:asciiTheme="minorHAnsi" w:hAnsiTheme="minorHAnsi" w:eastAsiaTheme="minorEastAsia" w:cstheme="minorBidi"/>
      <w:sz w:val="18"/>
      <w:szCs w:val="18"/>
    </w:rPr>
  </w:style>
  <w:style w:type="character" w:styleId="857" w:customStyle="1">
    <w:name w:val="页脚 Char"/>
    <w:basedOn w:val="847"/>
    <w:link w:val="851"/>
    <w:uiPriority w:val="0"/>
    <w:qFormat/>
    <w:rPr>
      <w:rFonts w:asciiTheme="minorHAnsi" w:hAnsiTheme="minorHAnsi" w:eastAsiaTheme="minorEastAsia" w:cstheme="minorBidi"/>
      <w:sz w:val="18"/>
      <w:szCs w:val="18"/>
    </w:rPr>
  </w:style>
  <w:style w:type="character" w:styleId="858" w:customStyle="1">
    <w:name w:val="NormalCharacter"/>
    <w:uiPriority w:val="0"/>
    <w:qFormat/>
  </w:style>
  <w:style w:type="paragraph" w:styleId="859" w:customStyle="1">
    <w:name w:val="Heading 1"/>
    <w:basedOn w:val="843"/>
    <w:next w:val="843"/>
    <w:uiPriority w:val="0"/>
    <w:qFormat/>
    <w:pPr>
      <w:jc w:val="center"/>
      <w:keepNext/>
    </w:pPr>
    <w:rPr>
      <w:rFonts w:ascii="楷体_GB2312" w:eastAsia="楷体_GB2312"/>
      <w:sz w:val="28"/>
      <w:szCs w:val="28"/>
    </w:rPr>
  </w:style>
  <w:style w:type="paragraph" w:styleId="860" w:customStyle="1">
    <w:name w:val="Heading 4"/>
    <w:basedOn w:val="843"/>
    <w:next w:val="843"/>
    <w:uiPriority w:val="0"/>
    <w:qFormat/>
    <w:pPr>
      <w:keepLines/>
      <w:keepNext/>
      <w:spacing w:before="280" w:after="290" w:line="376" w:lineRule="auto"/>
    </w:pPr>
    <w:rPr>
      <w:rFonts w:ascii="Arial" w:hAnsi="Arial" w:eastAsia="黑体" w:cs="Times New Roman"/>
      <w:b/>
      <w:bCs/>
      <w:sz w:val="28"/>
      <w:szCs w:val="28"/>
    </w:rPr>
  </w:style>
  <w:style w:type="paragraph" w:styleId="861" w:customStyle="1">
    <w:name w:val="Heading 2"/>
    <w:basedOn w:val="843"/>
    <w:next w:val="862"/>
    <w:uiPriority w:val="0"/>
    <w:qFormat/>
    <w:pPr>
      <w:jc w:val="center"/>
      <w:keepLines/>
      <w:keepNext/>
      <w:spacing w:before="260" w:after="260" w:line="416" w:lineRule="auto"/>
    </w:pPr>
    <w:rPr>
      <w:rFonts w:ascii="Arial" w:hAnsi="Arial" w:eastAsia="幼圆" w:cs="Times New Roman"/>
      <w:b/>
      <w:bCs/>
      <w:sz w:val="44"/>
      <w:szCs w:val="44"/>
    </w:rPr>
  </w:style>
  <w:style w:type="paragraph" w:styleId="862" w:customStyle="1">
    <w:name w:val="NormalIndent"/>
    <w:basedOn w:val="843"/>
    <w:uiPriority w:val="0"/>
    <w:qFormat/>
    <w:pPr>
      <w:ind w:firstLine="420"/>
    </w:pPr>
    <w:rPr>
      <w:szCs w:val="20"/>
    </w:rPr>
  </w:style>
  <w:style w:type="paragraph" w:styleId="863" w:customStyle="1">
    <w:name w:val="PlainText"/>
    <w:basedOn w:val="843"/>
    <w:uiPriority w:val="0"/>
    <w:qFormat/>
    <w:rPr>
      <w:rFonts w:ascii="宋体" w:hAnsi="Courier New"/>
    </w:rPr>
  </w:style>
  <w:style w:type="paragraph" w:styleId="864" w:customStyle="1">
    <w:name w:val="WPSOffice手动目录 1"/>
    <w:uiPriority w:val="0"/>
    <w:qFormat/>
    <w:rPr>
      <w:rFonts w:ascii="Times New Roman" w:hAnsi="Times New Roman" w:eastAsia="宋体" w:cs="Times New Roman"/>
      <w:sz w:val="20"/>
      <w:szCs w:val="20"/>
    </w:rPr>
  </w:style>
  <w:style w:type="paragraph" w:styleId="865" w:customStyle="1">
    <w:name w:val="Char"/>
    <w:basedOn w:val="843"/>
    <w:uiPriority w:val="0"/>
    <w:qFormat/>
    <w:pPr>
      <w:ind w:firstLine="200"/>
      <w:tabs>
        <w:tab w:val="left" w:pos="360" w:leader="none"/>
      </w:tabs>
    </w:pPr>
    <w:rPr>
      <w:sz w:val="28"/>
      <w:szCs w:val="30"/>
    </w:rPr>
  </w:style>
  <w:style w:type="paragraph" w:styleId="86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67"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868" w:customStyle="1">
    <w:name w:val="p0"/>
    <w:uiPriority w:val="0"/>
    <w:qFormat/>
    <w:pPr>
      <w:widowControl/>
    </w:pPr>
    <w:rPr>
      <w:rFonts w:ascii="Times New Roman" w:hAnsi="Times New Roman" w:eastAsia="宋体" w:cs="Times New Roman"/>
      <w:szCs w:val="21"/>
    </w:rPr>
  </w:style>
  <w:style w:type="paragraph" w:styleId="869" w:customStyle="1">
    <w:name w:val="Table Text"/>
    <w:basedOn w:val="843"/>
    <w:uiPriority w:val="0"/>
    <w:semiHidden/>
    <w:qFormat/>
    <w:rPr>
      <w:rFonts w:ascii="仿宋" w:hAnsi="仿宋" w:eastAsia="仿宋" w:cs="仿宋"/>
      <w:sz w:val="24"/>
      <w:szCs w:val="24"/>
      <w:lang w:val="en-US" w:eastAsia="en-US" w:bidi="ar-SA"/>
    </w:rPr>
  </w:style>
  <w:style w:type="paragraph" w:styleId="870" w:customStyle="1">
    <w:name w:val="正文文本1"/>
    <w:basedOn w:val="843"/>
    <w:uiPriority w:val="0"/>
    <w:qFormat/>
    <w:pPr>
      <w:spacing w:after="120" w:afterAutospacing="0"/>
    </w:p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274</cp:revision>
  <dcterms:created xsi:type="dcterms:W3CDTF">2014-10-29T12:08:00Z</dcterms:created>
  <dcterms:modified xsi:type="dcterms:W3CDTF">2024-04-11T06:11:55Z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CC18E29733F941A0B05108FDC74D55DB_13</vt:lpwstr>
  </property>
</Properties>
</file>