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9BD01">
      <w:pPr>
        <w:spacing w:line="300" w:lineRule="auto"/>
        <w:jc w:val="center"/>
        <w:rPr>
          <w:b/>
          <w:sz w:val="24"/>
          <w:szCs w:val="24"/>
        </w:rPr>
      </w:pPr>
      <w:r>
        <w:rPr>
          <w:rFonts w:ascii="宋体" w:hAnsi="宋体"/>
          <w:b/>
          <w:sz w:val="36"/>
          <w:szCs w:val="36"/>
        </w:rPr>
        <w:t>总</w:t>
      </w:r>
      <w:r>
        <w:rPr>
          <w:b/>
          <w:sz w:val="36"/>
          <w:szCs w:val="36"/>
        </w:rPr>
        <w:t xml:space="preserve">  </w:t>
      </w:r>
      <w:r>
        <w:rPr>
          <w:rFonts w:ascii="宋体" w:hAnsi="宋体"/>
          <w:b/>
          <w:sz w:val="36"/>
          <w:szCs w:val="36"/>
        </w:rPr>
        <w:t>说</w:t>
      </w:r>
      <w:r>
        <w:rPr>
          <w:b/>
          <w:sz w:val="36"/>
          <w:szCs w:val="36"/>
        </w:rPr>
        <w:t xml:space="preserve">  </w:t>
      </w:r>
      <w:r>
        <w:rPr>
          <w:rFonts w:ascii="宋体" w:hAnsi="宋体"/>
          <w:b/>
          <w:sz w:val="36"/>
          <w:szCs w:val="36"/>
        </w:rPr>
        <w:t>明</w:t>
      </w:r>
    </w:p>
    <w:p w14:paraId="3F7A72E2">
      <w:pPr>
        <w:spacing w:line="300" w:lineRule="auto"/>
        <w:rPr>
          <w:rFonts w:ascii="宋体" w:hAnsi="宋体"/>
          <w:bCs/>
          <w:sz w:val="24"/>
          <w:szCs w:val="24"/>
        </w:rPr>
      </w:pPr>
      <w:r>
        <w:rPr>
          <w:rFonts w:hint="eastAsia" w:ascii="宋体" w:hAnsi="宋体"/>
          <w:bCs/>
        </w:rPr>
        <w:t>工程名称：</w:t>
      </w:r>
      <w:r>
        <w:rPr>
          <w:rFonts w:hint="eastAsia" w:ascii="宋体" w:hAnsi="宋体"/>
          <w:bCs/>
          <w:lang w:eastAsia="zh-CN"/>
        </w:rPr>
        <w:t>1#2#楼穿越综合管线及室外排水工程</w:t>
      </w:r>
    </w:p>
    <w:tbl>
      <w:tblPr>
        <w:tblStyle w:val="2"/>
        <w:tblW w:w="836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64"/>
      </w:tblGrid>
      <w:tr w14:paraId="70343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64" w:type="dxa"/>
            <w:tcBorders>
              <w:top w:val="single" w:color="auto" w:sz="4" w:space="0"/>
              <w:left w:val="single" w:color="auto" w:sz="4" w:space="0"/>
              <w:bottom w:val="single" w:color="auto" w:sz="4" w:space="0"/>
              <w:right w:val="single" w:color="auto" w:sz="4" w:space="0"/>
            </w:tcBorders>
          </w:tcPr>
          <w:p w14:paraId="26B092C5">
            <w:pPr>
              <w:spacing w:line="480" w:lineRule="exact"/>
              <w:ind w:firstLine="442" w:firstLineChars="200"/>
              <w:rPr>
                <w:rFonts w:ascii="宋体" w:hAnsi="宋体"/>
                <w:b/>
                <w:sz w:val="22"/>
                <w:szCs w:val="22"/>
              </w:rPr>
            </w:pPr>
            <w:r>
              <w:rPr>
                <w:rFonts w:hint="eastAsia" w:ascii="宋体" w:hAnsi="宋体"/>
                <w:b/>
                <w:sz w:val="22"/>
                <w:szCs w:val="22"/>
              </w:rPr>
              <w:t>一、工程概况：</w:t>
            </w:r>
          </w:p>
          <w:p w14:paraId="586C4D40">
            <w:pPr>
              <w:spacing w:line="360" w:lineRule="auto"/>
              <w:ind w:firstLine="472" w:firstLineChars="225"/>
              <w:rPr>
                <w:rFonts w:hint="eastAsia" w:ascii="宋体" w:hAnsi="宋体"/>
                <w:bCs/>
              </w:rPr>
            </w:pPr>
            <w:r>
              <w:rPr>
                <w:rFonts w:hint="eastAsia" w:ascii="宋体" w:hAnsi="宋体"/>
                <w:bCs/>
              </w:rPr>
              <w:t>1.工程地点：南京市</w:t>
            </w:r>
          </w:p>
          <w:p w14:paraId="118DFFB3">
            <w:pPr>
              <w:spacing w:line="360" w:lineRule="auto"/>
              <w:ind w:firstLine="472" w:firstLineChars="225"/>
              <w:rPr>
                <w:rFonts w:hint="eastAsia" w:ascii="宋体" w:hAnsi="宋体"/>
                <w:bCs/>
              </w:rPr>
            </w:pPr>
            <w:r>
              <w:rPr>
                <w:rFonts w:hint="eastAsia" w:ascii="宋体" w:hAnsi="宋体"/>
                <w:bCs/>
              </w:rPr>
              <w:t>2.工程类型</w:t>
            </w:r>
            <w:r>
              <w:rPr>
                <w:rFonts w:hint="eastAsia" w:ascii="宋体" w:hAnsi="宋体"/>
                <w:bCs/>
                <w:lang w:eastAsia="zh-CN"/>
              </w:rPr>
              <w:t>：安装</w:t>
            </w:r>
            <w:r>
              <w:rPr>
                <w:rFonts w:hint="eastAsia" w:ascii="宋体" w:hAnsi="宋体"/>
                <w:bCs/>
              </w:rPr>
              <w:t>工程</w:t>
            </w:r>
          </w:p>
          <w:p w14:paraId="2B6739EF">
            <w:pPr>
              <w:spacing w:line="360" w:lineRule="auto"/>
              <w:ind w:firstLine="472" w:firstLineChars="225"/>
              <w:rPr>
                <w:rFonts w:hint="eastAsia" w:ascii="宋体" w:hAnsi="宋体"/>
                <w:bCs/>
              </w:rPr>
            </w:pPr>
            <w:r>
              <w:rPr>
                <w:rFonts w:hint="eastAsia" w:ascii="宋体" w:hAnsi="宋体"/>
                <w:bCs/>
              </w:rPr>
              <w:t>3.环境保护要求等：按省、市环保主管部门的规定；</w:t>
            </w:r>
          </w:p>
          <w:p w14:paraId="6B070927">
            <w:pPr>
              <w:spacing w:line="360" w:lineRule="auto"/>
              <w:ind w:firstLine="474" w:firstLineChars="225"/>
              <w:rPr>
                <w:rFonts w:hint="eastAsia" w:ascii="宋体" w:hAnsi="宋体"/>
                <w:b/>
                <w:bCs/>
              </w:rPr>
            </w:pPr>
            <w:r>
              <w:rPr>
                <w:rFonts w:hint="eastAsia" w:ascii="宋体" w:hAnsi="宋体"/>
                <w:b/>
                <w:bCs/>
              </w:rPr>
              <w:t>二、</w:t>
            </w:r>
            <w:r>
              <w:rPr>
                <w:rFonts w:hint="eastAsia" w:ascii="宋体" w:hAnsi="宋体"/>
                <w:b/>
              </w:rPr>
              <w:t>工程量清单编制范围</w:t>
            </w:r>
            <w:r>
              <w:rPr>
                <w:rFonts w:hint="eastAsia" w:ascii="宋体" w:hAnsi="宋体"/>
                <w:b/>
                <w:bCs/>
              </w:rPr>
              <w:t>：</w:t>
            </w:r>
          </w:p>
          <w:p w14:paraId="4DBA4F23">
            <w:pPr>
              <w:spacing w:line="360" w:lineRule="auto"/>
              <w:ind w:firstLine="472" w:firstLineChars="225"/>
              <w:rPr>
                <w:rFonts w:hint="eastAsia" w:ascii="宋体" w:hAnsi="宋体"/>
              </w:rPr>
            </w:pPr>
            <w:r>
              <w:rPr>
                <w:rFonts w:hint="eastAsia" w:ascii="宋体" w:hAnsi="宋体"/>
                <w:bCs/>
              </w:rPr>
              <w:t>1.</w:t>
            </w:r>
            <w:bookmarkStart w:id="0" w:name="OLE_LINK2"/>
            <w:r>
              <w:rPr>
                <w:rFonts w:hint="eastAsia" w:ascii="宋体" w:hAnsi="宋体"/>
                <w:bCs/>
                <w:lang w:eastAsia="zh-CN"/>
              </w:rPr>
              <w:t>1#2#楼穿越综合管线及室外排水工程</w:t>
            </w:r>
            <w:r>
              <w:rPr>
                <w:rFonts w:hint="eastAsia" w:ascii="宋体" w:hAnsi="宋体"/>
                <w:bCs/>
              </w:rPr>
              <w:t>，主要包括</w:t>
            </w:r>
            <w:r>
              <w:rPr>
                <w:rFonts w:hint="eastAsia" w:ascii="宋体" w:hAnsi="宋体"/>
                <w:bCs/>
                <w:lang w:val="en-US" w:eastAsia="zh-CN"/>
              </w:rPr>
              <w:t>桥架安装</w:t>
            </w:r>
            <w:r>
              <w:rPr>
                <w:rFonts w:hint="eastAsia" w:ascii="宋体" w:hAnsi="宋体"/>
                <w:bCs/>
                <w:lang w:eastAsia="zh-CN"/>
              </w:rPr>
              <w:t>、</w:t>
            </w:r>
            <w:r>
              <w:rPr>
                <w:rFonts w:hint="eastAsia" w:ascii="宋体" w:hAnsi="宋体"/>
                <w:bCs/>
                <w:lang w:val="en-US" w:eastAsia="zh-CN"/>
              </w:rPr>
              <w:t>室内外管道安装、支架</w:t>
            </w:r>
            <w:r>
              <w:rPr>
                <w:rFonts w:hint="eastAsia" w:ascii="宋体" w:hAnsi="宋体"/>
                <w:bCs/>
                <w:lang w:eastAsia="zh-CN"/>
              </w:rPr>
              <w:t>及其配套</w:t>
            </w:r>
            <w:r>
              <w:rPr>
                <w:rFonts w:hint="eastAsia" w:ascii="宋体" w:hAnsi="宋体"/>
                <w:bCs/>
                <w:lang w:val="en-US" w:eastAsia="zh-CN"/>
              </w:rPr>
              <w:t>土建设施</w:t>
            </w:r>
            <w:r>
              <w:rPr>
                <w:rFonts w:hint="eastAsia" w:ascii="宋体" w:hAnsi="宋体"/>
                <w:bCs/>
                <w:lang w:eastAsia="zh-CN"/>
              </w:rPr>
              <w:t>等。</w:t>
            </w:r>
            <w:bookmarkEnd w:id="0"/>
          </w:p>
          <w:p w14:paraId="140181C4">
            <w:pPr>
              <w:spacing w:line="360" w:lineRule="auto"/>
              <w:ind w:firstLine="474" w:firstLineChars="225"/>
              <w:rPr>
                <w:rFonts w:hint="eastAsia" w:ascii="宋体" w:hAnsi="宋体"/>
                <w:b/>
                <w:bCs/>
              </w:rPr>
            </w:pPr>
            <w:r>
              <w:rPr>
                <w:rFonts w:hint="eastAsia" w:ascii="宋体" w:hAnsi="宋体"/>
                <w:b/>
                <w:bCs/>
              </w:rPr>
              <w:t>三、工程量清单编制依据：</w:t>
            </w:r>
          </w:p>
          <w:p w14:paraId="63466FB2">
            <w:pPr>
              <w:spacing w:line="360" w:lineRule="auto"/>
              <w:ind w:firstLine="472" w:firstLineChars="225"/>
              <w:rPr>
                <w:rFonts w:hint="eastAsia" w:ascii="宋体" w:hAnsi="宋体"/>
                <w:bCs/>
              </w:rPr>
            </w:pPr>
            <w:r>
              <w:rPr>
                <w:rFonts w:hint="eastAsia" w:ascii="宋体" w:hAnsi="宋体"/>
                <w:bCs/>
              </w:rPr>
              <w:t>1.</w:t>
            </w:r>
            <w:r>
              <w:rPr>
                <w:rFonts w:hint="eastAsia" w:ascii="宋体" w:hAnsi="宋体"/>
                <w:bCs/>
                <w:lang w:val="en-US" w:eastAsia="zh-CN"/>
              </w:rPr>
              <w:t>现场勘测</w:t>
            </w:r>
            <w:r>
              <w:rPr>
                <w:rFonts w:hint="eastAsia" w:ascii="宋体" w:hAnsi="宋体"/>
                <w:bCs/>
              </w:rPr>
              <w:t>。</w:t>
            </w:r>
          </w:p>
          <w:p w14:paraId="5DE57293">
            <w:pPr>
              <w:spacing w:line="360" w:lineRule="auto"/>
              <w:ind w:firstLine="472" w:firstLineChars="225"/>
              <w:rPr>
                <w:rFonts w:hint="eastAsia" w:ascii="宋体" w:hAnsi="宋体"/>
                <w:bCs/>
              </w:rPr>
            </w:pPr>
            <w:r>
              <w:rPr>
                <w:rFonts w:hint="eastAsia" w:ascii="宋体" w:hAnsi="宋体"/>
                <w:bCs/>
              </w:rPr>
              <w:t>2.苏建价（2014）448号文省住房城乡建设厅关于《建设工程工程量清单计价规范》（GB50500-2013）及其9本工程量计算规范的贯彻意见。</w:t>
            </w:r>
          </w:p>
          <w:p w14:paraId="276E7721">
            <w:pPr>
              <w:spacing w:line="360" w:lineRule="auto"/>
              <w:ind w:firstLine="472" w:firstLineChars="225"/>
              <w:rPr>
                <w:rFonts w:hint="eastAsia" w:ascii="宋体" w:hAnsi="宋体"/>
                <w:bCs/>
              </w:rPr>
            </w:pPr>
            <w:r>
              <w:rPr>
                <w:rFonts w:hint="eastAsia" w:ascii="宋体" w:hAnsi="宋体"/>
                <w:bCs/>
              </w:rPr>
              <w:t>3.《通用安装工程工程量计算规范》（GB50856-2013）。</w:t>
            </w:r>
          </w:p>
          <w:p w14:paraId="7D443A7B">
            <w:pPr>
              <w:spacing w:line="360" w:lineRule="auto"/>
              <w:ind w:firstLine="472" w:firstLineChars="225"/>
              <w:rPr>
                <w:rFonts w:hint="eastAsia" w:ascii="宋体" w:hAnsi="宋体"/>
                <w:bCs/>
              </w:rPr>
            </w:pPr>
            <w:r>
              <w:rPr>
                <w:rFonts w:hint="eastAsia" w:ascii="宋体" w:hAnsi="宋体"/>
                <w:bCs/>
              </w:rPr>
              <w:t>4.《江苏省建筑与装饰工程计价定额》（2014版）、《江苏省安装工程计价定额》（2014年）</w:t>
            </w:r>
            <w:r>
              <w:rPr>
                <w:rFonts w:hint="eastAsia" w:ascii="宋体" w:hAnsi="宋体"/>
                <w:bCs/>
                <w:lang w:eastAsia="zh-CN"/>
              </w:rPr>
              <w:t>、</w:t>
            </w:r>
            <w:r>
              <w:rPr>
                <w:rFonts w:hint="eastAsia" w:ascii="宋体" w:hAnsi="宋体"/>
                <w:bCs/>
              </w:rPr>
              <w:t>《江苏省</w:t>
            </w:r>
            <w:r>
              <w:rPr>
                <w:rFonts w:hint="eastAsia" w:ascii="宋体" w:hAnsi="宋体"/>
                <w:bCs/>
                <w:lang w:val="en-US" w:eastAsia="zh-CN"/>
              </w:rPr>
              <w:t>市政</w:t>
            </w:r>
            <w:r>
              <w:rPr>
                <w:rFonts w:hint="eastAsia" w:ascii="宋体" w:hAnsi="宋体"/>
                <w:bCs/>
              </w:rPr>
              <w:t>工程计价定额》（2014版）</w:t>
            </w:r>
            <w:r>
              <w:rPr>
                <w:rFonts w:hint="eastAsia" w:ascii="宋体" w:hAnsi="宋体"/>
                <w:bCs/>
                <w:lang w:eastAsia="zh-CN"/>
              </w:rPr>
              <w:t>、</w:t>
            </w:r>
            <w:r>
              <w:rPr>
                <w:rFonts w:hint="eastAsia" w:ascii="宋体" w:hAnsi="宋体"/>
                <w:bCs/>
              </w:rPr>
              <w:t>《</w:t>
            </w:r>
            <w:r>
              <w:rPr>
                <w:rFonts w:hint="eastAsia" w:ascii="宋体" w:hAnsi="宋体"/>
                <w:bCs/>
                <w:lang w:val="en-US" w:eastAsia="zh-CN"/>
              </w:rPr>
              <w:t>市政工程消耗量定额江苏省暂估表</w:t>
            </w:r>
            <w:r>
              <w:rPr>
                <w:rFonts w:hint="eastAsia" w:ascii="宋体" w:hAnsi="宋体"/>
                <w:bCs/>
              </w:rPr>
              <w:t>》（20</w:t>
            </w:r>
            <w:r>
              <w:rPr>
                <w:rFonts w:hint="eastAsia" w:ascii="宋体" w:hAnsi="宋体"/>
                <w:bCs/>
                <w:lang w:val="en-US" w:eastAsia="zh-CN"/>
              </w:rPr>
              <w:t>21</w:t>
            </w:r>
            <w:r>
              <w:rPr>
                <w:rFonts w:hint="eastAsia" w:ascii="宋体" w:hAnsi="宋体"/>
                <w:bCs/>
              </w:rPr>
              <w:t>版）。</w:t>
            </w:r>
          </w:p>
          <w:p w14:paraId="69197AA9">
            <w:pPr>
              <w:spacing w:line="360" w:lineRule="auto"/>
              <w:ind w:firstLine="472" w:firstLineChars="225"/>
              <w:rPr>
                <w:rFonts w:hint="eastAsia" w:ascii="宋体" w:hAnsi="宋体"/>
                <w:bCs/>
              </w:rPr>
            </w:pPr>
            <w:r>
              <w:rPr>
                <w:rFonts w:hint="eastAsia" w:ascii="宋体" w:hAnsi="宋体"/>
                <w:bCs/>
              </w:rPr>
              <w:t>5.《江苏省建设工程费用定额》（2014）。</w:t>
            </w:r>
          </w:p>
          <w:p w14:paraId="784EB7D0">
            <w:pPr>
              <w:spacing w:line="360" w:lineRule="auto"/>
              <w:ind w:firstLine="472" w:firstLineChars="225"/>
              <w:rPr>
                <w:rFonts w:hint="eastAsia" w:ascii="宋体" w:hAnsi="宋体"/>
                <w:bCs/>
              </w:rPr>
            </w:pPr>
            <w:r>
              <w:rPr>
                <w:rFonts w:hint="eastAsia" w:ascii="宋体" w:hAnsi="宋体"/>
                <w:bCs/>
                <w:lang w:val="en-US" w:eastAsia="zh-CN"/>
              </w:rPr>
              <w:t>6</w:t>
            </w:r>
            <w:r>
              <w:rPr>
                <w:rFonts w:hint="eastAsia" w:ascii="宋体" w:hAnsi="宋体"/>
                <w:bCs/>
              </w:rPr>
              <w:t>.省住房城乡建设厅关于建筑业实施营改增后江苏省建设工程计价依据调整的通知苏建价（2016）154号文以及苏建函价</w:t>
            </w:r>
            <w:r>
              <w:rPr>
                <w:rFonts w:hint="eastAsia" w:ascii="宋体" w:hAnsi="宋体"/>
              </w:rPr>
              <w:t>(202</w:t>
            </w:r>
            <w:r>
              <w:rPr>
                <w:rFonts w:hint="eastAsia" w:ascii="宋体" w:hAnsi="宋体"/>
                <w:lang w:val="en-US" w:eastAsia="zh-CN"/>
              </w:rPr>
              <w:t>5</w:t>
            </w:r>
            <w:r>
              <w:rPr>
                <w:rFonts w:hint="eastAsia" w:ascii="宋体" w:hAnsi="宋体"/>
              </w:rPr>
              <w:t>)</w:t>
            </w:r>
            <w:r>
              <w:rPr>
                <w:rFonts w:hint="eastAsia" w:ascii="宋体" w:hAnsi="宋体"/>
                <w:lang w:val="en-US" w:eastAsia="zh-CN"/>
              </w:rPr>
              <w:t>066</w:t>
            </w:r>
            <w:r>
              <w:rPr>
                <w:rFonts w:hint="eastAsia" w:ascii="宋体" w:hAnsi="宋体"/>
                <w:bCs/>
              </w:rPr>
              <w:t>号。</w:t>
            </w:r>
          </w:p>
          <w:p w14:paraId="406618A1">
            <w:pPr>
              <w:spacing w:line="360" w:lineRule="auto"/>
              <w:ind w:firstLine="472" w:firstLineChars="225"/>
              <w:rPr>
                <w:rFonts w:hint="eastAsia" w:ascii="宋体" w:hAnsi="宋体"/>
                <w:bCs/>
              </w:rPr>
            </w:pPr>
            <w:r>
              <w:rPr>
                <w:rFonts w:hint="eastAsia" w:ascii="宋体" w:hAnsi="宋体"/>
                <w:bCs/>
                <w:lang w:val="en-US" w:eastAsia="zh-CN"/>
              </w:rPr>
              <w:t>7</w:t>
            </w:r>
            <w:r>
              <w:rPr>
                <w:rFonts w:hint="eastAsia" w:ascii="宋体" w:hAnsi="宋体"/>
                <w:bCs/>
              </w:rPr>
              <w:t>.不可竞争费用及规费、措施项目费用等分别如下：</w:t>
            </w:r>
          </w:p>
          <w:tbl>
            <w:tblPr>
              <w:tblStyle w:val="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212"/>
              <w:gridCol w:w="908"/>
              <w:gridCol w:w="909"/>
              <w:gridCol w:w="813"/>
              <w:gridCol w:w="1004"/>
              <w:gridCol w:w="754"/>
              <w:gridCol w:w="923"/>
            </w:tblGrid>
            <w:tr w14:paraId="46ED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5" w:type="dxa"/>
                  <w:vMerge w:val="restart"/>
                  <w:tcBorders>
                    <w:top w:val="single" w:color="auto" w:sz="4" w:space="0"/>
                    <w:left w:val="single" w:color="auto" w:sz="4" w:space="0"/>
                    <w:bottom w:val="single" w:color="auto" w:sz="4" w:space="0"/>
                    <w:right w:val="single" w:color="auto" w:sz="4" w:space="0"/>
                  </w:tcBorders>
                  <w:vAlign w:val="center"/>
                </w:tcPr>
                <w:p w14:paraId="6B60FAAA">
                  <w:pPr>
                    <w:pStyle w:val="5"/>
                    <w:adjustRightInd w:val="0"/>
                    <w:snapToGrid w:val="0"/>
                    <w:spacing w:before="0" w:beforeAutospacing="0" w:after="0" w:afterAutospacing="0" w:line="300" w:lineRule="auto"/>
                    <w:jc w:val="both"/>
                    <w:rPr>
                      <w:rFonts w:cs="Times New Roman"/>
                      <w:kern w:val="2"/>
                      <w:sz w:val="15"/>
                      <w:szCs w:val="15"/>
                    </w:rPr>
                  </w:pPr>
                  <w:r>
                    <w:rPr>
                      <w:rFonts w:hint="eastAsia" w:cs="Times New Roman"/>
                      <w:kern w:val="2"/>
                      <w:sz w:val="15"/>
                      <w:szCs w:val="15"/>
                      <w:lang w:eastAsia="zh-CN"/>
                    </w:rPr>
                    <w:t>1#2#楼穿越综合管线及室外排水工程</w:t>
                  </w:r>
                </w:p>
              </w:tc>
              <w:tc>
                <w:tcPr>
                  <w:tcW w:w="3029" w:type="dxa"/>
                  <w:gridSpan w:val="3"/>
                  <w:tcBorders>
                    <w:top w:val="single" w:color="auto" w:sz="4" w:space="0"/>
                    <w:left w:val="single" w:color="auto" w:sz="4" w:space="0"/>
                    <w:bottom w:val="single" w:color="auto" w:sz="4" w:space="0"/>
                    <w:right w:val="single" w:color="auto" w:sz="4" w:space="0"/>
                  </w:tcBorders>
                  <w:vAlign w:val="center"/>
                </w:tcPr>
                <w:p w14:paraId="0F899F83">
                  <w:pPr>
                    <w:adjustRightInd w:val="0"/>
                    <w:snapToGrid w:val="0"/>
                    <w:spacing w:line="300" w:lineRule="auto"/>
                    <w:ind w:firstLine="307" w:firstLineChars="205"/>
                    <w:rPr>
                      <w:rFonts w:ascii="宋体" w:hAnsi="宋体"/>
                      <w:sz w:val="15"/>
                      <w:szCs w:val="15"/>
                    </w:rPr>
                  </w:pPr>
                  <w:r>
                    <w:rPr>
                      <w:rFonts w:hint="eastAsia" w:ascii="宋体" w:hAnsi="宋体"/>
                      <w:sz w:val="15"/>
                      <w:szCs w:val="15"/>
                    </w:rPr>
                    <w:t>现场安全文明施工措施（％）</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32E56525">
                  <w:pPr>
                    <w:adjustRightInd w:val="0"/>
                    <w:snapToGrid w:val="0"/>
                    <w:spacing w:line="300" w:lineRule="auto"/>
                    <w:rPr>
                      <w:rFonts w:ascii="宋体" w:hAnsi="宋体"/>
                      <w:sz w:val="15"/>
                      <w:szCs w:val="15"/>
                    </w:rPr>
                  </w:pPr>
                  <w:r>
                    <w:rPr>
                      <w:rFonts w:hint="eastAsia" w:ascii="宋体" w:hAnsi="宋体"/>
                      <w:sz w:val="15"/>
                      <w:szCs w:val="15"/>
                    </w:rPr>
                    <w:t>环境保护税（%）</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564CF06A">
                  <w:pPr>
                    <w:adjustRightInd w:val="0"/>
                    <w:snapToGrid w:val="0"/>
                    <w:spacing w:line="300" w:lineRule="auto"/>
                    <w:rPr>
                      <w:rFonts w:ascii="宋体" w:hAnsi="宋体"/>
                      <w:sz w:val="15"/>
                      <w:szCs w:val="15"/>
                    </w:rPr>
                  </w:pPr>
                  <w:r>
                    <w:rPr>
                      <w:rFonts w:hint="eastAsia" w:ascii="宋体" w:hAnsi="宋体"/>
                      <w:sz w:val="15"/>
                      <w:szCs w:val="15"/>
                    </w:rPr>
                    <w:t>社会保障费率  （％）</w:t>
                  </w:r>
                </w:p>
              </w:tc>
              <w:tc>
                <w:tcPr>
                  <w:tcW w:w="754" w:type="dxa"/>
                  <w:vMerge w:val="restart"/>
                  <w:tcBorders>
                    <w:top w:val="single" w:color="auto" w:sz="4" w:space="0"/>
                    <w:left w:val="single" w:color="auto" w:sz="4" w:space="0"/>
                    <w:bottom w:val="single" w:color="auto" w:sz="4" w:space="0"/>
                    <w:right w:val="single" w:color="auto" w:sz="4" w:space="0"/>
                  </w:tcBorders>
                  <w:vAlign w:val="center"/>
                </w:tcPr>
                <w:p w14:paraId="2F65B5E5">
                  <w:pPr>
                    <w:adjustRightInd w:val="0"/>
                    <w:snapToGrid w:val="0"/>
                    <w:spacing w:line="300" w:lineRule="auto"/>
                    <w:rPr>
                      <w:rFonts w:ascii="宋体" w:hAnsi="宋体"/>
                      <w:sz w:val="15"/>
                      <w:szCs w:val="15"/>
                    </w:rPr>
                  </w:pPr>
                  <w:r>
                    <w:rPr>
                      <w:rFonts w:hint="eastAsia" w:ascii="宋体" w:hAnsi="宋体"/>
                      <w:sz w:val="15"/>
                      <w:szCs w:val="15"/>
                    </w:rPr>
                    <w:t>公积金（％）</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1C8A2759">
                  <w:pPr>
                    <w:adjustRightInd w:val="0"/>
                    <w:snapToGrid w:val="0"/>
                    <w:spacing w:line="300" w:lineRule="auto"/>
                    <w:rPr>
                      <w:rFonts w:ascii="宋体" w:hAnsi="宋体"/>
                      <w:sz w:val="15"/>
                      <w:szCs w:val="15"/>
                    </w:rPr>
                  </w:pPr>
                  <w:r>
                    <w:rPr>
                      <w:rFonts w:hint="eastAsia" w:ascii="宋体" w:hAnsi="宋体"/>
                      <w:sz w:val="15"/>
                      <w:szCs w:val="15"/>
                    </w:rPr>
                    <w:t>税金（％）</w:t>
                  </w:r>
                </w:p>
              </w:tc>
            </w:tr>
            <w:tr w14:paraId="78CF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445" w:type="dxa"/>
                  <w:vMerge w:val="continue"/>
                  <w:tcBorders>
                    <w:top w:val="single" w:color="auto" w:sz="4" w:space="0"/>
                    <w:left w:val="single" w:color="auto" w:sz="4" w:space="0"/>
                    <w:bottom w:val="single" w:color="auto" w:sz="4" w:space="0"/>
                    <w:right w:val="single" w:color="auto" w:sz="4" w:space="0"/>
                  </w:tcBorders>
                  <w:vAlign w:val="center"/>
                </w:tcPr>
                <w:p w14:paraId="208DA43D">
                  <w:pPr>
                    <w:widowControl/>
                    <w:jc w:val="left"/>
                    <w:rPr>
                      <w:rFonts w:ascii="宋体" w:hAnsi="宋体"/>
                      <w:sz w:val="15"/>
                      <w:szCs w:val="15"/>
                    </w:rPr>
                  </w:pPr>
                </w:p>
              </w:tc>
              <w:tc>
                <w:tcPr>
                  <w:tcW w:w="1212" w:type="dxa"/>
                  <w:tcBorders>
                    <w:top w:val="single" w:color="auto" w:sz="4" w:space="0"/>
                    <w:left w:val="single" w:color="auto" w:sz="4" w:space="0"/>
                    <w:bottom w:val="single" w:color="auto" w:sz="4" w:space="0"/>
                    <w:right w:val="single" w:color="auto" w:sz="4" w:space="0"/>
                  </w:tcBorders>
                  <w:vAlign w:val="center"/>
                </w:tcPr>
                <w:p w14:paraId="07473FD3">
                  <w:pPr>
                    <w:adjustRightInd w:val="0"/>
                    <w:snapToGrid w:val="0"/>
                    <w:spacing w:line="300" w:lineRule="auto"/>
                    <w:rPr>
                      <w:rFonts w:ascii="宋体" w:hAnsi="宋体"/>
                      <w:sz w:val="15"/>
                      <w:szCs w:val="15"/>
                    </w:rPr>
                  </w:pPr>
                  <w:r>
                    <w:rPr>
                      <w:rFonts w:hint="eastAsia" w:ascii="宋体" w:hAnsi="宋体"/>
                      <w:sz w:val="15"/>
                      <w:szCs w:val="15"/>
                    </w:rPr>
                    <w:t>基本费（％）</w:t>
                  </w:r>
                </w:p>
              </w:tc>
              <w:tc>
                <w:tcPr>
                  <w:tcW w:w="908" w:type="dxa"/>
                  <w:tcBorders>
                    <w:top w:val="single" w:color="auto" w:sz="4" w:space="0"/>
                    <w:left w:val="single" w:color="auto" w:sz="4" w:space="0"/>
                    <w:bottom w:val="single" w:color="auto" w:sz="4" w:space="0"/>
                    <w:right w:val="single" w:color="auto" w:sz="4" w:space="0"/>
                  </w:tcBorders>
                  <w:vAlign w:val="center"/>
                </w:tcPr>
                <w:p w14:paraId="1A7A7C2F">
                  <w:pPr>
                    <w:adjustRightInd w:val="0"/>
                    <w:snapToGrid w:val="0"/>
                    <w:spacing w:line="300" w:lineRule="auto"/>
                    <w:rPr>
                      <w:rFonts w:ascii="宋体" w:hAnsi="宋体"/>
                      <w:sz w:val="15"/>
                      <w:szCs w:val="15"/>
                    </w:rPr>
                  </w:pPr>
                  <w:r>
                    <w:rPr>
                      <w:rFonts w:hint="eastAsia" w:ascii="宋体" w:hAnsi="宋体"/>
                      <w:sz w:val="15"/>
                      <w:szCs w:val="15"/>
                    </w:rPr>
                    <w:t>省级标化增加费（％）</w:t>
                  </w:r>
                </w:p>
              </w:tc>
              <w:tc>
                <w:tcPr>
                  <w:tcW w:w="909" w:type="dxa"/>
                  <w:tcBorders>
                    <w:top w:val="single" w:color="auto" w:sz="4" w:space="0"/>
                    <w:left w:val="single" w:color="auto" w:sz="4" w:space="0"/>
                    <w:bottom w:val="single" w:color="auto" w:sz="4" w:space="0"/>
                    <w:right w:val="single" w:color="auto" w:sz="4" w:space="0"/>
                  </w:tcBorders>
                  <w:vAlign w:val="center"/>
                </w:tcPr>
                <w:p w14:paraId="1CA97814">
                  <w:pPr>
                    <w:adjustRightInd w:val="0"/>
                    <w:snapToGrid w:val="0"/>
                    <w:spacing w:line="300" w:lineRule="auto"/>
                    <w:rPr>
                      <w:rFonts w:ascii="宋体" w:hAnsi="宋体"/>
                      <w:sz w:val="15"/>
                      <w:szCs w:val="15"/>
                    </w:rPr>
                  </w:pPr>
                  <w:r>
                    <w:rPr>
                      <w:rFonts w:hint="eastAsia" w:ascii="宋体" w:hAnsi="宋体"/>
                      <w:sz w:val="15"/>
                      <w:szCs w:val="15"/>
                    </w:rPr>
                    <w:t>扬尘污染防治增加费（％）</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714AEF53">
                  <w:pPr>
                    <w:widowControl/>
                    <w:jc w:val="left"/>
                    <w:rPr>
                      <w:rFonts w:ascii="宋体" w:hAnsi="宋体"/>
                      <w:sz w:val="15"/>
                      <w:szCs w:val="15"/>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21706191">
                  <w:pPr>
                    <w:widowControl/>
                    <w:jc w:val="left"/>
                    <w:rPr>
                      <w:rFonts w:ascii="宋体" w:hAnsi="宋体"/>
                      <w:sz w:val="15"/>
                      <w:szCs w:val="15"/>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14:paraId="6D2F6464">
                  <w:pPr>
                    <w:widowControl/>
                    <w:jc w:val="left"/>
                    <w:rPr>
                      <w:rFonts w:ascii="宋体" w:hAnsi="宋体"/>
                      <w:sz w:val="15"/>
                      <w:szCs w:val="15"/>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87854F7">
                  <w:pPr>
                    <w:widowControl/>
                    <w:jc w:val="left"/>
                    <w:rPr>
                      <w:rFonts w:ascii="宋体" w:hAnsi="宋体"/>
                      <w:sz w:val="15"/>
                      <w:szCs w:val="15"/>
                    </w:rPr>
                  </w:pPr>
                </w:p>
              </w:tc>
            </w:tr>
            <w:tr w14:paraId="6F96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45" w:type="dxa"/>
                  <w:tcBorders>
                    <w:top w:val="single" w:color="auto" w:sz="4" w:space="0"/>
                    <w:left w:val="single" w:color="auto" w:sz="4" w:space="0"/>
                    <w:bottom w:val="single" w:color="auto" w:sz="4" w:space="0"/>
                    <w:right w:val="single" w:color="auto" w:sz="4" w:space="0"/>
                  </w:tcBorders>
                  <w:vAlign w:val="center"/>
                </w:tcPr>
                <w:p w14:paraId="737A6F40">
                  <w:pPr>
                    <w:adjustRightInd w:val="0"/>
                    <w:snapToGrid w:val="0"/>
                    <w:spacing w:line="300" w:lineRule="auto"/>
                    <w:jc w:val="center"/>
                    <w:rPr>
                      <w:rFonts w:ascii="宋体" w:hAnsi="宋体"/>
                      <w:sz w:val="15"/>
                      <w:szCs w:val="15"/>
                    </w:rPr>
                  </w:pPr>
                  <w:r>
                    <w:rPr>
                      <w:rFonts w:hint="eastAsia" w:ascii="宋体" w:hAnsi="宋体"/>
                      <w:sz w:val="13"/>
                      <w:szCs w:val="13"/>
                      <w:lang w:eastAsia="zh-CN"/>
                    </w:rPr>
                    <w:t>安装</w:t>
                  </w:r>
                  <w:r>
                    <w:rPr>
                      <w:rFonts w:hint="eastAsia" w:ascii="宋体" w:hAnsi="宋体"/>
                      <w:sz w:val="13"/>
                      <w:szCs w:val="13"/>
                    </w:rPr>
                    <w:t>工程</w:t>
                  </w:r>
                </w:p>
              </w:tc>
              <w:tc>
                <w:tcPr>
                  <w:tcW w:w="1212" w:type="dxa"/>
                  <w:tcBorders>
                    <w:top w:val="single" w:color="auto" w:sz="4" w:space="0"/>
                    <w:left w:val="single" w:color="auto" w:sz="4" w:space="0"/>
                    <w:bottom w:val="single" w:color="auto" w:sz="4" w:space="0"/>
                    <w:right w:val="single" w:color="auto" w:sz="4" w:space="0"/>
                  </w:tcBorders>
                  <w:vAlign w:val="center"/>
                </w:tcPr>
                <w:p w14:paraId="0C36E65F">
                  <w:pPr>
                    <w:adjustRightInd w:val="0"/>
                    <w:snapToGrid w:val="0"/>
                    <w:spacing w:line="300" w:lineRule="auto"/>
                    <w:jc w:val="center"/>
                    <w:rPr>
                      <w:rFonts w:ascii="宋体" w:hAnsi="宋体"/>
                      <w:sz w:val="15"/>
                      <w:szCs w:val="15"/>
                    </w:rPr>
                  </w:pPr>
                  <w:r>
                    <w:rPr>
                      <w:rFonts w:hint="eastAsia" w:ascii="宋体" w:hAnsi="宋体"/>
                      <w:sz w:val="13"/>
                      <w:szCs w:val="13"/>
                    </w:rPr>
                    <w:t>1.5</w:t>
                  </w:r>
                </w:p>
              </w:tc>
              <w:tc>
                <w:tcPr>
                  <w:tcW w:w="908" w:type="dxa"/>
                  <w:tcBorders>
                    <w:top w:val="single" w:color="auto" w:sz="4" w:space="0"/>
                    <w:left w:val="single" w:color="auto" w:sz="4" w:space="0"/>
                    <w:bottom w:val="single" w:color="auto" w:sz="4" w:space="0"/>
                    <w:right w:val="single" w:color="auto" w:sz="4" w:space="0"/>
                  </w:tcBorders>
                  <w:vAlign w:val="center"/>
                </w:tcPr>
                <w:p w14:paraId="3267A72A">
                  <w:pPr>
                    <w:adjustRightInd w:val="0"/>
                    <w:snapToGrid w:val="0"/>
                    <w:spacing w:line="300" w:lineRule="auto"/>
                    <w:jc w:val="center"/>
                    <w:rPr>
                      <w:rFonts w:ascii="宋体" w:hAnsi="宋体"/>
                      <w:sz w:val="15"/>
                      <w:szCs w:val="15"/>
                    </w:rPr>
                  </w:pPr>
                  <w:r>
                    <w:rPr>
                      <w:rFonts w:hint="eastAsia" w:ascii="宋体" w:hAnsi="宋体"/>
                      <w:sz w:val="13"/>
                      <w:szCs w:val="13"/>
                    </w:rPr>
                    <w:t>0</w:t>
                  </w:r>
                </w:p>
              </w:tc>
              <w:tc>
                <w:tcPr>
                  <w:tcW w:w="909" w:type="dxa"/>
                  <w:tcBorders>
                    <w:top w:val="single" w:color="auto" w:sz="4" w:space="0"/>
                    <w:left w:val="single" w:color="auto" w:sz="4" w:space="0"/>
                    <w:bottom w:val="single" w:color="auto" w:sz="4" w:space="0"/>
                    <w:right w:val="single" w:color="auto" w:sz="4" w:space="0"/>
                  </w:tcBorders>
                  <w:vAlign w:val="center"/>
                </w:tcPr>
                <w:p w14:paraId="7C2B58AA">
                  <w:pPr>
                    <w:adjustRightInd w:val="0"/>
                    <w:snapToGrid w:val="0"/>
                    <w:spacing w:line="300" w:lineRule="auto"/>
                    <w:ind w:firstLine="254" w:firstLineChars="196"/>
                    <w:jc w:val="left"/>
                    <w:rPr>
                      <w:rFonts w:ascii="宋体" w:hAnsi="宋体"/>
                      <w:sz w:val="15"/>
                      <w:szCs w:val="15"/>
                    </w:rPr>
                  </w:pPr>
                  <w:r>
                    <w:rPr>
                      <w:rFonts w:hint="eastAsia" w:ascii="宋体" w:hAnsi="宋体"/>
                      <w:sz w:val="13"/>
                      <w:szCs w:val="13"/>
                    </w:rPr>
                    <w:t>0.21</w:t>
                  </w:r>
                </w:p>
              </w:tc>
              <w:tc>
                <w:tcPr>
                  <w:tcW w:w="813" w:type="dxa"/>
                  <w:tcBorders>
                    <w:top w:val="single" w:color="auto" w:sz="4" w:space="0"/>
                    <w:left w:val="single" w:color="auto" w:sz="4" w:space="0"/>
                    <w:bottom w:val="single" w:color="auto" w:sz="4" w:space="0"/>
                    <w:right w:val="single" w:color="auto" w:sz="4" w:space="0"/>
                  </w:tcBorders>
                  <w:vAlign w:val="center"/>
                </w:tcPr>
                <w:p w14:paraId="5F3BEBFB">
                  <w:pPr>
                    <w:adjustRightInd w:val="0"/>
                    <w:snapToGrid w:val="0"/>
                    <w:spacing w:line="300" w:lineRule="auto"/>
                    <w:jc w:val="center"/>
                    <w:rPr>
                      <w:rFonts w:ascii="宋体" w:hAnsi="宋体"/>
                      <w:sz w:val="15"/>
                      <w:szCs w:val="15"/>
                    </w:rPr>
                  </w:pPr>
                  <w:r>
                    <w:rPr>
                      <w:rFonts w:hint="eastAsia" w:ascii="宋体" w:hAnsi="宋体"/>
                      <w:sz w:val="13"/>
                      <w:szCs w:val="13"/>
                    </w:rPr>
                    <w:t>0.1</w:t>
                  </w:r>
                </w:p>
              </w:tc>
              <w:tc>
                <w:tcPr>
                  <w:tcW w:w="1004" w:type="dxa"/>
                  <w:tcBorders>
                    <w:top w:val="single" w:color="auto" w:sz="4" w:space="0"/>
                    <w:left w:val="single" w:color="auto" w:sz="4" w:space="0"/>
                    <w:bottom w:val="single" w:color="auto" w:sz="4" w:space="0"/>
                    <w:right w:val="single" w:color="auto" w:sz="4" w:space="0"/>
                  </w:tcBorders>
                  <w:vAlign w:val="center"/>
                </w:tcPr>
                <w:p w14:paraId="6DD210C7">
                  <w:pPr>
                    <w:adjustRightInd w:val="0"/>
                    <w:snapToGrid w:val="0"/>
                    <w:spacing w:line="300" w:lineRule="auto"/>
                    <w:jc w:val="center"/>
                    <w:rPr>
                      <w:rFonts w:ascii="宋体" w:hAnsi="宋体"/>
                      <w:sz w:val="15"/>
                      <w:szCs w:val="15"/>
                    </w:rPr>
                  </w:pPr>
                  <w:r>
                    <w:rPr>
                      <w:rFonts w:hint="eastAsia" w:ascii="宋体" w:hAnsi="宋体"/>
                      <w:sz w:val="13"/>
                      <w:szCs w:val="13"/>
                    </w:rPr>
                    <w:t>2.4</w:t>
                  </w:r>
                </w:p>
              </w:tc>
              <w:tc>
                <w:tcPr>
                  <w:tcW w:w="754" w:type="dxa"/>
                  <w:tcBorders>
                    <w:top w:val="single" w:color="auto" w:sz="4" w:space="0"/>
                    <w:left w:val="single" w:color="auto" w:sz="4" w:space="0"/>
                    <w:bottom w:val="single" w:color="auto" w:sz="4" w:space="0"/>
                    <w:right w:val="single" w:color="auto" w:sz="4" w:space="0"/>
                  </w:tcBorders>
                  <w:vAlign w:val="center"/>
                </w:tcPr>
                <w:p w14:paraId="42A72BDE">
                  <w:pPr>
                    <w:adjustRightInd w:val="0"/>
                    <w:snapToGrid w:val="0"/>
                    <w:spacing w:line="300" w:lineRule="auto"/>
                    <w:jc w:val="center"/>
                    <w:rPr>
                      <w:rFonts w:ascii="宋体" w:hAnsi="宋体"/>
                      <w:sz w:val="15"/>
                      <w:szCs w:val="15"/>
                    </w:rPr>
                  </w:pPr>
                  <w:r>
                    <w:rPr>
                      <w:rFonts w:hint="eastAsia" w:ascii="宋体" w:hAnsi="宋体"/>
                      <w:sz w:val="13"/>
                      <w:szCs w:val="13"/>
                      <w:lang w:val="en-US" w:eastAsia="zh-CN"/>
                    </w:rPr>
                    <w:t>0.42</w:t>
                  </w:r>
                </w:p>
              </w:tc>
              <w:tc>
                <w:tcPr>
                  <w:tcW w:w="923" w:type="dxa"/>
                  <w:tcBorders>
                    <w:top w:val="single" w:color="auto" w:sz="4" w:space="0"/>
                    <w:left w:val="single" w:color="auto" w:sz="4" w:space="0"/>
                    <w:bottom w:val="single" w:color="auto" w:sz="4" w:space="0"/>
                    <w:right w:val="single" w:color="auto" w:sz="4" w:space="0"/>
                  </w:tcBorders>
                  <w:vAlign w:val="center"/>
                </w:tcPr>
                <w:p w14:paraId="0A9F37F3">
                  <w:pPr>
                    <w:adjustRightInd w:val="0"/>
                    <w:snapToGrid w:val="0"/>
                    <w:spacing w:line="300" w:lineRule="auto"/>
                    <w:jc w:val="center"/>
                    <w:rPr>
                      <w:rFonts w:ascii="宋体" w:hAnsi="宋体"/>
                      <w:sz w:val="15"/>
                      <w:szCs w:val="15"/>
                    </w:rPr>
                  </w:pPr>
                  <w:r>
                    <w:rPr>
                      <w:rFonts w:hint="eastAsia" w:ascii="宋体" w:hAnsi="宋体"/>
                      <w:sz w:val="13"/>
                      <w:szCs w:val="13"/>
                    </w:rPr>
                    <w:t>9</w:t>
                  </w:r>
                </w:p>
              </w:tc>
            </w:tr>
          </w:tbl>
          <w:p w14:paraId="0757461E">
            <w:pPr>
              <w:spacing w:line="360" w:lineRule="auto"/>
              <w:ind w:firstLine="487" w:firstLineChars="231"/>
              <w:rPr>
                <w:rFonts w:hint="eastAsia" w:ascii="宋体" w:hAnsi="宋体"/>
                <w:b/>
              </w:rPr>
            </w:pPr>
            <w:r>
              <w:rPr>
                <w:rFonts w:hint="eastAsia" w:ascii="宋体" w:hAnsi="宋体"/>
                <w:b/>
              </w:rPr>
              <w:t>四、编制说明：</w:t>
            </w:r>
          </w:p>
          <w:p w14:paraId="32D80904">
            <w:pPr>
              <w:spacing w:line="360" w:lineRule="auto"/>
              <w:ind w:firstLine="485" w:firstLineChars="231"/>
              <w:rPr>
                <w:rFonts w:hint="eastAsia" w:ascii="宋体" w:hAnsi="宋体"/>
              </w:rPr>
            </w:pPr>
            <w:r>
              <w:rPr>
                <w:rFonts w:hint="eastAsia" w:ascii="宋体" w:hAnsi="宋体"/>
              </w:rPr>
              <w:t>1.工程质量要求：合格。</w:t>
            </w:r>
          </w:p>
          <w:p w14:paraId="3B2EB0FB">
            <w:pPr>
              <w:spacing w:line="360" w:lineRule="auto"/>
              <w:ind w:firstLine="485" w:firstLineChars="231"/>
              <w:rPr>
                <w:rFonts w:hint="eastAsia" w:ascii="宋体" w:hAnsi="宋体"/>
              </w:rPr>
            </w:pPr>
            <w:r>
              <w:rPr>
                <w:rFonts w:hint="eastAsia" w:ascii="宋体" w:hAnsi="宋体"/>
              </w:rPr>
              <w:t>2.专业工程暂估价：无暂估价，详见工程量清单，以工程量清单为准。</w:t>
            </w:r>
          </w:p>
          <w:p w14:paraId="12FFF170">
            <w:pPr>
              <w:spacing w:line="360" w:lineRule="auto"/>
              <w:ind w:firstLine="485" w:firstLineChars="231"/>
              <w:rPr>
                <w:rFonts w:hint="eastAsia" w:ascii="宋体" w:hAnsi="宋体"/>
              </w:rPr>
            </w:pPr>
            <w:r>
              <w:rPr>
                <w:rFonts w:hint="eastAsia" w:ascii="宋体" w:hAnsi="宋体"/>
              </w:rPr>
              <w:t>3.本工程暂列金额：详见工程量清单，以工程量清单为准。</w:t>
            </w:r>
          </w:p>
          <w:p w14:paraId="7484E65A">
            <w:pPr>
              <w:spacing w:line="360" w:lineRule="auto"/>
              <w:ind w:firstLine="485" w:firstLineChars="231"/>
              <w:rPr>
                <w:rFonts w:hint="eastAsia" w:ascii="宋体" w:hAnsi="宋体"/>
              </w:rPr>
            </w:pPr>
            <w:r>
              <w:rPr>
                <w:rFonts w:hint="eastAsia" w:ascii="宋体" w:hAnsi="宋体"/>
              </w:rPr>
              <w:t>4.本工程暂定材：无暂定材，详见工程量清单，以工程量清单为准。</w:t>
            </w:r>
          </w:p>
          <w:p w14:paraId="6AD7B3C3">
            <w:pPr>
              <w:spacing w:line="360" w:lineRule="auto"/>
              <w:ind w:firstLine="485" w:firstLineChars="231"/>
              <w:rPr>
                <w:rFonts w:hint="eastAsia" w:ascii="宋体" w:hAnsi="宋体"/>
              </w:rPr>
            </w:pPr>
            <w:r>
              <w:rPr>
                <w:rFonts w:hint="eastAsia" w:ascii="宋体" w:hAnsi="宋体"/>
              </w:rPr>
              <w:t>5.本工程甲供材：无甲供材，详见工程量清单，以工程量清单为准。</w:t>
            </w:r>
          </w:p>
          <w:p w14:paraId="7029A8AE">
            <w:pPr>
              <w:spacing w:line="360" w:lineRule="auto"/>
              <w:ind w:firstLine="485" w:firstLineChars="231"/>
              <w:rPr>
                <w:rFonts w:hint="eastAsia" w:ascii="宋体" w:hAnsi="宋体"/>
              </w:rPr>
            </w:pPr>
            <w:r>
              <w:rPr>
                <w:rFonts w:hint="eastAsia" w:ascii="宋体" w:hAnsi="宋体"/>
              </w:rPr>
              <w:t>6.工程量清单中每一个项目的综合单价及措施费中，应包括人工费、材料费、机械费、管理费、利润以及现行取费中的有关费用、有关文件规定的调价、临时设施、材料周转以及根据本招标文件要求的风险金等全部费用。相关技术标准内的要求须考虑在投标报价中。</w:t>
            </w:r>
          </w:p>
          <w:p w14:paraId="290B8CAE">
            <w:pPr>
              <w:spacing w:line="360" w:lineRule="auto"/>
              <w:ind w:firstLine="485" w:firstLineChars="231"/>
              <w:rPr>
                <w:rFonts w:hint="eastAsia" w:ascii="宋体" w:hAnsi="宋体"/>
              </w:rPr>
            </w:pPr>
            <w:r>
              <w:rPr>
                <w:rFonts w:hint="eastAsia" w:ascii="宋体" w:hAnsi="宋体"/>
              </w:rPr>
              <w:t>7.措施费项目清单中，内容仅供参考，投标人可根据工程实际与施工组织设计进行增补，但不得更改已列措施项目，结算时除工程变更引起施工方案改变外，承包人不得以招标工程措施项目清单缺项为由要求新增措施项目。</w:t>
            </w:r>
          </w:p>
          <w:p w14:paraId="1ACAECD5">
            <w:pPr>
              <w:spacing w:line="360" w:lineRule="auto"/>
              <w:ind w:firstLine="485" w:firstLineChars="231"/>
              <w:rPr>
                <w:rFonts w:hint="eastAsia" w:ascii="宋体" w:hAnsi="宋体"/>
              </w:rPr>
            </w:pPr>
            <w:r>
              <w:rPr>
                <w:rFonts w:hint="eastAsia" w:ascii="宋体" w:hAnsi="宋体"/>
              </w:rPr>
              <w:t>8.投标单位所报工程量清单综合单价应包括完成招标文件及其附件规定的工程量清单项目所需的全部费用，其内含：①包括分部分项工程费、措施费、其它项目费和规费、税金；②包括完成每分部分项工程所含全部工程内容的费用；③包括完成每项工程内容所需的全部费用；④工程量清单项目中没有体现的，施工中又必须发生的工程内容所需的费用；⑤考虑风险因素而调整的费用；⑥因招标人在招标文件中的要求而发生的费用；⑦做为有经验的承包商按照合同条款及相关规定判定交付竣工产品还应计列的其他费用；⑧按照技术方案要求交付竣工产品应该计列的相关费用；⑨其他应当计取的费用。</w:t>
            </w:r>
          </w:p>
          <w:p w14:paraId="63A1B818">
            <w:pPr>
              <w:spacing w:line="360" w:lineRule="auto"/>
              <w:ind w:firstLine="485" w:firstLineChars="231"/>
              <w:rPr>
                <w:rFonts w:hint="eastAsia" w:ascii="宋体" w:hAnsi="宋体"/>
              </w:rPr>
            </w:pPr>
            <w:r>
              <w:rPr>
                <w:rFonts w:hint="eastAsia" w:ascii="宋体" w:hAnsi="宋体"/>
              </w:rPr>
              <w:t>9.本工程量清单作为投标人报价的基础之一，投标人应结合招标文件、取费文件、技术规范等确定投标报价。</w:t>
            </w:r>
          </w:p>
          <w:p w14:paraId="20508F45">
            <w:pPr>
              <w:spacing w:line="360" w:lineRule="auto"/>
              <w:ind w:firstLine="485" w:firstLineChars="231"/>
              <w:rPr>
                <w:rFonts w:hint="eastAsia" w:ascii="宋体" w:hAnsi="宋体"/>
              </w:rPr>
            </w:pPr>
            <w:r>
              <w:rPr>
                <w:rFonts w:hint="eastAsia" w:ascii="宋体" w:hAnsi="宋体"/>
              </w:rPr>
              <w:t>10. 本工程招标控制价（含综合单价）为招标人根据相关规定结合市场价编制，投标人未在约定时间内提出异议，视为对招标控制价（含综合单价）完全理解并接受，中标后不作调整。</w:t>
            </w:r>
          </w:p>
          <w:p w14:paraId="51FA6084">
            <w:pPr>
              <w:spacing w:line="360" w:lineRule="auto"/>
              <w:ind w:firstLine="472" w:firstLineChars="225"/>
              <w:rPr>
                <w:rFonts w:hint="eastAsia" w:ascii="宋体" w:hAnsi="宋体"/>
              </w:rPr>
            </w:pPr>
            <w:r>
              <w:rPr>
                <w:rFonts w:hint="eastAsia" w:ascii="宋体" w:hAnsi="宋体"/>
              </w:rPr>
              <w:t>11．投标人必须充分勘察现场实际情况，自行考虑材料运输及堆场。</w:t>
            </w:r>
          </w:p>
          <w:p w14:paraId="1F899B7C">
            <w:pPr>
              <w:spacing w:line="360" w:lineRule="auto"/>
              <w:ind w:firstLine="472" w:firstLineChars="225"/>
              <w:rPr>
                <w:rFonts w:hint="eastAsia" w:ascii="宋体" w:hAnsi="宋体"/>
              </w:rPr>
            </w:pPr>
            <w:r>
              <w:rPr>
                <w:rFonts w:hint="eastAsia" w:ascii="宋体" w:hAnsi="宋体"/>
              </w:rPr>
              <w:t>12.工程量清单特征描述不全时，应结合设计图纸，并应当综合考虑施工规范、地方规章等的要求，所产生的费用计入投标报价中；清单特征中未描述的，但2014计价表中注明的工作内容，承包人在报价是应充分考虑“工作内容”而产生的费用，列入相应报价中。工程量清单中凡是说明了的工作内容均应包括在投标报价中，清单中未描述但本项目内有必须完成该分项工程的工作内容，均应包括在投标报价中。</w:t>
            </w:r>
          </w:p>
          <w:p w14:paraId="211800A9">
            <w:pPr>
              <w:spacing w:line="360" w:lineRule="auto"/>
              <w:ind w:firstLine="472" w:firstLineChars="225"/>
              <w:rPr>
                <w:rFonts w:hint="eastAsia" w:ascii="宋体" w:hAnsi="宋体"/>
                <w:color w:val="auto"/>
              </w:rPr>
            </w:pPr>
            <w:r>
              <w:rPr>
                <w:rFonts w:hint="eastAsia" w:ascii="宋体" w:hAnsi="宋体"/>
                <w:color w:val="auto"/>
              </w:rPr>
              <w:t>13.本项目对于材料的运输、施工时间的限制、人工降效施工场地和临设场地的影响等，请投标人在报价中充分考虑，结算时不得增加与此有关的费用。</w:t>
            </w:r>
          </w:p>
          <w:p w14:paraId="2BED8D7A">
            <w:pPr>
              <w:spacing w:line="360" w:lineRule="auto"/>
              <w:ind w:firstLine="472" w:firstLineChars="225"/>
              <w:rPr>
                <w:rFonts w:hint="eastAsia" w:ascii="宋体" w:hAnsi="宋体"/>
              </w:rPr>
            </w:pPr>
            <w:r>
              <w:rPr>
                <w:rFonts w:hint="eastAsia" w:ascii="宋体" w:hAnsi="宋体"/>
              </w:rPr>
              <w:t>14.对于江苏省、南京市相关部门对工程施工要求所发的文件规定，特别是对于工程围挡、扬尘控制等的要求，请投标人在报价中充分考虑，结算时不得增加与此有关的费用。</w:t>
            </w:r>
          </w:p>
          <w:p w14:paraId="49D9FF21">
            <w:pPr>
              <w:spacing w:line="360" w:lineRule="auto"/>
              <w:ind w:firstLine="472" w:firstLineChars="225"/>
              <w:rPr>
                <w:rFonts w:hint="eastAsia" w:ascii="宋体" w:hAnsi="宋体"/>
              </w:rPr>
            </w:pPr>
            <w:r>
              <w:rPr>
                <w:rFonts w:hint="eastAsia" w:ascii="宋体" w:hAnsi="宋体"/>
              </w:rPr>
              <w:t>15.请投标人自行查勘现场，对于现场是否满足所有临时设施、施工场地的搭设要求，请投标人在报价中充分考虑本项目施</w:t>
            </w:r>
            <w:r>
              <w:rPr>
                <w:rFonts w:hint="eastAsia" w:ascii="宋体" w:hAnsi="宋体"/>
                <w:color w:val="auto"/>
              </w:rPr>
              <w:t>工的特殊性，</w:t>
            </w:r>
            <w:r>
              <w:rPr>
                <w:rFonts w:hint="eastAsia" w:ascii="宋体" w:hAnsi="宋体"/>
              </w:rPr>
              <w:t>结算时不得增加与此有关的费用。</w:t>
            </w:r>
          </w:p>
          <w:p w14:paraId="4E2B2822">
            <w:pPr>
              <w:spacing w:line="360" w:lineRule="auto"/>
              <w:ind w:firstLine="472" w:firstLineChars="225"/>
              <w:rPr>
                <w:rFonts w:hint="eastAsia" w:ascii="宋体" w:hAnsi="宋体"/>
              </w:rPr>
            </w:pPr>
            <w:r>
              <w:rPr>
                <w:rFonts w:hint="eastAsia" w:ascii="宋体" w:hAnsi="宋体"/>
              </w:rPr>
              <w:t>16.投标人对工程量清单有任何疑问，应于招标文件规定的疑问提交截止日前提出，如未提出，中标后相应单价不再调整，且必须按设计图纸完成所有工作内容。</w:t>
            </w:r>
          </w:p>
          <w:p w14:paraId="3C9835E5">
            <w:pPr>
              <w:spacing w:line="360" w:lineRule="auto"/>
              <w:ind w:firstLine="472" w:firstLineChars="225"/>
              <w:rPr>
                <w:rFonts w:hint="eastAsia" w:ascii="宋体" w:hAnsi="宋体"/>
              </w:rPr>
            </w:pPr>
            <w:r>
              <w:rPr>
                <w:rFonts w:hint="eastAsia" w:ascii="宋体" w:hAnsi="宋体"/>
              </w:rPr>
              <w:t>17.本工程施工外部协调工作由投标人负责，投标人应充分考虑周边地域情况，并将此费用考虑在投标报价中，结算时发包人不再为此增加费用。</w:t>
            </w:r>
          </w:p>
          <w:p w14:paraId="6034D6EA">
            <w:pPr>
              <w:spacing w:line="360" w:lineRule="auto"/>
              <w:ind w:firstLine="472" w:firstLineChars="225"/>
              <w:rPr>
                <w:rFonts w:hint="eastAsia" w:ascii="宋体" w:hAnsi="宋体"/>
              </w:rPr>
            </w:pPr>
            <w:r>
              <w:rPr>
                <w:rFonts w:hint="eastAsia" w:ascii="宋体" w:hAnsi="宋体"/>
              </w:rPr>
              <w:t>18.投标人在填写工程量清单的每一项综合单价和合价时均应结合招标文件、技术规范、设计施工图纸和现场勘察情况，谨慎仔细地进行报价。工程量清单特征描述不全时，应当综合考虑施工规范、地方规章等的要求，所产生的费用计入投标报价中；清单特征中未描述的，但计价规范中注明的工程内容，承包人在报价时应充分考虑“工程内容”而产生的费用，列入相应投标报价中，实施过程中费用不调整。</w:t>
            </w:r>
          </w:p>
          <w:p w14:paraId="456C52FA">
            <w:pPr>
              <w:spacing w:line="360" w:lineRule="auto"/>
              <w:ind w:firstLine="472" w:firstLineChars="225"/>
              <w:rPr>
                <w:rFonts w:hint="eastAsia" w:ascii="宋体" w:hAnsi="宋体"/>
              </w:rPr>
            </w:pPr>
            <w:r>
              <w:rPr>
                <w:rFonts w:hint="eastAsia" w:ascii="宋体" w:hAnsi="宋体"/>
              </w:rPr>
              <w:t>19.工程量清单外的费用：工程量清单项目（包括实体性消耗和措施性消耗）中没有体现的，施工中又必须发生的工作内容所需的费用，如：主要材料构件的二次包装防护费、原材料的二次搬运费、场外运输费、摊销费、吊装费、机械降效补贴费、成品保护费（损坏需无偿修复）等，由各投标人根据现场实际施工场地考察的情况并结合各自条件情况自行计入报价。</w:t>
            </w:r>
          </w:p>
          <w:p w14:paraId="243B7681">
            <w:pPr>
              <w:spacing w:line="360" w:lineRule="auto"/>
              <w:ind w:firstLine="472" w:firstLineChars="225"/>
              <w:rPr>
                <w:rFonts w:hint="eastAsia" w:ascii="宋体" w:hAnsi="宋体"/>
              </w:rPr>
            </w:pPr>
            <w:r>
              <w:rPr>
                <w:rFonts w:hint="eastAsia" w:ascii="宋体" w:hAnsi="宋体"/>
              </w:rPr>
              <w:t>20.本工程中施工的实际损耗，投标人自行综合考虑在本次报价中，结算时不另增加费用。</w:t>
            </w:r>
          </w:p>
          <w:p w14:paraId="4F8A8B46">
            <w:pPr>
              <w:spacing w:line="360" w:lineRule="auto"/>
              <w:ind w:firstLine="472" w:firstLineChars="225"/>
              <w:rPr>
                <w:rFonts w:hint="eastAsia" w:ascii="宋体" w:hAnsi="宋体"/>
              </w:rPr>
            </w:pPr>
            <w:r>
              <w:rPr>
                <w:rFonts w:hint="eastAsia" w:ascii="宋体" w:hAnsi="宋体"/>
              </w:rPr>
              <w:t>21.所有清单项目内涉及建筑垃圾的清理及外运，综合考虑在报价内，结算不予调整。</w:t>
            </w:r>
          </w:p>
          <w:p w14:paraId="6E05BFD9">
            <w:pPr>
              <w:spacing w:line="360" w:lineRule="auto"/>
              <w:ind w:firstLine="472" w:firstLineChars="225"/>
              <w:rPr>
                <w:rFonts w:hint="eastAsia" w:ascii="宋体" w:hAnsi="宋体"/>
              </w:rPr>
            </w:pPr>
            <w:r>
              <w:rPr>
                <w:rFonts w:hint="eastAsia" w:ascii="宋体" w:hAnsi="宋体"/>
              </w:rPr>
              <w:t>22.投标人对工程量清单有任何疑问，应于招标文件规定的疑问提交截止日前提出，如未提出，中标后相应单价不再调整，且必须完成本项目内系统改造所有工作内容。</w:t>
            </w:r>
          </w:p>
          <w:p w14:paraId="4857F444">
            <w:pPr>
              <w:spacing w:line="360" w:lineRule="auto"/>
              <w:ind w:firstLine="472" w:firstLineChars="225"/>
              <w:rPr>
                <w:rFonts w:hint="eastAsia" w:ascii="宋体" w:hAnsi="宋体"/>
              </w:rPr>
            </w:pPr>
            <w:r>
              <w:rPr>
                <w:rFonts w:hint="eastAsia" w:ascii="宋体" w:hAnsi="宋体"/>
              </w:rPr>
              <w:t>23.投标人须自行考虑材料的采购、保管费，中标后不再调整。</w:t>
            </w:r>
          </w:p>
          <w:p w14:paraId="139ED479">
            <w:pPr>
              <w:spacing w:line="360" w:lineRule="auto"/>
              <w:ind w:firstLine="472" w:firstLineChars="225"/>
              <w:rPr>
                <w:rFonts w:hint="eastAsia" w:ascii="宋体" w:hAnsi="宋体"/>
                <w:bCs/>
                <w:highlight w:val="yellow"/>
              </w:rPr>
            </w:pPr>
            <w:r>
              <w:rPr>
                <w:rFonts w:hint="eastAsia" w:ascii="宋体" w:hAnsi="宋体"/>
              </w:rPr>
              <w:t>24.</w:t>
            </w:r>
            <w:r>
              <w:rPr>
                <w:rFonts w:hint="eastAsia" w:ascii="宋体" w:hAnsi="宋体"/>
                <w:bCs/>
              </w:rPr>
              <w:t>所有材料检测费均按相关文件执行，材料质量应确保通过相关部门检测，由质量不合格引起的后果由施工单位承担。如检测不合格，视为工程项目不合格，费用投标人综合考虑在报价内，</w:t>
            </w:r>
            <w:r>
              <w:rPr>
                <w:rFonts w:hint="eastAsia" w:ascii="宋体" w:hAnsi="宋体"/>
              </w:rPr>
              <w:t>结算不予调整。</w:t>
            </w:r>
          </w:p>
          <w:p w14:paraId="5C961E66">
            <w:pPr>
              <w:spacing w:line="360" w:lineRule="auto"/>
              <w:ind w:firstLine="472" w:firstLineChars="225"/>
              <w:rPr>
                <w:rFonts w:hint="eastAsia" w:ascii="宋体" w:hAnsi="宋体"/>
                <w:bCs/>
              </w:rPr>
            </w:pPr>
            <w:r>
              <w:rPr>
                <w:rFonts w:hint="eastAsia" w:ascii="宋体" w:hAnsi="宋体"/>
                <w:bCs/>
              </w:rPr>
              <w:t>25.本工程量清单应与投标须知、合同通用条款、专用条款、技术规范等同时阅读，相互补充，分部分项工程量清单项目特征内容描述不详的，以清单计价规范为准，同时如有疑问应在规定时间内向招标人（或招标代理机构）提出，一旦中标后一律不调增。</w:t>
            </w:r>
          </w:p>
          <w:p w14:paraId="19273A0D">
            <w:pPr>
              <w:spacing w:line="360" w:lineRule="auto"/>
              <w:ind w:firstLine="474" w:firstLineChars="225"/>
              <w:rPr>
                <w:rFonts w:hint="eastAsia" w:ascii="宋体" w:hAnsi="宋体"/>
                <w:b/>
              </w:rPr>
            </w:pPr>
            <w:r>
              <w:rPr>
                <w:rFonts w:hint="eastAsia" w:ascii="宋体" w:hAnsi="宋体"/>
                <w:b/>
              </w:rPr>
              <w:t>五、工程量清单编制中需说明的其他事项：</w:t>
            </w:r>
          </w:p>
          <w:p w14:paraId="049B29F4">
            <w:pPr>
              <w:autoSpaceDE w:val="0"/>
              <w:spacing w:line="360" w:lineRule="auto"/>
              <w:ind w:firstLine="482" w:firstLineChars="230"/>
              <w:rPr>
                <w:rFonts w:hint="eastAsia" w:ascii="宋体" w:hAnsi="宋体"/>
              </w:rPr>
            </w:pPr>
            <w:r>
              <w:rPr>
                <w:rFonts w:hint="eastAsia" w:ascii="宋体" w:hAnsi="宋体"/>
              </w:rPr>
              <w:t>1.</w:t>
            </w:r>
            <w:r>
              <w:rPr>
                <w:rFonts w:hint="eastAsia" w:ascii="宋体" w:hAnsi="宋体"/>
                <w:lang w:eastAsia="zh-CN"/>
              </w:rPr>
              <w:t>安装</w:t>
            </w:r>
            <w:r>
              <w:rPr>
                <w:rFonts w:hint="eastAsia" w:ascii="宋体" w:hAnsi="宋体"/>
              </w:rPr>
              <w:t>工程</w:t>
            </w:r>
          </w:p>
          <w:p w14:paraId="3F10118E">
            <w:pPr>
              <w:spacing w:line="360" w:lineRule="auto"/>
              <w:ind w:firstLine="485" w:firstLineChars="231"/>
              <w:rPr>
                <w:rFonts w:hint="eastAsia" w:ascii="宋体" w:hAnsi="宋体"/>
              </w:rPr>
            </w:pPr>
            <w:r>
              <w:rPr>
                <w:rFonts w:hint="eastAsia" w:ascii="宋体" w:hAnsi="宋体"/>
              </w:rPr>
              <w:t>（1）</w:t>
            </w:r>
            <w:bookmarkStart w:id="1" w:name="OLE_LINK3"/>
            <w:r>
              <w:rPr>
                <w:rFonts w:hint="eastAsia" w:ascii="宋体" w:hAnsi="宋体"/>
                <w:lang w:val="en-US" w:eastAsia="zh-CN"/>
              </w:rPr>
              <w:t>此次报价中包含后期图纸深化费用，</w:t>
            </w:r>
            <w:r>
              <w:rPr>
                <w:rFonts w:hint="eastAsia" w:ascii="宋体" w:hAnsi="宋体"/>
                <w:lang w:eastAsia="zh-CN"/>
              </w:rPr>
              <w:t>请投标人综合考虑报价，</w:t>
            </w:r>
            <w:bookmarkEnd w:id="1"/>
            <w:r>
              <w:rPr>
                <w:rFonts w:hint="eastAsia" w:ascii="宋体" w:hAnsi="宋体"/>
                <w:lang w:eastAsia="zh-CN"/>
              </w:rPr>
              <w:t>后期不得增加此项费用。</w:t>
            </w:r>
          </w:p>
          <w:p w14:paraId="1E4CDC00">
            <w:pPr>
              <w:autoSpaceDE w:val="0"/>
              <w:spacing w:line="360" w:lineRule="auto"/>
              <w:ind w:firstLine="482" w:firstLineChars="230"/>
              <w:rPr>
                <w:rFonts w:hint="eastAsia" w:ascii="宋体" w:hAnsi="宋体"/>
                <w:lang w:eastAsia="zh-CN"/>
              </w:rPr>
            </w:pPr>
            <w:r>
              <w:rPr>
                <w:rFonts w:hint="eastAsia" w:ascii="宋体" w:hAnsi="宋体"/>
              </w:rPr>
              <w:t>（2）喷淋泵</w:t>
            </w:r>
            <w:r>
              <w:rPr>
                <w:rFonts w:hint="eastAsia" w:ascii="宋体" w:hAnsi="宋体"/>
                <w:lang w:val="en-US" w:eastAsia="zh-CN"/>
              </w:rPr>
              <w:t>根据设计答疑提供参数计入清单</w:t>
            </w:r>
            <w:r>
              <w:rPr>
                <w:rFonts w:hint="eastAsia" w:ascii="宋体" w:hAnsi="宋体"/>
              </w:rPr>
              <w:t>，</w:t>
            </w:r>
            <w:r>
              <w:rPr>
                <w:rFonts w:hint="eastAsia" w:ascii="宋体" w:hAnsi="宋体"/>
                <w:lang w:val="en-US" w:eastAsia="zh-CN"/>
              </w:rPr>
              <w:t>包含其</w:t>
            </w:r>
            <w:r>
              <w:rPr>
                <w:rFonts w:hint="eastAsia" w:ascii="宋体" w:hAnsi="宋体"/>
              </w:rPr>
              <w:t>相关配套管道、阀门、软接等附件。</w:t>
            </w:r>
          </w:p>
          <w:p w14:paraId="24B8368F">
            <w:pPr>
              <w:autoSpaceDE w:val="0"/>
              <w:spacing w:line="360" w:lineRule="auto"/>
              <w:ind w:firstLine="482" w:firstLineChars="230"/>
              <w:rPr>
                <w:rFonts w:hint="eastAsia" w:ascii="宋体" w:hAnsi="宋体"/>
                <w:lang w:val="en-US"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lang w:val="en-US" w:eastAsia="zh-CN"/>
              </w:rPr>
              <w:t>土方开挖、回填、余方弃置的工程量为暂定量，后期结算时以工程量按实计量。</w:t>
            </w:r>
          </w:p>
          <w:p w14:paraId="768C0B2B">
            <w:pPr>
              <w:autoSpaceDE w:val="0"/>
              <w:spacing w:line="360" w:lineRule="auto"/>
              <w:ind w:firstLine="482" w:firstLineChars="230"/>
              <w:rPr>
                <w:rFonts w:hint="default" w:ascii="宋体" w:hAnsi="宋体"/>
                <w:lang w:val="en-US" w:eastAsia="zh-CN"/>
              </w:rPr>
            </w:pPr>
            <w:r>
              <w:rPr>
                <w:rFonts w:hint="eastAsia" w:ascii="宋体" w:hAnsi="宋体"/>
                <w:lang w:val="en-US" w:eastAsia="zh-CN"/>
              </w:rPr>
              <w:t>（4）土方弃置综合考虑运距，后期不得调整价格。</w:t>
            </w:r>
          </w:p>
          <w:p w14:paraId="201D799A">
            <w:pPr>
              <w:autoSpaceDE w:val="0"/>
              <w:spacing w:line="360" w:lineRule="auto"/>
              <w:ind w:firstLine="482" w:firstLineChars="230"/>
              <w:rPr>
                <w:rFonts w:hint="eastAsia" w:ascii="宋体" w:hAnsi="宋体"/>
                <w:lang w:val="en-US" w:eastAsia="zh-CN"/>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lang w:val="en-US" w:eastAsia="zh-CN"/>
              </w:rPr>
              <w:t>垃圾清理费用包含在清单报价中，请投标人综合考虑报价。</w:t>
            </w:r>
          </w:p>
          <w:p w14:paraId="67ECF08B">
            <w:pPr>
              <w:autoSpaceDE w:val="0"/>
              <w:spacing w:line="360" w:lineRule="auto"/>
              <w:ind w:firstLine="482" w:firstLineChars="230"/>
              <w:rPr>
                <w:rFonts w:hint="eastAsia" w:ascii="宋体" w:hAnsi="宋体"/>
                <w:lang w:val="en-US" w:eastAsia="zh-CN"/>
              </w:rPr>
            </w:pPr>
            <w:r>
              <w:rPr>
                <w:rFonts w:hint="eastAsia" w:ascii="宋体" w:hAnsi="宋体"/>
                <w:lang w:val="en-US" w:eastAsia="zh-CN"/>
              </w:rPr>
              <w:t>（6）管道保温与防潮铝板的工程量为暂定量，后期结算时以工程量按实计量。</w:t>
            </w:r>
          </w:p>
          <w:p w14:paraId="110EC665">
            <w:pPr>
              <w:autoSpaceDE w:val="0"/>
              <w:spacing w:line="360" w:lineRule="auto"/>
              <w:ind w:firstLine="482" w:firstLineChars="230"/>
              <w:rPr>
                <w:rFonts w:hint="eastAsia" w:ascii="宋体" w:hAnsi="宋体"/>
                <w:lang w:val="en-US" w:eastAsia="zh-CN"/>
              </w:rPr>
            </w:pPr>
            <w:r>
              <w:rPr>
                <w:rFonts w:hint="eastAsia" w:ascii="宋体" w:hAnsi="宋体"/>
                <w:lang w:val="en-US" w:eastAsia="zh-CN"/>
              </w:rPr>
              <w:t>（7）</w:t>
            </w:r>
            <w:r>
              <w:rPr>
                <w:rFonts w:hint="eastAsia" w:ascii="宋体" w:hAnsi="宋体"/>
              </w:rPr>
              <w:t>室外消火</w:t>
            </w:r>
            <w:r>
              <w:rPr>
                <w:rFonts w:hint="eastAsia" w:ascii="宋体" w:hAnsi="宋体"/>
                <w:lang w:val="en-US" w:eastAsia="zh-CN"/>
              </w:rPr>
              <w:t>根据设计答疑提供参数计入清单</w:t>
            </w:r>
            <w:r>
              <w:rPr>
                <w:rFonts w:hint="eastAsia" w:ascii="宋体" w:hAnsi="宋体"/>
              </w:rPr>
              <w:t>，</w:t>
            </w:r>
            <w:r>
              <w:rPr>
                <w:rFonts w:hint="eastAsia" w:ascii="宋体" w:hAnsi="宋体"/>
                <w:lang w:val="en-US" w:eastAsia="zh-CN"/>
              </w:rPr>
              <w:t>包含其</w:t>
            </w:r>
            <w:r>
              <w:rPr>
                <w:rFonts w:hint="eastAsia" w:ascii="宋体" w:hAnsi="宋体"/>
              </w:rPr>
              <w:t>相关配套管道、阀门、软接等附件。</w:t>
            </w:r>
          </w:p>
          <w:p w14:paraId="11C689C3">
            <w:pPr>
              <w:autoSpaceDE w:val="0"/>
              <w:spacing w:line="360" w:lineRule="auto"/>
              <w:ind w:firstLine="482" w:firstLineChars="230"/>
              <w:rPr>
                <w:rFonts w:hint="eastAsia" w:ascii="宋体" w:hAnsi="宋体"/>
                <w:lang w:val="en-US" w:eastAsia="zh-CN"/>
              </w:rPr>
            </w:pPr>
            <w:r>
              <w:rPr>
                <w:rFonts w:hint="eastAsia" w:ascii="宋体" w:hAnsi="宋体"/>
                <w:lang w:val="en-US" w:eastAsia="zh-CN"/>
              </w:rPr>
              <w:t>（8）</w:t>
            </w:r>
            <w:r>
              <w:rPr>
                <w:rFonts w:hint="eastAsia" w:ascii="宋体" w:hAnsi="宋体"/>
              </w:rPr>
              <w:t>压力排水泵</w:t>
            </w:r>
            <w:r>
              <w:rPr>
                <w:rFonts w:hint="eastAsia" w:ascii="宋体" w:hAnsi="宋体"/>
                <w:lang w:val="en-US" w:eastAsia="zh-CN"/>
              </w:rPr>
              <w:t>根据设计答疑提供参数计入清单</w:t>
            </w:r>
            <w:r>
              <w:rPr>
                <w:rFonts w:hint="eastAsia" w:ascii="宋体" w:hAnsi="宋体"/>
              </w:rPr>
              <w:t>，</w:t>
            </w:r>
            <w:r>
              <w:rPr>
                <w:rFonts w:hint="eastAsia" w:ascii="宋体" w:hAnsi="宋体"/>
                <w:lang w:val="en-US" w:eastAsia="zh-CN"/>
              </w:rPr>
              <w:t>包含其</w:t>
            </w:r>
            <w:r>
              <w:rPr>
                <w:rFonts w:hint="eastAsia" w:ascii="宋体" w:hAnsi="宋体"/>
              </w:rPr>
              <w:t>相关配套管道、阀门、软接等附件</w:t>
            </w:r>
            <w:r>
              <w:rPr>
                <w:rFonts w:hint="eastAsia" w:ascii="宋体" w:hAnsi="宋体"/>
                <w:lang w:val="en-US" w:eastAsia="zh-CN"/>
              </w:rPr>
              <w:t>。</w:t>
            </w:r>
          </w:p>
          <w:p w14:paraId="075AA367">
            <w:pPr>
              <w:autoSpaceDE w:val="0"/>
              <w:spacing w:line="360" w:lineRule="auto"/>
              <w:ind w:firstLine="482" w:firstLineChars="230"/>
              <w:rPr>
                <w:rFonts w:hint="eastAsia" w:ascii="宋体" w:hAnsi="宋体"/>
                <w:lang w:val="en-US" w:eastAsia="zh-CN"/>
              </w:rPr>
            </w:pPr>
            <w:r>
              <w:rPr>
                <w:rFonts w:hint="eastAsia" w:ascii="宋体" w:hAnsi="宋体"/>
                <w:lang w:val="en-US" w:eastAsia="zh-CN"/>
              </w:rPr>
              <w:t>（9）管道支架考虑除轻锈、两遍防锈漆、两遍调和漆。</w:t>
            </w:r>
          </w:p>
          <w:p w14:paraId="2CEFE670">
            <w:pPr>
              <w:autoSpaceDE w:val="0"/>
              <w:spacing w:line="360" w:lineRule="auto"/>
              <w:ind w:firstLine="482" w:firstLineChars="230"/>
              <w:rPr>
                <w:rFonts w:hint="eastAsia" w:ascii="宋体" w:hAnsi="宋体"/>
              </w:rPr>
            </w:pPr>
            <w:r>
              <w:rPr>
                <w:rFonts w:hint="eastAsia" w:ascii="宋体" w:hAnsi="宋体"/>
                <w:lang w:val="en-US" w:eastAsia="zh-CN"/>
              </w:rPr>
              <w:t>（10）</w:t>
            </w:r>
            <w:r>
              <w:rPr>
                <w:rFonts w:hint="eastAsia" w:ascii="宋体" w:hAnsi="宋体"/>
              </w:rPr>
              <w:t>管沟</w:t>
            </w:r>
            <w:r>
              <w:rPr>
                <w:rFonts w:hint="eastAsia" w:ascii="宋体" w:hAnsi="宋体"/>
                <w:lang w:val="en-US" w:eastAsia="zh-CN"/>
              </w:rPr>
              <w:t>工程量暂按照清单计算，后期结算时按实结算</w:t>
            </w:r>
            <w:r>
              <w:rPr>
                <w:rFonts w:hint="eastAsia" w:ascii="宋体" w:hAnsi="宋体"/>
              </w:rPr>
              <w:t>。</w:t>
            </w:r>
          </w:p>
          <w:p w14:paraId="5CFBC39E">
            <w:pPr>
              <w:autoSpaceDE w:val="0"/>
              <w:spacing w:line="360" w:lineRule="auto"/>
              <w:ind w:firstLine="482" w:firstLineChars="230"/>
              <w:rPr>
                <w:rFonts w:hint="eastAsia" w:ascii="宋体" w:hAnsi="宋体"/>
                <w:lang w:val="en-US" w:eastAsia="zh-CN"/>
              </w:rPr>
            </w:pPr>
            <w:r>
              <w:rPr>
                <w:rFonts w:hint="eastAsia" w:ascii="宋体" w:hAnsi="宋体"/>
                <w:lang w:val="en-US" w:eastAsia="zh-CN"/>
              </w:rPr>
              <w:t>（11）桥架支架并入管道支架清单计算。</w:t>
            </w:r>
          </w:p>
          <w:p w14:paraId="45B04F31">
            <w:pPr>
              <w:autoSpaceDE w:val="0"/>
              <w:spacing w:line="360" w:lineRule="auto"/>
              <w:ind w:firstLine="482" w:firstLineChars="230"/>
              <w:rPr>
                <w:rFonts w:hint="eastAsia" w:ascii="宋体" w:hAnsi="宋体"/>
                <w:lang w:val="en-US" w:eastAsia="zh-CN"/>
              </w:rPr>
            </w:pPr>
            <w:r>
              <w:rPr>
                <w:rFonts w:hint="eastAsia" w:ascii="宋体" w:hAnsi="宋体"/>
                <w:lang w:val="en-US" w:eastAsia="zh-CN"/>
              </w:rPr>
              <w:t>（12）界面按照图纸说明结合平面图内容计入，标高按照桥架高度计入，水管桥架标注不明确处，参照类似规格。</w:t>
            </w:r>
          </w:p>
          <w:p w14:paraId="277B9213">
            <w:pPr>
              <w:autoSpaceDE w:val="0"/>
              <w:spacing w:line="360" w:lineRule="auto"/>
              <w:ind w:firstLine="482" w:firstLineChars="230"/>
              <w:rPr>
                <w:rFonts w:hint="eastAsia" w:ascii="宋体" w:hAnsi="宋体"/>
                <w:lang w:val="en-US" w:eastAsia="zh-CN"/>
              </w:rPr>
            </w:pPr>
            <w:r>
              <w:rPr>
                <w:rFonts w:hint="eastAsia" w:ascii="宋体" w:hAnsi="宋体"/>
                <w:lang w:val="en-US" w:eastAsia="zh-CN"/>
              </w:rPr>
              <w:t>（13）图纸未见的阀门及管道附件，按照常规考虑计入清单，后期按实结算。</w:t>
            </w:r>
          </w:p>
          <w:p w14:paraId="2B410D75">
            <w:pPr>
              <w:spacing w:line="360" w:lineRule="auto"/>
              <w:ind w:firstLine="472" w:firstLineChars="225"/>
              <w:rPr>
                <w:rFonts w:hint="eastAsia" w:ascii="宋体" w:hAnsi="宋体"/>
              </w:rPr>
            </w:pPr>
            <w:r>
              <w:rPr>
                <w:rFonts w:hint="eastAsia" w:ascii="宋体" w:hAnsi="宋体"/>
                <w:lang w:val="en-US" w:eastAsia="zh-CN"/>
              </w:rPr>
              <w:t>（14）与原系统对接相关费用</w:t>
            </w:r>
            <w:r>
              <w:rPr>
                <w:rFonts w:hint="eastAsia" w:ascii="宋体" w:hAnsi="宋体"/>
              </w:rPr>
              <w:t>投标人应充分考虑，并将此费用考虑在投标报价中，结算时发包人不再为此增加费用。</w:t>
            </w:r>
          </w:p>
          <w:p w14:paraId="449B65E0">
            <w:pPr>
              <w:spacing w:line="360" w:lineRule="auto"/>
              <w:ind w:firstLine="472" w:firstLineChars="225"/>
              <w:rPr>
                <w:rFonts w:hint="default" w:ascii="宋体" w:hAnsi="宋体" w:eastAsia="宋体"/>
                <w:lang w:val="en-US" w:eastAsia="zh-CN"/>
              </w:rPr>
            </w:pPr>
            <w:r>
              <w:rPr>
                <w:rFonts w:hint="eastAsia" w:ascii="宋体" w:hAnsi="宋体"/>
                <w:lang w:eastAsia="zh-CN"/>
              </w:rPr>
              <w:t>（</w:t>
            </w:r>
            <w:r>
              <w:rPr>
                <w:rFonts w:hint="eastAsia" w:ascii="宋体" w:hAnsi="宋体"/>
                <w:lang w:val="en-US" w:eastAsia="zh-CN"/>
              </w:rPr>
              <w:t>15</w:t>
            </w:r>
            <w:r>
              <w:rPr>
                <w:rFonts w:hint="eastAsia" w:ascii="宋体" w:hAnsi="宋体"/>
                <w:lang w:eastAsia="zh-CN"/>
              </w:rPr>
              <w:t>）</w:t>
            </w:r>
            <w:r>
              <w:rPr>
                <w:rFonts w:hint="eastAsia" w:ascii="宋体" w:hAnsi="宋体"/>
                <w:lang w:val="en-US" w:eastAsia="zh-CN"/>
              </w:rPr>
              <w:t>管道桥架拆除后堆放至甲方指定区域，此费用包含在拆除费用中，后期不予另计。</w:t>
            </w:r>
            <w:bookmarkStart w:id="2" w:name="_GoBack"/>
            <w:bookmarkEnd w:id="2"/>
          </w:p>
          <w:p w14:paraId="20B484FC">
            <w:pPr>
              <w:spacing w:line="360" w:lineRule="auto"/>
              <w:ind w:firstLine="422" w:firstLineChars="200"/>
              <w:rPr>
                <w:rFonts w:hint="eastAsia" w:ascii="宋体" w:hAnsi="宋体"/>
                <w:b/>
              </w:rPr>
            </w:pPr>
            <w:r>
              <w:rPr>
                <w:rFonts w:hint="eastAsia" w:ascii="宋体" w:hAnsi="宋体"/>
                <w:b/>
              </w:rPr>
              <w:t>六、工程质量、材料、施工等的特殊要求</w:t>
            </w:r>
          </w:p>
          <w:p w14:paraId="205FF310">
            <w:pPr>
              <w:spacing w:line="360" w:lineRule="auto"/>
              <w:ind w:firstLine="485" w:firstLineChars="231"/>
              <w:rPr>
                <w:rFonts w:hint="eastAsia" w:ascii="宋体" w:hAnsi="宋体"/>
              </w:rPr>
            </w:pPr>
            <w:r>
              <w:rPr>
                <w:rFonts w:hint="eastAsia" w:ascii="宋体" w:hAnsi="宋体"/>
              </w:rPr>
              <w:t>1.工程质量和设备的技术性能须满足招标文件、设计文件及相关规范的要求。</w:t>
            </w:r>
          </w:p>
          <w:p w14:paraId="4056E5B5">
            <w:pPr>
              <w:spacing w:line="360" w:lineRule="auto"/>
              <w:ind w:firstLine="485" w:firstLineChars="231"/>
              <w:rPr>
                <w:rFonts w:hint="eastAsia" w:ascii="宋体" w:hAnsi="宋体"/>
              </w:rPr>
            </w:pPr>
            <w:r>
              <w:rPr>
                <w:rFonts w:hint="eastAsia" w:ascii="宋体" w:hAnsi="宋体"/>
              </w:rPr>
              <w:t>2.施工所使用的材料满足设计的要求，并为正规厂家合格产品。投标人自选的材料，投标报价时须在《承包人供应材料一览表》中注明品牌、厂家、型号及规格，一旦中标后，严格按照本表所注明的材料进行供货；投标时未注明品牌、厂家、型号及规格的材料，优先选用招标人拟更换设备的原有品牌,品牌的选用须经招标人同意。</w:t>
            </w:r>
          </w:p>
          <w:p w14:paraId="449A79D3">
            <w:pPr>
              <w:spacing w:line="360" w:lineRule="auto"/>
              <w:rPr>
                <w:rFonts w:ascii="宋体" w:hAnsi="宋体"/>
                <w:bCs/>
                <w:sz w:val="24"/>
                <w:szCs w:val="24"/>
              </w:rPr>
            </w:pPr>
          </w:p>
        </w:tc>
      </w:tr>
    </w:tbl>
    <w:p w14:paraId="2E9561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mIzMWYyMzFlNTI2NjNmNDM5NWZhMTMyNzM1NTEifQ=="/>
  </w:docVars>
  <w:rsids>
    <w:rsidRoot w:val="00DB0277"/>
    <w:rsid w:val="006A2FE3"/>
    <w:rsid w:val="00DB0277"/>
    <w:rsid w:val="097467EB"/>
    <w:rsid w:val="098111BE"/>
    <w:rsid w:val="0A66660A"/>
    <w:rsid w:val="0C067F07"/>
    <w:rsid w:val="0EE76708"/>
    <w:rsid w:val="144E1413"/>
    <w:rsid w:val="1535463C"/>
    <w:rsid w:val="158722CC"/>
    <w:rsid w:val="1F121194"/>
    <w:rsid w:val="20D83C3D"/>
    <w:rsid w:val="219B020C"/>
    <w:rsid w:val="298D3F45"/>
    <w:rsid w:val="2C846E27"/>
    <w:rsid w:val="2E1A5BA6"/>
    <w:rsid w:val="36977533"/>
    <w:rsid w:val="3BDE14A3"/>
    <w:rsid w:val="3C5367F4"/>
    <w:rsid w:val="43261842"/>
    <w:rsid w:val="4AF86BD2"/>
    <w:rsid w:val="53C32C64"/>
    <w:rsid w:val="584E1FCA"/>
    <w:rsid w:val="65717DD7"/>
    <w:rsid w:val="675E1B20"/>
    <w:rsid w:val="738C3199"/>
    <w:rsid w:val="7A6F0A98"/>
    <w:rsid w:val="7E9E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 w:type="paragraph" w:customStyle="1" w:styleId="5">
    <w:name w:val="xl3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character" w:customStyle="1" w:styleId="6">
    <w:name w:val="font31"/>
    <w:basedOn w:val="3"/>
    <w:autoRedefine/>
    <w:qFormat/>
    <w:uiPriority w:val="0"/>
    <w:rPr>
      <w:rFonts w:hint="eastAsia" w:ascii="宋体" w:hAnsi="宋体" w:eastAsia="宋体" w:cs="宋体"/>
      <w:color w:val="000000"/>
      <w:sz w:val="21"/>
      <w:szCs w:val="21"/>
      <w:u w:val="none"/>
    </w:rPr>
  </w:style>
  <w:style w:type="character" w:customStyle="1" w:styleId="7">
    <w:name w:val="font41"/>
    <w:basedOn w:val="3"/>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3225</Words>
  <Characters>3364</Characters>
  <Lines>28</Lines>
  <Paragraphs>8</Paragraphs>
  <TotalTime>4</TotalTime>
  <ScaleCrop>false</ScaleCrop>
  <LinksUpToDate>false</LinksUpToDate>
  <CharactersWithSpaces>3371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2022-05-27T09:19:00Z</dcterms:created>
  <dc:creator>Administrator</dc:creator>
  <cp:lastModifiedBy>追岁</cp:lastModifiedBy>
  <dcterms:modified xsi:type="dcterms:W3CDTF">2025-09-18T03:20:22Z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C5402CE8EEA04BE6BC54BD5F1DB35739_13</vt:lpwstr>
  </property>
  <property fmtid="{D5CDD505-2E9C-101B-9397-08002B2CF9AE}" pid="4" name="KSOTemplateDocerSaveRecord">
    <vt:lpwstr>eyJoZGlkIjoiYjNiNzViMGU2NDc5MTEzNWQ2YTYxZGM2MDRiYzEzMmYiLCJ1c2VySWQiOiIyNjMxMjY2MjgifQ==</vt:lpwstr>
  </property>
</Properties>
</file>