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（一）更正（澄清）内容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1.原招标文件中第四章评标标准中的“商务部分”中</w:t>
      </w:r>
    </w:p>
    <w:tbl>
      <w:tblPr>
        <w:tblStyle w:val="4"/>
        <w:tblW w:w="9110" w:type="dxa"/>
        <w:jc w:val="center"/>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1"/>
        <w:gridCol w:w="810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01" w:type="dxa"/>
            <w:vAlign w:val="center"/>
          </w:tcPr>
          <w:p>
            <w:pPr>
              <w:pStyle w:val="9"/>
              <w:spacing w:line="340" w:lineRule="exact"/>
              <w:jc w:val="center"/>
              <w:rPr>
                <w:rFonts w:hint="eastAsia" w:hAnsi="宋体" w:eastAsia="宋体" w:cs="宋体"/>
                <w:bCs/>
                <w:sz w:val="28"/>
                <w:szCs w:val="28"/>
              </w:rPr>
            </w:pPr>
            <w:r>
              <w:rPr>
                <w:rFonts w:hint="eastAsia" w:hAnsi="宋体" w:eastAsia="宋体" w:cs="宋体"/>
                <w:bCs/>
                <w:sz w:val="28"/>
                <w:szCs w:val="28"/>
              </w:rPr>
              <w:t>投标人评价（</w:t>
            </w:r>
            <w:r>
              <w:rPr>
                <w:rFonts w:hint="default" w:hAnsi="宋体" w:eastAsia="宋体" w:cs="宋体"/>
                <w:bCs/>
                <w:sz w:val="28"/>
                <w:szCs w:val="28"/>
                <w:lang w:val="en-US"/>
              </w:rPr>
              <w:t>2</w:t>
            </w:r>
            <w:r>
              <w:rPr>
                <w:rFonts w:hint="eastAsia" w:hAnsi="宋体" w:eastAsia="宋体" w:cs="宋体"/>
                <w:bCs/>
                <w:sz w:val="28"/>
                <w:szCs w:val="28"/>
              </w:rPr>
              <w:t>分）</w:t>
            </w:r>
          </w:p>
        </w:tc>
        <w:tc>
          <w:tcPr>
            <w:tcW w:w="8109" w:type="dxa"/>
            <w:vAlign w:val="center"/>
          </w:tcPr>
          <w:p>
            <w:pPr>
              <w:pStyle w:val="9"/>
              <w:spacing w:line="340" w:lineRule="exact"/>
              <w:rPr>
                <w:rFonts w:hint="eastAsia" w:hAnsi="宋体" w:eastAsia="宋体" w:cs="宋体"/>
                <w:bCs/>
                <w:sz w:val="28"/>
                <w:szCs w:val="28"/>
              </w:rPr>
            </w:pPr>
            <w:r>
              <w:rPr>
                <w:rFonts w:hint="eastAsia" w:hAnsi="宋体" w:eastAsia="宋体" w:cs="宋体"/>
                <w:sz w:val="28"/>
                <w:szCs w:val="28"/>
              </w:rPr>
              <w:t>投标文件中提供投标人的</w:t>
            </w:r>
            <w:r>
              <w:rPr>
                <w:rFonts w:hint="eastAsia" w:hAnsi="宋体" w:eastAsia="宋体" w:cs="宋体"/>
                <w:bCs/>
                <w:sz w:val="28"/>
                <w:szCs w:val="28"/>
              </w:rPr>
              <w:t>有效期内的质量管理体系认证证书和有效期内的环境管理体系认证证书扫描件的，每个得</w:t>
            </w:r>
            <w:r>
              <w:rPr>
                <w:rFonts w:hint="default" w:hAnsi="宋体" w:eastAsia="宋体" w:cs="宋体"/>
                <w:bCs/>
                <w:sz w:val="28"/>
                <w:szCs w:val="28"/>
                <w:lang w:val="en-US"/>
              </w:rPr>
              <w:t>1</w:t>
            </w:r>
            <w:r>
              <w:rPr>
                <w:rFonts w:hint="eastAsia" w:hAnsi="宋体" w:eastAsia="宋体" w:cs="宋体"/>
                <w:bCs/>
                <w:sz w:val="28"/>
                <w:szCs w:val="28"/>
              </w:rPr>
              <w:t>分，本项最高得</w:t>
            </w:r>
            <w:r>
              <w:rPr>
                <w:rFonts w:hint="default" w:hAnsi="宋体" w:eastAsia="宋体" w:cs="宋体"/>
                <w:bCs/>
                <w:sz w:val="28"/>
                <w:szCs w:val="28"/>
                <w:lang w:val="en-US"/>
              </w:rPr>
              <w:t>2</w:t>
            </w:r>
            <w:r>
              <w:rPr>
                <w:rFonts w:hint="eastAsia" w:hAnsi="宋体" w:eastAsia="宋体" w:cs="宋体"/>
                <w:bCs/>
                <w:sz w:val="28"/>
                <w:szCs w:val="28"/>
              </w:rPr>
              <w:t>分。</w:t>
            </w:r>
          </w:p>
          <w:p>
            <w:pPr>
              <w:pStyle w:val="9"/>
              <w:spacing w:line="340" w:lineRule="exact"/>
              <w:rPr>
                <w:rFonts w:hint="eastAsia" w:hAnsi="宋体" w:eastAsia="宋体" w:cs="宋体"/>
                <w:bCs/>
                <w:sz w:val="28"/>
                <w:szCs w:val="28"/>
              </w:rPr>
            </w:pPr>
            <w:r>
              <w:rPr>
                <w:rFonts w:hint="eastAsia" w:hAnsi="宋体" w:eastAsia="宋体" w:cs="宋体"/>
                <w:b/>
                <w:sz w:val="28"/>
                <w:szCs w:val="28"/>
              </w:rPr>
              <w:t>注：须提供有效的证书原件扫描件加盖电子签章。</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sz w:val="30"/>
          <w:szCs w:val="30"/>
          <w:lang w:val="en-US" w:eastAsia="zh-CN"/>
        </w:rPr>
      </w:pPr>
      <w:r>
        <w:rPr>
          <w:rFonts w:hint="eastAsia"/>
          <w:b/>
          <w:bCs/>
          <w:sz w:val="30"/>
          <w:szCs w:val="30"/>
          <w:lang w:val="en-US" w:eastAsia="zh-CN"/>
        </w:rPr>
        <w:t>现更正为：</w:t>
      </w:r>
    </w:p>
    <w:tbl>
      <w:tblPr>
        <w:tblStyle w:val="4"/>
        <w:tblW w:w="9110" w:type="dxa"/>
        <w:jc w:val="center"/>
        <w:tblInd w:w="0"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1"/>
        <w:gridCol w:w="8109"/>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001" w:type="dxa"/>
            <w:vAlign w:val="center"/>
          </w:tcPr>
          <w:p>
            <w:pPr>
              <w:pStyle w:val="9"/>
              <w:spacing w:line="340" w:lineRule="exact"/>
              <w:jc w:val="center"/>
              <w:rPr>
                <w:rFonts w:hint="eastAsia" w:hAnsi="宋体" w:eastAsia="宋体" w:cs="宋体"/>
                <w:bCs/>
                <w:sz w:val="28"/>
                <w:szCs w:val="28"/>
              </w:rPr>
            </w:pPr>
            <w:r>
              <w:rPr>
                <w:rFonts w:hint="eastAsia" w:hAnsi="宋体" w:eastAsia="宋体" w:cs="宋体"/>
                <w:bCs/>
                <w:sz w:val="28"/>
                <w:szCs w:val="28"/>
              </w:rPr>
              <w:t>投标人评价（</w:t>
            </w:r>
            <w:r>
              <w:rPr>
                <w:rFonts w:hint="default" w:hAnsi="宋体" w:eastAsia="宋体" w:cs="宋体"/>
                <w:bCs/>
                <w:sz w:val="28"/>
                <w:szCs w:val="28"/>
                <w:lang w:val="en-US"/>
              </w:rPr>
              <w:t>2</w:t>
            </w:r>
            <w:r>
              <w:rPr>
                <w:rFonts w:hint="eastAsia" w:hAnsi="宋体" w:eastAsia="宋体" w:cs="宋体"/>
                <w:bCs/>
                <w:sz w:val="28"/>
                <w:szCs w:val="28"/>
              </w:rPr>
              <w:t>分）</w:t>
            </w:r>
          </w:p>
        </w:tc>
        <w:tc>
          <w:tcPr>
            <w:tcW w:w="8109" w:type="dxa"/>
            <w:vAlign w:val="center"/>
          </w:tcPr>
          <w:p>
            <w:pPr>
              <w:pStyle w:val="9"/>
              <w:spacing w:line="340" w:lineRule="exact"/>
              <w:rPr>
                <w:rFonts w:hint="eastAsia" w:hAnsi="宋体" w:eastAsia="宋体" w:cs="宋体"/>
                <w:bCs/>
                <w:color w:val="auto"/>
                <w:sz w:val="28"/>
                <w:szCs w:val="28"/>
              </w:rPr>
            </w:pPr>
            <w:bookmarkStart w:id="0" w:name="OLE_LINK1"/>
            <w:r>
              <w:rPr>
                <w:rFonts w:hint="eastAsia" w:hAnsi="宋体" w:eastAsia="宋体" w:cs="宋体"/>
                <w:color w:val="auto"/>
                <w:sz w:val="28"/>
                <w:szCs w:val="28"/>
              </w:rPr>
              <w:t>投标文件中提供投标人的</w:t>
            </w:r>
            <w:r>
              <w:rPr>
                <w:rFonts w:hint="eastAsia" w:hAnsi="宋体" w:eastAsia="宋体" w:cs="宋体"/>
                <w:bCs/>
                <w:color w:val="auto"/>
                <w:sz w:val="28"/>
                <w:szCs w:val="28"/>
              </w:rPr>
              <w:t>有效期内的质量管理体系认证证书扫描件的</w:t>
            </w:r>
            <w:r>
              <w:rPr>
                <w:rFonts w:hint="eastAsia" w:hAnsi="宋体" w:eastAsia="宋体" w:cs="宋体"/>
                <w:bCs/>
                <w:color w:val="auto"/>
                <w:sz w:val="28"/>
                <w:szCs w:val="28"/>
                <w:lang w:eastAsia="zh-CN"/>
              </w:rPr>
              <w:t>，</w:t>
            </w:r>
            <w:bookmarkStart w:id="1" w:name="_GoBack"/>
            <w:bookmarkEnd w:id="1"/>
            <w:r>
              <w:rPr>
                <w:rFonts w:hint="eastAsia" w:hAnsi="宋体" w:eastAsia="宋体" w:cs="宋体"/>
                <w:bCs/>
                <w:color w:val="auto"/>
                <w:sz w:val="28"/>
                <w:szCs w:val="28"/>
              </w:rPr>
              <w:t>得</w:t>
            </w:r>
            <w:r>
              <w:rPr>
                <w:rFonts w:hint="eastAsia" w:hAnsi="宋体" w:eastAsia="宋体" w:cs="宋体"/>
                <w:bCs/>
                <w:color w:val="auto"/>
                <w:sz w:val="28"/>
                <w:szCs w:val="28"/>
                <w:lang w:val="en-US" w:eastAsia="zh-CN"/>
              </w:rPr>
              <w:t>2</w:t>
            </w:r>
            <w:r>
              <w:rPr>
                <w:rFonts w:hint="eastAsia" w:hAnsi="宋体" w:eastAsia="宋体" w:cs="宋体"/>
                <w:bCs/>
                <w:color w:val="auto"/>
                <w:sz w:val="28"/>
                <w:szCs w:val="28"/>
              </w:rPr>
              <w:t>分，本项最高得</w:t>
            </w:r>
            <w:r>
              <w:rPr>
                <w:rFonts w:hint="default" w:hAnsi="宋体" w:eastAsia="宋体" w:cs="宋体"/>
                <w:bCs/>
                <w:color w:val="auto"/>
                <w:sz w:val="28"/>
                <w:szCs w:val="28"/>
                <w:lang w:val="en-US"/>
              </w:rPr>
              <w:t>2</w:t>
            </w:r>
            <w:r>
              <w:rPr>
                <w:rFonts w:hint="eastAsia" w:hAnsi="宋体" w:eastAsia="宋体" w:cs="宋体"/>
                <w:bCs/>
                <w:color w:val="auto"/>
                <w:sz w:val="28"/>
                <w:szCs w:val="28"/>
              </w:rPr>
              <w:t>分。</w:t>
            </w:r>
          </w:p>
          <w:p>
            <w:pPr>
              <w:pStyle w:val="9"/>
              <w:spacing w:line="340" w:lineRule="exact"/>
              <w:rPr>
                <w:rFonts w:hint="eastAsia" w:hAnsi="宋体" w:eastAsia="宋体" w:cs="宋体"/>
                <w:bCs/>
                <w:sz w:val="28"/>
                <w:szCs w:val="28"/>
              </w:rPr>
            </w:pPr>
            <w:r>
              <w:rPr>
                <w:rFonts w:hint="eastAsia" w:hAnsi="宋体" w:eastAsia="宋体" w:cs="宋体"/>
                <w:b/>
                <w:color w:val="auto"/>
                <w:sz w:val="28"/>
                <w:szCs w:val="28"/>
              </w:rPr>
              <w:t>注：须提供有效的证书原件扫描件加盖电子签章。</w:t>
            </w:r>
            <w:bookmarkEnd w:id="0"/>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2.原招标文件中第六章采购需求中的“四、设备功能及技术参数要求”中</w:t>
      </w:r>
    </w:p>
    <w:tbl>
      <w:tblPr>
        <w:tblStyle w:val="4"/>
        <w:tblW w:w="9270" w:type="dxa"/>
        <w:tblInd w:w="-284" w:type="dxa"/>
        <w:tblLayout w:type="fixed"/>
        <w:tblCellMar>
          <w:top w:w="0" w:type="dxa"/>
          <w:left w:w="108" w:type="dxa"/>
          <w:bottom w:w="0" w:type="dxa"/>
          <w:right w:w="108" w:type="dxa"/>
        </w:tblCellMar>
      </w:tblPr>
      <w:tblGrid>
        <w:gridCol w:w="867"/>
        <w:gridCol w:w="1473"/>
        <w:gridCol w:w="5850"/>
        <w:gridCol w:w="1080"/>
      </w:tblGrid>
      <w:tr>
        <w:tblPrEx>
          <w:tblLayout w:type="fixed"/>
          <w:tblCellMar>
            <w:top w:w="0" w:type="dxa"/>
            <w:left w:w="108" w:type="dxa"/>
            <w:bottom w:w="0" w:type="dxa"/>
            <w:right w:w="108" w:type="dxa"/>
          </w:tblCellMar>
        </w:tblPrEx>
        <w:trPr>
          <w:trHeight w:val="500" w:hRule="atLeast"/>
        </w:trPr>
        <w:tc>
          <w:tcPr>
            <w:tcW w:w="867"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编号</w:t>
            </w:r>
          </w:p>
        </w:tc>
        <w:tc>
          <w:tcPr>
            <w:tcW w:w="1473"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设备名称</w:t>
            </w:r>
          </w:p>
        </w:tc>
        <w:tc>
          <w:tcPr>
            <w:tcW w:w="58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主要技术参数</w:t>
            </w:r>
          </w:p>
        </w:tc>
        <w:tc>
          <w:tcPr>
            <w:tcW w:w="1080"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宋体" w:hAnsi="宋体" w:eastAsia="宋体" w:cs="宋体"/>
                <w:color w:val="000000"/>
                <w:sz w:val="28"/>
                <w:szCs w:val="28"/>
                <w:lang w:eastAsia="zh-CN"/>
              </w:rPr>
            </w:pPr>
            <w:r>
              <w:rPr>
                <w:rFonts w:hint="eastAsia" w:ascii="宋体" w:hAnsi="宋体" w:cs="宋体"/>
                <w:color w:val="000000"/>
                <w:sz w:val="28"/>
                <w:szCs w:val="28"/>
                <w:lang w:eastAsia="zh-CN"/>
              </w:rPr>
              <w:t>数量</w:t>
            </w:r>
          </w:p>
        </w:tc>
      </w:tr>
      <w:tr>
        <w:tblPrEx>
          <w:tblLayout w:type="fixed"/>
          <w:tblCellMar>
            <w:top w:w="0" w:type="dxa"/>
            <w:left w:w="108" w:type="dxa"/>
            <w:bottom w:w="0" w:type="dxa"/>
            <w:right w:w="108" w:type="dxa"/>
          </w:tblCellMar>
        </w:tblPrEx>
        <w:trPr>
          <w:trHeight w:val="635" w:hRule="atLeast"/>
        </w:trPr>
        <w:tc>
          <w:tcPr>
            <w:tcW w:w="8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4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防疲劳光幕预警单元（含防疲劳激光灯宽光束控制系统软件V1.0）</w:t>
            </w:r>
          </w:p>
        </w:tc>
        <w:tc>
          <w:tcPr>
            <w:tcW w:w="58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▲1.防疲劳警示灯采取宽束、光幕方式激光发射，覆盖范围＞3000米，有雨雪雾天气下智能AI增强功能。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2.铝合金材质，表面喷沙氧化银，防护等级</w:t>
            </w:r>
            <w:r>
              <w:rPr>
                <w:rFonts w:hint="eastAsia" w:ascii="宋体" w:hAnsi="宋体" w:cs="宋体"/>
                <w:color w:val="000000"/>
                <w:kern w:val="0"/>
                <w:sz w:val="28"/>
                <w:szCs w:val="28"/>
                <w:lang w:val="en-US" w:eastAsia="zh-CN" w:bidi="ar"/>
              </w:rPr>
              <w:t>不低于</w:t>
            </w:r>
            <w:r>
              <w:rPr>
                <w:rFonts w:hint="eastAsia" w:ascii="宋体" w:hAnsi="宋体" w:cs="宋体"/>
                <w:color w:val="000000"/>
                <w:kern w:val="0"/>
                <w:sz w:val="28"/>
                <w:szCs w:val="28"/>
                <w:lang w:bidi="ar"/>
              </w:rPr>
              <w:t>IP67，闪烁具有多模式切换功能。</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3.安装方式龙门架或侧装，散射角度＜8°</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▲4.功率：≥45w；</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5.光束颜色：彩色。</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▲6.控制方式：分时段控制、联动多目标雷达检测器智能控制；</w:t>
            </w:r>
            <w:r>
              <w:rPr>
                <w:rFonts w:hint="eastAsia" w:ascii="宋体" w:hAnsi="宋体" w:cs="宋体"/>
                <w:color w:val="000000"/>
                <w:kern w:val="0"/>
                <w:sz w:val="28"/>
                <w:szCs w:val="28"/>
                <w:lang w:bidi="ar"/>
              </w:rPr>
              <w:br w:type="textWrapping"/>
            </w:r>
            <w:r>
              <w:rPr>
                <w:rFonts w:hint="eastAsia" w:ascii="宋体" w:hAnsi="宋体" w:cs="宋体"/>
                <w:b/>
                <w:bCs/>
                <w:color w:val="000000"/>
                <w:kern w:val="0"/>
                <w:sz w:val="28"/>
                <w:szCs w:val="28"/>
                <w:lang w:bidi="ar"/>
              </w:rPr>
              <w:t>注：“多目标雷达检测器”含防疲劳激光灯宽光束控制系统软件具有省级及以上法定计量机构部门出具的检验报告并加盖投标人电子签章的复印件。</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4套</w:t>
            </w:r>
          </w:p>
        </w:tc>
      </w:tr>
    </w:tbl>
    <w:p>
      <w:pPr>
        <w:pStyle w:val="2"/>
        <w:ind w:left="0" w:leftChars="0" w:firstLine="0" w:firstLineChars="0"/>
        <w:rPr>
          <w:rFonts w:hint="eastAsia"/>
          <w:sz w:val="30"/>
          <w:szCs w:val="30"/>
          <w:lang w:val="en-US" w:eastAsia="zh-CN"/>
        </w:rPr>
      </w:pPr>
      <w:r>
        <w:rPr>
          <w:rFonts w:hint="eastAsia"/>
          <w:b/>
          <w:bCs/>
          <w:sz w:val="30"/>
          <w:szCs w:val="30"/>
          <w:lang w:val="en-US" w:eastAsia="zh-CN"/>
        </w:rPr>
        <w:t>现更正为：</w:t>
      </w:r>
    </w:p>
    <w:tbl>
      <w:tblPr>
        <w:tblStyle w:val="4"/>
        <w:tblW w:w="9255" w:type="dxa"/>
        <w:tblInd w:w="-269" w:type="dxa"/>
        <w:tblLayout w:type="fixed"/>
        <w:tblCellMar>
          <w:top w:w="0" w:type="dxa"/>
          <w:left w:w="108" w:type="dxa"/>
          <w:bottom w:w="0" w:type="dxa"/>
          <w:right w:w="108" w:type="dxa"/>
        </w:tblCellMar>
      </w:tblPr>
      <w:tblGrid>
        <w:gridCol w:w="852"/>
        <w:gridCol w:w="1837"/>
        <w:gridCol w:w="5501"/>
        <w:gridCol w:w="1065"/>
      </w:tblGrid>
      <w:tr>
        <w:tblPrEx>
          <w:tblLayout w:type="fixed"/>
          <w:tblCellMar>
            <w:top w:w="0" w:type="dxa"/>
            <w:left w:w="108" w:type="dxa"/>
            <w:bottom w:w="0" w:type="dxa"/>
            <w:right w:w="108" w:type="dxa"/>
          </w:tblCellMar>
        </w:tblPrEx>
        <w:trPr>
          <w:trHeight w:val="500" w:hRule="atLeast"/>
        </w:trPr>
        <w:tc>
          <w:tcPr>
            <w:tcW w:w="852"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编号</w:t>
            </w:r>
          </w:p>
        </w:tc>
        <w:tc>
          <w:tcPr>
            <w:tcW w:w="1837"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设备名称</w:t>
            </w:r>
          </w:p>
        </w:tc>
        <w:tc>
          <w:tcPr>
            <w:tcW w:w="5501"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主要技术参数</w:t>
            </w:r>
          </w:p>
        </w:tc>
        <w:tc>
          <w:tcPr>
            <w:tcW w:w="1065" w:type="dxa"/>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hint="eastAsia" w:ascii="宋体" w:hAnsi="宋体" w:eastAsia="宋体" w:cs="宋体"/>
                <w:color w:val="000000"/>
                <w:sz w:val="28"/>
                <w:szCs w:val="28"/>
                <w:lang w:eastAsia="zh-CN"/>
              </w:rPr>
            </w:pPr>
            <w:r>
              <w:rPr>
                <w:rFonts w:hint="eastAsia" w:ascii="宋体" w:hAnsi="宋体" w:cs="宋体"/>
                <w:color w:val="000000"/>
                <w:sz w:val="28"/>
                <w:szCs w:val="28"/>
                <w:lang w:eastAsia="zh-CN"/>
              </w:rPr>
              <w:t>数量</w:t>
            </w:r>
          </w:p>
        </w:tc>
      </w:tr>
      <w:tr>
        <w:tblPrEx>
          <w:tblLayout w:type="fixed"/>
          <w:tblCellMar>
            <w:top w:w="0" w:type="dxa"/>
            <w:left w:w="108" w:type="dxa"/>
            <w:bottom w:w="0" w:type="dxa"/>
            <w:right w:w="108" w:type="dxa"/>
          </w:tblCellMar>
        </w:tblPrEx>
        <w:trPr>
          <w:trHeight w:val="4010" w:hRule="atLeast"/>
        </w:trPr>
        <w:tc>
          <w:tcPr>
            <w:tcW w:w="85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1</w:t>
            </w:r>
          </w:p>
        </w:tc>
        <w:tc>
          <w:tcPr>
            <w:tcW w:w="18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防疲劳光幕预警单元（含防疲劳激光灯宽光束控制系统软件V1.0）</w:t>
            </w:r>
          </w:p>
        </w:tc>
        <w:tc>
          <w:tcPr>
            <w:tcW w:w="550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▲1.防疲劳警示灯采取宽束、光幕方式激光发射，覆盖范围＞3000米，有雨雪雾天气下智能AI增强功能。</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2.铝合金材质，表面喷沙氧化银，防护等级IP67，波长520nm，闪烁具有多模式切换功能。</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3.安装方式龙门架或侧装，散射角度＜8°</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▲4.功率：≥40w；</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5.光束颜色：彩色。</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▲6.控制方式：分时段控制、联动多目标雷达检测器智能控制；</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 xml:space="preserve">▲7.多目标雷达检测器：                                                                                                                                                                                </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设备采用摄像头、融合高精度毫米波雷达与大于500万全局曝光CMOS低照度摄像机；</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测速范围：-250km/h～250km/h；速度分辨率宜不超过0.08m/s；</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视频识别目标和雷达检测目标数据可进行融合,通过雷达坐标进行标定；</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 xml:space="preserve">跟踪目标数：大于150个；检测区域：纵向&gt;280米，横向≥ 8车道； </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每个车道支持大于7个虚拟线圈 ；输出车辆的进入和离开信号，虚拟线圈位置可以配置 ；</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具有交通流统计功能，交通实时数据输出(可输出每辆车的存在、位置、速度等；每车道的车流量、占有率、排队长度等信息)，交通状态报警；</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车型识别准确率≥ 95%，可区分机动车、二轮车、三轮车、行人，区分准确率≥ 95%，支持行人和二轮车捕获功能捕获率≥ 95%；</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流量数据融合与校验自动生成机动车轨迹热图功能；支持协议 ISAPI 、RTSP、1400、Onvif、GB28181、激光灯束控制ZL-K自定义协议</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支持通过雷达数据列表显示编号、位置坐标、车道号、速度、航向角、经纬度、角度等；</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支持多种道路交通参数采集：车道流量(区分大、中、小型车)、车道速度；</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支持拥堵、蛇形穿行、行人、路障、施工、抛洒物、障碍物、事故检测事件检测功能；</w:t>
            </w:r>
          </w:p>
          <w:p>
            <w:pPr>
              <w:widowControl/>
              <w:jc w:val="left"/>
              <w:textAlignment w:val="center"/>
              <w:rPr>
                <w:rFonts w:hint="eastAsia" w:ascii="宋体" w:hAnsi="宋体" w:cs="宋体"/>
                <w:color w:val="auto"/>
                <w:sz w:val="28"/>
                <w:szCs w:val="28"/>
              </w:rPr>
            </w:pPr>
            <w:r>
              <w:rPr>
                <w:rFonts w:hint="eastAsia" w:ascii="宋体" w:hAnsi="宋体" w:cs="宋体"/>
                <w:color w:val="auto"/>
                <w:sz w:val="28"/>
                <w:szCs w:val="28"/>
              </w:rPr>
              <w:t xml:space="preserve">支持根据雷达检测高速车辆情况进行激光灯模式切换； </w:t>
            </w:r>
          </w:p>
          <w:p>
            <w:pPr>
              <w:widowControl/>
              <w:jc w:val="left"/>
              <w:textAlignment w:val="center"/>
              <w:rPr>
                <w:rFonts w:hint="eastAsia" w:ascii="宋体" w:hAnsi="宋体" w:cs="宋体"/>
                <w:color w:val="000000"/>
                <w:sz w:val="28"/>
                <w:szCs w:val="28"/>
              </w:rPr>
            </w:pPr>
            <w:r>
              <w:rPr>
                <w:rFonts w:hint="eastAsia" w:ascii="宋体" w:hAnsi="宋体" w:cs="宋体"/>
                <w:b/>
                <w:bCs/>
                <w:color w:val="auto"/>
                <w:sz w:val="28"/>
                <w:szCs w:val="28"/>
              </w:rPr>
              <w:t>注:“多目标雷达检测器或预警单元”具有省级及以上法定计量机构部门出具的检验报告或 CMA 检测报告或 CNAS检测报告，并加盖投标人电子签章的复印件。</w:t>
            </w:r>
          </w:p>
        </w:tc>
        <w:tc>
          <w:tcPr>
            <w:tcW w:w="106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8"/>
                <w:szCs w:val="28"/>
                <w:lang w:val="en-US" w:eastAsia="zh-CN"/>
              </w:rPr>
            </w:pPr>
            <w:r>
              <w:rPr>
                <w:rFonts w:hint="eastAsia" w:ascii="宋体" w:hAnsi="宋体" w:cs="宋体"/>
                <w:color w:val="000000"/>
                <w:sz w:val="28"/>
                <w:szCs w:val="28"/>
                <w:lang w:val="en-US" w:eastAsia="zh-CN"/>
              </w:rPr>
              <w:t>4套</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3.投标截止时间</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更正为：</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2025年1月24日北京时间9：30。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4.开标时间</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更正为：</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2025年1月24日北京时间9：30。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5.投标文件提交时间</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更正为：</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2025年1月24日北京时间9:30前。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6.投标截止时间</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更正为：</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2025年1月24日北京时间9:30。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7.开标时间</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更正为：</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2025年1月24日9：30（北京时间）</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themeColor="text1"/>
          <w:kern w:val="2"/>
          <w:sz w:val="24"/>
          <w:szCs w:val="24"/>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14:textFill>
            <w14:solidFill>
              <w14:schemeClr w14:val="tx1"/>
            </w14:solidFill>
          </w14:textFill>
        </w:rPr>
      </w:pP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（二）其他事项不变</w:t>
      </w:r>
      <w:r>
        <w:rPr>
          <w:rFonts w:hint="eastAsia" w:ascii="宋体" w:hAnsi="宋体" w:cs="宋体" w:eastAsiaTheme="minorEastAsia"/>
          <w:b/>
          <w:bCs/>
          <w:color w:val="000000" w:themeColor="text1"/>
          <w:kern w:val="2"/>
          <w:sz w:val="28"/>
          <w:szCs w:val="28"/>
          <w:lang w:val="en-US" w:eastAsia="zh-CN" w:bidi="ar-SA"/>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65256"/>
    <w:rsid w:val="0219237F"/>
    <w:rsid w:val="03CE1BEB"/>
    <w:rsid w:val="0C8218C8"/>
    <w:rsid w:val="0D4633E2"/>
    <w:rsid w:val="0FA027A9"/>
    <w:rsid w:val="1278117C"/>
    <w:rsid w:val="14933A05"/>
    <w:rsid w:val="153336B4"/>
    <w:rsid w:val="193818B3"/>
    <w:rsid w:val="1B61011A"/>
    <w:rsid w:val="1B953EE3"/>
    <w:rsid w:val="22804CA2"/>
    <w:rsid w:val="228D69A7"/>
    <w:rsid w:val="245737A0"/>
    <w:rsid w:val="24C72FAB"/>
    <w:rsid w:val="25CF65B4"/>
    <w:rsid w:val="294D5A62"/>
    <w:rsid w:val="376901F9"/>
    <w:rsid w:val="3A78161A"/>
    <w:rsid w:val="3B577D39"/>
    <w:rsid w:val="3CD36D4C"/>
    <w:rsid w:val="408B33C3"/>
    <w:rsid w:val="43692641"/>
    <w:rsid w:val="438643B2"/>
    <w:rsid w:val="44267DA8"/>
    <w:rsid w:val="4C1A1AE7"/>
    <w:rsid w:val="50BC4AE5"/>
    <w:rsid w:val="58151315"/>
    <w:rsid w:val="612E25F8"/>
    <w:rsid w:val="684B33F5"/>
    <w:rsid w:val="6B364973"/>
    <w:rsid w:val="73987BFD"/>
    <w:rsid w:val="76322097"/>
    <w:rsid w:val="7BB2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next w:val="1"/>
    <w:qFormat/>
    <w:uiPriority w:val="99"/>
    <w:pPr>
      <w:adjustRightInd w:val="0"/>
      <w:ind w:left="420" w:right="33"/>
      <w:jc w:val="left"/>
      <w:textAlignment w:val="baseline"/>
    </w:pPr>
    <w:rPr>
      <w:kern w:val="0"/>
      <w:sz w:val="24"/>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正文1"/>
    <w:basedOn w:val="7"/>
    <w:next w:val="9"/>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7">
    <w:name w:val="正文111"/>
    <w:next w:val="8"/>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8">
    <w:name w:val="目录 111"/>
    <w:basedOn w:val="7"/>
    <w:next w:val="1"/>
    <w:qFormat/>
    <w:uiPriority w:val="0"/>
  </w:style>
  <w:style w:type="paragraph" w:customStyle="1" w:styleId="9">
    <w:name w:val="脚注文本1"/>
    <w:basedOn w:val="6"/>
    <w:next w:val="10"/>
    <w:qFormat/>
    <w:uiPriority w:val="0"/>
    <w:pPr>
      <w:jc w:val="left"/>
    </w:pPr>
    <w:rPr>
      <w:rFonts w:ascii="宋体" w:eastAsia="Times New Roman"/>
      <w:sz w:val="18"/>
      <w:szCs w:val="18"/>
    </w:rPr>
  </w:style>
  <w:style w:type="paragraph" w:customStyle="1" w:styleId="10">
    <w:name w:val="索引 51"/>
    <w:basedOn w:val="6"/>
    <w:next w:val="6"/>
    <w:qFormat/>
    <w:uiPriority w:val="0"/>
    <w:pPr>
      <w:ind w:left="798"/>
      <w:jc w:val="left"/>
    </w:pPr>
    <w:rPr>
      <w:rFonts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5</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2025-01-07T07:29:52Z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