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黑体" w:hAnsi="黑体" w:eastAsia="黑体"/>
          <w:b/>
          <w:bCs/>
          <w:color w:val="auto"/>
          <w:sz w:val="48"/>
          <w:szCs w:val="48"/>
          <w:highlight w:val="none"/>
        </w:rPr>
      </w:pPr>
      <w:bookmarkStart w:id="0" w:name="EB3ace3d43b98b41779337deb808be6fa3"/>
      <w:r>
        <w:rPr>
          <w:rFonts w:hint="eastAsia" w:ascii="黑体" w:hAnsi="黑体" w:eastAsia="黑体"/>
          <w:b/>
          <w:bCs/>
          <w:color w:val="auto"/>
          <w:sz w:val="48"/>
          <w:szCs w:val="48"/>
          <w:highlight w:val="none"/>
        </w:rPr>
        <w:t>江苏省中医院</w:t>
      </w:r>
    </w:p>
    <w:p>
      <w:pPr>
        <w:jc w:val="center"/>
        <w:rPr>
          <w:rFonts w:hint="default" w:ascii="黑体" w:hAnsi="黑体" w:eastAsia="黑体"/>
          <w:b/>
          <w:bCs/>
          <w:color w:val="auto"/>
          <w:sz w:val="48"/>
          <w:szCs w:val="48"/>
          <w:highlight w:val="none"/>
        </w:rPr>
      </w:pPr>
      <w:r>
        <w:rPr>
          <w:rFonts w:hint="eastAsia" w:ascii="黑体" w:hAnsi="黑体" w:eastAsia="黑体"/>
          <w:b/>
          <w:bCs/>
          <w:color w:val="auto"/>
          <w:sz w:val="48"/>
          <w:szCs w:val="48"/>
          <w:highlight w:val="none"/>
        </w:rPr>
        <w:t>全自动真空采血管分拣机采购项目</w:t>
      </w:r>
    </w:p>
    <w:p>
      <w:pPr>
        <w:jc w:val="center"/>
        <w:rPr>
          <w:rFonts w:hint="eastAsia" w:ascii="黑体" w:hAnsi="黑体" w:eastAsia="黑体"/>
          <w:b/>
          <w:bCs/>
          <w:color w:val="auto"/>
          <w:sz w:val="32"/>
          <w:szCs w:val="32"/>
          <w:highlight w:val="none"/>
          <w:lang w:val="en-US" w:eastAsia="zh-CN"/>
        </w:rPr>
      </w:pPr>
      <w:r>
        <w:rPr>
          <w:rFonts w:hint="eastAsia" w:ascii="黑体" w:hAnsi="黑体" w:eastAsia="黑体"/>
          <w:b/>
          <w:bCs/>
          <w:color w:val="auto"/>
          <w:sz w:val="32"/>
          <w:szCs w:val="32"/>
          <w:highlight w:val="none"/>
          <w:lang w:val="en-US" w:eastAsia="zh-CN"/>
        </w:rPr>
        <w:t>项目编号：JSZC-320000-JSHY-G2024-0237</w:t>
      </w:r>
    </w:p>
    <w:p>
      <w:pPr>
        <w:jc w:val="center"/>
        <w:rPr>
          <w:rFonts w:hint="default" w:ascii="黑体" w:hAnsi="黑体" w:eastAsia="黑体"/>
          <w:b/>
          <w:bCs/>
          <w:color w:val="auto"/>
          <w:sz w:val="32"/>
          <w:szCs w:val="32"/>
          <w:highlight w:val="none"/>
        </w:rPr>
      </w:pPr>
      <w:r>
        <w:rPr>
          <w:rFonts w:hint="eastAsia" w:ascii="黑体" w:hAnsi="黑体" w:eastAsia="黑体"/>
          <w:b/>
          <w:bCs/>
          <w:color w:val="auto"/>
          <w:sz w:val="32"/>
          <w:szCs w:val="32"/>
          <w:highlight w:val="none"/>
          <w:lang w:val="en-US" w:eastAsia="zh-CN"/>
        </w:rPr>
        <w:t>代理机构项目编号：1009-2441HOLLY85D</w:t>
      </w:r>
    </w:p>
    <w:bookmarkEnd w:id="0"/>
    <w:p>
      <w:pPr>
        <w:rPr>
          <w:rFonts w:hint="eastAsia" w:ascii="黑体" w:hAnsi="黑体" w:eastAsia="黑体"/>
          <w:b/>
          <w:bCs/>
          <w:color w:val="auto"/>
          <w:sz w:val="32"/>
          <w:szCs w:val="32"/>
          <w:highlight w:val="none"/>
        </w:rPr>
      </w:pPr>
      <w:bookmarkStart w:id="1" w:name="EB57dd2a69e2b54b0cb3f5c2f03a1ab7bf"/>
      <w:bookmarkEnd w:id="1"/>
      <w:r>
        <w:rPr>
          <w:rFonts w:hint="eastAsia" w:ascii="黑体" w:hAnsi="黑体" w:eastAsia="黑体"/>
          <w:b/>
          <w:bCs/>
          <w:color w:val="auto"/>
          <w:sz w:val="32"/>
          <w:szCs w:val="32"/>
          <w:highlight w:val="none"/>
        </w:rPr>
        <w:t xml:space="preserve">  </w:t>
      </w:r>
    </w:p>
    <w:p>
      <w:pPr>
        <w:rPr>
          <w:rFonts w:hint="eastAsia" w:ascii="宋体"/>
          <w:color w:val="auto"/>
          <w:sz w:val="36"/>
          <w:szCs w:val="36"/>
          <w:highlight w:val="none"/>
        </w:rPr>
      </w:pPr>
      <w:bookmarkStart w:id="170" w:name="_GoBack"/>
      <w:bookmarkEnd w:id="170"/>
    </w:p>
    <w:p>
      <w:pPr>
        <w:rPr>
          <w:rFonts w:ascii="华文琥珀" w:eastAsia="华文琥珀"/>
          <w:color w:val="auto"/>
          <w:sz w:val="36"/>
          <w:szCs w:val="36"/>
          <w:highlight w:val="none"/>
        </w:rPr>
      </w:pPr>
    </w:p>
    <w:p>
      <w:pPr>
        <w:rPr>
          <w:rFonts w:hint="eastAsia" w:ascii="华文琥珀" w:eastAsia="华文琥珀"/>
          <w:color w:val="auto"/>
          <w:sz w:val="36"/>
          <w:szCs w:val="36"/>
          <w:highlight w:val="none"/>
        </w:rPr>
      </w:pPr>
    </w:p>
    <w:p>
      <w:pPr>
        <w:jc w:val="center"/>
        <w:rPr>
          <w:rFonts w:hint="eastAsia" w:ascii="方正大标宋简体" w:eastAsia="方正大标宋简体"/>
          <w:b/>
          <w:color w:val="auto"/>
          <w:sz w:val="18"/>
          <w:szCs w:val="18"/>
          <w:highlight w:val="none"/>
        </w:rPr>
      </w:pPr>
    </w:p>
    <w:p>
      <w:pPr>
        <w:jc w:val="center"/>
        <w:rPr>
          <w:rFonts w:hint="eastAsia" w:ascii="黑体" w:eastAsia="黑体"/>
          <w:color w:val="auto"/>
          <w:sz w:val="82"/>
          <w:szCs w:val="72"/>
          <w:highlight w:val="none"/>
        </w:rPr>
      </w:pPr>
      <w:r>
        <w:rPr>
          <w:rFonts w:hint="eastAsia" w:ascii="黑体" w:eastAsia="黑体"/>
          <w:color w:val="auto"/>
          <w:sz w:val="82"/>
          <w:szCs w:val="72"/>
          <w:highlight w:val="none"/>
        </w:rPr>
        <w:t>招  标  文  件</w:t>
      </w:r>
    </w:p>
    <w:p>
      <w:pPr>
        <w:autoSpaceDE w:val="0"/>
        <w:autoSpaceDN w:val="0"/>
        <w:spacing w:line="500" w:lineRule="exact"/>
        <w:ind w:firstLine="1980" w:firstLineChars="550"/>
        <w:jc w:val="left"/>
        <w:rPr>
          <w:rFonts w:hint="eastAsia" w:ascii="华文楷体" w:eastAsia="华文楷体"/>
          <w:color w:val="auto"/>
          <w:sz w:val="36"/>
          <w:szCs w:val="36"/>
          <w:highlight w:val="none"/>
        </w:rPr>
      </w:pPr>
    </w:p>
    <w:p>
      <w:pPr>
        <w:autoSpaceDE w:val="0"/>
        <w:autoSpaceDN w:val="0"/>
        <w:spacing w:line="500" w:lineRule="exact"/>
        <w:ind w:firstLine="1980" w:firstLineChars="550"/>
        <w:jc w:val="left"/>
        <w:rPr>
          <w:rFonts w:hint="eastAsia" w:ascii="华文楷体" w:eastAsia="华文楷体"/>
          <w:color w:val="auto"/>
          <w:sz w:val="36"/>
          <w:szCs w:val="36"/>
          <w:highlight w:val="none"/>
        </w:rPr>
      </w:pPr>
    </w:p>
    <w:p>
      <w:pPr>
        <w:autoSpaceDE w:val="0"/>
        <w:autoSpaceDN w:val="0"/>
        <w:spacing w:line="500" w:lineRule="exact"/>
        <w:ind w:firstLine="1980" w:firstLineChars="550"/>
        <w:jc w:val="left"/>
        <w:rPr>
          <w:rFonts w:hint="eastAsia" w:ascii="华文楷体" w:eastAsia="华文楷体"/>
          <w:color w:val="auto"/>
          <w:sz w:val="36"/>
          <w:szCs w:val="36"/>
          <w:highlight w:val="none"/>
        </w:rPr>
      </w:pPr>
    </w:p>
    <w:p>
      <w:pPr>
        <w:autoSpaceDE w:val="0"/>
        <w:autoSpaceDN w:val="0"/>
        <w:spacing w:line="500" w:lineRule="exact"/>
        <w:ind w:firstLine="1980" w:firstLineChars="550"/>
        <w:jc w:val="left"/>
        <w:rPr>
          <w:rFonts w:hint="eastAsia" w:ascii="华文楷体" w:eastAsia="华文楷体"/>
          <w:color w:val="auto"/>
          <w:sz w:val="36"/>
          <w:szCs w:val="36"/>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color w:val="auto"/>
          <w:highlight w:val="none"/>
        </w:rPr>
      </w:pPr>
    </w:p>
    <w:p>
      <w:pPr>
        <w:rPr>
          <w:color w:val="auto"/>
          <w:highlight w:val="none"/>
        </w:rPr>
      </w:pPr>
    </w:p>
    <w:p>
      <w:pPr>
        <w:rPr>
          <w:rFonts w:hint="eastAsia"/>
          <w:color w:val="auto"/>
          <w:highlight w:val="none"/>
        </w:rPr>
      </w:pPr>
    </w:p>
    <w:p>
      <w:pPr>
        <w:rPr>
          <w:rFonts w:hint="eastAsia"/>
          <w:color w:val="auto"/>
          <w:highlight w:val="none"/>
        </w:rPr>
      </w:pPr>
    </w:p>
    <w:tbl>
      <w:tblPr>
        <w:tblStyle w:val="13"/>
        <w:tblW w:w="0" w:type="auto"/>
        <w:jc w:val="center"/>
        <w:tblLayout w:type="fixed"/>
        <w:tblCellMar>
          <w:top w:w="0" w:type="dxa"/>
          <w:left w:w="108" w:type="dxa"/>
          <w:bottom w:w="0" w:type="dxa"/>
          <w:right w:w="108" w:type="dxa"/>
        </w:tblCellMar>
      </w:tblPr>
      <w:tblGrid>
        <w:gridCol w:w="1657"/>
        <w:gridCol w:w="6145"/>
      </w:tblGrid>
      <w:tr>
        <w:tblPrEx>
          <w:tblCellMar>
            <w:top w:w="0" w:type="dxa"/>
            <w:left w:w="108" w:type="dxa"/>
            <w:bottom w:w="0" w:type="dxa"/>
            <w:right w:w="108" w:type="dxa"/>
          </w:tblCellMar>
        </w:tblPrEx>
        <w:trPr>
          <w:jc w:val="center"/>
        </w:trPr>
        <w:tc>
          <w:tcPr>
            <w:tcW w:w="1657" w:type="dxa"/>
            <w:vAlign w:val="top"/>
          </w:tcPr>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t>采购人：</w:t>
            </w:r>
          </w:p>
        </w:tc>
        <w:tc>
          <w:tcPr>
            <w:tcW w:w="6145" w:type="dxa"/>
            <w:vAlign w:val="top"/>
          </w:tcPr>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t>江苏省</w:t>
            </w:r>
            <w:r>
              <w:rPr>
                <w:rFonts w:hint="eastAsia" w:ascii="黑体" w:hAnsi="黑体" w:eastAsia="黑体"/>
                <w:b/>
                <w:bCs/>
                <w:color w:val="auto"/>
                <w:sz w:val="32"/>
                <w:szCs w:val="32"/>
                <w:highlight w:val="none"/>
                <w:lang w:val="en-US" w:eastAsia="zh-CN"/>
              </w:rPr>
              <w:t>中</w:t>
            </w:r>
            <w:r>
              <w:rPr>
                <w:rFonts w:hint="eastAsia" w:ascii="黑体" w:hAnsi="黑体" w:eastAsia="黑体"/>
                <w:b/>
                <w:bCs/>
                <w:color w:val="auto"/>
                <w:sz w:val="32"/>
                <w:szCs w:val="32"/>
                <w:highlight w:val="none"/>
              </w:rPr>
              <w:t>医院</w:t>
            </w:r>
          </w:p>
        </w:tc>
      </w:tr>
      <w:tr>
        <w:tblPrEx>
          <w:tblCellMar>
            <w:top w:w="0" w:type="dxa"/>
            <w:left w:w="108" w:type="dxa"/>
            <w:bottom w:w="0" w:type="dxa"/>
            <w:right w:w="108" w:type="dxa"/>
          </w:tblCellMar>
        </w:tblPrEx>
        <w:trPr>
          <w:jc w:val="center"/>
        </w:trPr>
        <w:tc>
          <w:tcPr>
            <w:tcW w:w="1657" w:type="dxa"/>
            <w:vAlign w:val="top"/>
          </w:tcPr>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t>采购代</w:t>
            </w:r>
          </w:p>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t>理机构：</w:t>
            </w:r>
          </w:p>
        </w:tc>
        <w:tc>
          <w:tcPr>
            <w:tcW w:w="6145" w:type="dxa"/>
            <w:vAlign w:val="center"/>
          </w:tcPr>
          <w:p>
            <w:pPr>
              <w:spacing w:line="360" w:lineRule="auto"/>
              <w:jc w:val="both"/>
              <w:rPr>
                <w:rFonts w:hint="eastAsia" w:ascii="黑体" w:hAnsi="黑体" w:eastAsia="黑体"/>
                <w:b/>
                <w:bCs/>
                <w:color w:val="auto"/>
                <w:sz w:val="32"/>
                <w:szCs w:val="32"/>
                <w:highlight w:val="none"/>
              </w:rPr>
            </w:pPr>
            <w:bookmarkStart w:id="2" w:name="EB467128df5f344d64af2c93ecdb42da19"/>
            <w:bookmarkEnd w:id="2"/>
            <w:r>
              <w:rPr>
                <w:rFonts w:hint="eastAsia" w:ascii="黑体" w:hAnsi="黑体" w:eastAsia="黑体"/>
                <w:b/>
                <w:bCs/>
                <w:color w:val="auto"/>
                <w:sz w:val="32"/>
                <w:szCs w:val="32"/>
                <w:highlight w:val="none"/>
              </w:rPr>
              <w:t>江苏弘业国际技术工程有限公司</w:t>
            </w:r>
          </w:p>
        </w:tc>
      </w:tr>
      <w:tr>
        <w:tblPrEx>
          <w:tblCellMar>
            <w:top w:w="0" w:type="dxa"/>
            <w:left w:w="108" w:type="dxa"/>
            <w:bottom w:w="0" w:type="dxa"/>
            <w:right w:w="108" w:type="dxa"/>
          </w:tblCellMar>
        </w:tblPrEx>
        <w:trPr>
          <w:jc w:val="center"/>
        </w:trPr>
        <w:tc>
          <w:tcPr>
            <w:tcW w:w="1657" w:type="dxa"/>
            <w:vAlign w:val="top"/>
          </w:tcPr>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t>日  期：</w:t>
            </w:r>
          </w:p>
        </w:tc>
        <w:tc>
          <w:tcPr>
            <w:tcW w:w="6145" w:type="dxa"/>
            <w:vAlign w:val="top"/>
          </w:tcPr>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t>2024年</w:t>
            </w:r>
            <w:r>
              <w:rPr>
                <w:rFonts w:hint="eastAsia" w:ascii="黑体" w:hAnsi="黑体" w:eastAsia="黑体"/>
                <w:b/>
                <w:bCs/>
                <w:color w:val="auto"/>
                <w:sz w:val="32"/>
                <w:szCs w:val="32"/>
                <w:highlight w:val="none"/>
                <w:lang w:val="en-US" w:eastAsia="zh-CN"/>
              </w:rPr>
              <w:t>7</w:t>
            </w:r>
            <w:r>
              <w:rPr>
                <w:rFonts w:hint="eastAsia" w:ascii="黑体" w:hAnsi="黑体" w:eastAsia="黑体"/>
                <w:b/>
                <w:bCs/>
                <w:color w:val="auto"/>
                <w:sz w:val="32"/>
                <w:szCs w:val="32"/>
                <w:highlight w:val="none"/>
              </w:rPr>
              <w:t>月</w:t>
            </w:r>
          </w:p>
        </w:tc>
      </w:tr>
    </w:tbl>
    <w:p>
      <w:pPr>
        <w:rPr>
          <w:rFonts w:hint="eastAsia"/>
          <w:color w:val="auto"/>
          <w:highlight w:val="none"/>
        </w:rPr>
      </w:pPr>
    </w:p>
    <w:p>
      <w:pPr>
        <w:rPr>
          <w:rFonts w:hint="eastAsia"/>
          <w:color w:val="auto"/>
          <w:highlight w:val="none"/>
        </w:rPr>
      </w:pPr>
    </w:p>
    <w:p>
      <w:pPr>
        <w:rPr>
          <w:rFonts w:hint="eastAsia"/>
          <w:color w:val="auto"/>
          <w:sz w:val="20"/>
          <w:highlight w:val="none"/>
        </w:rPr>
      </w:pPr>
      <w:bookmarkStart w:id="3" w:name="EB06f4f849a067447382c5c19bd1747a07"/>
      <w:bookmarkEnd w:id="3"/>
      <w:r>
        <w:rPr>
          <w:rFonts w:hint="eastAsia"/>
          <w:color w:val="auto"/>
          <w:sz w:val="20"/>
          <w:highlight w:val="none"/>
        </w:rPr>
        <w:t xml:space="preserve"> </w:t>
      </w:r>
    </w:p>
    <w:p>
      <w:pPr>
        <w:rPr>
          <w:rFonts w:hint="eastAsia" w:ascii="宋体" w:hAnsi="宋体"/>
          <w:color w:val="auto"/>
          <w:sz w:val="24"/>
          <w:szCs w:val="24"/>
          <w:highlight w:val="none"/>
        </w:rPr>
      </w:pPr>
      <w:bookmarkStart w:id="4" w:name="EB8d9f95f968a24eedaa25409f8fd39929"/>
      <w:bookmarkEnd w:id="4"/>
      <w:r>
        <w:rPr>
          <w:rFonts w:hint="eastAsia" w:ascii="宋体" w:hAnsi="宋体"/>
          <w:color w:val="auto"/>
          <w:sz w:val="24"/>
          <w:szCs w:val="24"/>
          <w:highlight w:val="none"/>
        </w:rPr>
        <w:t xml:space="preserve"> </w:t>
      </w:r>
    </w:p>
    <w:p>
      <w:pPr>
        <w:rPr>
          <w:rFonts w:hint="eastAsia" w:ascii="宋体" w:hAnsi="宋体"/>
          <w:color w:val="auto"/>
          <w:sz w:val="24"/>
          <w:szCs w:val="24"/>
          <w:highlight w:val="none"/>
        </w:rPr>
      </w:pPr>
    </w:p>
    <w:p>
      <w:pPr>
        <w:rPr>
          <w:rFonts w:hint="eastAsia" w:ascii="宋体" w:hAnsi="宋体"/>
          <w:color w:val="auto"/>
          <w:sz w:val="24"/>
          <w:szCs w:val="24"/>
          <w:highlight w:val="none"/>
        </w:rPr>
      </w:pPr>
    </w:p>
    <w:p>
      <w:pPr>
        <w:pStyle w:val="46"/>
        <w:rPr>
          <w:rFonts w:hint="eastAsia"/>
          <w:color w:val="auto"/>
          <w:highlight w:val="none"/>
        </w:rPr>
      </w:pPr>
    </w:p>
    <w:p>
      <w:pPr>
        <w:jc w:val="center"/>
        <w:rPr>
          <w:rFonts w:ascii="宋体" w:hAnsi="宋体"/>
          <w:b/>
          <w:bCs/>
          <w:color w:val="auto"/>
          <w:sz w:val="24"/>
          <w:szCs w:val="28"/>
          <w:highlight w:val="none"/>
        </w:rPr>
      </w:pPr>
      <w:r>
        <w:rPr>
          <w:rFonts w:ascii="宋体" w:hAnsi="宋体"/>
          <w:b/>
          <w:bCs/>
          <w:color w:val="auto"/>
          <w:sz w:val="24"/>
          <w:szCs w:val="28"/>
          <w:highlight w:val="none"/>
        </w:rPr>
        <w:t>目录</w:t>
      </w:r>
    </w:p>
    <w:p>
      <w:pPr>
        <w:pStyle w:val="260"/>
        <w:tabs>
          <w:tab w:val="right" w:leader="dot" w:pos="8844"/>
        </w:tabs>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fldChar w:fldCharType="begin"/>
      </w:r>
      <w:r>
        <w:rPr>
          <w:rFonts w:hint="eastAsia" w:ascii="宋体" w:hAnsi="宋体"/>
          <w:b/>
          <w:color w:val="auto"/>
          <w:sz w:val="24"/>
          <w:szCs w:val="24"/>
          <w:highlight w:val="none"/>
        </w:rPr>
        <w:instrText xml:space="preserve">TOC \o "1-2" \h \u </w:instrText>
      </w:r>
      <w:r>
        <w:rPr>
          <w:rFonts w:hint="eastAsia" w:ascii="宋体" w:hAnsi="宋体"/>
          <w:b/>
          <w:color w:val="auto"/>
          <w:sz w:val="24"/>
          <w:szCs w:val="24"/>
          <w:highlight w:val="none"/>
        </w:rPr>
        <w:fldChar w:fldCharType="separate"/>
      </w:r>
      <w:r>
        <w:rPr>
          <w:rFonts w:hint="eastAsia" w:ascii="宋体" w:hAnsi="宋体"/>
          <w:b/>
          <w:color w:val="auto"/>
          <w:sz w:val="24"/>
          <w:szCs w:val="24"/>
          <w:highlight w:val="none"/>
        </w:rPr>
        <w:fldChar w:fldCharType="begin"/>
      </w:r>
      <w:r>
        <w:rPr>
          <w:rFonts w:hint="eastAsia" w:ascii="宋体" w:hAnsi="宋体"/>
          <w:b/>
          <w:color w:val="auto"/>
          <w:sz w:val="24"/>
          <w:szCs w:val="24"/>
          <w:highlight w:val="none"/>
        </w:rPr>
        <w:instrText xml:space="preserve"> HYPERLINK \l _Toc14268 </w:instrText>
      </w:r>
      <w:r>
        <w:rPr>
          <w:rFonts w:hint="eastAsia" w:ascii="宋体" w:hAnsi="宋体"/>
          <w:b/>
          <w:color w:val="auto"/>
          <w:sz w:val="24"/>
          <w:szCs w:val="24"/>
          <w:highlight w:val="none"/>
        </w:rPr>
        <w:fldChar w:fldCharType="separate"/>
      </w:r>
      <w:r>
        <w:rPr>
          <w:rFonts w:hint="eastAsia" w:ascii="宋体" w:hAnsi="宋体"/>
          <w:b/>
          <w:color w:val="auto"/>
          <w:sz w:val="24"/>
          <w:szCs w:val="24"/>
          <w:highlight w:val="none"/>
        </w:rPr>
        <w:t>第一部分  招标公告</w:t>
      </w:r>
      <w:r>
        <w:rPr>
          <w:rFonts w:hint="eastAsia" w:ascii="宋体" w:hAnsi="宋体"/>
          <w:b/>
          <w:color w:val="auto"/>
          <w:sz w:val="24"/>
          <w:szCs w:val="24"/>
          <w:highlight w:val="none"/>
        </w:rPr>
        <w:tab/>
      </w:r>
      <w:r>
        <w:rPr>
          <w:rFonts w:hint="eastAsia" w:ascii="宋体" w:hAnsi="宋体"/>
          <w:b/>
          <w:color w:val="auto"/>
          <w:sz w:val="24"/>
          <w:szCs w:val="24"/>
          <w:highlight w:val="none"/>
        </w:rPr>
        <w:fldChar w:fldCharType="begin"/>
      </w:r>
      <w:r>
        <w:rPr>
          <w:rFonts w:hint="eastAsia" w:ascii="宋体" w:hAnsi="宋体"/>
          <w:b/>
          <w:color w:val="auto"/>
          <w:sz w:val="24"/>
          <w:szCs w:val="24"/>
          <w:highlight w:val="none"/>
        </w:rPr>
        <w:instrText xml:space="preserve"> PAGEREF _Toc14268 \h </w:instrText>
      </w:r>
      <w:r>
        <w:rPr>
          <w:rFonts w:hint="eastAsia" w:ascii="宋体" w:hAnsi="宋体"/>
          <w:b/>
          <w:color w:val="auto"/>
          <w:sz w:val="24"/>
          <w:szCs w:val="24"/>
          <w:highlight w:val="none"/>
        </w:rPr>
        <w:fldChar w:fldCharType="separate"/>
      </w:r>
      <w:r>
        <w:rPr>
          <w:rFonts w:ascii="宋体" w:hAnsi="宋体"/>
          <w:b/>
          <w:color w:val="auto"/>
          <w:sz w:val="24"/>
          <w:szCs w:val="24"/>
          <w:highlight w:val="none"/>
        </w:rPr>
        <w:t>3</w:t>
      </w:r>
      <w:r>
        <w:rPr>
          <w:rFonts w:hint="eastAsia" w:ascii="宋体" w:hAnsi="宋体"/>
          <w:b/>
          <w:color w:val="auto"/>
          <w:sz w:val="24"/>
          <w:szCs w:val="24"/>
          <w:highlight w:val="none"/>
        </w:rPr>
        <w:fldChar w:fldCharType="end"/>
      </w:r>
      <w:r>
        <w:rPr>
          <w:rFonts w:hint="eastAsia" w:ascii="宋体" w:hAnsi="宋体"/>
          <w:b/>
          <w:color w:val="auto"/>
          <w:sz w:val="24"/>
          <w:szCs w:val="24"/>
          <w:highlight w:val="none"/>
        </w:rPr>
        <w:fldChar w:fldCharType="end"/>
      </w:r>
    </w:p>
    <w:p>
      <w:pPr>
        <w:pStyle w:val="260"/>
        <w:tabs>
          <w:tab w:val="right" w:leader="dot" w:pos="8844"/>
        </w:tabs>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fldChar w:fldCharType="begin"/>
      </w:r>
      <w:r>
        <w:rPr>
          <w:rFonts w:hint="eastAsia" w:ascii="宋体" w:hAnsi="宋体"/>
          <w:b/>
          <w:color w:val="auto"/>
          <w:sz w:val="24"/>
          <w:szCs w:val="24"/>
          <w:highlight w:val="none"/>
        </w:rPr>
        <w:instrText xml:space="preserve"> HYPERLINK \l _Toc1881 </w:instrText>
      </w:r>
      <w:r>
        <w:rPr>
          <w:rFonts w:hint="eastAsia" w:ascii="宋体" w:hAnsi="宋体"/>
          <w:b/>
          <w:color w:val="auto"/>
          <w:sz w:val="24"/>
          <w:szCs w:val="24"/>
          <w:highlight w:val="none"/>
        </w:rPr>
        <w:fldChar w:fldCharType="separate"/>
      </w:r>
      <w:r>
        <w:rPr>
          <w:rFonts w:hint="eastAsia" w:ascii="宋体" w:hAnsi="宋体"/>
          <w:b/>
          <w:color w:val="auto"/>
          <w:sz w:val="24"/>
          <w:szCs w:val="24"/>
          <w:highlight w:val="none"/>
        </w:rPr>
        <w:t>第二部分  投标人须知</w:t>
      </w:r>
      <w:r>
        <w:rPr>
          <w:rFonts w:hint="eastAsia" w:ascii="宋体" w:hAnsi="宋体"/>
          <w:b/>
          <w:color w:val="auto"/>
          <w:sz w:val="24"/>
          <w:szCs w:val="24"/>
          <w:highlight w:val="none"/>
        </w:rPr>
        <w:tab/>
      </w:r>
      <w:r>
        <w:rPr>
          <w:rFonts w:hint="eastAsia" w:ascii="宋体" w:hAnsi="宋体"/>
          <w:b/>
          <w:color w:val="auto"/>
          <w:sz w:val="24"/>
          <w:szCs w:val="24"/>
          <w:highlight w:val="none"/>
        </w:rPr>
        <w:t>6</w:t>
      </w:r>
      <w:r>
        <w:rPr>
          <w:rFonts w:hint="eastAsia" w:ascii="宋体" w:hAnsi="宋体"/>
          <w:b/>
          <w:color w:val="auto"/>
          <w:sz w:val="24"/>
          <w:szCs w:val="24"/>
          <w:highlight w:val="none"/>
        </w:rPr>
        <w:fldChar w:fldCharType="end"/>
      </w:r>
    </w:p>
    <w:p>
      <w:pPr>
        <w:pStyle w:val="260"/>
        <w:tabs>
          <w:tab w:val="right" w:leader="dot" w:pos="8844"/>
        </w:tabs>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fldChar w:fldCharType="begin"/>
      </w:r>
      <w:r>
        <w:rPr>
          <w:rFonts w:hint="eastAsia" w:ascii="宋体" w:hAnsi="宋体"/>
          <w:b/>
          <w:color w:val="auto"/>
          <w:sz w:val="24"/>
          <w:szCs w:val="24"/>
          <w:highlight w:val="none"/>
        </w:rPr>
        <w:instrText xml:space="preserve"> HYPERLINK \l _Toc22015 </w:instrText>
      </w:r>
      <w:r>
        <w:rPr>
          <w:rFonts w:hint="eastAsia" w:ascii="宋体" w:hAnsi="宋体"/>
          <w:b/>
          <w:color w:val="auto"/>
          <w:sz w:val="24"/>
          <w:szCs w:val="24"/>
          <w:highlight w:val="none"/>
        </w:rPr>
        <w:fldChar w:fldCharType="separate"/>
      </w:r>
      <w:r>
        <w:rPr>
          <w:rFonts w:hint="eastAsia" w:ascii="宋体" w:hAnsi="宋体"/>
          <w:b/>
          <w:color w:val="auto"/>
          <w:sz w:val="24"/>
          <w:szCs w:val="24"/>
          <w:highlight w:val="none"/>
        </w:rPr>
        <w:t>第三部分  资格审查及评标办法</w:t>
      </w:r>
      <w:r>
        <w:rPr>
          <w:rFonts w:hint="eastAsia" w:ascii="宋体" w:hAnsi="宋体"/>
          <w:b/>
          <w:color w:val="auto"/>
          <w:sz w:val="24"/>
          <w:szCs w:val="24"/>
          <w:highlight w:val="none"/>
        </w:rPr>
        <w:tab/>
      </w:r>
      <w:r>
        <w:rPr>
          <w:rFonts w:hint="eastAsia" w:ascii="宋体" w:hAnsi="宋体"/>
          <w:b/>
          <w:color w:val="auto"/>
          <w:sz w:val="24"/>
          <w:szCs w:val="24"/>
          <w:highlight w:val="none"/>
        </w:rPr>
        <w:fldChar w:fldCharType="begin"/>
      </w:r>
      <w:r>
        <w:rPr>
          <w:rFonts w:hint="eastAsia" w:ascii="宋体" w:hAnsi="宋体"/>
          <w:b/>
          <w:color w:val="auto"/>
          <w:sz w:val="24"/>
          <w:szCs w:val="24"/>
          <w:highlight w:val="none"/>
        </w:rPr>
        <w:instrText xml:space="preserve"> PAGEREF _Toc22015 \h </w:instrText>
      </w:r>
      <w:r>
        <w:rPr>
          <w:rFonts w:hint="eastAsia" w:ascii="宋体" w:hAnsi="宋体"/>
          <w:b/>
          <w:color w:val="auto"/>
          <w:sz w:val="24"/>
          <w:szCs w:val="24"/>
          <w:highlight w:val="none"/>
        </w:rPr>
        <w:fldChar w:fldCharType="separate"/>
      </w:r>
      <w:r>
        <w:rPr>
          <w:rFonts w:ascii="宋体" w:hAnsi="宋体"/>
          <w:b/>
          <w:color w:val="auto"/>
          <w:sz w:val="24"/>
          <w:szCs w:val="24"/>
          <w:highlight w:val="none"/>
        </w:rPr>
        <w:t>23</w:t>
      </w:r>
      <w:r>
        <w:rPr>
          <w:rFonts w:hint="eastAsia" w:ascii="宋体" w:hAnsi="宋体"/>
          <w:b/>
          <w:color w:val="auto"/>
          <w:sz w:val="24"/>
          <w:szCs w:val="24"/>
          <w:highlight w:val="none"/>
        </w:rPr>
        <w:fldChar w:fldCharType="end"/>
      </w:r>
      <w:r>
        <w:rPr>
          <w:rFonts w:hint="eastAsia" w:ascii="宋体" w:hAnsi="宋体"/>
          <w:b/>
          <w:color w:val="auto"/>
          <w:sz w:val="24"/>
          <w:szCs w:val="24"/>
          <w:highlight w:val="none"/>
        </w:rPr>
        <w:fldChar w:fldCharType="end"/>
      </w:r>
    </w:p>
    <w:p>
      <w:pPr>
        <w:pStyle w:val="260"/>
        <w:tabs>
          <w:tab w:val="right" w:leader="dot" w:pos="8844"/>
        </w:tabs>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fldChar w:fldCharType="begin"/>
      </w:r>
      <w:r>
        <w:rPr>
          <w:rFonts w:hint="eastAsia" w:ascii="宋体" w:hAnsi="宋体"/>
          <w:b/>
          <w:color w:val="auto"/>
          <w:sz w:val="24"/>
          <w:szCs w:val="24"/>
          <w:highlight w:val="none"/>
        </w:rPr>
        <w:instrText xml:space="preserve"> HYPERLINK \l _Toc1505 </w:instrText>
      </w:r>
      <w:r>
        <w:rPr>
          <w:rFonts w:hint="eastAsia" w:ascii="宋体" w:hAnsi="宋体"/>
          <w:b/>
          <w:color w:val="auto"/>
          <w:sz w:val="24"/>
          <w:szCs w:val="24"/>
          <w:highlight w:val="none"/>
        </w:rPr>
        <w:fldChar w:fldCharType="separate"/>
      </w:r>
      <w:r>
        <w:rPr>
          <w:rFonts w:hint="eastAsia" w:ascii="宋体" w:hAnsi="宋体"/>
          <w:b/>
          <w:color w:val="auto"/>
          <w:sz w:val="24"/>
          <w:szCs w:val="24"/>
          <w:highlight w:val="none"/>
        </w:rPr>
        <w:t>第四部分  采购需求</w:t>
      </w:r>
      <w:r>
        <w:rPr>
          <w:rFonts w:hint="eastAsia" w:ascii="宋体" w:hAnsi="宋体"/>
          <w:b/>
          <w:color w:val="auto"/>
          <w:sz w:val="24"/>
          <w:szCs w:val="24"/>
          <w:highlight w:val="none"/>
        </w:rPr>
        <w:tab/>
      </w:r>
      <w:r>
        <w:rPr>
          <w:rFonts w:hint="eastAsia" w:ascii="宋体" w:hAnsi="宋体"/>
          <w:b/>
          <w:color w:val="auto"/>
          <w:sz w:val="24"/>
          <w:szCs w:val="24"/>
          <w:highlight w:val="none"/>
        </w:rPr>
        <w:fldChar w:fldCharType="begin"/>
      </w:r>
      <w:r>
        <w:rPr>
          <w:rFonts w:hint="eastAsia" w:ascii="宋体" w:hAnsi="宋体"/>
          <w:b/>
          <w:color w:val="auto"/>
          <w:sz w:val="24"/>
          <w:szCs w:val="24"/>
          <w:highlight w:val="none"/>
        </w:rPr>
        <w:instrText xml:space="preserve"> PAGEREF _Toc1505 \h </w:instrText>
      </w:r>
      <w:r>
        <w:rPr>
          <w:rFonts w:hint="eastAsia" w:ascii="宋体" w:hAnsi="宋体"/>
          <w:b/>
          <w:color w:val="auto"/>
          <w:sz w:val="24"/>
          <w:szCs w:val="24"/>
          <w:highlight w:val="none"/>
        </w:rPr>
        <w:fldChar w:fldCharType="separate"/>
      </w:r>
      <w:r>
        <w:rPr>
          <w:rFonts w:ascii="宋体" w:hAnsi="宋体"/>
          <w:b/>
          <w:color w:val="auto"/>
          <w:sz w:val="24"/>
          <w:szCs w:val="24"/>
          <w:highlight w:val="none"/>
        </w:rPr>
        <w:t>27</w:t>
      </w:r>
      <w:r>
        <w:rPr>
          <w:rFonts w:hint="eastAsia" w:ascii="宋体" w:hAnsi="宋体"/>
          <w:b/>
          <w:color w:val="auto"/>
          <w:sz w:val="24"/>
          <w:szCs w:val="24"/>
          <w:highlight w:val="none"/>
        </w:rPr>
        <w:fldChar w:fldCharType="end"/>
      </w:r>
      <w:r>
        <w:rPr>
          <w:rFonts w:hint="eastAsia" w:ascii="宋体" w:hAnsi="宋体"/>
          <w:b/>
          <w:color w:val="auto"/>
          <w:sz w:val="24"/>
          <w:szCs w:val="24"/>
          <w:highlight w:val="none"/>
        </w:rPr>
        <w:fldChar w:fldCharType="end"/>
      </w:r>
    </w:p>
    <w:p>
      <w:pPr>
        <w:pStyle w:val="260"/>
        <w:tabs>
          <w:tab w:val="right" w:leader="dot" w:pos="8844"/>
        </w:tabs>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fldChar w:fldCharType="begin"/>
      </w:r>
      <w:r>
        <w:rPr>
          <w:rFonts w:hint="eastAsia" w:ascii="宋体" w:hAnsi="宋体"/>
          <w:b/>
          <w:color w:val="auto"/>
          <w:sz w:val="24"/>
          <w:szCs w:val="24"/>
          <w:highlight w:val="none"/>
        </w:rPr>
        <w:instrText xml:space="preserve"> HYPERLINK \l _Toc9306 </w:instrText>
      </w:r>
      <w:r>
        <w:rPr>
          <w:rFonts w:hint="eastAsia" w:ascii="宋体" w:hAnsi="宋体"/>
          <w:b/>
          <w:color w:val="auto"/>
          <w:sz w:val="24"/>
          <w:szCs w:val="24"/>
          <w:highlight w:val="none"/>
        </w:rPr>
        <w:fldChar w:fldCharType="separate"/>
      </w:r>
      <w:r>
        <w:rPr>
          <w:rFonts w:hint="eastAsia" w:ascii="宋体" w:hAnsi="宋体"/>
          <w:b/>
          <w:color w:val="auto"/>
          <w:sz w:val="24"/>
          <w:szCs w:val="24"/>
          <w:highlight w:val="none"/>
        </w:rPr>
        <w:t>第五部分  合同格式及条款</w:t>
      </w:r>
      <w:r>
        <w:rPr>
          <w:rFonts w:hint="eastAsia" w:ascii="宋体" w:hAnsi="宋体"/>
          <w:b/>
          <w:color w:val="auto"/>
          <w:sz w:val="24"/>
          <w:szCs w:val="24"/>
          <w:highlight w:val="none"/>
        </w:rPr>
        <w:tab/>
      </w:r>
      <w:r>
        <w:rPr>
          <w:rFonts w:hint="eastAsia" w:ascii="宋体" w:hAnsi="宋体"/>
          <w:b/>
          <w:color w:val="auto"/>
          <w:sz w:val="24"/>
          <w:szCs w:val="24"/>
          <w:highlight w:val="none"/>
        </w:rPr>
        <w:t>2</w:t>
      </w:r>
      <w:r>
        <w:rPr>
          <w:rFonts w:hint="eastAsia" w:ascii="宋体" w:hAnsi="宋体"/>
          <w:b/>
          <w:color w:val="auto"/>
          <w:sz w:val="24"/>
          <w:szCs w:val="24"/>
          <w:highlight w:val="none"/>
        </w:rPr>
        <w:fldChar w:fldCharType="end"/>
      </w:r>
      <w:r>
        <w:rPr>
          <w:rFonts w:hint="eastAsia" w:ascii="宋体" w:hAnsi="宋体"/>
          <w:b/>
          <w:color w:val="auto"/>
          <w:sz w:val="24"/>
          <w:szCs w:val="24"/>
          <w:highlight w:val="none"/>
        </w:rPr>
        <w:t>8</w:t>
      </w:r>
    </w:p>
    <w:p>
      <w:pPr>
        <w:pStyle w:val="260"/>
        <w:tabs>
          <w:tab w:val="right" w:leader="dot" w:pos="8844"/>
        </w:tabs>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fldChar w:fldCharType="begin"/>
      </w:r>
      <w:r>
        <w:rPr>
          <w:rFonts w:hint="eastAsia" w:ascii="宋体" w:hAnsi="宋体"/>
          <w:b/>
          <w:color w:val="auto"/>
          <w:sz w:val="24"/>
          <w:szCs w:val="24"/>
          <w:highlight w:val="none"/>
        </w:rPr>
        <w:instrText xml:space="preserve"> HYPERLINK \l _Toc12366 </w:instrText>
      </w:r>
      <w:r>
        <w:rPr>
          <w:rFonts w:hint="eastAsia" w:ascii="宋体" w:hAnsi="宋体"/>
          <w:b/>
          <w:color w:val="auto"/>
          <w:sz w:val="24"/>
          <w:szCs w:val="24"/>
          <w:highlight w:val="none"/>
        </w:rPr>
        <w:fldChar w:fldCharType="separate"/>
      </w:r>
      <w:r>
        <w:rPr>
          <w:rFonts w:hint="eastAsia" w:ascii="宋体" w:hAnsi="宋体"/>
          <w:b/>
          <w:color w:val="auto"/>
          <w:sz w:val="24"/>
          <w:szCs w:val="24"/>
          <w:highlight w:val="none"/>
        </w:rPr>
        <w:t>第六部分  投标文件格式</w:t>
      </w:r>
      <w:r>
        <w:rPr>
          <w:rFonts w:hint="eastAsia" w:ascii="宋体" w:hAnsi="宋体"/>
          <w:b/>
          <w:color w:val="auto"/>
          <w:sz w:val="24"/>
          <w:szCs w:val="24"/>
          <w:highlight w:val="none"/>
        </w:rPr>
        <w:tab/>
      </w:r>
      <w:r>
        <w:rPr>
          <w:rFonts w:hint="eastAsia" w:ascii="宋体" w:hAnsi="宋体"/>
          <w:b/>
          <w:color w:val="auto"/>
          <w:sz w:val="24"/>
          <w:szCs w:val="24"/>
          <w:highlight w:val="none"/>
        </w:rPr>
        <w:t>3</w:t>
      </w:r>
      <w:r>
        <w:rPr>
          <w:rFonts w:hint="eastAsia" w:ascii="宋体" w:hAnsi="宋体"/>
          <w:b/>
          <w:color w:val="auto"/>
          <w:sz w:val="24"/>
          <w:szCs w:val="24"/>
          <w:highlight w:val="none"/>
        </w:rPr>
        <w:fldChar w:fldCharType="end"/>
      </w:r>
      <w:r>
        <w:rPr>
          <w:rFonts w:hint="eastAsia" w:ascii="宋体" w:hAnsi="宋体"/>
          <w:b/>
          <w:color w:val="auto"/>
          <w:sz w:val="24"/>
          <w:szCs w:val="24"/>
          <w:highlight w:val="none"/>
        </w:rPr>
        <w:t>7</w:t>
      </w:r>
    </w:p>
    <w:p>
      <w:pPr>
        <w:keepNext/>
        <w:keepLines/>
        <w:pageBreakBefore/>
        <w:jc w:val="center"/>
        <w:rPr>
          <w:rFonts w:hint="eastAsia" w:ascii="宋体" w:hAnsi="宋体"/>
          <w:b/>
          <w:color w:val="auto"/>
          <w:sz w:val="24"/>
          <w:szCs w:val="24"/>
          <w:highlight w:val="none"/>
        </w:rPr>
      </w:pPr>
      <w:bookmarkStart w:id="5" w:name="_Toc14268"/>
      <w:bookmarkEnd w:id="5"/>
      <w:bookmarkStart w:id="6" w:name="_Toc514054470"/>
      <w:bookmarkEnd w:id="6"/>
      <w:r>
        <w:rPr>
          <w:rFonts w:hint="eastAsia" w:ascii="宋体" w:hAnsi="宋体"/>
          <w:b/>
          <w:color w:val="auto"/>
          <w:sz w:val="24"/>
          <w:szCs w:val="24"/>
          <w:highlight w:val="none"/>
        </w:rPr>
        <w:fldChar w:fldCharType="end"/>
      </w:r>
      <w:r>
        <w:rPr>
          <w:rFonts w:hint="eastAsia"/>
          <w:b/>
          <w:color w:val="auto"/>
          <w:sz w:val="44"/>
          <w:szCs w:val="44"/>
          <w:highlight w:val="none"/>
        </w:rPr>
        <w:t>第一部分  招标公告</w:t>
      </w:r>
    </w:p>
    <w:tbl>
      <w:tblPr>
        <w:tblStyle w:val="13"/>
        <w:tblW w:w="9183" w:type="dxa"/>
        <w:tblInd w:w="3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trPr>
        <w:tc>
          <w:tcPr>
            <w:tcW w:w="9183" w:type="dxa"/>
            <w:vAlign w:val="top"/>
          </w:tcPr>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项目概况</w:t>
            </w:r>
          </w:p>
          <w:p>
            <w:pPr>
              <w:rPr>
                <w:rFonts w:hint="eastAsia" w:ascii="宋体" w:hAnsi="宋体"/>
                <w:color w:val="auto"/>
                <w:sz w:val="24"/>
                <w:szCs w:val="24"/>
                <w:highlight w:val="none"/>
              </w:rPr>
            </w:pPr>
            <w:r>
              <w:rPr>
                <w:rFonts w:hint="eastAsia" w:ascii="宋体" w:hAnsi="宋体"/>
                <w:color w:val="auto"/>
                <w:sz w:val="24"/>
                <w:szCs w:val="24"/>
                <w:highlight w:val="none"/>
              </w:rPr>
              <w:t>江苏省中医院全自动真空采血管分拣机采购项目的潜在投标人应江苏弘业国际技术工程有限公司获取招标文件，并于</w:t>
            </w:r>
            <w:r>
              <w:rPr>
                <w:rFonts w:hint="eastAsia" w:ascii="宋体" w:hAnsi="宋体"/>
                <w:color w:val="auto"/>
                <w:sz w:val="24"/>
                <w:szCs w:val="24"/>
                <w:highlight w:val="yellow"/>
              </w:rPr>
              <w:t>2024年</w:t>
            </w:r>
            <w:r>
              <w:rPr>
                <w:rFonts w:hint="eastAsia" w:ascii="宋体" w:hAnsi="宋体" w:eastAsia="宋体"/>
                <w:color w:val="auto"/>
                <w:sz w:val="24"/>
                <w:szCs w:val="24"/>
                <w:highlight w:val="yellow"/>
                <w:lang w:val="en-US" w:eastAsia="zh-CN"/>
              </w:rPr>
              <w:t>8</w:t>
            </w:r>
            <w:r>
              <w:rPr>
                <w:rFonts w:hint="eastAsia" w:ascii="宋体" w:hAnsi="宋体"/>
                <w:color w:val="auto"/>
                <w:sz w:val="24"/>
                <w:szCs w:val="24"/>
                <w:highlight w:val="yellow"/>
              </w:rPr>
              <w:t>月</w:t>
            </w:r>
            <w:r>
              <w:rPr>
                <w:rFonts w:hint="eastAsia" w:ascii="宋体" w:hAnsi="宋体" w:eastAsia="宋体"/>
                <w:color w:val="auto"/>
                <w:sz w:val="24"/>
                <w:szCs w:val="24"/>
                <w:highlight w:val="yellow"/>
                <w:lang w:val="en-US" w:eastAsia="zh-CN"/>
              </w:rPr>
              <w:t>14</w:t>
            </w:r>
            <w:r>
              <w:rPr>
                <w:rFonts w:hint="eastAsia" w:ascii="宋体" w:hAnsi="宋体"/>
                <w:color w:val="auto"/>
                <w:sz w:val="24"/>
                <w:szCs w:val="24"/>
                <w:highlight w:val="yellow"/>
              </w:rPr>
              <w:t>日</w:t>
            </w:r>
            <w:r>
              <w:rPr>
                <w:rFonts w:hint="eastAsia" w:ascii="宋体" w:hAnsi="宋体" w:eastAsia="宋体"/>
                <w:color w:val="auto"/>
                <w:sz w:val="24"/>
                <w:szCs w:val="24"/>
                <w:highlight w:val="yellow"/>
                <w:lang w:val="en-US" w:eastAsia="zh-CN"/>
              </w:rPr>
              <w:t>10</w:t>
            </w:r>
            <w:r>
              <w:rPr>
                <w:rFonts w:hint="eastAsia" w:ascii="宋体" w:hAnsi="宋体"/>
                <w:color w:val="auto"/>
                <w:sz w:val="24"/>
                <w:szCs w:val="24"/>
                <w:highlight w:val="yellow"/>
              </w:rPr>
              <w:t>点</w:t>
            </w:r>
            <w:r>
              <w:rPr>
                <w:rFonts w:hint="eastAsia" w:ascii="宋体" w:hAnsi="宋体" w:eastAsia="宋体"/>
                <w:color w:val="auto"/>
                <w:sz w:val="24"/>
                <w:szCs w:val="24"/>
                <w:highlight w:val="yellow"/>
                <w:lang w:val="en-US" w:eastAsia="zh-CN"/>
              </w:rPr>
              <w:t>00</w:t>
            </w:r>
            <w:r>
              <w:rPr>
                <w:rFonts w:hint="eastAsia" w:ascii="宋体" w:hAnsi="宋体"/>
                <w:color w:val="auto"/>
                <w:sz w:val="24"/>
                <w:szCs w:val="24"/>
                <w:highlight w:val="yellow"/>
              </w:rPr>
              <w:t>分</w:t>
            </w:r>
            <w:r>
              <w:rPr>
                <w:rFonts w:hint="eastAsia" w:ascii="宋体" w:hAnsi="宋体"/>
                <w:color w:val="auto"/>
                <w:sz w:val="24"/>
                <w:szCs w:val="24"/>
                <w:highlight w:val="none"/>
              </w:rPr>
              <w:t>（北京时间）前递交投标文件。</w:t>
            </w:r>
          </w:p>
        </w:tc>
      </w:tr>
    </w:tbl>
    <w:p>
      <w:pPr>
        <w:pStyle w:val="300"/>
        <w:tabs>
          <w:tab w:val="left" w:pos="1134"/>
        </w:tabs>
        <w:spacing w:line="312" w:lineRule="auto"/>
        <w:ind w:firstLine="240" w:firstLineChars="100"/>
        <w:outlineLvl w:val="1"/>
        <w:rPr>
          <w:rFonts w:hint="eastAsia" w:ascii="宋体" w:hAnsi="宋体"/>
          <w:color w:val="auto"/>
          <w:sz w:val="24"/>
          <w:szCs w:val="24"/>
          <w:highlight w:val="none"/>
        </w:rPr>
      </w:pPr>
      <w:bookmarkStart w:id="7" w:name="_Toc2298"/>
      <w:bookmarkEnd w:id="7"/>
      <w:r>
        <w:rPr>
          <w:rFonts w:hint="eastAsia" w:ascii="宋体" w:hAnsi="宋体"/>
          <w:color w:val="auto"/>
          <w:sz w:val="24"/>
          <w:szCs w:val="24"/>
          <w:highlight w:val="none"/>
        </w:rPr>
        <w:t xml:space="preserve">一、项目基本情况  </w:t>
      </w:r>
    </w:p>
    <w:p>
      <w:pPr>
        <w:pStyle w:val="300"/>
        <w:tabs>
          <w:tab w:val="left" w:pos="1134"/>
        </w:tabs>
        <w:spacing w:line="312" w:lineRule="auto"/>
        <w:ind w:left="1296" w:leftChars="540" w:firstLine="0" w:firstLineChars="0"/>
        <w:rPr>
          <w:rFonts w:hint="eastAsia" w:ascii="宋体" w:hAnsi="宋体"/>
          <w:color w:val="auto"/>
          <w:sz w:val="24"/>
          <w:szCs w:val="24"/>
          <w:highlight w:val="none"/>
        </w:rPr>
      </w:pPr>
      <w:r>
        <w:rPr>
          <w:rFonts w:hint="eastAsia" w:ascii="宋体" w:hAnsi="宋体"/>
          <w:color w:val="auto"/>
          <w:sz w:val="24"/>
          <w:szCs w:val="24"/>
          <w:highlight w:val="none"/>
        </w:rPr>
        <w:t>项目编号：JSZC-320000-JSHY-G2024-0237</w:t>
      </w:r>
    </w:p>
    <w:p>
      <w:pPr>
        <w:pStyle w:val="300"/>
        <w:tabs>
          <w:tab w:val="left" w:pos="1134"/>
        </w:tabs>
        <w:spacing w:line="312" w:lineRule="auto"/>
        <w:ind w:left="1296" w:leftChars="540" w:firstLine="0" w:firstLineChars="0"/>
        <w:rPr>
          <w:rFonts w:hint="default" w:ascii="宋体" w:hAnsi="宋体"/>
          <w:color w:val="auto"/>
          <w:sz w:val="24"/>
          <w:szCs w:val="24"/>
          <w:highlight w:val="none"/>
        </w:rPr>
      </w:pPr>
      <w:r>
        <w:rPr>
          <w:rFonts w:hint="eastAsia" w:ascii="宋体" w:hAnsi="宋体" w:eastAsia="宋体" w:cs="宋体"/>
          <w:kern w:val="2"/>
          <w:highlight w:val="none"/>
          <w:lang w:val="en-US" w:eastAsia="zh-CN"/>
        </w:rPr>
        <w:t>代理机构项目编号：1009-2441HOLLY85D</w:t>
      </w:r>
    </w:p>
    <w:p>
      <w:pPr>
        <w:pStyle w:val="300"/>
        <w:tabs>
          <w:tab w:val="left" w:pos="1134"/>
        </w:tabs>
        <w:spacing w:line="312" w:lineRule="auto"/>
        <w:ind w:left="1296" w:leftChars="540" w:firstLine="0" w:firstLineChars="0"/>
        <w:rPr>
          <w:rFonts w:hint="eastAsia" w:ascii="宋体" w:hAnsi="宋体"/>
          <w:color w:val="auto"/>
          <w:sz w:val="24"/>
          <w:szCs w:val="24"/>
          <w:highlight w:val="none"/>
        </w:rPr>
      </w:pPr>
      <w:r>
        <w:rPr>
          <w:rFonts w:hint="eastAsia" w:ascii="宋体" w:hAnsi="宋体"/>
          <w:color w:val="auto"/>
          <w:sz w:val="24"/>
          <w:szCs w:val="24"/>
          <w:highlight w:val="none"/>
        </w:rPr>
        <w:t>项目名称：江苏省中医院全自动真空采血管分拣机采购项目</w:t>
      </w:r>
    </w:p>
    <w:tbl>
      <w:tblPr>
        <w:tblStyle w:val="13"/>
        <w:tblpPr w:leftFromText="180" w:rightFromText="180" w:vertAnchor="text" w:horzAnchor="page" w:tblpX="1588" w:tblpY="157"/>
        <w:tblOverlap w:val="never"/>
        <w:tblW w:w="91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4"/>
        <w:gridCol w:w="1910"/>
        <w:gridCol w:w="1419"/>
        <w:gridCol w:w="1087"/>
        <w:gridCol w:w="1407"/>
        <w:gridCol w:w="2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trPr>
        <w:tc>
          <w:tcPr>
            <w:tcW w:w="1014" w:type="dxa"/>
            <w:vAlign w:val="center"/>
          </w:tcPr>
          <w:p>
            <w:pPr>
              <w:pStyle w:val="300"/>
              <w:tabs>
                <w:tab w:val="left" w:pos="1276"/>
              </w:tabs>
              <w:spacing w:line="312" w:lineRule="auto"/>
              <w:ind w:firstLine="0" w:firstLineChars="0"/>
              <w:jc w:val="center"/>
              <w:rPr>
                <w:rFonts w:hint="eastAsia" w:ascii="宋体" w:hAnsi="宋体"/>
                <w:color w:val="auto"/>
                <w:sz w:val="24"/>
                <w:szCs w:val="24"/>
                <w:highlight w:val="none"/>
              </w:rPr>
            </w:pPr>
            <w:r>
              <w:rPr>
                <w:rFonts w:hint="eastAsia" w:ascii="宋体" w:hAnsi="宋体"/>
                <w:color w:val="auto"/>
                <w:sz w:val="24"/>
                <w:szCs w:val="24"/>
                <w:highlight w:val="none"/>
              </w:rPr>
              <w:t>包号</w:t>
            </w:r>
          </w:p>
        </w:tc>
        <w:tc>
          <w:tcPr>
            <w:tcW w:w="1910" w:type="dxa"/>
            <w:vAlign w:val="center"/>
          </w:tcPr>
          <w:p>
            <w:pPr>
              <w:pStyle w:val="300"/>
              <w:tabs>
                <w:tab w:val="left" w:pos="1276"/>
              </w:tabs>
              <w:spacing w:line="312" w:lineRule="auto"/>
              <w:ind w:firstLine="0" w:firstLineChars="0"/>
              <w:jc w:val="center"/>
              <w:rPr>
                <w:rFonts w:hint="eastAsia" w:ascii="宋体" w:hAnsi="宋体"/>
                <w:color w:val="auto"/>
                <w:sz w:val="24"/>
                <w:szCs w:val="24"/>
                <w:highlight w:val="none"/>
              </w:rPr>
            </w:pPr>
            <w:r>
              <w:rPr>
                <w:rFonts w:hint="eastAsia" w:ascii="宋体" w:hAnsi="宋体"/>
                <w:color w:val="auto"/>
                <w:sz w:val="24"/>
                <w:szCs w:val="24"/>
                <w:highlight w:val="none"/>
              </w:rPr>
              <w:t>名称</w:t>
            </w:r>
          </w:p>
        </w:tc>
        <w:tc>
          <w:tcPr>
            <w:tcW w:w="1419" w:type="dxa"/>
            <w:vAlign w:val="center"/>
          </w:tcPr>
          <w:p>
            <w:pPr>
              <w:pStyle w:val="300"/>
              <w:tabs>
                <w:tab w:val="left" w:pos="1276"/>
              </w:tabs>
              <w:spacing w:line="312" w:lineRule="auto"/>
              <w:ind w:firstLine="0" w:firstLineChars="0"/>
              <w:jc w:val="center"/>
              <w:rPr>
                <w:rFonts w:hint="eastAsia" w:ascii="宋体" w:hAnsi="宋体"/>
                <w:color w:val="auto"/>
                <w:sz w:val="24"/>
                <w:szCs w:val="24"/>
                <w:highlight w:val="none"/>
              </w:rPr>
            </w:pPr>
            <w:r>
              <w:rPr>
                <w:rFonts w:hint="eastAsia" w:ascii="宋体" w:hAnsi="宋体"/>
                <w:color w:val="auto"/>
                <w:sz w:val="24"/>
                <w:szCs w:val="24"/>
                <w:highlight w:val="none"/>
              </w:rPr>
              <w:t>数量</w:t>
            </w:r>
          </w:p>
        </w:tc>
        <w:tc>
          <w:tcPr>
            <w:tcW w:w="1087" w:type="dxa"/>
            <w:vAlign w:val="center"/>
          </w:tcPr>
          <w:p>
            <w:pPr>
              <w:pStyle w:val="300"/>
              <w:tabs>
                <w:tab w:val="left" w:pos="1276"/>
              </w:tabs>
              <w:spacing w:line="312" w:lineRule="auto"/>
              <w:ind w:firstLine="0" w:firstLineChars="0"/>
              <w:jc w:val="center"/>
              <w:rPr>
                <w:rFonts w:hint="eastAsia" w:ascii="宋体" w:hAnsi="宋体"/>
                <w:color w:val="auto"/>
                <w:sz w:val="24"/>
                <w:szCs w:val="24"/>
                <w:highlight w:val="none"/>
              </w:rPr>
            </w:pPr>
            <w:r>
              <w:rPr>
                <w:rFonts w:hint="eastAsia" w:ascii="宋体" w:hAnsi="宋体"/>
                <w:color w:val="auto"/>
                <w:sz w:val="24"/>
                <w:szCs w:val="24"/>
                <w:highlight w:val="none"/>
              </w:rPr>
              <w:t>预算</w:t>
            </w:r>
          </w:p>
        </w:tc>
        <w:tc>
          <w:tcPr>
            <w:tcW w:w="1407" w:type="dxa"/>
            <w:vAlign w:val="center"/>
          </w:tcPr>
          <w:p>
            <w:pPr>
              <w:pStyle w:val="300"/>
              <w:tabs>
                <w:tab w:val="left" w:pos="234"/>
                <w:tab w:val="left" w:pos="1276"/>
              </w:tabs>
              <w:spacing w:line="312" w:lineRule="auto"/>
              <w:ind w:firstLine="0" w:firstLineChars="0"/>
              <w:jc w:val="center"/>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最高限价</w:t>
            </w:r>
          </w:p>
        </w:tc>
        <w:tc>
          <w:tcPr>
            <w:tcW w:w="2355" w:type="dxa"/>
            <w:vAlign w:val="center"/>
          </w:tcPr>
          <w:p>
            <w:pPr>
              <w:pStyle w:val="300"/>
              <w:tabs>
                <w:tab w:val="left" w:pos="1276"/>
              </w:tabs>
              <w:spacing w:line="312" w:lineRule="auto"/>
              <w:ind w:firstLine="0" w:firstLineChars="0"/>
              <w:jc w:val="center"/>
              <w:rPr>
                <w:rFonts w:hint="eastAsia" w:ascii="宋体" w:hAnsi="宋体"/>
                <w:color w:val="auto"/>
                <w:sz w:val="24"/>
                <w:szCs w:val="24"/>
                <w:highlight w:val="none"/>
              </w:rPr>
            </w:pPr>
            <w:r>
              <w:rPr>
                <w:rFonts w:hint="eastAsia" w:ascii="宋体" w:hAnsi="宋体"/>
                <w:color w:val="auto"/>
                <w:sz w:val="24"/>
                <w:szCs w:val="24"/>
                <w:highlight w:val="none"/>
              </w:rPr>
              <w:t>是否接受进口产品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trPr>
        <w:tc>
          <w:tcPr>
            <w:tcW w:w="1014" w:type="dxa"/>
            <w:vAlign w:val="center"/>
          </w:tcPr>
          <w:p>
            <w:pPr>
              <w:pStyle w:val="300"/>
              <w:tabs>
                <w:tab w:val="left" w:pos="1276"/>
              </w:tabs>
              <w:spacing w:line="312" w:lineRule="auto"/>
              <w:ind w:firstLine="0" w:firstLineChars="0"/>
              <w:jc w:val="center"/>
              <w:rPr>
                <w:rFonts w:hint="eastAsia" w:ascii="宋体" w:hAnsi="宋体"/>
                <w:color w:val="auto"/>
                <w:sz w:val="24"/>
                <w:szCs w:val="24"/>
                <w:highlight w:val="none"/>
              </w:rPr>
            </w:pPr>
            <w:r>
              <w:rPr>
                <w:rFonts w:hint="eastAsia" w:ascii="宋体" w:hAnsi="宋体"/>
                <w:color w:val="auto"/>
                <w:sz w:val="24"/>
                <w:szCs w:val="24"/>
                <w:highlight w:val="none"/>
              </w:rPr>
              <w:t>01</w:t>
            </w:r>
          </w:p>
        </w:tc>
        <w:tc>
          <w:tcPr>
            <w:tcW w:w="1910" w:type="dxa"/>
            <w:vAlign w:val="center"/>
          </w:tcPr>
          <w:p>
            <w:pPr>
              <w:widowControl/>
              <w:jc w:val="center"/>
              <w:rPr>
                <w:rFonts w:hint="eastAsia" w:ascii="宋体" w:hAnsi="宋体"/>
                <w:color w:val="auto"/>
                <w:sz w:val="24"/>
                <w:szCs w:val="24"/>
                <w:highlight w:val="none"/>
              </w:rPr>
            </w:pPr>
            <w:r>
              <w:rPr>
                <w:rFonts w:hint="eastAsia" w:ascii="宋体" w:hAnsi="宋体"/>
                <w:color w:val="auto"/>
                <w:sz w:val="24"/>
                <w:szCs w:val="24"/>
                <w:highlight w:val="none"/>
              </w:rPr>
              <w:t>全自动真空采血管分拣</w:t>
            </w:r>
            <w:r>
              <w:rPr>
                <w:rFonts w:hint="eastAsia" w:ascii="宋体" w:hAnsi="宋体"/>
                <w:color w:val="auto"/>
                <w:sz w:val="24"/>
                <w:szCs w:val="24"/>
                <w:highlight w:val="none"/>
                <w:lang w:eastAsia="zh-CN"/>
              </w:rPr>
              <w:t>机</w:t>
            </w:r>
          </w:p>
        </w:tc>
        <w:tc>
          <w:tcPr>
            <w:tcW w:w="1419" w:type="dxa"/>
            <w:vAlign w:val="center"/>
          </w:tcPr>
          <w:p>
            <w:pPr>
              <w:widowControl/>
              <w:jc w:val="center"/>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3</w:t>
            </w:r>
            <w:r>
              <w:rPr>
                <w:rFonts w:hint="eastAsia" w:ascii="宋体" w:hAnsi="宋体"/>
                <w:color w:val="auto"/>
                <w:sz w:val="24"/>
                <w:szCs w:val="24"/>
                <w:highlight w:val="none"/>
              </w:rPr>
              <w:t>套</w:t>
            </w:r>
          </w:p>
        </w:tc>
        <w:tc>
          <w:tcPr>
            <w:tcW w:w="1087" w:type="dxa"/>
            <w:vAlign w:val="center"/>
          </w:tcPr>
          <w:p>
            <w:pPr>
              <w:widowControl/>
              <w:jc w:val="center"/>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120</w:t>
            </w:r>
            <w:r>
              <w:rPr>
                <w:rFonts w:hint="eastAsia" w:ascii="宋体" w:hAnsi="宋体"/>
                <w:color w:val="auto"/>
                <w:sz w:val="24"/>
                <w:szCs w:val="24"/>
                <w:highlight w:val="none"/>
              </w:rPr>
              <w:t>万</w:t>
            </w:r>
          </w:p>
        </w:tc>
        <w:tc>
          <w:tcPr>
            <w:tcW w:w="1407" w:type="dxa"/>
            <w:vAlign w:val="center"/>
          </w:tcPr>
          <w:p>
            <w:pPr>
              <w:widowControl/>
              <w:jc w:val="center"/>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60万</w:t>
            </w:r>
          </w:p>
        </w:tc>
        <w:tc>
          <w:tcPr>
            <w:tcW w:w="2355" w:type="dxa"/>
            <w:vAlign w:val="center"/>
          </w:tcPr>
          <w:p>
            <w:pPr>
              <w:widowControl/>
              <w:jc w:val="center"/>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yellow"/>
                <w:lang w:val="en-US" w:eastAsia="zh-CN"/>
              </w:rPr>
              <w:t>否</w:t>
            </w:r>
          </w:p>
        </w:tc>
      </w:tr>
    </w:tbl>
    <w:p>
      <w:pPr>
        <w:spacing w:line="329" w:lineRule="auto"/>
        <w:ind w:left="709"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采购需求：详见招标文件。</w:t>
      </w:r>
    </w:p>
    <w:p>
      <w:pPr>
        <w:pStyle w:val="46"/>
        <w:spacing w:line="329" w:lineRule="auto"/>
        <w:ind w:left="709"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合同履行期限：自合同签订后</w:t>
      </w:r>
      <w:r>
        <w:rPr>
          <w:rFonts w:hint="eastAsia" w:ascii="宋体" w:hAnsi="宋体" w:eastAsia="宋体"/>
          <w:color w:val="auto"/>
          <w:sz w:val="24"/>
          <w:szCs w:val="24"/>
          <w:highlight w:val="none"/>
          <w:lang w:val="en-US" w:eastAsia="zh-CN"/>
        </w:rPr>
        <w:t>30</w:t>
      </w:r>
      <w:r>
        <w:rPr>
          <w:rFonts w:hint="eastAsia" w:ascii="宋体" w:hAnsi="宋体" w:eastAsia="宋体"/>
          <w:color w:val="auto"/>
          <w:sz w:val="24"/>
          <w:szCs w:val="24"/>
          <w:highlight w:val="none"/>
        </w:rPr>
        <w:t>天内到货。</w:t>
      </w:r>
    </w:p>
    <w:p>
      <w:pPr>
        <w:spacing w:line="329" w:lineRule="auto"/>
        <w:ind w:left="709"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本项目不接受联合体投标。</w:t>
      </w:r>
    </w:p>
    <w:p>
      <w:pPr>
        <w:pStyle w:val="300"/>
        <w:tabs>
          <w:tab w:val="left" w:pos="1134"/>
        </w:tabs>
        <w:spacing w:line="312" w:lineRule="auto"/>
        <w:ind w:left="567" w:firstLine="0" w:firstLineChars="0"/>
        <w:outlineLvl w:val="1"/>
        <w:rPr>
          <w:rFonts w:hint="eastAsia" w:ascii="宋体" w:hAnsi="宋体"/>
          <w:color w:val="auto"/>
          <w:sz w:val="24"/>
          <w:szCs w:val="24"/>
          <w:highlight w:val="none"/>
        </w:rPr>
      </w:pPr>
      <w:bookmarkStart w:id="8" w:name="_Toc3038"/>
      <w:bookmarkEnd w:id="8"/>
      <w:r>
        <w:rPr>
          <w:rFonts w:hint="eastAsia" w:ascii="宋体" w:hAnsi="宋体"/>
          <w:color w:val="auto"/>
          <w:sz w:val="24"/>
          <w:szCs w:val="24"/>
          <w:highlight w:val="none"/>
        </w:rPr>
        <w:t>二、申请人的资格要求：</w:t>
      </w:r>
    </w:p>
    <w:p>
      <w:pPr>
        <w:pStyle w:val="292"/>
        <w:spacing w:line="329" w:lineRule="auto"/>
        <w:ind w:left="709" w:firstLine="0" w:firstLineChars="0"/>
        <w:rPr>
          <w:rFonts w:hint="eastAsia"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pPr>
        <w:spacing w:line="329" w:lineRule="auto"/>
        <w:ind w:left="1134"/>
        <w:rPr>
          <w:rFonts w:hint="eastAsia" w:ascii="宋体" w:hAnsi="宋体"/>
          <w:color w:val="auto"/>
          <w:sz w:val="24"/>
          <w:szCs w:val="24"/>
          <w:highlight w:val="none"/>
        </w:rPr>
      </w:pPr>
      <w:r>
        <w:rPr>
          <w:rFonts w:hint="eastAsia" w:ascii="宋体" w:hAnsi="宋体"/>
          <w:color w:val="auto"/>
          <w:sz w:val="24"/>
          <w:szCs w:val="24"/>
          <w:highlight w:val="none"/>
        </w:rPr>
        <w:t>1）具有独立承担民事责任的能力（提供法人或者其他组织的营业执照；供应商为自然人的，提供其身份证）；</w:t>
      </w:r>
    </w:p>
    <w:p>
      <w:pPr>
        <w:spacing w:line="329" w:lineRule="auto"/>
        <w:ind w:left="1134"/>
        <w:rPr>
          <w:rFonts w:hint="eastAsia" w:ascii="宋体" w:hAnsi="宋体"/>
          <w:color w:val="auto"/>
          <w:sz w:val="24"/>
          <w:szCs w:val="24"/>
          <w:highlight w:val="none"/>
        </w:rPr>
      </w:pPr>
      <w:r>
        <w:rPr>
          <w:rFonts w:hint="eastAsia" w:ascii="宋体" w:hAnsi="宋体"/>
          <w:color w:val="auto"/>
          <w:sz w:val="24"/>
          <w:szCs w:val="24"/>
          <w:highlight w:val="none"/>
        </w:rPr>
        <w:t>2）具有良好的商业信誉和健全的财务会计制度</w:t>
      </w:r>
      <w:r>
        <w:rPr>
          <w:rFonts w:hint="eastAsia" w:ascii="宋体" w:hAnsi="宋体"/>
          <w:b/>
          <w:bCs/>
          <w:color w:val="auto"/>
          <w:sz w:val="24"/>
          <w:szCs w:val="24"/>
          <w:highlight w:val="none"/>
        </w:rPr>
        <w:t>（提供2022年度或2023年度财务报告，至少包含资产负债表、利润表，或投标截止时间前六个月内银行出具的资信证明，或财政部门认可的政府采购专业担保机构出具的投标担保函，成立不满一年无须提供）；</w:t>
      </w:r>
    </w:p>
    <w:p>
      <w:pPr>
        <w:spacing w:line="329" w:lineRule="auto"/>
        <w:ind w:left="1134"/>
        <w:rPr>
          <w:rFonts w:hint="eastAsia" w:ascii="宋体" w:hAnsi="宋体"/>
          <w:color w:val="auto"/>
          <w:sz w:val="24"/>
          <w:szCs w:val="24"/>
          <w:highlight w:val="none"/>
        </w:rPr>
      </w:pPr>
      <w:r>
        <w:rPr>
          <w:rFonts w:hint="eastAsia" w:ascii="宋体" w:hAnsi="宋体"/>
          <w:color w:val="auto"/>
          <w:sz w:val="24"/>
          <w:szCs w:val="24"/>
          <w:highlight w:val="none"/>
        </w:rPr>
        <w:t>3）有依法缴纳税收和社会保障资金的良好记录（提供2023年06月至今）中任一月份的依法缴纳税收和社会保险费的相关材料</w:t>
      </w:r>
      <w:r>
        <w:rPr>
          <w:rFonts w:hint="eastAsia" w:ascii="宋体" w:hAnsi="宋体"/>
          <w:b/>
          <w:bCs/>
          <w:color w:val="auto"/>
          <w:sz w:val="24"/>
          <w:szCs w:val="24"/>
          <w:highlight w:val="none"/>
        </w:rPr>
        <w:t>（提供相关主管部门证明或银行代扣证明的复印件，根据国家相关政策免缴或迟缴的需提供相关证明材料）</w:t>
      </w:r>
    </w:p>
    <w:p>
      <w:pPr>
        <w:spacing w:line="329" w:lineRule="auto"/>
        <w:ind w:left="1134"/>
        <w:rPr>
          <w:rFonts w:hint="eastAsia" w:ascii="宋体" w:hAnsi="宋体"/>
          <w:color w:val="auto"/>
          <w:sz w:val="24"/>
          <w:szCs w:val="24"/>
          <w:highlight w:val="none"/>
        </w:rPr>
      </w:pPr>
      <w:r>
        <w:rPr>
          <w:rFonts w:hint="eastAsia" w:ascii="宋体" w:hAnsi="宋体"/>
          <w:color w:val="auto"/>
          <w:sz w:val="24"/>
          <w:szCs w:val="24"/>
          <w:highlight w:val="none"/>
        </w:rPr>
        <w:t>4）具备履行合同所必需的设备和专业技术能力的证明材料；</w:t>
      </w:r>
    </w:p>
    <w:p>
      <w:pPr>
        <w:spacing w:line="329" w:lineRule="auto"/>
        <w:ind w:left="1134"/>
        <w:rPr>
          <w:rFonts w:hint="eastAsia" w:ascii="宋体" w:hAnsi="宋体"/>
          <w:color w:val="auto"/>
          <w:sz w:val="24"/>
          <w:szCs w:val="24"/>
          <w:highlight w:val="none"/>
        </w:rPr>
      </w:pPr>
      <w:r>
        <w:rPr>
          <w:rFonts w:hint="eastAsia" w:ascii="宋体" w:hAnsi="宋体"/>
          <w:color w:val="auto"/>
          <w:sz w:val="24"/>
          <w:szCs w:val="24"/>
          <w:highlight w:val="none"/>
        </w:rPr>
        <w:t>5）参加政府采购活动前3年内在经营活动中没有重大违法记录的书面声明；</w:t>
      </w:r>
    </w:p>
    <w:p>
      <w:pPr>
        <w:spacing w:line="329" w:lineRule="auto"/>
        <w:ind w:left="1134"/>
        <w:rPr>
          <w:rFonts w:hint="eastAsia" w:ascii="宋体" w:hAnsi="宋体"/>
          <w:color w:val="auto"/>
          <w:sz w:val="24"/>
          <w:szCs w:val="24"/>
          <w:highlight w:val="none"/>
        </w:rPr>
      </w:pPr>
      <w:r>
        <w:rPr>
          <w:rFonts w:hint="eastAsia" w:ascii="宋体" w:hAnsi="宋体"/>
          <w:color w:val="auto"/>
          <w:sz w:val="24"/>
          <w:szCs w:val="24"/>
          <w:highlight w:val="none"/>
        </w:rPr>
        <w:t>6）法律、行政法规规定的其他条件。</w:t>
      </w:r>
    </w:p>
    <w:p>
      <w:pPr>
        <w:spacing w:line="329" w:lineRule="auto"/>
        <w:ind w:firstLine="720" w:firstLineChars="300"/>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2.落实政府采购政策满足的资格要求： </w:t>
      </w:r>
    </w:p>
    <w:p>
      <w:pPr>
        <w:spacing w:line="329" w:lineRule="auto"/>
        <w:ind w:left="1134"/>
        <w:rPr>
          <w:rFonts w:hint="eastAsia" w:ascii="宋体" w:hAnsi="宋体"/>
          <w:color w:val="auto"/>
          <w:sz w:val="24"/>
          <w:szCs w:val="24"/>
          <w:highlight w:val="none"/>
        </w:rPr>
      </w:pPr>
      <w:r>
        <w:rPr>
          <w:rFonts w:hint="eastAsia" w:ascii="宋体" w:hAnsi="宋体"/>
          <w:color w:val="auto"/>
          <w:sz w:val="24"/>
          <w:szCs w:val="24"/>
          <w:highlight w:val="none"/>
        </w:rPr>
        <w:t>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pPr>
        <w:pStyle w:val="292"/>
        <w:spacing w:line="329" w:lineRule="auto"/>
        <w:ind w:left="709" w:firstLine="0" w:firstLineChars="0"/>
        <w:rPr>
          <w:rFonts w:hint="eastAsia" w:ascii="宋体" w:hAnsi="宋体"/>
          <w:color w:val="auto"/>
          <w:sz w:val="24"/>
          <w:szCs w:val="24"/>
          <w:highlight w:val="none"/>
        </w:rPr>
      </w:pPr>
      <w:r>
        <w:rPr>
          <w:rFonts w:hint="eastAsia" w:ascii="宋体" w:hAnsi="宋体"/>
          <w:color w:val="auto"/>
          <w:sz w:val="24"/>
          <w:szCs w:val="24"/>
          <w:highlight w:val="none"/>
        </w:rPr>
        <w:t>3.本项目的特定资格要求：</w:t>
      </w:r>
    </w:p>
    <w:p>
      <w:pPr>
        <w:pStyle w:val="292"/>
        <w:numPr>
          <w:ilvl w:val="0"/>
          <w:numId w:val="4"/>
        </w:numPr>
        <w:spacing w:line="329" w:lineRule="auto"/>
        <w:ind w:left="1560" w:hanging="426" w:firstLineChars="0"/>
        <w:rPr>
          <w:rFonts w:hint="eastAsia" w:ascii="宋体" w:hAnsi="宋体"/>
          <w:bCs/>
          <w:color w:val="auto"/>
          <w:sz w:val="24"/>
          <w:szCs w:val="24"/>
          <w:highlight w:val="none"/>
        </w:rPr>
      </w:pPr>
      <w:r>
        <w:rPr>
          <w:rFonts w:hint="eastAsia" w:ascii="宋体" w:hAnsi="宋体"/>
          <w:bCs/>
          <w:color w:val="auto"/>
          <w:sz w:val="24"/>
          <w:szCs w:val="24"/>
          <w:highlight w:val="none"/>
        </w:rPr>
        <w:t>拒绝被“信用中国”（www.creditchina.gov.cn）、“中国政府采购网”(www.ccgp.gov.cn）、“信用江苏”（http://credit.jiangsu.gov.cn/）列入失信被执行人、重大税收违法案件当事人、政府采购严重失信行为的供应商参加投标。</w:t>
      </w:r>
    </w:p>
    <w:p>
      <w:pPr>
        <w:pStyle w:val="292"/>
        <w:numPr>
          <w:ilvl w:val="0"/>
          <w:numId w:val="4"/>
        </w:numPr>
        <w:spacing w:line="329" w:lineRule="auto"/>
        <w:ind w:left="1560" w:hanging="426" w:firstLineChars="0"/>
        <w:rPr>
          <w:rFonts w:hint="eastAsia" w:ascii="宋体" w:hAnsi="宋体"/>
          <w:color w:val="auto"/>
          <w:sz w:val="24"/>
          <w:szCs w:val="24"/>
          <w:highlight w:val="none"/>
        </w:rPr>
      </w:pPr>
      <w:r>
        <w:rPr>
          <w:rFonts w:hint="eastAsia" w:ascii="宋体" w:hAnsi="宋体"/>
          <w:color w:val="auto"/>
          <w:sz w:val="24"/>
          <w:szCs w:val="24"/>
          <w:highlight w:val="none"/>
        </w:rPr>
        <w:t>其它：</w:t>
      </w:r>
    </w:p>
    <w:p>
      <w:pPr>
        <w:numPr>
          <w:ilvl w:val="0"/>
          <w:numId w:val="5"/>
        </w:numPr>
        <w:spacing w:line="440" w:lineRule="exact"/>
        <w:ind w:left="1380" w:hanging="104"/>
        <w:rPr>
          <w:rFonts w:hint="eastAsia" w:ascii="宋体" w:hAnsi="宋体"/>
          <w:color w:val="auto"/>
          <w:sz w:val="24"/>
          <w:szCs w:val="24"/>
          <w:highlight w:val="none"/>
        </w:rPr>
      </w:pPr>
      <w:r>
        <w:rPr>
          <w:rFonts w:hint="eastAsia" w:ascii="宋体" w:hAnsi="宋体"/>
          <w:color w:val="auto"/>
          <w:sz w:val="24"/>
          <w:szCs w:val="24"/>
          <w:highlight w:val="none"/>
        </w:rPr>
        <w:t>投标产品按国家规定须医疗器械注册证的，投标人须提供投标产品的《医疗器械注册证》（复印件加盖公章）；</w:t>
      </w:r>
    </w:p>
    <w:p>
      <w:pPr>
        <w:numPr>
          <w:ilvl w:val="0"/>
          <w:numId w:val="5"/>
        </w:numPr>
        <w:spacing w:line="440" w:lineRule="exact"/>
        <w:ind w:left="1380" w:hanging="104"/>
        <w:rPr>
          <w:rFonts w:hint="eastAsia" w:ascii="宋体" w:hAnsi="宋体"/>
          <w:color w:val="auto"/>
          <w:sz w:val="24"/>
          <w:szCs w:val="24"/>
          <w:highlight w:val="none"/>
        </w:rPr>
      </w:pPr>
      <w:r>
        <w:rPr>
          <w:rFonts w:hint="eastAsia" w:ascii="宋体" w:hAnsi="宋体"/>
          <w:color w:val="auto"/>
          <w:sz w:val="24"/>
          <w:szCs w:val="24"/>
          <w:highlight w:val="none"/>
        </w:rPr>
        <w:t>投标人为医疗器械经营企业的，须根据投标产品的类别，提供投标人的《医疗器械经营许可证》或者《二类医疗器械经营备案凭证》（复印件加盖公章）；</w:t>
      </w:r>
    </w:p>
    <w:p>
      <w:pPr>
        <w:numPr>
          <w:ilvl w:val="0"/>
          <w:numId w:val="5"/>
        </w:numPr>
        <w:spacing w:line="440" w:lineRule="exact"/>
        <w:ind w:left="1380" w:hanging="104"/>
        <w:rPr>
          <w:rFonts w:hint="eastAsia" w:ascii="宋体" w:hAnsi="宋体"/>
          <w:color w:val="auto"/>
          <w:sz w:val="24"/>
          <w:szCs w:val="24"/>
          <w:highlight w:val="none"/>
        </w:rPr>
      </w:pPr>
      <w:r>
        <w:rPr>
          <w:rFonts w:hint="eastAsia" w:ascii="宋体" w:hAnsi="宋体"/>
          <w:color w:val="auto"/>
          <w:sz w:val="24"/>
          <w:szCs w:val="24"/>
          <w:highlight w:val="none"/>
        </w:rPr>
        <w:t>医疗器械生产企业投标本企业产品的，须提供《医疗器械生产许可证》（复印件加盖公章）；</w:t>
      </w:r>
    </w:p>
    <w:p>
      <w:pPr>
        <w:numPr>
          <w:ilvl w:val="0"/>
          <w:numId w:val="5"/>
        </w:numPr>
        <w:spacing w:line="440" w:lineRule="exact"/>
        <w:ind w:left="1380" w:hanging="104"/>
        <w:rPr>
          <w:rFonts w:hint="eastAsia" w:ascii="宋体" w:hAnsi="宋体"/>
          <w:color w:val="auto"/>
          <w:sz w:val="24"/>
          <w:szCs w:val="24"/>
          <w:highlight w:val="none"/>
        </w:rPr>
      </w:pPr>
      <w:r>
        <w:rPr>
          <w:rFonts w:hint="eastAsia" w:ascii="宋体" w:hAnsi="宋体"/>
          <w:color w:val="auto"/>
          <w:sz w:val="24"/>
          <w:szCs w:val="24"/>
          <w:highlight w:val="none"/>
        </w:rPr>
        <w:t>投标产品按国家规定须进行3C强制认证的，投标人须提供3C证书（复印件加盖公章）。</w:t>
      </w:r>
    </w:p>
    <w:p>
      <w:pPr>
        <w:pStyle w:val="292"/>
        <w:spacing w:line="329" w:lineRule="auto"/>
        <w:ind w:left="709" w:firstLine="0" w:firstLineChars="0"/>
        <w:rPr>
          <w:rFonts w:hint="eastAsia" w:ascii="宋体" w:hAnsi="宋体"/>
          <w:b/>
          <w:bCs/>
          <w:color w:val="auto"/>
          <w:sz w:val="24"/>
          <w:szCs w:val="24"/>
          <w:highlight w:val="none"/>
        </w:rPr>
      </w:pPr>
      <w:r>
        <w:rPr>
          <w:rFonts w:hint="eastAsia" w:ascii="宋体" w:hAnsi="宋体"/>
          <w:b/>
          <w:bCs/>
          <w:color w:val="auto"/>
          <w:sz w:val="24"/>
          <w:szCs w:val="24"/>
          <w:highlight w:val="none"/>
        </w:rPr>
        <w:t>注：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pStyle w:val="292"/>
        <w:spacing w:line="329" w:lineRule="auto"/>
        <w:ind w:left="709" w:firstLine="0" w:firstLineChars="0"/>
        <w:outlineLvl w:val="1"/>
        <w:rPr>
          <w:rFonts w:hint="eastAsia" w:ascii="宋体" w:hAnsi="宋体"/>
          <w:color w:val="auto"/>
          <w:sz w:val="24"/>
          <w:szCs w:val="24"/>
          <w:highlight w:val="none"/>
        </w:rPr>
      </w:pPr>
      <w:bookmarkStart w:id="9" w:name="_Toc26697"/>
      <w:bookmarkEnd w:id="9"/>
      <w:r>
        <w:rPr>
          <w:rFonts w:hint="eastAsia" w:ascii="宋体" w:hAnsi="宋体"/>
          <w:color w:val="auto"/>
          <w:sz w:val="24"/>
          <w:szCs w:val="24"/>
          <w:highlight w:val="none"/>
        </w:rPr>
        <w:t>三、获取招标文件</w:t>
      </w:r>
    </w:p>
    <w:p>
      <w:pPr>
        <w:pStyle w:val="292"/>
        <w:spacing w:line="329" w:lineRule="auto"/>
        <w:ind w:left="840" w:firstLineChars="0"/>
        <w:jc w:val="left"/>
        <w:rPr>
          <w:rFonts w:hint="eastAsia" w:ascii="宋体" w:hAnsi="宋体"/>
          <w:color w:val="auto"/>
          <w:sz w:val="24"/>
          <w:szCs w:val="24"/>
          <w:highlight w:val="none"/>
        </w:rPr>
      </w:pPr>
      <w:r>
        <w:rPr>
          <w:rFonts w:hint="eastAsia" w:ascii="宋体" w:hAnsi="宋体"/>
          <w:color w:val="auto"/>
          <w:sz w:val="24"/>
          <w:szCs w:val="24"/>
          <w:highlight w:val="none"/>
        </w:rPr>
        <w:t>时间：自公告发布之日起至</w:t>
      </w:r>
      <w:r>
        <w:rPr>
          <w:rFonts w:hint="eastAsia" w:ascii="宋体" w:hAnsi="宋体"/>
          <w:color w:val="auto"/>
          <w:sz w:val="24"/>
          <w:szCs w:val="24"/>
          <w:highlight w:val="yellow"/>
        </w:rPr>
        <w:t>2024年</w:t>
      </w:r>
      <w:r>
        <w:rPr>
          <w:rFonts w:hint="eastAsia" w:ascii="宋体" w:hAnsi="宋体" w:eastAsia="宋体"/>
          <w:color w:val="auto"/>
          <w:sz w:val="24"/>
          <w:szCs w:val="24"/>
          <w:highlight w:val="yellow"/>
          <w:lang w:val="en-US" w:eastAsia="zh-CN"/>
        </w:rPr>
        <w:t>7</w:t>
      </w:r>
      <w:r>
        <w:rPr>
          <w:rFonts w:hint="eastAsia" w:ascii="宋体" w:hAnsi="宋体"/>
          <w:color w:val="auto"/>
          <w:sz w:val="24"/>
          <w:szCs w:val="24"/>
          <w:highlight w:val="yellow"/>
        </w:rPr>
        <w:t>月</w:t>
      </w:r>
      <w:r>
        <w:rPr>
          <w:rFonts w:hint="eastAsia" w:ascii="宋体" w:hAnsi="宋体" w:eastAsia="宋体"/>
          <w:color w:val="auto"/>
          <w:sz w:val="24"/>
          <w:szCs w:val="24"/>
          <w:highlight w:val="yellow"/>
          <w:lang w:val="en-US" w:eastAsia="zh-CN"/>
        </w:rPr>
        <w:t>31</w:t>
      </w:r>
      <w:r>
        <w:rPr>
          <w:rFonts w:hint="eastAsia" w:ascii="宋体" w:hAnsi="宋体"/>
          <w:color w:val="auto"/>
          <w:sz w:val="24"/>
          <w:szCs w:val="24"/>
          <w:highlight w:val="yellow"/>
        </w:rPr>
        <w:t>日</w:t>
      </w:r>
      <w:r>
        <w:rPr>
          <w:rFonts w:hint="eastAsia" w:ascii="宋体" w:hAnsi="宋体"/>
          <w:color w:val="auto"/>
          <w:sz w:val="24"/>
          <w:szCs w:val="24"/>
          <w:highlight w:val="none"/>
        </w:rPr>
        <w:t>，每天上午9：00至12:00，下午14:00至17:00（北京时间，法定节假日除外）</w:t>
      </w:r>
    </w:p>
    <w:p>
      <w:pPr>
        <w:pStyle w:val="292"/>
        <w:spacing w:line="329" w:lineRule="auto"/>
        <w:ind w:left="840" w:firstLineChars="0"/>
        <w:jc w:val="left"/>
        <w:rPr>
          <w:rFonts w:hint="eastAsia" w:ascii="宋体" w:hAnsi="宋体"/>
          <w:color w:val="auto"/>
          <w:sz w:val="24"/>
          <w:szCs w:val="24"/>
          <w:highlight w:val="none"/>
        </w:rPr>
      </w:pPr>
      <w:r>
        <w:rPr>
          <w:rFonts w:hint="eastAsia" w:ascii="宋体" w:hAnsi="宋体"/>
          <w:color w:val="auto"/>
          <w:sz w:val="24"/>
          <w:szCs w:val="24"/>
          <w:highlight w:val="none"/>
        </w:rPr>
        <w:t>地点：微信公众号：Hollyitc（江苏弘业国际技术工程有限公司）</w:t>
      </w:r>
    </w:p>
    <w:p>
      <w:pPr>
        <w:pStyle w:val="292"/>
        <w:spacing w:line="329" w:lineRule="auto"/>
        <w:ind w:left="840" w:firstLineChars="0"/>
        <w:jc w:val="left"/>
        <w:rPr>
          <w:rFonts w:hint="eastAsia" w:ascii="宋体" w:hAnsi="宋体"/>
          <w:color w:val="auto"/>
          <w:sz w:val="24"/>
          <w:szCs w:val="24"/>
          <w:highlight w:val="none"/>
        </w:rPr>
      </w:pPr>
      <w:r>
        <w:rPr>
          <w:rFonts w:hint="eastAsia" w:ascii="宋体" w:hAnsi="宋体"/>
          <w:color w:val="auto"/>
          <w:sz w:val="24"/>
          <w:szCs w:val="24"/>
          <w:highlight w:val="none"/>
        </w:rPr>
        <w:t>方式：</w:t>
      </w:r>
    </w:p>
    <w:p>
      <w:pPr>
        <w:widowControl/>
        <w:spacing w:line="329" w:lineRule="auto"/>
        <w:ind w:left="709"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1、关注微信公众号：Hollyitc（江苏弘业国际技术工程有限公司）选择招标服务；</w:t>
      </w:r>
    </w:p>
    <w:p>
      <w:pPr>
        <w:widowControl/>
        <w:spacing w:line="329" w:lineRule="auto"/>
        <w:ind w:left="709"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2、选择项目</w:t>
      </w:r>
      <w:r>
        <w:rPr>
          <w:rFonts w:hint="default" w:ascii="宋体" w:hAnsi="宋体"/>
          <w:color w:val="auto"/>
          <w:sz w:val="24"/>
          <w:szCs w:val="24"/>
          <w:highlight w:val="none"/>
        </w:rPr>
        <w:t>1009-2441HOLLY</w:t>
      </w:r>
      <w:r>
        <w:rPr>
          <w:rFonts w:hint="eastAsia" w:ascii="宋体" w:hAnsi="宋体" w:eastAsia="宋体"/>
          <w:color w:val="auto"/>
          <w:sz w:val="24"/>
          <w:szCs w:val="24"/>
          <w:highlight w:val="none"/>
          <w:lang w:val="en-US" w:eastAsia="zh-CN"/>
        </w:rPr>
        <w:t>85D</w:t>
      </w:r>
      <w:r>
        <w:rPr>
          <w:rFonts w:hint="eastAsia" w:ascii="宋体" w:hAnsi="宋体"/>
          <w:color w:val="auto"/>
          <w:sz w:val="24"/>
          <w:szCs w:val="24"/>
          <w:highlight w:val="none"/>
        </w:rPr>
        <w:t>并填写正确的供应商信息；</w:t>
      </w:r>
    </w:p>
    <w:p>
      <w:pPr>
        <w:widowControl/>
        <w:spacing w:line="329" w:lineRule="auto"/>
        <w:ind w:left="709"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3、上传以下材料：</w:t>
      </w:r>
    </w:p>
    <w:p>
      <w:pPr>
        <w:widowControl/>
        <w:spacing w:line="329" w:lineRule="auto"/>
        <w:ind w:left="709" w:firstLine="480" w:firstLineChars="200"/>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①法定代表人或其授权的委托代理人的有效身份证件复印件，加盖公章；</w:t>
      </w:r>
    </w:p>
    <w:p>
      <w:pPr>
        <w:widowControl/>
        <w:spacing w:line="329" w:lineRule="auto"/>
        <w:ind w:left="709" w:firstLine="480" w:firstLineChars="200"/>
        <w:rPr>
          <w:rFonts w:hint="eastAsia" w:ascii="宋体" w:hAnsi="宋体"/>
          <w:color w:val="auto"/>
          <w:sz w:val="24"/>
          <w:szCs w:val="24"/>
          <w:highlight w:val="none"/>
        </w:rPr>
      </w:pPr>
      <w:r>
        <w:rPr>
          <w:rFonts w:hint="eastAsia" w:ascii="宋体" w:hAnsi="宋体"/>
          <w:color w:val="auto"/>
          <w:sz w:val="24"/>
          <w:szCs w:val="24"/>
          <w:highlight w:val="none"/>
          <w:shd w:val="clear" w:color="auto" w:fill="FFFFFF"/>
        </w:rPr>
        <w:t>②单位介绍信加盖公章或授权委托书加盖公章；</w:t>
      </w:r>
    </w:p>
    <w:p>
      <w:pPr>
        <w:widowControl/>
        <w:spacing w:line="360" w:lineRule="auto"/>
        <w:ind w:left="821" w:leftChars="342" w:firstLine="480" w:firstLineChars="200"/>
        <w:rPr>
          <w:rFonts w:hint="eastAsia" w:ascii="宋体" w:hAnsi="宋体"/>
          <w:b/>
          <w:bCs/>
          <w:color w:val="auto"/>
          <w:sz w:val="24"/>
          <w:szCs w:val="24"/>
          <w:highlight w:val="none"/>
        </w:rPr>
      </w:pPr>
      <w:r>
        <w:rPr>
          <w:rFonts w:hint="eastAsia" w:ascii="宋体" w:hAnsi="宋体"/>
          <w:b/>
          <w:bCs/>
          <w:color w:val="auto"/>
          <w:sz w:val="24"/>
          <w:szCs w:val="24"/>
          <w:highlight w:val="none"/>
        </w:rPr>
        <w:t>以上资料经后台审核通过后发送招标文件，未按要求获取文件导致无法参与的，后果自负。</w:t>
      </w:r>
    </w:p>
    <w:p>
      <w:pPr>
        <w:widowControl/>
        <w:spacing w:line="360" w:lineRule="auto"/>
        <w:ind w:left="821" w:leftChars="342" w:firstLine="482" w:firstLineChars="200"/>
        <w:rPr>
          <w:rFonts w:hint="default"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售价：500元</w:t>
      </w:r>
    </w:p>
    <w:p>
      <w:pPr>
        <w:pStyle w:val="300"/>
        <w:tabs>
          <w:tab w:val="left" w:pos="1134"/>
        </w:tabs>
        <w:spacing w:line="360" w:lineRule="exact"/>
        <w:ind w:left="709" w:firstLine="0" w:firstLineChars="0"/>
        <w:outlineLvl w:val="1"/>
        <w:rPr>
          <w:rFonts w:hint="eastAsia" w:ascii="宋体" w:hAnsi="宋体"/>
          <w:color w:val="auto"/>
          <w:sz w:val="24"/>
          <w:szCs w:val="24"/>
          <w:highlight w:val="none"/>
        </w:rPr>
      </w:pPr>
      <w:bookmarkStart w:id="10" w:name="_Toc2291"/>
      <w:bookmarkEnd w:id="10"/>
      <w:r>
        <w:rPr>
          <w:rFonts w:hint="eastAsia" w:ascii="宋体" w:hAnsi="宋体"/>
          <w:color w:val="auto"/>
          <w:sz w:val="24"/>
          <w:szCs w:val="24"/>
          <w:highlight w:val="none"/>
        </w:rPr>
        <w:t>四、提交投标文件截止时间、开标时间和地点</w:t>
      </w:r>
    </w:p>
    <w:p>
      <w:pPr>
        <w:pStyle w:val="300"/>
        <w:tabs>
          <w:tab w:val="left" w:pos="1134"/>
        </w:tabs>
        <w:spacing w:line="312" w:lineRule="auto"/>
        <w:ind w:left="1134" w:firstLine="0" w:firstLineChars="0"/>
        <w:rPr>
          <w:rFonts w:hint="eastAsia" w:ascii="宋体" w:hAnsi="宋体"/>
          <w:color w:val="auto"/>
          <w:sz w:val="24"/>
          <w:szCs w:val="24"/>
          <w:highlight w:val="none"/>
        </w:rPr>
      </w:pPr>
      <w:r>
        <w:rPr>
          <w:rFonts w:hint="eastAsia" w:ascii="宋体" w:hAnsi="宋体"/>
          <w:color w:val="auto"/>
          <w:sz w:val="24"/>
          <w:szCs w:val="24"/>
          <w:highlight w:val="yellow"/>
        </w:rPr>
        <w:t>2024年</w:t>
      </w:r>
      <w:r>
        <w:rPr>
          <w:rFonts w:hint="eastAsia" w:ascii="宋体" w:hAnsi="宋体" w:eastAsia="宋体"/>
          <w:color w:val="auto"/>
          <w:sz w:val="24"/>
          <w:szCs w:val="24"/>
          <w:highlight w:val="yellow"/>
          <w:lang w:val="en-US" w:eastAsia="zh-CN"/>
        </w:rPr>
        <w:t>8</w:t>
      </w:r>
      <w:r>
        <w:rPr>
          <w:rFonts w:hint="eastAsia" w:ascii="宋体" w:hAnsi="宋体"/>
          <w:color w:val="auto"/>
          <w:sz w:val="24"/>
          <w:szCs w:val="24"/>
          <w:highlight w:val="yellow"/>
        </w:rPr>
        <w:t>月</w:t>
      </w:r>
      <w:r>
        <w:rPr>
          <w:rFonts w:hint="eastAsia" w:ascii="宋体" w:hAnsi="宋体" w:eastAsia="宋体"/>
          <w:color w:val="auto"/>
          <w:sz w:val="24"/>
          <w:szCs w:val="24"/>
          <w:highlight w:val="yellow"/>
          <w:lang w:val="en-US" w:eastAsia="zh-CN"/>
        </w:rPr>
        <w:t>14</w:t>
      </w:r>
      <w:r>
        <w:rPr>
          <w:rFonts w:hint="eastAsia" w:ascii="宋体" w:hAnsi="宋体"/>
          <w:color w:val="auto"/>
          <w:sz w:val="24"/>
          <w:szCs w:val="24"/>
          <w:highlight w:val="yellow"/>
        </w:rPr>
        <w:t>日</w:t>
      </w:r>
      <w:r>
        <w:rPr>
          <w:rFonts w:hint="eastAsia" w:ascii="宋体" w:hAnsi="宋体" w:eastAsia="宋体"/>
          <w:color w:val="auto"/>
          <w:sz w:val="24"/>
          <w:szCs w:val="24"/>
          <w:highlight w:val="yellow"/>
          <w:lang w:val="en-US" w:eastAsia="zh-CN"/>
        </w:rPr>
        <w:t>10</w:t>
      </w:r>
      <w:r>
        <w:rPr>
          <w:rFonts w:hint="eastAsia" w:ascii="宋体" w:hAnsi="宋体"/>
          <w:color w:val="auto"/>
          <w:sz w:val="24"/>
          <w:szCs w:val="24"/>
          <w:highlight w:val="yellow"/>
        </w:rPr>
        <w:t>点</w:t>
      </w:r>
      <w:r>
        <w:rPr>
          <w:rFonts w:hint="eastAsia" w:ascii="宋体" w:hAnsi="宋体" w:eastAsia="宋体"/>
          <w:color w:val="auto"/>
          <w:sz w:val="24"/>
          <w:szCs w:val="24"/>
          <w:highlight w:val="yellow"/>
          <w:lang w:val="en-US" w:eastAsia="zh-CN"/>
        </w:rPr>
        <w:t>0</w:t>
      </w:r>
      <w:r>
        <w:rPr>
          <w:rFonts w:hint="eastAsia" w:ascii="宋体" w:hAnsi="宋体"/>
          <w:color w:val="auto"/>
          <w:sz w:val="24"/>
          <w:szCs w:val="24"/>
          <w:highlight w:val="yellow"/>
        </w:rPr>
        <w:t>0分</w:t>
      </w:r>
    </w:p>
    <w:p>
      <w:pPr>
        <w:pStyle w:val="300"/>
        <w:tabs>
          <w:tab w:val="left" w:pos="1134"/>
        </w:tabs>
        <w:spacing w:line="312" w:lineRule="auto"/>
        <w:ind w:left="1134" w:firstLine="0" w:firstLineChars="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地点：南京市中华路50号弘业大厦一楼开标</w:t>
      </w:r>
      <w:r>
        <w:rPr>
          <w:rFonts w:hint="eastAsia" w:ascii="宋体" w:hAnsi="宋体" w:eastAsia="宋体"/>
          <w:color w:val="auto"/>
          <w:sz w:val="24"/>
          <w:szCs w:val="24"/>
          <w:highlight w:val="none"/>
          <w:lang w:val="en-US" w:eastAsia="zh-CN"/>
        </w:rPr>
        <w:t>大厅</w:t>
      </w:r>
    </w:p>
    <w:p>
      <w:pPr>
        <w:pStyle w:val="300"/>
        <w:tabs>
          <w:tab w:val="left" w:pos="1134"/>
        </w:tabs>
        <w:spacing w:line="312" w:lineRule="auto"/>
        <w:ind w:left="708" w:firstLine="0" w:firstLineChars="0"/>
        <w:outlineLvl w:val="1"/>
        <w:rPr>
          <w:rFonts w:hint="eastAsia" w:ascii="宋体" w:hAnsi="宋体"/>
          <w:color w:val="auto"/>
          <w:sz w:val="24"/>
          <w:szCs w:val="24"/>
          <w:highlight w:val="none"/>
        </w:rPr>
      </w:pPr>
      <w:bookmarkStart w:id="11" w:name="_Toc5544"/>
      <w:bookmarkEnd w:id="11"/>
      <w:r>
        <w:rPr>
          <w:rFonts w:hint="eastAsia" w:ascii="宋体" w:hAnsi="宋体"/>
          <w:color w:val="auto"/>
          <w:sz w:val="24"/>
          <w:szCs w:val="24"/>
          <w:highlight w:val="none"/>
        </w:rPr>
        <w:t>五、公告期限</w:t>
      </w:r>
    </w:p>
    <w:p>
      <w:pPr>
        <w:pStyle w:val="300"/>
        <w:tabs>
          <w:tab w:val="left" w:pos="1276"/>
        </w:tabs>
        <w:spacing w:line="312" w:lineRule="auto"/>
        <w:ind w:firstLine="1200" w:firstLineChars="500"/>
        <w:rPr>
          <w:rFonts w:hint="eastAsia" w:ascii="宋体" w:hAnsi="宋体"/>
          <w:color w:val="auto"/>
          <w:sz w:val="24"/>
          <w:szCs w:val="24"/>
          <w:highlight w:val="none"/>
        </w:rPr>
      </w:pPr>
      <w:r>
        <w:rPr>
          <w:rFonts w:hint="eastAsia" w:ascii="宋体" w:hAnsi="宋体"/>
          <w:color w:val="auto"/>
          <w:sz w:val="24"/>
          <w:szCs w:val="24"/>
          <w:highlight w:val="none"/>
        </w:rPr>
        <w:t>自本公告发布之日起5个工作日。</w:t>
      </w:r>
    </w:p>
    <w:p>
      <w:pPr>
        <w:pStyle w:val="300"/>
        <w:numPr>
          <w:ilvl w:val="0"/>
          <w:numId w:val="6"/>
        </w:numPr>
        <w:tabs>
          <w:tab w:val="left" w:pos="1276"/>
        </w:tabs>
        <w:spacing w:line="312" w:lineRule="auto"/>
        <w:ind w:left="720" w:firstLine="0" w:firstLineChars="0"/>
        <w:outlineLvl w:val="1"/>
        <w:rPr>
          <w:rFonts w:hint="eastAsia" w:ascii="宋体" w:hAnsi="宋体"/>
          <w:color w:val="auto"/>
          <w:sz w:val="24"/>
          <w:szCs w:val="24"/>
          <w:highlight w:val="none"/>
        </w:rPr>
      </w:pPr>
      <w:bookmarkStart w:id="12" w:name="_Toc12830"/>
      <w:bookmarkEnd w:id="12"/>
      <w:r>
        <w:rPr>
          <w:rFonts w:hint="eastAsia" w:ascii="宋体" w:hAnsi="宋体"/>
          <w:color w:val="auto"/>
          <w:sz w:val="24"/>
          <w:szCs w:val="24"/>
          <w:highlight w:val="none"/>
        </w:rPr>
        <w:t>其他补充事宜：</w:t>
      </w:r>
    </w:p>
    <w:p>
      <w:pPr>
        <w:widowControl/>
        <w:spacing w:line="329" w:lineRule="auto"/>
        <w:ind w:left="709" w:firstLine="480" w:firstLineChars="200"/>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6.</w:t>
      </w:r>
      <w:r>
        <w:rPr>
          <w:rFonts w:hint="eastAsia" w:ascii="宋体" w:hAnsi="宋体" w:eastAsia="宋体"/>
          <w:color w:val="auto"/>
          <w:sz w:val="24"/>
          <w:szCs w:val="24"/>
          <w:highlight w:val="none"/>
          <w:shd w:val="clear" w:color="auto" w:fill="FFFFFF"/>
          <w:lang w:val="en-US" w:eastAsia="zh-CN"/>
        </w:rPr>
        <w:t>1</w:t>
      </w:r>
      <w:r>
        <w:rPr>
          <w:rFonts w:hint="eastAsia" w:ascii="宋体" w:hAnsi="宋体"/>
          <w:color w:val="auto"/>
          <w:sz w:val="24"/>
          <w:szCs w:val="24"/>
          <w:highlight w:val="none"/>
          <w:shd w:val="clear" w:color="auto" w:fill="FFFFFF"/>
        </w:rPr>
        <w:t>本次招标不收取投标保证金。</w:t>
      </w:r>
    </w:p>
    <w:p>
      <w:pPr>
        <w:widowControl/>
        <w:spacing w:line="329" w:lineRule="auto"/>
        <w:ind w:left="709" w:firstLine="480" w:firstLineChars="200"/>
        <w:rPr>
          <w:rFonts w:hint="default" w:ascii="宋体" w:hAnsi="宋体" w:eastAsia="宋体"/>
          <w:color w:val="auto"/>
          <w:sz w:val="24"/>
          <w:szCs w:val="24"/>
          <w:highlight w:val="none"/>
          <w:shd w:val="clear" w:color="auto" w:fill="FFFFFF"/>
          <w:lang w:val="en-US" w:eastAsia="zh-CN"/>
        </w:rPr>
      </w:pPr>
      <w:r>
        <w:rPr>
          <w:rFonts w:hint="eastAsia" w:ascii="宋体" w:hAnsi="宋体" w:eastAsia="宋体"/>
          <w:color w:val="auto"/>
          <w:sz w:val="24"/>
          <w:szCs w:val="24"/>
          <w:highlight w:val="none"/>
          <w:shd w:val="clear" w:color="auto" w:fill="FFFFFF"/>
          <w:lang w:val="en-US" w:eastAsia="zh-CN"/>
        </w:rPr>
        <w:t>6.2</w:t>
      </w:r>
      <w:r>
        <w:rPr>
          <w:rFonts w:hint="eastAsia" w:ascii="宋体" w:hAnsi="宋体" w:eastAsia="宋体" w:cs="宋体"/>
          <w:kern w:val="2"/>
          <w:highlight w:val="none"/>
          <w:lang w:val="en-US" w:eastAsia="zh-CN"/>
        </w:rPr>
        <w:t>代理机构项目编号：1009-2441HOLLY85D</w:t>
      </w:r>
    </w:p>
    <w:p>
      <w:pPr>
        <w:pStyle w:val="300"/>
        <w:numPr>
          <w:ilvl w:val="0"/>
          <w:numId w:val="7"/>
        </w:numPr>
        <w:tabs>
          <w:tab w:val="left" w:pos="1276"/>
        </w:tabs>
        <w:spacing w:line="312" w:lineRule="auto"/>
        <w:ind w:firstLine="720" w:firstLineChars="300"/>
        <w:outlineLvl w:val="1"/>
        <w:rPr>
          <w:rFonts w:hint="eastAsia" w:ascii="宋体" w:hAnsi="宋体"/>
          <w:color w:val="auto"/>
          <w:sz w:val="24"/>
          <w:szCs w:val="24"/>
          <w:highlight w:val="none"/>
        </w:rPr>
      </w:pPr>
      <w:bookmarkStart w:id="13" w:name="_Toc10479"/>
      <w:bookmarkEnd w:id="13"/>
      <w:r>
        <w:rPr>
          <w:rFonts w:hint="eastAsia" w:ascii="宋体" w:hAnsi="宋体"/>
          <w:color w:val="auto"/>
          <w:sz w:val="24"/>
          <w:szCs w:val="24"/>
          <w:highlight w:val="none"/>
        </w:rPr>
        <w:t>对本次招标提出询问，请按以下方式联系。</w:t>
      </w:r>
    </w:p>
    <w:p>
      <w:pPr>
        <w:pStyle w:val="300"/>
        <w:tabs>
          <w:tab w:val="left" w:pos="1276"/>
        </w:tabs>
        <w:spacing w:line="312" w:lineRule="auto"/>
        <w:ind w:firstLine="1200" w:firstLineChars="500"/>
        <w:rPr>
          <w:rFonts w:hint="eastAsia" w:ascii="宋体" w:hAnsi="宋体"/>
          <w:color w:val="auto"/>
          <w:sz w:val="24"/>
          <w:szCs w:val="24"/>
          <w:highlight w:val="none"/>
        </w:rPr>
      </w:pPr>
      <w:r>
        <w:rPr>
          <w:rFonts w:hint="eastAsia" w:ascii="宋体" w:hAnsi="宋体"/>
          <w:color w:val="auto"/>
          <w:sz w:val="24"/>
          <w:szCs w:val="24"/>
          <w:highlight w:val="none"/>
        </w:rPr>
        <w:t>1.采购人信息</w:t>
      </w:r>
    </w:p>
    <w:p>
      <w:pPr>
        <w:pStyle w:val="300"/>
        <w:tabs>
          <w:tab w:val="left" w:pos="1276"/>
        </w:tabs>
        <w:spacing w:line="312" w:lineRule="auto"/>
        <w:ind w:firstLine="1200" w:firstLineChars="500"/>
        <w:rPr>
          <w:rFonts w:hint="eastAsia" w:ascii="宋体" w:hAnsi="宋体"/>
          <w:color w:val="auto"/>
          <w:sz w:val="24"/>
          <w:highlight w:val="none"/>
        </w:rPr>
      </w:pPr>
      <w:r>
        <w:rPr>
          <w:rFonts w:hint="eastAsia" w:ascii="宋体" w:hAnsi="宋体"/>
          <w:color w:val="auto"/>
          <w:sz w:val="24"/>
          <w:highlight w:val="none"/>
        </w:rPr>
        <w:t>名称：江苏省</w:t>
      </w:r>
      <w:r>
        <w:rPr>
          <w:rFonts w:hint="eastAsia" w:ascii="宋体" w:hAnsi="宋体" w:eastAsia="宋体"/>
          <w:color w:val="auto"/>
          <w:sz w:val="24"/>
          <w:highlight w:val="none"/>
          <w:lang w:val="en-US" w:eastAsia="zh-CN"/>
        </w:rPr>
        <w:t>中</w:t>
      </w:r>
      <w:r>
        <w:rPr>
          <w:rFonts w:hint="eastAsia" w:ascii="宋体" w:hAnsi="宋体"/>
          <w:color w:val="auto"/>
          <w:sz w:val="24"/>
          <w:highlight w:val="none"/>
        </w:rPr>
        <w:t xml:space="preserve">医院         </w:t>
      </w:r>
    </w:p>
    <w:p>
      <w:pPr>
        <w:pStyle w:val="300"/>
        <w:tabs>
          <w:tab w:val="left" w:pos="1276"/>
        </w:tabs>
        <w:spacing w:line="312" w:lineRule="auto"/>
        <w:ind w:firstLine="1200" w:firstLineChars="500"/>
        <w:rPr>
          <w:rFonts w:hint="eastAsia" w:ascii="宋体" w:hAnsi="宋体"/>
          <w:color w:val="auto"/>
          <w:sz w:val="24"/>
          <w:highlight w:val="none"/>
        </w:rPr>
      </w:pPr>
      <w:r>
        <w:rPr>
          <w:rFonts w:hint="eastAsia" w:ascii="宋体" w:hAnsi="宋体"/>
          <w:color w:val="auto"/>
          <w:sz w:val="24"/>
          <w:highlight w:val="none"/>
        </w:rPr>
        <w:t>地址：</w:t>
      </w:r>
      <w:r>
        <w:rPr>
          <w:rFonts w:hint="eastAsia" w:ascii="宋体" w:hAnsi="宋体" w:cs="宋体"/>
          <w:sz w:val="24"/>
          <w:szCs w:val="24"/>
          <w:highlight w:val="none"/>
        </w:rPr>
        <w:t>南京市秦淮区汉中路155号</w:t>
      </w:r>
      <w:r>
        <w:rPr>
          <w:rFonts w:hint="eastAsia" w:ascii="宋体" w:hAnsi="宋体"/>
          <w:color w:val="auto"/>
          <w:kern w:val="0"/>
          <w:sz w:val="24"/>
          <w:szCs w:val="24"/>
          <w:highlight w:val="none"/>
          <w:shd w:val="clear" w:color="auto" w:fill="FFFFFF"/>
        </w:rPr>
        <w:t xml:space="preserve"> </w:t>
      </w:r>
    </w:p>
    <w:p>
      <w:pPr>
        <w:pStyle w:val="46"/>
        <w:ind w:left="840" w:firstLine="42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联系方式：</w:t>
      </w:r>
      <w:r>
        <w:rPr>
          <w:rFonts w:hint="eastAsia" w:ascii="宋体" w:hAnsi="宋体" w:cs="宋体"/>
          <w:sz w:val="24"/>
          <w:szCs w:val="24"/>
          <w:highlight w:val="none"/>
        </w:rPr>
        <w:t>86617141转50416</w:t>
      </w:r>
      <w:r>
        <w:rPr>
          <w:rFonts w:hint="eastAsia" w:ascii="宋体" w:hAnsi="宋体" w:eastAsia="宋体"/>
          <w:color w:val="auto"/>
          <w:sz w:val="24"/>
          <w:highlight w:val="none"/>
        </w:rPr>
        <w:t xml:space="preserve">   </w:t>
      </w:r>
    </w:p>
    <w:p>
      <w:pPr>
        <w:pStyle w:val="300"/>
        <w:tabs>
          <w:tab w:val="left" w:pos="1276"/>
        </w:tabs>
        <w:spacing w:line="312" w:lineRule="auto"/>
        <w:ind w:firstLine="1200" w:firstLineChars="500"/>
        <w:rPr>
          <w:rFonts w:hint="eastAsia" w:ascii="宋体" w:hAnsi="宋体"/>
          <w:color w:val="auto"/>
          <w:kern w:val="0"/>
          <w:sz w:val="24"/>
          <w:szCs w:val="24"/>
          <w:highlight w:val="none"/>
          <w:shd w:val="clear" w:color="auto" w:fill="FFFFFF"/>
        </w:rPr>
      </w:pPr>
      <w:r>
        <w:rPr>
          <w:rFonts w:hint="eastAsia" w:ascii="宋体" w:hAnsi="宋体"/>
          <w:color w:val="auto"/>
          <w:kern w:val="0"/>
          <w:sz w:val="24"/>
          <w:szCs w:val="24"/>
          <w:highlight w:val="none"/>
          <w:shd w:val="clear" w:color="auto" w:fill="FFFFFF"/>
        </w:rPr>
        <w:t>2.采购</w:t>
      </w:r>
      <w:r>
        <w:rPr>
          <w:rFonts w:hint="eastAsia" w:ascii="宋体" w:hAnsi="宋体"/>
          <w:color w:val="auto"/>
          <w:sz w:val="24"/>
          <w:szCs w:val="24"/>
          <w:highlight w:val="none"/>
        </w:rPr>
        <w:t>代理机构信息</w:t>
      </w:r>
    </w:p>
    <w:p>
      <w:pPr>
        <w:pStyle w:val="300"/>
        <w:tabs>
          <w:tab w:val="left" w:pos="1276"/>
        </w:tabs>
        <w:spacing w:line="312" w:lineRule="auto"/>
        <w:ind w:firstLine="1200" w:firstLineChars="500"/>
        <w:rPr>
          <w:rFonts w:hint="eastAsia" w:ascii="宋体" w:hAnsi="宋体"/>
          <w:color w:val="auto"/>
          <w:sz w:val="24"/>
          <w:szCs w:val="24"/>
          <w:highlight w:val="none"/>
        </w:rPr>
      </w:pPr>
      <w:r>
        <w:rPr>
          <w:rFonts w:hint="eastAsia" w:ascii="宋体" w:hAnsi="宋体"/>
          <w:color w:val="auto"/>
          <w:sz w:val="24"/>
          <w:szCs w:val="24"/>
          <w:highlight w:val="none"/>
        </w:rPr>
        <w:t xml:space="preserve">名称： 江苏弘业国际技术工程有限公司 </w:t>
      </w:r>
    </w:p>
    <w:p>
      <w:pPr>
        <w:pStyle w:val="300"/>
        <w:tabs>
          <w:tab w:val="left" w:pos="1276"/>
        </w:tabs>
        <w:spacing w:line="312" w:lineRule="auto"/>
        <w:ind w:firstLine="1200" w:firstLineChars="500"/>
        <w:rPr>
          <w:rFonts w:hint="eastAsia" w:ascii="宋体" w:hAnsi="宋体"/>
          <w:color w:val="auto"/>
          <w:sz w:val="24"/>
          <w:szCs w:val="24"/>
          <w:highlight w:val="none"/>
        </w:rPr>
      </w:pPr>
      <w:r>
        <w:rPr>
          <w:rFonts w:hint="eastAsia" w:ascii="宋体" w:hAnsi="宋体"/>
          <w:color w:val="auto"/>
          <w:sz w:val="24"/>
          <w:szCs w:val="24"/>
          <w:highlight w:val="none"/>
        </w:rPr>
        <w:t>地址：南京市中华路50号弘业大厦10楼1008室</w:t>
      </w:r>
    </w:p>
    <w:p>
      <w:pPr>
        <w:pStyle w:val="300"/>
        <w:tabs>
          <w:tab w:val="left" w:pos="1276"/>
        </w:tabs>
        <w:spacing w:line="312" w:lineRule="auto"/>
        <w:ind w:firstLine="1200" w:firstLineChars="500"/>
        <w:rPr>
          <w:rFonts w:hint="eastAsia" w:ascii="宋体" w:hAnsi="宋体"/>
          <w:color w:val="auto"/>
          <w:kern w:val="0"/>
          <w:sz w:val="24"/>
          <w:szCs w:val="24"/>
          <w:highlight w:val="none"/>
          <w:shd w:val="clear" w:color="auto" w:fill="FFFFFF"/>
        </w:rPr>
      </w:pPr>
      <w:r>
        <w:rPr>
          <w:rFonts w:hint="eastAsia" w:ascii="宋体" w:hAnsi="宋体"/>
          <w:color w:val="auto"/>
          <w:kern w:val="0"/>
          <w:sz w:val="24"/>
          <w:szCs w:val="24"/>
          <w:highlight w:val="none"/>
          <w:shd w:val="clear" w:color="auto" w:fill="FFFFFF"/>
        </w:rPr>
        <w:t>联系方式：025-52278</w:t>
      </w:r>
      <w:r>
        <w:rPr>
          <w:rFonts w:ascii="宋体" w:hAnsi="宋体"/>
          <w:color w:val="auto"/>
          <w:kern w:val="0"/>
          <w:sz w:val="24"/>
          <w:szCs w:val="24"/>
          <w:highlight w:val="none"/>
          <w:shd w:val="clear" w:color="auto" w:fill="FFFFFF"/>
        </w:rPr>
        <w:t>674</w:t>
      </w:r>
    </w:p>
    <w:p>
      <w:pPr>
        <w:pStyle w:val="300"/>
        <w:tabs>
          <w:tab w:val="left" w:pos="1276"/>
        </w:tabs>
        <w:spacing w:line="312" w:lineRule="auto"/>
        <w:ind w:firstLine="1200" w:firstLineChars="500"/>
        <w:rPr>
          <w:rFonts w:hint="eastAsia" w:ascii="宋体" w:hAnsi="宋体"/>
          <w:color w:val="auto"/>
          <w:sz w:val="24"/>
          <w:szCs w:val="24"/>
          <w:highlight w:val="none"/>
        </w:rPr>
      </w:pPr>
      <w:r>
        <w:rPr>
          <w:rFonts w:hint="eastAsia" w:ascii="宋体" w:hAnsi="宋体"/>
          <w:color w:val="auto"/>
          <w:sz w:val="24"/>
          <w:szCs w:val="24"/>
          <w:highlight w:val="none"/>
        </w:rPr>
        <w:t>传  真：025-52278761</w:t>
      </w:r>
    </w:p>
    <w:p>
      <w:pPr>
        <w:pStyle w:val="300"/>
        <w:tabs>
          <w:tab w:val="left" w:pos="1134"/>
        </w:tabs>
        <w:spacing w:line="312" w:lineRule="auto"/>
        <w:ind w:firstLine="1252" w:firstLineChars="522"/>
        <w:rPr>
          <w:rFonts w:hint="eastAsia" w:ascii="宋体" w:hAnsi="宋体"/>
          <w:color w:val="auto"/>
          <w:sz w:val="24"/>
          <w:szCs w:val="24"/>
          <w:highlight w:val="none"/>
        </w:rPr>
      </w:pPr>
      <w:r>
        <w:rPr>
          <w:rFonts w:hint="eastAsia" w:ascii="宋体" w:hAnsi="宋体"/>
          <w:color w:val="auto"/>
          <w:sz w:val="24"/>
          <w:szCs w:val="24"/>
          <w:highlight w:val="none"/>
        </w:rPr>
        <w:t>邮箱：</w:t>
      </w:r>
      <w:r>
        <w:rPr>
          <w:rFonts w:hint="eastAsia" w:ascii="宋体" w:hAnsi="宋体"/>
          <w:color w:val="auto"/>
          <w:sz w:val="24"/>
          <w:szCs w:val="24"/>
          <w:highlight w:val="none"/>
        </w:rPr>
        <w:fldChar w:fldCharType="begin"/>
      </w:r>
      <w:r>
        <w:rPr>
          <w:rFonts w:hint="eastAsia" w:ascii="宋体" w:hAnsi="宋体"/>
          <w:color w:val="auto"/>
          <w:sz w:val="24"/>
          <w:szCs w:val="24"/>
          <w:highlight w:val="none"/>
        </w:rPr>
        <w:instrText xml:space="preserve"> HYPERLINK "mailto:hollyzbzy@artall.com" </w:instrText>
      </w:r>
      <w:r>
        <w:rPr>
          <w:rFonts w:hint="eastAsia" w:ascii="宋体" w:hAnsi="宋体"/>
          <w:color w:val="auto"/>
          <w:sz w:val="24"/>
          <w:szCs w:val="24"/>
          <w:highlight w:val="none"/>
        </w:rPr>
        <w:fldChar w:fldCharType="separate"/>
      </w:r>
      <w:r>
        <w:rPr>
          <w:rFonts w:hint="eastAsia" w:ascii="宋体" w:hAnsi="宋体"/>
          <w:color w:val="auto"/>
          <w:sz w:val="24"/>
          <w:szCs w:val="24"/>
          <w:highlight w:val="none"/>
        </w:rPr>
        <w:t>hollyzbzy@artall.com</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  </w:t>
      </w:r>
    </w:p>
    <w:p>
      <w:pPr>
        <w:pStyle w:val="300"/>
        <w:numPr>
          <w:ilvl w:val="0"/>
          <w:numId w:val="8"/>
        </w:numPr>
        <w:tabs>
          <w:tab w:val="left" w:pos="1134"/>
          <w:tab w:val="clear" w:pos="312"/>
        </w:tabs>
        <w:spacing w:line="312" w:lineRule="auto"/>
        <w:ind w:firstLine="1252" w:firstLineChars="522"/>
        <w:rPr>
          <w:rFonts w:hint="eastAsia" w:ascii="宋体" w:hAnsi="宋体"/>
          <w:color w:val="auto"/>
          <w:sz w:val="24"/>
          <w:szCs w:val="24"/>
          <w:highlight w:val="none"/>
        </w:rPr>
      </w:pPr>
      <w:r>
        <w:rPr>
          <w:rFonts w:hint="eastAsia" w:ascii="宋体" w:hAnsi="宋体"/>
          <w:color w:val="auto"/>
          <w:sz w:val="24"/>
          <w:szCs w:val="24"/>
          <w:highlight w:val="none"/>
        </w:rPr>
        <w:t>项目联系方式</w:t>
      </w:r>
    </w:p>
    <w:p>
      <w:pPr>
        <w:pStyle w:val="300"/>
        <w:tabs>
          <w:tab w:val="left" w:pos="1134"/>
        </w:tabs>
        <w:spacing w:line="312" w:lineRule="auto"/>
        <w:ind w:firstLine="1200" w:firstLineChars="500"/>
        <w:rPr>
          <w:rFonts w:hint="eastAsia" w:ascii="宋体" w:hAnsi="宋体"/>
          <w:color w:val="auto"/>
          <w:sz w:val="24"/>
          <w:szCs w:val="24"/>
          <w:highlight w:val="none"/>
        </w:rPr>
      </w:pPr>
      <w:r>
        <w:rPr>
          <w:rFonts w:hint="eastAsia" w:ascii="宋体" w:hAnsi="宋体"/>
          <w:color w:val="auto"/>
          <w:sz w:val="24"/>
          <w:szCs w:val="24"/>
          <w:highlight w:val="none"/>
        </w:rPr>
        <w:t xml:space="preserve">项目联系人：田雨萌        </w:t>
      </w:r>
    </w:p>
    <w:p>
      <w:pPr>
        <w:pStyle w:val="300"/>
        <w:tabs>
          <w:tab w:val="left" w:pos="1134"/>
        </w:tabs>
        <w:spacing w:line="312" w:lineRule="auto"/>
        <w:ind w:firstLine="1200" w:firstLineChars="500"/>
        <w:rPr>
          <w:rFonts w:hint="eastAsia" w:ascii="宋体" w:hAnsi="宋体"/>
          <w:color w:val="auto"/>
          <w:sz w:val="24"/>
          <w:szCs w:val="24"/>
          <w:highlight w:val="none"/>
        </w:rPr>
      </w:pPr>
      <w:r>
        <w:rPr>
          <w:rFonts w:hint="eastAsia" w:ascii="宋体" w:hAnsi="宋体"/>
          <w:color w:val="auto"/>
          <w:sz w:val="24"/>
          <w:szCs w:val="24"/>
          <w:highlight w:val="none"/>
        </w:rPr>
        <w:t>电话：</w:t>
      </w:r>
      <w:r>
        <w:rPr>
          <w:rFonts w:hint="eastAsia" w:ascii="宋体" w:hAnsi="宋体"/>
          <w:color w:val="auto"/>
          <w:kern w:val="0"/>
          <w:sz w:val="24"/>
          <w:szCs w:val="24"/>
          <w:highlight w:val="none"/>
          <w:shd w:val="clear" w:color="auto" w:fill="FFFFFF"/>
        </w:rPr>
        <w:t>025-52278</w:t>
      </w:r>
      <w:r>
        <w:rPr>
          <w:rFonts w:ascii="宋体" w:hAnsi="宋体"/>
          <w:color w:val="auto"/>
          <w:kern w:val="0"/>
          <w:sz w:val="24"/>
          <w:szCs w:val="24"/>
          <w:highlight w:val="none"/>
          <w:shd w:val="clear" w:color="auto" w:fill="FFFFFF"/>
        </w:rPr>
        <w:t>674</w:t>
      </w:r>
    </w:p>
    <w:p>
      <w:pPr>
        <w:pStyle w:val="72"/>
        <w:spacing w:before="0" w:beforeAutospacing="0" w:after="0" w:afterAutospacing="0" w:line="312" w:lineRule="auto"/>
        <w:ind w:firstLine="720" w:firstLineChars="300"/>
        <w:jc w:val="center"/>
        <w:outlineLvl w:val="1"/>
        <w:rPr>
          <w:rFonts w:hint="eastAsia" w:hAnsi="宋体"/>
          <w:color w:val="auto"/>
          <w:szCs w:val="24"/>
          <w:highlight w:val="none"/>
        </w:rPr>
      </w:pPr>
      <w:bookmarkStart w:id="14" w:name="_Toc25617"/>
      <w:bookmarkEnd w:id="14"/>
      <w:r>
        <w:rPr>
          <w:rFonts w:hint="eastAsia" w:hAnsi="宋体"/>
          <w:color w:val="auto"/>
          <w:szCs w:val="24"/>
          <w:highlight w:val="none"/>
        </w:rPr>
        <w:t xml:space="preserve">                                       江苏弘业国际技术工程有限公司</w:t>
      </w:r>
    </w:p>
    <w:p>
      <w:pPr>
        <w:jc w:val="center"/>
        <w:rPr>
          <w:rFonts w:hint="eastAsia" w:ascii="宋体" w:hAnsi="宋体"/>
          <w:b/>
          <w:color w:val="auto"/>
          <w:sz w:val="24"/>
          <w:szCs w:val="24"/>
          <w:highlight w:val="none"/>
        </w:rPr>
      </w:pPr>
    </w:p>
    <w:p>
      <w:pPr>
        <w:jc w:val="center"/>
        <w:rPr>
          <w:rFonts w:hint="eastAsia"/>
          <w:b/>
          <w:color w:val="auto"/>
          <w:sz w:val="44"/>
          <w:szCs w:val="44"/>
          <w:highlight w:val="none"/>
        </w:rPr>
      </w:pPr>
    </w:p>
    <w:p>
      <w:pPr>
        <w:jc w:val="center"/>
        <w:rPr>
          <w:rFonts w:hint="eastAsia" w:ascii="宋体" w:hAnsi="宋体"/>
          <w:b/>
          <w:color w:val="auto"/>
          <w:sz w:val="36"/>
          <w:szCs w:val="36"/>
          <w:highlight w:val="none"/>
        </w:rPr>
      </w:pPr>
    </w:p>
    <w:p>
      <w:pPr>
        <w:jc w:val="center"/>
        <w:outlineLvl w:val="0"/>
        <w:rPr>
          <w:rFonts w:hint="eastAsia"/>
          <w:b/>
          <w:color w:val="auto"/>
          <w:sz w:val="44"/>
          <w:szCs w:val="44"/>
          <w:highlight w:val="none"/>
        </w:rPr>
      </w:pPr>
      <w:bookmarkStart w:id="15" w:name="_Toc1881"/>
      <w:bookmarkEnd w:id="15"/>
      <w:r>
        <w:rPr>
          <w:rFonts w:hint="eastAsia"/>
          <w:b/>
          <w:color w:val="auto"/>
          <w:sz w:val="44"/>
          <w:szCs w:val="44"/>
          <w:highlight w:val="none"/>
        </w:rPr>
        <w:br w:type="page"/>
      </w:r>
      <w:r>
        <w:rPr>
          <w:rFonts w:hint="eastAsia"/>
          <w:b/>
          <w:color w:val="auto"/>
          <w:sz w:val="44"/>
          <w:szCs w:val="44"/>
          <w:highlight w:val="none"/>
        </w:rPr>
        <w:t>第二部分  投标人须知</w:t>
      </w:r>
    </w:p>
    <w:p>
      <w:pPr>
        <w:pStyle w:val="18"/>
        <w:keepNext w:val="0"/>
        <w:keepLines w:val="0"/>
        <w:jc w:val="center"/>
        <w:rPr>
          <w:rFonts w:hint="eastAsia"/>
          <w:color w:val="auto"/>
          <w:highlight w:val="none"/>
        </w:rPr>
      </w:pPr>
      <w:bookmarkStart w:id="16" w:name="_Toc17705"/>
      <w:bookmarkEnd w:id="16"/>
      <w:bookmarkStart w:id="17" w:name="_Toc514054471"/>
      <w:bookmarkEnd w:id="17"/>
      <w:r>
        <w:rPr>
          <w:rFonts w:hint="eastAsia"/>
          <w:color w:val="auto"/>
          <w:highlight w:val="none"/>
        </w:rPr>
        <w:t>投标人须知前附表</w:t>
      </w:r>
    </w:p>
    <w:tbl>
      <w:tblPr>
        <w:tblStyle w:val="13"/>
        <w:tblW w:w="9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7"/>
        <w:gridCol w:w="2432"/>
        <w:gridCol w:w="60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2" w:hRule="atLeast"/>
        </w:trPr>
        <w:tc>
          <w:tcPr>
            <w:tcW w:w="1007" w:type="dxa"/>
            <w:vAlign w:val="center"/>
          </w:tcPr>
          <w:p>
            <w:pPr>
              <w:jc w:val="center"/>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序号</w:t>
            </w:r>
          </w:p>
        </w:tc>
        <w:tc>
          <w:tcPr>
            <w:tcW w:w="2432" w:type="dxa"/>
            <w:vAlign w:val="center"/>
          </w:tcPr>
          <w:p>
            <w:pPr>
              <w:jc w:val="center"/>
              <w:rPr>
                <w:rFonts w:hint="eastAsia" w:ascii="仿宋_GB2312" w:hAnsi="仿宋" w:eastAsia="仿宋_GB2312"/>
                <w:b/>
                <w:color w:val="auto"/>
                <w:sz w:val="24"/>
                <w:szCs w:val="24"/>
                <w:highlight w:val="none"/>
              </w:rPr>
            </w:pPr>
            <w:r>
              <w:rPr>
                <w:rFonts w:hint="eastAsia" w:ascii="仿宋_GB2312" w:hAnsi="仿宋" w:eastAsia="仿宋_GB2312"/>
                <w:b/>
                <w:color w:val="auto"/>
                <w:sz w:val="24"/>
                <w:szCs w:val="24"/>
                <w:highlight w:val="none"/>
              </w:rPr>
              <w:t>内容</w:t>
            </w:r>
          </w:p>
        </w:tc>
        <w:tc>
          <w:tcPr>
            <w:tcW w:w="6080" w:type="dxa"/>
            <w:vAlign w:val="center"/>
          </w:tcPr>
          <w:p>
            <w:pPr>
              <w:jc w:val="center"/>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说明及要求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trPr>
        <w:tc>
          <w:tcPr>
            <w:tcW w:w="1007" w:type="dxa"/>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2432" w:type="dxa"/>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特别说明</w:t>
            </w:r>
          </w:p>
        </w:tc>
        <w:tc>
          <w:tcPr>
            <w:tcW w:w="6080" w:type="dxa"/>
            <w:vAlign w:val="center"/>
          </w:tcPr>
          <w:p>
            <w:pPr>
              <w:rPr>
                <w:rFonts w:hint="eastAsia" w:ascii="宋体" w:hAnsi="宋体"/>
                <w:b/>
                <w:bCs/>
                <w:color w:val="auto"/>
                <w:sz w:val="24"/>
                <w:szCs w:val="24"/>
                <w:highlight w:val="none"/>
              </w:rPr>
            </w:pPr>
            <w:r>
              <w:rPr>
                <w:rFonts w:hint="eastAsia" w:ascii="宋体" w:hAnsi="宋体"/>
                <w:b/>
                <w:bCs/>
                <w:color w:val="auto"/>
                <w:sz w:val="24"/>
                <w:szCs w:val="24"/>
                <w:highlight w:val="none"/>
              </w:rPr>
              <w:t>若有内容与投标人须知前附表内容不一致时，以投标人须知前附表为准。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8" w:hRule="atLeast"/>
        </w:trPr>
        <w:tc>
          <w:tcPr>
            <w:tcW w:w="1007" w:type="dxa"/>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2432" w:type="dxa"/>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投标保证金</w:t>
            </w:r>
          </w:p>
        </w:tc>
        <w:tc>
          <w:tcPr>
            <w:tcW w:w="6080" w:type="dxa"/>
            <w:vAlign w:val="center"/>
          </w:tcPr>
          <w:p>
            <w:pPr>
              <w:rPr>
                <w:rFonts w:hint="eastAsia" w:ascii="宋体" w:hAnsi="宋体"/>
                <w:color w:val="auto"/>
                <w:sz w:val="24"/>
                <w:szCs w:val="24"/>
                <w:highlight w:val="none"/>
              </w:rPr>
            </w:pPr>
            <w:r>
              <w:rPr>
                <w:rFonts w:hint="eastAsia" w:ascii="宋体" w:hAnsi="宋体"/>
                <w:color w:val="auto"/>
                <w:sz w:val="24"/>
                <w:szCs w:val="24"/>
                <w:highlight w:val="none"/>
              </w:rPr>
              <w:t>本项目不收取投标保证金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 w:hRule="atLeast"/>
        </w:trPr>
        <w:tc>
          <w:tcPr>
            <w:tcW w:w="1007" w:type="dxa"/>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2432" w:type="dxa"/>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投标有效期</w:t>
            </w:r>
          </w:p>
        </w:tc>
        <w:tc>
          <w:tcPr>
            <w:tcW w:w="6080" w:type="dxa"/>
            <w:vAlign w:val="center"/>
          </w:tcPr>
          <w:p>
            <w:pPr>
              <w:widowControl/>
              <w:rPr>
                <w:rFonts w:hint="eastAsia" w:ascii="宋体" w:hAnsi="宋体"/>
                <w:color w:val="auto"/>
                <w:sz w:val="24"/>
                <w:szCs w:val="24"/>
                <w:highlight w:val="none"/>
              </w:rPr>
            </w:pPr>
            <w:bookmarkStart w:id="18" w:name="EBd40b5fb42f2944a3b45e579ce3941f02"/>
            <w:bookmarkEnd w:id="18"/>
            <w:r>
              <w:rPr>
                <w:rFonts w:hint="eastAsia" w:ascii="宋体" w:hAnsi="宋体"/>
                <w:color w:val="auto"/>
                <w:sz w:val="24"/>
                <w:szCs w:val="24"/>
                <w:highlight w:val="none"/>
              </w:rPr>
              <w:t>90日（从提交投标文件截止之日起算）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trPr>
        <w:tc>
          <w:tcPr>
            <w:tcW w:w="1007" w:type="dxa"/>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2432" w:type="dxa"/>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投标文件份数</w:t>
            </w:r>
          </w:p>
        </w:tc>
        <w:tc>
          <w:tcPr>
            <w:tcW w:w="6080" w:type="dxa"/>
            <w:vAlign w:val="center"/>
          </w:tcPr>
          <w:p>
            <w:pPr>
              <w:widowControl/>
              <w:rPr>
                <w:rFonts w:hint="eastAsia" w:ascii="宋体" w:hAnsi="宋体"/>
                <w:color w:val="auto"/>
                <w:sz w:val="24"/>
                <w:szCs w:val="24"/>
                <w:highlight w:val="none"/>
              </w:rPr>
            </w:pPr>
            <w:r>
              <w:rPr>
                <w:rFonts w:hint="eastAsia" w:ascii="宋体" w:hAnsi="宋体"/>
                <w:color w:val="auto"/>
                <w:sz w:val="24"/>
                <w:szCs w:val="24"/>
                <w:highlight w:val="none"/>
              </w:rPr>
              <w:t>正本1份，副本4份，电子版文件1份（盖章的pdf扫描件U盘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9" w:hRule="atLeast"/>
        </w:trPr>
        <w:tc>
          <w:tcPr>
            <w:tcW w:w="1007" w:type="dxa"/>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5</w:t>
            </w:r>
          </w:p>
        </w:tc>
        <w:tc>
          <w:tcPr>
            <w:tcW w:w="2432" w:type="dxa"/>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投标文件的装订、密封及标记</w:t>
            </w:r>
          </w:p>
        </w:tc>
        <w:tc>
          <w:tcPr>
            <w:tcW w:w="6080" w:type="dxa"/>
            <w:vAlign w:val="center"/>
          </w:tcPr>
          <w:p>
            <w:pPr>
              <w:numPr>
                <w:ilvl w:val="0"/>
                <w:numId w:val="9"/>
              </w:numPr>
              <w:rPr>
                <w:rFonts w:hint="eastAsia" w:ascii="宋体" w:hAnsi="宋体"/>
                <w:b/>
                <w:bCs/>
                <w:color w:val="auto"/>
                <w:sz w:val="24"/>
                <w:szCs w:val="24"/>
                <w:highlight w:val="none"/>
              </w:rPr>
            </w:pPr>
            <w:r>
              <w:rPr>
                <w:rFonts w:hint="eastAsia" w:ascii="宋体" w:hAnsi="宋体"/>
                <w:b/>
                <w:bCs/>
                <w:color w:val="auto"/>
                <w:sz w:val="24"/>
                <w:szCs w:val="24"/>
                <w:highlight w:val="none"/>
              </w:rPr>
              <w:t>投标文件必须装订成册。</w:t>
            </w:r>
          </w:p>
          <w:p>
            <w:pPr>
              <w:numPr>
                <w:ilvl w:val="0"/>
                <w:numId w:val="9"/>
              </w:numPr>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开标一览表</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w:t>
            </w:r>
            <w:r>
              <w:rPr>
                <w:rFonts w:hint="eastAsia" w:ascii="宋体" w:hAnsi="宋体"/>
                <w:color w:val="auto"/>
                <w:sz w:val="24"/>
                <w:szCs w:val="24"/>
                <w:highlight w:val="none"/>
              </w:rPr>
              <w:t>投标文件正本</w:t>
            </w:r>
            <w:r>
              <w:rPr>
                <w:rFonts w:ascii="宋体" w:hAnsi="宋体"/>
                <w:color w:val="auto"/>
                <w:sz w:val="24"/>
                <w:szCs w:val="24"/>
                <w:highlight w:val="none"/>
              </w:rPr>
              <w:t>”</w:t>
            </w:r>
            <w:r>
              <w:rPr>
                <w:rFonts w:hint="eastAsia" w:ascii="宋体" w:hAnsi="宋体"/>
                <w:color w:val="auto"/>
                <w:sz w:val="24"/>
                <w:szCs w:val="24"/>
                <w:highlight w:val="none"/>
              </w:rPr>
              <w:t>、“投标文件副本</w:t>
            </w:r>
            <w:r>
              <w:rPr>
                <w:rFonts w:ascii="宋体" w:hAnsi="宋体"/>
                <w:color w:val="auto"/>
                <w:sz w:val="24"/>
                <w:szCs w:val="24"/>
                <w:highlight w:val="none"/>
              </w:rPr>
              <w:t>”</w:t>
            </w:r>
            <w:r>
              <w:rPr>
                <w:rFonts w:hint="eastAsia" w:ascii="宋体" w:hAnsi="宋体"/>
                <w:color w:val="auto"/>
                <w:sz w:val="24"/>
                <w:szCs w:val="24"/>
                <w:highlight w:val="none"/>
              </w:rPr>
              <w:t>、“电子投标文件”均应单独密封，单独递交。</w:t>
            </w:r>
          </w:p>
          <w:p>
            <w:pPr>
              <w:numPr>
                <w:ilvl w:val="0"/>
                <w:numId w:val="9"/>
              </w:numPr>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开标一览表</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w:t>
            </w:r>
            <w:r>
              <w:rPr>
                <w:rFonts w:hint="eastAsia" w:ascii="宋体" w:hAnsi="宋体"/>
                <w:color w:val="auto"/>
                <w:sz w:val="24"/>
                <w:szCs w:val="24"/>
                <w:highlight w:val="none"/>
              </w:rPr>
              <w:t>投标文件正本</w:t>
            </w:r>
            <w:r>
              <w:rPr>
                <w:rFonts w:ascii="宋体" w:hAnsi="宋体"/>
                <w:color w:val="auto"/>
                <w:sz w:val="24"/>
                <w:szCs w:val="24"/>
                <w:highlight w:val="none"/>
              </w:rPr>
              <w:t>”</w:t>
            </w:r>
            <w:r>
              <w:rPr>
                <w:rFonts w:hint="eastAsia" w:ascii="宋体" w:hAnsi="宋体"/>
                <w:color w:val="auto"/>
                <w:sz w:val="24"/>
                <w:szCs w:val="24"/>
                <w:highlight w:val="none"/>
              </w:rPr>
              <w:t>、“投标文件副本</w:t>
            </w:r>
            <w:r>
              <w:rPr>
                <w:rFonts w:ascii="宋体" w:hAnsi="宋体"/>
                <w:color w:val="auto"/>
                <w:sz w:val="24"/>
                <w:szCs w:val="24"/>
                <w:highlight w:val="none"/>
              </w:rPr>
              <w:t>”</w:t>
            </w:r>
            <w:r>
              <w:rPr>
                <w:rFonts w:hint="eastAsia" w:ascii="宋体" w:hAnsi="宋体"/>
                <w:color w:val="auto"/>
                <w:sz w:val="24"/>
                <w:szCs w:val="24"/>
                <w:highlight w:val="none"/>
              </w:rPr>
              <w:t>、“电子投标文件”在封套上注明“开标一览表</w:t>
            </w:r>
            <w:r>
              <w:rPr>
                <w:rFonts w:ascii="宋体" w:hAnsi="宋体"/>
                <w:color w:val="auto"/>
                <w:sz w:val="24"/>
                <w:szCs w:val="24"/>
                <w:highlight w:val="none"/>
              </w:rPr>
              <w:t>”</w:t>
            </w:r>
            <w:r>
              <w:rPr>
                <w:rFonts w:hint="eastAsia" w:ascii="宋体" w:hAnsi="宋体"/>
                <w:color w:val="auto"/>
                <w:sz w:val="24"/>
                <w:szCs w:val="24"/>
                <w:highlight w:val="none"/>
              </w:rPr>
              <w:t>、“投标文件正本”、“投标文件副本”、“电子投标文件”。</w:t>
            </w:r>
          </w:p>
          <w:p>
            <w:pPr>
              <w:numPr>
                <w:ilvl w:val="0"/>
                <w:numId w:val="9"/>
              </w:numPr>
              <w:rPr>
                <w:rFonts w:hint="eastAsia" w:ascii="宋体" w:hAnsi="宋体"/>
                <w:color w:val="auto"/>
                <w:sz w:val="24"/>
                <w:szCs w:val="24"/>
                <w:highlight w:val="none"/>
              </w:rPr>
            </w:pPr>
            <w:r>
              <w:rPr>
                <w:rFonts w:hint="eastAsia" w:ascii="宋体" w:hAnsi="宋体"/>
                <w:color w:val="auto"/>
                <w:sz w:val="24"/>
                <w:szCs w:val="24"/>
                <w:highlight w:val="none"/>
              </w:rPr>
              <w:t>所有封套上均须按如下格式写明：</w:t>
            </w:r>
          </w:p>
          <w:p>
            <w:pPr>
              <w:rPr>
                <w:rFonts w:hint="eastAsia" w:ascii="宋体" w:hAnsi="宋体"/>
                <w:color w:val="auto"/>
                <w:sz w:val="24"/>
                <w:szCs w:val="24"/>
                <w:highlight w:val="none"/>
              </w:rPr>
            </w:pPr>
            <w:r>
              <w:rPr>
                <w:rFonts w:hint="eastAsia" w:ascii="宋体" w:hAnsi="宋体"/>
                <w:color w:val="auto"/>
                <w:sz w:val="24"/>
                <w:szCs w:val="24"/>
                <w:highlight w:val="none"/>
              </w:rPr>
              <w:t xml:space="preserve">  采购文件编号：</w:t>
            </w:r>
          </w:p>
          <w:p>
            <w:pPr>
              <w:rPr>
                <w:rFonts w:hint="eastAsia" w:ascii="宋体" w:hAnsi="宋体"/>
                <w:color w:val="auto"/>
                <w:sz w:val="24"/>
                <w:szCs w:val="24"/>
                <w:highlight w:val="none"/>
              </w:rPr>
            </w:pPr>
            <w:r>
              <w:rPr>
                <w:rFonts w:hint="eastAsia" w:ascii="宋体" w:hAnsi="宋体"/>
                <w:color w:val="auto"/>
                <w:sz w:val="24"/>
                <w:szCs w:val="24"/>
                <w:highlight w:val="none"/>
              </w:rPr>
              <w:t xml:space="preserve">  采购项目名称：</w:t>
            </w:r>
          </w:p>
          <w:p>
            <w:pPr>
              <w:rPr>
                <w:rFonts w:hint="eastAsia" w:ascii="宋体" w:hAnsi="宋体"/>
                <w:color w:val="auto"/>
                <w:sz w:val="24"/>
                <w:szCs w:val="24"/>
                <w:highlight w:val="none"/>
              </w:rPr>
            </w:pPr>
            <w:r>
              <w:rPr>
                <w:rFonts w:hint="eastAsia" w:ascii="宋体" w:hAnsi="宋体"/>
                <w:color w:val="auto"/>
                <w:sz w:val="24"/>
                <w:szCs w:val="24"/>
                <w:highlight w:val="none"/>
              </w:rPr>
              <w:t xml:space="preserve">  投标人的全称、地址、邮编和电话。</w:t>
            </w:r>
          </w:p>
          <w:p>
            <w:pPr>
              <w:ind w:firstLine="240" w:firstLineChars="100"/>
              <w:rPr>
                <w:rFonts w:hint="eastAsia" w:ascii="宋体" w:hAnsi="宋体"/>
                <w:color w:val="auto"/>
                <w:sz w:val="24"/>
                <w:szCs w:val="24"/>
                <w:highlight w:val="none"/>
              </w:rPr>
            </w:pPr>
            <w:r>
              <w:rPr>
                <w:rFonts w:hint="eastAsia" w:ascii="宋体" w:hAnsi="宋体"/>
                <w:color w:val="auto"/>
                <w:sz w:val="24"/>
                <w:szCs w:val="24"/>
                <w:highlight w:val="none"/>
              </w:rPr>
              <w:t>并写明“在（投标截止时间）之前不得启封”字样。</w:t>
            </w:r>
          </w:p>
          <w:p>
            <w:pPr>
              <w:numPr>
                <w:ilvl w:val="0"/>
                <w:numId w:val="9"/>
              </w:numPr>
              <w:rPr>
                <w:rFonts w:hint="eastAsia" w:ascii="宋体" w:hAnsi="宋体"/>
                <w:color w:val="auto"/>
                <w:sz w:val="24"/>
                <w:szCs w:val="24"/>
                <w:highlight w:val="none"/>
              </w:rPr>
            </w:pPr>
            <w:r>
              <w:rPr>
                <w:rFonts w:hint="eastAsia" w:ascii="宋体" w:hAnsi="宋体"/>
                <w:color w:val="auto"/>
                <w:sz w:val="24"/>
                <w:szCs w:val="24"/>
                <w:highlight w:val="none"/>
              </w:rPr>
              <w:t>未按上述规定密封的投标文件,采购代理机构将拒绝接收。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7" w:hRule="atLeast"/>
        </w:trPr>
        <w:tc>
          <w:tcPr>
            <w:tcW w:w="1007" w:type="dxa"/>
            <w:tcBorders>
              <w:bottom w:val="single" w:color="000000" w:sz="4" w:space="0"/>
            </w:tcBorders>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6</w:t>
            </w:r>
          </w:p>
        </w:tc>
        <w:tc>
          <w:tcPr>
            <w:tcW w:w="2432" w:type="dxa"/>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评标办法</w:t>
            </w:r>
          </w:p>
        </w:tc>
        <w:tc>
          <w:tcPr>
            <w:tcW w:w="6080" w:type="dxa"/>
            <w:vAlign w:val="center"/>
          </w:tcPr>
          <w:p>
            <w:pPr>
              <w:widowControl/>
              <w:rPr>
                <w:rFonts w:hint="eastAsia" w:ascii="宋体" w:hAnsi="宋体"/>
                <w:color w:val="auto"/>
                <w:sz w:val="24"/>
                <w:szCs w:val="24"/>
                <w:highlight w:val="none"/>
              </w:rPr>
            </w:pPr>
            <w:r>
              <w:rPr>
                <w:rFonts w:hint="eastAsia" w:ascii="宋体" w:hAnsi="宋体"/>
                <w:color w:val="auto"/>
                <w:sz w:val="24"/>
                <w:szCs w:val="24"/>
                <w:highlight w:val="none"/>
              </w:rPr>
              <w:t>综合评分法</w:t>
            </w:r>
          </w:p>
          <w:p>
            <w:pPr>
              <w:widowControl/>
              <w:rPr>
                <w:rFonts w:hint="eastAsia" w:ascii="宋体" w:hAnsi="宋体"/>
                <w:color w:val="auto"/>
                <w:sz w:val="24"/>
                <w:szCs w:val="24"/>
                <w:highlight w:val="none"/>
              </w:rPr>
            </w:pPr>
            <w:r>
              <w:rPr>
                <w:rFonts w:hint="eastAsia" w:ascii="宋体" w:hAnsi="宋体"/>
                <w:color w:val="auto"/>
                <w:sz w:val="24"/>
                <w:szCs w:val="24"/>
                <w:highlight w:val="none"/>
              </w:rPr>
              <w:t>具体评标办法详见招标文件第三部分。</w:t>
            </w:r>
          </w:p>
          <w:p>
            <w:pPr>
              <w:widowControl/>
              <w:rPr>
                <w:rFonts w:hint="eastAsia" w:ascii="宋体" w:hAnsi="宋体"/>
                <w:color w:val="auto"/>
                <w:sz w:val="24"/>
                <w:szCs w:val="24"/>
                <w:highlight w:val="none"/>
              </w:rPr>
            </w:pPr>
            <w:r>
              <w:rPr>
                <w:rFonts w:hint="eastAsia" w:ascii="宋体" w:hAnsi="宋体"/>
                <w:color w:val="auto"/>
                <w:sz w:val="24"/>
                <w:szCs w:val="24"/>
                <w:highlight w:val="none"/>
              </w:rPr>
              <w:t>评标委员会按照招标文件规定的评标办法和标准，确定各投标人经评审后的得分，并按得分由高到低进行排序。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trPr>
        <w:tc>
          <w:tcPr>
            <w:tcW w:w="1007" w:type="dxa"/>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7</w:t>
            </w:r>
          </w:p>
        </w:tc>
        <w:tc>
          <w:tcPr>
            <w:tcW w:w="2432" w:type="dxa"/>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中标通知书领取</w:t>
            </w:r>
          </w:p>
        </w:tc>
        <w:tc>
          <w:tcPr>
            <w:tcW w:w="6080" w:type="dxa"/>
            <w:vAlign w:val="center"/>
          </w:tcPr>
          <w:p>
            <w:pPr>
              <w:widowControl/>
              <w:rPr>
                <w:rFonts w:hint="eastAsia" w:ascii="宋体" w:hAnsi="宋体"/>
                <w:color w:val="auto"/>
                <w:sz w:val="24"/>
                <w:szCs w:val="24"/>
                <w:highlight w:val="none"/>
              </w:rPr>
            </w:pPr>
            <w:r>
              <w:rPr>
                <w:rFonts w:hint="eastAsia" w:ascii="宋体" w:hAnsi="宋体"/>
                <w:color w:val="auto"/>
                <w:sz w:val="24"/>
                <w:szCs w:val="24"/>
                <w:highlight w:val="none"/>
              </w:rPr>
              <w:t>领取地址：南京市中华路50号弘业大厦10楼。</w:t>
            </w:r>
          </w:p>
          <w:p>
            <w:pPr>
              <w:widowControl/>
              <w:rPr>
                <w:rFonts w:hint="eastAsia" w:ascii="宋体" w:hAnsi="宋体"/>
                <w:color w:val="auto"/>
                <w:sz w:val="24"/>
                <w:szCs w:val="24"/>
                <w:highlight w:val="none"/>
              </w:rPr>
            </w:pPr>
            <w:r>
              <w:rPr>
                <w:rFonts w:hint="eastAsia" w:ascii="宋体" w:hAnsi="宋体"/>
                <w:color w:val="auto"/>
                <w:sz w:val="24"/>
                <w:szCs w:val="24"/>
                <w:highlight w:val="none"/>
              </w:rPr>
              <w:t>需提供材料：中标服务费缴纳截图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6" w:hRule="atLeast"/>
        </w:trPr>
        <w:tc>
          <w:tcPr>
            <w:tcW w:w="1007" w:type="dxa"/>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8</w:t>
            </w:r>
          </w:p>
        </w:tc>
        <w:tc>
          <w:tcPr>
            <w:tcW w:w="2432" w:type="dxa"/>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中标服务费的收取</w:t>
            </w:r>
          </w:p>
        </w:tc>
        <w:tc>
          <w:tcPr>
            <w:tcW w:w="6080" w:type="dxa"/>
            <w:vAlign w:val="center"/>
          </w:tcPr>
          <w:p>
            <w:pPr>
              <w:widowControl/>
              <w:rPr>
                <w:rFonts w:hint="eastAsia" w:ascii="宋体" w:hAnsi="宋体"/>
                <w:color w:val="auto"/>
                <w:sz w:val="24"/>
                <w:szCs w:val="24"/>
                <w:highlight w:val="none"/>
              </w:rPr>
            </w:pPr>
            <w:r>
              <w:rPr>
                <w:rFonts w:hint="eastAsia" w:ascii="宋体" w:hAnsi="宋体"/>
                <w:color w:val="auto"/>
                <w:sz w:val="24"/>
                <w:szCs w:val="24"/>
                <w:highlight w:val="none"/>
              </w:rPr>
              <w:t>本项目中标服务费参照发改价格[2011]</w:t>
            </w:r>
            <w:r>
              <w:rPr>
                <w:rFonts w:hint="eastAsia" w:ascii="宋体" w:hAnsi="宋体" w:eastAsia="宋体"/>
                <w:color w:val="auto"/>
                <w:sz w:val="24"/>
                <w:szCs w:val="24"/>
                <w:highlight w:val="none"/>
                <w:lang w:val="en-US" w:eastAsia="zh-CN"/>
              </w:rPr>
              <w:t>1980</w:t>
            </w:r>
            <w:r>
              <w:rPr>
                <w:rFonts w:hint="eastAsia" w:ascii="宋体" w:hAnsi="宋体"/>
                <w:color w:val="auto"/>
                <w:sz w:val="24"/>
                <w:szCs w:val="24"/>
                <w:highlight w:val="none"/>
              </w:rPr>
              <w:t>号文</w:t>
            </w:r>
            <w:r>
              <w:rPr>
                <w:rFonts w:hint="eastAsia" w:ascii="宋体" w:hAnsi="宋体" w:eastAsia="宋体"/>
                <w:color w:val="auto"/>
                <w:sz w:val="24"/>
                <w:szCs w:val="24"/>
                <w:highlight w:val="none"/>
                <w:lang w:val="en-US" w:eastAsia="zh-CN"/>
              </w:rPr>
              <w:t>60%</w:t>
            </w:r>
            <w:r>
              <w:rPr>
                <w:rFonts w:hint="eastAsia" w:ascii="宋体" w:hAnsi="宋体"/>
                <w:color w:val="auto"/>
                <w:sz w:val="24"/>
                <w:szCs w:val="24"/>
                <w:highlight w:val="none"/>
              </w:rPr>
              <w:t>收取</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不按差额定率累进法计算</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，应在领取中标通知书前缴纳。</w:t>
            </w:r>
          </w:p>
          <w:p>
            <w:pPr>
              <w:widowControl/>
              <w:rPr>
                <w:rFonts w:hint="eastAsia" w:ascii="宋体" w:hAnsi="宋体"/>
                <w:color w:val="auto"/>
                <w:sz w:val="24"/>
                <w:szCs w:val="24"/>
                <w:highlight w:val="none"/>
              </w:rPr>
            </w:pPr>
            <w:r>
              <w:rPr>
                <w:rFonts w:hint="eastAsia" w:ascii="宋体" w:hAnsi="宋体"/>
                <w:color w:val="auto"/>
                <w:sz w:val="24"/>
                <w:szCs w:val="24"/>
                <w:highlight w:val="none"/>
              </w:rPr>
              <w:tab/>
            </w:r>
            <w:r>
              <w:rPr>
                <w:rFonts w:hint="eastAsia" w:ascii="宋体" w:hAnsi="宋体"/>
                <w:color w:val="auto"/>
                <w:sz w:val="24"/>
                <w:szCs w:val="24"/>
                <w:highlight w:val="none"/>
              </w:rPr>
              <w:t>账户信息：</w:t>
            </w:r>
          </w:p>
          <w:p>
            <w:pPr>
              <w:widowControl/>
              <w:rPr>
                <w:rFonts w:hint="eastAsia" w:ascii="宋体" w:hAnsi="宋体"/>
                <w:color w:val="auto"/>
                <w:sz w:val="24"/>
                <w:szCs w:val="24"/>
                <w:highlight w:val="none"/>
              </w:rPr>
            </w:pPr>
            <w:r>
              <w:rPr>
                <w:rFonts w:hint="eastAsia" w:ascii="宋体" w:hAnsi="宋体"/>
                <w:color w:val="auto"/>
                <w:sz w:val="24"/>
                <w:szCs w:val="24"/>
                <w:highlight w:val="none"/>
              </w:rPr>
              <w:tab/>
            </w:r>
            <w:r>
              <w:rPr>
                <w:rFonts w:hint="eastAsia" w:ascii="宋体" w:hAnsi="宋体"/>
                <w:color w:val="auto"/>
                <w:sz w:val="24"/>
                <w:szCs w:val="24"/>
                <w:highlight w:val="none"/>
              </w:rPr>
              <w:t>户    名：江苏弘业国际技术工程有限公司</w:t>
            </w:r>
          </w:p>
          <w:p>
            <w:pPr>
              <w:widowControl/>
              <w:rPr>
                <w:rFonts w:hint="eastAsia" w:ascii="宋体" w:hAnsi="宋体"/>
                <w:color w:val="auto"/>
                <w:sz w:val="24"/>
                <w:szCs w:val="24"/>
                <w:highlight w:val="none"/>
              </w:rPr>
            </w:pPr>
            <w:r>
              <w:rPr>
                <w:rFonts w:hint="eastAsia" w:ascii="宋体" w:hAnsi="宋体"/>
                <w:color w:val="auto"/>
                <w:sz w:val="24"/>
                <w:szCs w:val="24"/>
                <w:highlight w:val="none"/>
              </w:rPr>
              <w:tab/>
            </w:r>
            <w:r>
              <w:rPr>
                <w:rFonts w:hint="eastAsia" w:ascii="宋体" w:hAnsi="宋体"/>
                <w:color w:val="auto"/>
                <w:sz w:val="24"/>
                <w:szCs w:val="24"/>
                <w:highlight w:val="none"/>
              </w:rPr>
              <w:t xml:space="preserve">开户银行：中国银行南京市中华路支行   </w:t>
            </w:r>
          </w:p>
          <w:p>
            <w:pPr>
              <w:widowControl/>
              <w:rPr>
                <w:rFonts w:hint="eastAsia" w:ascii="宋体" w:hAnsi="宋体"/>
                <w:color w:val="auto"/>
                <w:sz w:val="24"/>
                <w:szCs w:val="24"/>
                <w:highlight w:val="none"/>
              </w:rPr>
            </w:pPr>
            <w:r>
              <w:rPr>
                <w:rFonts w:hint="eastAsia" w:ascii="宋体" w:hAnsi="宋体"/>
                <w:color w:val="auto"/>
                <w:sz w:val="24"/>
                <w:szCs w:val="24"/>
                <w:highlight w:val="none"/>
              </w:rPr>
              <w:tab/>
            </w:r>
            <w:r>
              <w:rPr>
                <w:rFonts w:hint="eastAsia" w:ascii="宋体" w:hAnsi="宋体"/>
                <w:color w:val="auto"/>
                <w:sz w:val="24"/>
                <w:szCs w:val="24"/>
                <w:highlight w:val="none"/>
              </w:rPr>
              <w:t>账    号：527460884999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1007" w:type="dxa"/>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9</w:t>
            </w:r>
          </w:p>
        </w:tc>
        <w:tc>
          <w:tcPr>
            <w:tcW w:w="2432" w:type="dxa"/>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履约保证金</w:t>
            </w:r>
          </w:p>
        </w:tc>
        <w:tc>
          <w:tcPr>
            <w:tcW w:w="6080" w:type="dxa"/>
            <w:vAlign w:val="center"/>
          </w:tcPr>
          <w:p>
            <w:pPr>
              <w:rPr>
                <w:rFonts w:hint="eastAsia" w:ascii="宋体" w:hAnsi="宋体"/>
                <w:color w:val="auto"/>
                <w:sz w:val="24"/>
                <w:szCs w:val="24"/>
                <w:highlight w:val="none"/>
              </w:rPr>
            </w:pPr>
            <w:r>
              <w:rPr>
                <w:rFonts w:hint="eastAsia" w:ascii="宋体" w:hAnsi="宋体"/>
                <w:color w:val="auto"/>
                <w:sz w:val="24"/>
                <w:szCs w:val="24"/>
                <w:highlight w:val="none"/>
              </w:rPr>
              <w:t>本项目不适用。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1007" w:type="dxa"/>
            <w:vAlign w:val="center"/>
          </w:tcPr>
          <w:p>
            <w:pPr>
              <w:jc w:val="center"/>
              <w:rPr>
                <w:rFonts w:hint="eastAsia" w:ascii="宋体" w:hAnsi="宋体"/>
                <w:color w:val="auto"/>
                <w:sz w:val="24"/>
                <w:szCs w:val="24"/>
                <w:highlight w:val="none"/>
              </w:rPr>
            </w:pPr>
            <w:bookmarkStart w:id="19" w:name="_Toc25522"/>
            <w:bookmarkStart w:id="20" w:name="_Toc514054472"/>
            <w:r>
              <w:rPr>
                <w:rFonts w:hint="eastAsia" w:ascii="宋体" w:hAnsi="宋体"/>
                <w:color w:val="auto"/>
                <w:sz w:val="24"/>
                <w:szCs w:val="24"/>
                <w:highlight w:val="none"/>
              </w:rPr>
              <w:t>10</w:t>
            </w:r>
          </w:p>
        </w:tc>
        <w:tc>
          <w:tcPr>
            <w:tcW w:w="2432" w:type="dxa"/>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采购标的所属行业</w:t>
            </w:r>
          </w:p>
        </w:tc>
        <w:tc>
          <w:tcPr>
            <w:tcW w:w="6080" w:type="dxa"/>
            <w:vAlign w:val="center"/>
          </w:tcPr>
          <w:p>
            <w:pPr>
              <w:rPr>
                <w:rFonts w:hint="eastAsia" w:ascii="宋体" w:hAnsi="宋体"/>
                <w:color w:val="auto"/>
                <w:sz w:val="24"/>
                <w:szCs w:val="24"/>
                <w:highlight w:val="none"/>
              </w:rPr>
            </w:pPr>
            <w:r>
              <w:rPr>
                <w:rFonts w:hint="eastAsia" w:ascii="宋体" w:hAnsi="宋体"/>
                <w:color w:val="auto"/>
                <w:sz w:val="24"/>
                <w:szCs w:val="24"/>
                <w:highlight w:val="none"/>
              </w:rPr>
              <w:t>本项目采购标的对应的行业主要为</w:t>
            </w:r>
            <w:r>
              <w:rPr>
                <w:rFonts w:hint="eastAsia" w:ascii="宋体" w:hAnsi="宋体"/>
                <w:color w:val="auto"/>
                <w:sz w:val="24"/>
                <w:szCs w:val="24"/>
                <w:highlight w:val="none"/>
                <w:u w:val="single"/>
              </w:rPr>
              <w:t xml:space="preserve">  工业   </w:t>
            </w:r>
            <w:r>
              <w:rPr>
                <w:rFonts w:hint="eastAsia" w:ascii="宋体" w:hAnsi="宋体"/>
                <w:color w:val="auto"/>
                <w:sz w:val="24"/>
                <w:szCs w:val="24"/>
                <w:highlight w:val="none"/>
              </w:rPr>
              <w:t>。</w:t>
            </w:r>
          </w:p>
        </w:tc>
      </w:tr>
      <w:bookmarkEnd w:id="19"/>
      <w:bookmarkEnd w:id="20"/>
    </w:tbl>
    <w:p>
      <w:pPr>
        <w:pStyle w:val="348"/>
        <w:outlineLvl w:val="1"/>
        <w:rPr>
          <w:rFonts w:hint="eastAsia" w:ascii="宋体" w:hAnsi="宋体" w:eastAsia="宋体"/>
          <w:color w:val="auto"/>
          <w:highlight w:val="none"/>
        </w:rPr>
      </w:pPr>
      <w:r>
        <w:rPr>
          <w:rFonts w:hint="eastAsia" w:ascii="宋体" w:hAnsi="宋体" w:eastAsia="宋体"/>
          <w:color w:val="auto"/>
          <w:highlight w:val="none"/>
        </w:rPr>
        <w:t>一、总 则</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1、招标方式</w:t>
      </w:r>
    </w:p>
    <w:p>
      <w:pPr>
        <w:pStyle w:val="47"/>
        <w:spacing w:line="500" w:lineRule="exact"/>
        <w:ind w:firstLine="480" w:firstLineChars="200"/>
        <w:rPr>
          <w:rFonts w:hint="eastAsia" w:ascii="宋体" w:hAnsi="宋体" w:eastAsia="宋体"/>
          <w:color w:val="auto"/>
          <w:sz w:val="24"/>
          <w:highlight w:val="none"/>
        </w:rPr>
      </w:pPr>
      <w:r>
        <w:rPr>
          <w:rFonts w:hint="eastAsia" w:ascii="宋体" w:hAnsi="宋体" w:eastAsia="宋体"/>
          <w:color w:val="auto"/>
          <w:sz w:val="24"/>
          <w:highlight w:val="none"/>
        </w:rPr>
        <w:t>本次招标采取公开招标方式。</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2、合格的投标人</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2.1合格的投标人必须是有能力按照本招标文件规定的要求提供设备和相关服务，且具有独立承担民事等法律责任的法人或其它经济组织。</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2.2合格的投标人必须符合招标文件第一部分《招标公告》第二条及须知前附表相关规定，且具备独立完成本项目的</w:t>
      </w:r>
      <w:r>
        <w:rPr>
          <w:rFonts w:hint="eastAsia" w:ascii="宋体" w:hAnsi="宋体"/>
          <w:color w:val="auto"/>
          <w:kern w:val="10"/>
          <w:sz w:val="24"/>
          <w:highlight w:val="none"/>
        </w:rPr>
        <w:t>能</w:t>
      </w:r>
      <w:r>
        <w:rPr>
          <w:rFonts w:hint="eastAsia" w:ascii="宋体" w:hAnsi="宋体"/>
          <w:color w:val="auto"/>
          <w:sz w:val="24"/>
          <w:highlight w:val="none"/>
        </w:rPr>
        <w:t>力，中标后不允许分包、转包。</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2.3合格的投标人应遵守《中华人民共和国政府采购法》、《中华人民共和国政府采购法实施条例》、《政府采购货物和服务招标投标管理办法》等法律、行政法规、部门规章和规范性文件。</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3、适用法律</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本次招标及由本次招标产生的合同受中华人民共和国的相关法律、法规制约和保护。</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4、投标费用</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投标人应自行承担所有参加投标有关的费用。</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5、招标文件的约束力</w:t>
      </w:r>
    </w:p>
    <w:p>
      <w:pPr>
        <w:spacing w:line="500" w:lineRule="exact"/>
        <w:ind w:firstLine="480" w:firstLineChars="200"/>
        <w:rPr>
          <w:rFonts w:hint="eastAsia" w:ascii="宋体" w:hAnsi="宋体"/>
          <w:color w:val="auto"/>
          <w:kern w:val="0"/>
          <w:sz w:val="24"/>
          <w:highlight w:val="none"/>
        </w:rPr>
      </w:pPr>
      <w:r>
        <w:rPr>
          <w:rFonts w:hint="eastAsia" w:ascii="宋体" w:hAnsi="宋体"/>
          <w:color w:val="auto"/>
          <w:kern w:val="0"/>
          <w:sz w:val="24"/>
          <w:highlight w:val="none"/>
        </w:rPr>
        <w:t>投标人一旦参加本项目投标，即被认为接受了本招标文件的所有条件和规定</w:t>
      </w:r>
      <w:r>
        <w:rPr>
          <w:rFonts w:hint="eastAsia" w:ascii="宋体" w:hAnsi="宋体"/>
          <w:color w:val="auto"/>
          <w:sz w:val="24"/>
          <w:highlight w:val="none"/>
        </w:rPr>
        <w:t>。</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6、相同品牌产品投标</w:t>
      </w:r>
    </w:p>
    <w:p>
      <w:pPr>
        <w:spacing w:line="500" w:lineRule="exact"/>
        <w:ind w:firstLine="480" w:firstLineChars="200"/>
        <w:rPr>
          <w:rFonts w:hint="eastAsia" w:ascii="宋体" w:hAnsi="宋体"/>
          <w:color w:val="auto"/>
          <w:kern w:val="0"/>
          <w:sz w:val="24"/>
          <w:highlight w:val="none"/>
        </w:rPr>
      </w:pPr>
      <w:r>
        <w:rPr>
          <w:rFonts w:hint="eastAsia" w:ascii="宋体" w:hAnsi="宋体"/>
          <w:color w:val="auto"/>
          <w:kern w:val="0"/>
          <w:sz w:val="24"/>
          <w:highlight w:val="none"/>
        </w:rPr>
        <w:t>6.1、采用最低评标价法的采购项目，提供相同品牌产品的不同投标人参加同一合同项下投标的，以其中通过资格审查、符合性审查且报价最低的参加评标；报价相同的，由采购人采取随机抽取方式确定，其他投标无效。</w:t>
      </w:r>
    </w:p>
    <w:p>
      <w:pPr>
        <w:spacing w:line="500" w:lineRule="exact"/>
        <w:ind w:firstLine="480" w:firstLineChars="200"/>
        <w:rPr>
          <w:rFonts w:hint="eastAsia" w:ascii="宋体" w:hAnsi="宋体"/>
          <w:color w:val="auto"/>
          <w:kern w:val="0"/>
          <w:sz w:val="24"/>
          <w:highlight w:val="none"/>
        </w:rPr>
      </w:pPr>
      <w:r>
        <w:rPr>
          <w:rFonts w:hint="eastAsia" w:ascii="宋体" w:hAnsi="宋体"/>
          <w:color w:val="auto"/>
          <w:kern w:val="0"/>
          <w:sz w:val="24"/>
          <w:highlight w:val="none"/>
        </w:rPr>
        <w:t>6.2、使用综合评分法的采购项目，提供相同品牌产品且通过资格审查、符合性审查的不同投标人参加同一合同项下投标的，按一家投标人计算，评审后得分最高的同品牌投标人获得中标人推荐资格；评审得分相同的，报价 最低的投标人获得中标人推荐资格。得分且报价相同的，由采购人采取随机抽取方式确定，其他同品牌投标人不作为中标候选人。</w:t>
      </w:r>
    </w:p>
    <w:p>
      <w:pPr>
        <w:spacing w:line="500" w:lineRule="exact"/>
        <w:ind w:firstLine="480" w:firstLineChars="200"/>
        <w:rPr>
          <w:rFonts w:hint="eastAsia" w:ascii="宋体" w:hAnsi="宋体"/>
          <w:color w:val="auto"/>
          <w:kern w:val="0"/>
          <w:sz w:val="24"/>
          <w:highlight w:val="none"/>
        </w:rPr>
      </w:pPr>
      <w:r>
        <w:rPr>
          <w:rFonts w:hint="eastAsia" w:ascii="宋体" w:hAnsi="宋体"/>
          <w:color w:val="auto"/>
          <w:kern w:val="0"/>
          <w:sz w:val="24"/>
          <w:highlight w:val="none"/>
        </w:rPr>
        <w:t>6.3、非单一产品采购项目，采购人确定核心产品，并在招标文件中载明。多家投标人提供的核心产品品牌全部相同的，按前两款规定处理。</w:t>
      </w:r>
    </w:p>
    <w:p>
      <w:pPr>
        <w:pStyle w:val="348"/>
        <w:outlineLvl w:val="1"/>
        <w:rPr>
          <w:rFonts w:hint="eastAsia" w:ascii="宋体" w:hAnsi="宋体" w:eastAsia="宋体"/>
          <w:color w:val="auto"/>
          <w:highlight w:val="none"/>
        </w:rPr>
      </w:pPr>
      <w:bookmarkStart w:id="21" w:name="_Toc21335"/>
      <w:bookmarkEnd w:id="21"/>
      <w:bookmarkStart w:id="22" w:name="_Toc514054473"/>
      <w:bookmarkEnd w:id="22"/>
      <w:r>
        <w:rPr>
          <w:rFonts w:hint="eastAsia" w:ascii="宋体" w:hAnsi="宋体" w:eastAsia="宋体"/>
          <w:color w:val="auto"/>
          <w:highlight w:val="none"/>
        </w:rPr>
        <w:t>二、招标文件</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7、招标文件构成</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第一部分：招标公告；</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 xml:space="preserve">第二部分：投标人须知； </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第三部分：资格审查及评分办法；</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第四部分：采购需求；</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第五部分：合同格式及条款；</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第六部分：投标文件格式。</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8、招标文件的澄清</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任何要求对招标文件澄清的投标人，均应在法律法规规定的时间内提出，采购代理机构对规定时间内收到的澄清要求予以答复，答复不包括问题的来源。</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9、招标文件的修改</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9.1在投标文件接收截止日期15日前，采购代理机构可以更正公告或补充文件的形式对招标文件进行修改。</w:t>
      </w:r>
    </w:p>
    <w:p>
      <w:pPr>
        <w:spacing w:line="500" w:lineRule="exact"/>
        <w:ind w:firstLine="480" w:firstLineChars="200"/>
        <w:rPr>
          <w:rFonts w:hint="eastAsia" w:ascii="宋体" w:hAnsi="宋体"/>
          <w:color w:val="auto"/>
          <w:kern w:val="0"/>
          <w:sz w:val="24"/>
          <w:highlight w:val="none"/>
        </w:rPr>
      </w:pPr>
      <w:r>
        <w:rPr>
          <w:rFonts w:hint="eastAsia" w:ascii="宋体" w:hAnsi="宋体"/>
          <w:color w:val="auto"/>
          <w:kern w:val="0"/>
          <w:sz w:val="24"/>
          <w:highlight w:val="none"/>
        </w:rPr>
        <w:t xml:space="preserve">9.2招标文件的修改将以通过邮件通知所有已获取招标文件的投标人，并对投标人具有约束力。投标人收到修改文件后，应于1个工作日内予以确认，逾期未确认的，视同已收。 </w:t>
      </w:r>
    </w:p>
    <w:p>
      <w:pPr>
        <w:spacing w:line="500" w:lineRule="exact"/>
        <w:ind w:firstLine="480" w:firstLineChars="200"/>
        <w:rPr>
          <w:rFonts w:hint="eastAsia" w:ascii="宋体" w:hAnsi="宋体"/>
          <w:color w:val="auto"/>
          <w:kern w:val="0"/>
          <w:sz w:val="24"/>
          <w:highlight w:val="none"/>
        </w:rPr>
      </w:pPr>
      <w:r>
        <w:rPr>
          <w:rFonts w:hint="eastAsia" w:ascii="宋体" w:hAnsi="宋体"/>
          <w:color w:val="auto"/>
          <w:kern w:val="0"/>
          <w:sz w:val="24"/>
          <w:highlight w:val="none"/>
        </w:rPr>
        <w:t>9.3为使投标人有充分的时间对招标文件的修改部分进行分析、研究，采购代理机构有权推迟投标文件接收截止日期和开标日期，并将此变更通知所有已获取招标文件的投标人。</w:t>
      </w:r>
    </w:p>
    <w:p>
      <w:pPr>
        <w:spacing w:line="500" w:lineRule="exact"/>
        <w:ind w:firstLine="480" w:firstLineChars="200"/>
        <w:rPr>
          <w:rFonts w:hint="eastAsia" w:ascii="宋体" w:hAnsi="宋体"/>
          <w:color w:val="auto"/>
          <w:sz w:val="24"/>
          <w:highlight w:val="none"/>
        </w:rPr>
      </w:pPr>
      <w:bookmarkStart w:id="23" w:name="EBec71fc1696a240c4b620fe1e00b2ce58"/>
      <w:bookmarkEnd w:id="23"/>
      <w:bookmarkStart w:id="24" w:name="EB453bde7f4ddc418fae2aad9fbcd82554"/>
      <w:bookmarkEnd w:id="24"/>
      <w:r>
        <w:rPr>
          <w:rFonts w:hint="eastAsia" w:ascii="宋体" w:hAnsi="宋体"/>
          <w:color w:val="auto"/>
          <w:sz w:val="24"/>
          <w:highlight w:val="none"/>
        </w:rPr>
        <w:t xml:space="preserve">9.4采购代理机构发出的所有补充、修改和变更文件均作为招标文件的组成部分，与招标文件具有同等法律效力。 </w:t>
      </w:r>
      <w:r>
        <w:rPr>
          <w:rFonts w:hint="eastAsia" w:ascii="宋体" w:hAnsi="宋体"/>
          <w:color w:val="auto"/>
          <w:sz w:val="20"/>
          <w:highlight w:val="none"/>
        </w:rPr>
        <w:t xml:space="preserve">  </w:t>
      </w:r>
    </w:p>
    <w:p>
      <w:pPr>
        <w:pStyle w:val="348"/>
        <w:outlineLvl w:val="1"/>
        <w:rPr>
          <w:rFonts w:hint="eastAsia" w:ascii="宋体" w:hAnsi="宋体" w:eastAsia="宋体"/>
          <w:color w:val="auto"/>
          <w:highlight w:val="none"/>
        </w:rPr>
      </w:pPr>
      <w:bookmarkStart w:id="25" w:name="_Toc26908"/>
      <w:bookmarkEnd w:id="25"/>
      <w:bookmarkStart w:id="26" w:name="_Toc514054474"/>
      <w:bookmarkEnd w:id="26"/>
      <w:r>
        <w:rPr>
          <w:rFonts w:hint="eastAsia" w:ascii="宋体" w:hAnsi="宋体" w:eastAsia="宋体"/>
          <w:color w:val="auto"/>
          <w:highlight w:val="none"/>
        </w:rPr>
        <w:t>三、投标文件的编制</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10、投标文件的编制要求</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10.2投标文件应当对招标文件有关交货期、投标有效期、质量要求、技术标准和要求、招标范围、付款方式等实质性内容作出响应。</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10.3 投标文件须加盖公章之处，应按要求加盖投标单位法人公章（未加盖投标单位法人公章或加盖的为非投标单位法人公章的投标文件将被拒绝。）</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11、投标文件构成</w:t>
      </w:r>
    </w:p>
    <w:p>
      <w:pPr>
        <w:spacing w:line="329" w:lineRule="auto"/>
        <w:ind w:left="1134"/>
        <w:rPr>
          <w:rFonts w:hint="eastAsia" w:ascii="宋体" w:hAnsi="宋体"/>
          <w:color w:val="auto"/>
          <w:sz w:val="24"/>
          <w:highlight w:val="none"/>
        </w:rPr>
      </w:pPr>
      <w:r>
        <w:rPr>
          <w:rFonts w:hint="eastAsia" w:ascii="宋体" w:hAnsi="宋体"/>
          <w:color w:val="auto"/>
          <w:sz w:val="24"/>
          <w:highlight w:val="none"/>
        </w:rPr>
        <w:t>11.1资格证明文件；</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11.1.1</w:t>
      </w:r>
      <w:r>
        <w:rPr>
          <w:rFonts w:hint="eastAsia" w:ascii="宋体" w:hAnsi="宋体"/>
          <w:color w:val="auto"/>
          <w:sz w:val="24"/>
          <w:szCs w:val="24"/>
          <w:highlight w:val="none"/>
        </w:rPr>
        <w:t>具有独立承担民事责任的能力（提供法人或者其他组织的营业执照；供应商为自然人的，提供其身份证）</w:t>
      </w:r>
      <w:r>
        <w:rPr>
          <w:rFonts w:hint="eastAsia" w:ascii="宋体" w:hAnsi="宋体"/>
          <w:color w:val="auto"/>
          <w:sz w:val="24"/>
          <w:highlight w:val="none"/>
        </w:rPr>
        <w:t>；</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 xml:space="preserve">11.1.2 </w:t>
      </w:r>
      <w:r>
        <w:rPr>
          <w:rFonts w:hint="eastAsia" w:ascii="宋体" w:hAnsi="宋体"/>
          <w:color w:val="auto"/>
          <w:sz w:val="24"/>
          <w:szCs w:val="24"/>
          <w:highlight w:val="none"/>
        </w:rPr>
        <w:t>具有良好的商业信誉和健全的财务会计制度</w:t>
      </w:r>
      <w:r>
        <w:rPr>
          <w:rFonts w:hint="eastAsia" w:ascii="宋体" w:hAnsi="宋体"/>
          <w:b/>
          <w:bCs/>
          <w:color w:val="auto"/>
          <w:sz w:val="24"/>
          <w:szCs w:val="24"/>
          <w:highlight w:val="none"/>
        </w:rPr>
        <w:t>（提供2022年度或2023年度财务报告，至少包含资产负债表、利润表，或投标截止时间前六个月内银行出具的资信证明，或财政部门认可的政府采购专业担保机构出具的投标担保函，成立不满一年无须提供）</w:t>
      </w:r>
      <w:r>
        <w:rPr>
          <w:rFonts w:hint="eastAsia" w:ascii="宋体" w:hAnsi="宋体"/>
          <w:color w:val="auto"/>
          <w:sz w:val="24"/>
          <w:highlight w:val="none"/>
        </w:rPr>
        <w:t>；</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11.1.3</w:t>
      </w:r>
      <w:r>
        <w:rPr>
          <w:rFonts w:hint="eastAsia" w:ascii="宋体" w:hAnsi="宋体"/>
          <w:color w:val="auto"/>
          <w:sz w:val="24"/>
          <w:szCs w:val="24"/>
          <w:highlight w:val="none"/>
        </w:rPr>
        <w:t>有依法缴纳税收和社会保障资金的良好记录（提供2023年06月至今）中任一月份的依法缴纳税收和社会保险费的相关材料</w:t>
      </w:r>
      <w:r>
        <w:rPr>
          <w:rFonts w:hint="eastAsia" w:ascii="宋体" w:hAnsi="宋体"/>
          <w:b/>
          <w:bCs/>
          <w:color w:val="auto"/>
          <w:sz w:val="24"/>
          <w:szCs w:val="24"/>
          <w:highlight w:val="none"/>
        </w:rPr>
        <w:t>（提供相关主管部门证明或银行代扣证明的复印件，根据国家相关政策免缴或迟缴的需提供相关证明材料）</w:t>
      </w:r>
      <w:r>
        <w:rPr>
          <w:rFonts w:hint="eastAsia" w:ascii="宋体" w:hAnsi="宋体"/>
          <w:color w:val="auto"/>
          <w:sz w:val="24"/>
          <w:highlight w:val="none"/>
        </w:rPr>
        <w:t>；</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11.1.4 具备履行合同所必需的设备和专业技术能力的证明材料；</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11.1.5 参加政府采购活动前3年内在经营活动中没有重大违法记录的书面声明；</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11.1.6法律、行政法规规定的其他条件；</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11.1.7</w:t>
      </w:r>
      <w:r>
        <w:rPr>
          <w:rFonts w:hint="eastAsia" w:ascii="宋体" w:hAnsi="宋体"/>
          <w:bCs/>
          <w:color w:val="auto"/>
          <w:sz w:val="24"/>
          <w:szCs w:val="24"/>
          <w:highlight w:val="none"/>
        </w:rPr>
        <w:t>拒绝被“信用中国”（www.creditchina.gov.cn）、“中国政府采购网”(www.ccgp.gov.cn）、“信用江苏”（http://credit.jiangsu.gov.cn/）列入失信被执行人、重大税收违法案件当事人、政府采购严重失信行为的供应商参加投标</w:t>
      </w:r>
      <w:r>
        <w:rPr>
          <w:rFonts w:hint="eastAsia" w:ascii="宋体" w:hAnsi="宋体"/>
          <w:color w:val="auto"/>
          <w:sz w:val="24"/>
          <w:highlight w:val="none"/>
        </w:rPr>
        <w:t>。</w:t>
      </w:r>
    </w:p>
    <w:p>
      <w:pPr>
        <w:spacing w:line="329" w:lineRule="auto"/>
        <w:ind w:firstLine="480" w:firstLineChars="200"/>
        <w:rPr>
          <w:rFonts w:hint="eastAsia" w:ascii="宋体" w:hAnsi="宋体"/>
          <w:color w:val="auto"/>
          <w:sz w:val="24"/>
          <w:highlight w:val="none"/>
        </w:rPr>
      </w:pPr>
      <w:r>
        <w:rPr>
          <w:rFonts w:hint="eastAsia" w:ascii="宋体" w:hAnsi="宋体"/>
          <w:color w:val="auto"/>
          <w:sz w:val="24"/>
          <w:highlight w:val="none"/>
        </w:rPr>
        <w:t>11.1.</w:t>
      </w:r>
      <w:r>
        <w:rPr>
          <w:rFonts w:hint="eastAsia" w:ascii="宋体" w:hAnsi="宋体" w:eastAsia="宋体"/>
          <w:color w:val="auto"/>
          <w:sz w:val="24"/>
          <w:highlight w:val="none"/>
          <w:lang w:val="en-US" w:eastAsia="zh-CN"/>
        </w:rPr>
        <w:t>8</w:t>
      </w:r>
      <w:r>
        <w:rPr>
          <w:rFonts w:hint="eastAsia" w:ascii="宋体" w:hAnsi="宋体"/>
          <w:color w:val="auto"/>
          <w:sz w:val="24"/>
          <w:highlight w:val="none"/>
        </w:rPr>
        <w:t xml:space="preserve"> </w:t>
      </w:r>
      <w:r>
        <w:rPr>
          <w:rFonts w:hAnsi="宋体"/>
          <w:color w:val="auto"/>
          <w:sz w:val="24"/>
          <w:highlight w:val="none"/>
        </w:rPr>
        <w:t>投标产品按国家规定须医疗器械注册证的，投标人须提供</w:t>
      </w:r>
      <w:r>
        <w:rPr>
          <w:rFonts w:hint="eastAsia" w:hAnsi="宋体"/>
          <w:color w:val="auto"/>
          <w:sz w:val="24"/>
          <w:highlight w:val="none"/>
        </w:rPr>
        <w:t>投标产品</w:t>
      </w:r>
      <w:r>
        <w:rPr>
          <w:rFonts w:hAnsi="宋体"/>
          <w:color w:val="auto"/>
          <w:sz w:val="24"/>
          <w:highlight w:val="none"/>
        </w:rPr>
        <w:t>的</w:t>
      </w:r>
      <w:r>
        <w:rPr>
          <w:rFonts w:hint="eastAsia" w:hAnsi="宋体"/>
          <w:color w:val="auto"/>
          <w:sz w:val="24"/>
          <w:highlight w:val="none"/>
        </w:rPr>
        <w:t>《</w:t>
      </w:r>
      <w:r>
        <w:rPr>
          <w:rFonts w:hAnsi="宋体"/>
          <w:color w:val="auto"/>
          <w:sz w:val="24"/>
          <w:highlight w:val="none"/>
        </w:rPr>
        <w:t>医疗器械注册证</w:t>
      </w:r>
      <w:r>
        <w:rPr>
          <w:rFonts w:hint="eastAsia" w:hAnsi="宋体"/>
          <w:color w:val="auto"/>
          <w:sz w:val="24"/>
          <w:highlight w:val="none"/>
        </w:rPr>
        <w:t>》</w:t>
      </w:r>
      <w:r>
        <w:rPr>
          <w:rFonts w:hAnsi="宋体"/>
          <w:color w:val="auto"/>
          <w:sz w:val="24"/>
          <w:highlight w:val="none"/>
        </w:rPr>
        <w:t>（复印件</w:t>
      </w:r>
      <w:r>
        <w:rPr>
          <w:rFonts w:hint="eastAsia" w:hAnsi="宋体"/>
          <w:color w:val="auto"/>
          <w:sz w:val="24"/>
          <w:highlight w:val="none"/>
        </w:rPr>
        <w:t>加盖公章</w:t>
      </w:r>
      <w:r>
        <w:rPr>
          <w:rFonts w:hAnsi="宋体"/>
          <w:color w:val="auto"/>
          <w:sz w:val="24"/>
          <w:highlight w:val="none"/>
        </w:rPr>
        <w:t>）；</w:t>
      </w:r>
    </w:p>
    <w:p>
      <w:pPr>
        <w:spacing w:line="329" w:lineRule="auto"/>
        <w:ind w:firstLine="480" w:firstLineChars="200"/>
        <w:rPr>
          <w:rFonts w:hint="eastAsia" w:ascii="宋体" w:hAnsi="宋体"/>
          <w:color w:val="auto"/>
          <w:sz w:val="24"/>
          <w:highlight w:val="none"/>
        </w:rPr>
      </w:pPr>
      <w:r>
        <w:rPr>
          <w:rFonts w:hint="eastAsia" w:ascii="宋体" w:hAnsi="宋体"/>
          <w:color w:val="auto"/>
          <w:sz w:val="24"/>
          <w:highlight w:val="none"/>
        </w:rPr>
        <w:t>11.1.</w:t>
      </w:r>
      <w:r>
        <w:rPr>
          <w:rFonts w:hint="eastAsia" w:ascii="宋体" w:hAnsi="宋体" w:eastAsia="宋体"/>
          <w:color w:val="auto"/>
          <w:sz w:val="24"/>
          <w:highlight w:val="none"/>
          <w:lang w:val="en-US" w:eastAsia="zh-CN"/>
        </w:rPr>
        <w:t>9</w:t>
      </w:r>
      <w:r>
        <w:rPr>
          <w:rFonts w:hAnsi="宋体"/>
          <w:color w:val="auto"/>
          <w:sz w:val="24"/>
          <w:highlight w:val="none"/>
        </w:rPr>
        <w:t>投标人</w:t>
      </w:r>
      <w:r>
        <w:rPr>
          <w:rFonts w:hint="eastAsia" w:hAnsi="宋体"/>
          <w:color w:val="auto"/>
          <w:sz w:val="24"/>
          <w:highlight w:val="none"/>
        </w:rPr>
        <w:t>为</w:t>
      </w:r>
      <w:r>
        <w:rPr>
          <w:rFonts w:hAnsi="宋体"/>
          <w:color w:val="auto"/>
          <w:sz w:val="24"/>
          <w:highlight w:val="none"/>
        </w:rPr>
        <w:t>医疗器械经营企业</w:t>
      </w:r>
      <w:r>
        <w:rPr>
          <w:rFonts w:hint="eastAsia" w:hAnsi="宋体"/>
          <w:color w:val="auto"/>
          <w:sz w:val="24"/>
          <w:highlight w:val="none"/>
        </w:rPr>
        <w:t>的</w:t>
      </w:r>
      <w:r>
        <w:rPr>
          <w:rFonts w:hAnsi="宋体"/>
          <w:color w:val="auto"/>
          <w:sz w:val="24"/>
          <w:highlight w:val="none"/>
        </w:rPr>
        <w:t>，须根据投标产品的类别，提供</w:t>
      </w:r>
      <w:r>
        <w:rPr>
          <w:rFonts w:hint="eastAsia" w:hAnsi="宋体"/>
          <w:color w:val="auto"/>
          <w:sz w:val="24"/>
          <w:highlight w:val="none"/>
        </w:rPr>
        <w:t>投标人</w:t>
      </w:r>
      <w:r>
        <w:rPr>
          <w:rFonts w:hAnsi="宋体"/>
          <w:color w:val="auto"/>
          <w:sz w:val="24"/>
          <w:highlight w:val="none"/>
        </w:rPr>
        <w:t>的《医疗器械经营许可证》或者《</w:t>
      </w:r>
      <w:r>
        <w:rPr>
          <w:rFonts w:hint="eastAsia" w:hAnsi="宋体"/>
          <w:color w:val="auto"/>
          <w:sz w:val="24"/>
          <w:highlight w:val="none"/>
        </w:rPr>
        <w:t>二类</w:t>
      </w:r>
      <w:r>
        <w:rPr>
          <w:rFonts w:hAnsi="宋体"/>
          <w:color w:val="auto"/>
          <w:sz w:val="24"/>
          <w:highlight w:val="none"/>
        </w:rPr>
        <w:t>医疗器械经营备案凭证》（复印件</w:t>
      </w:r>
      <w:r>
        <w:rPr>
          <w:rFonts w:hint="eastAsia" w:hAnsi="宋体"/>
          <w:color w:val="auto"/>
          <w:sz w:val="24"/>
          <w:highlight w:val="none"/>
        </w:rPr>
        <w:t>加盖公章</w:t>
      </w:r>
      <w:r>
        <w:rPr>
          <w:rFonts w:hAnsi="宋体"/>
          <w:color w:val="auto"/>
          <w:sz w:val="24"/>
          <w:highlight w:val="none"/>
        </w:rPr>
        <w:t>）</w:t>
      </w:r>
      <w:r>
        <w:rPr>
          <w:rFonts w:hint="eastAsia" w:hAnsi="宋体"/>
          <w:color w:val="auto"/>
          <w:sz w:val="24"/>
          <w:highlight w:val="none"/>
        </w:rPr>
        <w:t>；</w:t>
      </w:r>
    </w:p>
    <w:p>
      <w:pPr>
        <w:spacing w:line="329" w:lineRule="auto"/>
        <w:ind w:firstLine="480" w:firstLineChars="200"/>
        <w:rPr>
          <w:rFonts w:hint="eastAsia" w:ascii="宋体" w:hAnsi="宋体"/>
          <w:color w:val="auto"/>
          <w:sz w:val="24"/>
          <w:highlight w:val="none"/>
        </w:rPr>
      </w:pPr>
      <w:r>
        <w:rPr>
          <w:rFonts w:hint="eastAsia" w:ascii="宋体" w:hAnsi="宋体"/>
          <w:color w:val="auto"/>
          <w:sz w:val="24"/>
          <w:highlight w:val="none"/>
        </w:rPr>
        <w:t>11.1.1</w:t>
      </w:r>
      <w:r>
        <w:rPr>
          <w:rFonts w:hint="eastAsia" w:ascii="宋体" w:hAnsi="宋体" w:eastAsia="宋体"/>
          <w:color w:val="auto"/>
          <w:sz w:val="24"/>
          <w:highlight w:val="none"/>
          <w:lang w:val="en-US" w:eastAsia="zh-CN"/>
        </w:rPr>
        <w:t>0</w:t>
      </w:r>
      <w:r>
        <w:rPr>
          <w:rFonts w:hAnsi="宋体"/>
          <w:color w:val="auto"/>
          <w:sz w:val="24"/>
          <w:highlight w:val="none"/>
        </w:rPr>
        <w:t>医疗器械</w:t>
      </w:r>
      <w:r>
        <w:rPr>
          <w:rFonts w:hint="eastAsia" w:hAnsi="宋体"/>
          <w:color w:val="auto"/>
          <w:sz w:val="24"/>
          <w:highlight w:val="none"/>
        </w:rPr>
        <w:t>生产</w:t>
      </w:r>
      <w:r>
        <w:rPr>
          <w:rFonts w:hAnsi="宋体"/>
          <w:color w:val="auto"/>
          <w:sz w:val="24"/>
          <w:highlight w:val="none"/>
        </w:rPr>
        <w:t>企业</w:t>
      </w:r>
      <w:r>
        <w:rPr>
          <w:rFonts w:hint="eastAsia" w:hAnsi="宋体"/>
          <w:color w:val="auto"/>
          <w:sz w:val="24"/>
          <w:highlight w:val="none"/>
        </w:rPr>
        <w:t>投标本企业产品的，</w:t>
      </w:r>
      <w:r>
        <w:rPr>
          <w:rFonts w:hAnsi="宋体"/>
          <w:color w:val="auto"/>
          <w:sz w:val="24"/>
          <w:highlight w:val="none"/>
        </w:rPr>
        <w:t>须</w:t>
      </w:r>
      <w:r>
        <w:rPr>
          <w:rFonts w:hint="eastAsia" w:hAnsi="宋体"/>
          <w:color w:val="auto"/>
          <w:sz w:val="24"/>
          <w:highlight w:val="none"/>
        </w:rPr>
        <w:t>提供《医疗器械生产许可证》(复印件加盖公章）</w:t>
      </w:r>
      <w:r>
        <w:rPr>
          <w:rFonts w:hAnsi="宋体"/>
          <w:color w:val="auto"/>
          <w:sz w:val="24"/>
          <w:highlight w:val="none"/>
        </w:rPr>
        <w:t>；</w:t>
      </w:r>
    </w:p>
    <w:p>
      <w:pPr>
        <w:spacing w:line="500" w:lineRule="exact"/>
        <w:ind w:firstLine="480" w:firstLineChars="200"/>
        <w:rPr>
          <w:rFonts w:hint="eastAsia" w:hAnsi="宋体"/>
          <w:color w:val="auto"/>
          <w:sz w:val="24"/>
          <w:highlight w:val="none"/>
        </w:rPr>
      </w:pPr>
      <w:r>
        <w:rPr>
          <w:rFonts w:hint="eastAsia" w:hAnsi="宋体"/>
          <w:color w:val="auto"/>
          <w:sz w:val="24"/>
          <w:highlight w:val="none"/>
        </w:rPr>
        <w:t>11. 1.1</w:t>
      </w:r>
      <w:r>
        <w:rPr>
          <w:rFonts w:hint="eastAsia" w:hAnsi="宋体" w:eastAsia="宋体"/>
          <w:color w:val="auto"/>
          <w:sz w:val="24"/>
          <w:highlight w:val="none"/>
          <w:lang w:val="en-US" w:eastAsia="zh-CN"/>
        </w:rPr>
        <w:t>1</w:t>
      </w:r>
      <w:r>
        <w:rPr>
          <w:rFonts w:hint="eastAsia" w:hAnsi="宋体"/>
          <w:color w:val="auto"/>
          <w:sz w:val="24"/>
          <w:highlight w:val="none"/>
        </w:rPr>
        <w:t xml:space="preserve"> </w:t>
      </w:r>
      <w:r>
        <w:rPr>
          <w:rFonts w:hAnsi="宋体"/>
          <w:color w:val="auto"/>
          <w:sz w:val="24"/>
          <w:highlight w:val="none"/>
        </w:rPr>
        <w:t>投标产品按国家规定须进行</w:t>
      </w:r>
      <w:r>
        <w:rPr>
          <w:color w:val="auto"/>
          <w:sz w:val="24"/>
          <w:highlight w:val="none"/>
        </w:rPr>
        <w:t>3C</w:t>
      </w:r>
      <w:r>
        <w:rPr>
          <w:rFonts w:hAnsi="宋体"/>
          <w:color w:val="auto"/>
          <w:sz w:val="24"/>
          <w:highlight w:val="none"/>
        </w:rPr>
        <w:t>强制认证的，投标人须提供</w:t>
      </w:r>
      <w:r>
        <w:rPr>
          <w:color w:val="auto"/>
          <w:sz w:val="24"/>
          <w:highlight w:val="none"/>
        </w:rPr>
        <w:t>3C</w:t>
      </w:r>
      <w:r>
        <w:rPr>
          <w:rFonts w:hAnsi="宋体"/>
          <w:color w:val="auto"/>
          <w:sz w:val="24"/>
          <w:highlight w:val="none"/>
        </w:rPr>
        <w:t>证书（复印件</w:t>
      </w:r>
      <w:r>
        <w:rPr>
          <w:rFonts w:hint="eastAsia" w:hAnsi="宋体"/>
          <w:color w:val="auto"/>
          <w:sz w:val="24"/>
          <w:highlight w:val="none"/>
        </w:rPr>
        <w:t>加盖公章</w:t>
      </w:r>
      <w:r>
        <w:rPr>
          <w:rFonts w:hAnsi="宋体"/>
          <w:color w:val="auto"/>
          <w:sz w:val="24"/>
          <w:highlight w:val="none"/>
        </w:rPr>
        <w:t>）。</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11.2法定代表人或其授权代理人签署的投标函；</w:t>
      </w:r>
    </w:p>
    <w:p>
      <w:pPr>
        <w:spacing w:line="500" w:lineRule="exact"/>
        <w:ind w:firstLine="480" w:firstLineChars="200"/>
        <w:rPr>
          <w:rFonts w:hint="eastAsia" w:ascii="宋体" w:hAnsi="宋体"/>
          <w:color w:val="auto"/>
          <w:sz w:val="24"/>
          <w:highlight w:val="none"/>
        </w:rPr>
      </w:pPr>
      <w:bookmarkStart w:id="27" w:name="EB1a77376dbd044d229c365f6951816069"/>
      <w:bookmarkEnd w:id="27"/>
      <w:r>
        <w:rPr>
          <w:rFonts w:hint="eastAsia" w:ascii="宋体" w:hAnsi="宋体"/>
          <w:color w:val="auto"/>
          <w:sz w:val="24"/>
          <w:highlight w:val="none"/>
        </w:rPr>
        <w:t>11.3法定代表人身份证明或法定代表人授权委托书（并按要求提供法定代表人或授权委托人居民身份证复印件</w:t>
      </w:r>
      <w:r>
        <w:rPr>
          <w:rFonts w:hint="eastAsia" w:hAnsi="宋体"/>
          <w:color w:val="auto"/>
          <w:sz w:val="24"/>
          <w:highlight w:val="none"/>
        </w:rPr>
        <w:t>加盖公章</w:t>
      </w:r>
      <w:r>
        <w:rPr>
          <w:rFonts w:hint="eastAsia" w:ascii="宋体" w:hAnsi="宋体"/>
          <w:color w:val="auto"/>
          <w:sz w:val="24"/>
          <w:highlight w:val="none"/>
        </w:rPr>
        <w:t>）；</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11.4报价文件</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11.4.1开标一览表；</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11.4.2明细报价表。</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11.5技术文件</w:t>
      </w:r>
    </w:p>
    <w:p>
      <w:pPr>
        <w:spacing w:line="500" w:lineRule="exact"/>
        <w:ind w:firstLine="480" w:firstLineChars="200"/>
        <w:rPr>
          <w:rFonts w:hint="eastAsia" w:ascii="宋体" w:hAnsi="宋体"/>
          <w:color w:val="auto"/>
          <w:sz w:val="24"/>
          <w:highlight w:val="none"/>
        </w:rPr>
      </w:pPr>
      <w:bookmarkStart w:id="28" w:name="EB7f6b24a996964930b08d6b290b36e3fd"/>
      <w:r>
        <w:rPr>
          <w:rFonts w:hint="eastAsia" w:ascii="宋体" w:hAnsi="宋体"/>
          <w:color w:val="auto"/>
          <w:sz w:val="24"/>
          <w:highlight w:val="none"/>
        </w:rPr>
        <w:t>11.5.1项目整体实施方案、进度安排、设备使用维护及培训方案和验收方案等（格式自拟）；</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11.5.2货物设备清单（以表格形式列明所投全部设备及配件清单）及主要货物详细技术资料（包括实物样图、使用手册、规格说明等）（格式自拟）；</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11.5.3货物主要部件、辅材明细表；</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11.5.4投标人项目管理、技术及售后服务人员一览表；</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11.5.5质量保证及详细售后服务方案（包括：售后服务管理体系、服务人员的技术水平及现场服务措施，质保期结束后相关承诺等）（格式自拟）；</w:t>
      </w:r>
    </w:p>
    <w:bookmarkEnd w:id="28"/>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11.5.6技术响应偏差表,商务</w:t>
      </w:r>
      <w:r>
        <w:rPr>
          <w:rFonts w:ascii="宋体" w:hAnsi="宋体"/>
          <w:color w:val="auto"/>
          <w:sz w:val="24"/>
          <w:highlight w:val="none"/>
        </w:rPr>
        <w:t>响应偏差表。</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11.6商务文件</w:t>
      </w:r>
    </w:p>
    <w:p>
      <w:pPr>
        <w:spacing w:line="500" w:lineRule="exact"/>
        <w:ind w:firstLine="480" w:firstLineChars="200"/>
        <w:rPr>
          <w:rFonts w:hint="eastAsia" w:ascii="宋体" w:hAnsi="宋体"/>
          <w:color w:val="auto"/>
          <w:sz w:val="24"/>
          <w:highlight w:val="none"/>
        </w:rPr>
      </w:pPr>
      <w:bookmarkStart w:id="29" w:name="EBdc2c24f6358343e896cd43bd6621a619"/>
      <w:r>
        <w:rPr>
          <w:rFonts w:hint="eastAsia" w:ascii="宋体" w:hAnsi="宋体"/>
          <w:color w:val="auto"/>
          <w:sz w:val="24"/>
          <w:highlight w:val="none"/>
        </w:rPr>
        <w:t>11.6.1投标人承担的类似项目业绩一览表，提供中标通知书或合同或验收资料；</w:t>
      </w:r>
    </w:p>
    <w:bookmarkEnd w:id="29"/>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11.6.2其他商务文件。</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11.7投标人认为有必要提供的其它材料。</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11.8以上所有资料均须加盖投标单位法人公章（未加盖投标单位法人公章或加盖的为非投标单位法人公章的投标文件将被拒绝）。</w:t>
      </w:r>
    </w:p>
    <w:p>
      <w:pPr>
        <w:numPr>
          <w:ilvl w:val="0"/>
          <w:numId w:val="10"/>
        </w:num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投标文件构成资料为非中文时应提供中文译版，并以中文为准，否则可视为未提供；</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13、投标报价</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13.1报价为一次报价，于开标会议当场宣读。</w:t>
      </w:r>
    </w:p>
    <w:p>
      <w:pPr>
        <w:spacing w:line="500" w:lineRule="exact"/>
        <w:ind w:firstLine="480" w:firstLineChars="200"/>
        <w:rPr>
          <w:rFonts w:hint="eastAsia" w:ascii="宋体" w:hAnsi="宋体"/>
          <w:color w:val="auto"/>
          <w:sz w:val="24"/>
          <w:highlight w:val="none"/>
        </w:rPr>
      </w:pPr>
      <w:bookmarkStart w:id="30" w:name="EB54dd097a55df4796bd5f9b6bdf2ddc40"/>
      <w:bookmarkEnd w:id="30"/>
      <w:r>
        <w:rPr>
          <w:rFonts w:hint="eastAsia" w:ascii="宋体" w:hAnsi="宋体"/>
          <w:color w:val="auto"/>
          <w:sz w:val="24"/>
          <w:highlight w:val="none"/>
        </w:rPr>
        <w:t>13.2本项目不接受备选的投标方案或有选择的报价，只允许有一个报价。投标报价内容包括：设备本身、安装调试费、人工费、服务费、税金以及交付使用过程中涉及到的其他一切费用。</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13.3报价注意事项：</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13.3.1价格一律以人民币计算，以元为单位标准；</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13.3.2投标人报价时应充分考虑所有可能影响到报价的因素，一旦评标结束最终中标，如发生漏、缺、少项，都将被认为是中标人的报价让利行为，损失自负。</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14、投标保证金</w:t>
      </w:r>
    </w:p>
    <w:p>
      <w:pPr>
        <w:spacing w:line="5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本项目不收取投标保证金</w:t>
      </w:r>
      <w:r>
        <w:rPr>
          <w:rFonts w:hint="eastAsia" w:ascii="宋体" w:hAnsi="宋体"/>
          <w:color w:val="auto"/>
          <w:sz w:val="24"/>
          <w:highlight w:val="none"/>
        </w:rPr>
        <w:t>。</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15、投标有效期</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 xml:space="preserve">15.1在投标人须知前附表规定的投标有效期内，投标人不得要求撤销或者修改其投标文件。 </w:t>
      </w:r>
    </w:p>
    <w:p>
      <w:pPr>
        <w:spacing w:line="500" w:lineRule="exact"/>
        <w:ind w:firstLine="480" w:firstLineChars="200"/>
        <w:rPr>
          <w:rFonts w:hint="eastAsia" w:ascii="宋体" w:hAnsi="宋体"/>
          <w:color w:val="auto"/>
          <w:sz w:val="24"/>
          <w:highlight w:val="none"/>
        </w:rPr>
      </w:pPr>
      <w:bookmarkStart w:id="31" w:name="EB5d36e8077cc64e309c0c0f0cd8a6f496"/>
      <w:bookmarkEnd w:id="31"/>
      <w:bookmarkStart w:id="32" w:name="EB12ed6b870f334fa092f7ed1f9a9dbab8"/>
      <w:bookmarkEnd w:id="32"/>
      <w:r>
        <w:rPr>
          <w:rFonts w:hint="eastAsia" w:ascii="宋体" w:hAnsi="宋体"/>
          <w:color w:val="auto"/>
          <w:sz w:val="24"/>
          <w:highlight w:val="none"/>
        </w:rPr>
        <w:t>15.2在特殊情况下，采购人于原投标有效期满之前，可向投标人提出延长投标有效期的要求，这种要求与答复均应采用书面形式（如信件、传真或电子邮件等），投标人可拒绝采购人的这一要求而放弃投标，同意延长的投标人既不能要求也不允许修改其投标文件。</w:t>
      </w:r>
      <w:r>
        <w:rPr>
          <w:rFonts w:hint="eastAsia" w:ascii="宋体" w:hAnsi="宋体"/>
          <w:color w:val="auto"/>
          <w:sz w:val="20"/>
          <w:highlight w:val="none"/>
        </w:rPr>
        <w:t xml:space="preserve">     </w:t>
      </w:r>
    </w:p>
    <w:p>
      <w:pPr>
        <w:pStyle w:val="348"/>
        <w:outlineLvl w:val="1"/>
        <w:rPr>
          <w:rFonts w:hint="eastAsia" w:ascii="宋体" w:hAnsi="宋体" w:eastAsia="宋体"/>
          <w:color w:val="auto"/>
          <w:highlight w:val="none"/>
        </w:rPr>
      </w:pPr>
      <w:bookmarkStart w:id="33" w:name="_Toc26211"/>
      <w:bookmarkEnd w:id="33"/>
      <w:bookmarkStart w:id="34" w:name="_Toc514054475"/>
      <w:bookmarkEnd w:id="34"/>
      <w:r>
        <w:rPr>
          <w:rFonts w:hint="eastAsia" w:ascii="宋体" w:hAnsi="宋体" w:eastAsia="宋体"/>
          <w:color w:val="auto"/>
          <w:highlight w:val="none"/>
        </w:rPr>
        <w:t>四、投标文件的提交</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16、投标文件的提交</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 xml:space="preserve">16.1投标人应在招标文件规定的投标截止时间前提交投标文件。投标文件提交截止时间后，投标人对投标报价或其他实质性内容修正的函件和增加的任何优惠条件，一律拒绝接收。 </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16.2在递交投标文件截止时间前，投标人有权修改、撤回其投标文件，以截止时间前最终完成递交的为准；在递交投标文件截止时间后，除招标文件另有规定外，投标人所提交的投标文件不予退还。</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16.3 采购人或采购代理机构可以通过修改招标文件酌情延长投标文件接收截止日期，在此情况下，投标人的所有权利和义务以及投标人受制约的截止日期均应以延长后新的截止日期为准。</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17、投标文件被拒绝接收的情形</w:t>
      </w:r>
    </w:p>
    <w:p>
      <w:pPr>
        <w:spacing w:line="500" w:lineRule="exact"/>
        <w:ind w:right="120" w:rightChars="50" w:firstLine="480" w:firstLineChars="200"/>
        <w:rPr>
          <w:rFonts w:hint="eastAsia" w:ascii="宋体" w:hAnsi="宋体"/>
          <w:color w:val="auto"/>
          <w:sz w:val="24"/>
          <w:highlight w:val="none"/>
        </w:rPr>
      </w:pPr>
      <w:r>
        <w:rPr>
          <w:rFonts w:hint="eastAsia" w:ascii="宋体" w:hAnsi="宋体"/>
          <w:color w:val="auto"/>
          <w:sz w:val="24"/>
          <w:highlight w:val="none"/>
        </w:rPr>
        <w:t>17.1在招标文件规定的投标截止时间后递交的投标文件。</w:t>
      </w:r>
    </w:p>
    <w:p>
      <w:pPr>
        <w:spacing w:line="500" w:lineRule="exact"/>
        <w:ind w:right="120" w:rightChars="50" w:firstLine="480" w:firstLineChars="200"/>
        <w:rPr>
          <w:rFonts w:hint="eastAsia" w:ascii="宋体" w:hAnsi="宋体"/>
          <w:color w:val="auto"/>
          <w:sz w:val="24"/>
          <w:highlight w:val="none"/>
        </w:rPr>
      </w:pPr>
      <w:bookmarkStart w:id="35" w:name="EB2abce7e2c6f440e8b25c6bbba111ee54"/>
      <w:r>
        <w:rPr>
          <w:rFonts w:hint="eastAsia" w:ascii="宋体" w:hAnsi="宋体"/>
          <w:color w:val="auto"/>
          <w:sz w:val="24"/>
          <w:highlight w:val="none"/>
        </w:rPr>
        <w:t>17.2 未按本招标文件前附表要求密封的投标文件。</w:t>
      </w:r>
      <w:r>
        <w:rPr>
          <w:rFonts w:ascii="宋体" w:hAnsi="宋体"/>
          <w:color w:val="auto"/>
          <w:sz w:val="24"/>
          <w:szCs w:val="24"/>
          <w:highlight w:val="none"/>
        </w:rPr>
        <w:t>“</w:t>
      </w:r>
      <w:r>
        <w:rPr>
          <w:rFonts w:hint="eastAsia" w:ascii="宋体" w:hAnsi="宋体"/>
          <w:color w:val="auto"/>
          <w:sz w:val="24"/>
          <w:szCs w:val="24"/>
          <w:highlight w:val="none"/>
        </w:rPr>
        <w:t>开标一览表</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w:t>
      </w:r>
      <w:r>
        <w:rPr>
          <w:rFonts w:hint="eastAsia" w:ascii="宋体" w:hAnsi="宋体"/>
          <w:color w:val="auto"/>
          <w:sz w:val="24"/>
          <w:szCs w:val="24"/>
          <w:highlight w:val="none"/>
        </w:rPr>
        <w:t>投标文件正本</w:t>
      </w:r>
      <w:r>
        <w:rPr>
          <w:rFonts w:ascii="宋体" w:hAnsi="宋体"/>
          <w:color w:val="auto"/>
          <w:sz w:val="24"/>
          <w:szCs w:val="24"/>
          <w:highlight w:val="none"/>
        </w:rPr>
        <w:t>”</w:t>
      </w:r>
      <w:r>
        <w:rPr>
          <w:rFonts w:hint="eastAsia" w:ascii="宋体" w:hAnsi="宋体"/>
          <w:color w:val="auto"/>
          <w:sz w:val="24"/>
          <w:szCs w:val="24"/>
          <w:highlight w:val="none"/>
        </w:rPr>
        <w:t>、“投标文件副本</w:t>
      </w:r>
      <w:r>
        <w:rPr>
          <w:rFonts w:ascii="宋体" w:hAnsi="宋体"/>
          <w:color w:val="auto"/>
          <w:sz w:val="24"/>
          <w:szCs w:val="24"/>
          <w:highlight w:val="none"/>
        </w:rPr>
        <w:t>”</w:t>
      </w:r>
      <w:r>
        <w:rPr>
          <w:rFonts w:hint="eastAsia" w:ascii="宋体" w:hAnsi="宋体"/>
          <w:color w:val="auto"/>
          <w:sz w:val="24"/>
          <w:szCs w:val="24"/>
          <w:highlight w:val="none"/>
        </w:rPr>
        <w:t>、“电子投标文件”均应单独密封，单独递交。</w:t>
      </w:r>
    </w:p>
    <w:bookmarkEnd w:id="35"/>
    <w:p>
      <w:pPr>
        <w:spacing w:line="500" w:lineRule="exact"/>
        <w:ind w:right="120" w:rightChars="50" w:firstLine="480" w:firstLineChars="200"/>
        <w:rPr>
          <w:rFonts w:hint="eastAsia" w:ascii="宋体" w:hAnsi="宋体"/>
          <w:color w:val="auto"/>
          <w:sz w:val="24"/>
          <w:szCs w:val="24"/>
          <w:highlight w:val="none"/>
        </w:rPr>
      </w:pPr>
      <w:bookmarkStart w:id="36" w:name="EB200c38d7a1c345f29b604b38d510a951"/>
      <w:bookmarkEnd w:id="36"/>
      <w:r>
        <w:rPr>
          <w:rFonts w:hint="eastAsia" w:ascii="宋体" w:hAnsi="宋体"/>
          <w:color w:val="auto"/>
          <w:sz w:val="24"/>
          <w:szCs w:val="24"/>
          <w:highlight w:val="none"/>
        </w:rPr>
        <w:t>17.3 未按本招标文件前附表要求份数递交的投标文件。</w:t>
      </w:r>
      <w:r>
        <w:rPr>
          <w:rFonts w:hint="eastAsia" w:ascii="宋体" w:hAnsi="宋体"/>
          <w:color w:val="auto"/>
          <w:sz w:val="20"/>
          <w:highlight w:val="none"/>
        </w:rPr>
        <w:t xml:space="preserve">  </w:t>
      </w:r>
    </w:p>
    <w:p>
      <w:pPr>
        <w:pStyle w:val="348"/>
        <w:outlineLvl w:val="1"/>
        <w:rPr>
          <w:rFonts w:hint="eastAsia" w:ascii="宋体" w:hAnsi="宋体" w:eastAsia="宋体"/>
          <w:color w:val="auto"/>
          <w:highlight w:val="none"/>
        </w:rPr>
      </w:pPr>
      <w:bookmarkStart w:id="37" w:name="_Toc514054476"/>
      <w:bookmarkEnd w:id="37"/>
      <w:bookmarkStart w:id="38" w:name="_Toc11452"/>
      <w:bookmarkEnd w:id="38"/>
      <w:r>
        <w:rPr>
          <w:rFonts w:hint="eastAsia" w:ascii="宋体" w:hAnsi="宋体" w:eastAsia="宋体"/>
          <w:color w:val="auto"/>
          <w:highlight w:val="none"/>
        </w:rPr>
        <w:t>五、无效标、</w:t>
      </w:r>
      <w:r>
        <w:rPr>
          <w:rFonts w:hint="eastAsia" w:ascii="宋体" w:hAnsi="宋体" w:eastAsia="宋体"/>
          <w:color w:val="auto"/>
          <w:highlight w:val="none"/>
          <w:lang w:eastAsia="zh-CN"/>
        </w:rPr>
        <w:t>投标被拒绝</w:t>
      </w:r>
      <w:r>
        <w:rPr>
          <w:rFonts w:hint="eastAsia" w:ascii="宋体" w:hAnsi="宋体" w:eastAsia="宋体"/>
          <w:color w:val="auto"/>
          <w:highlight w:val="none"/>
        </w:rPr>
        <w:t>、串通投标认定条款</w:t>
      </w:r>
    </w:p>
    <w:p>
      <w:pPr>
        <w:spacing w:line="500" w:lineRule="exact"/>
        <w:ind w:firstLine="480" w:firstLineChars="200"/>
        <w:rPr>
          <w:rFonts w:hint="eastAsia" w:ascii="宋体" w:hAnsi="宋体"/>
          <w:b/>
          <w:color w:val="auto"/>
          <w:sz w:val="24"/>
          <w:highlight w:val="none"/>
        </w:rPr>
      </w:pPr>
      <w:bookmarkStart w:id="39" w:name="EB94942e5430df4fb8a077f3cf7667f212"/>
      <w:r>
        <w:rPr>
          <w:rFonts w:hint="eastAsia" w:ascii="宋体" w:hAnsi="宋体"/>
          <w:b/>
          <w:color w:val="auto"/>
          <w:sz w:val="24"/>
          <w:highlight w:val="none"/>
        </w:rPr>
        <w:t>18、以下情形将视为无效投标</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18.1投标人不符合招标文件规定资格要求的或未按规定提交资质证件的；</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18.2投标文件签署、盖章不符合招标文件要求的；</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18.3报价超过招标文件中规定的预算金额或者最高限价的；</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18.4投标文件出现重大偏差，未对招标文件进行实质性响应的；</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18.5投标文件出现商务条款（包括*号条款、付款方式、交货期、质保期等）的负偏差，视为未对招标文件进行实质性响应；</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18.6投标文件含有采购人不能接受的附加条件的；</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18.7投标人有本招标文件规定的恶意串通投标情形的；</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18.8投标文件中</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\l _Toc28239_WPSOffice_Level2 </w:instrText>
      </w:r>
      <w:r>
        <w:rPr>
          <w:rFonts w:hint="eastAsia" w:ascii="宋体" w:hAnsi="宋体"/>
          <w:color w:val="auto"/>
          <w:sz w:val="24"/>
          <w:highlight w:val="none"/>
        </w:rPr>
        <w:fldChar w:fldCharType="separate"/>
      </w:r>
      <w:r>
        <w:rPr>
          <w:rFonts w:hint="eastAsia" w:hAnsi="宋体"/>
          <w:color w:val="auto"/>
          <w:sz w:val="24"/>
          <w:highlight w:val="none"/>
        </w:rPr>
        <w:t>特定资格要求</w:t>
      </w:r>
      <w:r>
        <w:rPr>
          <w:rFonts w:hint="eastAsia" w:ascii="宋体" w:hAnsi="宋体"/>
          <w:color w:val="auto"/>
          <w:sz w:val="24"/>
          <w:highlight w:val="none"/>
        </w:rPr>
        <w:t>、</w:t>
      </w:r>
      <w:r>
        <w:rPr>
          <w:rFonts w:hint="eastAsia" w:ascii="宋体" w:hAnsi="宋体"/>
          <w:color w:val="auto"/>
          <w:sz w:val="24"/>
          <w:highlight w:val="none"/>
        </w:rPr>
        <w:fldChar w:fldCharType="end"/>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\l _Toc14913_WPSOffice_Level2 </w:instrText>
      </w:r>
      <w:r>
        <w:rPr>
          <w:rFonts w:hint="eastAsia" w:ascii="宋体" w:hAnsi="宋体"/>
          <w:color w:val="auto"/>
          <w:sz w:val="24"/>
          <w:highlight w:val="none"/>
        </w:rPr>
        <w:fldChar w:fldCharType="separate"/>
      </w:r>
      <w:r>
        <w:rPr>
          <w:rFonts w:hint="eastAsia" w:ascii="宋体" w:hAnsi="宋体"/>
          <w:color w:val="auto"/>
          <w:sz w:val="24"/>
          <w:highlight w:val="none"/>
        </w:rPr>
        <w:t>投标人财务状况报告</w:t>
      </w:r>
      <w:r>
        <w:rPr>
          <w:rFonts w:hint="eastAsia" w:ascii="宋体" w:hAnsi="宋体"/>
          <w:color w:val="auto"/>
          <w:sz w:val="24"/>
          <w:highlight w:val="none"/>
        </w:rPr>
        <w:fldChar w:fldCharType="end"/>
      </w:r>
      <w:r>
        <w:rPr>
          <w:rFonts w:hint="eastAsia" w:ascii="宋体" w:hAnsi="宋体"/>
          <w:color w:val="auto"/>
          <w:sz w:val="24"/>
          <w:highlight w:val="none"/>
        </w:rPr>
        <w:t>、</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\l _Toc21611_WPSOffice_Level2 </w:instrText>
      </w:r>
      <w:r>
        <w:rPr>
          <w:rFonts w:hint="eastAsia" w:ascii="宋体" w:hAnsi="宋体"/>
          <w:color w:val="auto"/>
          <w:sz w:val="24"/>
          <w:highlight w:val="none"/>
        </w:rPr>
        <w:fldChar w:fldCharType="separate"/>
      </w:r>
      <w:r>
        <w:rPr>
          <w:rFonts w:hint="eastAsia" w:ascii="宋体" w:hAnsi="宋体"/>
          <w:color w:val="auto"/>
          <w:sz w:val="24"/>
          <w:highlight w:val="none"/>
        </w:rPr>
        <w:t>缴纳税收和社会保障资金凭据、</w:t>
      </w:r>
      <w:r>
        <w:rPr>
          <w:rFonts w:hint="eastAsia" w:ascii="宋体" w:hAnsi="宋体"/>
          <w:color w:val="auto"/>
          <w:sz w:val="24"/>
          <w:highlight w:val="none"/>
        </w:rPr>
        <w:fldChar w:fldCharType="end"/>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\l _Toc26460_WPSOffice_Level2 </w:instrText>
      </w:r>
      <w:r>
        <w:rPr>
          <w:rFonts w:hint="eastAsia" w:ascii="宋体" w:hAnsi="宋体"/>
          <w:color w:val="auto"/>
          <w:sz w:val="24"/>
          <w:highlight w:val="none"/>
        </w:rPr>
        <w:fldChar w:fldCharType="separate"/>
      </w:r>
      <w:r>
        <w:rPr>
          <w:rFonts w:hint="eastAsia" w:ascii="宋体" w:hAnsi="宋体"/>
          <w:color w:val="auto"/>
          <w:sz w:val="24"/>
          <w:highlight w:val="none"/>
        </w:rPr>
        <w:t>履行合同所必需的设备和专业技术能力的声明、</w:t>
      </w:r>
      <w:r>
        <w:rPr>
          <w:rFonts w:hint="eastAsia" w:ascii="宋体" w:hAnsi="宋体"/>
          <w:color w:val="auto"/>
          <w:sz w:val="24"/>
          <w:highlight w:val="none"/>
        </w:rPr>
        <w:fldChar w:fldCharType="end"/>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\l _Toc14315_WPSOffice_Level2 </w:instrText>
      </w:r>
      <w:r>
        <w:rPr>
          <w:rFonts w:hint="eastAsia" w:ascii="宋体" w:hAnsi="宋体"/>
          <w:color w:val="auto"/>
          <w:sz w:val="24"/>
          <w:highlight w:val="none"/>
        </w:rPr>
        <w:fldChar w:fldCharType="separate"/>
      </w:r>
      <w:r>
        <w:rPr>
          <w:rFonts w:hint="eastAsia" w:ascii="宋体" w:hAnsi="宋体"/>
          <w:color w:val="auto"/>
          <w:sz w:val="24"/>
          <w:highlight w:val="none"/>
        </w:rPr>
        <w:t>无重大违法行为声明、</w:t>
      </w:r>
      <w:r>
        <w:rPr>
          <w:rFonts w:hint="eastAsia" w:ascii="宋体" w:hAnsi="宋体"/>
          <w:color w:val="auto"/>
          <w:sz w:val="24"/>
          <w:highlight w:val="none"/>
        </w:rPr>
        <w:fldChar w:fldCharType="end"/>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\l _Toc24842_WPSOffice_Level2 </w:instrText>
      </w:r>
      <w:r>
        <w:rPr>
          <w:rFonts w:hint="eastAsia" w:ascii="宋体" w:hAnsi="宋体"/>
          <w:color w:val="auto"/>
          <w:sz w:val="24"/>
          <w:highlight w:val="none"/>
        </w:rPr>
        <w:fldChar w:fldCharType="separate"/>
      </w:r>
      <w:r>
        <w:rPr>
          <w:rFonts w:hint="eastAsia" w:ascii="宋体" w:hAnsi="宋体"/>
          <w:color w:val="auto"/>
          <w:sz w:val="24"/>
          <w:highlight w:val="none"/>
        </w:rPr>
        <w:t>投标函</w:t>
      </w:r>
      <w:r>
        <w:rPr>
          <w:rFonts w:hint="eastAsia" w:ascii="宋体" w:hAnsi="宋体"/>
          <w:color w:val="auto"/>
          <w:sz w:val="24"/>
          <w:highlight w:val="none"/>
        </w:rPr>
        <w:fldChar w:fldCharType="end"/>
      </w:r>
      <w:r>
        <w:rPr>
          <w:rFonts w:hint="eastAsia" w:ascii="宋体" w:hAnsi="宋体"/>
          <w:color w:val="auto"/>
          <w:sz w:val="24"/>
          <w:highlight w:val="none"/>
        </w:rPr>
        <w:t>、</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\l _Toc12406_WPSOffice_Level2 </w:instrText>
      </w:r>
      <w:r>
        <w:rPr>
          <w:rFonts w:hint="eastAsia" w:ascii="宋体" w:hAnsi="宋体"/>
          <w:color w:val="auto"/>
          <w:sz w:val="24"/>
          <w:highlight w:val="none"/>
        </w:rPr>
        <w:fldChar w:fldCharType="separate"/>
      </w:r>
      <w:r>
        <w:rPr>
          <w:rFonts w:hint="eastAsia" w:ascii="宋体" w:hAnsi="宋体"/>
          <w:color w:val="auto"/>
          <w:sz w:val="24"/>
          <w:highlight w:val="none"/>
        </w:rPr>
        <w:t>法定代表人身份证明或授权委托书</w:t>
      </w:r>
      <w:r>
        <w:rPr>
          <w:rFonts w:hint="eastAsia" w:ascii="宋体" w:hAnsi="宋体"/>
          <w:color w:val="auto"/>
          <w:sz w:val="24"/>
          <w:highlight w:val="none"/>
        </w:rPr>
        <w:fldChar w:fldCharType="end"/>
      </w:r>
      <w:r>
        <w:rPr>
          <w:rFonts w:hint="eastAsia" w:ascii="宋体" w:hAnsi="宋体"/>
          <w:color w:val="auto"/>
          <w:sz w:val="24"/>
          <w:highlight w:val="none"/>
        </w:rPr>
        <w:t>、</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\l _Toc20552_WPSOffice_Level2 </w:instrText>
      </w:r>
      <w:r>
        <w:rPr>
          <w:rFonts w:hint="eastAsia" w:ascii="宋体" w:hAnsi="宋体"/>
          <w:color w:val="auto"/>
          <w:sz w:val="24"/>
          <w:highlight w:val="none"/>
        </w:rPr>
        <w:fldChar w:fldCharType="separate"/>
      </w:r>
      <w:r>
        <w:rPr>
          <w:rFonts w:hint="eastAsia" w:ascii="宋体" w:hAnsi="宋体"/>
          <w:color w:val="auto"/>
          <w:sz w:val="24"/>
          <w:highlight w:val="none"/>
        </w:rPr>
        <w:t>开标一览表</w:t>
      </w:r>
      <w:r>
        <w:rPr>
          <w:rFonts w:hint="eastAsia" w:ascii="宋体" w:hAnsi="宋体"/>
          <w:color w:val="auto"/>
          <w:sz w:val="24"/>
          <w:highlight w:val="none"/>
        </w:rPr>
        <w:fldChar w:fldCharType="end"/>
      </w:r>
      <w:r>
        <w:rPr>
          <w:rFonts w:hint="eastAsia" w:ascii="宋体" w:hAnsi="宋体"/>
          <w:color w:val="auto"/>
          <w:sz w:val="24"/>
          <w:highlight w:val="none"/>
        </w:rPr>
        <w:t>、</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\l _Toc15170_WPSOffice_Level2 </w:instrText>
      </w:r>
      <w:r>
        <w:rPr>
          <w:rFonts w:hint="eastAsia" w:ascii="宋体" w:hAnsi="宋体"/>
          <w:color w:val="auto"/>
          <w:sz w:val="24"/>
          <w:highlight w:val="none"/>
        </w:rPr>
        <w:fldChar w:fldCharType="separate"/>
      </w:r>
      <w:r>
        <w:rPr>
          <w:rFonts w:hint="eastAsia" w:ascii="宋体" w:hAnsi="宋体"/>
          <w:color w:val="auto"/>
          <w:sz w:val="24"/>
          <w:highlight w:val="none"/>
        </w:rPr>
        <w:t>明细报价表、</w:t>
      </w:r>
      <w:r>
        <w:rPr>
          <w:rFonts w:hint="eastAsia" w:ascii="宋体" w:hAnsi="宋体"/>
          <w:color w:val="auto"/>
          <w:sz w:val="24"/>
          <w:highlight w:val="none"/>
        </w:rPr>
        <w:fldChar w:fldCharType="end"/>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\l _Toc31989_WPSOffice_Level2 </w:instrText>
      </w:r>
      <w:r>
        <w:rPr>
          <w:rFonts w:hint="eastAsia" w:ascii="宋体" w:hAnsi="宋体"/>
          <w:color w:val="auto"/>
          <w:sz w:val="24"/>
          <w:highlight w:val="none"/>
        </w:rPr>
        <w:fldChar w:fldCharType="separate"/>
      </w:r>
      <w:r>
        <w:rPr>
          <w:rFonts w:hint="eastAsia" w:ascii="宋体" w:hAnsi="宋体"/>
          <w:color w:val="auto"/>
          <w:sz w:val="24"/>
          <w:highlight w:val="none"/>
        </w:rPr>
        <w:t>中小企业声明函、</w:t>
      </w:r>
      <w:r>
        <w:rPr>
          <w:rFonts w:hint="eastAsia" w:ascii="宋体" w:hAnsi="宋体"/>
          <w:color w:val="auto"/>
          <w:sz w:val="24"/>
          <w:highlight w:val="none"/>
        </w:rPr>
        <w:fldChar w:fldCharType="end"/>
      </w:r>
      <w:r>
        <w:rPr>
          <w:rFonts w:hint="eastAsia" w:ascii="宋体" w:hAnsi="宋体"/>
          <w:color w:val="auto"/>
          <w:sz w:val="24"/>
          <w:highlight w:val="none"/>
        </w:rPr>
        <w:t>技术</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\l _Toc18984_WPSOffice_Level2 </w:instrText>
      </w:r>
      <w:r>
        <w:rPr>
          <w:rFonts w:hint="eastAsia" w:ascii="宋体" w:hAnsi="宋体"/>
          <w:color w:val="auto"/>
          <w:sz w:val="24"/>
          <w:highlight w:val="none"/>
        </w:rPr>
        <w:fldChar w:fldCharType="separate"/>
      </w:r>
      <w:r>
        <w:rPr>
          <w:rFonts w:hint="eastAsia" w:ascii="宋体" w:hAnsi="宋体"/>
          <w:color w:val="auto"/>
          <w:sz w:val="24"/>
          <w:highlight w:val="none"/>
        </w:rPr>
        <w:t>响应偏差表、</w:t>
      </w:r>
      <w:r>
        <w:rPr>
          <w:rFonts w:hint="eastAsia" w:ascii="宋体" w:hAnsi="宋体"/>
          <w:color w:val="auto"/>
          <w:sz w:val="24"/>
          <w:highlight w:val="none"/>
        </w:rPr>
        <w:fldChar w:fldCharType="end"/>
      </w:r>
      <w:r>
        <w:rPr>
          <w:rFonts w:hint="eastAsia" w:ascii="宋体" w:hAnsi="宋体"/>
          <w:color w:val="auto"/>
          <w:sz w:val="24"/>
          <w:highlight w:val="none"/>
        </w:rPr>
        <w:t>商务</w:t>
      </w:r>
      <w:r>
        <w:rPr>
          <w:rFonts w:ascii="宋体" w:hAnsi="宋体"/>
          <w:color w:val="auto"/>
          <w:sz w:val="24"/>
          <w:highlight w:val="none"/>
        </w:rPr>
        <w:t>响应偏差表</w:t>
      </w:r>
      <w:r>
        <w:rPr>
          <w:rFonts w:hint="eastAsia" w:ascii="宋体" w:hAnsi="宋体"/>
          <w:color w:val="auto"/>
          <w:sz w:val="24"/>
          <w:highlight w:val="none"/>
        </w:rPr>
        <w:t>、</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\l _Toc21060_WPSOffice_Level2 </w:instrText>
      </w:r>
      <w:r>
        <w:rPr>
          <w:rFonts w:hint="eastAsia" w:ascii="宋体" w:hAnsi="宋体"/>
          <w:color w:val="auto"/>
          <w:sz w:val="24"/>
          <w:highlight w:val="none"/>
        </w:rPr>
        <w:fldChar w:fldCharType="separate"/>
      </w:r>
      <w:r>
        <w:rPr>
          <w:rFonts w:hint="eastAsia" w:ascii="宋体" w:hAnsi="宋体"/>
          <w:color w:val="auto"/>
          <w:sz w:val="24"/>
          <w:highlight w:val="none"/>
        </w:rPr>
        <w:t>质量保证及售后服务方案</w:t>
      </w:r>
      <w:r>
        <w:rPr>
          <w:rFonts w:hint="eastAsia" w:ascii="宋体" w:hAnsi="宋体"/>
          <w:color w:val="auto"/>
          <w:sz w:val="24"/>
          <w:highlight w:val="none"/>
        </w:rPr>
        <w:fldChar w:fldCharType="end"/>
      </w:r>
      <w:r>
        <w:rPr>
          <w:rFonts w:hint="eastAsia" w:ascii="宋体" w:hAnsi="宋体"/>
          <w:color w:val="auto"/>
          <w:sz w:val="24"/>
          <w:highlight w:val="none"/>
        </w:rPr>
        <w:t>未签字和盖章的；</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18.9其它评标委员会认为有必要取消的投标；</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18.10法律、法规规定的其它情况。</w:t>
      </w:r>
    </w:p>
    <w:bookmarkEnd w:id="39"/>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19、以下情形投标将被拒绝</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19.1符合专业条件的供应商或者对招标文件作实质响应的供应商不足三家的（20条规定情形除外）；</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19.2出现影响采购公正的违法、违规行为的；</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19.3因重大变故，采购任务取消的。</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19.4招标文件中约定的其他投标将被拒绝的情形</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20、投标人不足三家情形处理</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投标截止后投标人不足3家或者通过资格审查或符合性审查的投标人不足3家的，除采购任务取消情形外，按财政部令第87号第四十三条条款进行处理。</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21、凡有以下情形者，一经查实，取消中标候选人资格条款</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21.1提供虚假材料谋取中标的；</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21.2采取不正当手段诋毁、排挤其他投标人的；</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21.3与采购人、其他投标人或者采购代理机构恶意串通的；</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21.4向采购人、采购代理机构行贿或者提供其他不正当利益的；</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21.5未在规定时间内与采购人签订采购合同的；</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21.6法律、法规规定的其它情况。</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22、恶意串通投标的情形</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22.1供应商直接或间接从采购人或采购代理机构处获得其他供应商的投标情况，并修改其投标文件；</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22.2评审活动开始前供应商直接或间接从采购人或采购代理机构处获得评标委员会组成人员情况；</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22.3供应商接受采购人或采购代理机构授意撤换、修改投标文件；</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22.4供应商之间协商投标报价、技术方案等投标文件实质性内容；</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22.5属于同一集团、协会、商会等组织成员的供应商按照该组织要求协同投标；</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22.6供应商之间事先约定由某一特定供应商中标、成交；</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22.7供应商之间商定部分供应商放弃投标或者放弃中标、成交；</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22.8供应商与采购人或采购代理机构之间、供应商相互之间为谋求特定供应商中标成交或者排斥其他供应商的其他串通行为；</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22.9不同投标人的投标文件由同一单位或者个人编制；</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22.10不同投标人委托同一单位或者个人办理投标事宜；</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22.11不同投标人的投标文件载明的项目管理成员或者联系人员为同一人；</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22.12不同投标人的投标文件异常一致或者投标报价呈规律性差异；</w:t>
      </w:r>
    </w:p>
    <w:p>
      <w:pPr>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22.13不同投标人的投标文件相互混装；</w:t>
      </w:r>
    </w:p>
    <w:p>
      <w:pPr>
        <w:pStyle w:val="348"/>
        <w:outlineLvl w:val="1"/>
        <w:rPr>
          <w:rFonts w:hint="eastAsia" w:ascii="宋体" w:hAnsi="宋体" w:eastAsia="宋体"/>
          <w:color w:val="auto"/>
          <w:highlight w:val="none"/>
        </w:rPr>
      </w:pPr>
      <w:bookmarkStart w:id="40" w:name="_Toc29013"/>
      <w:bookmarkEnd w:id="40"/>
      <w:bookmarkStart w:id="41" w:name="_Toc514054477"/>
      <w:bookmarkEnd w:id="41"/>
      <w:r>
        <w:rPr>
          <w:rFonts w:hint="eastAsia" w:ascii="宋体" w:hAnsi="宋体" w:eastAsia="宋体"/>
          <w:color w:val="auto"/>
          <w:highlight w:val="none"/>
        </w:rPr>
        <w:t>六、开标、资格审查、评标程序</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23、开标会议</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23.1代理机构工作人员按招标文件规定的时间、地点组织公开开标。采购单位代表及有关工作人员参加，政府采购监管等部门代表有权参与监管。</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23.2开标会议由代理机构工作人员主持。</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23.3开标会议上将当众公布投标人名称、投标报价等主要内容。</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开标过程的相关记录，由参加开标的各投标人代表和相关工作人员签字确认。因投标人原因未签字确认的，视同认可开标结果。</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24、开标流程</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主持人按下列程序进行开标，开标按分包顺序进行。</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24.1宣读开标会议纪律；</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24.2公布投标单位名单；</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24.3唱标；</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24.3.1 如项目有多个分包，按项目分包顺序依次唱标；</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24.3.2 每一分包按照递交投标文件的逆顺序唱标；</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24.4开标会议结束。</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25、资格审查</w:t>
      </w:r>
    </w:p>
    <w:p>
      <w:pPr>
        <w:spacing w:line="500" w:lineRule="exact"/>
        <w:ind w:firstLine="480" w:firstLineChars="200"/>
        <w:rPr>
          <w:rFonts w:hint="eastAsia" w:ascii="宋体" w:hAnsi="宋体"/>
          <w:color w:val="auto"/>
          <w:sz w:val="24"/>
          <w:highlight w:val="none"/>
        </w:rPr>
      </w:pPr>
      <w:bookmarkStart w:id="42" w:name="EBa9c0a2c9e523494487594c65b2a92370"/>
      <w:bookmarkEnd w:id="42"/>
      <w:r>
        <w:rPr>
          <w:rFonts w:hint="eastAsia" w:ascii="宋体" w:hAnsi="宋体"/>
          <w:color w:val="auto"/>
          <w:sz w:val="24"/>
          <w:highlight w:val="none"/>
        </w:rPr>
        <w:t>开标结束后，采购人或经采购人委托的采购代理机构依法据招标文件规定对投标人的资格证明文件等进行审查。</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26、评标委员会</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采购人应根据本项目的特点依法组建评标委员会。评标委员会负责具体评标事务，对资格审查合格的投标人进行评标，并独立履行相关职责。</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27、评标原则</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“公平、公正、客观、择优”为评标的基本原则，评标委员会将根据这一原则，公正、平等地对待各投标人。</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28、评标程序</w:t>
      </w:r>
    </w:p>
    <w:p>
      <w:pPr>
        <w:spacing w:line="500" w:lineRule="exact"/>
        <w:ind w:firstLine="480" w:firstLineChars="200"/>
        <w:rPr>
          <w:rFonts w:hint="eastAsia" w:ascii="宋体" w:hAnsi="宋体"/>
          <w:color w:val="auto"/>
          <w:sz w:val="24"/>
          <w:highlight w:val="none"/>
        </w:rPr>
      </w:pPr>
      <w:bookmarkStart w:id="43" w:name="EB48e5ba2667fe4390bf237677a47020dd"/>
      <w:bookmarkEnd w:id="43"/>
      <w:r>
        <w:rPr>
          <w:rFonts w:hint="eastAsia" w:ascii="宋体" w:hAnsi="宋体"/>
          <w:color w:val="auto"/>
          <w:sz w:val="24"/>
          <w:highlight w:val="none"/>
        </w:rPr>
        <w:t>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所谓重大偏离是指投标人投标文件中所述设备质量、技术规格、数量、交货期和服务等明显不能满足招标文件要求。重大偏离的认定须经评标委员会三分之二以上同意。</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评标委员会判断“投标文件”的响应性，基于“投标文件”本身和招标文件要求提供的技术支持而不靠外部证据。对非实质性响应的投标文件，投标人不能通过修正或撤销不符之处，而使其成为实质性响应。</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28.2澄清有关问题。</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28.2.1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并加盖公章，或者由法定代表人或其授权的代表签字。投标人的澄清、说明或者补正不得超出投标文件的范围或者改变投标文件的实质性内容。</w:t>
      </w:r>
    </w:p>
    <w:p>
      <w:pPr>
        <w:spacing w:line="500" w:lineRule="exact"/>
        <w:ind w:firstLine="600" w:firstLineChars="250"/>
        <w:rPr>
          <w:rFonts w:hint="eastAsia" w:ascii="宋体" w:hAnsi="宋体"/>
          <w:color w:val="auto"/>
          <w:sz w:val="24"/>
          <w:highlight w:val="none"/>
        </w:rPr>
      </w:pPr>
      <w:r>
        <w:rPr>
          <w:rFonts w:hint="eastAsia" w:ascii="宋体" w:hAnsi="宋体"/>
          <w:color w:val="auto"/>
          <w:sz w:val="24"/>
          <w:highlight w:val="none"/>
        </w:rPr>
        <w:t>28.2.2投标文件报价出现前后不一致的，除招标文件另有规定外，按照下列规定修正：</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①投标文件中开标一览表（报价表）内容与投标文件中相应内容不一致的，以开标一览表（报价表）为准；</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②大写金额和小写金额不一致的，以大写金额为准；</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③单价金额小数点或者百分比有明显错位的，以开标一览表的总价为准，并修改单价；</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④总价金额与按单价汇总金额不一致的，以单价金额计算结果为准。</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同时出现两种以上不一致的，按照前款规定的顺序修正。修正后的报价，经投标人确认后产生约束力，投标人不确认的，其投标无效。</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28.4比较。评标委员会将按招标文件中规定的评标方法和标准，对符合性检查合格的投标文件进行商务和技术评比。</w:t>
      </w:r>
    </w:p>
    <w:p>
      <w:pPr>
        <w:spacing w:line="500" w:lineRule="exact"/>
        <w:ind w:firstLine="480" w:firstLineChars="200"/>
        <w:rPr>
          <w:rFonts w:hint="eastAsia" w:ascii="宋体" w:hAnsi="宋体"/>
          <w:color w:val="auto"/>
          <w:sz w:val="24"/>
          <w:highlight w:val="none"/>
        </w:rPr>
      </w:pPr>
      <w:bookmarkStart w:id="44" w:name="EB66024636071342209da8bda483232040"/>
      <w:bookmarkEnd w:id="44"/>
      <w:r>
        <w:rPr>
          <w:rFonts w:hint="eastAsia" w:ascii="宋体" w:hAnsi="宋体"/>
          <w:color w:val="auto"/>
          <w:sz w:val="24"/>
          <w:highlight w:val="none"/>
        </w:rPr>
        <w:t xml:space="preserve">28.5推荐中标候选人。评标委员会按照招标文件中规定的评标方法和标准推荐中标候选人。 </w:t>
      </w:r>
    </w:p>
    <w:p>
      <w:pPr>
        <w:spacing w:line="500" w:lineRule="exact"/>
        <w:ind w:firstLine="480" w:firstLineChars="200"/>
        <w:rPr>
          <w:rFonts w:hint="eastAsia" w:ascii="宋体" w:hAnsi="宋体"/>
          <w:b/>
          <w:bCs/>
          <w:color w:val="auto"/>
          <w:sz w:val="24"/>
          <w:highlight w:val="none"/>
        </w:rPr>
      </w:pPr>
      <w:bookmarkStart w:id="45" w:name="EBf6bd108017b14bde8ec3ea4804c87c27"/>
      <w:r>
        <w:rPr>
          <w:rFonts w:hint="eastAsia" w:ascii="宋体" w:hAnsi="宋体"/>
          <w:b/>
          <w:bCs/>
          <w:color w:val="auto"/>
          <w:sz w:val="24"/>
          <w:highlight w:val="none"/>
        </w:rPr>
        <w:t>29、政府采购政策功能落实</w:t>
      </w:r>
    </w:p>
    <w:p>
      <w:pPr>
        <w:spacing w:line="500" w:lineRule="exact"/>
        <w:ind w:firstLine="480" w:firstLineChars="200"/>
        <w:rPr>
          <w:rFonts w:hint="eastAsia" w:ascii="宋体" w:hAnsi="宋体"/>
          <w:color w:val="auto"/>
          <w:sz w:val="24"/>
          <w:highlight w:val="none"/>
        </w:rPr>
      </w:pPr>
      <w:bookmarkStart w:id="46" w:name="EBd9bc59d5f2ed4fb8a64ee2e373d8cc72"/>
      <w:r>
        <w:rPr>
          <w:rFonts w:hint="eastAsia" w:ascii="宋体" w:hAnsi="宋体"/>
          <w:color w:val="auto"/>
          <w:sz w:val="24"/>
          <w:highlight w:val="none"/>
        </w:rPr>
        <w:t>29.1 政府采购促进中小企业发展，在政府采购活动中，供应商提供的货物、工程或者服务符合下列情形的，享受中小企业扶持政策：</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（1）在货物采购项目中，货物由中小企业制造，即货物由中小企业生产且使用该中小企业商号或者注册商标；</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（2）在工程采购项目中，工程由中小企业承建，即工程施工单位为中小企业；</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（3）在服务采购项目中，服务由中小企业承接，即提供服务的人员为中小企业依照《中华人民共和国劳动合同法》订立劳动合同的从业人员。</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在货物采购项目中，供应商提供的货物既有中小企业制造货物，也有大型企业制造货物的，不享受中小企业扶持政策。</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以联合体形式参加政府采购活动，联合体各方均为中小企业的，联合体视同中小企业。其中，联合体各方均为小微企业的，联合体视同小微企业。</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中小企业供应商参加政府采购活动，应当出具《中小企业声明函》（格式见后附件），否则不得享受相关中小企业扶持政策。</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中小企业，是指在中华人民共和国境内依法设立，依据国务院批准的中小企业划分标准（详见《关于印发中小企业划型标准规定的通知》</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pPr>
        <w:spacing w:line="500" w:lineRule="exact"/>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对国家认定的节能产品和环保产品分别给予投标价的5%价格扣除，用扣除后的价格参与评审（特别说明：节能、环保产品必须纳入“中国政府采购网</w:t>
      </w:r>
    </w:p>
    <w:p>
      <w:pPr>
        <w:spacing w:line="500" w:lineRule="exact"/>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"http://www.ccgp.gov.cn”等官方网站“节能、环保产品查询系统”" \t "_blank" </w:instrText>
      </w:r>
      <w:r>
        <w:rPr>
          <w:rFonts w:hint="eastAsia" w:ascii="宋体" w:hAnsi="宋体"/>
          <w:color w:val="auto"/>
          <w:sz w:val="24"/>
          <w:highlight w:val="none"/>
        </w:rPr>
        <w:fldChar w:fldCharType="separate"/>
      </w:r>
      <w:r>
        <w:rPr>
          <w:rFonts w:hint="eastAsia" w:ascii="宋体" w:hAnsi="宋体"/>
          <w:color w:val="auto"/>
          <w:sz w:val="24"/>
          <w:highlight w:val="none"/>
        </w:rPr>
        <w:t>http://www.ccgp.gov.cn”等官方网站“节能、环保产品查询系统”</w:t>
      </w:r>
      <w:r>
        <w:rPr>
          <w:rFonts w:hint="eastAsia" w:ascii="宋体" w:hAnsi="宋体"/>
          <w:color w:val="auto"/>
          <w:sz w:val="24"/>
          <w:highlight w:val="none"/>
        </w:rPr>
        <w:fldChar w:fldCharType="end"/>
      </w:r>
      <w:r>
        <w:rPr>
          <w:rFonts w:hint="eastAsia" w:ascii="宋体" w:hAnsi="宋体"/>
          <w:color w:val="auto"/>
          <w:sz w:val="24"/>
          <w:highlight w:val="none"/>
        </w:rPr>
        <w:t>，且以提供的证书</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复印件为准）。</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29.5 提供的产品属于信息安全产品的，供应商应当选择经国家认证的信息安全产品投标，并提供由中国信息安全认证中心按国家标准认证颁发的有效认证证书复印件。</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29.6 提供的产品属于政府强制采购节能产品的，供应商应当选择依据国家标准中二级能效（水效）指标认证的节能产品投标，并提供有效的节能产品认证证书复印件。</w:t>
      </w:r>
    </w:p>
    <w:bookmarkEnd w:id="46"/>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 xml:space="preserve">29.7提供的产品属于环境标志产品的,供应商应当选择依据相关标准的最新版本认证的环境标志产品投标,并提供有效的环境标志产品认证证书复印件。 </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29.8进口产品政策</w:t>
      </w:r>
    </w:p>
    <w:p>
      <w:pPr>
        <w:spacing w:line="500" w:lineRule="exact"/>
        <w:ind w:firstLine="240" w:firstLineChars="100"/>
        <w:rPr>
          <w:rFonts w:hint="eastAsia" w:ascii="宋体" w:hAnsi="宋体"/>
          <w:color w:val="auto"/>
          <w:sz w:val="24"/>
          <w:highlight w:val="none"/>
        </w:rPr>
      </w:pPr>
      <w:r>
        <w:rPr>
          <w:rFonts w:hint="eastAsia" w:ascii="宋体" w:hAnsi="宋体"/>
          <w:color w:val="auto"/>
          <w:sz w:val="24"/>
          <w:highlight w:val="none"/>
        </w:rPr>
        <w:t>（1）除招标公告载明接受进口产品参加外，不允许进口产品参加。进口产品认定依照《财政部关于政府采购进口产品管理有关问题的通知》（财办库〔2008〕248号）的规定。</w:t>
      </w:r>
    </w:p>
    <w:p>
      <w:pPr>
        <w:spacing w:line="500" w:lineRule="exact"/>
        <w:ind w:firstLine="240" w:firstLineChars="100"/>
        <w:rPr>
          <w:rFonts w:hint="eastAsia" w:ascii="宋体" w:hAnsi="宋体"/>
          <w:color w:val="auto"/>
          <w:sz w:val="24"/>
          <w:highlight w:val="none"/>
        </w:rPr>
      </w:pPr>
      <w:r>
        <w:rPr>
          <w:rFonts w:hint="eastAsia" w:ascii="宋体" w:hAnsi="宋体"/>
          <w:color w:val="auto"/>
          <w:sz w:val="24"/>
          <w:highlight w:val="none"/>
        </w:rPr>
        <w:t>（2）允许进口产品参加的，满足需求的国内产品可以参加。</w:t>
      </w:r>
    </w:p>
    <w:p>
      <w:pPr>
        <w:spacing w:line="500" w:lineRule="exact"/>
        <w:ind w:firstLine="240" w:firstLineChars="100"/>
        <w:rPr>
          <w:rFonts w:hint="eastAsia" w:ascii="宋体" w:hAnsi="宋体"/>
          <w:color w:val="auto"/>
          <w:sz w:val="24"/>
          <w:highlight w:val="none"/>
        </w:rPr>
      </w:pPr>
      <w:r>
        <w:rPr>
          <w:rFonts w:hint="eastAsia" w:ascii="宋体" w:hAnsi="宋体"/>
          <w:color w:val="auto"/>
          <w:sz w:val="24"/>
          <w:highlight w:val="none"/>
        </w:rPr>
        <w:t>（3）允许进口产品参加的，优先采购向我国企业转让技术、与我国企业签订消化吸收再创新方案的供应商的进口产品。</w:t>
      </w:r>
    </w:p>
    <w:p>
      <w:pPr>
        <w:spacing w:line="500" w:lineRule="exact"/>
        <w:ind w:firstLine="240" w:firstLineChars="100"/>
        <w:rPr>
          <w:rFonts w:hint="eastAsia" w:ascii="宋体" w:hAnsi="宋体" w:eastAsia="宋体"/>
          <w:color w:val="auto"/>
          <w:sz w:val="24"/>
          <w:szCs w:val="24"/>
          <w:highlight w:val="none"/>
          <w:lang w:eastAsia="zh-CN"/>
        </w:rPr>
      </w:pPr>
      <w:r>
        <w:rPr>
          <w:rFonts w:ascii="宋体" w:hAnsi="宋体"/>
          <w:color w:val="auto"/>
          <w:sz w:val="24"/>
          <w:szCs w:val="24"/>
          <w:highlight w:val="none"/>
        </w:rPr>
        <w:t>29.9落实政府采购《商品包装政府采购需求标准(试行)》、《快递包装政府采购需求标准（试行）》（财办库〔2020〕123号〕、《绿色数据中心政府采购需求标准（试行）》（财库〔2023]7号）等需求标准。</w:t>
      </w:r>
    </w:p>
    <w:p>
      <w:pPr>
        <w:spacing w:line="500" w:lineRule="exact"/>
        <w:ind w:firstLine="240" w:firstLineChars="100"/>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29.10落实政府采购《绿色建筑和绿色建材政府采购需求标准》（财库〔2022〕35号文）和《政府采购支持绿色建材促进建筑品质提升政策项目实施指南》（财办库〔2023〕52号）文件标准。</w:t>
      </w:r>
    </w:p>
    <w:p>
      <w:pPr>
        <w:spacing w:line="500" w:lineRule="exact"/>
        <w:ind w:firstLine="240" w:firstLineChars="100"/>
        <w:rPr>
          <w:rFonts w:hint="eastAsia" w:ascii="宋体" w:hAnsi="宋体"/>
          <w:color w:val="auto"/>
          <w:sz w:val="24"/>
          <w:szCs w:val="24"/>
          <w:highlight w:val="none"/>
        </w:rPr>
      </w:pPr>
      <w:r>
        <w:rPr>
          <w:rFonts w:hint="eastAsia" w:ascii="宋体" w:hAnsi="宋体"/>
          <w:color w:val="auto"/>
          <w:sz w:val="24"/>
          <w:szCs w:val="24"/>
          <w:highlight w:val="none"/>
        </w:rPr>
        <w:t>29.11 脱贫攻坚支持政策：根据《关于运用政府采购政策支持脱贫攻坚的通知》（财库〔2019〕27 号），鼓励采用优先采购、预留采购份额方式采购贫困地区农副产品；鼓励优先采购聘用建档立卡贫困人员物业公司提供的物业服务。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p>
    <w:p>
      <w:pPr>
        <w:spacing w:line="500" w:lineRule="exact"/>
        <w:ind w:firstLine="240" w:firstLineChars="100"/>
        <w:rPr>
          <w:rFonts w:hint="eastAsia" w:ascii="宋体" w:hAnsi="宋体"/>
          <w:color w:val="auto"/>
          <w:sz w:val="24"/>
          <w:szCs w:val="24"/>
          <w:highlight w:val="none"/>
          <w:lang w:val="zh-CN"/>
        </w:rPr>
      </w:pPr>
      <w:r>
        <w:rPr>
          <w:rFonts w:hint="eastAsia" w:ascii="宋体" w:hAnsi="宋体"/>
          <w:color w:val="auto"/>
          <w:sz w:val="24"/>
          <w:szCs w:val="24"/>
          <w:highlight w:val="none"/>
          <w:lang w:val="en-US" w:eastAsia="zh-CN"/>
        </w:rPr>
        <w:t>29.12</w:t>
      </w:r>
      <w:r>
        <w:rPr>
          <w:rFonts w:hint="eastAsia" w:ascii="宋体" w:hAnsi="宋体"/>
          <w:color w:val="auto"/>
          <w:sz w:val="24"/>
          <w:szCs w:val="24"/>
          <w:highlight w:val="none"/>
        </w:rPr>
        <w:t>落实关于在全省政府采购领域推行电子履约保函（保险）的通知苏财购〔2023〕150号）。</w:t>
      </w:r>
    </w:p>
    <w:p>
      <w:pPr>
        <w:spacing w:line="500" w:lineRule="exact"/>
        <w:ind w:firstLine="240" w:firstLineChars="100"/>
        <w:rPr>
          <w:rFonts w:hint="eastAsia" w:ascii="宋体" w:hAnsi="宋体"/>
          <w:color w:val="auto"/>
          <w:sz w:val="24"/>
          <w:szCs w:val="24"/>
          <w:highlight w:val="none"/>
        </w:rPr>
      </w:pPr>
      <w:r>
        <w:rPr>
          <w:rFonts w:hint="eastAsia" w:ascii="宋体" w:hAnsi="宋体"/>
          <w:color w:val="auto"/>
          <w:sz w:val="24"/>
          <w:szCs w:val="24"/>
          <w:highlight w:val="none"/>
        </w:rPr>
        <w:t>29.1</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未按要求提供相关材料的，不享受相关政策。</w:t>
      </w:r>
    </w:p>
    <w:p>
      <w:pPr>
        <w:pStyle w:val="348"/>
        <w:outlineLvl w:val="1"/>
        <w:rPr>
          <w:rFonts w:hint="eastAsia" w:ascii="宋体" w:hAnsi="宋体" w:eastAsia="宋体"/>
          <w:color w:val="auto"/>
          <w:highlight w:val="none"/>
        </w:rPr>
      </w:pPr>
      <w:bookmarkStart w:id="47" w:name="_Toc514054478"/>
      <w:bookmarkEnd w:id="47"/>
      <w:bookmarkStart w:id="48" w:name="_Toc81493168"/>
      <w:bookmarkEnd w:id="48"/>
      <w:bookmarkStart w:id="49" w:name="_Toc9744"/>
      <w:bookmarkEnd w:id="49"/>
      <w:r>
        <w:rPr>
          <w:rFonts w:hint="eastAsia" w:ascii="宋体" w:hAnsi="宋体" w:eastAsia="宋体"/>
          <w:color w:val="auto"/>
          <w:highlight w:val="none"/>
        </w:rPr>
        <w:t>七、中标及合同签订</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30、标后审查</w:t>
      </w:r>
    </w:p>
    <w:p>
      <w:pPr>
        <w:spacing w:line="500" w:lineRule="exact"/>
        <w:ind w:firstLine="480" w:firstLineChars="200"/>
        <w:rPr>
          <w:rFonts w:hint="eastAsia" w:ascii="宋体" w:hAnsi="宋体"/>
          <w:color w:val="auto"/>
          <w:sz w:val="24"/>
          <w:highlight w:val="none"/>
        </w:rPr>
      </w:pPr>
      <w:bookmarkStart w:id="50" w:name="EB17cdacdfdd1244abbb73389fe0bfffe7"/>
      <w:r>
        <w:rPr>
          <w:rFonts w:hint="eastAsia" w:ascii="宋体" w:hAnsi="宋体"/>
          <w:color w:val="auto"/>
          <w:sz w:val="24"/>
          <w:highlight w:val="none"/>
        </w:rPr>
        <w:t>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p>
    <w:bookmarkEnd w:id="50"/>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31、确定中标人</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31.1采购人应当自收到评标报告之日起5个工作日内，在评标报告确定的中标候选人名单中按顺序确定中标人。中标候选人并列的，由采购人在相关部门监督下通过随机抽取的方式确定。</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31.2 在中标结果公告届满之前，中标人被列为失信被执行人的，取消其中标资格，并重新确定中标人。</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31.3采购人不得通过对样品进行检测、对供应商进行考察等方式改变评审结果。</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32、中标通知书</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32.1中标结果在财政部门指定信息媒体上发布公告，招标代理机构将向中标人发出中标通知书。</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32.2中标人应及时到招标代理机构领取中标通知书，中标通知书是签订合同的依据和组成部分。</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33、签订合同</w:t>
      </w:r>
    </w:p>
    <w:p>
      <w:pPr>
        <w:spacing w:line="500" w:lineRule="exact"/>
        <w:ind w:firstLine="480" w:firstLineChars="200"/>
        <w:rPr>
          <w:rFonts w:hint="eastAsia" w:ascii="宋体" w:hAnsi="宋体"/>
          <w:color w:val="auto"/>
          <w:kern w:val="0"/>
          <w:sz w:val="24"/>
          <w:highlight w:val="none"/>
        </w:rPr>
      </w:pPr>
      <w:r>
        <w:rPr>
          <w:rFonts w:hint="eastAsia" w:ascii="宋体" w:hAnsi="宋体"/>
          <w:color w:val="auto"/>
          <w:kern w:val="0"/>
          <w:sz w:val="24"/>
          <w:highlight w:val="none"/>
        </w:rPr>
        <w:t>33.1中标人与采购人应当在中标通知书发出之日起30日内签订采购合同，并将合同送采购代理机构登记。招标文件、中标人的投标文件以及评标过程中有关澄清文件均作为合同附件。</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33.2中标人无正当理由未在规定时间内与采购人签订合同的，采购人有权建议取消其中标资格，监管部门将对其依法处理。</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34、履约保证金</w:t>
      </w:r>
    </w:p>
    <w:p>
      <w:pPr>
        <w:ind w:firstLine="480" w:firstLineChars="200"/>
        <w:rPr>
          <w:rFonts w:hint="eastAsia" w:ascii="宋体" w:hAnsi="宋体"/>
          <w:color w:val="auto"/>
          <w:sz w:val="24"/>
          <w:szCs w:val="24"/>
          <w:highlight w:val="none"/>
        </w:rPr>
      </w:pPr>
      <w:bookmarkStart w:id="51" w:name="EB0d6067c6e00d44b1ad5603550c455e87"/>
      <w:bookmarkEnd w:id="51"/>
      <w:bookmarkStart w:id="52" w:name="EB3094b551b51c42ca93e0255d679fb06f"/>
      <w:bookmarkEnd w:id="52"/>
      <w:r>
        <w:rPr>
          <w:rFonts w:hint="eastAsia" w:ascii="宋体" w:hAnsi="宋体"/>
          <w:color w:val="auto"/>
          <w:sz w:val="24"/>
          <w:szCs w:val="24"/>
          <w:highlight w:val="none"/>
        </w:rPr>
        <w:t xml:space="preserve">见前附表。  </w:t>
      </w:r>
    </w:p>
    <w:p>
      <w:pPr>
        <w:pStyle w:val="348"/>
        <w:outlineLvl w:val="1"/>
        <w:rPr>
          <w:rFonts w:hint="eastAsia" w:ascii="宋体" w:hAnsi="宋体" w:eastAsia="宋体"/>
          <w:color w:val="auto"/>
          <w:highlight w:val="none"/>
        </w:rPr>
      </w:pPr>
      <w:bookmarkStart w:id="53" w:name="_Toc25599"/>
      <w:bookmarkEnd w:id="53"/>
      <w:bookmarkStart w:id="54" w:name="_Toc514054479"/>
      <w:bookmarkEnd w:id="54"/>
      <w:bookmarkStart w:id="55" w:name="_Toc81493169"/>
      <w:bookmarkEnd w:id="55"/>
      <w:r>
        <w:rPr>
          <w:rFonts w:hint="eastAsia" w:ascii="宋体" w:hAnsi="宋体" w:eastAsia="宋体"/>
          <w:color w:val="auto"/>
          <w:highlight w:val="none"/>
        </w:rPr>
        <w:t>八、验收及付款</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35、验收</w:t>
      </w:r>
    </w:p>
    <w:p>
      <w:pPr>
        <w:spacing w:line="500" w:lineRule="exact"/>
        <w:ind w:firstLine="480" w:firstLineChars="200"/>
        <w:rPr>
          <w:rFonts w:hint="eastAsia" w:ascii="宋体" w:hAnsi="宋体"/>
          <w:color w:val="auto"/>
          <w:sz w:val="24"/>
          <w:highlight w:val="none"/>
        </w:rPr>
      </w:pPr>
      <w:bookmarkStart w:id="56" w:name="EBbbb2492ed6b84c9193a6bb6f72a512f3"/>
      <w:bookmarkEnd w:id="56"/>
      <w:r>
        <w:rPr>
          <w:rFonts w:hint="eastAsia" w:ascii="宋体" w:hAnsi="宋体"/>
          <w:color w:val="auto"/>
          <w:sz w:val="24"/>
          <w:highlight w:val="none"/>
        </w:rPr>
        <w:t>35.1由采购人组织验收，中标人配合。</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36、付款</w:t>
      </w:r>
    </w:p>
    <w:p>
      <w:pPr>
        <w:spacing w:line="500" w:lineRule="exact"/>
        <w:ind w:firstLine="480" w:firstLineChars="200"/>
        <w:rPr>
          <w:rFonts w:hint="eastAsia" w:ascii="宋体" w:hAnsi="宋体"/>
          <w:color w:val="auto"/>
          <w:sz w:val="24"/>
          <w:highlight w:val="none"/>
        </w:rPr>
      </w:pPr>
      <w:bookmarkStart w:id="57" w:name="EBf0da31fab3a04ad0893de83144a87b34"/>
      <w:bookmarkEnd w:id="57"/>
      <w:r>
        <w:rPr>
          <w:rFonts w:hint="eastAsia" w:ascii="宋体" w:hAnsi="宋体"/>
          <w:color w:val="auto"/>
          <w:sz w:val="24"/>
          <w:highlight w:val="none"/>
        </w:rPr>
        <w:t>36.1 中标人按招标文件和采购人要求办理采购款支付手续。</w:t>
      </w:r>
    </w:p>
    <w:p>
      <w:pPr>
        <w:pStyle w:val="348"/>
        <w:outlineLvl w:val="1"/>
        <w:rPr>
          <w:rFonts w:hint="eastAsia" w:ascii="宋体" w:hAnsi="宋体" w:eastAsia="宋体"/>
          <w:color w:val="auto"/>
          <w:highlight w:val="none"/>
        </w:rPr>
      </w:pPr>
      <w:bookmarkStart w:id="58" w:name="_Toc81493170"/>
      <w:bookmarkEnd w:id="58"/>
      <w:bookmarkStart w:id="59" w:name="_Toc10945"/>
      <w:bookmarkEnd w:id="59"/>
      <w:bookmarkStart w:id="60" w:name="_Toc514054480"/>
      <w:bookmarkEnd w:id="60"/>
      <w:r>
        <w:rPr>
          <w:rFonts w:hint="eastAsia" w:ascii="宋体" w:hAnsi="宋体" w:eastAsia="宋体"/>
          <w:color w:val="auto"/>
          <w:highlight w:val="none"/>
        </w:rPr>
        <w:t>九、质疑与投诉</w:t>
      </w:r>
    </w:p>
    <w:p>
      <w:pPr>
        <w:spacing w:line="500" w:lineRule="exact"/>
        <w:ind w:firstLine="480" w:firstLineChars="200"/>
        <w:rPr>
          <w:rFonts w:hint="eastAsia" w:ascii="宋体" w:hAnsi="宋体"/>
          <w:b/>
          <w:color w:val="auto"/>
          <w:sz w:val="24"/>
          <w:highlight w:val="none"/>
        </w:rPr>
      </w:pPr>
      <w:r>
        <w:rPr>
          <w:rFonts w:hint="eastAsia" w:ascii="宋体" w:hAnsi="宋体"/>
          <w:b/>
          <w:color w:val="auto"/>
          <w:sz w:val="24"/>
          <w:highlight w:val="none"/>
        </w:rPr>
        <w:t>37、质疑与投诉</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37.1投标人认为采购文件、采购过程和中标结果使自己的权益受到损害的，可以在知道或者应知其权益受到损害之日起七个工作日内（具体起算时间见37.2），</w:t>
      </w:r>
      <w:r>
        <w:rPr>
          <w:rFonts w:hint="eastAsia" w:ascii="宋体" w:hAnsi="宋体"/>
          <w:b/>
          <w:color w:val="auto"/>
          <w:sz w:val="24"/>
          <w:highlight w:val="none"/>
        </w:rPr>
        <w:t>将质疑函以书面形式由法定代表人或法人授权代表送达采购代理机构或采购单位</w:t>
      </w:r>
      <w:r>
        <w:rPr>
          <w:rFonts w:hint="eastAsia" w:ascii="宋体" w:hAnsi="宋体"/>
          <w:color w:val="auto"/>
          <w:sz w:val="24"/>
          <w:highlight w:val="none"/>
        </w:rPr>
        <w:t>。质疑超出采购机构代理范围的，供应商应当向采购人提出。</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供应商应在法定质疑期内一次性提出针对同一采购程序环节的质疑。</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供应商质疑实行实名制，其质疑应当有具体的质疑事项及事实根据，并配合采购人、采购代理机构处理质疑。</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37.2供应商应知其权益受到损害之日，是指：</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（1）对本项目采购文件提出质疑的，为采购文件公告期限届满之日；</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（2）对本项目采购过程提出质疑的，为各采购程序环节结束之日；</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（3）对本项目中标或者成交结果提出质疑的，为中标或者成交结果公告期限届满之日。</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 xml:space="preserve">37.3投标人委托代理质疑的，应当向代理人提交授权委托书，并载明委托代理的具体权限和事项。 </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37.4质疑函的必备内容</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（1）质疑函必须注明质疑人单位名称、详细地址、邮编、单位和法定代表人电话号码、联系人及电话；</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（2）所参加项目的具体质疑事项及事实依据；</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（3）认为自己合法权益受到损害或可能受到损害的相关证据材料；</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 xml:space="preserve">（4）提起质疑的日期； </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 xml:space="preserve">（5）质疑函必须由法定代表人签字并加盖公章（委托代理质疑的还应按37.3条规定提供授权委托书）。 </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37.5质疑应符合下列条件：</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（1）质疑人是参与所质疑项目的投标人；</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（2）质疑函内容符合相关的规定；</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（3）在规定的有效期限内提起质疑；</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（4）国务院财政部门规定的其他条件。</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37.6招标采购单位在收到质疑函后，认为质疑函内容、格式等不符合本规定的，告知质疑人进行补正。质疑人应当在法定质疑期限内进行补正并重新提交质疑函，拒不补正或者超过法定期限后未重新提交质疑函的，为无效质疑。</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37.7招标采购单位在收到投标人的书面质疑后七个工作日内作出答复，采购人、采购代理机构可以组织原评标委员会协助答复质疑，并以书面形式通知质疑投标人和其他有关人员，但答复的内容不涉及商业秘密。</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37.8提出质疑的投标人对答复不满意的，或者采购人、采购代理机构未在规定期限内作出答复的，可以在答复期满后十五个工作日内向同级政府采购监督管理部门投诉。</w:t>
      </w:r>
    </w:p>
    <w:p>
      <w:pPr>
        <w:spacing w:line="500" w:lineRule="exact"/>
        <w:ind w:firstLine="480" w:firstLineChars="200"/>
        <w:rPr>
          <w:rFonts w:hint="eastAsia" w:ascii="宋体" w:hAnsi="宋体"/>
          <w:color w:val="auto"/>
          <w:sz w:val="24"/>
          <w:highlight w:val="none"/>
        </w:rPr>
      </w:pPr>
      <w:bookmarkStart w:id="61" w:name="EB8439d347654149b8973a575299810d6b"/>
      <w:bookmarkEnd w:id="61"/>
      <w:r>
        <w:rPr>
          <w:rFonts w:hint="eastAsia" w:ascii="宋体" w:hAnsi="宋体"/>
          <w:color w:val="auto"/>
          <w:sz w:val="24"/>
          <w:highlight w:val="none"/>
        </w:rPr>
        <w:t>37.9</w:t>
      </w:r>
      <w:r>
        <w:rPr>
          <w:rFonts w:hint="eastAsia" w:ascii="宋体" w:hAnsi="宋体"/>
          <w:color w:val="auto"/>
          <w:sz w:val="24"/>
          <w:szCs w:val="24"/>
          <w:highlight w:val="none"/>
        </w:rPr>
        <w:t>供应商捏造事实、提供虚假材料或者以非法手段取得证明材料进行投诉的，由财</w:t>
      </w:r>
      <w:r>
        <w:rPr>
          <w:rFonts w:hint="eastAsia" w:ascii="宋体" w:hAnsi="宋体"/>
          <w:color w:val="auto"/>
          <w:sz w:val="24"/>
          <w:highlight w:val="none"/>
        </w:rPr>
        <w:t>政部门列入不良行为记录名单，禁止其1至3年内参加政府采购活动。</w:t>
      </w:r>
    </w:p>
    <w:bookmarkEnd w:id="45"/>
    <w:p>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color w:val="auto"/>
          <w:sz w:val="24"/>
          <w:highlight w:val="none"/>
        </w:rPr>
        <w:t xml:space="preserve"> </w:t>
      </w:r>
      <w:r>
        <w:rPr>
          <w:rFonts w:ascii="宋体" w:hAnsi="宋体" w:eastAsia="宋体" w:cs="宋体"/>
          <w:color w:val="auto"/>
          <w:sz w:val="24"/>
          <w:szCs w:val="24"/>
          <w:highlight w:val="none"/>
        </w:rPr>
        <w:t>十、政府采购履约资金扶持政策</w:t>
      </w:r>
    </w:p>
    <w:p>
      <w:pPr>
        <w:spacing w:line="500" w:lineRule="exact"/>
        <w:ind w:firstLine="480" w:firstLineChars="200"/>
        <w:rPr>
          <w:rFonts w:hint="eastAsia" w:ascii="宋体" w:hAnsi="宋体"/>
          <w:color w:val="auto"/>
          <w:sz w:val="24"/>
          <w:highlight w:val="none"/>
        </w:rPr>
      </w:pPr>
      <w:r>
        <w:rPr>
          <w:rFonts w:ascii="宋体" w:hAnsi="宋体" w:eastAsia="宋体" w:cs="宋体"/>
          <w:color w:val="auto"/>
          <w:sz w:val="24"/>
          <w:szCs w:val="24"/>
          <w:highlight w:val="none"/>
        </w:rPr>
        <w:t>中标人可凭政府采购合同办理融资贷款，详情请见江苏政府采购网“政采贷”专栏。</w:t>
      </w:r>
    </w:p>
    <w:p>
      <w:pPr>
        <w:jc w:val="center"/>
        <w:outlineLvl w:val="0"/>
        <w:rPr>
          <w:rFonts w:hint="eastAsia"/>
          <w:b/>
          <w:color w:val="auto"/>
          <w:sz w:val="44"/>
          <w:szCs w:val="44"/>
          <w:highlight w:val="none"/>
        </w:rPr>
      </w:pPr>
      <w:bookmarkStart w:id="62" w:name="_Toc22015"/>
      <w:bookmarkEnd w:id="62"/>
      <w:bookmarkStart w:id="63" w:name="EB4d341233595e4bf8ad7006b4bd78d974"/>
      <w:bookmarkEnd w:id="63"/>
      <w:r>
        <w:rPr>
          <w:rFonts w:hint="eastAsia"/>
          <w:b/>
          <w:color w:val="auto"/>
          <w:sz w:val="44"/>
          <w:szCs w:val="44"/>
          <w:highlight w:val="none"/>
        </w:rPr>
        <w:br w:type="page"/>
      </w:r>
      <w:r>
        <w:rPr>
          <w:rFonts w:hint="eastAsia"/>
          <w:b/>
          <w:color w:val="auto"/>
          <w:sz w:val="44"/>
          <w:szCs w:val="44"/>
          <w:highlight w:val="none"/>
        </w:rPr>
        <w:t>第三部分  资格审查及评标办法</w:t>
      </w:r>
    </w:p>
    <w:p>
      <w:pPr>
        <w:spacing w:before="156" w:after="156"/>
        <w:ind w:firstLine="640" w:firstLineChars="200"/>
        <w:outlineLvl w:val="1"/>
        <w:rPr>
          <w:rFonts w:hint="eastAsia"/>
          <w:b/>
          <w:color w:val="auto"/>
          <w:sz w:val="32"/>
          <w:szCs w:val="32"/>
          <w:highlight w:val="none"/>
        </w:rPr>
      </w:pPr>
      <w:bookmarkStart w:id="64" w:name="_Toc24217_WPSOffice_Level2"/>
      <w:bookmarkEnd w:id="64"/>
      <w:bookmarkStart w:id="65" w:name="_Toc4647"/>
      <w:bookmarkEnd w:id="65"/>
      <w:r>
        <w:rPr>
          <w:rFonts w:hint="eastAsia"/>
          <w:b/>
          <w:color w:val="auto"/>
          <w:sz w:val="32"/>
          <w:szCs w:val="32"/>
          <w:highlight w:val="none"/>
        </w:rPr>
        <w:t>一、资格审查</w:t>
      </w:r>
    </w:p>
    <w:p>
      <w:pPr>
        <w:ind w:firstLine="420"/>
        <w:rPr>
          <w:rFonts w:hint="eastAsia" w:ascii="宋体" w:hAnsi="宋体"/>
          <w:color w:val="auto"/>
          <w:sz w:val="24"/>
          <w:highlight w:val="none"/>
        </w:rPr>
      </w:pPr>
      <w:r>
        <w:rPr>
          <w:rFonts w:hint="eastAsia" w:ascii="宋体" w:hAnsi="宋体"/>
          <w:color w:val="auto"/>
          <w:sz w:val="24"/>
          <w:highlight w:val="none"/>
        </w:rPr>
        <w:t>采购人按照下列指标对各投标人的资格进行审查，未通过审查的为无效标，不参与评标。</w:t>
      </w:r>
    </w:p>
    <w:tbl>
      <w:tblPr>
        <w:tblStyle w:val="13"/>
        <w:tblW w:w="0" w:type="auto"/>
        <w:tblInd w:w="0" w:type="dxa"/>
        <w:tblBorders>
          <w:top w:val="thickThinLargeGap" w:color="000000" w:sz="12" w:space="0"/>
          <w:left w:val="thickThinLargeGap" w:color="000000" w:sz="12" w:space="0"/>
          <w:bottom w:val="thickThinLargeGap" w:color="000000" w:sz="12" w:space="0"/>
          <w:right w:val="thickThinLargeGap"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828"/>
        <w:gridCol w:w="4032"/>
      </w:tblGrid>
      <w:tr>
        <w:tblPrEx>
          <w:tblBorders>
            <w:top w:val="thickThinLargeGap" w:color="000000" w:sz="12" w:space="0"/>
            <w:left w:val="thickThinLargeGap" w:color="000000" w:sz="12" w:space="0"/>
            <w:bottom w:val="thickThinLargeGap" w:color="000000" w:sz="12" w:space="0"/>
            <w:right w:val="thickThinLargeGap" w:color="000000" w:sz="12" w:space="0"/>
            <w:insideH w:val="none" w:color="000000" w:sz="0" w:space="0"/>
            <w:insideV w:val="none" w:color="000000" w:sz="0" w:space="0"/>
          </w:tblBorders>
        </w:tblPrEx>
        <w:tc>
          <w:tcPr>
            <w:tcW w:w="4828" w:type="dxa"/>
            <w:tcBorders>
              <w:top w:val="outset" w:color="000000" w:sz="6" w:space="0"/>
              <w:left w:val="outset" w:color="000000" w:sz="6" w:space="0"/>
              <w:bottom w:val="outset" w:color="000000" w:sz="6" w:space="0"/>
              <w:right w:val="outset" w:color="000000" w:sz="6" w:space="0"/>
            </w:tcBorders>
            <w:vAlign w:val="center"/>
          </w:tcPr>
          <w:p>
            <w:pPr>
              <w:jc w:val="center"/>
              <w:rPr>
                <w:rFonts w:hint="eastAsia" w:ascii="宋体" w:hAnsi="宋体"/>
                <w:color w:val="auto"/>
                <w:highlight w:val="none"/>
              </w:rPr>
            </w:pPr>
            <w:r>
              <w:rPr>
                <w:rFonts w:hint="eastAsia" w:ascii="宋体" w:hAnsi="宋体"/>
                <w:color w:val="auto"/>
                <w:highlight w:val="none"/>
              </w:rPr>
              <w:t>资格审查因素</w:t>
            </w:r>
          </w:p>
        </w:tc>
        <w:tc>
          <w:tcPr>
            <w:tcW w:w="4032" w:type="dxa"/>
            <w:tcBorders>
              <w:top w:val="outset" w:color="000000" w:sz="6" w:space="0"/>
              <w:left w:val="outset" w:color="000000" w:sz="6" w:space="0"/>
              <w:bottom w:val="outset" w:color="000000" w:sz="6" w:space="0"/>
              <w:right w:val="outset" w:color="000000" w:sz="6" w:space="0"/>
            </w:tcBorders>
            <w:vAlign w:val="center"/>
          </w:tcPr>
          <w:p>
            <w:pPr>
              <w:jc w:val="center"/>
              <w:rPr>
                <w:rFonts w:hint="eastAsia" w:ascii="宋体" w:hAnsi="宋体"/>
                <w:color w:val="auto"/>
                <w:highlight w:val="none"/>
              </w:rPr>
            </w:pPr>
            <w:r>
              <w:rPr>
                <w:rFonts w:hint="eastAsia" w:ascii="宋体" w:hAnsi="宋体"/>
                <w:color w:val="auto"/>
                <w:highlight w:val="none"/>
              </w:rPr>
              <w:t>审查标准</w:t>
            </w:r>
          </w:p>
        </w:tc>
      </w:tr>
      <w:tr>
        <w:tblPrEx>
          <w:tblBorders>
            <w:top w:val="thickThinLargeGap" w:color="000000" w:sz="12" w:space="0"/>
            <w:left w:val="thickThinLargeGap" w:color="000000" w:sz="12" w:space="0"/>
            <w:bottom w:val="thickThinLargeGap" w:color="000000" w:sz="12" w:space="0"/>
            <w:right w:val="thickThinLargeGap" w:color="000000" w:sz="12" w:space="0"/>
            <w:insideH w:val="none" w:color="000000" w:sz="0" w:space="0"/>
            <w:insideV w:val="none" w:color="000000" w:sz="0" w:space="0"/>
          </w:tblBorders>
          <w:tblCellMar>
            <w:top w:w="0" w:type="dxa"/>
            <w:left w:w="0" w:type="dxa"/>
            <w:bottom w:w="0" w:type="dxa"/>
            <w:right w:w="0" w:type="dxa"/>
          </w:tblCellMar>
        </w:tblPrEx>
        <w:trPr>
          <w:cantSplit/>
          <w:trHeight w:val="90" w:hRule="atLeast"/>
        </w:trPr>
        <w:tc>
          <w:tcPr>
            <w:tcW w:w="4828"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具有独立承担民事责任的能力（提供法人或者其他组织的营业执照；供应商为自然人的，提供其身份证）</w:t>
            </w:r>
          </w:p>
        </w:tc>
        <w:tc>
          <w:tcPr>
            <w:tcW w:w="4032" w:type="dxa"/>
            <w:vMerge w:val="restart"/>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符合招标文件第11条“投标文件构成”的要求</w:t>
            </w:r>
          </w:p>
          <w:p>
            <w:pPr>
              <w:jc w:val="left"/>
              <w:rPr>
                <w:rFonts w:hint="eastAsia" w:ascii="宋体" w:hAnsi="宋体"/>
                <w:color w:val="auto"/>
                <w:highlight w:val="none"/>
              </w:rPr>
            </w:pPr>
          </w:p>
        </w:tc>
      </w:tr>
      <w:tr>
        <w:tblPrEx>
          <w:tblBorders>
            <w:top w:val="thickThinLargeGap" w:color="000000" w:sz="12" w:space="0"/>
            <w:left w:val="thickThinLargeGap" w:color="000000" w:sz="12" w:space="0"/>
            <w:bottom w:val="thickThinLargeGap" w:color="000000" w:sz="12" w:space="0"/>
            <w:right w:val="thickThinLargeGap" w:color="000000" w:sz="12" w:space="0"/>
            <w:insideH w:val="none" w:color="000000" w:sz="0" w:space="0"/>
            <w:insideV w:val="none" w:color="000000" w:sz="0" w:space="0"/>
          </w:tblBorders>
          <w:tblCellMar>
            <w:top w:w="0" w:type="dxa"/>
            <w:left w:w="0" w:type="dxa"/>
            <w:bottom w:w="0" w:type="dxa"/>
            <w:right w:w="0" w:type="dxa"/>
          </w:tblCellMar>
        </w:tblPrEx>
        <w:trPr>
          <w:cantSplit/>
        </w:trPr>
        <w:tc>
          <w:tcPr>
            <w:tcW w:w="4828"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具有良好的商业信誉和健全的财务会计制度</w:t>
            </w:r>
          </w:p>
        </w:tc>
        <w:tc>
          <w:tcPr>
            <w:tcW w:w="4032" w:type="dxa"/>
            <w:vMerge w:val="continue"/>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p>
        </w:tc>
      </w:tr>
      <w:tr>
        <w:tblPrEx>
          <w:tblBorders>
            <w:top w:val="thickThinLargeGap" w:color="000000" w:sz="12" w:space="0"/>
            <w:left w:val="thickThinLargeGap" w:color="000000" w:sz="12" w:space="0"/>
            <w:bottom w:val="thickThinLargeGap" w:color="000000" w:sz="12" w:space="0"/>
            <w:right w:val="thickThinLargeGap" w:color="000000" w:sz="12" w:space="0"/>
            <w:insideH w:val="none" w:color="000000" w:sz="0" w:space="0"/>
            <w:insideV w:val="none" w:color="000000" w:sz="0" w:space="0"/>
          </w:tblBorders>
          <w:tblCellMar>
            <w:top w:w="0" w:type="dxa"/>
            <w:left w:w="0" w:type="dxa"/>
            <w:bottom w:w="0" w:type="dxa"/>
            <w:right w:w="0" w:type="dxa"/>
          </w:tblCellMar>
        </w:tblPrEx>
        <w:trPr>
          <w:cantSplit/>
        </w:trPr>
        <w:tc>
          <w:tcPr>
            <w:tcW w:w="4828"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缴纳税收和社会保障资金的相关凭据</w:t>
            </w:r>
          </w:p>
        </w:tc>
        <w:tc>
          <w:tcPr>
            <w:tcW w:w="4032" w:type="dxa"/>
            <w:vMerge w:val="continue"/>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p>
        </w:tc>
      </w:tr>
      <w:tr>
        <w:tblPrEx>
          <w:tblBorders>
            <w:top w:val="thickThinLargeGap" w:color="000000" w:sz="12" w:space="0"/>
            <w:left w:val="thickThinLargeGap" w:color="000000" w:sz="12" w:space="0"/>
            <w:bottom w:val="thickThinLargeGap" w:color="000000" w:sz="12" w:space="0"/>
            <w:right w:val="thickThinLargeGap" w:color="000000" w:sz="12" w:space="0"/>
            <w:insideH w:val="none" w:color="000000" w:sz="0" w:space="0"/>
            <w:insideV w:val="none" w:color="000000" w:sz="0" w:space="0"/>
          </w:tblBorders>
          <w:tblCellMar>
            <w:top w:w="0" w:type="dxa"/>
            <w:left w:w="0" w:type="dxa"/>
            <w:bottom w:w="0" w:type="dxa"/>
            <w:right w:w="0" w:type="dxa"/>
          </w:tblCellMar>
        </w:tblPrEx>
        <w:trPr>
          <w:cantSplit/>
        </w:trPr>
        <w:tc>
          <w:tcPr>
            <w:tcW w:w="4828"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具备履行合同所必需的设备和专业技术能力</w:t>
            </w:r>
          </w:p>
        </w:tc>
        <w:tc>
          <w:tcPr>
            <w:tcW w:w="4032" w:type="dxa"/>
            <w:vMerge w:val="continue"/>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p>
        </w:tc>
      </w:tr>
      <w:tr>
        <w:tblPrEx>
          <w:tblBorders>
            <w:top w:val="thickThinLargeGap" w:color="000000" w:sz="12" w:space="0"/>
            <w:left w:val="thickThinLargeGap" w:color="000000" w:sz="12" w:space="0"/>
            <w:bottom w:val="thickThinLargeGap" w:color="000000" w:sz="12" w:space="0"/>
            <w:right w:val="thickThinLargeGap" w:color="000000" w:sz="12" w:space="0"/>
            <w:insideH w:val="none" w:color="000000" w:sz="0" w:space="0"/>
            <w:insideV w:val="none" w:color="000000" w:sz="0" w:space="0"/>
          </w:tblBorders>
          <w:tblCellMar>
            <w:top w:w="0" w:type="dxa"/>
            <w:left w:w="0" w:type="dxa"/>
            <w:bottom w:w="0" w:type="dxa"/>
            <w:right w:w="0" w:type="dxa"/>
          </w:tblCellMar>
        </w:tblPrEx>
        <w:trPr>
          <w:cantSplit/>
          <w:trHeight w:val="312" w:hRule="atLeast"/>
        </w:trPr>
        <w:tc>
          <w:tcPr>
            <w:tcW w:w="4828"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无重大违法行为声明</w:t>
            </w:r>
          </w:p>
        </w:tc>
        <w:tc>
          <w:tcPr>
            <w:tcW w:w="4032" w:type="dxa"/>
            <w:vMerge w:val="continue"/>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p>
        </w:tc>
      </w:tr>
      <w:tr>
        <w:tblPrEx>
          <w:tblBorders>
            <w:top w:val="thickThinLargeGap" w:color="000000" w:sz="12" w:space="0"/>
            <w:left w:val="thickThinLargeGap" w:color="000000" w:sz="12" w:space="0"/>
            <w:bottom w:val="thickThinLargeGap" w:color="000000" w:sz="12" w:space="0"/>
            <w:right w:val="thickThinLargeGap" w:color="000000" w:sz="12" w:space="0"/>
            <w:insideH w:val="none" w:color="000000" w:sz="0" w:space="0"/>
            <w:insideV w:val="none" w:color="000000" w:sz="0" w:space="0"/>
          </w:tblBorders>
          <w:tblCellMar>
            <w:top w:w="0" w:type="dxa"/>
            <w:left w:w="0" w:type="dxa"/>
            <w:bottom w:w="0" w:type="dxa"/>
            <w:right w:w="0" w:type="dxa"/>
          </w:tblCellMar>
        </w:tblPrEx>
        <w:trPr>
          <w:cantSplit/>
          <w:trHeight w:val="90" w:hRule="atLeast"/>
        </w:trPr>
        <w:tc>
          <w:tcPr>
            <w:tcW w:w="4828"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投标人资质</w:t>
            </w:r>
          </w:p>
        </w:tc>
        <w:tc>
          <w:tcPr>
            <w:tcW w:w="4032" w:type="dxa"/>
            <w:vMerge w:val="continue"/>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p>
        </w:tc>
      </w:tr>
      <w:tr>
        <w:tblPrEx>
          <w:tblBorders>
            <w:top w:val="thickThinLargeGap" w:color="000000" w:sz="12" w:space="0"/>
            <w:left w:val="thickThinLargeGap" w:color="000000" w:sz="12" w:space="0"/>
            <w:bottom w:val="thickThinLargeGap" w:color="000000" w:sz="12" w:space="0"/>
            <w:right w:val="thickThinLargeGap" w:color="000000" w:sz="12" w:space="0"/>
            <w:insideH w:val="none" w:color="000000" w:sz="0" w:space="0"/>
            <w:insideV w:val="none" w:color="000000" w:sz="0" w:space="0"/>
          </w:tblBorders>
          <w:tblCellMar>
            <w:top w:w="0" w:type="dxa"/>
            <w:left w:w="0" w:type="dxa"/>
            <w:bottom w:w="0" w:type="dxa"/>
            <w:right w:w="0" w:type="dxa"/>
          </w:tblCellMar>
        </w:tblPrEx>
        <w:trPr>
          <w:cantSplit/>
        </w:trPr>
        <w:tc>
          <w:tcPr>
            <w:tcW w:w="4828"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信用信息</w:t>
            </w:r>
          </w:p>
        </w:tc>
        <w:tc>
          <w:tcPr>
            <w:tcW w:w="4032" w:type="dxa"/>
            <w:vMerge w:val="continue"/>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p>
        </w:tc>
      </w:tr>
      <w:tr>
        <w:tblPrEx>
          <w:tblBorders>
            <w:top w:val="thickThinLargeGap" w:color="000000" w:sz="12" w:space="0"/>
            <w:left w:val="thickThinLargeGap" w:color="000000" w:sz="12" w:space="0"/>
            <w:bottom w:val="thickThinLargeGap" w:color="000000" w:sz="12" w:space="0"/>
            <w:right w:val="thickThinLargeGap" w:color="000000" w:sz="12" w:space="0"/>
            <w:insideH w:val="none" w:color="000000" w:sz="0" w:space="0"/>
            <w:insideV w:val="none" w:color="000000" w:sz="0" w:space="0"/>
          </w:tblBorders>
          <w:tblCellMar>
            <w:top w:w="0" w:type="dxa"/>
            <w:left w:w="0" w:type="dxa"/>
            <w:bottom w:w="0" w:type="dxa"/>
            <w:right w:w="0" w:type="dxa"/>
          </w:tblCellMar>
        </w:tblPrEx>
        <w:tc>
          <w:tcPr>
            <w:tcW w:w="4828"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联合体投标</w:t>
            </w:r>
          </w:p>
        </w:tc>
        <w:tc>
          <w:tcPr>
            <w:tcW w:w="4032"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不接受联合体投标</w:t>
            </w:r>
          </w:p>
        </w:tc>
      </w:tr>
      <w:tr>
        <w:tblPrEx>
          <w:tblBorders>
            <w:top w:val="thickThinLargeGap" w:color="000000" w:sz="12" w:space="0"/>
            <w:left w:val="thickThinLargeGap" w:color="000000" w:sz="12" w:space="0"/>
            <w:bottom w:val="thickThinLargeGap" w:color="000000" w:sz="12" w:space="0"/>
            <w:right w:val="thickThinLargeGap" w:color="000000" w:sz="12" w:space="0"/>
            <w:insideH w:val="none" w:color="000000" w:sz="0" w:space="0"/>
            <w:insideV w:val="none" w:color="000000" w:sz="0" w:space="0"/>
          </w:tblBorders>
          <w:tblCellMar>
            <w:top w:w="0" w:type="dxa"/>
            <w:left w:w="0" w:type="dxa"/>
            <w:bottom w:w="0" w:type="dxa"/>
            <w:right w:w="0" w:type="dxa"/>
          </w:tblCellMar>
        </w:tblPrEx>
        <w:tc>
          <w:tcPr>
            <w:tcW w:w="4828"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bookmarkStart w:id="66" w:name="EB9af8278fd1df4f8591f0fad951f64ddb"/>
            <w:r>
              <w:rPr>
                <w:rFonts w:hint="eastAsia" w:ascii="宋体" w:hAnsi="宋体"/>
                <w:color w:val="auto"/>
                <w:highlight w:val="none"/>
              </w:rPr>
              <w:t>特定资格要求（如有）</w:t>
            </w:r>
          </w:p>
        </w:tc>
        <w:tc>
          <w:tcPr>
            <w:tcW w:w="4032"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符合招标文件要求</w:t>
            </w:r>
          </w:p>
        </w:tc>
      </w:tr>
      <w:bookmarkEnd w:id="66"/>
    </w:tbl>
    <w:p>
      <w:pPr>
        <w:outlineLvl w:val="1"/>
        <w:rPr>
          <w:rFonts w:hint="eastAsia" w:ascii="宋体" w:hAnsi="宋体"/>
          <w:color w:val="auto"/>
          <w:sz w:val="20"/>
          <w:highlight w:val="none"/>
        </w:rPr>
      </w:pPr>
      <w:bookmarkStart w:id="67" w:name="_Toc13271_WPSOffice_Level2"/>
      <w:bookmarkEnd w:id="67"/>
      <w:bookmarkStart w:id="68" w:name="_Toc11959"/>
      <w:bookmarkEnd w:id="68"/>
      <w:r>
        <w:rPr>
          <w:rFonts w:hint="eastAsia" w:ascii="宋体" w:hAnsi="宋体"/>
          <w:color w:val="auto"/>
          <w:sz w:val="20"/>
          <w:highlight w:val="none"/>
        </w:rPr>
        <w:t xml:space="preserve">     </w:t>
      </w:r>
      <w:r>
        <w:rPr>
          <w:rFonts w:hint="eastAsia" w:ascii="宋体" w:hAnsi="宋体"/>
          <w:b/>
          <w:color w:val="auto"/>
          <w:sz w:val="32"/>
          <w:szCs w:val="32"/>
          <w:highlight w:val="none"/>
        </w:rPr>
        <w:t>二、评分办法—综合评分法</w:t>
      </w:r>
    </w:p>
    <w:p>
      <w:pPr>
        <w:spacing w:line="500" w:lineRule="exact"/>
        <w:ind w:firstLine="480" w:firstLineChars="200"/>
        <w:jc w:val="left"/>
        <w:rPr>
          <w:rFonts w:hint="eastAsia" w:ascii="宋体" w:hAnsi="宋体"/>
          <w:b/>
          <w:color w:val="auto"/>
          <w:sz w:val="24"/>
          <w:highlight w:val="none"/>
        </w:rPr>
      </w:pPr>
      <w:r>
        <w:rPr>
          <w:rFonts w:hint="eastAsia" w:ascii="宋体" w:hAnsi="宋体"/>
          <w:b/>
          <w:color w:val="auto"/>
          <w:sz w:val="24"/>
          <w:highlight w:val="none"/>
        </w:rPr>
        <w:t>1、评标办法：</w:t>
      </w:r>
      <w:r>
        <w:rPr>
          <w:rFonts w:hint="eastAsia" w:ascii="宋体" w:hAnsi="宋体"/>
          <w:color w:val="auto"/>
          <w:sz w:val="24"/>
          <w:highlight w:val="non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pPr>
        <w:spacing w:line="50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评标委员会根据评审后投标人排序推荐中标候选人。投标文件满足招标文件全部实质性要求，且评审后排序第一的投标人为第一中标候选人，依次类推。</w:t>
      </w:r>
    </w:p>
    <w:p>
      <w:pPr>
        <w:spacing w:line="50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 xml:space="preserve">综合评分保留至小数点后两位。 </w:t>
      </w:r>
    </w:p>
    <w:p>
      <w:pPr>
        <w:spacing w:line="500" w:lineRule="exact"/>
        <w:ind w:firstLine="480" w:firstLineChars="200"/>
        <w:jc w:val="left"/>
        <w:rPr>
          <w:rFonts w:hint="eastAsia" w:ascii="宋体" w:hAnsi="宋体"/>
          <w:b/>
          <w:color w:val="auto"/>
          <w:sz w:val="24"/>
          <w:highlight w:val="none"/>
        </w:rPr>
      </w:pPr>
      <w:r>
        <w:rPr>
          <w:rFonts w:hint="eastAsia" w:ascii="宋体" w:hAnsi="宋体"/>
          <w:b/>
          <w:color w:val="auto"/>
          <w:sz w:val="24"/>
          <w:highlight w:val="none"/>
        </w:rPr>
        <w:t>2、符合性审查。</w:t>
      </w:r>
      <w:r>
        <w:rPr>
          <w:rFonts w:hint="eastAsia" w:ascii="宋体" w:hAnsi="宋体"/>
          <w:color w:val="auto"/>
          <w:sz w:val="24"/>
          <w:highlight w:val="none"/>
        </w:rPr>
        <w:t>评标委员会首先按照下列指标对各投标人的投标文件进行符合性审查，未通过审查的为无效标，不再参与评审。</w:t>
      </w:r>
    </w:p>
    <w:tbl>
      <w:tblPr>
        <w:tblStyle w:val="13"/>
        <w:tblW w:w="8860" w:type="dxa"/>
        <w:tblInd w:w="0" w:type="dxa"/>
        <w:tblBorders>
          <w:top w:val="thickThinLargeGap" w:color="000000" w:sz="12" w:space="0"/>
          <w:left w:val="thickThinLargeGap" w:color="000000" w:sz="12" w:space="0"/>
          <w:bottom w:val="thickThinLargeGap" w:color="000000" w:sz="12" w:space="0"/>
          <w:right w:val="thickThinLargeGap"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30"/>
        <w:gridCol w:w="4430"/>
      </w:tblGrid>
      <w:tr>
        <w:tblPrEx>
          <w:tblBorders>
            <w:top w:val="thickThinLargeGap" w:color="000000" w:sz="12" w:space="0"/>
            <w:left w:val="thickThinLargeGap" w:color="000000" w:sz="12" w:space="0"/>
            <w:bottom w:val="thickThinLargeGap" w:color="000000" w:sz="12" w:space="0"/>
            <w:right w:val="thickThinLargeGap" w:color="000000" w:sz="12" w:space="0"/>
            <w:insideH w:val="none" w:color="000000" w:sz="0" w:space="0"/>
            <w:insideV w:val="none" w:color="000000" w:sz="0" w:space="0"/>
          </w:tblBorders>
        </w:tblPrEx>
        <w:tc>
          <w:tcPr>
            <w:tcW w:w="4430" w:type="dxa"/>
            <w:tcBorders>
              <w:top w:val="outset" w:color="000000" w:sz="6" w:space="0"/>
              <w:left w:val="outset" w:color="000000" w:sz="6" w:space="0"/>
              <w:bottom w:val="outset" w:color="000000" w:sz="6" w:space="0"/>
              <w:right w:val="outset" w:color="000000" w:sz="6" w:space="0"/>
            </w:tcBorders>
            <w:vAlign w:val="center"/>
          </w:tcPr>
          <w:p>
            <w:pPr>
              <w:jc w:val="center"/>
              <w:rPr>
                <w:rFonts w:hint="eastAsia" w:ascii="宋体" w:hAnsi="宋体"/>
                <w:color w:val="auto"/>
                <w:highlight w:val="none"/>
              </w:rPr>
            </w:pPr>
            <w:r>
              <w:rPr>
                <w:rFonts w:hint="eastAsia" w:ascii="宋体" w:hAnsi="宋体"/>
                <w:color w:val="auto"/>
                <w:highlight w:val="none"/>
              </w:rPr>
              <w:t>符合性审查因素</w:t>
            </w:r>
          </w:p>
        </w:tc>
        <w:tc>
          <w:tcPr>
            <w:tcW w:w="4430" w:type="dxa"/>
            <w:tcBorders>
              <w:top w:val="outset" w:color="000000" w:sz="6" w:space="0"/>
              <w:left w:val="outset" w:color="000000" w:sz="6" w:space="0"/>
              <w:bottom w:val="outset" w:color="000000" w:sz="6" w:space="0"/>
              <w:right w:val="outset" w:color="000000" w:sz="6" w:space="0"/>
            </w:tcBorders>
            <w:vAlign w:val="center"/>
          </w:tcPr>
          <w:p>
            <w:pPr>
              <w:jc w:val="center"/>
              <w:rPr>
                <w:rFonts w:hint="eastAsia" w:ascii="宋体" w:hAnsi="宋体"/>
                <w:color w:val="auto"/>
                <w:highlight w:val="none"/>
              </w:rPr>
            </w:pPr>
            <w:r>
              <w:rPr>
                <w:rFonts w:hint="eastAsia" w:ascii="宋体" w:hAnsi="宋体"/>
                <w:color w:val="auto"/>
                <w:highlight w:val="none"/>
              </w:rPr>
              <w:t>审查标准</w:t>
            </w:r>
          </w:p>
        </w:tc>
      </w:tr>
      <w:tr>
        <w:tblPrEx>
          <w:tblBorders>
            <w:top w:val="thickThinLargeGap" w:color="000000" w:sz="12" w:space="0"/>
            <w:left w:val="thickThinLargeGap" w:color="000000" w:sz="12" w:space="0"/>
            <w:bottom w:val="thickThinLargeGap" w:color="000000" w:sz="12" w:space="0"/>
            <w:right w:val="thickThinLargeGap" w:color="000000" w:sz="12" w:space="0"/>
            <w:insideH w:val="none" w:color="000000" w:sz="0" w:space="0"/>
            <w:insideV w:val="none" w:color="000000" w:sz="0" w:space="0"/>
          </w:tblBorders>
          <w:tblCellMar>
            <w:top w:w="0" w:type="dxa"/>
            <w:left w:w="0" w:type="dxa"/>
            <w:bottom w:w="0" w:type="dxa"/>
            <w:right w:w="0" w:type="dxa"/>
          </w:tblCellMar>
        </w:tblPrEx>
        <w:tc>
          <w:tcPr>
            <w:tcW w:w="4430"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投标函</w:t>
            </w:r>
          </w:p>
        </w:tc>
        <w:tc>
          <w:tcPr>
            <w:tcW w:w="4430"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符合招标文件第11.2条款的要求</w:t>
            </w:r>
          </w:p>
        </w:tc>
      </w:tr>
      <w:tr>
        <w:tblPrEx>
          <w:tblBorders>
            <w:top w:val="thickThinLargeGap" w:color="000000" w:sz="12" w:space="0"/>
            <w:left w:val="thickThinLargeGap" w:color="000000" w:sz="12" w:space="0"/>
            <w:bottom w:val="thickThinLargeGap" w:color="000000" w:sz="12" w:space="0"/>
            <w:right w:val="thickThinLargeGap" w:color="000000" w:sz="12" w:space="0"/>
            <w:insideH w:val="none" w:color="000000" w:sz="0" w:space="0"/>
            <w:insideV w:val="none" w:color="000000" w:sz="0" w:space="0"/>
          </w:tblBorders>
          <w:tblCellMar>
            <w:top w:w="0" w:type="dxa"/>
            <w:left w:w="0" w:type="dxa"/>
            <w:bottom w:w="0" w:type="dxa"/>
            <w:right w:w="0" w:type="dxa"/>
          </w:tblCellMar>
        </w:tblPrEx>
        <w:tc>
          <w:tcPr>
            <w:tcW w:w="4430"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法定代表人身份证明或授权委托书</w:t>
            </w:r>
          </w:p>
        </w:tc>
        <w:tc>
          <w:tcPr>
            <w:tcW w:w="4430"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符合招标文件第11.3条款的要求</w:t>
            </w:r>
          </w:p>
        </w:tc>
      </w:tr>
      <w:tr>
        <w:tblPrEx>
          <w:tblBorders>
            <w:top w:val="thickThinLargeGap" w:color="000000" w:sz="12" w:space="0"/>
            <w:left w:val="thickThinLargeGap" w:color="000000" w:sz="12" w:space="0"/>
            <w:bottom w:val="thickThinLargeGap" w:color="000000" w:sz="12" w:space="0"/>
            <w:right w:val="thickThinLargeGap" w:color="000000" w:sz="12" w:space="0"/>
            <w:insideH w:val="none" w:color="000000" w:sz="0" w:space="0"/>
            <w:insideV w:val="none" w:color="000000" w:sz="0" w:space="0"/>
          </w:tblBorders>
          <w:tblCellMar>
            <w:top w:w="0" w:type="dxa"/>
            <w:left w:w="0" w:type="dxa"/>
            <w:bottom w:w="0" w:type="dxa"/>
            <w:right w:w="0" w:type="dxa"/>
          </w:tblCellMar>
        </w:tblPrEx>
        <w:tc>
          <w:tcPr>
            <w:tcW w:w="4430"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开标一览表及投标报价</w:t>
            </w:r>
          </w:p>
        </w:tc>
        <w:tc>
          <w:tcPr>
            <w:tcW w:w="4430"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格式、填写要求符合招标文件规定</w:t>
            </w:r>
          </w:p>
        </w:tc>
      </w:tr>
      <w:tr>
        <w:tblPrEx>
          <w:tblBorders>
            <w:top w:val="thickThinLargeGap" w:color="000000" w:sz="12" w:space="0"/>
            <w:left w:val="thickThinLargeGap" w:color="000000" w:sz="12" w:space="0"/>
            <w:bottom w:val="thickThinLargeGap" w:color="000000" w:sz="12" w:space="0"/>
            <w:right w:val="thickThinLargeGap" w:color="000000" w:sz="12" w:space="0"/>
            <w:insideH w:val="none" w:color="000000" w:sz="0" w:space="0"/>
            <w:insideV w:val="none" w:color="000000" w:sz="0" w:space="0"/>
          </w:tblBorders>
          <w:tblCellMar>
            <w:top w:w="0" w:type="dxa"/>
            <w:left w:w="0" w:type="dxa"/>
            <w:bottom w:w="0" w:type="dxa"/>
            <w:right w:w="0" w:type="dxa"/>
          </w:tblCellMar>
        </w:tblPrEx>
        <w:tc>
          <w:tcPr>
            <w:tcW w:w="4430"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技术标准和要求</w:t>
            </w:r>
          </w:p>
        </w:tc>
        <w:tc>
          <w:tcPr>
            <w:tcW w:w="4430"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符合招标文件第11条“投标文件构成”的要求</w:t>
            </w:r>
          </w:p>
        </w:tc>
      </w:tr>
      <w:tr>
        <w:tblPrEx>
          <w:tblBorders>
            <w:top w:val="thickThinLargeGap" w:color="000000" w:sz="12" w:space="0"/>
            <w:left w:val="thickThinLargeGap" w:color="000000" w:sz="12" w:space="0"/>
            <w:bottom w:val="thickThinLargeGap" w:color="000000" w:sz="12" w:space="0"/>
            <w:right w:val="thickThinLargeGap" w:color="000000" w:sz="12" w:space="0"/>
            <w:insideH w:val="none" w:color="000000" w:sz="0" w:space="0"/>
            <w:insideV w:val="none" w:color="000000" w:sz="0" w:space="0"/>
          </w:tblBorders>
          <w:tblCellMar>
            <w:top w:w="0" w:type="dxa"/>
            <w:left w:w="0" w:type="dxa"/>
            <w:bottom w:w="0" w:type="dxa"/>
            <w:right w:w="0" w:type="dxa"/>
          </w:tblCellMar>
        </w:tblPrEx>
        <w:tc>
          <w:tcPr>
            <w:tcW w:w="4430"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其他</w:t>
            </w:r>
          </w:p>
        </w:tc>
        <w:tc>
          <w:tcPr>
            <w:tcW w:w="4430" w:type="dxa"/>
            <w:tcBorders>
              <w:top w:val="outset" w:color="000000" w:sz="6" w:space="0"/>
              <w:left w:val="outset" w:color="000000" w:sz="6" w:space="0"/>
              <w:bottom w:val="outset" w:color="000000" w:sz="6" w:space="0"/>
              <w:right w:val="outset" w:color="000000" w:sz="6" w:space="0"/>
            </w:tcBorders>
            <w:vAlign w:val="center"/>
          </w:tcPr>
          <w:p>
            <w:pPr>
              <w:jc w:val="left"/>
              <w:rPr>
                <w:rFonts w:hint="eastAsia" w:ascii="宋体" w:hAnsi="宋体"/>
                <w:color w:val="auto"/>
                <w:highlight w:val="none"/>
              </w:rPr>
            </w:pPr>
            <w:r>
              <w:rPr>
                <w:rFonts w:hint="eastAsia" w:ascii="宋体" w:hAnsi="宋体"/>
                <w:color w:val="auto"/>
                <w:highlight w:val="none"/>
              </w:rPr>
              <w:t>符合招标文件第11条“投标文件构成”的要求</w:t>
            </w:r>
          </w:p>
        </w:tc>
      </w:tr>
    </w:tbl>
    <w:p>
      <w:pPr>
        <w:spacing w:after="100" w:afterAutospacing="1"/>
        <w:rPr>
          <w:rFonts w:hint="eastAsia" w:ascii="宋体" w:hAnsi="宋体"/>
          <w:color w:val="auto"/>
          <w:sz w:val="20"/>
          <w:highlight w:val="none"/>
        </w:rPr>
      </w:pPr>
      <w:bookmarkStart w:id="69" w:name="EB75d0996a6f1d4348a21f8c3293010436"/>
      <w:bookmarkEnd w:id="69"/>
      <w:r>
        <w:rPr>
          <w:rFonts w:hint="eastAsia" w:ascii="宋体" w:hAnsi="宋体"/>
          <w:color w:val="auto"/>
          <w:sz w:val="20"/>
          <w:highlight w:val="none"/>
        </w:rPr>
        <w:t xml:space="preserve">     </w:t>
      </w:r>
    </w:p>
    <w:p>
      <w:pPr>
        <w:numPr>
          <w:ilvl w:val="0"/>
          <w:numId w:val="11"/>
        </w:numPr>
        <w:spacing w:after="100" w:afterAutospacing="1"/>
        <w:ind w:firstLine="480" w:firstLineChars="200"/>
        <w:rPr>
          <w:rFonts w:hint="eastAsia" w:ascii="宋体" w:hAnsi="宋体"/>
          <w:b/>
          <w:color w:val="auto"/>
          <w:sz w:val="24"/>
          <w:highlight w:val="none"/>
        </w:rPr>
      </w:pPr>
      <w:r>
        <w:rPr>
          <w:rFonts w:hint="eastAsia" w:ascii="宋体" w:hAnsi="宋体"/>
          <w:b/>
          <w:color w:val="auto"/>
          <w:sz w:val="24"/>
          <w:highlight w:val="none"/>
        </w:rPr>
        <w:t>详细评审。</w:t>
      </w:r>
      <w:r>
        <w:rPr>
          <w:rFonts w:hint="eastAsia" w:ascii="宋体" w:hAnsi="宋体"/>
          <w:color w:val="auto"/>
          <w:sz w:val="24"/>
          <w:highlight w:val="none"/>
        </w:rPr>
        <w:t>评标委员会按照招标文件规定的评分标准，对各投标文件进行详细评审打分。评标委员会组长对各评审专家的打分情况进行复核无误后汇总，形成评审报告。</w:t>
      </w:r>
    </w:p>
    <w:p>
      <w:pPr>
        <w:pStyle w:val="46"/>
        <w:rPr>
          <w:rFonts w:hint="eastAsia"/>
          <w:color w:val="auto"/>
          <w:highlight w:val="none"/>
        </w:rPr>
      </w:pPr>
    </w:p>
    <w:p>
      <w:pPr>
        <w:pBdr>
          <w:top w:val="single" w:color="auto" w:sz="4" w:space="0"/>
          <w:left w:val="single" w:color="auto" w:sz="4" w:space="0"/>
          <w:bottom w:val="single" w:color="auto" w:sz="4" w:space="0"/>
          <w:right w:val="single" w:color="auto" w:sz="4" w:space="0"/>
        </w:pBdr>
        <w:spacing w:line="288" w:lineRule="auto"/>
        <w:rPr>
          <w:rFonts w:hint="eastAsia" w:ascii="宋体"/>
          <w:b/>
          <w:sz w:val="24"/>
          <w:highlight w:val="none"/>
        </w:rPr>
      </w:pPr>
      <w:r>
        <w:rPr>
          <w:rFonts w:hint="eastAsia" w:ascii="宋体"/>
          <w:b/>
          <w:sz w:val="24"/>
          <w:highlight w:val="none"/>
        </w:rPr>
        <w:t>1、报价：30分</w:t>
      </w:r>
    </w:p>
    <w:p>
      <w:pPr>
        <w:pBdr>
          <w:top w:val="single" w:color="auto" w:sz="4" w:space="0"/>
          <w:left w:val="single" w:color="auto" w:sz="4" w:space="0"/>
          <w:bottom w:val="single" w:color="auto" w:sz="4" w:space="0"/>
          <w:right w:val="single" w:color="auto" w:sz="4" w:space="0"/>
        </w:pBdr>
        <w:spacing w:line="288" w:lineRule="auto"/>
        <w:ind w:firstLine="480" w:firstLineChars="200"/>
        <w:rPr>
          <w:rFonts w:hint="eastAsia" w:ascii="宋体"/>
          <w:sz w:val="24"/>
          <w:highlight w:val="none"/>
        </w:rPr>
      </w:pPr>
      <w:r>
        <w:rPr>
          <w:rFonts w:hint="eastAsia" w:ascii="宋体"/>
          <w:sz w:val="24"/>
          <w:highlight w:val="none"/>
        </w:rPr>
        <w:t>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1位。</w:t>
      </w:r>
    </w:p>
    <w:p>
      <w:pPr>
        <w:pBdr>
          <w:top w:val="single" w:color="auto" w:sz="4" w:space="0"/>
          <w:left w:val="single" w:color="auto" w:sz="4" w:space="0"/>
          <w:bottom w:val="single" w:color="auto" w:sz="4" w:space="0"/>
          <w:right w:val="single" w:color="auto" w:sz="4" w:space="0"/>
        </w:pBdr>
        <w:spacing w:line="288" w:lineRule="auto"/>
        <w:rPr>
          <w:rFonts w:hint="eastAsia" w:ascii="宋体"/>
          <w:b/>
          <w:sz w:val="24"/>
          <w:highlight w:val="none"/>
        </w:rPr>
      </w:pPr>
      <w:r>
        <w:rPr>
          <w:rFonts w:hint="eastAsia" w:ascii="宋体"/>
          <w:b/>
          <w:sz w:val="24"/>
          <w:highlight w:val="none"/>
        </w:rPr>
        <w:t>2、技术、性能、配置：30分</w:t>
      </w:r>
    </w:p>
    <w:p>
      <w:pPr>
        <w:pBdr>
          <w:top w:val="single" w:color="auto" w:sz="4" w:space="0"/>
          <w:left w:val="single" w:color="auto" w:sz="4" w:space="0"/>
          <w:bottom w:val="single" w:color="auto" w:sz="4" w:space="0"/>
          <w:right w:val="single" w:color="auto" w:sz="4" w:space="0"/>
        </w:pBdr>
        <w:spacing w:line="288" w:lineRule="auto"/>
        <w:ind w:firstLine="480" w:firstLineChars="200"/>
        <w:rPr>
          <w:rFonts w:ascii="宋体"/>
          <w:color w:val="0000FF"/>
          <w:sz w:val="24"/>
          <w:highlight w:val="none"/>
        </w:rPr>
      </w:pPr>
      <w:r>
        <w:rPr>
          <w:rFonts w:hint="eastAsia" w:ascii="宋体"/>
          <w:sz w:val="24"/>
          <w:highlight w:val="none"/>
        </w:rPr>
        <w:t>满足标书基本要求</w:t>
      </w:r>
      <w:r>
        <w:rPr>
          <w:rFonts w:hint="eastAsia" w:ascii="宋体"/>
          <w:color w:val="0000FF"/>
          <w:sz w:val="24"/>
          <w:highlight w:val="none"/>
        </w:rPr>
        <w:t>得</w:t>
      </w:r>
      <w:r>
        <w:rPr>
          <w:rFonts w:hint="eastAsia" w:ascii="宋体" w:eastAsia="宋体"/>
          <w:color w:val="0000FF"/>
          <w:sz w:val="24"/>
          <w:highlight w:val="none"/>
          <w:lang w:val="en-US" w:eastAsia="zh-CN"/>
        </w:rPr>
        <w:t>30</w:t>
      </w:r>
      <w:r>
        <w:rPr>
          <w:rFonts w:hint="eastAsia" w:ascii="宋体"/>
          <w:color w:val="0000FF"/>
          <w:sz w:val="24"/>
          <w:highlight w:val="none"/>
        </w:rPr>
        <w:t>分</w:t>
      </w:r>
      <w:r>
        <w:rPr>
          <w:rFonts w:hint="eastAsia" w:ascii="宋体"/>
          <w:sz w:val="24"/>
          <w:highlight w:val="none"/>
        </w:rPr>
        <w:t>，正偏离不加分；</w:t>
      </w:r>
      <w:r>
        <w:rPr>
          <w:rFonts w:hint="eastAsia" w:ascii="微软雅黑" w:hAnsi="微软雅黑" w:eastAsia="微软雅黑"/>
          <w:sz w:val="24"/>
          <w:szCs w:val="24"/>
          <w:highlight w:val="none"/>
          <w:lang w:val="en-US" w:eastAsia="zh-CN"/>
        </w:rPr>
        <w:t>▲</w:t>
      </w:r>
      <w:r>
        <w:rPr>
          <w:rFonts w:hint="eastAsia" w:ascii="宋体"/>
          <w:sz w:val="24"/>
          <w:highlight w:val="none"/>
        </w:rPr>
        <w:t>项为重要参数，每负偏离一项，扣3分；一般参数，负偏离一项，扣2分。扣完为止。</w:t>
      </w:r>
    </w:p>
    <w:p>
      <w:pPr>
        <w:pBdr>
          <w:top w:val="single" w:color="auto" w:sz="4" w:space="0"/>
          <w:left w:val="single" w:color="auto" w:sz="4" w:space="0"/>
          <w:bottom w:val="single" w:color="auto" w:sz="4" w:space="0"/>
          <w:right w:val="single" w:color="auto" w:sz="4" w:space="0"/>
        </w:pBdr>
        <w:spacing w:line="288" w:lineRule="auto"/>
        <w:rPr>
          <w:rFonts w:hint="eastAsia" w:ascii="宋体"/>
          <w:b/>
          <w:sz w:val="24"/>
          <w:highlight w:val="none"/>
        </w:rPr>
      </w:pPr>
      <w:r>
        <w:rPr>
          <w:rFonts w:hint="eastAsia" w:ascii="宋体"/>
          <w:b/>
          <w:sz w:val="24"/>
          <w:highlight w:val="none"/>
        </w:rPr>
        <w:t>3、所投产品综合性能评价：5分</w:t>
      </w:r>
    </w:p>
    <w:p>
      <w:pPr>
        <w:pBdr>
          <w:top w:val="single" w:color="auto" w:sz="4" w:space="0"/>
          <w:left w:val="single" w:color="auto" w:sz="4" w:space="0"/>
          <w:bottom w:val="single" w:color="auto" w:sz="4" w:space="0"/>
          <w:right w:val="single" w:color="auto" w:sz="4" w:space="0"/>
        </w:pBdr>
        <w:spacing w:line="288" w:lineRule="auto"/>
        <w:ind w:firstLine="480" w:firstLineChars="200"/>
        <w:rPr>
          <w:rFonts w:hint="eastAsia" w:ascii="宋体"/>
          <w:sz w:val="24"/>
          <w:highlight w:val="none"/>
        </w:rPr>
      </w:pPr>
      <w:r>
        <w:rPr>
          <w:rFonts w:hint="eastAsia" w:ascii="宋体"/>
          <w:sz w:val="24"/>
          <w:highlight w:val="none"/>
        </w:rPr>
        <w:t>由评委根据所投产品的设计、制造等因素，结合投标文件提供的佐证材料等进行评审。佐证材料包括但不限于主要模块的技术彩页、产品技术指标的描述、检测文件及证明照片等内容。优于招标文件要求得5分；符合招标文件要求得3分；低于招标文件要求得1分，未提供有效佐证材料不得分。</w:t>
      </w:r>
    </w:p>
    <w:p>
      <w:pPr>
        <w:keepNext/>
        <w:keepLines/>
        <w:pBdr>
          <w:top w:val="single" w:color="auto" w:sz="4" w:space="0"/>
          <w:left w:val="single" w:color="auto" w:sz="4" w:space="0"/>
          <w:bottom w:val="single" w:color="auto" w:sz="4" w:space="0"/>
          <w:right w:val="single" w:color="auto" w:sz="4" w:space="0"/>
        </w:pBdr>
        <w:rPr>
          <w:rFonts w:hint="eastAsia" w:ascii="宋体"/>
          <w:b/>
          <w:sz w:val="24"/>
          <w:highlight w:val="none"/>
        </w:rPr>
      </w:pPr>
      <w:r>
        <w:rPr>
          <w:rFonts w:hint="eastAsia" w:ascii="宋体"/>
          <w:b/>
          <w:sz w:val="24"/>
          <w:highlight w:val="none"/>
        </w:rPr>
        <w:t>4、业绩：</w:t>
      </w:r>
      <w:r>
        <w:rPr>
          <w:rFonts w:ascii="宋体"/>
          <w:b/>
          <w:sz w:val="24"/>
          <w:highlight w:val="none"/>
        </w:rPr>
        <w:t>15</w:t>
      </w:r>
      <w:r>
        <w:rPr>
          <w:rFonts w:hint="eastAsia" w:ascii="宋体"/>
          <w:b/>
          <w:sz w:val="24"/>
          <w:highlight w:val="none"/>
        </w:rPr>
        <w:t>分</w:t>
      </w:r>
    </w:p>
    <w:p>
      <w:pPr>
        <w:pBdr>
          <w:top w:val="single" w:color="auto" w:sz="4" w:space="0"/>
          <w:left w:val="single" w:color="auto" w:sz="4" w:space="0"/>
          <w:bottom w:val="single" w:color="auto" w:sz="4" w:space="0"/>
          <w:right w:val="single" w:color="auto" w:sz="4" w:space="0"/>
        </w:pBdr>
        <w:spacing w:line="288" w:lineRule="auto"/>
        <w:ind w:firstLine="480" w:firstLineChars="200"/>
        <w:rPr>
          <w:rFonts w:hint="eastAsia" w:ascii="宋体"/>
          <w:sz w:val="24"/>
          <w:highlight w:val="none"/>
        </w:rPr>
      </w:pPr>
      <w:r>
        <w:rPr>
          <w:rFonts w:hint="eastAsia" w:ascii="宋体"/>
          <w:sz w:val="24"/>
          <w:highlight w:val="none"/>
        </w:rPr>
        <w:t>以投标人提供自2020年起，投标</w:t>
      </w:r>
      <w:r>
        <w:rPr>
          <w:rFonts w:hint="eastAsia" w:ascii="宋体" w:eastAsia="宋体"/>
          <w:sz w:val="24"/>
          <w:highlight w:val="none"/>
          <w:lang w:val="en-US" w:eastAsia="zh-CN"/>
        </w:rPr>
        <w:t>类似</w:t>
      </w:r>
      <w:r>
        <w:rPr>
          <w:rFonts w:hint="eastAsia" w:ascii="宋体" w:eastAsia="宋体"/>
          <w:color w:val="0000FF"/>
          <w:sz w:val="24"/>
          <w:highlight w:val="none"/>
          <w:lang w:val="en-US" w:eastAsia="zh-CN"/>
        </w:rPr>
        <w:t>产品</w:t>
      </w:r>
      <w:r>
        <w:rPr>
          <w:rFonts w:hint="eastAsia" w:ascii="宋体"/>
          <w:sz w:val="24"/>
          <w:highlight w:val="none"/>
        </w:rPr>
        <w:t>项目的合同复印件为准。有一份得3分，最多得15分。</w:t>
      </w:r>
    </w:p>
    <w:p>
      <w:pPr>
        <w:keepNext/>
        <w:keepLines/>
        <w:pBdr>
          <w:top w:val="single" w:color="auto" w:sz="4" w:space="0"/>
          <w:left w:val="single" w:color="auto" w:sz="4" w:space="0"/>
          <w:bottom w:val="single" w:color="auto" w:sz="4" w:space="0"/>
          <w:right w:val="single" w:color="auto" w:sz="4" w:space="0"/>
        </w:pBdr>
        <w:rPr>
          <w:rFonts w:ascii="宋体"/>
          <w:b/>
          <w:sz w:val="24"/>
          <w:highlight w:val="none"/>
        </w:rPr>
      </w:pPr>
      <w:r>
        <w:rPr>
          <w:rFonts w:hint="eastAsia" w:ascii="宋体"/>
          <w:b/>
          <w:sz w:val="24"/>
          <w:highlight w:val="none"/>
        </w:rPr>
        <w:t>5、服务：20分</w:t>
      </w:r>
    </w:p>
    <w:p>
      <w:pPr>
        <w:pBdr>
          <w:top w:val="single" w:color="auto" w:sz="4" w:space="0"/>
          <w:left w:val="single" w:color="auto" w:sz="4" w:space="0"/>
          <w:bottom w:val="single" w:color="auto" w:sz="4" w:space="0"/>
          <w:right w:val="single" w:color="auto" w:sz="4" w:space="0"/>
        </w:pBdr>
        <w:spacing w:line="288" w:lineRule="auto"/>
        <w:ind w:firstLine="480" w:firstLineChars="200"/>
        <w:rPr>
          <w:rFonts w:ascii="宋体"/>
          <w:sz w:val="24"/>
          <w:highlight w:val="none"/>
        </w:rPr>
      </w:pPr>
      <w:r>
        <w:rPr>
          <w:rFonts w:ascii="宋体"/>
          <w:sz w:val="24"/>
          <w:highlight w:val="none"/>
        </w:rPr>
        <w:t>5.1</w:t>
      </w:r>
      <w:r>
        <w:rPr>
          <w:rFonts w:hint="eastAsia" w:ascii="宋体"/>
          <w:sz w:val="24"/>
          <w:highlight w:val="none"/>
        </w:rPr>
        <w:t>设备到货、安装、调试方案（5分）</w:t>
      </w:r>
    </w:p>
    <w:p>
      <w:pPr>
        <w:pBdr>
          <w:top w:val="single" w:color="auto" w:sz="4" w:space="0"/>
          <w:left w:val="single" w:color="auto" w:sz="4" w:space="0"/>
          <w:bottom w:val="single" w:color="auto" w:sz="4" w:space="0"/>
          <w:right w:val="single" w:color="auto" w:sz="4" w:space="0"/>
        </w:pBdr>
        <w:spacing w:line="288" w:lineRule="auto"/>
        <w:ind w:firstLine="480" w:firstLineChars="200"/>
        <w:rPr>
          <w:rFonts w:hint="eastAsia"/>
          <w:highlight w:val="none"/>
        </w:rPr>
      </w:pPr>
      <w:r>
        <w:rPr>
          <w:rFonts w:hint="eastAsia" w:ascii="宋体"/>
          <w:sz w:val="24"/>
          <w:highlight w:val="none"/>
        </w:rPr>
        <w:t>投标人设备到货运输、安装、调试方案，内容科学合理、完整、切实可行的得5分；内容不完整、科学性欠合理、可行性欠妥的得2.5分；未提供服务方案的不得分。</w:t>
      </w:r>
    </w:p>
    <w:p>
      <w:pPr>
        <w:pBdr>
          <w:top w:val="single" w:color="auto" w:sz="4" w:space="0"/>
          <w:left w:val="single" w:color="auto" w:sz="4" w:space="0"/>
          <w:bottom w:val="single" w:color="auto" w:sz="4" w:space="0"/>
          <w:right w:val="single" w:color="auto" w:sz="4" w:space="0"/>
        </w:pBdr>
        <w:spacing w:line="288" w:lineRule="auto"/>
        <w:ind w:firstLine="480" w:firstLineChars="200"/>
        <w:rPr>
          <w:rFonts w:ascii="宋体"/>
          <w:sz w:val="24"/>
          <w:highlight w:val="none"/>
        </w:rPr>
      </w:pPr>
      <w:r>
        <w:rPr>
          <w:rFonts w:ascii="宋体"/>
          <w:sz w:val="24"/>
          <w:highlight w:val="none"/>
        </w:rPr>
        <w:t xml:space="preserve">5.2 </w:t>
      </w:r>
      <w:r>
        <w:rPr>
          <w:rFonts w:hint="eastAsia" w:ascii="宋体"/>
          <w:sz w:val="24"/>
          <w:highlight w:val="none"/>
        </w:rPr>
        <w:t>人员培训方案（5分）</w:t>
      </w:r>
    </w:p>
    <w:p>
      <w:pPr>
        <w:pBdr>
          <w:top w:val="single" w:color="auto" w:sz="4" w:space="0"/>
          <w:left w:val="single" w:color="auto" w:sz="4" w:space="0"/>
          <w:bottom w:val="single" w:color="auto" w:sz="4" w:space="0"/>
          <w:right w:val="single" w:color="auto" w:sz="4" w:space="0"/>
        </w:pBdr>
        <w:spacing w:line="288" w:lineRule="auto"/>
        <w:ind w:firstLine="480" w:firstLineChars="200"/>
        <w:rPr>
          <w:rFonts w:ascii="宋体"/>
          <w:sz w:val="24"/>
          <w:highlight w:val="none"/>
        </w:rPr>
      </w:pPr>
      <w:r>
        <w:rPr>
          <w:rFonts w:hint="eastAsia" w:ascii="宋体"/>
          <w:sz w:val="24"/>
          <w:highlight w:val="none"/>
        </w:rPr>
        <w:t>投标人提供人员操作培训、维修保养培训等进阶培训、学习会议方案，内容科学合理、完整、切实可行的得5分；内容不完整、科学性欠合理、可行性欠妥的得2.5分；未提供服务方案的不得分。</w:t>
      </w:r>
    </w:p>
    <w:p>
      <w:pPr>
        <w:pBdr>
          <w:top w:val="single" w:color="auto" w:sz="4" w:space="0"/>
          <w:left w:val="single" w:color="auto" w:sz="4" w:space="0"/>
          <w:bottom w:val="single" w:color="auto" w:sz="4" w:space="0"/>
          <w:right w:val="single" w:color="auto" w:sz="4" w:space="0"/>
        </w:pBdr>
        <w:spacing w:line="288" w:lineRule="auto"/>
        <w:ind w:firstLine="480" w:firstLineChars="200"/>
        <w:rPr>
          <w:rFonts w:ascii="宋体"/>
          <w:sz w:val="24"/>
          <w:highlight w:val="none"/>
        </w:rPr>
      </w:pPr>
      <w:r>
        <w:rPr>
          <w:rFonts w:ascii="宋体"/>
          <w:sz w:val="24"/>
          <w:highlight w:val="none"/>
        </w:rPr>
        <w:t>5</w:t>
      </w:r>
      <w:r>
        <w:rPr>
          <w:rFonts w:hint="eastAsia" w:ascii="宋体"/>
          <w:sz w:val="24"/>
          <w:highlight w:val="none"/>
        </w:rPr>
        <w:t>.</w:t>
      </w:r>
      <w:r>
        <w:rPr>
          <w:rFonts w:ascii="宋体"/>
          <w:sz w:val="24"/>
          <w:highlight w:val="none"/>
        </w:rPr>
        <w:t>3</w:t>
      </w:r>
      <w:r>
        <w:rPr>
          <w:rFonts w:hint="eastAsia" w:ascii="宋体"/>
          <w:sz w:val="24"/>
          <w:highlight w:val="none"/>
        </w:rPr>
        <w:t>、售后服务实施响应 (5分)</w:t>
      </w:r>
    </w:p>
    <w:p>
      <w:pPr>
        <w:pBdr>
          <w:top w:val="single" w:color="auto" w:sz="4" w:space="0"/>
          <w:left w:val="single" w:color="auto" w:sz="4" w:space="0"/>
          <w:bottom w:val="single" w:color="auto" w:sz="4" w:space="0"/>
          <w:right w:val="single" w:color="auto" w:sz="4" w:space="0"/>
        </w:pBdr>
        <w:spacing w:line="288" w:lineRule="auto"/>
        <w:ind w:firstLine="480" w:firstLineChars="200"/>
        <w:rPr>
          <w:rFonts w:ascii="宋体"/>
          <w:sz w:val="24"/>
          <w:highlight w:val="none"/>
        </w:rPr>
      </w:pPr>
      <w:r>
        <w:rPr>
          <w:rFonts w:hint="eastAsia" w:ascii="宋体"/>
          <w:sz w:val="24"/>
          <w:highlight w:val="none"/>
        </w:rPr>
        <w:t>根据投标人质保期内售后服务（响应时间，回访巡检方案、故障解决措施、技术人员保障、备品配件价格等）等服务内容，内容科学合理、完整、切实可行的得5分；内容不完整、科学性欠合理、可行性欠妥的得2.5分；未提供服务方案的不得分。</w:t>
      </w:r>
    </w:p>
    <w:p>
      <w:pPr>
        <w:pBdr>
          <w:top w:val="single" w:color="auto" w:sz="4" w:space="0"/>
          <w:left w:val="single" w:color="auto" w:sz="4" w:space="0"/>
          <w:bottom w:val="single" w:color="auto" w:sz="4" w:space="0"/>
          <w:right w:val="single" w:color="auto" w:sz="4" w:space="0"/>
        </w:pBdr>
        <w:spacing w:line="288" w:lineRule="auto"/>
        <w:ind w:firstLine="480" w:firstLineChars="200"/>
        <w:rPr>
          <w:rFonts w:hint="eastAsia" w:ascii="宋体" w:hAnsi="Calibri"/>
          <w:sz w:val="24"/>
          <w:highlight w:val="none"/>
        </w:rPr>
      </w:pPr>
      <w:r>
        <w:rPr>
          <w:rFonts w:hint="eastAsia" w:ascii="宋体" w:hAnsi="Calibri"/>
          <w:sz w:val="24"/>
          <w:highlight w:val="none"/>
        </w:rPr>
        <w:t>5</w:t>
      </w:r>
      <w:r>
        <w:rPr>
          <w:rFonts w:ascii="宋体" w:hAnsi="Calibri"/>
          <w:sz w:val="24"/>
          <w:highlight w:val="none"/>
        </w:rPr>
        <w:t>.4</w:t>
      </w:r>
      <w:r>
        <w:rPr>
          <w:rFonts w:hint="eastAsia" w:ascii="宋体" w:hAnsi="Calibri"/>
          <w:sz w:val="24"/>
          <w:highlight w:val="none"/>
        </w:rPr>
        <w:t>增值服务（5分）</w:t>
      </w:r>
    </w:p>
    <w:p>
      <w:pPr>
        <w:pStyle w:val="10"/>
        <w:pBdr>
          <w:top w:val="single" w:color="auto" w:sz="4" w:space="0"/>
          <w:left w:val="single" w:color="auto" w:sz="4" w:space="0"/>
          <w:bottom w:val="single" w:color="auto" w:sz="4" w:space="0"/>
          <w:right w:val="single" w:color="auto" w:sz="4" w:space="0"/>
        </w:pBdr>
        <w:ind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根据投标人能为采购人提供的与本项目相关的增值服务方案综合打分，内容科学合理、完整、切实可行的得5分；内容不完整、科学性欠合理、可行性欠妥的得2.5分；未提供服务方案的不得分。</w:t>
      </w:r>
    </w:p>
    <w:p>
      <w:pPr>
        <w:snapToGrid w:val="0"/>
        <w:spacing w:line="360" w:lineRule="auto"/>
        <w:ind w:right="-10" w:firstLine="80" w:firstLineChars="200"/>
        <w:rPr>
          <w:rFonts w:hint="eastAsia" w:ascii="宋体" w:hAnsi="宋体"/>
          <w:color w:val="auto"/>
          <w:sz w:val="4"/>
          <w:szCs w:val="2"/>
          <w:highlight w:val="none"/>
        </w:rPr>
      </w:pPr>
    </w:p>
    <w:p>
      <w:pPr>
        <w:snapToGrid w:val="0"/>
        <w:spacing w:line="360" w:lineRule="auto"/>
        <w:ind w:right="-10" w:firstLine="480" w:firstLineChars="200"/>
        <w:rPr>
          <w:rFonts w:hint="eastAsia" w:ascii="宋体" w:hAnsi="宋体"/>
          <w:color w:val="auto"/>
          <w:sz w:val="24"/>
          <w:highlight w:val="none"/>
        </w:rPr>
      </w:pPr>
      <w:r>
        <w:rPr>
          <w:rFonts w:hint="eastAsia" w:ascii="宋体" w:hAnsi="宋体"/>
          <w:color w:val="auto"/>
          <w:sz w:val="24"/>
          <w:highlight w:val="none"/>
        </w:rPr>
        <w:t>说明：</w:t>
      </w:r>
    </w:p>
    <w:p>
      <w:pPr>
        <w:snapToGrid w:val="0"/>
        <w:spacing w:line="360" w:lineRule="auto"/>
        <w:ind w:right="-10" w:firstLine="480" w:firstLineChars="200"/>
        <w:rPr>
          <w:rFonts w:hint="eastAsia" w:ascii="宋体" w:hAnsi="宋体"/>
          <w:color w:val="auto"/>
          <w:sz w:val="24"/>
          <w:highlight w:val="none"/>
        </w:rPr>
      </w:pPr>
      <w:r>
        <w:rPr>
          <w:rFonts w:hint="eastAsia" w:ascii="宋体" w:hAnsi="宋体"/>
          <w:color w:val="auto"/>
          <w:sz w:val="24"/>
          <w:highlight w:val="none"/>
        </w:rPr>
        <w:t>（1）小微企业的价格扣除</w:t>
      </w:r>
    </w:p>
    <w:p>
      <w:pPr>
        <w:snapToGrid w:val="0"/>
        <w:spacing w:line="360" w:lineRule="auto"/>
        <w:ind w:right="-10" w:firstLine="480" w:firstLineChars="200"/>
        <w:rPr>
          <w:rFonts w:hint="eastAsia" w:ascii="宋体" w:hAnsi="宋体"/>
          <w:color w:val="auto"/>
          <w:sz w:val="24"/>
          <w:highlight w:val="none"/>
        </w:rPr>
      </w:pPr>
      <w:r>
        <w:rPr>
          <w:rFonts w:hint="eastAsia" w:ascii="宋体" w:hAnsi="宋体"/>
          <w:color w:val="auto"/>
          <w:sz w:val="24"/>
          <w:highlight w:val="none"/>
        </w:rPr>
        <w:t>（1.1）对于未预留份额专门面向中小企业采购的采购项目或预留份额项目中的非预留部分采购包，给予小微企业报价</w:t>
      </w:r>
      <w:r>
        <w:rPr>
          <w:rFonts w:hint="eastAsia" w:ascii="宋体" w:hAnsi="宋体" w:eastAsia="宋体"/>
          <w:color w:val="auto"/>
          <w:sz w:val="24"/>
          <w:highlight w:val="none"/>
          <w:lang w:val="en-US" w:eastAsia="zh-CN"/>
        </w:rPr>
        <w:t>1</w:t>
      </w:r>
      <w:r>
        <w:rPr>
          <w:rFonts w:hint="eastAsia" w:ascii="宋体" w:hAnsi="宋体"/>
          <w:color w:val="auto"/>
          <w:sz w:val="24"/>
          <w:highlight w:val="none"/>
        </w:rPr>
        <w:t>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highlight w:val="none"/>
          <w:lang w:val="en-US" w:eastAsia="zh-CN"/>
        </w:rPr>
        <w:t>1</w:t>
      </w:r>
      <w:r>
        <w:rPr>
          <w:rFonts w:hint="eastAsia" w:ascii="宋体" w:hAnsi="宋体"/>
          <w:color w:val="auto"/>
          <w:sz w:val="24"/>
          <w:highlight w:val="none"/>
        </w:rPr>
        <w:t>0%的价格扣除。</w:t>
      </w:r>
    </w:p>
    <w:p>
      <w:pPr>
        <w:snapToGrid w:val="0"/>
        <w:spacing w:line="360" w:lineRule="auto"/>
        <w:ind w:right="-10" w:firstLine="480" w:firstLineChars="200"/>
        <w:rPr>
          <w:rFonts w:hint="eastAsia" w:ascii="宋体" w:hAnsi="宋体"/>
          <w:color w:val="auto"/>
          <w:sz w:val="24"/>
          <w:highlight w:val="none"/>
        </w:rPr>
      </w:pPr>
      <w:r>
        <w:rPr>
          <w:rFonts w:hint="eastAsia" w:ascii="宋体" w:hAnsi="宋体"/>
          <w:color w:val="auto"/>
          <w:sz w:val="24"/>
          <w:highlight w:val="none"/>
        </w:rPr>
        <w:t>（1.2）价格扣除比例或者价格分加分比例对小型企业和微型企业同等对待，不作区分。</w:t>
      </w:r>
    </w:p>
    <w:p>
      <w:pPr>
        <w:snapToGrid w:val="0"/>
        <w:spacing w:line="360" w:lineRule="auto"/>
        <w:ind w:right="-10" w:firstLine="480" w:firstLineChars="200"/>
        <w:rPr>
          <w:rFonts w:hint="eastAsia" w:ascii="宋体" w:hAnsi="宋体"/>
          <w:color w:val="auto"/>
          <w:sz w:val="24"/>
          <w:highlight w:val="none"/>
        </w:rPr>
      </w:pPr>
      <w:r>
        <w:rPr>
          <w:rFonts w:hint="eastAsia" w:ascii="宋体" w:hAnsi="宋体"/>
          <w:color w:val="auto"/>
          <w:sz w:val="24"/>
          <w:highlight w:val="none"/>
        </w:rPr>
        <w:t>（2）监狱和戒毒企业的价格扣除</w:t>
      </w:r>
    </w:p>
    <w:p>
      <w:pPr>
        <w:snapToGrid w:val="0"/>
        <w:spacing w:line="360" w:lineRule="auto"/>
        <w:ind w:right="-10" w:firstLine="480" w:firstLineChars="200"/>
        <w:rPr>
          <w:rFonts w:hint="eastAsia" w:ascii="宋体" w:hAnsi="宋体"/>
          <w:color w:val="auto"/>
          <w:sz w:val="24"/>
          <w:highlight w:val="none"/>
        </w:rPr>
      </w:pPr>
      <w:r>
        <w:rPr>
          <w:rFonts w:hint="eastAsia" w:ascii="宋体" w:hAnsi="宋体"/>
          <w:color w:val="auto"/>
          <w:sz w:val="24"/>
          <w:highlight w:val="none"/>
        </w:rPr>
        <w:t>（2.1）本项目对监狱和戒毒企业（简称监狱企业），给予</w:t>
      </w:r>
      <w:r>
        <w:rPr>
          <w:rFonts w:hint="eastAsia" w:ascii="宋体" w:hAnsi="宋体" w:eastAsia="宋体"/>
          <w:color w:val="auto"/>
          <w:sz w:val="24"/>
          <w:highlight w:val="none"/>
          <w:lang w:val="en-US" w:eastAsia="zh-CN"/>
        </w:rPr>
        <w:t>1</w:t>
      </w:r>
      <w:r>
        <w:rPr>
          <w:rFonts w:hint="eastAsia" w:ascii="宋体" w:hAnsi="宋体"/>
          <w:color w:val="auto"/>
          <w:sz w:val="24"/>
          <w:highlight w:val="none"/>
        </w:rPr>
        <w:t>0%的价格扣除，用扣除后的价格参与评审。</w:t>
      </w:r>
    </w:p>
    <w:p>
      <w:pPr>
        <w:snapToGrid w:val="0"/>
        <w:spacing w:line="360" w:lineRule="auto"/>
        <w:ind w:right="-10" w:firstLine="480" w:firstLineChars="200"/>
        <w:rPr>
          <w:rFonts w:hint="eastAsia" w:ascii="宋体" w:hAnsi="宋体"/>
          <w:color w:val="auto"/>
          <w:sz w:val="24"/>
          <w:highlight w:val="none"/>
        </w:rPr>
      </w:pPr>
      <w:r>
        <w:rPr>
          <w:rFonts w:hint="eastAsia" w:ascii="宋体" w:hAnsi="宋体"/>
          <w:color w:val="auto"/>
          <w:sz w:val="24"/>
          <w:highlight w:val="none"/>
        </w:rPr>
        <w:t>（2.2）监狱企业需提供由省级以上监狱管理局、戒毒管理局（含新疆生产建设兵团）出具的属于监狱企业的证明文件。</w:t>
      </w:r>
    </w:p>
    <w:p>
      <w:pPr>
        <w:snapToGrid w:val="0"/>
        <w:spacing w:line="360" w:lineRule="auto"/>
        <w:ind w:right="-10" w:firstLine="480" w:firstLineChars="200"/>
        <w:rPr>
          <w:rFonts w:hint="eastAsia" w:ascii="宋体" w:hAnsi="宋体"/>
          <w:color w:val="auto"/>
          <w:sz w:val="24"/>
          <w:highlight w:val="none"/>
        </w:rPr>
      </w:pPr>
      <w:r>
        <w:rPr>
          <w:rFonts w:hint="eastAsia" w:ascii="宋体" w:hAnsi="宋体"/>
          <w:color w:val="auto"/>
          <w:sz w:val="24"/>
          <w:highlight w:val="none"/>
        </w:rPr>
        <w:t>（2.3）监狱企业标准请参照《关于政府采购支持监狱企业发展有关问题的通知》（财库[2014]68号）。</w:t>
      </w:r>
    </w:p>
    <w:p>
      <w:pPr>
        <w:snapToGrid w:val="0"/>
        <w:spacing w:line="360" w:lineRule="auto"/>
        <w:ind w:right="-10" w:firstLine="480" w:firstLineChars="200"/>
        <w:rPr>
          <w:rFonts w:hint="eastAsia" w:ascii="宋体" w:hAnsi="宋体"/>
          <w:color w:val="auto"/>
          <w:sz w:val="24"/>
          <w:highlight w:val="none"/>
        </w:rPr>
      </w:pPr>
      <w:r>
        <w:rPr>
          <w:rFonts w:hint="eastAsia" w:ascii="宋体" w:hAnsi="宋体"/>
          <w:color w:val="auto"/>
          <w:sz w:val="24"/>
          <w:highlight w:val="none"/>
        </w:rPr>
        <w:t>（3）残疾人福利性单位的价格扣除</w:t>
      </w:r>
    </w:p>
    <w:p>
      <w:pPr>
        <w:snapToGrid w:val="0"/>
        <w:spacing w:line="360" w:lineRule="auto"/>
        <w:ind w:right="-10" w:firstLine="480" w:firstLineChars="200"/>
        <w:rPr>
          <w:rFonts w:hint="eastAsia" w:ascii="宋体" w:hAnsi="宋体"/>
          <w:color w:val="auto"/>
          <w:sz w:val="24"/>
          <w:highlight w:val="none"/>
        </w:rPr>
      </w:pPr>
      <w:r>
        <w:rPr>
          <w:rFonts w:hint="eastAsia" w:ascii="宋体" w:hAnsi="宋体"/>
          <w:color w:val="auto"/>
          <w:sz w:val="24"/>
          <w:highlight w:val="none"/>
        </w:rPr>
        <w:t>（3.1）本项目对残疾人福利性单位，给予</w:t>
      </w:r>
      <w:r>
        <w:rPr>
          <w:rFonts w:hint="eastAsia" w:ascii="宋体" w:hAnsi="宋体" w:eastAsia="宋体"/>
          <w:color w:val="auto"/>
          <w:sz w:val="24"/>
          <w:highlight w:val="none"/>
          <w:lang w:val="en-US" w:eastAsia="zh-CN"/>
        </w:rPr>
        <w:t>1</w:t>
      </w:r>
      <w:r>
        <w:rPr>
          <w:rFonts w:hint="eastAsia" w:ascii="宋体" w:hAnsi="宋体"/>
          <w:color w:val="auto"/>
          <w:sz w:val="24"/>
          <w:highlight w:val="none"/>
        </w:rPr>
        <w:t>0%的价格扣除，用扣除后的价格参与评审。</w:t>
      </w:r>
    </w:p>
    <w:p>
      <w:pPr>
        <w:snapToGrid w:val="0"/>
        <w:spacing w:line="360" w:lineRule="auto"/>
        <w:ind w:right="-10" w:firstLine="480" w:firstLineChars="200"/>
        <w:rPr>
          <w:rFonts w:hint="eastAsia" w:ascii="宋体" w:hAnsi="宋体"/>
          <w:color w:val="auto"/>
          <w:sz w:val="24"/>
          <w:highlight w:val="none"/>
        </w:rPr>
      </w:pPr>
      <w:r>
        <w:rPr>
          <w:rFonts w:hint="eastAsia" w:ascii="宋体" w:hAnsi="宋体"/>
          <w:color w:val="auto"/>
          <w:sz w:val="24"/>
          <w:highlight w:val="none"/>
        </w:rPr>
        <w:t>（3.2）残疾人福利单位需按照招标文件的要求提供《残疾人福利性单位声明函》。</w:t>
      </w:r>
    </w:p>
    <w:p>
      <w:pPr>
        <w:snapToGrid w:val="0"/>
        <w:spacing w:line="360" w:lineRule="auto"/>
        <w:ind w:right="-10" w:firstLine="480" w:firstLineChars="200"/>
        <w:rPr>
          <w:rFonts w:hint="eastAsia" w:ascii="宋体" w:hAnsi="宋体"/>
          <w:color w:val="auto"/>
          <w:sz w:val="24"/>
          <w:highlight w:val="none"/>
        </w:rPr>
      </w:pPr>
      <w:r>
        <w:rPr>
          <w:rFonts w:hint="eastAsia" w:ascii="宋体" w:hAnsi="宋体"/>
          <w:color w:val="auto"/>
          <w:sz w:val="24"/>
          <w:highlight w:val="none"/>
        </w:rPr>
        <w:t>（3.3）残疾人福利单位标准请参照《关于促进残疾人就业政府采购政策的通知》（财库〔2017〕141号）。</w:t>
      </w:r>
    </w:p>
    <w:p>
      <w:pPr>
        <w:snapToGrid w:val="0"/>
        <w:spacing w:line="360" w:lineRule="auto"/>
        <w:ind w:right="-10" w:firstLine="480" w:firstLineChars="200"/>
        <w:rPr>
          <w:rFonts w:hint="eastAsia" w:ascii="宋体" w:hAnsi="宋体"/>
          <w:color w:val="auto"/>
          <w:sz w:val="24"/>
          <w:highlight w:val="none"/>
        </w:rPr>
      </w:pPr>
      <w:r>
        <w:rPr>
          <w:rFonts w:hint="eastAsia" w:ascii="宋体" w:hAnsi="宋体"/>
          <w:color w:val="auto"/>
          <w:sz w:val="24"/>
          <w:highlight w:val="none"/>
        </w:rPr>
        <w:t>（4）监狱企业、残疾人福利单位属于小型、微型企业的，不重复享受政策。</w:t>
      </w:r>
    </w:p>
    <w:p>
      <w:pPr>
        <w:snapToGrid w:val="0"/>
        <w:spacing w:line="360" w:lineRule="auto"/>
        <w:ind w:left="787" w:leftChars="228" w:right="-10" w:hanging="240" w:hangingChars="100"/>
        <w:rPr>
          <w:rFonts w:hint="eastAsia" w:ascii="宋体" w:hAnsi="宋体"/>
          <w:color w:val="auto"/>
          <w:sz w:val="24"/>
          <w:highlight w:val="none"/>
        </w:rPr>
      </w:pPr>
      <w:r>
        <w:rPr>
          <w:rFonts w:hint="eastAsia" w:ascii="宋体" w:hAnsi="宋体"/>
          <w:color w:val="auto"/>
          <w:sz w:val="24"/>
          <w:highlight w:val="none"/>
        </w:rPr>
        <w:t>（5）</w:t>
      </w:r>
      <w:r>
        <w:rPr>
          <w:rFonts w:hint="eastAsia" w:ascii="宋体" w:hAnsi="宋体"/>
          <w:b/>
          <w:bCs/>
          <w:color w:val="auto"/>
          <w:sz w:val="24"/>
          <w:highlight w:val="none"/>
        </w:rPr>
        <w:t>所有认证、证明和业绩均以复印件加盖公章作为依据（文件中明确要求原件的除外），原件标后备查</w:t>
      </w:r>
      <w:r>
        <w:rPr>
          <w:rFonts w:hint="eastAsia" w:ascii="宋体" w:hAnsi="宋体"/>
          <w:color w:val="auto"/>
          <w:sz w:val="24"/>
          <w:highlight w:val="none"/>
        </w:rPr>
        <w:t>。</w:t>
      </w:r>
    </w:p>
    <w:p>
      <w:pPr>
        <w:pStyle w:val="46"/>
        <w:rPr>
          <w:rFonts w:hint="eastAsia" w:ascii="宋体" w:hAnsi="宋体"/>
          <w:b/>
          <w:color w:val="auto"/>
          <w:sz w:val="24"/>
          <w:highlight w:val="none"/>
        </w:rPr>
      </w:pPr>
    </w:p>
    <w:p>
      <w:pPr>
        <w:snapToGrid w:val="0"/>
        <w:spacing w:line="360" w:lineRule="auto"/>
        <w:ind w:right="-10" w:firstLine="480" w:firstLineChars="200"/>
        <w:rPr>
          <w:rFonts w:hint="eastAsia" w:ascii="宋体" w:hAnsi="宋体"/>
          <w:b/>
          <w:color w:val="auto"/>
          <w:sz w:val="24"/>
          <w:highlight w:val="none"/>
        </w:rPr>
      </w:pPr>
      <w:r>
        <w:rPr>
          <w:rFonts w:hint="eastAsia" w:ascii="宋体" w:hAnsi="宋体"/>
          <w:b/>
          <w:color w:val="auto"/>
          <w:sz w:val="24"/>
          <w:highlight w:val="none"/>
        </w:rPr>
        <w:t>4、评标结果。</w:t>
      </w:r>
      <w:r>
        <w:rPr>
          <w:rFonts w:hint="eastAsia" w:ascii="宋体" w:hAnsi="宋体"/>
          <w:color w:val="auto"/>
          <w:sz w:val="24"/>
          <w:highlight w:val="none"/>
        </w:rPr>
        <w:t>评标委员会按照本办法规定推荐中标候选人，并形成评标报告。</w:t>
      </w:r>
    </w:p>
    <w:p>
      <w:pPr>
        <w:rPr>
          <w:rFonts w:hint="eastAsia" w:ascii="宋体" w:hAnsi="宋体"/>
          <w:color w:val="auto"/>
          <w:sz w:val="20"/>
          <w:highlight w:val="none"/>
        </w:rPr>
      </w:pPr>
      <w:r>
        <w:rPr>
          <w:rFonts w:hint="eastAsia" w:ascii="宋体" w:hAnsi="宋体"/>
          <w:color w:val="auto"/>
          <w:sz w:val="20"/>
          <w:highlight w:val="none"/>
        </w:rPr>
        <w:t xml:space="preserve"> </w:t>
      </w:r>
    </w:p>
    <w:p>
      <w:pPr>
        <w:jc w:val="center"/>
        <w:rPr>
          <w:rFonts w:hint="eastAsia"/>
          <w:b/>
          <w:color w:val="auto"/>
          <w:sz w:val="44"/>
          <w:szCs w:val="44"/>
          <w:highlight w:val="none"/>
        </w:rPr>
      </w:pPr>
      <w:bookmarkStart w:id="70" w:name="_Toc514054481"/>
      <w:bookmarkEnd w:id="70"/>
      <w:bookmarkStart w:id="71" w:name="EBae7807b0bcbc478ea1f502c8f1955356"/>
      <w:bookmarkEnd w:id="71"/>
      <w:bookmarkStart w:id="72" w:name="EBd5bea3a3c3254523b93c8abaa514fb10"/>
      <w:bookmarkEnd w:id="72"/>
      <w:bookmarkStart w:id="73" w:name="_Toc1505"/>
      <w:bookmarkEnd w:id="73"/>
      <w:bookmarkStart w:id="74" w:name="EB82fc76f7757048998b4e7a05c212bfb9"/>
      <w:bookmarkEnd w:id="74"/>
      <w:r>
        <w:rPr>
          <w:rFonts w:hint="eastAsia"/>
          <w:b/>
          <w:color w:val="auto"/>
          <w:sz w:val="44"/>
          <w:szCs w:val="44"/>
          <w:highlight w:val="none"/>
        </w:rPr>
        <w:br w:type="page"/>
      </w:r>
      <w:r>
        <w:rPr>
          <w:rFonts w:hint="eastAsia"/>
          <w:b/>
          <w:color w:val="auto"/>
          <w:sz w:val="44"/>
          <w:szCs w:val="44"/>
          <w:highlight w:val="none"/>
        </w:rPr>
        <w:t>第四部分</w:t>
      </w:r>
      <w:r>
        <w:rPr>
          <w:b/>
          <w:color w:val="auto"/>
          <w:sz w:val="44"/>
          <w:szCs w:val="44"/>
          <w:highlight w:val="none"/>
        </w:rPr>
        <w:t xml:space="preserve">  </w:t>
      </w:r>
      <w:r>
        <w:rPr>
          <w:rFonts w:hint="eastAsia"/>
          <w:b/>
          <w:color w:val="auto"/>
          <w:sz w:val="44"/>
          <w:szCs w:val="44"/>
          <w:highlight w:val="none"/>
        </w:rPr>
        <w:t>采购需求</w:t>
      </w:r>
    </w:p>
    <w:p>
      <w:pPr>
        <w:rPr>
          <w:rFonts w:hint="eastAsia"/>
          <w:color w:val="auto"/>
          <w:highlight w:val="none"/>
        </w:rPr>
      </w:pPr>
      <w:bookmarkStart w:id="75" w:name="EB7816f6fdbc96408ea7b735c177a21493"/>
    </w:p>
    <w:p>
      <w:pPr>
        <w:pStyle w:val="415"/>
        <w:ind w:firstLine="2349" w:firstLineChars="650"/>
        <w:jc w:val="left"/>
        <w:outlineLvl w:val="1"/>
        <w:rPr>
          <w:rFonts w:hint="eastAsia" w:ascii="宋体"/>
          <w:b/>
          <w:color w:val="auto"/>
          <w:sz w:val="36"/>
          <w:highlight w:val="none"/>
        </w:rPr>
      </w:pPr>
      <w:bookmarkStart w:id="76" w:name="_Toc23043"/>
      <w:bookmarkEnd w:id="76"/>
      <w:bookmarkStart w:id="77" w:name="_Toc2181_WPSOffice_Level2"/>
      <w:bookmarkEnd w:id="77"/>
      <w:r>
        <w:rPr>
          <w:rFonts w:hint="eastAsia" w:ascii="宋体"/>
          <w:b/>
          <w:color w:val="auto"/>
          <w:sz w:val="36"/>
          <w:highlight w:val="none"/>
        </w:rPr>
        <w:t>货物需求一览表和技术规格</w:t>
      </w:r>
    </w:p>
    <w:p>
      <w:pPr>
        <w:pStyle w:val="415"/>
        <w:ind w:left="3066"/>
        <w:rPr>
          <w:rFonts w:ascii="宋体"/>
          <w:b/>
          <w:color w:val="auto"/>
          <w:sz w:val="36"/>
          <w:highlight w:val="none"/>
        </w:rPr>
      </w:pPr>
    </w:p>
    <w:p>
      <w:pPr>
        <w:pStyle w:val="415"/>
        <w:numPr>
          <w:ilvl w:val="0"/>
          <w:numId w:val="12"/>
        </w:numPr>
        <w:jc w:val="center"/>
        <w:outlineLvl w:val="1"/>
        <w:rPr>
          <w:rFonts w:hint="eastAsia" w:ascii="Arial" w:hAnsi="Arial"/>
          <w:b/>
          <w:color w:val="auto"/>
          <w:sz w:val="32"/>
          <w:highlight w:val="none"/>
        </w:rPr>
      </w:pPr>
      <w:bookmarkStart w:id="78" w:name="_Toc7704_WPSOffice_Level2"/>
      <w:bookmarkEnd w:id="78"/>
      <w:bookmarkStart w:id="79" w:name="_Toc28714"/>
      <w:bookmarkEnd w:id="79"/>
      <w:r>
        <w:rPr>
          <w:rFonts w:hint="eastAsia" w:ascii="Arial" w:hAnsi="Arial"/>
          <w:b/>
          <w:color w:val="auto"/>
          <w:sz w:val="32"/>
          <w:highlight w:val="none"/>
        </w:rPr>
        <w:t>货物需求一览表</w:t>
      </w:r>
    </w:p>
    <w:tbl>
      <w:tblPr>
        <w:tblStyle w:val="13"/>
        <w:tblW w:w="0" w:type="auto"/>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108" w:type="dxa"/>
          <w:bottom w:w="0" w:type="dxa"/>
          <w:right w:w="108" w:type="dxa"/>
        </w:tblCellMar>
      </w:tblPr>
      <w:tblGrid>
        <w:gridCol w:w="882"/>
        <w:gridCol w:w="2877"/>
        <w:gridCol w:w="1064"/>
        <w:gridCol w:w="1863"/>
        <w:gridCol w:w="2306"/>
      </w:tblGrid>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108" w:type="dxa"/>
            <w:bottom w:w="0" w:type="dxa"/>
            <w:right w:w="108" w:type="dxa"/>
          </w:tblCellMar>
        </w:tblPrEx>
        <w:trPr>
          <w:trHeight w:val="921" w:hRule="atLeast"/>
          <w:jc w:val="center"/>
        </w:trPr>
        <w:tc>
          <w:tcPr>
            <w:tcW w:w="882" w:type="dxa"/>
            <w:tcBorders>
              <w:top w:val="single" w:color="000000" w:sz="4" w:space="0"/>
              <w:left w:val="single" w:color="000000" w:sz="6" w:space="0"/>
              <w:bottom w:val="single" w:color="000000" w:sz="4" w:space="0"/>
              <w:right w:val="single" w:color="000000" w:sz="4" w:space="0"/>
            </w:tcBorders>
            <w:vAlign w:val="center"/>
          </w:tcPr>
          <w:p>
            <w:pPr>
              <w:pStyle w:val="415"/>
              <w:jc w:val="center"/>
              <w:rPr>
                <w:rFonts w:hint="eastAsia" w:ascii="宋体" w:hAnsi="宋体"/>
                <w:color w:val="auto"/>
                <w:sz w:val="24"/>
                <w:highlight w:val="none"/>
              </w:rPr>
            </w:pPr>
            <w:bookmarkStart w:id="80" w:name="_Toc22464"/>
            <w:bookmarkStart w:id="81" w:name="_Toc11678_WPSOffice_Level2"/>
            <w:r>
              <w:rPr>
                <w:rFonts w:hint="eastAsia" w:ascii="宋体" w:hAnsi="宋体"/>
                <w:color w:val="auto"/>
                <w:sz w:val="24"/>
                <w:highlight w:val="none"/>
              </w:rPr>
              <w:t>序号</w:t>
            </w:r>
          </w:p>
        </w:tc>
        <w:tc>
          <w:tcPr>
            <w:tcW w:w="2877" w:type="dxa"/>
            <w:tcBorders>
              <w:top w:val="single" w:color="000000" w:sz="4" w:space="0"/>
              <w:left w:val="single" w:color="000000" w:sz="4" w:space="0"/>
              <w:bottom w:val="single" w:color="000000" w:sz="4" w:space="0"/>
              <w:right w:val="single" w:color="000000" w:sz="4" w:space="0"/>
            </w:tcBorders>
            <w:vAlign w:val="center"/>
          </w:tcPr>
          <w:p>
            <w:pPr>
              <w:pStyle w:val="415"/>
              <w:jc w:val="center"/>
              <w:rPr>
                <w:rFonts w:hint="eastAsia" w:ascii="宋体" w:hAnsi="宋体"/>
                <w:color w:val="auto"/>
                <w:sz w:val="24"/>
                <w:highlight w:val="none"/>
              </w:rPr>
            </w:pPr>
            <w:r>
              <w:rPr>
                <w:rFonts w:hint="eastAsia" w:ascii="宋体" w:hAnsi="宋体"/>
                <w:color w:val="auto"/>
                <w:sz w:val="24"/>
                <w:highlight w:val="none"/>
              </w:rPr>
              <w:t>货</w:t>
            </w:r>
            <w:r>
              <w:rPr>
                <w:rFonts w:ascii="宋体" w:hAnsi="宋体"/>
                <w:color w:val="auto"/>
                <w:sz w:val="24"/>
                <w:highlight w:val="none"/>
              </w:rPr>
              <w:t xml:space="preserve"> </w:t>
            </w:r>
            <w:r>
              <w:rPr>
                <w:rFonts w:hint="eastAsia" w:ascii="宋体" w:hAnsi="宋体"/>
                <w:color w:val="auto"/>
                <w:sz w:val="24"/>
                <w:highlight w:val="none"/>
              </w:rPr>
              <w:t>物</w:t>
            </w:r>
            <w:r>
              <w:rPr>
                <w:rFonts w:ascii="宋体" w:hAnsi="宋体"/>
                <w:color w:val="auto"/>
                <w:sz w:val="24"/>
                <w:highlight w:val="none"/>
              </w:rPr>
              <w:t xml:space="preserve"> </w:t>
            </w:r>
            <w:r>
              <w:rPr>
                <w:rFonts w:hint="eastAsia" w:ascii="宋体" w:hAnsi="宋体"/>
                <w:color w:val="auto"/>
                <w:sz w:val="24"/>
                <w:highlight w:val="none"/>
              </w:rPr>
              <w:t>名</w:t>
            </w:r>
            <w:r>
              <w:rPr>
                <w:rFonts w:ascii="宋体" w:hAnsi="宋体"/>
                <w:color w:val="auto"/>
                <w:sz w:val="24"/>
                <w:highlight w:val="none"/>
              </w:rPr>
              <w:t xml:space="preserve"> </w:t>
            </w:r>
            <w:r>
              <w:rPr>
                <w:rFonts w:hint="eastAsia" w:ascii="宋体" w:hAnsi="宋体"/>
                <w:color w:val="auto"/>
                <w:sz w:val="24"/>
                <w:highlight w:val="none"/>
              </w:rPr>
              <w:t>称</w:t>
            </w:r>
          </w:p>
        </w:tc>
        <w:tc>
          <w:tcPr>
            <w:tcW w:w="1064" w:type="dxa"/>
            <w:tcBorders>
              <w:top w:val="single" w:color="000000" w:sz="4" w:space="0"/>
              <w:left w:val="single" w:color="000000" w:sz="4" w:space="0"/>
              <w:bottom w:val="single" w:color="000000" w:sz="4" w:space="0"/>
              <w:right w:val="single" w:color="000000" w:sz="4" w:space="0"/>
            </w:tcBorders>
            <w:vAlign w:val="center"/>
          </w:tcPr>
          <w:p>
            <w:pPr>
              <w:pStyle w:val="415"/>
              <w:jc w:val="center"/>
              <w:rPr>
                <w:rFonts w:hint="eastAsia" w:ascii="宋体" w:hAnsi="宋体"/>
                <w:color w:val="auto"/>
                <w:sz w:val="24"/>
                <w:highlight w:val="none"/>
              </w:rPr>
            </w:pPr>
            <w:r>
              <w:rPr>
                <w:rFonts w:hint="eastAsia" w:ascii="宋体" w:hAnsi="宋体"/>
                <w:color w:val="auto"/>
                <w:sz w:val="24"/>
                <w:highlight w:val="none"/>
              </w:rPr>
              <w:t>数量</w:t>
            </w:r>
          </w:p>
        </w:tc>
        <w:tc>
          <w:tcPr>
            <w:tcW w:w="1863" w:type="dxa"/>
            <w:tcBorders>
              <w:top w:val="single" w:color="000000" w:sz="4" w:space="0"/>
              <w:left w:val="single" w:color="000000" w:sz="4" w:space="0"/>
              <w:bottom w:val="single" w:color="000000" w:sz="4" w:space="0"/>
              <w:right w:val="single" w:color="000000" w:sz="4" w:space="0"/>
            </w:tcBorders>
            <w:vAlign w:val="center"/>
          </w:tcPr>
          <w:p>
            <w:pPr>
              <w:pStyle w:val="415"/>
              <w:jc w:val="center"/>
              <w:rPr>
                <w:rFonts w:hint="eastAsia" w:ascii="宋体" w:hAnsi="宋体"/>
                <w:color w:val="auto"/>
                <w:sz w:val="24"/>
                <w:highlight w:val="none"/>
              </w:rPr>
            </w:pPr>
            <w:r>
              <w:rPr>
                <w:rFonts w:hint="eastAsia" w:ascii="宋体" w:hAnsi="宋体"/>
                <w:color w:val="auto"/>
                <w:sz w:val="24"/>
                <w:highlight w:val="none"/>
              </w:rPr>
              <w:t>交</w:t>
            </w:r>
            <w:r>
              <w:rPr>
                <w:rFonts w:ascii="宋体" w:hAnsi="宋体"/>
                <w:color w:val="auto"/>
                <w:sz w:val="24"/>
                <w:highlight w:val="none"/>
              </w:rPr>
              <w:t xml:space="preserve"> </w:t>
            </w:r>
            <w:r>
              <w:rPr>
                <w:rFonts w:hint="eastAsia" w:ascii="宋体" w:hAnsi="宋体"/>
                <w:color w:val="auto"/>
                <w:sz w:val="24"/>
                <w:highlight w:val="none"/>
              </w:rPr>
              <w:t>货</w:t>
            </w:r>
            <w:r>
              <w:rPr>
                <w:rFonts w:ascii="宋体" w:hAnsi="宋体"/>
                <w:color w:val="auto"/>
                <w:sz w:val="24"/>
                <w:highlight w:val="none"/>
              </w:rPr>
              <w:t xml:space="preserve"> </w:t>
            </w:r>
            <w:r>
              <w:rPr>
                <w:rFonts w:hint="eastAsia" w:ascii="宋体" w:hAnsi="宋体"/>
                <w:color w:val="auto"/>
                <w:sz w:val="24"/>
                <w:highlight w:val="none"/>
              </w:rPr>
              <w:t>期</w:t>
            </w:r>
          </w:p>
        </w:tc>
        <w:tc>
          <w:tcPr>
            <w:tcW w:w="2306" w:type="dxa"/>
            <w:tcBorders>
              <w:top w:val="single" w:color="000000" w:sz="4" w:space="0"/>
              <w:left w:val="single" w:color="000000" w:sz="4" w:space="0"/>
              <w:bottom w:val="single" w:color="000000" w:sz="4" w:space="0"/>
              <w:right w:val="single" w:color="000000" w:sz="4" w:space="0"/>
            </w:tcBorders>
            <w:vAlign w:val="center"/>
          </w:tcPr>
          <w:p>
            <w:pPr>
              <w:pStyle w:val="415"/>
              <w:jc w:val="center"/>
              <w:rPr>
                <w:rFonts w:hint="eastAsia" w:ascii="宋体" w:hAnsi="宋体"/>
                <w:color w:val="auto"/>
                <w:sz w:val="24"/>
                <w:highlight w:val="none"/>
              </w:rPr>
            </w:pPr>
            <w:r>
              <w:rPr>
                <w:rFonts w:hint="eastAsia" w:ascii="宋体" w:hAnsi="宋体"/>
                <w:color w:val="auto"/>
                <w:sz w:val="24"/>
                <w:highlight w:val="none"/>
              </w:rPr>
              <w:t>交货地点</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108" w:type="dxa"/>
            <w:bottom w:w="0" w:type="dxa"/>
            <w:right w:w="108" w:type="dxa"/>
          </w:tblCellMar>
        </w:tblPrEx>
        <w:trPr>
          <w:trHeight w:val="836" w:hRule="atLeast"/>
          <w:jc w:val="center"/>
        </w:trPr>
        <w:tc>
          <w:tcPr>
            <w:tcW w:w="882" w:type="dxa"/>
            <w:tcBorders>
              <w:top w:val="single" w:color="000000" w:sz="4" w:space="0"/>
              <w:left w:val="single" w:color="000000" w:sz="6" w:space="0"/>
              <w:bottom w:val="single" w:color="000000" w:sz="4" w:space="0"/>
              <w:right w:val="single" w:color="000000" w:sz="4" w:space="0"/>
            </w:tcBorders>
            <w:vAlign w:val="center"/>
          </w:tcPr>
          <w:p>
            <w:pPr>
              <w:pStyle w:val="415"/>
              <w:jc w:val="center"/>
              <w:rPr>
                <w:rFonts w:hint="eastAsia" w:ascii="宋体" w:hAnsi="宋体"/>
                <w:bCs/>
                <w:color w:val="auto"/>
                <w:sz w:val="24"/>
                <w:highlight w:val="none"/>
              </w:rPr>
            </w:pPr>
            <w:r>
              <w:rPr>
                <w:rFonts w:hint="eastAsia" w:ascii="宋体" w:hAnsi="宋体"/>
                <w:bCs/>
                <w:color w:val="auto"/>
                <w:sz w:val="24"/>
                <w:highlight w:val="none"/>
              </w:rPr>
              <w:t>1</w:t>
            </w:r>
          </w:p>
        </w:tc>
        <w:tc>
          <w:tcPr>
            <w:tcW w:w="287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olor w:val="auto"/>
                <w:sz w:val="24"/>
                <w:szCs w:val="24"/>
                <w:highlight w:val="none"/>
              </w:rPr>
            </w:pPr>
            <w:r>
              <w:rPr>
                <w:rFonts w:hint="eastAsia" w:ascii="宋体" w:hAnsi="宋体"/>
                <w:color w:val="auto"/>
                <w:sz w:val="24"/>
                <w:szCs w:val="24"/>
                <w:highlight w:val="none"/>
              </w:rPr>
              <w:t>全自动真空采血管分拣</w:t>
            </w:r>
            <w:r>
              <w:rPr>
                <w:rFonts w:hint="eastAsia" w:ascii="宋体" w:hAnsi="宋体"/>
                <w:color w:val="auto"/>
                <w:sz w:val="24"/>
                <w:szCs w:val="24"/>
                <w:highlight w:val="none"/>
                <w:lang w:eastAsia="zh-CN"/>
              </w:rPr>
              <w:t>机</w:t>
            </w:r>
          </w:p>
        </w:tc>
        <w:tc>
          <w:tcPr>
            <w:tcW w:w="10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olor w:val="auto"/>
                <w:sz w:val="24"/>
                <w:szCs w:val="24"/>
                <w:highlight w:val="none"/>
              </w:rPr>
            </w:pPr>
            <w:r>
              <w:rPr>
                <w:rFonts w:hint="eastAsia" w:ascii="宋体" w:hAnsi="宋体" w:eastAsia="宋体"/>
                <w:color w:val="auto"/>
                <w:sz w:val="24"/>
                <w:szCs w:val="24"/>
                <w:highlight w:val="none"/>
                <w:lang w:val="en-US" w:eastAsia="zh-CN"/>
              </w:rPr>
              <w:t>3</w:t>
            </w:r>
            <w:r>
              <w:rPr>
                <w:rFonts w:hint="eastAsia" w:ascii="宋体" w:hAnsi="宋体"/>
                <w:color w:val="auto"/>
                <w:sz w:val="24"/>
                <w:szCs w:val="24"/>
                <w:highlight w:val="none"/>
              </w:rPr>
              <w:t>套</w:t>
            </w:r>
          </w:p>
        </w:tc>
        <w:tc>
          <w:tcPr>
            <w:tcW w:w="186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olor w:val="auto"/>
                <w:sz w:val="24"/>
                <w:szCs w:val="24"/>
                <w:highlight w:val="none"/>
              </w:rPr>
            </w:pPr>
            <w:r>
              <w:rPr>
                <w:rFonts w:hint="eastAsia" w:ascii="宋体" w:hAnsi="宋体"/>
                <w:color w:val="auto"/>
                <w:sz w:val="24"/>
                <w:szCs w:val="24"/>
                <w:highlight w:val="none"/>
              </w:rPr>
              <w:t>合同签订后</w:t>
            </w:r>
          </w:p>
          <w:p>
            <w:pPr>
              <w:widowControl/>
              <w:jc w:val="center"/>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30</w:t>
            </w:r>
            <w:r>
              <w:rPr>
                <w:rFonts w:hint="eastAsia" w:ascii="宋体" w:hAnsi="宋体"/>
                <w:color w:val="auto"/>
                <w:sz w:val="24"/>
                <w:szCs w:val="24"/>
                <w:highlight w:val="none"/>
              </w:rPr>
              <w:t>天内</w:t>
            </w:r>
          </w:p>
        </w:tc>
        <w:tc>
          <w:tcPr>
            <w:tcW w:w="230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olor w:val="auto"/>
                <w:sz w:val="24"/>
                <w:szCs w:val="24"/>
                <w:highlight w:val="none"/>
              </w:rPr>
            </w:pPr>
            <w:r>
              <w:rPr>
                <w:rFonts w:hint="eastAsia" w:ascii="宋体" w:hAnsi="宋体"/>
                <w:color w:val="auto"/>
                <w:sz w:val="24"/>
                <w:szCs w:val="24"/>
                <w:highlight w:val="none"/>
              </w:rPr>
              <w:t>院方指定地点</w:t>
            </w:r>
          </w:p>
        </w:tc>
      </w:tr>
    </w:tbl>
    <w:p>
      <w:pPr>
        <w:tabs>
          <w:tab w:val="left" w:pos="360"/>
        </w:tabs>
        <w:spacing w:line="276" w:lineRule="auto"/>
        <w:jc w:val="center"/>
        <w:outlineLvl w:val="1"/>
        <w:rPr>
          <w:rFonts w:hint="eastAsia" w:ascii="Arial" w:hAnsi="Arial"/>
          <w:b/>
          <w:color w:val="auto"/>
          <w:kern w:val="0"/>
          <w:sz w:val="32"/>
          <w:highlight w:val="none"/>
        </w:rPr>
      </w:pPr>
    </w:p>
    <w:p>
      <w:pPr>
        <w:pStyle w:val="46"/>
        <w:rPr>
          <w:rFonts w:hint="eastAsia" w:ascii="Arial" w:hAnsi="Arial"/>
          <w:b/>
          <w:color w:val="auto"/>
          <w:kern w:val="0"/>
          <w:highlight w:val="none"/>
        </w:rPr>
      </w:pPr>
    </w:p>
    <w:p>
      <w:pPr>
        <w:pStyle w:val="46"/>
        <w:rPr>
          <w:rFonts w:hint="eastAsia" w:ascii="Arial" w:hAnsi="Arial"/>
          <w:b/>
          <w:color w:val="auto"/>
          <w:kern w:val="0"/>
          <w:highlight w:val="none"/>
        </w:rPr>
        <w:sectPr>
          <w:footerReference r:id="rId3" w:type="default"/>
          <w:type w:val="continuous"/>
          <w:pgSz w:w="11906" w:h="16838"/>
          <w:pgMar w:top="1440" w:right="1474" w:bottom="1440" w:left="1247" w:header="851" w:footer="992" w:gutter="0"/>
          <w:cols w:space="720" w:num="1"/>
          <w:docGrid w:type="lines" w:linePitch="312" w:charSpace="0"/>
        </w:sectPr>
      </w:pPr>
    </w:p>
    <w:bookmarkEnd w:id="75"/>
    <w:bookmarkEnd w:id="80"/>
    <w:bookmarkEnd w:id="81"/>
    <w:p>
      <w:pPr>
        <w:ind w:left="482" w:hanging="640" w:hangingChars="200"/>
        <w:jc w:val="center"/>
        <w:rPr>
          <w:rStyle w:val="15"/>
          <w:rFonts w:ascii="宋体" w:hAnsi="宋体" w:eastAsia="宋体" w:cs="宋体"/>
          <w:b w:val="0"/>
          <w:bCs w:val="0"/>
          <w:sz w:val="32"/>
          <w:szCs w:val="32"/>
          <w:highlight w:val="none"/>
        </w:rPr>
      </w:pPr>
      <w:bookmarkStart w:id="82" w:name="_Toc514054482"/>
      <w:r>
        <w:rPr>
          <w:rStyle w:val="15"/>
          <w:rFonts w:hint="eastAsia" w:ascii="宋体" w:hAnsi="宋体" w:eastAsia="宋体" w:cs="宋体"/>
          <w:b w:val="0"/>
          <w:bCs w:val="0"/>
          <w:sz w:val="32"/>
          <w:szCs w:val="32"/>
          <w:highlight w:val="none"/>
          <w:lang w:val="en-US" w:eastAsia="zh-CN"/>
        </w:rPr>
        <w:t>二</w:t>
      </w:r>
      <w:r>
        <w:rPr>
          <w:rStyle w:val="15"/>
          <w:rFonts w:hint="eastAsia" w:ascii="宋体" w:hAnsi="宋体" w:eastAsia="宋体" w:cs="宋体"/>
          <w:b w:val="0"/>
          <w:bCs w:val="0"/>
          <w:sz w:val="32"/>
          <w:szCs w:val="32"/>
          <w:highlight w:val="none"/>
        </w:rPr>
        <w:t>、配置要求</w:t>
      </w:r>
    </w:p>
    <w:p>
      <w:pPr>
        <w:ind w:left="482" w:hanging="480" w:hangingChars="200"/>
        <w:jc w:val="left"/>
        <w:rPr>
          <w:rFonts w:hint="eastAsia" w:ascii="宋体" w:hAnsi="宋体" w:cs="宋体"/>
          <w:color w:val="auto"/>
          <w:sz w:val="24"/>
        </w:rPr>
      </w:pPr>
      <w:r>
        <w:rPr>
          <w:rFonts w:hint="eastAsia" w:ascii="宋体" w:hAnsi="宋体" w:eastAsia="宋体" w:cs="宋体"/>
          <w:color w:val="auto"/>
          <w:sz w:val="24"/>
          <w:lang w:val="en-US" w:eastAsia="zh-CN"/>
        </w:rPr>
        <w:t>1、</w:t>
      </w:r>
      <w:r>
        <w:rPr>
          <w:rFonts w:hint="eastAsia" w:ascii="宋体" w:hAnsi="宋体" w:cs="宋体"/>
          <w:color w:val="auto"/>
          <w:sz w:val="24"/>
        </w:rPr>
        <w:t>全自动真空采血管分拣机3台（本部2台，江宁院区1台）</w:t>
      </w:r>
    </w:p>
    <w:p>
      <w:pPr>
        <w:ind w:left="482" w:hanging="640" w:hangingChars="200"/>
        <w:jc w:val="center"/>
        <w:rPr>
          <w:rStyle w:val="15"/>
          <w:rFonts w:ascii="宋体" w:hAnsi="宋体" w:eastAsia="宋体" w:cs="宋体"/>
          <w:b w:val="0"/>
          <w:bCs w:val="0"/>
          <w:sz w:val="32"/>
          <w:szCs w:val="32"/>
          <w:highlight w:val="none"/>
        </w:rPr>
      </w:pPr>
      <w:r>
        <w:rPr>
          <w:rStyle w:val="15"/>
          <w:rFonts w:hint="eastAsia" w:ascii="宋体" w:hAnsi="宋体" w:eastAsia="宋体" w:cs="宋体"/>
          <w:b w:val="0"/>
          <w:bCs w:val="0"/>
          <w:sz w:val="32"/>
          <w:szCs w:val="32"/>
          <w:highlight w:val="none"/>
          <w:lang w:val="en-US" w:eastAsia="zh-CN"/>
        </w:rPr>
        <w:t>三</w:t>
      </w:r>
      <w:r>
        <w:rPr>
          <w:rStyle w:val="15"/>
          <w:rFonts w:hint="eastAsia" w:ascii="宋体" w:hAnsi="宋体" w:eastAsia="宋体" w:cs="宋体"/>
          <w:b w:val="0"/>
          <w:bCs w:val="0"/>
          <w:sz w:val="32"/>
          <w:szCs w:val="32"/>
          <w:highlight w:val="none"/>
        </w:rPr>
        <w:t>、技术要求</w:t>
      </w:r>
    </w:p>
    <w:p>
      <w:pPr>
        <w:widowControl/>
        <w:numPr>
          <w:ilvl w:val="0"/>
          <w:numId w:val="13"/>
        </w:numPr>
        <w:spacing w:line="360" w:lineRule="auto"/>
        <w:rPr>
          <w:rFonts w:hint="eastAsia" w:ascii="宋体" w:hAnsi="宋体" w:cs="宋体"/>
          <w:color w:val="auto"/>
          <w:sz w:val="24"/>
        </w:rPr>
      </w:pPr>
      <w:r>
        <w:rPr>
          <w:rFonts w:hint="eastAsia" w:ascii="宋体" w:hAnsi="宋体" w:cs="宋体"/>
          <w:color w:val="auto"/>
          <w:sz w:val="24"/>
        </w:rPr>
        <w:t>最大分拣速度≥2000支/小时</w:t>
      </w:r>
    </w:p>
    <w:p>
      <w:pPr>
        <w:widowControl/>
        <w:numPr>
          <w:ilvl w:val="0"/>
          <w:numId w:val="13"/>
        </w:numPr>
        <w:spacing w:line="360" w:lineRule="auto"/>
        <w:rPr>
          <w:rFonts w:hint="eastAsia" w:ascii="宋体" w:hAnsi="宋体" w:cs="宋体"/>
          <w:color w:val="auto"/>
          <w:sz w:val="24"/>
        </w:rPr>
      </w:pPr>
      <w:r>
        <w:rPr>
          <w:rFonts w:hint="eastAsia" w:ascii="宋体" w:hAnsi="宋体" w:cs="宋体"/>
          <w:color w:val="auto"/>
          <w:sz w:val="24"/>
        </w:rPr>
        <w:t>分拣仓≥16仓</w:t>
      </w:r>
    </w:p>
    <w:p>
      <w:pPr>
        <w:widowControl/>
        <w:numPr>
          <w:ilvl w:val="0"/>
          <w:numId w:val="13"/>
        </w:numPr>
        <w:spacing w:line="360" w:lineRule="auto"/>
        <w:rPr>
          <w:rFonts w:hint="eastAsia" w:ascii="宋体" w:hAnsi="宋体" w:cs="宋体"/>
          <w:color w:val="auto"/>
          <w:sz w:val="24"/>
        </w:rPr>
      </w:pPr>
      <w:r>
        <w:rPr>
          <w:rFonts w:hint="eastAsia" w:ascii="宋体" w:hAnsi="宋体" w:cs="宋体"/>
          <w:color w:val="auto"/>
          <w:sz w:val="24"/>
        </w:rPr>
        <w:t>分拣仓容量≥200支/仓</w:t>
      </w:r>
    </w:p>
    <w:p>
      <w:pPr>
        <w:widowControl/>
        <w:numPr>
          <w:ilvl w:val="0"/>
          <w:numId w:val="13"/>
        </w:numPr>
        <w:spacing w:line="360" w:lineRule="auto"/>
        <w:rPr>
          <w:rFonts w:hint="eastAsia" w:ascii="宋体" w:hAnsi="宋体" w:cs="宋体"/>
          <w:color w:val="auto"/>
          <w:sz w:val="24"/>
        </w:rPr>
      </w:pPr>
      <w:r>
        <w:rPr>
          <w:rFonts w:hint="eastAsia" w:ascii="宋体" w:hAnsi="宋体" w:cs="宋体"/>
          <w:color w:val="auto"/>
          <w:sz w:val="24"/>
        </w:rPr>
        <w:t>待拣仓容量≥1500支</w:t>
      </w:r>
    </w:p>
    <w:p>
      <w:pPr>
        <w:widowControl/>
        <w:numPr>
          <w:ilvl w:val="0"/>
          <w:numId w:val="13"/>
        </w:numPr>
        <w:spacing w:line="360" w:lineRule="auto"/>
        <w:rPr>
          <w:rFonts w:hint="eastAsia" w:ascii="宋体" w:hAnsi="宋体" w:cs="宋体"/>
          <w:color w:val="auto"/>
          <w:sz w:val="24"/>
        </w:rPr>
      </w:pPr>
      <w:r>
        <w:rPr>
          <w:rFonts w:hint="eastAsia" w:ascii="宋体" w:hAnsi="宋体" w:cs="宋体"/>
          <w:color w:val="auto"/>
          <w:sz w:val="24"/>
        </w:rPr>
        <w:t>拣出仓结构：一体机或模块化设计</w:t>
      </w:r>
    </w:p>
    <w:p>
      <w:pPr>
        <w:widowControl/>
        <w:numPr>
          <w:ilvl w:val="0"/>
          <w:numId w:val="13"/>
        </w:numPr>
        <w:spacing w:line="360" w:lineRule="auto"/>
        <w:rPr>
          <w:rFonts w:hint="eastAsia" w:ascii="宋体" w:hAnsi="宋体" w:cs="宋体"/>
          <w:color w:val="auto"/>
          <w:sz w:val="24"/>
        </w:rPr>
      </w:pPr>
      <w:r>
        <w:rPr>
          <w:rFonts w:hint="eastAsia" w:ascii="宋体" w:hAnsi="宋体" w:cs="宋体"/>
          <w:color w:val="auto"/>
          <w:sz w:val="24"/>
        </w:rPr>
        <w:t>采血管适用尺寸：直径：12～18mm；长度：75～110mm</w:t>
      </w:r>
    </w:p>
    <w:p>
      <w:pPr>
        <w:widowControl/>
        <w:numPr>
          <w:ilvl w:val="0"/>
          <w:numId w:val="13"/>
        </w:numPr>
        <w:spacing w:line="360" w:lineRule="auto"/>
        <w:rPr>
          <w:rFonts w:hint="eastAsia" w:ascii="宋体" w:hAnsi="宋体" w:cs="宋体"/>
          <w:color w:val="auto"/>
          <w:sz w:val="24"/>
        </w:rPr>
      </w:pPr>
      <w:r>
        <w:rPr>
          <w:rFonts w:hint="eastAsia" w:ascii="宋体" w:hAnsi="宋体" w:cs="宋体"/>
          <w:color w:val="auto"/>
          <w:sz w:val="24"/>
        </w:rPr>
        <w:t>可检测条码规格包括30位的条形码、code128、code 39等</w:t>
      </w:r>
    </w:p>
    <w:p>
      <w:pPr>
        <w:widowControl/>
        <w:numPr>
          <w:ilvl w:val="0"/>
          <w:numId w:val="13"/>
        </w:numPr>
        <w:spacing w:line="360" w:lineRule="auto"/>
        <w:rPr>
          <w:rFonts w:hint="eastAsia" w:ascii="宋体" w:hAnsi="宋体" w:cs="宋体"/>
          <w:color w:val="auto"/>
          <w:sz w:val="24"/>
        </w:rPr>
      </w:pPr>
      <w:r>
        <w:rPr>
          <w:rFonts w:hint="eastAsia" w:ascii="宋体" w:hAnsi="宋体" w:cs="宋体"/>
          <w:color w:val="auto"/>
          <w:sz w:val="24"/>
        </w:rPr>
        <w:t>具备自动签收标本功能</w:t>
      </w:r>
    </w:p>
    <w:p>
      <w:pPr>
        <w:widowControl/>
        <w:numPr>
          <w:ilvl w:val="0"/>
          <w:numId w:val="13"/>
        </w:numPr>
        <w:spacing w:line="360" w:lineRule="auto"/>
        <w:rPr>
          <w:rFonts w:hint="eastAsia" w:ascii="宋体" w:hAnsi="宋体" w:cs="宋体"/>
          <w:color w:val="auto"/>
          <w:sz w:val="24"/>
        </w:rPr>
      </w:pPr>
      <w:r>
        <w:rPr>
          <w:rFonts w:hint="eastAsia" w:ascii="宋体" w:hAnsi="宋体" w:cs="宋体"/>
          <w:color w:val="auto"/>
          <w:sz w:val="24"/>
        </w:rPr>
        <w:t>具备根据不同分拣规则，按条形码信息进行自动分拣功能</w:t>
      </w:r>
    </w:p>
    <w:p>
      <w:pPr>
        <w:widowControl/>
        <w:numPr>
          <w:ilvl w:val="0"/>
          <w:numId w:val="13"/>
        </w:numPr>
        <w:spacing w:line="360" w:lineRule="auto"/>
        <w:rPr>
          <w:rFonts w:hint="eastAsia" w:ascii="宋体" w:hAnsi="宋体" w:cs="宋体"/>
          <w:color w:val="auto"/>
          <w:sz w:val="24"/>
        </w:rPr>
      </w:pPr>
      <w:r>
        <w:rPr>
          <w:rFonts w:hint="eastAsia" w:ascii="宋体" w:hAnsi="宋体" w:cs="宋体"/>
          <w:color w:val="auto"/>
          <w:sz w:val="24"/>
        </w:rPr>
        <w:t>具备异常标本（未识别标本）单独分仓功能</w:t>
      </w:r>
    </w:p>
    <w:p>
      <w:pPr>
        <w:widowControl/>
        <w:numPr>
          <w:ilvl w:val="0"/>
          <w:numId w:val="13"/>
        </w:numPr>
        <w:spacing w:line="360" w:lineRule="auto"/>
        <w:rPr>
          <w:rFonts w:hint="eastAsia" w:ascii="宋体" w:hAnsi="宋体" w:cs="宋体"/>
          <w:color w:val="auto"/>
          <w:sz w:val="24"/>
        </w:rPr>
      </w:pPr>
      <w:r>
        <w:rPr>
          <w:rFonts w:hint="eastAsia" w:ascii="宋体" w:hAnsi="宋体" w:cs="宋体"/>
          <w:color w:val="auto"/>
          <w:sz w:val="24"/>
        </w:rPr>
        <w:t>具备自动喷码功能</w:t>
      </w:r>
    </w:p>
    <w:p>
      <w:pPr>
        <w:widowControl/>
        <w:numPr>
          <w:ilvl w:val="0"/>
          <w:numId w:val="13"/>
        </w:numPr>
        <w:spacing w:line="360" w:lineRule="auto"/>
        <w:rPr>
          <w:rFonts w:hint="eastAsia" w:ascii="宋体" w:hAnsi="宋体" w:cs="宋体"/>
          <w:color w:val="auto"/>
          <w:sz w:val="24"/>
        </w:rPr>
      </w:pPr>
      <w:r>
        <w:rPr>
          <w:rFonts w:hint="eastAsia" w:ascii="宋体" w:hAnsi="宋体" w:cs="宋体"/>
          <w:color w:val="auto"/>
          <w:sz w:val="24"/>
        </w:rPr>
        <w:t>具备自动故障报警（拣出仓预警量，满仓会屏幕提醒）功能</w:t>
      </w:r>
    </w:p>
    <w:p>
      <w:pPr>
        <w:widowControl/>
        <w:numPr>
          <w:ilvl w:val="0"/>
          <w:numId w:val="13"/>
        </w:numPr>
        <w:spacing w:line="360" w:lineRule="auto"/>
        <w:rPr>
          <w:rFonts w:hint="eastAsia" w:ascii="宋体" w:hAnsi="宋体" w:cs="宋体"/>
          <w:color w:val="auto"/>
          <w:sz w:val="24"/>
        </w:rPr>
      </w:pPr>
      <w:r>
        <w:rPr>
          <w:rFonts w:hint="eastAsia" w:ascii="宋体" w:hAnsi="宋体" w:cs="宋体"/>
          <w:color w:val="auto"/>
          <w:sz w:val="24"/>
        </w:rPr>
        <w:t>支持轨道扩展（进出管轨道）功能</w:t>
      </w:r>
    </w:p>
    <w:p>
      <w:pPr>
        <w:widowControl/>
        <w:numPr>
          <w:ilvl w:val="0"/>
          <w:numId w:val="13"/>
        </w:numPr>
        <w:spacing w:line="360" w:lineRule="auto"/>
        <w:rPr>
          <w:rFonts w:hint="eastAsia" w:ascii="宋体" w:hAnsi="宋体" w:cs="宋体"/>
          <w:color w:val="auto"/>
          <w:sz w:val="24"/>
        </w:rPr>
      </w:pPr>
      <w:r>
        <w:rPr>
          <w:rFonts w:hint="eastAsia" w:ascii="宋体" w:hAnsi="宋体" w:cs="宋体"/>
          <w:color w:val="auto"/>
          <w:sz w:val="24"/>
        </w:rPr>
        <w:t>具备不停机进、取样功能</w:t>
      </w:r>
    </w:p>
    <w:p>
      <w:pPr>
        <w:widowControl/>
        <w:numPr>
          <w:ilvl w:val="0"/>
          <w:numId w:val="13"/>
        </w:numPr>
        <w:spacing w:line="360" w:lineRule="auto"/>
        <w:rPr>
          <w:rFonts w:hint="eastAsia" w:ascii="宋体" w:hAnsi="宋体" w:cs="宋体"/>
          <w:color w:val="auto"/>
          <w:sz w:val="24"/>
        </w:rPr>
      </w:pPr>
      <w:r>
        <w:rPr>
          <w:rFonts w:hint="eastAsia" w:ascii="宋体" w:hAnsi="宋体" w:cs="宋体"/>
          <w:color w:val="auto"/>
          <w:sz w:val="24"/>
        </w:rPr>
        <w:t>具备自动启停、紧急暂停、应急接收功能</w:t>
      </w:r>
    </w:p>
    <w:p>
      <w:pPr>
        <w:widowControl/>
        <w:numPr>
          <w:ilvl w:val="0"/>
          <w:numId w:val="13"/>
        </w:numPr>
        <w:spacing w:line="360" w:lineRule="auto"/>
        <w:rPr>
          <w:rFonts w:hint="eastAsia" w:ascii="宋体" w:hAnsi="宋体" w:cs="宋体"/>
          <w:color w:val="auto"/>
          <w:sz w:val="24"/>
        </w:rPr>
      </w:pPr>
      <w:r>
        <w:rPr>
          <w:rFonts w:hint="eastAsia" w:ascii="宋体" w:hAnsi="宋体" w:cs="宋体"/>
          <w:color w:val="auto"/>
          <w:sz w:val="24"/>
        </w:rPr>
        <w:t>具备自动紫外消毒功能</w:t>
      </w:r>
    </w:p>
    <w:p>
      <w:pPr>
        <w:widowControl/>
        <w:numPr>
          <w:ilvl w:val="0"/>
          <w:numId w:val="13"/>
        </w:numPr>
        <w:spacing w:line="360" w:lineRule="auto"/>
        <w:rPr>
          <w:rFonts w:ascii="宋体" w:hAnsi="宋体"/>
          <w:color w:val="auto"/>
          <w:sz w:val="24"/>
        </w:rPr>
      </w:pPr>
      <w:r>
        <w:rPr>
          <w:rFonts w:hint="eastAsia" w:ascii="微软雅黑" w:hAnsi="微软雅黑" w:eastAsia="微软雅黑"/>
          <w:sz w:val="24"/>
          <w:szCs w:val="24"/>
          <w:highlight w:val="none"/>
          <w:lang w:val="en-US" w:eastAsia="zh-CN"/>
        </w:rPr>
        <w:t>▲</w:t>
      </w:r>
      <w:r>
        <w:rPr>
          <w:rFonts w:hint="eastAsia" w:ascii="宋体" w:hAnsi="宋体"/>
          <w:color w:val="auto"/>
          <w:sz w:val="24"/>
        </w:rPr>
        <w:t>投标人提供的设备须与江苏省中医院现有LIS系统无缝集成，投标人提供的设备须终身免费开放软、硬件接口，即无条件配合采购人接入新的硬件设备、无条件配合采购人完成与其他设备或系统的对接，并保证所涉系统正常运行，上述配合工作均终身免费。</w:t>
      </w:r>
    </w:p>
    <w:p>
      <w:pPr>
        <w:spacing w:line="360" w:lineRule="auto"/>
        <w:rPr>
          <w:rFonts w:hint="eastAsia" w:ascii="宋体" w:hAnsi="宋体" w:eastAsia="宋体" w:cs="宋体"/>
          <w:sz w:val="24"/>
          <w:szCs w:val="24"/>
          <w:highlight w:val="none"/>
          <w:lang w:val="en-US" w:eastAsia="zh-CN"/>
        </w:rPr>
      </w:pPr>
    </w:p>
    <w:p>
      <w:pPr>
        <w:jc w:val="center"/>
        <w:rPr>
          <w:rStyle w:val="15"/>
          <w:rFonts w:hint="eastAsia" w:ascii="宋体" w:hAnsi="宋体" w:eastAsia="宋体" w:cs="宋体"/>
          <w:b w:val="0"/>
          <w:bCs w:val="0"/>
          <w:sz w:val="32"/>
          <w:szCs w:val="32"/>
          <w:highlight w:val="none"/>
          <w:lang w:val="en-US" w:eastAsia="zh-CN"/>
        </w:rPr>
      </w:pPr>
    </w:p>
    <w:p>
      <w:pPr>
        <w:pStyle w:val="2"/>
        <w:rPr>
          <w:rStyle w:val="15"/>
          <w:rFonts w:hint="eastAsia" w:ascii="宋体" w:hAnsi="宋体" w:eastAsia="宋体" w:cs="宋体"/>
          <w:b w:val="0"/>
          <w:bCs w:val="0"/>
          <w:sz w:val="32"/>
          <w:szCs w:val="32"/>
          <w:highlight w:val="none"/>
          <w:lang w:val="en-US" w:eastAsia="zh-CN"/>
        </w:rPr>
      </w:pPr>
    </w:p>
    <w:p>
      <w:pPr>
        <w:rPr>
          <w:rFonts w:hint="eastAsia"/>
          <w:lang w:val="en-US" w:eastAsia="zh-CN"/>
        </w:rPr>
      </w:pPr>
    </w:p>
    <w:p>
      <w:pPr>
        <w:jc w:val="center"/>
        <w:rPr>
          <w:rStyle w:val="15"/>
          <w:rFonts w:ascii="宋体" w:hAnsi="宋体" w:eastAsia="宋体" w:cs="宋体"/>
          <w:b w:val="0"/>
          <w:bCs w:val="0"/>
          <w:sz w:val="32"/>
          <w:szCs w:val="32"/>
          <w:highlight w:val="none"/>
        </w:rPr>
      </w:pPr>
      <w:r>
        <w:rPr>
          <w:rStyle w:val="15"/>
          <w:rFonts w:hint="eastAsia" w:ascii="宋体" w:hAnsi="宋体" w:eastAsia="宋体" w:cs="宋体"/>
          <w:b w:val="0"/>
          <w:bCs w:val="0"/>
          <w:sz w:val="32"/>
          <w:szCs w:val="32"/>
          <w:highlight w:val="none"/>
          <w:lang w:val="en-US" w:eastAsia="zh-CN"/>
        </w:rPr>
        <w:t>四</w:t>
      </w:r>
      <w:r>
        <w:rPr>
          <w:rStyle w:val="15"/>
          <w:rFonts w:hint="eastAsia" w:ascii="宋体" w:hAnsi="宋体" w:eastAsia="宋体" w:cs="宋体"/>
          <w:b w:val="0"/>
          <w:bCs w:val="0"/>
          <w:sz w:val="32"/>
          <w:szCs w:val="32"/>
          <w:highlight w:val="none"/>
        </w:rPr>
        <w:t>、商务条款</w:t>
      </w:r>
    </w:p>
    <w:bookmarkEnd w:id="82"/>
    <w:p>
      <w:pPr>
        <w:widowControl/>
        <w:spacing w:line="360" w:lineRule="auto"/>
        <w:ind w:firstLine="480" w:firstLineChars="200"/>
        <w:rPr>
          <w:rFonts w:hint="eastAsia"/>
          <w:color w:val="auto"/>
          <w:sz w:val="24"/>
        </w:rPr>
      </w:pPr>
      <w:bookmarkStart w:id="83" w:name="_Toc9306"/>
      <w:bookmarkEnd w:id="83"/>
      <w:r>
        <w:rPr>
          <w:rFonts w:hint="eastAsia" w:ascii="宋体" w:hAnsi="宋体" w:cs="宋体"/>
          <w:b/>
          <w:color w:val="auto"/>
          <w:sz w:val="24"/>
        </w:rPr>
        <w:t>（一）质保及售后技术服务要求</w:t>
      </w:r>
    </w:p>
    <w:p>
      <w:pPr>
        <w:snapToGrid w:val="0"/>
        <w:spacing w:line="360" w:lineRule="auto"/>
        <w:ind w:firstLine="480" w:firstLineChars="200"/>
        <w:rPr>
          <w:rFonts w:hint="eastAsia" w:ascii="宋体" w:hAnsi="宋体" w:cs="宋体"/>
          <w:bCs/>
          <w:color w:val="auto"/>
          <w:sz w:val="24"/>
        </w:rPr>
      </w:pPr>
      <w:r>
        <w:rPr>
          <w:rFonts w:hint="eastAsia" w:ascii="宋体" w:hAnsi="宋体" w:cs="Arial"/>
          <w:color w:val="auto"/>
          <w:kern w:val="0"/>
          <w:sz w:val="24"/>
        </w:rPr>
        <w:t>1、</w:t>
      </w:r>
      <w:r>
        <w:rPr>
          <w:rFonts w:hint="eastAsia" w:ascii="宋体" w:hAnsi="宋体" w:cs="宋体"/>
          <w:bCs/>
          <w:color w:val="auto"/>
          <w:sz w:val="24"/>
          <w:highlight w:val="yellow"/>
        </w:rPr>
        <w:t>提供原厂质保≥</w:t>
      </w:r>
      <w:r>
        <w:rPr>
          <w:rFonts w:hint="eastAsia" w:ascii="宋体" w:hAnsi="宋体" w:cs="宋体"/>
          <w:bCs/>
          <w:color w:val="auto"/>
          <w:sz w:val="24"/>
          <w:highlight w:val="yellow"/>
          <w:u w:val="single"/>
        </w:rPr>
        <w:t xml:space="preserve"> </w:t>
      </w:r>
      <w:r>
        <w:rPr>
          <w:rFonts w:hint="eastAsia" w:ascii="宋体" w:hAnsi="宋体" w:eastAsia="宋体" w:cs="宋体"/>
          <w:bCs/>
          <w:color w:val="auto"/>
          <w:sz w:val="24"/>
          <w:highlight w:val="yellow"/>
          <w:u w:val="single"/>
          <w:lang w:val="en-US" w:eastAsia="zh-CN"/>
        </w:rPr>
        <w:t>5</w:t>
      </w:r>
      <w:r>
        <w:rPr>
          <w:rFonts w:ascii="宋体" w:hAnsi="宋体" w:cs="宋体"/>
          <w:bCs/>
          <w:color w:val="auto"/>
          <w:sz w:val="24"/>
          <w:highlight w:val="yellow"/>
          <w:u w:val="single"/>
        </w:rPr>
        <w:t xml:space="preserve"> </w:t>
      </w:r>
      <w:r>
        <w:rPr>
          <w:rFonts w:hint="eastAsia" w:ascii="宋体" w:hAnsi="宋体" w:cs="宋体"/>
          <w:bCs/>
          <w:color w:val="auto"/>
          <w:sz w:val="24"/>
          <w:highlight w:val="yellow"/>
        </w:rPr>
        <w:t>年</w:t>
      </w:r>
      <w:r>
        <w:rPr>
          <w:rFonts w:hint="eastAsia" w:ascii="宋体" w:hAnsi="宋体" w:cs="宋体"/>
          <w:bCs/>
          <w:color w:val="auto"/>
          <w:sz w:val="24"/>
        </w:rPr>
        <w:t>，自采购人验收合格，验收报告确认签字日起，开始进入质保期。</w:t>
      </w:r>
    </w:p>
    <w:p>
      <w:pPr>
        <w:snapToGrid w:val="0"/>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 xml:space="preserve">如质保期内半年内累计出现5次及以上故障或者同一质量问题累计出现3次及以上故障，采购方有权提出无条件退货或者换货。质量问题经供应商维修后，质保期相应延长。 </w:t>
      </w:r>
    </w:p>
    <w:p>
      <w:pPr>
        <w:snapToGrid w:val="0"/>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2、质保期内，一旦发生质量问题，供应商在接到通知的</w:t>
      </w:r>
      <w:r>
        <w:rPr>
          <w:rFonts w:ascii="宋体" w:hAnsi="宋体" w:cs="宋体"/>
          <w:bCs/>
          <w:color w:val="auto"/>
          <w:sz w:val="24"/>
          <w:u w:val="single"/>
        </w:rPr>
        <w:t>2</w:t>
      </w:r>
      <w:r>
        <w:rPr>
          <w:rFonts w:hint="eastAsia" w:ascii="宋体" w:hAnsi="宋体" w:cs="宋体"/>
          <w:bCs/>
          <w:color w:val="auto"/>
          <w:sz w:val="24"/>
        </w:rPr>
        <w:t>小时内响应，在</w:t>
      </w:r>
      <w:r>
        <w:rPr>
          <w:rFonts w:ascii="宋体" w:hAnsi="宋体" w:cs="宋体"/>
          <w:bCs/>
          <w:color w:val="auto"/>
          <w:sz w:val="24"/>
          <w:u w:val="single"/>
        </w:rPr>
        <w:t>24</w:t>
      </w:r>
      <w:r>
        <w:rPr>
          <w:rFonts w:hint="eastAsia" w:ascii="宋体" w:hAnsi="宋体" w:cs="宋体"/>
          <w:bCs/>
          <w:color w:val="auto"/>
          <w:sz w:val="24"/>
        </w:rPr>
        <w:t>小时内到达现场，一切费用供应商负责。更换部件时须保证与原有产品的规格、型号、颜色和结构的一致性，并不得影响已使用场所的正常工作的开展。</w:t>
      </w:r>
    </w:p>
    <w:p>
      <w:pPr>
        <w:snapToGrid w:val="0"/>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3、供应商负责设备的终身维修。保修期外仅收取配件费,免收交通费及修理费；供应商保证能提供设备的所有原厂配件。保修期满后需更换配件，价格由双方协商确定。若附件中涉及零配件，易损件价格，则不得高于附件中的相应价格。</w:t>
      </w:r>
    </w:p>
    <w:p>
      <w:pPr>
        <w:snapToGrid w:val="0"/>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 xml:space="preserve">4、 </w:t>
      </w:r>
      <w:r>
        <w:rPr>
          <w:rFonts w:hint="eastAsia"/>
          <w:color w:val="auto"/>
          <w:sz w:val="24"/>
        </w:rPr>
        <w:t>参加</w:t>
      </w:r>
      <w:r>
        <w:rPr>
          <w:rFonts w:hint="eastAsia" w:eastAsia="宋体"/>
          <w:color w:val="auto"/>
          <w:sz w:val="24"/>
          <w:lang w:val="en-US" w:eastAsia="zh-CN"/>
        </w:rPr>
        <w:t>投标</w:t>
      </w:r>
      <w:r>
        <w:rPr>
          <w:rFonts w:hint="eastAsia"/>
          <w:color w:val="auto"/>
          <w:sz w:val="24"/>
        </w:rPr>
        <w:t>供应商</w:t>
      </w:r>
      <w:r>
        <w:rPr>
          <w:rFonts w:hint="eastAsia" w:ascii="宋体" w:hAnsi="宋体" w:cs="宋体"/>
          <w:bCs/>
          <w:color w:val="auto"/>
          <w:sz w:val="24"/>
        </w:rPr>
        <w:t>需提供以下书面承诺：</w:t>
      </w:r>
    </w:p>
    <w:p>
      <w:pPr>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1）</w:t>
      </w:r>
      <w:r>
        <w:rPr>
          <w:rFonts w:hint="eastAsia"/>
          <w:color w:val="auto"/>
          <w:sz w:val="24"/>
        </w:rPr>
        <w:t>参加</w:t>
      </w:r>
      <w:r>
        <w:rPr>
          <w:rFonts w:hint="eastAsia" w:eastAsia="宋体"/>
          <w:color w:val="auto"/>
          <w:sz w:val="24"/>
          <w:lang w:val="en-US" w:eastAsia="zh-CN"/>
        </w:rPr>
        <w:t>投标</w:t>
      </w:r>
      <w:r>
        <w:rPr>
          <w:rFonts w:hint="eastAsia"/>
          <w:color w:val="auto"/>
          <w:sz w:val="24"/>
        </w:rPr>
        <w:t>供应商</w:t>
      </w:r>
      <w:r>
        <w:rPr>
          <w:rFonts w:hint="eastAsia" w:ascii="宋体" w:hAnsi="宋体" w:cs="宋体"/>
          <w:bCs/>
          <w:color w:val="auto"/>
          <w:sz w:val="24"/>
        </w:rPr>
        <w:t>提供的设备能够与江苏省中医院现有系统、集成平台实现无缝对接。设备与医院系统平台对接过程中如产生费用，该费用由</w:t>
      </w:r>
      <w:r>
        <w:rPr>
          <w:rFonts w:hint="eastAsia"/>
          <w:color w:val="auto"/>
          <w:sz w:val="24"/>
        </w:rPr>
        <w:t>供应商</w:t>
      </w:r>
      <w:r>
        <w:rPr>
          <w:rFonts w:hint="eastAsia" w:ascii="宋体" w:hAnsi="宋体" w:cs="宋体"/>
          <w:bCs/>
          <w:color w:val="auto"/>
          <w:sz w:val="24"/>
        </w:rPr>
        <w:t>承担。如果接入第三方系统产生费用，该费用由供应商承担。</w:t>
      </w:r>
    </w:p>
    <w:p>
      <w:pPr>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2）</w:t>
      </w:r>
      <w:r>
        <w:rPr>
          <w:rFonts w:hint="eastAsia"/>
          <w:color w:val="auto"/>
          <w:sz w:val="24"/>
        </w:rPr>
        <w:t>参加</w:t>
      </w:r>
      <w:r>
        <w:rPr>
          <w:rFonts w:hint="eastAsia" w:eastAsia="宋体"/>
          <w:color w:val="auto"/>
          <w:sz w:val="24"/>
          <w:lang w:val="en-US" w:eastAsia="zh-CN"/>
        </w:rPr>
        <w:t>投标</w:t>
      </w:r>
      <w:r>
        <w:rPr>
          <w:rFonts w:hint="eastAsia"/>
          <w:color w:val="auto"/>
          <w:sz w:val="24"/>
        </w:rPr>
        <w:t>供应商</w:t>
      </w:r>
      <w:r>
        <w:rPr>
          <w:rFonts w:hint="eastAsia" w:ascii="宋体" w:hAnsi="宋体" w:cs="宋体"/>
          <w:bCs/>
          <w:color w:val="auto"/>
          <w:sz w:val="24"/>
        </w:rPr>
        <w:t>提供的设备终身免费开放软、硬件接口，即无条件配合采购人接入新的软件平台、无条件配合采购人的其他软件与本设备对接，并保证所涉设备正常运行，上述配合工作均终身免费。</w:t>
      </w:r>
    </w:p>
    <w:p>
      <w:pPr>
        <w:spacing w:line="360" w:lineRule="auto"/>
        <w:ind w:firstLine="480" w:firstLineChars="200"/>
        <w:rPr>
          <w:rFonts w:ascii="宋体" w:hAnsi="宋体" w:cs="宋体"/>
          <w:bCs/>
          <w:color w:val="auto"/>
          <w:sz w:val="24"/>
        </w:rPr>
      </w:pPr>
      <w:r>
        <w:rPr>
          <w:rFonts w:hint="eastAsia" w:ascii="宋体" w:hAnsi="宋体" w:cs="宋体"/>
          <w:bCs/>
          <w:color w:val="auto"/>
          <w:sz w:val="24"/>
        </w:rPr>
        <w:t>3）投标人承诺如无法履行合同，将按照投标报价的2～3倍赔偿甲方的直接经济损失。</w:t>
      </w:r>
    </w:p>
    <w:p>
      <w:pPr>
        <w:spacing w:line="360" w:lineRule="auto"/>
        <w:ind w:firstLine="480" w:firstLineChars="200"/>
        <w:rPr>
          <w:rFonts w:hint="eastAsia" w:ascii="宋体" w:hAnsi="宋体" w:cs="宋体"/>
          <w:bCs/>
          <w:color w:val="auto"/>
          <w:sz w:val="24"/>
        </w:rPr>
      </w:pPr>
      <w:r>
        <w:rPr>
          <w:rFonts w:ascii="宋体" w:hAnsi="宋体" w:cs="宋体"/>
          <w:bCs/>
          <w:color w:val="auto"/>
          <w:sz w:val="24"/>
        </w:rPr>
        <w:t>4</w:t>
      </w:r>
      <w:r>
        <w:rPr>
          <w:rFonts w:hint="eastAsia" w:ascii="宋体" w:hAnsi="宋体" w:cs="宋体"/>
          <w:bCs/>
          <w:color w:val="auto"/>
          <w:sz w:val="24"/>
        </w:rPr>
        <w:t>）投标人承诺有下列第(1)至(1</w:t>
      </w:r>
      <w:r>
        <w:rPr>
          <w:rFonts w:ascii="宋体" w:hAnsi="宋体" w:cs="宋体"/>
          <w:bCs/>
          <w:color w:val="auto"/>
          <w:sz w:val="24"/>
        </w:rPr>
        <w:t>1</w:t>
      </w:r>
      <w:r>
        <w:rPr>
          <w:rFonts w:hint="eastAsia" w:ascii="宋体" w:hAnsi="宋体" w:cs="宋体"/>
          <w:bCs/>
          <w:color w:val="auto"/>
          <w:sz w:val="24"/>
        </w:rPr>
        <w:t>)项情形之一的，中标、成交无效，同时处以采购金额千分之五以上千分之十以下的罚款，列入不良行为记录名单，在一至三年内禁止参加江苏省中医院采购活动，有违法所得的，并处没收违法所得：</w:t>
      </w:r>
    </w:p>
    <w:p>
      <w:pPr>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（1）以他人的名义投标;</w:t>
      </w:r>
    </w:p>
    <w:p>
      <w:pPr>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（2）提供虚假的财务、信用、业绩、奖项证明材料;</w:t>
      </w:r>
    </w:p>
    <w:p>
      <w:pPr>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（3）提供虚假的人员简历、劳动关系证明;</w:t>
      </w:r>
    </w:p>
    <w:p>
      <w:pPr>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（4）投标文件、响应文件中有与事实不符的材料，</w:t>
      </w:r>
    </w:p>
    <w:p>
      <w:pPr>
        <w:spacing w:line="360" w:lineRule="auto"/>
        <w:ind w:firstLine="480" w:firstLineChars="200"/>
        <w:rPr>
          <w:rFonts w:ascii="宋体" w:hAnsi="宋体" w:cs="宋体"/>
          <w:bCs/>
          <w:color w:val="auto"/>
          <w:sz w:val="24"/>
        </w:rPr>
      </w:pPr>
      <w:r>
        <w:rPr>
          <w:rFonts w:hint="eastAsia" w:ascii="宋体" w:hAnsi="宋体" w:cs="宋体"/>
          <w:bCs/>
          <w:color w:val="auto"/>
          <w:sz w:val="24"/>
        </w:rPr>
        <w:t>（5）法律法规规定的其他虚假应标行为;</w:t>
      </w:r>
    </w:p>
    <w:p>
      <w:pPr>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（6）提供虚假材料谋取中标、成交的；</w:t>
      </w:r>
    </w:p>
    <w:p>
      <w:pPr>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（7）采取不正当手段诋毁、排挤其他供应商的；</w:t>
      </w:r>
    </w:p>
    <w:p>
      <w:pPr>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（8）与采购人、其他供应商或者采购代理机构恶意串通的；</w:t>
      </w:r>
    </w:p>
    <w:p>
      <w:pPr>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（9）向采购人、采购代理机构行贿或者提供其他不正当利益的；</w:t>
      </w:r>
    </w:p>
    <w:p>
      <w:pPr>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（1</w:t>
      </w:r>
      <w:r>
        <w:rPr>
          <w:rFonts w:ascii="宋体" w:hAnsi="宋体" w:cs="宋体"/>
          <w:bCs/>
          <w:color w:val="auto"/>
          <w:sz w:val="24"/>
        </w:rPr>
        <w:t>0</w:t>
      </w:r>
      <w:r>
        <w:rPr>
          <w:rFonts w:hint="eastAsia" w:ascii="宋体" w:hAnsi="宋体" w:cs="宋体"/>
          <w:bCs/>
          <w:color w:val="auto"/>
          <w:sz w:val="24"/>
        </w:rPr>
        <w:t>）在招标采购过程中与采购人进行协商谈判的；</w:t>
      </w:r>
    </w:p>
    <w:p>
      <w:pPr>
        <w:snapToGrid w:val="0"/>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（1</w:t>
      </w:r>
      <w:r>
        <w:rPr>
          <w:rFonts w:ascii="宋体" w:hAnsi="宋体" w:cs="宋体"/>
          <w:bCs/>
          <w:color w:val="auto"/>
          <w:sz w:val="24"/>
        </w:rPr>
        <w:t>1</w:t>
      </w:r>
      <w:r>
        <w:rPr>
          <w:rFonts w:hint="eastAsia" w:ascii="宋体" w:hAnsi="宋体" w:cs="宋体"/>
          <w:bCs/>
          <w:color w:val="auto"/>
          <w:sz w:val="24"/>
        </w:rPr>
        <w:t>）拒绝有关部门监督检查或者提供虚假情况的。</w:t>
      </w:r>
    </w:p>
    <w:p>
      <w:pPr>
        <w:snapToGrid w:val="0"/>
        <w:spacing w:line="360" w:lineRule="auto"/>
        <w:ind w:firstLine="480" w:firstLineChars="200"/>
        <w:rPr>
          <w:rFonts w:hint="eastAsia" w:ascii="宋体" w:hAnsi="宋体" w:cs="宋体"/>
          <w:b/>
          <w:color w:val="auto"/>
          <w:sz w:val="24"/>
        </w:rPr>
      </w:pPr>
      <w:r>
        <w:rPr>
          <w:rFonts w:hint="eastAsia" w:ascii="宋体" w:hAnsi="宋体" w:cs="宋体"/>
          <w:b/>
          <w:color w:val="auto"/>
          <w:sz w:val="24"/>
        </w:rPr>
        <w:t>（二）交货期、交货方式及交货地点</w:t>
      </w:r>
    </w:p>
    <w:p>
      <w:pPr>
        <w:snapToGrid w:val="0"/>
        <w:spacing w:line="360" w:lineRule="auto"/>
        <w:ind w:firstLine="480" w:firstLineChars="200"/>
        <w:rPr>
          <w:rFonts w:hint="eastAsia" w:ascii="宋体" w:hAnsi="宋体" w:cs="宋体"/>
          <w:b/>
          <w:color w:val="auto"/>
          <w:sz w:val="24"/>
        </w:rPr>
      </w:pPr>
      <w:r>
        <w:rPr>
          <w:rFonts w:hint="eastAsia" w:ascii="宋体" w:hAnsi="宋体" w:cs="宋体"/>
          <w:bCs/>
          <w:color w:val="auto"/>
          <w:sz w:val="24"/>
        </w:rPr>
        <w:t>1、交货期：</w:t>
      </w:r>
      <w:r>
        <w:rPr>
          <w:rFonts w:hint="eastAsia" w:ascii="宋体" w:hAnsi="宋体" w:cs="宋体"/>
          <w:bCs/>
          <w:color w:val="auto"/>
          <w:sz w:val="24"/>
          <w:u w:val="single"/>
        </w:rPr>
        <w:t xml:space="preserve"> </w:t>
      </w:r>
      <w:r>
        <w:rPr>
          <w:rFonts w:ascii="宋体" w:hAnsi="宋体" w:cs="宋体"/>
          <w:bCs/>
          <w:color w:val="auto"/>
          <w:sz w:val="24"/>
          <w:u w:val="single"/>
        </w:rPr>
        <w:t xml:space="preserve">  </w:t>
      </w:r>
      <w:r>
        <w:rPr>
          <w:rFonts w:hint="eastAsia" w:ascii="宋体" w:hAnsi="宋体" w:cs="宋体"/>
          <w:bCs/>
          <w:color w:val="auto"/>
          <w:sz w:val="24"/>
          <w:u w:val="single"/>
        </w:rPr>
        <w:t>1</w:t>
      </w:r>
      <w:r>
        <w:rPr>
          <w:rFonts w:ascii="宋体" w:hAnsi="宋体" w:cs="宋体"/>
          <w:bCs/>
          <w:color w:val="auto"/>
          <w:sz w:val="24"/>
          <w:u w:val="single"/>
        </w:rPr>
        <w:t xml:space="preserve">  </w:t>
      </w:r>
      <w:r>
        <w:rPr>
          <w:rFonts w:hint="eastAsia" w:ascii="宋体" w:hAnsi="宋体" w:cs="宋体"/>
          <w:bCs/>
          <w:color w:val="auto"/>
          <w:sz w:val="24"/>
          <w:u w:val="single"/>
        </w:rPr>
        <w:t>个月</w:t>
      </w:r>
      <w:r>
        <w:rPr>
          <w:rFonts w:ascii="宋体" w:hAnsi="宋体" w:cs="宋体"/>
          <w:bCs/>
          <w:color w:val="auto"/>
          <w:sz w:val="24"/>
          <w:u w:val="single"/>
        </w:rPr>
        <w:t xml:space="preserve"> </w:t>
      </w:r>
    </w:p>
    <w:p>
      <w:pPr>
        <w:snapToGrid w:val="0"/>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2、交货方式：卖方在采购人指定地点交货，并完成安装、调试。</w:t>
      </w:r>
    </w:p>
    <w:p>
      <w:pPr>
        <w:snapToGrid w:val="0"/>
        <w:spacing w:line="360" w:lineRule="auto"/>
        <w:ind w:firstLine="480" w:firstLineChars="200"/>
        <w:rPr>
          <w:rFonts w:hint="eastAsia" w:ascii="宋体" w:hAnsi="宋体" w:cs="宋体"/>
          <w:b/>
          <w:color w:val="auto"/>
          <w:sz w:val="24"/>
        </w:rPr>
      </w:pPr>
      <w:r>
        <w:rPr>
          <w:rFonts w:hint="eastAsia" w:ascii="宋体" w:hAnsi="宋体" w:cs="宋体"/>
          <w:bCs/>
          <w:color w:val="auto"/>
          <w:sz w:val="24"/>
        </w:rPr>
        <w:t>3、交货地点：</w:t>
      </w:r>
      <w:r>
        <w:rPr>
          <w:rFonts w:hint="eastAsia" w:ascii="宋体" w:hAnsi="宋体" w:cs="Arial"/>
          <w:color w:val="auto"/>
          <w:kern w:val="0"/>
          <w:sz w:val="24"/>
        </w:rPr>
        <w:t>采购人指定地点，由供应商负责办理运输和装卸等，费用由供应商负责，采购人组织验收，检验不合格或不符合质量要求，供应商除无条件退货、返工外，还应承担采购人由此造成的一切损失。</w:t>
      </w:r>
    </w:p>
    <w:p>
      <w:pPr>
        <w:snapToGrid w:val="0"/>
        <w:spacing w:line="360" w:lineRule="auto"/>
        <w:ind w:firstLine="480" w:firstLineChars="200"/>
        <w:rPr>
          <w:rFonts w:hint="eastAsia" w:ascii="宋体" w:hAnsi="宋体" w:cs="宋体"/>
          <w:b/>
          <w:color w:val="auto"/>
          <w:sz w:val="24"/>
        </w:rPr>
      </w:pPr>
      <w:r>
        <w:rPr>
          <w:rFonts w:hint="eastAsia" w:ascii="宋体" w:hAnsi="宋体" w:cs="宋体"/>
          <w:b/>
          <w:color w:val="auto"/>
          <w:sz w:val="24"/>
        </w:rPr>
        <w:t>（三）付款方式</w:t>
      </w:r>
    </w:p>
    <w:p>
      <w:pPr>
        <w:snapToGrid w:val="0"/>
        <w:spacing w:line="360" w:lineRule="auto"/>
        <w:ind w:firstLine="480" w:firstLineChars="200"/>
        <w:rPr>
          <w:rFonts w:hint="eastAsia" w:ascii="宋体" w:hAnsi="宋体" w:cs="Arial"/>
          <w:color w:val="auto"/>
          <w:kern w:val="0"/>
          <w:sz w:val="24"/>
        </w:rPr>
      </w:pPr>
      <w:r>
        <w:rPr>
          <w:rFonts w:hint="eastAsia" w:ascii="宋体" w:hAnsi="宋体" w:cs="Arial"/>
          <w:color w:val="auto"/>
          <w:kern w:val="0"/>
          <w:sz w:val="24"/>
        </w:rPr>
        <w:t>1、合同签订后，货到安装，经采购人验收合格提供全额款项发票后付款</w:t>
      </w:r>
      <w:r>
        <w:rPr>
          <w:rFonts w:hint="eastAsia" w:ascii="宋体" w:hAnsi="宋体" w:cs="Arial"/>
          <w:color w:val="auto"/>
          <w:kern w:val="0"/>
          <w:sz w:val="24"/>
          <w:u w:val="single"/>
        </w:rPr>
        <w:t>90%</w:t>
      </w:r>
      <w:r>
        <w:rPr>
          <w:rFonts w:hint="eastAsia" w:ascii="宋体" w:hAnsi="宋体" w:cs="Arial"/>
          <w:color w:val="auto"/>
          <w:kern w:val="0"/>
          <w:sz w:val="24"/>
        </w:rPr>
        <w:t>，使用正常一年付</w:t>
      </w:r>
      <w:r>
        <w:rPr>
          <w:rFonts w:hint="eastAsia" w:ascii="宋体" w:hAnsi="宋体" w:cs="Arial"/>
          <w:color w:val="auto"/>
          <w:kern w:val="0"/>
          <w:sz w:val="24"/>
          <w:u w:val="single"/>
        </w:rPr>
        <w:t>10%</w:t>
      </w:r>
      <w:r>
        <w:rPr>
          <w:rFonts w:hint="eastAsia" w:ascii="宋体" w:hAnsi="宋体" w:cs="Arial"/>
          <w:color w:val="auto"/>
          <w:kern w:val="0"/>
          <w:sz w:val="24"/>
        </w:rPr>
        <w:t>。</w:t>
      </w:r>
    </w:p>
    <w:p>
      <w:pPr>
        <w:snapToGrid w:val="0"/>
        <w:spacing w:line="360" w:lineRule="auto"/>
        <w:ind w:firstLine="480" w:firstLineChars="200"/>
        <w:rPr>
          <w:rFonts w:hint="eastAsia" w:ascii="宋体" w:hAnsi="宋体" w:cs="宋体"/>
          <w:b/>
          <w:color w:val="auto"/>
          <w:sz w:val="24"/>
        </w:rPr>
      </w:pPr>
      <w:r>
        <w:rPr>
          <w:rFonts w:hint="eastAsia" w:ascii="宋体" w:hAnsi="宋体" w:cs="宋体"/>
          <w:b/>
          <w:color w:val="auto"/>
          <w:sz w:val="24"/>
        </w:rPr>
        <w:t>（四）货币</w:t>
      </w:r>
    </w:p>
    <w:p>
      <w:pPr>
        <w:snapToGrid w:val="0"/>
        <w:spacing w:line="360" w:lineRule="auto"/>
        <w:ind w:left="547" w:leftChars="228"/>
        <w:rPr>
          <w:rFonts w:hint="eastAsia" w:ascii="宋体" w:hAnsi="宋体" w:cs="宋体"/>
          <w:color w:val="auto"/>
          <w:sz w:val="24"/>
          <w:lang w:val="zh-CN"/>
        </w:rPr>
      </w:pPr>
      <w:r>
        <w:rPr>
          <w:rFonts w:hint="eastAsia" w:ascii="宋体" w:hAnsi="宋体" w:eastAsia="宋体" w:cs="宋体"/>
          <w:color w:val="auto"/>
          <w:sz w:val="24"/>
          <w:lang w:val="en-US" w:eastAsia="zh-CN"/>
        </w:rPr>
        <w:t>投标</w:t>
      </w:r>
      <w:r>
        <w:rPr>
          <w:rFonts w:hint="eastAsia" w:ascii="宋体" w:hAnsi="宋体" w:cs="宋体"/>
          <w:color w:val="auto"/>
          <w:sz w:val="24"/>
          <w:lang w:val="zh-CN"/>
        </w:rPr>
        <w:t>响应文件中的国产或进口货物单价和总价均采用</w:t>
      </w:r>
      <w:r>
        <w:rPr>
          <w:rFonts w:hint="eastAsia" w:ascii="宋体" w:hAnsi="宋体" w:cs="宋体"/>
          <w:b/>
          <w:color w:val="auto"/>
          <w:sz w:val="24"/>
          <w:lang w:val="zh-CN"/>
        </w:rPr>
        <w:t>人民币</w:t>
      </w:r>
      <w:r>
        <w:rPr>
          <w:rFonts w:hint="eastAsia" w:ascii="宋体" w:hAnsi="宋体" w:cs="宋体"/>
          <w:color w:val="auto"/>
          <w:sz w:val="24"/>
          <w:lang w:val="zh-CN"/>
        </w:rPr>
        <w:t>报价。</w:t>
      </w:r>
    </w:p>
    <w:p>
      <w:pPr>
        <w:snapToGrid w:val="0"/>
        <w:spacing w:line="360" w:lineRule="auto"/>
        <w:ind w:left="547" w:leftChars="228"/>
        <w:rPr>
          <w:rFonts w:hint="eastAsia" w:ascii="宋体" w:hAnsi="宋体" w:cs="宋体"/>
          <w:color w:val="auto"/>
          <w:sz w:val="24"/>
        </w:rPr>
      </w:pPr>
      <w:r>
        <w:rPr>
          <w:rFonts w:hint="eastAsia" w:ascii="宋体" w:hAnsi="宋体" w:cs="宋体"/>
          <w:b/>
          <w:color w:val="auto"/>
          <w:sz w:val="24"/>
          <w:lang w:val="zh-CN"/>
        </w:rPr>
        <w:t>（五）</w:t>
      </w:r>
      <w:r>
        <w:rPr>
          <w:rFonts w:hint="eastAsia" w:ascii="宋体" w:hAnsi="宋体" w:cs="宋体"/>
          <w:b/>
          <w:color w:val="auto"/>
          <w:sz w:val="24"/>
        </w:rPr>
        <w:t>提供机器配置清单，选配件清单，关键部件、易损件清单</w:t>
      </w:r>
    </w:p>
    <w:p>
      <w:pPr>
        <w:snapToGrid w:val="0"/>
        <w:spacing w:line="360" w:lineRule="auto"/>
        <w:ind w:firstLine="480" w:firstLineChars="200"/>
        <w:rPr>
          <w:rFonts w:hint="eastAsia" w:ascii="宋体" w:hAnsi="宋体" w:cs="宋体"/>
          <w:color w:val="auto"/>
          <w:sz w:val="24"/>
        </w:rPr>
      </w:pPr>
      <w:r>
        <w:rPr>
          <w:rFonts w:hint="eastAsia" w:ascii="宋体" w:hAnsi="宋体" w:cs="宋体"/>
          <w:bCs/>
          <w:color w:val="auto"/>
          <w:sz w:val="24"/>
        </w:rPr>
        <w:t>质保期满后，需按照投标时承诺的价格提供</w:t>
      </w:r>
      <w:r>
        <w:rPr>
          <w:rFonts w:hint="eastAsia" w:ascii="宋体" w:hAnsi="宋体" w:cs="宋体"/>
          <w:color w:val="auto"/>
          <w:sz w:val="24"/>
        </w:rPr>
        <w:t>关键部件和易损件</w:t>
      </w:r>
      <w:r>
        <w:rPr>
          <w:rFonts w:hint="eastAsia" w:ascii="宋体" w:hAnsi="宋体" w:cs="宋体"/>
          <w:bCs/>
          <w:color w:val="auto"/>
          <w:sz w:val="24"/>
        </w:rPr>
        <w:t>。</w:t>
      </w:r>
    </w:p>
    <w:p>
      <w:pPr>
        <w:snapToGrid w:val="0"/>
        <w:spacing w:line="360" w:lineRule="auto"/>
        <w:ind w:left="547" w:leftChars="228"/>
        <w:rPr>
          <w:rFonts w:hint="eastAsia" w:ascii="宋体" w:hAnsi="宋体" w:cs="宋体"/>
          <w:b/>
          <w:color w:val="auto"/>
          <w:sz w:val="24"/>
        </w:rPr>
      </w:pPr>
      <w:r>
        <w:rPr>
          <w:rFonts w:hint="eastAsia" w:ascii="宋体" w:hAnsi="宋体" w:cs="宋体"/>
          <w:b/>
          <w:color w:val="auto"/>
          <w:sz w:val="24"/>
        </w:rPr>
        <w:t>（六）耗材要求</w:t>
      </w:r>
    </w:p>
    <w:p>
      <w:pPr>
        <w:snapToGrid w:val="0"/>
        <w:spacing w:line="360" w:lineRule="auto"/>
        <w:ind w:firstLine="480" w:firstLineChars="200"/>
        <w:rPr>
          <w:rFonts w:hint="eastAsia"/>
          <w:color w:val="auto"/>
        </w:rPr>
      </w:pPr>
      <w:r>
        <w:rPr>
          <w:rFonts w:hint="eastAsia" w:ascii="宋体" w:hAnsi="宋体" w:cs="宋体"/>
          <w:color w:val="auto"/>
          <w:sz w:val="24"/>
        </w:rPr>
        <w:t>如涉及耗材，请提供耗材报价清单。</w:t>
      </w:r>
    </w:p>
    <w:p>
      <w:pPr>
        <w:pStyle w:val="46"/>
        <w:jc w:val="center"/>
        <w:outlineLvl w:val="0"/>
        <w:rPr>
          <w:rFonts w:hint="eastAsia" w:ascii="Calibri" w:eastAsia="宋体"/>
          <w:b/>
          <w:color w:val="auto"/>
          <w:sz w:val="44"/>
          <w:szCs w:val="44"/>
          <w:highlight w:val="none"/>
        </w:rPr>
      </w:pPr>
    </w:p>
    <w:p>
      <w:pPr>
        <w:pStyle w:val="46"/>
        <w:jc w:val="center"/>
        <w:outlineLvl w:val="0"/>
        <w:rPr>
          <w:rFonts w:hint="eastAsia" w:ascii="Calibri" w:eastAsia="宋体"/>
          <w:b/>
          <w:color w:val="auto"/>
          <w:sz w:val="44"/>
          <w:szCs w:val="44"/>
          <w:highlight w:val="none"/>
        </w:rPr>
      </w:pPr>
    </w:p>
    <w:p>
      <w:pPr>
        <w:pStyle w:val="46"/>
        <w:jc w:val="center"/>
        <w:outlineLvl w:val="0"/>
        <w:rPr>
          <w:rFonts w:hint="eastAsia" w:ascii="Calibri" w:eastAsia="宋体"/>
          <w:b/>
          <w:color w:val="auto"/>
          <w:sz w:val="44"/>
          <w:szCs w:val="44"/>
          <w:highlight w:val="none"/>
        </w:rPr>
      </w:pPr>
      <w:r>
        <w:rPr>
          <w:rFonts w:hint="eastAsia" w:ascii="Calibri" w:eastAsia="宋体"/>
          <w:b/>
          <w:color w:val="auto"/>
          <w:sz w:val="44"/>
          <w:szCs w:val="44"/>
          <w:highlight w:val="none"/>
        </w:rPr>
        <w:t>第五部分  合同格式及条款</w:t>
      </w:r>
    </w:p>
    <w:p>
      <w:pPr>
        <w:rPr>
          <w:rFonts w:hint="eastAsia"/>
          <w:color w:val="auto"/>
          <w:highlight w:val="none"/>
        </w:rPr>
      </w:pPr>
      <w:bookmarkStart w:id="84" w:name="EB92fb24a891e34ea29920d90c75406592"/>
    </w:p>
    <w:bookmarkEnd w:id="84"/>
    <w:p>
      <w:pPr>
        <w:pStyle w:val="103"/>
        <w:spacing w:line="420" w:lineRule="exact"/>
        <w:jc w:val="center"/>
        <w:outlineLvl w:val="1"/>
        <w:rPr>
          <w:rFonts w:hint="eastAsia" w:ascii="黑体" w:eastAsia="黑体"/>
          <w:b/>
          <w:color w:val="auto"/>
          <w:sz w:val="44"/>
          <w:highlight w:val="none"/>
        </w:rPr>
      </w:pPr>
      <w:bookmarkStart w:id="85" w:name="_Toc6397"/>
      <w:bookmarkEnd w:id="85"/>
      <w:bookmarkStart w:id="86" w:name="_Toc9956_WPSOffice_Level2"/>
      <w:bookmarkEnd w:id="86"/>
      <w:bookmarkStart w:id="87" w:name="_Toc514054483"/>
      <w:r>
        <w:rPr>
          <w:rFonts w:hint="eastAsia" w:ascii="黑体" w:eastAsia="黑体"/>
          <w:b/>
          <w:color w:val="auto"/>
          <w:sz w:val="44"/>
          <w:highlight w:val="none"/>
        </w:rPr>
        <w:t>合同通用条款</w:t>
      </w:r>
    </w:p>
    <w:p>
      <w:pPr>
        <w:pStyle w:val="103"/>
        <w:spacing w:line="360" w:lineRule="auto"/>
        <w:ind w:left="-42" w:leftChars="-135" w:hanging="282" w:hangingChars="117"/>
        <w:rPr>
          <w:rFonts w:hint="eastAsia" w:ascii="宋体"/>
          <w:b/>
          <w:bCs/>
          <w:color w:val="auto"/>
          <w:sz w:val="24"/>
          <w:highlight w:val="none"/>
        </w:rPr>
      </w:pPr>
      <w:r>
        <w:rPr>
          <w:rFonts w:hint="eastAsia" w:ascii="宋体"/>
          <w:b/>
          <w:bCs/>
          <w:color w:val="auto"/>
          <w:sz w:val="24"/>
          <w:highlight w:val="none"/>
        </w:rPr>
        <w:t>1.</w:t>
      </w:r>
      <w:r>
        <w:rPr>
          <w:rFonts w:hint="eastAsia" w:ascii="宋体"/>
          <w:b/>
          <w:color w:val="auto"/>
          <w:sz w:val="24"/>
          <w:highlight w:val="none"/>
        </w:rPr>
        <w:t xml:space="preserve"> </w:t>
      </w:r>
      <w:r>
        <w:rPr>
          <w:rFonts w:hint="eastAsia" w:ascii="宋体" w:hAnsi="宋体"/>
          <w:b/>
          <w:color w:val="auto"/>
          <w:sz w:val="24"/>
          <w:highlight w:val="none"/>
        </w:rPr>
        <w:t>定义</w:t>
      </w:r>
      <w:r>
        <w:rPr>
          <w:rFonts w:hint="eastAsia" w:ascii="宋体" w:hAnsi="宋体"/>
          <w:color w:val="auto"/>
          <w:sz w:val="24"/>
          <w:highlight w:val="none"/>
        </w:rPr>
        <w:t>：除本合同上下文中另有规定外，下列各词语定义如下：</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1.1</w:t>
      </w:r>
      <w:r>
        <w:rPr>
          <w:rFonts w:ascii="宋体" w:hAnsi="宋体"/>
          <w:color w:val="auto"/>
          <w:sz w:val="24"/>
          <w:highlight w:val="none"/>
        </w:rPr>
        <w:t xml:space="preserve">  </w:t>
      </w:r>
      <w:r>
        <w:rPr>
          <w:rFonts w:hint="eastAsia" w:ascii="宋体" w:hAnsi="宋体"/>
          <w:b/>
          <w:color w:val="auto"/>
          <w:sz w:val="24"/>
          <w:highlight w:val="none"/>
        </w:rPr>
        <w:t>“买方”</w:t>
      </w:r>
      <w:r>
        <w:rPr>
          <w:rFonts w:hint="eastAsia" w:ascii="宋体" w:hAnsi="宋体"/>
          <w:color w:val="auto"/>
          <w:sz w:val="24"/>
          <w:highlight w:val="none"/>
        </w:rPr>
        <w:t>是指在</w:t>
      </w:r>
      <w:r>
        <w:rPr>
          <w:rFonts w:hint="eastAsia" w:ascii="宋体" w:hAnsi="宋体"/>
          <w:b/>
          <w:bCs/>
          <w:color w:val="auto"/>
          <w:sz w:val="24"/>
          <w:highlight w:val="none"/>
        </w:rPr>
        <w:t>“合同专用条款”</w:t>
      </w:r>
      <w:r>
        <w:rPr>
          <w:rFonts w:hint="eastAsia" w:ascii="宋体" w:hAnsi="宋体"/>
          <w:color w:val="auto"/>
          <w:sz w:val="24"/>
          <w:highlight w:val="none"/>
        </w:rPr>
        <w:t>中指明的买方。</w:t>
      </w:r>
      <w:r>
        <w:rPr>
          <w:rFonts w:hint="eastAsia" w:ascii="宋体" w:hAnsi="宋体"/>
          <w:b/>
          <w:bCs/>
          <w:color w:val="auto"/>
          <w:sz w:val="24"/>
          <w:highlight w:val="none"/>
        </w:rPr>
        <w:t xml:space="preserve"> </w:t>
      </w:r>
    </w:p>
    <w:p>
      <w:pPr>
        <w:pStyle w:val="103"/>
        <w:spacing w:line="360" w:lineRule="auto"/>
        <w:ind w:left="960" w:hanging="960" w:hangingChars="400"/>
        <w:rPr>
          <w:rFonts w:hint="eastAsia" w:ascii="宋体" w:hAnsi="宋体"/>
          <w:bCs/>
          <w:color w:val="auto"/>
          <w:sz w:val="24"/>
          <w:highlight w:val="none"/>
        </w:rPr>
      </w:pPr>
      <w:r>
        <w:rPr>
          <w:rFonts w:hint="eastAsia" w:ascii="宋体" w:hAnsi="宋体"/>
          <w:bCs/>
          <w:color w:val="auto"/>
          <w:sz w:val="24"/>
          <w:highlight w:val="none"/>
        </w:rPr>
        <w:t>1.2</w:t>
      </w:r>
      <w:r>
        <w:rPr>
          <w:rFonts w:ascii="宋体" w:hAnsi="宋体"/>
          <w:bCs/>
          <w:color w:val="auto"/>
          <w:sz w:val="24"/>
          <w:highlight w:val="none"/>
        </w:rPr>
        <w:t xml:space="preserve">  </w:t>
      </w:r>
      <w:r>
        <w:rPr>
          <w:rFonts w:hint="eastAsia" w:ascii="宋体" w:hAnsi="宋体"/>
          <w:b/>
          <w:color w:val="auto"/>
          <w:sz w:val="24"/>
          <w:highlight w:val="none"/>
        </w:rPr>
        <w:t>“卖方”</w:t>
      </w:r>
      <w:r>
        <w:rPr>
          <w:rFonts w:hint="eastAsia" w:ascii="宋体" w:hAnsi="宋体"/>
          <w:color w:val="auto"/>
          <w:sz w:val="24"/>
          <w:highlight w:val="none"/>
        </w:rPr>
        <w:t>是指投标文件为买方接受且在</w:t>
      </w:r>
      <w:r>
        <w:rPr>
          <w:rFonts w:hint="eastAsia" w:ascii="宋体" w:hAnsi="宋体"/>
          <w:b/>
          <w:bCs/>
          <w:color w:val="auto"/>
          <w:sz w:val="24"/>
          <w:highlight w:val="none"/>
        </w:rPr>
        <w:t>“合同专用条款”</w:t>
      </w:r>
      <w:r>
        <w:rPr>
          <w:rFonts w:hint="eastAsia" w:ascii="宋体" w:hAnsi="宋体"/>
          <w:color w:val="auto"/>
          <w:sz w:val="24"/>
          <w:highlight w:val="none"/>
        </w:rPr>
        <w:t xml:space="preserve">中被指明的卖方。 </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1.3</w:t>
      </w:r>
      <w:r>
        <w:rPr>
          <w:rFonts w:ascii="宋体" w:hAnsi="宋体"/>
          <w:color w:val="auto"/>
          <w:sz w:val="24"/>
          <w:highlight w:val="none"/>
        </w:rPr>
        <w:t xml:space="preserve"> </w:t>
      </w:r>
      <w:r>
        <w:rPr>
          <w:rFonts w:hint="eastAsia" w:ascii="宋体" w:hAnsi="宋体"/>
          <w:b/>
          <w:color w:val="auto"/>
          <w:sz w:val="24"/>
          <w:highlight w:val="none"/>
        </w:rPr>
        <w:t>“检验当局”</w:t>
      </w:r>
      <w:r>
        <w:rPr>
          <w:rFonts w:hint="eastAsia" w:ascii="宋体" w:hAnsi="宋体"/>
          <w:color w:val="auto"/>
          <w:sz w:val="24"/>
          <w:highlight w:val="none"/>
        </w:rPr>
        <w:t>是指位于工作现场或其附近的中国国家质量技术监督局的地方分支机构，或</w:t>
      </w:r>
      <w:r>
        <w:rPr>
          <w:rFonts w:hint="eastAsia" w:ascii="宋体" w:hAnsi="宋体"/>
          <w:b/>
          <w:bCs/>
          <w:color w:val="auto"/>
          <w:sz w:val="24"/>
          <w:highlight w:val="none"/>
        </w:rPr>
        <w:t>“合同专用条款”</w:t>
      </w:r>
      <w:r>
        <w:rPr>
          <w:rFonts w:hint="eastAsia" w:ascii="宋体" w:hAnsi="宋体"/>
          <w:color w:val="auto"/>
          <w:sz w:val="24"/>
          <w:highlight w:val="none"/>
        </w:rPr>
        <w:t>规定情况下确定的检验方。</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1.4</w:t>
      </w:r>
      <w:r>
        <w:rPr>
          <w:rFonts w:ascii="宋体" w:hAnsi="宋体"/>
          <w:color w:val="auto"/>
          <w:sz w:val="24"/>
          <w:highlight w:val="none"/>
        </w:rPr>
        <w:t xml:space="preserve">  </w:t>
      </w:r>
      <w:r>
        <w:rPr>
          <w:rFonts w:hint="eastAsia" w:ascii="宋体" w:hAnsi="宋体"/>
          <w:b/>
          <w:color w:val="auto"/>
          <w:sz w:val="24"/>
          <w:highlight w:val="none"/>
        </w:rPr>
        <w:t>“工作现场”</w:t>
      </w:r>
      <w:r>
        <w:rPr>
          <w:rFonts w:hint="eastAsia" w:ascii="宋体" w:hAnsi="宋体"/>
          <w:color w:val="auto"/>
          <w:sz w:val="24"/>
          <w:highlight w:val="none"/>
        </w:rPr>
        <w:t>是指</w:t>
      </w:r>
      <w:r>
        <w:rPr>
          <w:rFonts w:hint="eastAsia" w:ascii="宋体" w:hAnsi="宋体"/>
          <w:b/>
          <w:bCs/>
          <w:color w:val="auto"/>
          <w:sz w:val="24"/>
          <w:highlight w:val="none"/>
        </w:rPr>
        <w:t>“合同专用条款”</w:t>
      </w:r>
      <w:r>
        <w:rPr>
          <w:rFonts w:hint="eastAsia" w:ascii="宋体" w:hAnsi="宋体"/>
          <w:color w:val="auto"/>
          <w:sz w:val="24"/>
          <w:highlight w:val="none"/>
        </w:rPr>
        <w:t xml:space="preserve">规定的合同货物座落的地方。 </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1.5</w:t>
      </w:r>
      <w:r>
        <w:rPr>
          <w:rFonts w:ascii="宋体" w:hAnsi="宋体"/>
          <w:color w:val="auto"/>
          <w:sz w:val="24"/>
          <w:highlight w:val="none"/>
        </w:rPr>
        <w:t xml:space="preserve">  </w:t>
      </w:r>
      <w:r>
        <w:rPr>
          <w:rFonts w:hint="eastAsia" w:ascii="宋体" w:hAnsi="宋体"/>
          <w:b/>
          <w:color w:val="auto"/>
          <w:sz w:val="24"/>
          <w:highlight w:val="none"/>
        </w:rPr>
        <w:t>“合同货物”</w:t>
      </w:r>
      <w:r>
        <w:rPr>
          <w:rFonts w:hint="eastAsia" w:ascii="宋体" w:hAnsi="宋体"/>
          <w:color w:val="auto"/>
          <w:sz w:val="24"/>
          <w:highlight w:val="none"/>
        </w:rPr>
        <w:t xml:space="preserve">是指卖方提供的设备、材料、备件或其中任何一部分，详见合同附件1。 </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 xml:space="preserve">1.6  </w:t>
      </w:r>
      <w:r>
        <w:rPr>
          <w:rFonts w:hint="eastAsia" w:ascii="宋体" w:hAnsi="宋体"/>
          <w:b/>
          <w:color w:val="auto"/>
          <w:sz w:val="24"/>
          <w:highlight w:val="none"/>
        </w:rPr>
        <w:t>“技术资料”</w:t>
      </w:r>
      <w:r>
        <w:rPr>
          <w:rFonts w:hint="eastAsia" w:ascii="宋体" w:hAnsi="宋体"/>
          <w:color w:val="auto"/>
          <w:sz w:val="24"/>
          <w:highlight w:val="none"/>
        </w:rPr>
        <w:t xml:space="preserve">是指与合同货物的检验、安装、试运行、性能考核、操作以及维修有关的技术指标、规格、图纸和文件。 </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 xml:space="preserve">1.7 </w:t>
      </w:r>
      <w:r>
        <w:rPr>
          <w:rFonts w:ascii="宋体" w:hAnsi="宋体"/>
          <w:color w:val="auto"/>
          <w:sz w:val="24"/>
          <w:highlight w:val="none"/>
        </w:rPr>
        <w:t xml:space="preserve"> </w:t>
      </w:r>
      <w:r>
        <w:rPr>
          <w:rFonts w:hint="eastAsia" w:ascii="宋体" w:hAnsi="宋体"/>
          <w:b/>
          <w:color w:val="auto"/>
          <w:sz w:val="24"/>
          <w:highlight w:val="none"/>
        </w:rPr>
        <w:t>“技术服务”</w:t>
      </w:r>
      <w:r>
        <w:rPr>
          <w:rFonts w:hint="eastAsia" w:ascii="宋体" w:hAnsi="宋体"/>
          <w:color w:val="auto"/>
          <w:sz w:val="24"/>
          <w:highlight w:val="none"/>
        </w:rPr>
        <w:t xml:space="preserve">是指在合同货物的安装、试运行、性能考核、操作、维修以及其他工作等方面卖方给予买方的技术指导、协助以及监督等。 </w:t>
      </w:r>
    </w:p>
    <w:p>
      <w:pPr>
        <w:pStyle w:val="103"/>
        <w:spacing w:line="360" w:lineRule="auto"/>
        <w:ind w:left="960" w:hanging="960" w:hangingChars="400"/>
        <w:rPr>
          <w:rFonts w:hint="eastAsia" w:ascii="宋体" w:hAnsi="宋体"/>
          <w:bCs/>
          <w:color w:val="auto"/>
          <w:sz w:val="24"/>
          <w:highlight w:val="none"/>
        </w:rPr>
      </w:pPr>
      <w:r>
        <w:rPr>
          <w:rFonts w:hint="eastAsia" w:ascii="宋体" w:hAnsi="宋体"/>
          <w:bCs/>
          <w:color w:val="auto"/>
          <w:sz w:val="24"/>
          <w:highlight w:val="none"/>
        </w:rPr>
        <w:t>1.8</w:t>
      </w:r>
      <w:r>
        <w:rPr>
          <w:rFonts w:hint="eastAsia" w:ascii="宋体" w:hAnsi="宋体"/>
          <w:b/>
          <w:color w:val="auto"/>
          <w:sz w:val="24"/>
          <w:highlight w:val="none"/>
        </w:rPr>
        <w:t xml:space="preserve"> </w:t>
      </w:r>
      <w:r>
        <w:rPr>
          <w:rFonts w:ascii="宋体" w:hAnsi="宋体"/>
          <w:b/>
          <w:color w:val="auto"/>
          <w:sz w:val="24"/>
          <w:highlight w:val="none"/>
        </w:rPr>
        <w:t xml:space="preserve"> </w:t>
      </w:r>
      <w:r>
        <w:rPr>
          <w:rFonts w:hint="eastAsia" w:ascii="宋体" w:hAnsi="宋体"/>
          <w:b/>
          <w:color w:val="auto"/>
          <w:sz w:val="24"/>
          <w:highlight w:val="none"/>
        </w:rPr>
        <w:t>“技术培训”</w:t>
      </w:r>
      <w:r>
        <w:rPr>
          <w:rFonts w:hint="eastAsia" w:ascii="宋体" w:hAnsi="宋体"/>
          <w:color w:val="auto"/>
          <w:sz w:val="24"/>
          <w:highlight w:val="none"/>
        </w:rPr>
        <w:t xml:space="preserve">是指在合同货物的安装、试运行、性能考核、操作、维修以及其他工作等方面卖方给予买方的培训。 </w:t>
      </w:r>
    </w:p>
    <w:p>
      <w:pPr>
        <w:pStyle w:val="103"/>
        <w:spacing w:line="360" w:lineRule="auto"/>
        <w:ind w:left="960" w:hanging="960" w:hangingChars="400"/>
        <w:jc w:val="left"/>
        <w:rPr>
          <w:rFonts w:hint="eastAsia" w:ascii="宋体" w:hAnsi="宋体"/>
          <w:color w:val="auto"/>
          <w:sz w:val="24"/>
          <w:highlight w:val="none"/>
        </w:rPr>
      </w:pPr>
      <w:r>
        <w:rPr>
          <w:rFonts w:hint="eastAsia" w:ascii="宋体" w:hAnsi="宋体"/>
          <w:color w:val="auto"/>
          <w:sz w:val="24"/>
          <w:highlight w:val="none"/>
        </w:rPr>
        <w:t xml:space="preserve">1.9  </w:t>
      </w:r>
      <w:r>
        <w:rPr>
          <w:rFonts w:hint="eastAsia" w:ascii="宋体" w:hAnsi="宋体"/>
          <w:b/>
          <w:color w:val="auto"/>
          <w:sz w:val="24"/>
          <w:highlight w:val="none"/>
        </w:rPr>
        <w:t>“安装”</w:t>
      </w:r>
      <w:r>
        <w:rPr>
          <w:rFonts w:hint="eastAsia" w:ascii="宋体" w:hAnsi="宋体"/>
          <w:color w:val="auto"/>
          <w:sz w:val="24"/>
          <w:highlight w:val="none"/>
        </w:rPr>
        <w:t xml:space="preserve">是指有关货物、备件和材料的安装工作，包括按照设计图将零部件放置在适当的位置并连接起来。 </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 xml:space="preserve">1.10  </w:t>
      </w:r>
      <w:r>
        <w:rPr>
          <w:rFonts w:hint="eastAsia" w:ascii="宋体" w:hAnsi="宋体"/>
          <w:b/>
          <w:color w:val="auto"/>
          <w:sz w:val="24"/>
          <w:highlight w:val="none"/>
        </w:rPr>
        <w:t>“试运行”</w:t>
      </w:r>
      <w:r>
        <w:rPr>
          <w:rFonts w:hint="eastAsia" w:ascii="宋体" w:hAnsi="宋体"/>
          <w:color w:val="auto"/>
          <w:sz w:val="24"/>
          <w:highlight w:val="none"/>
        </w:rPr>
        <w:t xml:space="preserve">是指为验明合同货物的机械性能，在安装完毕后对单台货物和一系列货物分别进行的测试。 </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 xml:space="preserve">1.11  </w:t>
      </w:r>
      <w:r>
        <w:rPr>
          <w:rFonts w:hint="eastAsia" w:ascii="宋体" w:hAnsi="宋体"/>
          <w:b/>
          <w:color w:val="auto"/>
          <w:sz w:val="24"/>
          <w:highlight w:val="none"/>
        </w:rPr>
        <w:t>“性能考核”</w:t>
      </w:r>
      <w:r>
        <w:rPr>
          <w:rFonts w:hint="eastAsia" w:ascii="宋体" w:hAnsi="宋体"/>
          <w:color w:val="auto"/>
          <w:sz w:val="24"/>
          <w:highlight w:val="none"/>
        </w:rPr>
        <w:t xml:space="preserve">是指根据合同附件3的规定进行的，用以确定合同货物是否达到合同附件2所规定的技术性能和保证指标的考核。 </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 xml:space="preserve">1.12 </w:t>
      </w:r>
      <w:r>
        <w:rPr>
          <w:rFonts w:ascii="宋体" w:hAnsi="宋体"/>
          <w:color w:val="auto"/>
          <w:sz w:val="24"/>
          <w:highlight w:val="none"/>
        </w:rPr>
        <w:t xml:space="preserve"> </w:t>
      </w:r>
      <w:r>
        <w:rPr>
          <w:rFonts w:hint="eastAsia" w:ascii="宋体" w:hAnsi="宋体"/>
          <w:b/>
          <w:color w:val="auto"/>
          <w:sz w:val="24"/>
          <w:highlight w:val="none"/>
        </w:rPr>
        <w:t>“验收”</w:t>
      </w:r>
      <w:r>
        <w:rPr>
          <w:rFonts w:hint="eastAsia" w:ascii="宋体" w:hAnsi="宋体"/>
          <w:color w:val="auto"/>
          <w:sz w:val="24"/>
          <w:highlight w:val="none"/>
        </w:rPr>
        <w:t xml:space="preserve">是指合同货物在性能考核中达到合同附件2规定的技术性能和保证指标之后，买方对合同货物的接受。 </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 xml:space="preserve">1.13  </w:t>
      </w:r>
      <w:r>
        <w:rPr>
          <w:rFonts w:hint="eastAsia" w:ascii="宋体" w:hAnsi="宋体"/>
          <w:b/>
          <w:color w:val="auto"/>
          <w:sz w:val="24"/>
          <w:highlight w:val="none"/>
        </w:rPr>
        <w:t>“保证期”</w:t>
      </w:r>
      <w:r>
        <w:rPr>
          <w:rFonts w:hint="eastAsia" w:ascii="宋体" w:hAnsi="宋体"/>
          <w:color w:val="auto"/>
          <w:sz w:val="24"/>
          <w:highlight w:val="none"/>
        </w:rPr>
        <w:t xml:space="preserve">是指自验收之日起一定期间内，卖方保证合同货物的适当和稳定运行，并负责消除合同货物存在的任何缺陷。详见合同附件2。 </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 xml:space="preserve">1.14   </w:t>
      </w:r>
      <w:r>
        <w:rPr>
          <w:rFonts w:hint="eastAsia" w:ascii="宋体" w:hAnsi="宋体"/>
          <w:b/>
          <w:color w:val="auto"/>
          <w:sz w:val="24"/>
          <w:highlight w:val="none"/>
        </w:rPr>
        <w:t>“合同货币”</w:t>
      </w:r>
      <w:r>
        <w:rPr>
          <w:rFonts w:hint="eastAsia" w:ascii="宋体" w:hAnsi="宋体"/>
          <w:color w:val="auto"/>
          <w:sz w:val="24"/>
          <w:highlight w:val="none"/>
        </w:rPr>
        <w:t>是指</w:t>
      </w:r>
      <w:r>
        <w:rPr>
          <w:rFonts w:hint="eastAsia" w:ascii="宋体" w:hAnsi="宋体"/>
          <w:b/>
          <w:bCs/>
          <w:color w:val="auto"/>
          <w:sz w:val="24"/>
          <w:highlight w:val="none"/>
        </w:rPr>
        <w:t>“合同专用条款”</w:t>
      </w:r>
      <w:r>
        <w:rPr>
          <w:rFonts w:hint="eastAsia" w:ascii="宋体" w:hAnsi="宋体"/>
          <w:color w:val="auto"/>
          <w:sz w:val="24"/>
          <w:highlight w:val="none"/>
        </w:rPr>
        <w:t>规定的本合同项下的支付中所使用的货币。</w:t>
      </w:r>
    </w:p>
    <w:p>
      <w:pPr>
        <w:pStyle w:val="103"/>
        <w:tabs>
          <w:tab w:val="left" w:pos="-210"/>
        </w:tabs>
        <w:spacing w:line="360" w:lineRule="auto"/>
        <w:ind w:left="960" w:hanging="960" w:hangingChars="400"/>
        <w:rPr>
          <w:rFonts w:hint="eastAsia" w:ascii="宋体" w:hAnsi="宋体"/>
          <w:color w:val="auto"/>
          <w:sz w:val="24"/>
          <w:szCs w:val="22"/>
          <w:highlight w:val="none"/>
        </w:rPr>
      </w:pPr>
      <w:r>
        <w:rPr>
          <w:rFonts w:hint="eastAsia" w:ascii="宋体" w:hAnsi="宋体"/>
          <w:color w:val="auto"/>
          <w:sz w:val="24"/>
          <w:szCs w:val="22"/>
          <w:highlight w:val="none"/>
        </w:rPr>
        <w:t xml:space="preserve">1.15  </w:t>
      </w:r>
      <w:r>
        <w:rPr>
          <w:rFonts w:hint="eastAsia" w:ascii="宋体" w:hAnsi="宋体"/>
          <w:b/>
          <w:bCs/>
          <w:color w:val="auto"/>
          <w:sz w:val="24"/>
          <w:szCs w:val="22"/>
          <w:highlight w:val="none"/>
        </w:rPr>
        <w:t>“合同价</w:t>
      </w:r>
      <w:r>
        <w:rPr>
          <w:rFonts w:hint="eastAsia" w:ascii="宋体" w:hAnsi="宋体"/>
          <w:b/>
          <w:bCs/>
          <w:color w:val="auto"/>
          <w:sz w:val="24"/>
          <w:highlight w:val="none"/>
        </w:rPr>
        <w:t>格”</w:t>
      </w:r>
      <w:r>
        <w:rPr>
          <w:rFonts w:hint="eastAsia" w:ascii="宋体" w:hAnsi="宋体"/>
          <w:color w:val="auto"/>
          <w:sz w:val="24"/>
          <w:highlight w:val="none"/>
        </w:rPr>
        <w:t>是指在卖方完全和适当地履行其合同义务后，买方根据合同规定应支付给卖方的价款。</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 xml:space="preserve">1.16   </w:t>
      </w:r>
      <w:r>
        <w:rPr>
          <w:rFonts w:hint="eastAsia" w:ascii="宋体" w:hAnsi="宋体"/>
          <w:b/>
          <w:color w:val="auto"/>
          <w:sz w:val="24"/>
          <w:highlight w:val="none"/>
        </w:rPr>
        <w:t>“合同生效日”</w:t>
      </w:r>
      <w:r>
        <w:rPr>
          <w:rFonts w:hint="eastAsia" w:ascii="宋体" w:hAnsi="宋体"/>
          <w:color w:val="auto"/>
          <w:sz w:val="24"/>
          <w:highlight w:val="none"/>
        </w:rPr>
        <w:t>是指在</w:t>
      </w:r>
      <w:r>
        <w:rPr>
          <w:rFonts w:hint="eastAsia" w:ascii="宋体" w:hAnsi="宋体"/>
          <w:b/>
          <w:bCs/>
          <w:color w:val="auto"/>
          <w:sz w:val="24"/>
          <w:highlight w:val="none"/>
        </w:rPr>
        <w:t>“合同专用条款”</w:t>
      </w:r>
      <w:r>
        <w:rPr>
          <w:rFonts w:hint="eastAsia" w:ascii="宋体" w:hAnsi="宋体"/>
          <w:color w:val="auto"/>
          <w:sz w:val="24"/>
          <w:highlight w:val="none"/>
        </w:rPr>
        <w:t xml:space="preserve">规定的所有条件得到履行时的日期。 </w:t>
      </w:r>
      <w:r>
        <w:rPr>
          <w:rFonts w:hint="eastAsia" w:ascii="宋体" w:hAnsi="宋体"/>
          <w:b/>
          <w:color w:val="auto"/>
          <w:sz w:val="24"/>
          <w:highlight w:val="none"/>
        </w:rPr>
        <w:t xml:space="preserve">     </w:t>
      </w:r>
    </w:p>
    <w:p>
      <w:pPr>
        <w:pStyle w:val="103"/>
        <w:spacing w:line="400" w:lineRule="exact"/>
        <w:ind w:left="960" w:hanging="960" w:hangingChars="400"/>
        <w:rPr>
          <w:rFonts w:hint="eastAsia" w:ascii="宋体" w:hAnsi="宋体"/>
          <w:color w:val="auto"/>
          <w:sz w:val="24"/>
          <w:highlight w:val="none"/>
        </w:rPr>
      </w:pPr>
      <w:r>
        <w:rPr>
          <w:rFonts w:hint="eastAsia" w:ascii="宋体" w:hAnsi="宋体"/>
          <w:color w:val="auto"/>
          <w:sz w:val="24"/>
          <w:highlight w:val="none"/>
        </w:rPr>
        <w:t xml:space="preserve">1.17   </w:t>
      </w:r>
      <w:r>
        <w:rPr>
          <w:rFonts w:hint="eastAsia" w:ascii="宋体" w:hAnsi="宋体"/>
          <w:b/>
          <w:color w:val="auto"/>
          <w:sz w:val="24"/>
          <w:highlight w:val="none"/>
        </w:rPr>
        <w:t>“日”</w:t>
      </w:r>
      <w:r>
        <w:rPr>
          <w:rFonts w:hint="eastAsia" w:ascii="宋体" w:hAnsi="宋体"/>
          <w:color w:val="auto"/>
          <w:sz w:val="24"/>
          <w:highlight w:val="none"/>
        </w:rPr>
        <w:t xml:space="preserve">是指日历日数。 </w:t>
      </w:r>
    </w:p>
    <w:p>
      <w:pPr>
        <w:pStyle w:val="103"/>
        <w:spacing w:line="360" w:lineRule="auto"/>
        <w:ind w:left="960" w:hanging="960" w:hangingChars="400"/>
        <w:jc w:val="left"/>
        <w:rPr>
          <w:rFonts w:hint="eastAsia" w:ascii="宋体" w:hAnsi="宋体"/>
          <w:color w:val="auto"/>
          <w:sz w:val="24"/>
          <w:highlight w:val="none"/>
        </w:rPr>
      </w:pPr>
      <w:r>
        <w:rPr>
          <w:rFonts w:hint="eastAsia" w:ascii="宋体" w:hAnsi="宋体"/>
          <w:color w:val="auto"/>
          <w:sz w:val="24"/>
          <w:highlight w:val="none"/>
        </w:rPr>
        <w:t xml:space="preserve">1.18   </w:t>
      </w:r>
      <w:r>
        <w:rPr>
          <w:rFonts w:hint="eastAsia" w:ascii="宋体" w:hAnsi="宋体"/>
          <w:b/>
          <w:color w:val="auto"/>
          <w:sz w:val="24"/>
          <w:highlight w:val="none"/>
        </w:rPr>
        <w:t>“月”</w:t>
      </w:r>
      <w:r>
        <w:rPr>
          <w:rFonts w:hint="eastAsia" w:ascii="宋体" w:hAnsi="宋体"/>
          <w:color w:val="auto"/>
          <w:sz w:val="24"/>
          <w:highlight w:val="none"/>
        </w:rPr>
        <w:t xml:space="preserve">是指日历月数。 </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 xml:space="preserve">1.19　 </w:t>
      </w:r>
      <w:r>
        <w:rPr>
          <w:rFonts w:hint="eastAsia" w:ascii="宋体" w:hAnsi="宋体"/>
          <w:b/>
          <w:bCs/>
          <w:color w:val="auto"/>
          <w:sz w:val="24"/>
          <w:highlight w:val="none"/>
        </w:rPr>
        <w:t>“知识产权”</w:t>
      </w:r>
      <w:r>
        <w:rPr>
          <w:rFonts w:hint="eastAsia" w:ascii="宋体" w:hAnsi="宋体"/>
          <w:color w:val="auto"/>
          <w:sz w:val="24"/>
          <w:highlight w:val="none"/>
        </w:rPr>
        <w:t>是指专利权、商标权、著作权等无形财产专有权的统称。</w:t>
      </w:r>
    </w:p>
    <w:p>
      <w:pPr>
        <w:pStyle w:val="103"/>
        <w:spacing w:line="360" w:lineRule="auto"/>
        <w:ind w:left="-42" w:leftChars="-135" w:hanging="282" w:hangingChars="117"/>
        <w:rPr>
          <w:rFonts w:hint="eastAsia" w:ascii="宋体"/>
          <w:b/>
          <w:bCs/>
          <w:color w:val="auto"/>
          <w:sz w:val="24"/>
          <w:highlight w:val="none"/>
        </w:rPr>
      </w:pPr>
      <w:r>
        <w:rPr>
          <w:rFonts w:hint="eastAsia" w:ascii="宋体"/>
          <w:b/>
          <w:bCs/>
          <w:color w:val="auto"/>
          <w:sz w:val="24"/>
          <w:highlight w:val="none"/>
        </w:rPr>
        <w:t>2.</w:t>
      </w:r>
      <w:r>
        <w:rPr>
          <w:rFonts w:hint="eastAsia" w:ascii="宋体"/>
          <w:b/>
          <w:bCs/>
          <w:color w:val="auto"/>
          <w:sz w:val="24"/>
          <w:highlight w:val="none"/>
        </w:rPr>
        <w:tab/>
      </w:r>
      <w:r>
        <w:rPr>
          <w:rFonts w:hint="eastAsia" w:ascii="宋体"/>
          <w:b/>
          <w:bCs/>
          <w:color w:val="auto"/>
          <w:sz w:val="24"/>
          <w:highlight w:val="none"/>
        </w:rPr>
        <w:tab/>
      </w:r>
      <w:r>
        <w:rPr>
          <w:rFonts w:hint="eastAsia" w:ascii="宋体"/>
          <w:b/>
          <w:bCs/>
          <w:color w:val="auto"/>
          <w:sz w:val="24"/>
          <w:highlight w:val="none"/>
        </w:rPr>
        <w:t>合同范围</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2.1</w:t>
      </w:r>
      <w:r>
        <w:rPr>
          <w:rFonts w:hint="eastAsia" w:ascii="宋体" w:hAnsi="宋体"/>
          <w:color w:val="auto"/>
          <w:sz w:val="24"/>
          <w:highlight w:val="none"/>
        </w:rPr>
        <w:tab/>
      </w:r>
      <w:r>
        <w:rPr>
          <w:rFonts w:hint="eastAsia" w:ascii="宋体" w:hAnsi="宋体"/>
          <w:color w:val="auto"/>
          <w:sz w:val="24"/>
          <w:highlight w:val="none"/>
        </w:rPr>
        <w:t>买方同意从卖方购买、卖方同意向买方出售和提供</w:t>
      </w:r>
      <w:r>
        <w:rPr>
          <w:rFonts w:hint="eastAsia" w:ascii="宋体" w:hAnsi="宋体"/>
          <w:b/>
          <w:bCs/>
          <w:color w:val="auto"/>
          <w:sz w:val="24"/>
          <w:highlight w:val="none"/>
        </w:rPr>
        <w:t>“合同专用条款”</w:t>
      </w:r>
      <w:r>
        <w:rPr>
          <w:rFonts w:hint="eastAsia" w:ascii="宋体" w:hAnsi="宋体"/>
          <w:color w:val="auto"/>
          <w:sz w:val="24"/>
          <w:highlight w:val="none"/>
        </w:rPr>
        <w:t>中规定的“合同货物”以及相关技术服务、技术培训和技术资料。</w:t>
      </w:r>
    </w:p>
    <w:p>
      <w:pPr>
        <w:pStyle w:val="103"/>
        <w:spacing w:line="360" w:lineRule="auto"/>
        <w:jc w:val="left"/>
        <w:rPr>
          <w:rFonts w:hint="eastAsia" w:ascii="宋体" w:hAnsi="宋体"/>
          <w:color w:val="auto"/>
          <w:sz w:val="24"/>
          <w:highlight w:val="none"/>
        </w:rPr>
      </w:pPr>
      <w:r>
        <w:rPr>
          <w:rFonts w:hint="eastAsia" w:ascii="宋体" w:hAnsi="宋体"/>
          <w:color w:val="auto"/>
          <w:sz w:val="24"/>
          <w:highlight w:val="none"/>
        </w:rPr>
        <w:t>2.2</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合同货物的原产地国家和制造商规定见</w:t>
      </w:r>
      <w:r>
        <w:rPr>
          <w:rFonts w:hint="eastAsia" w:ascii="宋体" w:hAnsi="宋体"/>
          <w:b/>
          <w:bCs/>
          <w:color w:val="auto"/>
          <w:sz w:val="24"/>
          <w:highlight w:val="none"/>
        </w:rPr>
        <w:t>“合同专用条款”</w:t>
      </w:r>
      <w:r>
        <w:rPr>
          <w:rFonts w:hint="eastAsia" w:ascii="宋体" w:hAnsi="宋体"/>
          <w:color w:val="auto"/>
          <w:sz w:val="24"/>
          <w:highlight w:val="none"/>
        </w:rPr>
        <w:t xml:space="preserve">中。 </w:t>
      </w:r>
    </w:p>
    <w:p>
      <w:pPr>
        <w:pStyle w:val="103"/>
        <w:spacing w:line="360" w:lineRule="auto"/>
        <w:ind w:left="-42" w:leftChars="-135" w:hanging="282" w:hangingChars="117"/>
        <w:rPr>
          <w:rFonts w:hint="eastAsia" w:ascii="宋体"/>
          <w:b/>
          <w:bCs/>
          <w:color w:val="auto"/>
          <w:sz w:val="24"/>
          <w:highlight w:val="none"/>
        </w:rPr>
      </w:pPr>
      <w:r>
        <w:rPr>
          <w:rFonts w:hint="eastAsia" w:ascii="宋体"/>
          <w:b/>
          <w:bCs/>
          <w:color w:val="auto"/>
          <w:sz w:val="24"/>
          <w:highlight w:val="none"/>
        </w:rPr>
        <w:t>3.价格</w:t>
      </w:r>
    </w:p>
    <w:p>
      <w:pPr>
        <w:pStyle w:val="103"/>
        <w:spacing w:line="360" w:lineRule="auto"/>
        <w:rPr>
          <w:rFonts w:hint="eastAsia" w:ascii="宋体" w:hAnsi="宋体"/>
          <w:color w:val="auto"/>
          <w:sz w:val="24"/>
          <w:highlight w:val="none"/>
        </w:rPr>
      </w:pPr>
      <w:r>
        <w:rPr>
          <w:rFonts w:hint="eastAsia" w:ascii="宋体" w:hAnsi="宋体"/>
          <w:color w:val="auto"/>
          <w:sz w:val="24"/>
          <w:highlight w:val="none"/>
        </w:rPr>
        <w:t>3.1</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本合同总价为</w:t>
      </w:r>
      <w:r>
        <w:rPr>
          <w:rFonts w:hint="eastAsia" w:ascii="宋体" w:hAnsi="宋体"/>
          <w:b/>
          <w:bCs/>
          <w:color w:val="auto"/>
          <w:sz w:val="24"/>
          <w:highlight w:val="none"/>
        </w:rPr>
        <w:t>“合同专用条款”</w:t>
      </w:r>
      <w:r>
        <w:rPr>
          <w:rFonts w:hint="eastAsia" w:ascii="宋体" w:hAnsi="宋体"/>
          <w:color w:val="auto"/>
          <w:sz w:val="24"/>
          <w:highlight w:val="none"/>
        </w:rPr>
        <w:t>标明的金额。合同总价是固定价格。</w:t>
      </w:r>
    </w:p>
    <w:p>
      <w:pPr>
        <w:pStyle w:val="103"/>
        <w:spacing w:line="360" w:lineRule="auto"/>
        <w:rPr>
          <w:rFonts w:hint="eastAsia" w:ascii="宋体" w:hAnsi="宋体"/>
          <w:color w:val="auto"/>
          <w:sz w:val="24"/>
          <w:highlight w:val="none"/>
        </w:rPr>
      </w:pPr>
      <w:r>
        <w:rPr>
          <w:rFonts w:hint="eastAsia" w:ascii="宋体" w:hAnsi="宋体"/>
          <w:color w:val="auto"/>
          <w:sz w:val="24"/>
          <w:highlight w:val="none"/>
        </w:rPr>
        <w:t>3.2</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合同货物的分项价格表详见合同附件1。 </w:t>
      </w:r>
    </w:p>
    <w:p>
      <w:pPr>
        <w:pStyle w:val="103"/>
        <w:spacing w:line="360" w:lineRule="auto"/>
        <w:ind w:left="-42" w:leftChars="-135" w:hanging="282" w:hangingChars="117"/>
        <w:rPr>
          <w:rFonts w:hint="eastAsia" w:ascii="宋体"/>
          <w:b/>
          <w:bCs/>
          <w:color w:val="auto"/>
          <w:sz w:val="24"/>
          <w:highlight w:val="none"/>
        </w:rPr>
      </w:pPr>
      <w:r>
        <w:rPr>
          <w:rFonts w:hint="eastAsia" w:ascii="宋体"/>
          <w:b/>
          <w:bCs/>
          <w:color w:val="auto"/>
          <w:sz w:val="24"/>
          <w:highlight w:val="none"/>
        </w:rPr>
        <w:t>4.</w:t>
      </w:r>
      <w:r>
        <w:rPr>
          <w:rFonts w:hint="eastAsia" w:ascii="宋体"/>
          <w:b/>
          <w:bCs/>
          <w:color w:val="auto"/>
          <w:sz w:val="24"/>
          <w:highlight w:val="none"/>
        </w:rPr>
        <w:tab/>
      </w:r>
      <w:r>
        <w:rPr>
          <w:rFonts w:hint="eastAsia" w:ascii="宋体"/>
          <w:b/>
          <w:bCs/>
          <w:color w:val="auto"/>
          <w:sz w:val="24"/>
          <w:highlight w:val="none"/>
        </w:rPr>
        <w:tab/>
      </w:r>
      <w:r>
        <w:rPr>
          <w:rFonts w:hint="eastAsia" w:ascii="宋体"/>
          <w:b/>
          <w:bCs/>
          <w:color w:val="auto"/>
          <w:sz w:val="24"/>
          <w:highlight w:val="none"/>
        </w:rPr>
        <w:t>支付</w:t>
      </w:r>
    </w:p>
    <w:p>
      <w:pPr>
        <w:pStyle w:val="103"/>
        <w:spacing w:line="360" w:lineRule="auto"/>
        <w:rPr>
          <w:rFonts w:hint="eastAsia" w:ascii="宋体" w:hAnsi="宋体"/>
          <w:color w:val="auto"/>
          <w:sz w:val="24"/>
          <w:highlight w:val="none"/>
        </w:rPr>
      </w:pPr>
      <w:r>
        <w:rPr>
          <w:rFonts w:hint="eastAsia" w:ascii="宋体" w:hAnsi="宋体"/>
          <w:color w:val="auto"/>
          <w:sz w:val="24"/>
          <w:highlight w:val="none"/>
        </w:rPr>
        <w:t>4.1</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买方应根据</w:t>
      </w:r>
      <w:r>
        <w:rPr>
          <w:rFonts w:hint="eastAsia" w:ascii="宋体" w:hAnsi="宋体"/>
          <w:b/>
          <w:bCs/>
          <w:color w:val="auto"/>
          <w:sz w:val="24"/>
          <w:highlight w:val="none"/>
        </w:rPr>
        <w:t>“合同专用条款”</w:t>
      </w:r>
      <w:r>
        <w:rPr>
          <w:rFonts w:hint="eastAsia" w:ascii="宋体" w:hAnsi="宋体"/>
          <w:color w:val="auto"/>
          <w:sz w:val="24"/>
          <w:highlight w:val="none"/>
        </w:rPr>
        <w:t>规定的支付方式进行支付。</w:t>
      </w:r>
    </w:p>
    <w:p>
      <w:pPr>
        <w:pStyle w:val="103"/>
        <w:spacing w:line="360" w:lineRule="auto"/>
        <w:ind w:left="-42" w:leftChars="-135" w:hanging="282" w:hangingChars="117"/>
        <w:rPr>
          <w:rFonts w:hint="eastAsia" w:ascii="宋体"/>
          <w:b/>
          <w:bCs/>
          <w:color w:val="auto"/>
          <w:sz w:val="24"/>
          <w:highlight w:val="none"/>
        </w:rPr>
      </w:pPr>
      <w:r>
        <w:rPr>
          <w:rFonts w:hint="eastAsia" w:ascii="宋体"/>
          <w:b/>
          <w:bCs/>
          <w:color w:val="auto"/>
          <w:sz w:val="24"/>
          <w:highlight w:val="none"/>
        </w:rPr>
        <w:t>5.履约保证金　</w:t>
      </w:r>
    </w:p>
    <w:p>
      <w:pPr>
        <w:pStyle w:val="103"/>
        <w:spacing w:line="360" w:lineRule="auto"/>
        <w:ind w:left="960" w:hanging="960" w:hangingChars="400"/>
        <w:rPr>
          <w:rFonts w:hint="eastAsia" w:ascii="宋体" w:hAnsi="宋体"/>
          <w:bCs/>
          <w:color w:val="auto"/>
          <w:sz w:val="24"/>
          <w:highlight w:val="none"/>
        </w:rPr>
      </w:pPr>
      <w:r>
        <w:rPr>
          <w:rFonts w:hint="eastAsia" w:ascii="宋体" w:hAnsi="宋体"/>
          <w:bCs/>
          <w:color w:val="auto"/>
          <w:sz w:val="24"/>
          <w:highlight w:val="none"/>
        </w:rPr>
        <w:t>5.1   卖方应在收到中标通知书后30日内，向买方提交“合同专用条款”中所规定金额的履约保证金。</w:t>
      </w:r>
    </w:p>
    <w:p>
      <w:pPr>
        <w:pStyle w:val="103"/>
        <w:spacing w:line="360" w:lineRule="auto"/>
        <w:ind w:left="960" w:hanging="960" w:hangingChars="400"/>
        <w:rPr>
          <w:rFonts w:hint="eastAsia" w:ascii="宋体" w:hAnsi="宋体"/>
          <w:bCs/>
          <w:color w:val="auto"/>
          <w:sz w:val="24"/>
          <w:highlight w:val="none"/>
        </w:rPr>
      </w:pPr>
      <w:r>
        <w:rPr>
          <w:rFonts w:hint="eastAsia" w:ascii="宋体" w:hAnsi="宋体"/>
          <w:bCs/>
          <w:color w:val="auto"/>
          <w:sz w:val="24"/>
          <w:highlight w:val="none"/>
        </w:rPr>
        <w:t>5.2   如果卖方在合同有效期内未能履行本合同项下卖方的义务，买方有权从履约保证金中追索。</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5.3   履约保证金应采用本合同货币，或“合同专用条款”中所规定的买方可</w:t>
      </w:r>
    </w:p>
    <w:p>
      <w:pPr>
        <w:pStyle w:val="103"/>
        <w:spacing w:line="360" w:lineRule="auto"/>
        <w:ind w:left="1094" w:leftChars="456"/>
        <w:rPr>
          <w:rFonts w:hint="eastAsia" w:ascii="宋体" w:hAnsi="宋体"/>
          <w:color w:val="auto"/>
          <w:sz w:val="24"/>
          <w:highlight w:val="none"/>
        </w:rPr>
      </w:pPr>
      <w:r>
        <w:rPr>
          <w:rFonts w:hint="eastAsia" w:ascii="宋体" w:hAnsi="宋体"/>
          <w:color w:val="auto"/>
          <w:sz w:val="24"/>
          <w:highlight w:val="none"/>
        </w:rPr>
        <w:t xml:space="preserve">以接受的一种可自由兑换的货币并根据“合同专用条款”的规定采用下述方式之一提交： </w:t>
      </w:r>
    </w:p>
    <w:p>
      <w:pPr>
        <w:pStyle w:val="103"/>
        <w:spacing w:line="360" w:lineRule="auto"/>
        <w:ind w:left="1061" w:leftChars="342" w:hanging="240" w:hangingChars="100"/>
        <w:rPr>
          <w:rFonts w:hint="eastAsia" w:ascii="宋体" w:hAnsi="宋体"/>
          <w:color w:val="auto"/>
          <w:sz w:val="24"/>
          <w:highlight w:val="none"/>
        </w:rPr>
      </w:pPr>
      <w:r>
        <w:rPr>
          <w:rFonts w:hint="eastAsia" w:ascii="宋体" w:hAnsi="宋体"/>
          <w:color w:val="auto"/>
          <w:sz w:val="24"/>
          <w:highlight w:val="none"/>
        </w:rPr>
        <w:t>银行保函：由买方可接受的的银行。其格式采用招标文件中提供的  格式或买方可接受的其他格式；或</w:t>
      </w:r>
    </w:p>
    <w:p>
      <w:pPr>
        <w:pStyle w:val="103"/>
        <w:spacing w:line="360" w:lineRule="auto"/>
        <w:ind w:left="1061" w:leftChars="342" w:hanging="240" w:hangingChars="100"/>
        <w:rPr>
          <w:rFonts w:hint="eastAsia" w:ascii="宋体" w:hAnsi="宋体"/>
          <w:color w:val="auto"/>
          <w:sz w:val="24"/>
          <w:highlight w:val="none"/>
        </w:rPr>
      </w:pPr>
      <w:r>
        <w:rPr>
          <w:rFonts w:hint="eastAsia" w:ascii="宋体" w:hAnsi="宋体"/>
          <w:color w:val="auto"/>
          <w:sz w:val="24"/>
          <w:highlight w:val="none"/>
        </w:rPr>
        <w:t xml:space="preserve">B. 银行本票、银行汇票或现金。 </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5.4   本合同第11.5条规定的保证期期满证书签署日期起60日后，履约保函</w:t>
      </w:r>
    </w:p>
    <w:p>
      <w:pPr>
        <w:pStyle w:val="103"/>
        <w:spacing w:line="360" w:lineRule="auto"/>
        <w:ind w:left="1061" w:leftChars="342" w:hanging="240" w:hangingChars="100"/>
        <w:rPr>
          <w:rFonts w:hint="eastAsia" w:ascii="宋体" w:hAnsi="宋体"/>
          <w:color w:val="auto"/>
          <w:sz w:val="24"/>
          <w:highlight w:val="none"/>
        </w:rPr>
      </w:pPr>
      <w:r>
        <w:rPr>
          <w:rFonts w:hint="eastAsia" w:ascii="宋体" w:hAnsi="宋体"/>
          <w:color w:val="auto"/>
          <w:sz w:val="24"/>
          <w:highlight w:val="none"/>
        </w:rPr>
        <w:t xml:space="preserve">失效，其他形式的履约保证金买方将退还卖方。 </w:t>
      </w:r>
    </w:p>
    <w:p>
      <w:pPr>
        <w:pStyle w:val="103"/>
        <w:spacing w:line="360" w:lineRule="auto"/>
        <w:ind w:left="-42" w:leftChars="-135" w:hanging="282" w:hangingChars="117"/>
        <w:rPr>
          <w:rFonts w:hint="eastAsia" w:ascii="宋体"/>
          <w:b/>
          <w:bCs/>
          <w:color w:val="auto"/>
          <w:sz w:val="24"/>
          <w:highlight w:val="none"/>
        </w:rPr>
      </w:pPr>
      <w:r>
        <w:rPr>
          <w:rFonts w:hint="eastAsia" w:ascii="宋体"/>
          <w:b/>
          <w:bCs/>
          <w:color w:val="auto"/>
          <w:sz w:val="24"/>
          <w:highlight w:val="none"/>
        </w:rPr>
        <w:t>6.交货和保险</w:t>
      </w:r>
    </w:p>
    <w:p>
      <w:pPr>
        <w:pStyle w:val="103"/>
        <w:spacing w:line="360" w:lineRule="auto"/>
        <w:rPr>
          <w:rFonts w:hint="eastAsia" w:ascii="宋体" w:hAnsi="宋体"/>
          <w:color w:val="auto"/>
          <w:sz w:val="24"/>
          <w:highlight w:val="none"/>
        </w:rPr>
      </w:pPr>
      <w:r>
        <w:rPr>
          <w:rFonts w:hint="eastAsia" w:ascii="宋体" w:hAnsi="宋体"/>
          <w:color w:val="auto"/>
          <w:sz w:val="24"/>
          <w:highlight w:val="none"/>
        </w:rPr>
        <w:t>6.1</w:t>
      </w:r>
      <w:r>
        <w:rPr>
          <w:rFonts w:hint="eastAsia" w:ascii="宋体" w:hAnsi="宋体"/>
          <w:b/>
          <w:color w:val="auto"/>
          <w:sz w:val="24"/>
          <w:highlight w:val="none"/>
        </w:rPr>
        <w:tab/>
      </w:r>
      <w:r>
        <w:rPr>
          <w:rFonts w:hint="eastAsia" w:ascii="宋体" w:hAnsi="宋体"/>
          <w:b/>
          <w:color w:val="auto"/>
          <w:sz w:val="24"/>
          <w:highlight w:val="none"/>
        </w:rPr>
        <w:tab/>
      </w:r>
      <w:r>
        <w:rPr>
          <w:rFonts w:hint="eastAsia" w:ascii="宋体" w:hAnsi="宋体"/>
          <w:color w:val="auto"/>
          <w:sz w:val="24"/>
          <w:highlight w:val="none"/>
        </w:rPr>
        <w:t>合同货物大约净重、总毛量、总体积规定见</w:t>
      </w:r>
      <w:r>
        <w:rPr>
          <w:rFonts w:hint="eastAsia" w:ascii="宋体" w:hAnsi="宋体"/>
          <w:b/>
          <w:bCs/>
          <w:color w:val="auto"/>
          <w:sz w:val="24"/>
          <w:highlight w:val="none"/>
        </w:rPr>
        <w:t>“合同专用条款”</w:t>
      </w:r>
      <w:r>
        <w:rPr>
          <w:rFonts w:hint="eastAsia" w:ascii="宋体" w:hAnsi="宋体"/>
          <w:color w:val="auto"/>
          <w:sz w:val="24"/>
          <w:highlight w:val="none"/>
        </w:rPr>
        <w:t>。</w:t>
      </w:r>
    </w:p>
    <w:p>
      <w:pPr>
        <w:pStyle w:val="103"/>
        <w:spacing w:line="360" w:lineRule="auto"/>
        <w:ind w:left="850" w:hanging="846"/>
        <w:rPr>
          <w:rFonts w:hint="eastAsia" w:ascii="宋体" w:hAnsi="宋体"/>
          <w:color w:val="auto"/>
          <w:sz w:val="24"/>
          <w:highlight w:val="none"/>
        </w:rPr>
      </w:pPr>
      <w:r>
        <w:rPr>
          <w:rFonts w:hint="eastAsia" w:ascii="宋体" w:hAnsi="宋体"/>
          <w:color w:val="auto"/>
          <w:sz w:val="24"/>
          <w:highlight w:val="none"/>
        </w:rPr>
        <w:t>6.2</w:t>
      </w:r>
      <w:r>
        <w:rPr>
          <w:rFonts w:hint="eastAsia" w:ascii="宋体" w:hAnsi="宋体"/>
          <w:color w:val="auto"/>
          <w:sz w:val="24"/>
          <w:highlight w:val="none"/>
        </w:rPr>
        <w:tab/>
      </w:r>
      <w:r>
        <w:rPr>
          <w:rFonts w:hint="eastAsia" w:ascii="宋体" w:hAnsi="宋体"/>
          <w:color w:val="auto"/>
          <w:sz w:val="24"/>
          <w:highlight w:val="none"/>
        </w:rPr>
        <w:t>卖方应按照</w:t>
      </w:r>
      <w:r>
        <w:rPr>
          <w:rFonts w:hint="eastAsia" w:ascii="宋体" w:hAnsi="宋体"/>
          <w:b/>
          <w:bCs/>
          <w:color w:val="auto"/>
          <w:sz w:val="24"/>
          <w:highlight w:val="none"/>
        </w:rPr>
        <w:t>“合同专用条款”</w:t>
      </w:r>
      <w:r>
        <w:rPr>
          <w:rFonts w:hint="eastAsia" w:ascii="宋体" w:hAnsi="宋体"/>
          <w:color w:val="auto"/>
          <w:sz w:val="24"/>
          <w:highlight w:val="none"/>
        </w:rPr>
        <w:t>规定的交货期限、批次和交货条件交付合</w:t>
      </w:r>
    </w:p>
    <w:p>
      <w:pPr>
        <w:pStyle w:val="103"/>
        <w:spacing w:line="360" w:lineRule="auto"/>
        <w:ind w:left="945" w:hanging="105"/>
        <w:rPr>
          <w:rFonts w:hint="eastAsia" w:ascii="宋体" w:hAnsi="宋体"/>
          <w:color w:val="auto"/>
          <w:sz w:val="24"/>
          <w:highlight w:val="none"/>
        </w:rPr>
      </w:pPr>
      <w:r>
        <w:rPr>
          <w:rFonts w:hint="eastAsia" w:ascii="宋体" w:hAnsi="宋体"/>
          <w:color w:val="auto"/>
          <w:sz w:val="24"/>
          <w:highlight w:val="none"/>
        </w:rPr>
        <w:t>同货物。实际交货日期的规定见</w:t>
      </w:r>
      <w:r>
        <w:rPr>
          <w:rFonts w:hint="eastAsia" w:ascii="宋体" w:hAnsi="宋体"/>
          <w:b/>
          <w:bCs/>
          <w:color w:val="auto"/>
          <w:sz w:val="24"/>
          <w:highlight w:val="none"/>
        </w:rPr>
        <w:t>“合同专用条款”</w:t>
      </w:r>
      <w:r>
        <w:rPr>
          <w:rFonts w:hint="eastAsia" w:ascii="宋体" w:hAnsi="宋体"/>
          <w:color w:val="auto"/>
          <w:sz w:val="24"/>
          <w:highlight w:val="none"/>
        </w:rPr>
        <w:t>。</w:t>
      </w:r>
    </w:p>
    <w:p>
      <w:pPr>
        <w:pStyle w:val="103"/>
        <w:spacing w:line="360" w:lineRule="auto"/>
        <w:rPr>
          <w:rFonts w:hint="eastAsia" w:ascii="宋体" w:hAnsi="宋体"/>
          <w:color w:val="auto"/>
          <w:sz w:val="24"/>
          <w:highlight w:val="none"/>
        </w:rPr>
      </w:pPr>
      <w:r>
        <w:rPr>
          <w:rFonts w:hint="eastAsia" w:ascii="宋体" w:hAnsi="宋体"/>
          <w:color w:val="auto"/>
          <w:sz w:val="24"/>
          <w:highlight w:val="none"/>
        </w:rPr>
        <w:t>6.3</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装运地点规定见</w:t>
      </w:r>
      <w:r>
        <w:rPr>
          <w:rFonts w:hint="eastAsia" w:ascii="宋体" w:hAnsi="宋体"/>
          <w:b/>
          <w:bCs/>
          <w:color w:val="auto"/>
          <w:sz w:val="24"/>
          <w:highlight w:val="none"/>
        </w:rPr>
        <w:t>“合同专用条款”</w:t>
      </w:r>
      <w:r>
        <w:rPr>
          <w:rFonts w:hint="eastAsia" w:ascii="宋体" w:hAnsi="宋体"/>
          <w:color w:val="auto"/>
          <w:sz w:val="24"/>
          <w:highlight w:val="none"/>
        </w:rPr>
        <w:t xml:space="preserve">。 </w:t>
      </w:r>
    </w:p>
    <w:p>
      <w:pPr>
        <w:pStyle w:val="103"/>
        <w:spacing w:line="360" w:lineRule="auto"/>
        <w:rPr>
          <w:rFonts w:hint="eastAsia" w:ascii="宋体" w:hAnsi="宋体"/>
          <w:color w:val="auto"/>
          <w:sz w:val="24"/>
          <w:highlight w:val="none"/>
        </w:rPr>
      </w:pPr>
      <w:r>
        <w:rPr>
          <w:rFonts w:hint="eastAsia" w:ascii="宋体" w:hAnsi="宋体"/>
          <w:color w:val="auto"/>
          <w:sz w:val="24"/>
          <w:highlight w:val="none"/>
        </w:rPr>
        <w:t>6.4</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卸货地点规定见</w:t>
      </w:r>
      <w:r>
        <w:rPr>
          <w:rFonts w:hint="eastAsia" w:ascii="宋体" w:hAnsi="宋体"/>
          <w:b/>
          <w:bCs/>
          <w:color w:val="auto"/>
          <w:sz w:val="24"/>
          <w:highlight w:val="none"/>
        </w:rPr>
        <w:t>“合同专用条款”</w:t>
      </w:r>
      <w:r>
        <w:rPr>
          <w:rFonts w:hint="eastAsia" w:ascii="宋体" w:hAnsi="宋体"/>
          <w:color w:val="auto"/>
          <w:sz w:val="24"/>
          <w:highlight w:val="none"/>
        </w:rPr>
        <w:t xml:space="preserve">。 </w:t>
      </w:r>
    </w:p>
    <w:p>
      <w:pPr>
        <w:pStyle w:val="103"/>
        <w:spacing w:line="360" w:lineRule="auto"/>
        <w:rPr>
          <w:rFonts w:hint="eastAsia" w:ascii="宋体" w:hAnsi="宋体"/>
          <w:color w:val="auto"/>
          <w:sz w:val="24"/>
          <w:highlight w:val="none"/>
        </w:rPr>
      </w:pPr>
      <w:r>
        <w:rPr>
          <w:rFonts w:hint="eastAsia" w:ascii="宋体" w:hAnsi="宋体"/>
          <w:color w:val="auto"/>
          <w:sz w:val="24"/>
          <w:highlight w:val="none"/>
        </w:rPr>
        <w:t>6.5</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在</w:t>
      </w:r>
      <w:r>
        <w:rPr>
          <w:rFonts w:hint="eastAsia" w:ascii="宋体" w:hAnsi="宋体"/>
          <w:b/>
          <w:bCs/>
          <w:color w:val="auto"/>
          <w:sz w:val="24"/>
          <w:highlight w:val="none"/>
        </w:rPr>
        <w:t>“合同专用条款”</w:t>
      </w:r>
      <w:r>
        <w:rPr>
          <w:rFonts w:hint="eastAsia" w:ascii="宋体" w:hAnsi="宋体"/>
          <w:color w:val="auto"/>
          <w:sz w:val="24"/>
          <w:highlight w:val="none"/>
        </w:rPr>
        <w:t>规定的期限内，卖方应将合同号、货物的名称、装</w:t>
      </w:r>
    </w:p>
    <w:p>
      <w:pPr>
        <w:pStyle w:val="103"/>
        <w:spacing w:line="360" w:lineRule="auto"/>
        <w:ind w:left="840"/>
        <w:rPr>
          <w:rFonts w:hint="eastAsia" w:ascii="宋体" w:hAnsi="宋体"/>
          <w:color w:val="auto"/>
          <w:sz w:val="24"/>
          <w:highlight w:val="none"/>
        </w:rPr>
      </w:pPr>
      <w:r>
        <w:rPr>
          <w:rFonts w:hint="eastAsia" w:ascii="宋体" w:hAnsi="宋体"/>
          <w:color w:val="auto"/>
          <w:sz w:val="24"/>
          <w:highlight w:val="none"/>
        </w:rPr>
        <w:t xml:space="preserve">运数量、金额、包装件数、总毛重、总体积（立方米）、以及货物准备发运和预计到达卸货地点的时间以传真方式通知买方。如果有易燃货物和危险货物，亦应注明有关细节。 </w:t>
      </w:r>
    </w:p>
    <w:p>
      <w:pPr>
        <w:pStyle w:val="103"/>
        <w:spacing w:line="360" w:lineRule="auto"/>
        <w:rPr>
          <w:rFonts w:hint="eastAsia" w:ascii="宋体" w:hAnsi="宋体"/>
          <w:color w:val="auto"/>
          <w:sz w:val="24"/>
          <w:highlight w:val="none"/>
        </w:rPr>
      </w:pPr>
      <w:r>
        <w:rPr>
          <w:rFonts w:hint="eastAsia" w:ascii="宋体" w:hAnsi="宋体"/>
          <w:color w:val="auto"/>
          <w:sz w:val="24"/>
          <w:highlight w:val="none"/>
        </w:rPr>
        <w:t>6.6</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卖方应按</w:t>
      </w:r>
      <w:r>
        <w:rPr>
          <w:rFonts w:hint="eastAsia" w:ascii="宋体" w:hAnsi="宋体"/>
          <w:b/>
          <w:bCs/>
          <w:color w:val="auto"/>
          <w:sz w:val="24"/>
          <w:highlight w:val="none"/>
        </w:rPr>
        <w:t>“合同专用条款”</w:t>
      </w:r>
      <w:r>
        <w:rPr>
          <w:rFonts w:hint="eastAsia" w:ascii="宋体" w:hAnsi="宋体"/>
          <w:color w:val="auto"/>
          <w:sz w:val="24"/>
          <w:highlight w:val="none"/>
        </w:rPr>
        <w:t xml:space="preserve">中的有关规定装运并交付合同货物。 </w:t>
      </w:r>
    </w:p>
    <w:p>
      <w:pPr>
        <w:pStyle w:val="103"/>
        <w:spacing w:line="360" w:lineRule="auto"/>
        <w:ind w:right="-139" w:rightChars="-58"/>
        <w:jc w:val="left"/>
        <w:rPr>
          <w:rFonts w:hint="eastAsia" w:ascii="宋体" w:hAnsi="宋体"/>
          <w:color w:val="auto"/>
          <w:sz w:val="24"/>
          <w:highlight w:val="none"/>
        </w:rPr>
      </w:pPr>
      <w:r>
        <w:rPr>
          <w:rFonts w:hint="eastAsia" w:ascii="宋体" w:hAnsi="宋体"/>
          <w:color w:val="auto"/>
          <w:sz w:val="24"/>
          <w:highlight w:val="none"/>
        </w:rPr>
        <w:t xml:space="preserve">6.7  </w:t>
      </w:r>
      <w:r>
        <w:rPr>
          <w:rFonts w:hint="eastAsia" w:ascii="宋体" w:hAnsi="宋体"/>
          <w:color w:val="auto"/>
          <w:sz w:val="24"/>
          <w:highlight w:val="none"/>
        </w:rPr>
        <w:tab/>
      </w:r>
      <w:r>
        <w:rPr>
          <w:rFonts w:hint="eastAsia" w:ascii="宋体" w:hAnsi="宋体"/>
          <w:color w:val="auto"/>
          <w:sz w:val="24"/>
          <w:highlight w:val="none"/>
        </w:rPr>
        <w:t>卖方应向一流的保险公司投保金额为装运的合同货物的发票价值110 ％</w:t>
      </w:r>
    </w:p>
    <w:p>
      <w:pPr>
        <w:pStyle w:val="103"/>
        <w:spacing w:line="360" w:lineRule="auto"/>
        <w:ind w:left="840"/>
        <w:jc w:val="left"/>
        <w:rPr>
          <w:rFonts w:hint="eastAsia" w:ascii="宋体" w:hAnsi="宋体"/>
          <w:color w:val="auto"/>
          <w:sz w:val="24"/>
          <w:highlight w:val="none"/>
        </w:rPr>
      </w:pPr>
      <w:r>
        <w:rPr>
          <w:rFonts w:hint="eastAsia" w:ascii="宋体" w:hAnsi="宋体"/>
          <w:color w:val="auto"/>
          <w:sz w:val="24"/>
          <w:highlight w:val="none"/>
        </w:rPr>
        <w:t xml:space="preserve">的货物运输保险。若交货地点为买方项目现场，则以卖方为受益人；若交货地点为卖方工厂，卖方代办货物运输及保险，则以买方为受益人。如果合同货物在运输途中丢失或损坏，卖方应协助买方向保险公司请求赔偿或者代表买方向保险公司索赔，并根据买方要求尽快以原合同价格补供丢失或损坏的合同货物。 </w:t>
      </w:r>
    </w:p>
    <w:p>
      <w:pPr>
        <w:pStyle w:val="103"/>
        <w:spacing w:line="360" w:lineRule="auto"/>
        <w:jc w:val="left"/>
        <w:rPr>
          <w:rFonts w:hint="eastAsia" w:ascii="宋体" w:hAnsi="宋体"/>
          <w:color w:val="auto"/>
          <w:sz w:val="24"/>
          <w:highlight w:val="none"/>
        </w:rPr>
      </w:pPr>
      <w:r>
        <w:rPr>
          <w:rFonts w:hint="eastAsia" w:ascii="宋体" w:hAnsi="宋体"/>
          <w:color w:val="auto"/>
          <w:sz w:val="24"/>
          <w:highlight w:val="none"/>
        </w:rPr>
        <w:t>6.8</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如果卖方未能按照合同规定的交货期间交货，卖方应按</w:t>
      </w:r>
      <w:r>
        <w:rPr>
          <w:rFonts w:hint="eastAsia" w:ascii="宋体" w:hAnsi="宋体"/>
          <w:b/>
          <w:bCs/>
          <w:color w:val="auto"/>
          <w:sz w:val="24"/>
          <w:highlight w:val="none"/>
        </w:rPr>
        <w:t>“合同专用条款”</w:t>
      </w:r>
    </w:p>
    <w:p>
      <w:pPr>
        <w:pStyle w:val="102"/>
        <w:spacing w:line="360" w:lineRule="auto"/>
        <w:ind w:left="960" w:leftChars="400" w:firstLine="0"/>
        <w:rPr>
          <w:rFonts w:hint="eastAsia"/>
          <w:color w:val="auto"/>
          <w:sz w:val="24"/>
          <w:highlight w:val="none"/>
        </w:rPr>
      </w:pPr>
      <w:r>
        <w:rPr>
          <w:rFonts w:hint="eastAsia"/>
          <w:color w:val="auto"/>
          <w:sz w:val="24"/>
          <w:highlight w:val="none"/>
        </w:rPr>
        <w:t>的规定支付迟交违约金或提供其他救济。迟交违约金的支付不能免除卖方继续交付相关合同货物的义务。</w:t>
      </w:r>
    </w:p>
    <w:p>
      <w:pPr>
        <w:pStyle w:val="103"/>
        <w:spacing w:line="360" w:lineRule="auto"/>
        <w:ind w:left="-42" w:leftChars="-135" w:hanging="282" w:hangingChars="117"/>
        <w:rPr>
          <w:rFonts w:hint="eastAsia" w:ascii="宋体"/>
          <w:b/>
          <w:bCs/>
          <w:color w:val="auto"/>
          <w:sz w:val="24"/>
          <w:highlight w:val="none"/>
        </w:rPr>
      </w:pPr>
      <w:r>
        <w:rPr>
          <w:rFonts w:hint="eastAsia" w:ascii="宋体"/>
          <w:b/>
          <w:bCs/>
          <w:color w:val="auto"/>
          <w:sz w:val="24"/>
          <w:highlight w:val="none"/>
        </w:rPr>
        <w:t>7. 包装与标记</w:t>
      </w:r>
      <w:r>
        <w:rPr>
          <w:rFonts w:hint="eastAsia" w:ascii="宋体"/>
          <w:b/>
          <w:bCs/>
          <w:color w:val="auto"/>
          <w:sz w:val="24"/>
          <w:highlight w:val="none"/>
        </w:rPr>
        <w:tab/>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7.1    除非合同中另有规定，合同货物应由卖方用新的坚固的木箱进行包装并采取防潮、防雨、防锈、防腐蚀、防震动及防止其它损坏的必要保护措施，从而保证合同货物能够经受多次搬运、装卸及远洋和内陆的长途运输。</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 xml:space="preserve">7.2   卖方应在每个包装箱的邻接四个侧面标明“合同专用条款”规定的内容。根据合同货物在装卸、运输上的不同要求，应在包装箱上显著地标明“轻放”、“勿倒置”、“保持干燥”等字样以及其它国际运输中通用的标记。对于重量为二公吨或超过二公吨的合同货物，还应在包装箱上标明重量、重心和挂钩位置。 </w:t>
      </w:r>
    </w:p>
    <w:p>
      <w:pPr>
        <w:pStyle w:val="103"/>
        <w:spacing w:line="360" w:lineRule="auto"/>
        <w:rPr>
          <w:rFonts w:hint="eastAsia" w:ascii="宋体" w:hAnsi="宋体"/>
          <w:color w:val="auto"/>
          <w:sz w:val="24"/>
          <w:highlight w:val="none"/>
        </w:rPr>
      </w:pPr>
      <w:r>
        <w:rPr>
          <w:rFonts w:hint="eastAsia" w:ascii="宋体" w:hAnsi="宋体"/>
          <w:color w:val="auto"/>
          <w:sz w:val="24"/>
          <w:highlight w:val="none"/>
        </w:rPr>
        <w:t>7.3</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在合同货物的每件包装中都应附有下列单据： </w:t>
      </w:r>
    </w:p>
    <w:p>
      <w:pPr>
        <w:pStyle w:val="103"/>
        <w:spacing w:line="360" w:lineRule="auto"/>
        <w:ind w:left="840" w:firstLine="105"/>
        <w:rPr>
          <w:rFonts w:hint="eastAsia" w:ascii="宋体" w:hAnsi="宋体"/>
          <w:color w:val="auto"/>
          <w:sz w:val="24"/>
          <w:highlight w:val="none"/>
        </w:rPr>
      </w:pPr>
      <w:r>
        <w:rPr>
          <w:rFonts w:hint="eastAsia" w:ascii="宋体" w:hAnsi="宋体"/>
          <w:color w:val="auto"/>
          <w:sz w:val="24"/>
          <w:highlight w:val="none"/>
        </w:rPr>
        <w:t xml:space="preserve">A. 装箱明细单副本一式两份； </w:t>
      </w:r>
    </w:p>
    <w:p>
      <w:pPr>
        <w:pStyle w:val="103"/>
        <w:spacing w:line="360" w:lineRule="auto"/>
        <w:ind w:left="840" w:firstLine="105"/>
        <w:rPr>
          <w:rFonts w:hint="eastAsia" w:ascii="宋体" w:hAnsi="宋体"/>
          <w:color w:val="auto"/>
          <w:sz w:val="24"/>
          <w:highlight w:val="none"/>
        </w:rPr>
      </w:pPr>
      <w:r>
        <w:rPr>
          <w:rFonts w:hint="eastAsia" w:ascii="宋体" w:hAnsi="宋体"/>
          <w:color w:val="auto"/>
          <w:sz w:val="24"/>
          <w:highlight w:val="none"/>
        </w:rPr>
        <w:t xml:space="preserve">B. 质量合格证副本一式两份； </w:t>
      </w:r>
    </w:p>
    <w:p>
      <w:pPr>
        <w:pStyle w:val="103"/>
        <w:spacing w:line="360" w:lineRule="auto"/>
        <w:ind w:left="840" w:firstLine="105"/>
        <w:rPr>
          <w:rFonts w:hint="eastAsia" w:ascii="宋体" w:hAnsi="宋体"/>
          <w:color w:val="auto"/>
          <w:sz w:val="24"/>
          <w:highlight w:val="none"/>
        </w:rPr>
      </w:pPr>
      <w:r>
        <w:rPr>
          <w:rFonts w:hint="eastAsia" w:ascii="宋体" w:hAnsi="宋体"/>
          <w:color w:val="auto"/>
          <w:sz w:val="24"/>
          <w:highlight w:val="none"/>
        </w:rPr>
        <w:t xml:space="preserve">C. 相关合同货物的技术资料一份； </w:t>
      </w:r>
    </w:p>
    <w:p>
      <w:pPr>
        <w:pStyle w:val="103"/>
        <w:spacing w:line="360" w:lineRule="auto"/>
        <w:ind w:left="840" w:firstLine="105"/>
        <w:rPr>
          <w:rFonts w:hint="eastAsia" w:ascii="宋体" w:hAnsi="宋体"/>
          <w:color w:val="auto"/>
          <w:sz w:val="24"/>
          <w:highlight w:val="none"/>
        </w:rPr>
      </w:pPr>
      <w:r>
        <w:rPr>
          <w:rFonts w:hint="eastAsia" w:ascii="宋体" w:hAnsi="宋体"/>
          <w:color w:val="auto"/>
          <w:sz w:val="24"/>
          <w:highlight w:val="none"/>
        </w:rPr>
        <w:t>D. 需要组装的部件及机器的系统装配图一式两份。</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7.4</w:t>
      </w:r>
      <w:r>
        <w:rPr>
          <w:rFonts w:hint="eastAsia" w:ascii="宋体" w:hAnsi="宋体"/>
          <w:color w:val="auto"/>
          <w:sz w:val="24"/>
          <w:highlight w:val="none"/>
        </w:rPr>
        <w:tab/>
      </w:r>
      <w:r>
        <w:rPr>
          <w:rFonts w:hint="eastAsia" w:ascii="宋体" w:hAnsi="宋体"/>
          <w:color w:val="auto"/>
          <w:sz w:val="24"/>
          <w:highlight w:val="none"/>
        </w:rPr>
        <w:t xml:space="preserve">如果使用集装箱运输，卖方应在装箱以前对集装箱的状况进行检查，以确保用于运输合同货物的集装箱状态良好。集装箱内应备有充足的货物支架和包装垫木，以防止合同货物在集装箱内移动。卖方应对因其疏忽而导致的合同货物的任何损坏负责。 </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7.5</w:t>
      </w:r>
      <w:r>
        <w:rPr>
          <w:rFonts w:hint="eastAsia" w:ascii="宋体" w:hAnsi="宋体"/>
          <w:color w:val="auto"/>
          <w:sz w:val="24"/>
          <w:highlight w:val="none"/>
        </w:rPr>
        <w:tab/>
      </w:r>
      <w:r>
        <w:rPr>
          <w:rFonts w:hint="eastAsia" w:ascii="宋体" w:hAnsi="宋体"/>
          <w:color w:val="auto"/>
          <w:sz w:val="24"/>
          <w:highlight w:val="none"/>
        </w:rPr>
        <w:t xml:space="preserve">凡由于对货物包装不当或采取防护措施不充分致使货物损坏或丢失时，卖方均应按合同的规定负责修理、更换或赔偿。如果因卖方在包装和唛头标记方面发生的错误或混淆不清事宜造成合同货物的误运，卖方应承担由此发生的额外费用。 </w:t>
      </w:r>
    </w:p>
    <w:p>
      <w:pPr>
        <w:pStyle w:val="103"/>
        <w:spacing w:line="360" w:lineRule="auto"/>
        <w:ind w:left="-42" w:leftChars="-135" w:hanging="282" w:hangingChars="117"/>
        <w:rPr>
          <w:rFonts w:hint="eastAsia" w:ascii="宋体"/>
          <w:b/>
          <w:bCs/>
          <w:color w:val="auto"/>
          <w:sz w:val="24"/>
          <w:highlight w:val="none"/>
        </w:rPr>
      </w:pPr>
      <w:r>
        <w:rPr>
          <w:rFonts w:hint="eastAsia" w:ascii="宋体"/>
          <w:b/>
          <w:bCs/>
          <w:color w:val="auto"/>
          <w:sz w:val="24"/>
          <w:highlight w:val="none"/>
        </w:rPr>
        <w:t>8.技术资料</w:t>
      </w:r>
    </w:p>
    <w:p>
      <w:pPr>
        <w:pStyle w:val="103"/>
        <w:spacing w:line="360" w:lineRule="auto"/>
        <w:jc w:val="left"/>
        <w:rPr>
          <w:rFonts w:hint="eastAsia" w:ascii="宋体" w:hAnsi="宋体"/>
          <w:color w:val="auto"/>
          <w:sz w:val="24"/>
          <w:highlight w:val="none"/>
        </w:rPr>
      </w:pPr>
      <w:r>
        <w:rPr>
          <w:rFonts w:hint="eastAsia" w:ascii="宋体" w:hAnsi="宋体"/>
          <w:color w:val="auto"/>
          <w:sz w:val="24"/>
          <w:highlight w:val="none"/>
        </w:rPr>
        <w:t>8.1</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pacing w:val="-10"/>
          <w:sz w:val="24"/>
          <w:highlight w:val="none"/>
        </w:rPr>
        <w:t>卖方应按照</w:t>
      </w:r>
      <w:r>
        <w:rPr>
          <w:rFonts w:hint="eastAsia" w:ascii="宋体" w:hAnsi="宋体"/>
          <w:b/>
          <w:bCs/>
          <w:color w:val="auto"/>
          <w:sz w:val="24"/>
          <w:highlight w:val="none"/>
        </w:rPr>
        <w:t>“合同专用条款”</w:t>
      </w:r>
      <w:r>
        <w:rPr>
          <w:rFonts w:hint="eastAsia" w:ascii="宋体" w:hAnsi="宋体"/>
          <w:color w:val="auto"/>
          <w:spacing w:val="-10"/>
          <w:sz w:val="24"/>
          <w:highlight w:val="none"/>
        </w:rPr>
        <w:t>规定的期限和方式交付技术资料。</w:t>
      </w:r>
    </w:p>
    <w:p>
      <w:pPr>
        <w:pStyle w:val="103"/>
        <w:spacing w:line="360" w:lineRule="auto"/>
        <w:ind w:left="-42" w:leftChars="-135" w:hanging="282" w:hangingChars="117"/>
        <w:rPr>
          <w:rFonts w:hint="eastAsia" w:ascii="宋体"/>
          <w:b/>
          <w:bCs/>
          <w:color w:val="auto"/>
          <w:sz w:val="24"/>
          <w:highlight w:val="none"/>
        </w:rPr>
      </w:pPr>
      <w:r>
        <w:rPr>
          <w:rFonts w:hint="eastAsia" w:ascii="宋体"/>
          <w:b/>
          <w:bCs/>
          <w:color w:val="auto"/>
          <w:sz w:val="24"/>
          <w:highlight w:val="none"/>
        </w:rPr>
        <w:t>9.检验</w:t>
      </w:r>
    </w:p>
    <w:p>
      <w:pPr>
        <w:pStyle w:val="103"/>
        <w:spacing w:line="360" w:lineRule="auto"/>
        <w:jc w:val="left"/>
        <w:rPr>
          <w:rFonts w:hint="eastAsia" w:ascii="宋体" w:hAnsi="宋体"/>
          <w:color w:val="auto"/>
          <w:sz w:val="24"/>
          <w:highlight w:val="none"/>
        </w:rPr>
      </w:pPr>
      <w:r>
        <w:rPr>
          <w:rFonts w:hint="eastAsia" w:ascii="宋体" w:hAnsi="宋体"/>
          <w:color w:val="auto"/>
          <w:sz w:val="24"/>
          <w:highlight w:val="none"/>
        </w:rPr>
        <w:t>9.1</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卖方或制造商应按照</w:t>
      </w:r>
      <w:r>
        <w:rPr>
          <w:rFonts w:hint="eastAsia" w:ascii="宋体" w:hAnsi="宋体"/>
          <w:b/>
          <w:bCs/>
          <w:color w:val="auto"/>
          <w:sz w:val="24"/>
          <w:highlight w:val="none"/>
        </w:rPr>
        <w:t>“合同专用条款”</w:t>
      </w:r>
      <w:r>
        <w:rPr>
          <w:rFonts w:hint="eastAsia" w:ascii="宋体" w:hAnsi="宋体"/>
          <w:color w:val="auto"/>
          <w:sz w:val="24"/>
          <w:highlight w:val="none"/>
        </w:rPr>
        <w:t>的规定对合同货物进行出厂检验。9.2</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在</w:t>
      </w:r>
      <w:r>
        <w:rPr>
          <w:rFonts w:hint="eastAsia" w:ascii="宋体" w:hAnsi="宋体"/>
          <w:b/>
          <w:bCs/>
          <w:color w:val="auto"/>
          <w:sz w:val="24"/>
          <w:highlight w:val="none"/>
        </w:rPr>
        <w:t>“合同专用条款”</w:t>
      </w:r>
      <w:r>
        <w:rPr>
          <w:rFonts w:hint="eastAsia" w:ascii="宋体" w:hAnsi="宋体"/>
          <w:color w:val="auto"/>
          <w:sz w:val="24"/>
          <w:highlight w:val="none"/>
        </w:rPr>
        <w:t xml:space="preserve">规定的期限内，买方应申请检验当局就合同货物的   </w:t>
      </w:r>
    </w:p>
    <w:p>
      <w:pPr>
        <w:pStyle w:val="103"/>
        <w:spacing w:line="360" w:lineRule="auto"/>
        <w:ind w:left="1094" w:leftChars="456"/>
        <w:jc w:val="left"/>
        <w:rPr>
          <w:rFonts w:hint="eastAsia" w:ascii="宋体" w:hAnsi="宋体"/>
          <w:color w:val="auto"/>
          <w:sz w:val="24"/>
          <w:highlight w:val="none"/>
        </w:rPr>
      </w:pPr>
      <w:r>
        <w:rPr>
          <w:rFonts w:hint="eastAsia" w:ascii="宋体" w:hAnsi="宋体"/>
          <w:color w:val="auto"/>
          <w:sz w:val="24"/>
          <w:highlight w:val="none"/>
        </w:rPr>
        <w:t xml:space="preserve">外观、规格和数量／重量进行检验。如果在开箱检验中发现交付的合同货物有短少、缺陷、损坏或其它与合同规定不符合的情形，检验当局出具的商检证书应作为买方向卖方提出索赔的有效证据。 </w:t>
      </w:r>
    </w:p>
    <w:p>
      <w:pPr>
        <w:pStyle w:val="103"/>
        <w:spacing w:line="360" w:lineRule="auto"/>
        <w:ind w:left="943" w:hanging="943" w:hangingChars="393"/>
        <w:rPr>
          <w:rFonts w:hint="eastAsia" w:ascii="宋体" w:hAnsi="宋体"/>
          <w:color w:val="auto"/>
          <w:sz w:val="24"/>
          <w:highlight w:val="none"/>
        </w:rPr>
      </w:pPr>
      <w:r>
        <w:rPr>
          <w:rFonts w:hint="eastAsia" w:ascii="宋体" w:hAnsi="宋体"/>
          <w:color w:val="auto"/>
          <w:sz w:val="24"/>
          <w:highlight w:val="none"/>
        </w:rPr>
        <w:t xml:space="preserve">9.3 </w:t>
      </w:r>
      <w:r>
        <w:rPr>
          <w:rFonts w:hint="eastAsia" w:ascii="宋体" w:hAnsi="宋体"/>
          <w:color w:val="auto"/>
          <w:sz w:val="24"/>
          <w:highlight w:val="none"/>
        </w:rPr>
        <w:tab/>
      </w:r>
      <w:r>
        <w:rPr>
          <w:rFonts w:hint="eastAsia" w:ascii="宋体" w:hAnsi="宋体"/>
          <w:color w:val="auto"/>
          <w:sz w:val="24"/>
          <w:highlight w:val="none"/>
        </w:rPr>
        <w:t xml:space="preserve">如果在保证期满前发现合同货物存在缺陷，不论该缺陷是由于归咎于卖方的何种原因，包括但不限于隐蔽性缺陷或使用不适当的原材料引起的，买方均有权提请检验当局进行检验并有权凭商检证书向卖方提出索赔。 </w:t>
      </w:r>
    </w:p>
    <w:p>
      <w:pPr>
        <w:pStyle w:val="103"/>
        <w:spacing w:line="360" w:lineRule="auto"/>
        <w:ind w:left="943" w:hanging="943" w:hangingChars="393"/>
        <w:jc w:val="left"/>
        <w:rPr>
          <w:rFonts w:hint="eastAsia" w:ascii="宋体" w:hAnsi="宋体"/>
          <w:color w:val="auto"/>
          <w:sz w:val="24"/>
          <w:highlight w:val="none"/>
        </w:rPr>
      </w:pPr>
      <w:r>
        <w:rPr>
          <w:rFonts w:hint="eastAsia" w:ascii="宋体" w:hAnsi="宋体"/>
          <w:color w:val="auto"/>
          <w:sz w:val="24"/>
          <w:highlight w:val="none"/>
        </w:rPr>
        <w:t xml:space="preserve">9.4 </w:t>
      </w:r>
      <w:r>
        <w:rPr>
          <w:rFonts w:hint="eastAsia" w:ascii="宋体" w:hAnsi="宋体"/>
          <w:color w:val="auto"/>
          <w:sz w:val="24"/>
          <w:highlight w:val="none"/>
        </w:rPr>
        <w:tab/>
      </w:r>
      <w:r>
        <w:rPr>
          <w:rFonts w:hint="eastAsia" w:ascii="宋体" w:hAnsi="宋体"/>
          <w:color w:val="auto"/>
          <w:sz w:val="24"/>
          <w:highlight w:val="none"/>
        </w:rPr>
        <w:t xml:space="preserve">如果技术资料中规定的检验标准和规格不完全，检验当局有权自行决定按照买方国家的现行标准和／或检验当局认为合适的其它标准进行检验。 </w:t>
      </w:r>
    </w:p>
    <w:p>
      <w:pPr>
        <w:pStyle w:val="103"/>
        <w:spacing w:line="360" w:lineRule="auto"/>
        <w:ind w:left="-42" w:leftChars="-135" w:hanging="282" w:hangingChars="117"/>
        <w:rPr>
          <w:rFonts w:hint="eastAsia" w:ascii="宋体"/>
          <w:b/>
          <w:bCs/>
          <w:color w:val="auto"/>
          <w:sz w:val="24"/>
          <w:highlight w:val="none"/>
        </w:rPr>
      </w:pPr>
      <w:r>
        <w:rPr>
          <w:rFonts w:hint="eastAsia" w:ascii="宋体"/>
          <w:b/>
          <w:bCs/>
          <w:color w:val="auto"/>
          <w:sz w:val="24"/>
          <w:highlight w:val="none"/>
        </w:rPr>
        <w:t>10.技术服务和考核验收</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10.1</w:t>
      </w:r>
      <w:r>
        <w:rPr>
          <w:rFonts w:hint="eastAsia" w:ascii="宋体" w:hAnsi="宋体"/>
          <w:color w:val="auto"/>
          <w:sz w:val="24"/>
          <w:highlight w:val="none"/>
        </w:rPr>
        <w:tab/>
      </w:r>
      <w:r>
        <w:rPr>
          <w:rFonts w:hint="eastAsia" w:ascii="宋体" w:hAnsi="宋体"/>
          <w:color w:val="auto"/>
          <w:sz w:val="24"/>
          <w:highlight w:val="none"/>
        </w:rPr>
        <w:t>合同货物的安装、试运行、性能考核应按照</w:t>
      </w:r>
      <w:r>
        <w:rPr>
          <w:rFonts w:hint="eastAsia" w:ascii="宋体" w:hAnsi="宋体"/>
          <w:b/>
          <w:bCs/>
          <w:color w:val="auto"/>
          <w:sz w:val="24"/>
          <w:highlight w:val="none"/>
        </w:rPr>
        <w:t>“合同专用条款”</w:t>
      </w:r>
      <w:r>
        <w:rPr>
          <w:rFonts w:hint="eastAsia" w:ascii="宋体" w:hAnsi="宋体"/>
          <w:color w:val="auto"/>
          <w:sz w:val="24"/>
          <w:highlight w:val="none"/>
        </w:rPr>
        <w:t>的规定进行。</w:t>
      </w:r>
    </w:p>
    <w:p>
      <w:pPr>
        <w:pStyle w:val="103"/>
        <w:spacing w:line="360" w:lineRule="auto"/>
        <w:ind w:left="943" w:hanging="943" w:hangingChars="393"/>
        <w:rPr>
          <w:rFonts w:hint="eastAsia" w:ascii="宋体" w:hAnsi="宋体"/>
          <w:color w:val="auto"/>
          <w:sz w:val="24"/>
          <w:highlight w:val="none"/>
        </w:rPr>
      </w:pPr>
      <w:r>
        <w:rPr>
          <w:rFonts w:hint="eastAsia" w:ascii="宋体" w:hAnsi="宋体"/>
          <w:color w:val="auto"/>
          <w:sz w:val="24"/>
          <w:highlight w:val="none"/>
        </w:rPr>
        <w:t>10.2</w:t>
      </w:r>
      <w:r>
        <w:rPr>
          <w:rFonts w:hint="eastAsia" w:ascii="宋体" w:hAnsi="宋体"/>
          <w:color w:val="auto"/>
          <w:sz w:val="24"/>
          <w:highlight w:val="none"/>
        </w:rPr>
        <w:tab/>
      </w:r>
      <w:r>
        <w:rPr>
          <w:rFonts w:hint="eastAsia" w:ascii="宋体" w:hAnsi="宋体"/>
          <w:color w:val="auto"/>
          <w:sz w:val="24"/>
          <w:highlight w:val="none"/>
        </w:rPr>
        <w:t xml:space="preserve">在安装工作按照技术资料的规定完成后，合同双方应在安装结束后5日内签署安装证书。该证书的签署日期应视为安装工作完成日。 </w:t>
      </w:r>
    </w:p>
    <w:p>
      <w:pPr>
        <w:pStyle w:val="103"/>
        <w:spacing w:line="360" w:lineRule="auto"/>
        <w:rPr>
          <w:rFonts w:hint="eastAsia" w:ascii="宋体" w:hAnsi="宋体"/>
          <w:color w:val="auto"/>
          <w:sz w:val="24"/>
          <w:highlight w:val="none"/>
        </w:rPr>
      </w:pPr>
      <w:r>
        <w:rPr>
          <w:rFonts w:hint="eastAsia" w:ascii="宋体" w:hAnsi="宋体"/>
          <w:color w:val="auto"/>
          <w:sz w:val="24"/>
          <w:highlight w:val="none"/>
        </w:rPr>
        <w:t>10.3</w:t>
      </w:r>
      <w:r>
        <w:rPr>
          <w:rFonts w:hint="eastAsia" w:ascii="宋体" w:hAnsi="宋体"/>
          <w:color w:val="auto"/>
          <w:sz w:val="24"/>
          <w:highlight w:val="none"/>
        </w:rPr>
        <w:tab/>
      </w:r>
      <w:r>
        <w:rPr>
          <w:rFonts w:hint="eastAsia" w:ascii="宋体" w:hAnsi="宋体"/>
          <w:color w:val="auto"/>
          <w:sz w:val="24"/>
          <w:highlight w:val="none"/>
        </w:rPr>
        <w:t>合同双方应按照</w:t>
      </w:r>
      <w:r>
        <w:rPr>
          <w:rFonts w:hint="eastAsia" w:ascii="宋体" w:hAnsi="宋体"/>
          <w:b/>
          <w:bCs/>
          <w:color w:val="auto"/>
          <w:sz w:val="24"/>
          <w:highlight w:val="none"/>
        </w:rPr>
        <w:t>“合同专用条款”</w:t>
      </w:r>
      <w:r>
        <w:rPr>
          <w:rFonts w:hint="eastAsia" w:ascii="宋体" w:hAnsi="宋体"/>
          <w:color w:val="auto"/>
          <w:sz w:val="24"/>
          <w:highlight w:val="none"/>
        </w:rPr>
        <w:t xml:space="preserve">的规定对合同货物进行性能考核。 </w:t>
      </w:r>
    </w:p>
    <w:p>
      <w:pPr>
        <w:pStyle w:val="103"/>
        <w:spacing w:line="360" w:lineRule="auto"/>
        <w:ind w:left="960" w:hanging="960" w:hangingChars="400"/>
        <w:rPr>
          <w:rFonts w:hint="eastAsia" w:ascii="宋体" w:hAnsi="宋体"/>
          <w:color w:val="auto"/>
          <w:sz w:val="24"/>
          <w:highlight w:val="none"/>
        </w:rPr>
      </w:pPr>
      <w:r>
        <w:rPr>
          <w:rFonts w:hint="eastAsia" w:ascii="宋体" w:hAnsi="宋体"/>
          <w:color w:val="auto"/>
          <w:sz w:val="24"/>
          <w:highlight w:val="none"/>
        </w:rPr>
        <w:t>10.4</w:t>
      </w:r>
      <w:r>
        <w:rPr>
          <w:rFonts w:hint="eastAsia" w:ascii="宋体" w:hAnsi="宋体"/>
          <w:color w:val="auto"/>
          <w:sz w:val="24"/>
          <w:highlight w:val="none"/>
        </w:rPr>
        <w:tab/>
      </w:r>
      <w:r>
        <w:rPr>
          <w:rFonts w:hint="eastAsia" w:ascii="宋体" w:hAnsi="宋体"/>
          <w:color w:val="auto"/>
          <w:sz w:val="24"/>
          <w:highlight w:val="none"/>
        </w:rPr>
        <w:t xml:space="preserve">如果合同附件2所规定的所有保证指标在性能考核中都已经达到，双方授权代表应在性能考核后5日内签署合同货物的验收证书一式四份，双方各持两份。 </w:t>
      </w:r>
    </w:p>
    <w:p>
      <w:pPr>
        <w:pStyle w:val="103"/>
        <w:numPr>
          <w:ilvl w:val="1"/>
          <w:numId w:val="14"/>
        </w:numPr>
        <w:tabs>
          <w:tab w:val="left" w:pos="-1155"/>
          <w:tab w:val="clear" w:pos="480"/>
        </w:tabs>
        <w:spacing w:line="360" w:lineRule="auto"/>
        <w:ind w:left="840" w:hanging="840"/>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如果在本合同第10.3条规定允许的最后一次性能考核中仍有任何指标未达到合同附件2规定的要求，买方有权根据本合同第12条的规定向卖方提出索赔。 </w:t>
      </w:r>
    </w:p>
    <w:p>
      <w:pPr>
        <w:pStyle w:val="103"/>
        <w:numPr>
          <w:ilvl w:val="1"/>
          <w:numId w:val="14"/>
        </w:numPr>
        <w:spacing w:line="360" w:lineRule="auto"/>
        <w:ind w:left="840" w:hanging="840"/>
        <w:jc w:val="left"/>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如果安装和/或试运行和/或性能考核因卖方原因发生迟延和/或在其它情况</w:t>
      </w:r>
    </w:p>
    <w:p>
      <w:pPr>
        <w:pStyle w:val="103"/>
        <w:spacing w:line="360" w:lineRule="auto"/>
        <w:ind w:firstLine="840" w:firstLineChars="350"/>
        <w:jc w:val="left"/>
        <w:rPr>
          <w:rFonts w:hint="eastAsia" w:ascii="宋体" w:hAnsi="宋体"/>
          <w:color w:val="auto"/>
          <w:sz w:val="24"/>
          <w:highlight w:val="none"/>
        </w:rPr>
      </w:pPr>
      <w:r>
        <w:rPr>
          <w:rFonts w:hint="eastAsia" w:ascii="宋体" w:hAnsi="宋体"/>
          <w:color w:val="auto"/>
          <w:sz w:val="24"/>
          <w:highlight w:val="none"/>
        </w:rPr>
        <w:t>下发生额外费用，双方应根据</w:t>
      </w:r>
      <w:r>
        <w:rPr>
          <w:rFonts w:hint="eastAsia" w:ascii="宋体" w:hAnsi="宋体"/>
          <w:b/>
          <w:bCs/>
          <w:color w:val="auto"/>
          <w:sz w:val="24"/>
          <w:highlight w:val="none"/>
        </w:rPr>
        <w:t>“合同专用条款”</w:t>
      </w:r>
      <w:r>
        <w:rPr>
          <w:rFonts w:hint="eastAsia" w:ascii="宋体" w:hAnsi="宋体"/>
          <w:color w:val="auto"/>
          <w:sz w:val="24"/>
          <w:highlight w:val="none"/>
        </w:rPr>
        <w:t xml:space="preserve">的规定进行处理。 </w:t>
      </w:r>
    </w:p>
    <w:p>
      <w:pPr>
        <w:pStyle w:val="103"/>
        <w:spacing w:line="360" w:lineRule="auto"/>
        <w:ind w:left="-42" w:leftChars="-135" w:hanging="282" w:hangingChars="117"/>
        <w:rPr>
          <w:rFonts w:hint="eastAsia" w:ascii="宋体"/>
          <w:b/>
          <w:bCs/>
          <w:color w:val="auto"/>
          <w:sz w:val="24"/>
          <w:highlight w:val="none"/>
        </w:rPr>
      </w:pPr>
      <w:r>
        <w:rPr>
          <w:rFonts w:hint="eastAsia" w:ascii="宋体"/>
          <w:b/>
          <w:bCs/>
          <w:color w:val="auto"/>
          <w:sz w:val="24"/>
          <w:highlight w:val="none"/>
        </w:rPr>
        <w:t>11.保证</w:t>
      </w:r>
    </w:p>
    <w:p>
      <w:pPr>
        <w:pStyle w:val="103"/>
        <w:tabs>
          <w:tab w:val="left" w:pos="1050"/>
          <w:tab w:val="left" w:pos="2415"/>
          <w:tab w:val="left" w:pos="3150"/>
        </w:tabs>
        <w:spacing w:line="360" w:lineRule="auto"/>
        <w:ind w:left="1154" w:hanging="1154" w:hangingChars="481"/>
        <w:rPr>
          <w:rFonts w:hint="eastAsia" w:ascii="宋体" w:hAnsi="宋体"/>
          <w:color w:val="auto"/>
          <w:sz w:val="24"/>
          <w:highlight w:val="none"/>
        </w:rPr>
      </w:pPr>
      <w:r>
        <w:rPr>
          <w:rFonts w:hint="eastAsia" w:ascii="宋体" w:hAnsi="宋体"/>
          <w:color w:val="auto"/>
          <w:sz w:val="24"/>
          <w:highlight w:val="none"/>
        </w:rPr>
        <w:t>11.1</w:t>
      </w:r>
      <w:r>
        <w:rPr>
          <w:rFonts w:hint="eastAsia" w:ascii="宋体" w:hAnsi="宋体"/>
          <w:color w:val="auto"/>
          <w:sz w:val="24"/>
          <w:highlight w:val="none"/>
        </w:rPr>
        <w:tab/>
      </w:r>
      <w:r>
        <w:rPr>
          <w:rFonts w:hint="eastAsia" w:ascii="宋体" w:hAnsi="宋体"/>
          <w:color w:val="auto"/>
          <w:sz w:val="24"/>
          <w:highlight w:val="none"/>
        </w:rPr>
        <w:t xml:space="preserve"> 卖方保证合同货物是全新的、技术先进的、质量优越的、没有设计上</w:t>
      </w:r>
      <w:r>
        <w:rPr>
          <w:rFonts w:hint="eastAsia" w:ascii="宋体" w:hAnsi="宋体"/>
          <w:b/>
          <w:color w:val="auto"/>
          <w:sz w:val="24"/>
          <w:highlight w:val="none"/>
        </w:rPr>
        <w:tab/>
      </w:r>
      <w:r>
        <w:rPr>
          <w:rFonts w:hint="eastAsia" w:ascii="宋体" w:hAnsi="宋体"/>
          <w:color w:val="auto"/>
          <w:sz w:val="24"/>
          <w:highlight w:val="none"/>
        </w:rPr>
        <w:t xml:space="preserve">和材料及工艺上的缺陷、符合合同附件2的规定并且适合于合同规定的用途和目的。 </w:t>
      </w:r>
    </w:p>
    <w:p>
      <w:pPr>
        <w:pStyle w:val="103"/>
        <w:spacing w:line="360" w:lineRule="auto"/>
        <w:ind w:left="1200" w:hanging="1200" w:hangingChars="500"/>
        <w:jc w:val="left"/>
        <w:rPr>
          <w:rFonts w:hint="eastAsia" w:ascii="宋体" w:hAnsi="宋体"/>
          <w:color w:val="auto"/>
          <w:sz w:val="24"/>
          <w:highlight w:val="none"/>
        </w:rPr>
      </w:pPr>
      <w:r>
        <w:rPr>
          <w:rFonts w:hint="eastAsia" w:ascii="宋体" w:hAnsi="宋体"/>
          <w:color w:val="auto"/>
          <w:sz w:val="24"/>
          <w:highlight w:val="none"/>
        </w:rPr>
        <w:t>11.2</w:t>
      </w:r>
      <w:r>
        <w:rPr>
          <w:rFonts w:hint="eastAsia" w:ascii="宋体" w:hAnsi="宋体"/>
          <w:color w:val="auto"/>
          <w:sz w:val="24"/>
          <w:highlight w:val="none"/>
        </w:rPr>
        <w:tab/>
      </w:r>
      <w:r>
        <w:rPr>
          <w:rFonts w:hint="eastAsia" w:ascii="宋体" w:hAnsi="宋体"/>
          <w:color w:val="auto"/>
          <w:sz w:val="24"/>
          <w:highlight w:val="none"/>
        </w:rPr>
        <w:t xml:space="preserve">卖方保证所交付的技术资料应是完整的、清楚的和正确的，并且能够满足合同货物安装、试运行、性能考核、操作和维修的要求。 </w:t>
      </w:r>
    </w:p>
    <w:p>
      <w:pPr>
        <w:pStyle w:val="103"/>
        <w:spacing w:line="360" w:lineRule="auto"/>
        <w:ind w:left="1200" w:hanging="1200" w:hangingChars="500"/>
        <w:rPr>
          <w:rFonts w:hint="eastAsia" w:ascii="宋体" w:hAnsi="宋体"/>
          <w:color w:val="auto"/>
          <w:sz w:val="24"/>
          <w:highlight w:val="none"/>
        </w:rPr>
      </w:pPr>
      <w:r>
        <w:rPr>
          <w:rFonts w:hint="eastAsia" w:ascii="宋体" w:hAnsi="宋体"/>
          <w:color w:val="auto"/>
          <w:sz w:val="24"/>
          <w:highlight w:val="none"/>
        </w:rPr>
        <w:t>11.3</w:t>
      </w:r>
      <w:r>
        <w:rPr>
          <w:rFonts w:hint="eastAsia" w:ascii="宋体" w:hAnsi="宋体"/>
          <w:color w:val="auto"/>
          <w:sz w:val="24"/>
          <w:highlight w:val="none"/>
        </w:rPr>
        <w:tab/>
      </w:r>
      <w:r>
        <w:rPr>
          <w:rFonts w:hint="eastAsia" w:ascii="宋体" w:hAnsi="宋体"/>
          <w:color w:val="auto"/>
          <w:sz w:val="24"/>
          <w:highlight w:val="none"/>
        </w:rPr>
        <w:t xml:space="preserve">卖方保证及时派遣合格的技术人员提供合同货物运行必需的专业的、正确的和高效的技术服务和技术培训。 </w:t>
      </w:r>
    </w:p>
    <w:p>
      <w:pPr>
        <w:pStyle w:val="103"/>
        <w:spacing w:line="360" w:lineRule="auto"/>
        <w:ind w:left="1200" w:hanging="1200" w:hangingChars="500"/>
        <w:rPr>
          <w:rFonts w:hint="eastAsia" w:ascii="宋体" w:hAnsi="宋体"/>
          <w:color w:val="auto"/>
          <w:sz w:val="24"/>
          <w:highlight w:val="none"/>
        </w:rPr>
      </w:pPr>
      <w:r>
        <w:rPr>
          <w:rFonts w:hint="eastAsia" w:ascii="宋体" w:hAnsi="宋体"/>
          <w:color w:val="auto"/>
          <w:sz w:val="24"/>
          <w:highlight w:val="none"/>
        </w:rPr>
        <w:t>11.4</w:t>
      </w:r>
      <w:r>
        <w:rPr>
          <w:rFonts w:hint="eastAsia" w:ascii="宋体" w:hAnsi="宋体"/>
          <w:color w:val="auto"/>
          <w:sz w:val="24"/>
          <w:highlight w:val="none"/>
        </w:rPr>
        <w:tab/>
      </w:r>
      <w:r>
        <w:rPr>
          <w:rFonts w:hint="eastAsia" w:ascii="宋体" w:hAnsi="宋体"/>
          <w:color w:val="auto"/>
          <w:sz w:val="24"/>
          <w:highlight w:val="none"/>
        </w:rPr>
        <w:t xml:space="preserve">卖方保证它是与合同货物和技术资料有关的知识产权的合法所有者或持有者。如果买方因使用合同货物而被诉称非法使用或侵犯了知识产权，买方应通知卖方，由卖方以买方名义并在买方的协助下自费处理与第三方的诉讼事务，卖方应补偿买方由此遭受的任何花费、赔偿或损失。 </w:t>
      </w:r>
    </w:p>
    <w:p>
      <w:pPr>
        <w:pStyle w:val="103"/>
        <w:spacing w:line="360" w:lineRule="auto"/>
        <w:ind w:left="1200" w:hanging="1200" w:hangingChars="500"/>
        <w:jc w:val="left"/>
        <w:rPr>
          <w:rFonts w:hint="eastAsia" w:ascii="宋体" w:hAnsi="宋体"/>
          <w:color w:val="auto"/>
          <w:sz w:val="24"/>
          <w:highlight w:val="none"/>
        </w:rPr>
      </w:pPr>
      <w:r>
        <w:rPr>
          <w:rFonts w:hint="eastAsia" w:ascii="宋体" w:hAnsi="宋体"/>
          <w:color w:val="auto"/>
          <w:sz w:val="24"/>
          <w:highlight w:val="none"/>
        </w:rPr>
        <w:t>11.5</w:t>
      </w:r>
      <w:r>
        <w:rPr>
          <w:rFonts w:hint="eastAsia" w:ascii="宋体" w:hAnsi="宋体"/>
          <w:color w:val="auto"/>
          <w:sz w:val="24"/>
          <w:highlight w:val="none"/>
        </w:rPr>
        <w:tab/>
      </w:r>
      <w:r>
        <w:rPr>
          <w:rFonts w:hint="eastAsia" w:ascii="宋体" w:hAnsi="宋体"/>
          <w:color w:val="auto"/>
          <w:sz w:val="24"/>
          <w:highlight w:val="none"/>
        </w:rPr>
        <w:t>合同货物保证期的期限和内容为</w:t>
      </w:r>
      <w:r>
        <w:rPr>
          <w:rFonts w:hint="eastAsia" w:ascii="宋体" w:hAnsi="宋体"/>
          <w:b/>
          <w:bCs/>
          <w:color w:val="auto"/>
          <w:sz w:val="24"/>
          <w:highlight w:val="none"/>
        </w:rPr>
        <w:t>“合同专用条款”</w:t>
      </w:r>
      <w:r>
        <w:rPr>
          <w:rFonts w:hint="eastAsia" w:ascii="宋体" w:hAnsi="宋体"/>
          <w:color w:val="auto"/>
          <w:sz w:val="24"/>
          <w:highlight w:val="none"/>
        </w:rPr>
        <w:t xml:space="preserve">规定的期限和内容。保证期满后，买方应出具合同货物的保证期期满证书正副本各一份。 </w:t>
      </w:r>
    </w:p>
    <w:p>
      <w:pPr>
        <w:pStyle w:val="103"/>
        <w:spacing w:line="360" w:lineRule="auto"/>
        <w:ind w:left="-42" w:leftChars="-135" w:hanging="282" w:hangingChars="117"/>
        <w:rPr>
          <w:rFonts w:hint="eastAsia" w:ascii="宋体"/>
          <w:b/>
          <w:bCs/>
          <w:color w:val="auto"/>
          <w:sz w:val="24"/>
          <w:highlight w:val="none"/>
        </w:rPr>
      </w:pPr>
      <w:r>
        <w:rPr>
          <w:rFonts w:hint="eastAsia" w:ascii="宋体"/>
          <w:b/>
          <w:bCs/>
          <w:color w:val="auto"/>
          <w:sz w:val="24"/>
          <w:highlight w:val="none"/>
        </w:rPr>
        <w:t>12.索赔</w:t>
      </w:r>
    </w:p>
    <w:p>
      <w:pPr>
        <w:pStyle w:val="103"/>
        <w:spacing w:line="360" w:lineRule="auto"/>
        <w:ind w:left="1200" w:hanging="1200" w:hangingChars="500"/>
        <w:rPr>
          <w:rFonts w:hint="eastAsia" w:ascii="宋体" w:hAnsi="宋体"/>
          <w:color w:val="auto"/>
          <w:sz w:val="24"/>
          <w:highlight w:val="none"/>
        </w:rPr>
      </w:pPr>
      <w:r>
        <w:rPr>
          <w:rFonts w:hint="eastAsia" w:ascii="宋体" w:hAnsi="宋体"/>
          <w:color w:val="auto"/>
          <w:sz w:val="24"/>
          <w:highlight w:val="none"/>
        </w:rPr>
        <w:t>12.1</w:t>
      </w:r>
      <w:r>
        <w:rPr>
          <w:rFonts w:hint="eastAsia" w:ascii="宋体" w:hAnsi="宋体"/>
          <w:color w:val="auto"/>
          <w:sz w:val="24"/>
          <w:highlight w:val="none"/>
        </w:rPr>
        <w:tab/>
      </w:r>
      <w:r>
        <w:rPr>
          <w:rFonts w:hint="eastAsia" w:ascii="宋体" w:hAnsi="宋体"/>
          <w:color w:val="auto"/>
          <w:sz w:val="24"/>
          <w:highlight w:val="none"/>
        </w:rPr>
        <w:t>如果合同货物在检验、安装、试运行、性能考核和保证期内，卖方未能履行其在本合同项下承担的义务，买方有权向卖方提出索赔并寻求</w:t>
      </w:r>
      <w:r>
        <w:rPr>
          <w:rFonts w:hint="eastAsia" w:ascii="宋体" w:hAnsi="宋体"/>
          <w:b/>
          <w:bCs/>
          <w:color w:val="auto"/>
          <w:sz w:val="24"/>
          <w:highlight w:val="none"/>
        </w:rPr>
        <w:t>“合同专用条款”</w:t>
      </w:r>
      <w:r>
        <w:rPr>
          <w:rFonts w:hint="eastAsia" w:ascii="宋体" w:hAnsi="宋体"/>
          <w:color w:val="auto"/>
          <w:sz w:val="24"/>
          <w:highlight w:val="none"/>
        </w:rPr>
        <w:t>中规定的救济方式，救济方式包括：</w:t>
      </w:r>
    </w:p>
    <w:p>
      <w:pPr>
        <w:pStyle w:val="103"/>
        <w:numPr>
          <w:ilvl w:val="0"/>
          <w:numId w:val="15"/>
        </w:numPr>
        <w:tabs>
          <w:tab w:val="left" w:pos="945"/>
        </w:tabs>
        <w:spacing w:line="360" w:lineRule="auto"/>
        <w:rPr>
          <w:rFonts w:hint="eastAsia" w:ascii="宋体" w:hAnsi="宋体"/>
          <w:color w:val="auto"/>
          <w:sz w:val="24"/>
          <w:highlight w:val="none"/>
        </w:rPr>
      </w:pPr>
      <w:r>
        <w:rPr>
          <w:rFonts w:hint="eastAsia" w:ascii="宋体" w:hAnsi="宋体"/>
          <w:color w:val="auto"/>
          <w:sz w:val="24"/>
          <w:highlight w:val="none"/>
        </w:rPr>
        <w:t xml:space="preserve">由卖方自负费用修理有缺陷的合同货物或消除合同货物的缺陷或不符合合同之处。如果卖方不能派遣人员到工作现场，买方有权自行消除缺陷或不符合合同之处，由此产生的一切费用均由卖方承担。 </w:t>
      </w:r>
    </w:p>
    <w:p>
      <w:pPr>
        <w:pStyle w:val="103"/>
        <w:numPr>
          <w:ilvl w:val="0"/>
          <w:numId w:val="15"/>
        </w:numPr>
        <w:tabs>
          <w:tab w:val="left" w:pos="945"/>
        </w:tabs>
        <w:spacing w:line="360" w:lineRule="auto"/>
        <w:rPr>
          <w:rFonts w:hint="eastAsia" w:ascii="宋体" w:hAnsi="宋体"/>
          <w:color w:val="auto"/>
          <w:sz w:val="24"/>
          <w:highlight w:val="none"/>
        </w:rPr>
      </w:pPr>
      <w:r>
        <w:rPr>
          <w:rFonts w:hint="eastAsia" w:ascii="宋体" w:hAnsi="宋体"/>
          <w:color w:val="auto"/>
          <w:sz w:val="24"/>
          <w:highlight w:val="none"/>
        </w:rPr>
        <w:t xml:space="preserve">由卖方自负费用以新货物替换有缺陷的合同货物或用新的技术资料替换有错误的技术资料，或者补供遗漏的合同货物或技术资料，同时卖方应在重新起算的保证期内对替换后的货物作出质量保证。卖方应自负风险和费用将替换后的货物或补供的货物运抵工作现场。对于急需的货物，卖方应自负费用将其空运到工作现场。 </w:t>
      </w:r>
    </w:p>
    <w:p>
      <w:pPr>
        <w:pStyle w:val="103"/>
        <w:numPr>
          <w:ilvl w:val="0"/>
          <w:numId w:val="15"/>
        </w:numPr>
        <w:tabs>
          <w:tab w:val="left" w:pos="945"/>
        </w:tabs>
        <w:spacing w:line="360" w:lineRule="auto"/>
        <w:rPr>
          <w:rFonts w:hint="eastAsia" w:ascii="宋体" w:hAnsi="宋体"/>
          <w:color w:val="auto"/>
          <w:sz w:val="24"/>
          <w:highlight w:val="none"/>
        </w:rPr>
      </w:pPr>
      <w:r>
        <w:rPr>
          <w:rFonts w:hint="eastAsia" w:ascii="宋体" w:hAnsi="宋体"/>
          <w:color w:val="auto"/>
          <w:sz w:val="24"/>
          <w:highlight w:val="none"/>
        </w:rPr>
        <w:t xml:space="preserve">按质量低劣的程度、买方受损害的程度及损失的数额对合同货物进行降价。 </w:t>
      </w:r>
    </w:p>
    <w:p>
      <w:pPr>
        <w:pStyle w:val="103"/>
        <w:numPr>
          <w:ilvl w:val="0"/>
          <w:numId w:val="15"/>
        </w:numPr>
        <w:tabs>
          <w:tab w:val="left" w:pos="945"/>
        </w:tabs>
        <w:spacing w:line="360" w:lineRule="auto"/>
        <w:rPr>
          <w:rFonts w:hint="eastAsia" w:ascii="宋体" w:hAnsi="宋体"/>
          <w:color w:val="auto"/>
          <w:sz w:val="24"/>
          <w:highlight w:val="none"/>
        </w:rPr>
      </w:pPr>
      <w:r>
        <w:rPr>
          <w:rFonts w:hint="eastAsia" w:ascii="宋体" w:hAnsi="宋体"/>
          <w:color w:val="auto"/>
          <w:sz w:val="24"/>
          <w:highlight w:val="none"/>
        </w:rPr>
        <w:t xml:space="preserve">拒收货物,并由卖方退还买方合同价款和承担相关的损失和费用包括利息、银行费用、运费、保费、检验费、仓储费、装卸费以及全部保管和维护被拒收货物必需的其它费用。 </w:t>
      </w:r>
    </w:p>
    <w:p>
      <w:pPr>
        <w:pStyle w:val="103"/>
        <w:tabs>
          <w:tab w:val="left" w:pos="945"/>
        </w:tabs>
        <w:spacing w:line="360" w:lineRule="auto"/>
        <w:ind w:left="1260"/>
        <w:rPr>
          <w:rFonts w:hint="eastAsia" w:ascii="宋体" w:hAnsi="宋体"/>
          <w:color w:val="auto"/>
          <w:sz w:val="24"/>
          <w:highlight w:val="none"/>
        </w:rPr>
      </w:pPr>
      <w:r>
        <w:rPr>
          <w:rFonts w:hint="eastAsia" w:ascii="宋体" w:hAnsi="宋体"/>
          <w:color w:val="auto"/>
          <w:sz w:val="24"/>
          <w:highlight w:val="none"/>
        </w:rPr>
        <w:t xml:space="preserve">E. 赔偿由卖方违约引起的其他损失。 </w:t>
      </w:r>
    </w:p>
    <w:p>
      <w:pPr>
        <w:pStyle w:val="103"/>
        <w:spacing w:line="360" w:lineRule="auto"/>
        <w:ind w:left="1154" w:hanging="1154" w:hangingChars="481"/>
        <w:rPr>
          <w:rFonts w:hint="eastAsia" w:ascii="宋体" w:hAnsi="宋体"/>
          <w:color w:val="auto"/>
          <w:sz w:val="24"/>
          <w:highlight w:val="none"/>
        </w:rPr>
      </w:pPr>
      <w:r>
        <w:rPr>
          <w:rFonts w:hint="eastAsia" w:ascii="宋体" w:hAnsi="宋体"/>
          <w:color w:val="auto"/>
          <w:sz w:val="24"/>
          <w:highlight w:val="none"/>
        </w:rPr>
        <w:t>12.2</w:t>
      </w:r>
      <w:r>
        <w:rPr>
          <w:rFonts w:hint="eastAsia" w:ascii="宋体" w:hAnsi="宋体"/>
          <w:color w:val="auto"/>
          <w:sz w:val="24"/>
          <w:highlight w:val="none"/>
        </w:rPr>
        <w:tab/>
      </w:r>
      <w:r>
        <w:rPr>
          <w:rFonts w:hint="eastAsia" w:ascii="宋体" w:hAnsi="宋体"/>
          <w:color w:val="auto"/>
          <w:sz w:val="24"/>
          <w:highlight w:val="none"/>
        </w:rPr>
        <w:t xml:space="preserve"> 如果索赔通知是在保证期满后30日内提出的，便应被认为是有效的。 </w:t>
      </w:r>
    </w:p>
    <w:p>
      <w:pPr>
        <w:pStyle w:val="103"/>
        <w:spacing w:line="360" w:lineRule="auto"/>
        <w:ind w:left="1260" w:hanging="1260" w:hangingChars="525"/>
        <w:jc w:val="left"/>
        <w:rPr>
          <w:rFonts w:hint="eastAsia" w:ascii="宋体" w:hAnsi="宋体"/>
          <w:color w:val="auto"/>
          <w:sz w:val="24"/>
          <w:highlight w:val="none"/>
        </w:rPr>
      </w:pPr>
      <w:r>
        <w:rPr>
          <w:rFonts w:hint="eastAsia" w:ascii="宋体" w:hAnsi="宋体"/>
          <w:color w:val="auto"/>
          <w:sz w:val="24"/>
          <w:highlight w:val="none"/>
        </w:rPr>
        <w:t>12.3</w:t>
      </w:r>
      <w:r>
        <w:rPr>
          <w:rFonts w:hint="eastAsia" w:ascii="宋体" w:hAnsi="宋体"/>
          <w:color w:val="auto"/>
          <w:sz w:val="24"/>
          <w:highlight w:val="none"/>
        </w:rPr>
        <w:tab/>
      </w:r>
      <w:r>
        <w:rPr>
          <w:rFonts w:hint="eastAsia" w:ascii="宋体" w:hAnsi="宋体"/>
          <w:color w:val="auto"/>
          <w:spacing w:val="-5"/>
          <w:sz w:val="24"/>
          <w:highlight w:val="none"/>
        </w:rPr>
        <w:t>如果卖方在收到买方索赔要求后</w:t>
      </w:r>
      <w:r>
        <w:rPr>
          <w:rFonts w:hint="eastAsia" w:ascii="宋体" w:hAnsi="宋体"/>
          <w:b/>
          <w:bCs/>
          <w:color w:val="auto"/>
          <w:sz w:val="24"/>
          <w:highlight w:val="none"/>
        </w:rPr>
        <w:t>“合同专用条款”</w:t>
      </w:r>
      <w:r>
        <w:rPr>
          <w:rFonts w:hint="eastAsia" w:ascii="宋体" w:hAnsi="宋体"/>
          <w:color w:val="auto"/>
          <w:spacing w:val="-5"/>
          <w:sz w:val="24"/>
          <w:highlight w:val="none"/>
        </w:rPr>
        <w:t>规定的期限内未能作出回复，该索赔要求将被视为已被卖方接受。如卖方未能在买方发出索赔通知后</w:t>
      </w:r>
      <w:r>
        <w:rPr>
          <w:rFonts w:hint="eastAsia" w:ascii="宋体" w:hAnsi="宋体"/>
          <w:b/>
          <w:bCs/>
          <w:color w:val="auto"/>
          <w:sz w:val="24"/>
          <w:highlight w:val="none"/>
        </w:rPr>
        <w:t>“合同专用条款”</w:t>
      </w:r>
      <w:r>
        <w:rPr>
          <w:rFonts w:hint="eastAsia" w:ascii="宋体" w:hAnsi="宋体"/>
          <w:color w:val="auto"/>
          <w:spacing w:val="-5"/>
          <w:sz w:val="24"/>
          <w:highlight w:val="none"/>
        </w:rPr>
        <w:t>规定的期限内或买方同意的延长期限内，按照买方同意的上述规定的任何一种方法解决索赔事宜，买方有权从议付货款或从卖方开具的履约保证金中扣回索赔金额。</w:t>
      </w:r>
    </w:p>
    <w:p>
      <w:pPr>
        <w:pStyle w:val="103"/>
        <w:spacing w:line="360" w:lineRule="auto"/>
        <w:ind w:left="-42" w:leftChars="-135" w:hanging="282" w:hangingChars="117"/>
        <w:rPr>
          <w:rFonts w:hint="eastAsia" w:ascii="宋体"/>
          <w:b/>
          <w:bCs/>
          <w:color w:val="auto"/>
          <w:sz w:val="24"/>
          <w:highlight w:val="none"/>
        </w:rPr>
      </w:pPr>
      <w:r>
        <w:rPr>
          <w:rFonts w:hint="eastAsia" w:ascii="宋体"/>
          <w:b/>
          <w:bCs/>
          <w:color w:val="auto"/>
          <w:sz w:val="24"/>
          <w:highlight w:val="none"/>
        </w:rPr>
        <w:t>13.不可抗力</w:t>
      </w:r>
    </w:p>
    <w:p>
      <w:pPr>
        <w:pStyle w:val="103"/>
        <w:spacing w:line="360" w:lineRule="auto"/>
        <w:ind w:left="1260" w:hanging="1260" w:hangingChars="525"/>
        <w:rPr>
          <w:rFonts w:hint="eastAsia" w:ascii="宋体" w:hAnsi="宋体"/>
          <w:color w:val="auto"/>
          <w:sz w:val="24"/>
          <w:highlight w:val="none"/>
        </w:rPr>
      </w:pPr>
      <w:r>
        <w:rPr>
          <w:rFonts w:hint="eastAsia" w:ascii="宋体" w:hAnsi="宋体"/>
          <w:color w:val="auto"/>
          <w:sz w:val="24"/>
          <w:highlight w:val="none"/>
        </w:rPr>
        <w:t>13.1</w:t>
      </w:r>
      <w:r>
        <w:rPr>
          <w:rFonts w:hint="eastAsia" w:ascii="宋体" w:hAnsi="宋体"/>
          <w:color w:val="auto"/>
          <w:sz w:val="24"/>
          <w:highlight w:val="none"/>
        </w:rPr>
        <w:tab/>
      </w:r>
      <w:r>
        <w:rPr>
          <w:rFonts w:hint="eastAsia" w:ascii="宋体" w:hAnsi="宋体"/>
          <w:color w:val="auto"/>
          <w:sz w:val="24"/>
          <w:highlight w:val="none"/>
        </w:rPr>
        <w:t xml:space="preserve">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日内以航空挂号信将有关当局或机构出具的证明文件提交给另一方。 </w:t>
      </w:r>
    </w:p>
    <w:p>
      <w:pPr>
        <w:pStyle w:val="103"/>
        <w:spacing w:line="360" w:lineRule="auto"/>
        <w:ind w:left="1260" w:hanging="1260" w:hangingChars="525"/>
        <w:rPr>
          <w:rFonts w:hint="eastAsia" w:ascii="宋体" w:hAnsi="宋体"/>
          <w:color w:val="auto"/>
          <w:sz w:val="24"/>
          <w:highlight w:val="none"/>
        </w:rPr>
      </w:pPr>
      <w:r>
        <w:rPr>
          <w:rFonts w:hint="eastAsia" w:ascii="宋体" w:hAnsi="宋体"/>
          <w:color w:val="auto"/>
          <w:sz w:val="24"/>
          <w:highlight w:val="none"/>
        </w:rPr>
        <w:t>13.2</w:t>
      </w:r>
      <w:r>
        <w:rPr>
          <w:rFonts w:hint="eastAsia" w:ascii="宋体" w:hAnsi="宋体"/>
          <w:color w:val="auto"/>
          <w:sz w:val="24"/>
          <w:highlight w:val="none"/>
        </w:rPr>
        <w:tab/>
      </w:r>
      <w:r>
        <w:rPr>
          <w:rFonts w:hint="eastAsia" w:ascii="宋体" w:hAnsi="宋体"/>
          <w:color w:val="auto"/>
          <w:sz w:val="24"/>
          <w:highlight w:val="none"/>
        </w:rPr>
        <w:t xml:space="preserve">受不可抗力事件影响的合同一方对于不可抗力事件导致的任何合同义务的迟延履行或不能履行不承担责任。但该方应尽快以传真的方式将不可抗力事件结束或消除的情况通知另一方。 </w:t>
      </w:r>
    </w:p>
    <w:p>
      <w:pPr>
        <w:pStyle w:val="103"/>
        <w:spacing w:line="360" w:lineRule="auto"/>
        <w:ind w:left="1260" w:hanging="1260" w:hangingChars="525"/>
        <w:jc w:val="left"/>
        <w:rPr>
          <w:rFonts w:hint="eastAsia" w:ascii="宋体" w:hAnsi="宋体"/>
          <w:color w:val="auto"/>
          <w:sz w:val="24"/>
          <w:highlight w:val="none"/>
        </w:rPr>
      </w:pPr>
      <w:r>
        <w:rPr>
          <w:rFonts w:hint="eastAsia" w:ascii="宋体" w:hAnsi="宋体"/>
          <w:color w:val="auto"/>
          <w:sz w:val="24"/>
          <w:highlight w:val="none"/>
        </w:rPr>
        <w:t>13.3</w:t>
      </w:r>
      <w:r>
        <w:rPr>
          <w:rFonts w:hint="eastAsia" w:ascii="宋体" w:hAnsi="宋体"/>
          <w:color w:val="auto"/>
          <w:sz w:val="24"/>
          <w:highlight w:val="none"/>
        </w:rPr>
        <w:tab/>
      </w:r>
      <w:r>
        <w:rPr>
          <w:rFonts w:hint="eastAsia" w:ascii="宋体" w:hAnsi="宋体"/>
          <w:color w:val="auto"/>
          <w:sz w:val="24"/>
          <w:highlight w:val="none"/>
        </w:rPr>
        <w:t>合同双方应在不可抗力事件结束或其影响消除后立即继续履行其合同义务，合同期限也应相应延长。如果不可抗力事件的影响持续超过</w:t>
      </w:r>
      <w:r>
        <w:rPr>
          <w:rFonts w:hint="eastAsia" w:ascii="宋体" w:hAnsi="宋体"/>
          <w:b/>
          <w:bCs/>
          <w:color w:val="auto"/>
          <w:sz w:val="24"/>
          <w:highlight w:val="none"/>
        </w:rPr>
        <w:t>“合同专用条款”</w:t>
      </w:r>
      <w:r>
        <w:rPr>
          <w:rFonts w:hint="eastAsia" w:ascii="宋体" w:hAnsi="宋体"/>
          <w:color w:val="auto"/>
          <w:sz w:val="24"/>
          <w:highlight w:val="none"/>
        </w:rPr>
        <w:t xml:space="preserve">规定的期限，合同任何一方均有权以书面通知终止合同。 </w:t>
      </w:r>
    </w:p>
    <w:p>
      <w:pPr>
        <w:pStyle w:val="103"/>
        <w:spacing w:line="360" w:lineRule="auto"/>
        <w:ind w:left="-42" w:leftChars="-135" w:hanging="282" w:hangingChars="117"/>
        <w:rPr>
          <w:rFonts w:hint="eastAsia" w:ascii="宋体"/>
          <w:b/>
          <w:bCs/>
          <w:color w:val="auto"/>
          <w:sz w:val="24"/>
          <w:highlight w:val="none"/>
        </w:rPr>
      </w:pPr>
      <w:r>
        <w:rPr>
          <w:rFonts w:hint="eastAsia" w:ascii="宋体"/>
          <w:b/>
          <w:bCs/>
          <w:color w:val="auto"/>
          <w:sz w:val="24"/>
          <w:highlight w:val="none"/>
        </w:rPr>
        <w:t>14.合同的终止</w:t>
      </w:r>
    </w:p>
    <w:p>
      <w:pPr>
        <w:pStyle w:val="103"/>
        <w:spacing w:line="360" w:lineRule="auto"/>
        <w:ind w:left="1260" w:hanging="1260" w:hangingChars="525"/>
        <w:rPr>
          <w:rFonts w:hint="eastAsia" w:ascii="宋体" w:hAnsi="宋体"/>
          <w:color w:val="auto"/>
          <w:sz w:val="24"/>
          <w:highlight w:val="none"/>
        </w:rPr>
      </w:pPr>
      <w:r>
        <w:rPr>
          <w:rFonts w:hint="eastAsia" w:ascii="宋体" w:hAnsi="宋体"/>
          <w:color w:val="auto"/>
          <w:sz w:val="24"/>
          <w:highlight w:val="none"/>
        </w:rPr>
        <w:t>14.1</w:t>
      </w:r>
      <w:r>
        <w:rPr>
          <w:rFonts w:hint="eastAsia" w:ascii="宋体" w:hAnsi="宋体"/>
          <w:color w:val="auto"/>
          <w:sz w:val="24"/>
          <w:highlight w:val="none"/>
        </w:rPr>
        <w:tab/>
      </w:r>
      <w:r>
        <w:rPr>
          <w:rFonts w:hint="eastAsia" w:ascii="宋体" w:hAnsi="宋体"/>
          <w:color w:val="auto"/>
          <w:sz w:val="24"/>
          <w:highlight w:val="none"/>
        </w:rPr>
        <w:t>如果卖方有下述违约行为或</w:t>
      </w:r>
      <w:r>
        <w:rPr>
          <w:rFonts w:hint="eastAsia" w:ascii="宋体" w:hAnsi="宋体"/>
          <w:b/>
          <w:bCs/>
          <w:color w:val="auto"/>
          <w:sz w:val="24"/>
          <w:highlight w:val="none"/>
        </w:rPr>
        <w:t>“合同专用条款”</w:t>
      </w:r>
      <w:r>
        <w:rPr>
          <w:rFonts w:hint="eastAsia" w:ascii="宋体" w:hAnsi="宋体"/>
          <w:color w:val="auto"/>
          <w:sz w:val="24"/>
          <w:highlight w:val="none"/>
        </w:rPr>
        <w:t>中规定的其他违约行为，在不妨碍买方采取其它救济手段的情况下，买方可以向卖方发出书面违约通知，全部或部分地终止合同。</w:t>
      </w:r>
    </w:p>
    <w:p>
      <w:pPr>
        <w:pStyle w:val="103"/>
        <w:spacing w:line="360" w:lineRule="auto"/>
        <w:ind w:left="1260"/>
        <w:rPr>
          <w:rFonts w:hint="eastAsia" w:ascii="宋体" w:hAnsi="宋体"/>
          <w:color w:val="auto"/>
          <w:sz w:val="24"/>
          <w:highlight w:val="none"/>
        </w:rPr>
      </w:pPr>
      <w:r>
        <w:rPr>
          <w:rFonts w:hint="eastAsia" w:ascii="宋体" w:hAnsi="宋体"/>
          <w:color w:val="auto"/>
          <w:sz w:val="24"/>
          <w:highlight w:val="none"/>
        </w:rPr>
        <w:t>A.卖方在合同规定的交货期后未能按</w:t>
      </w:r>
      <w:r>
        <w:rPr>
          <w:rFonts w:hint="eastAsia" w:ascii="宋体" w:hAnsi="宋体"/>
          <w:b/>
          <w:bCs/>
          <w:color w:val="auto"/>
          <w:sz w:val="24"/>
          <w:highlight w:val="none"/>
        </w:rPr>
        <w:t>“合同专用条款”</w:t>
      </w:r>
      <w:r>
        <w:rPr>
          <w:rFonts w:hint="eastAsia" w:ascii="宋体" w:hAnsi="宋体"/>
          <w:color w:val="auto"/>
          <w:sz w:val="24"/>
          <w:highlight w:val="none"/>
        </w:rPr>
        <w:t xml:space="preserve">中规定的最终期限交付合同货物和/或技术资料；或者 </w:t>
      </w:r>
    </w:p>
    <w:p>
      <w:pPr>
        <w:pStyle w:val="103"/>
        <w:spacing w:line="360" w:lineRule="auto"/>
        <w:ind w:left="1260"/>
        <w:rPr>
          <w:rFonts w:hint="eastAsia" w:ascii="宋体" w:hAnsi="宋体"/>
          <w:color w:val="auto"/>
          <w:sz w:val="24"/>
          <w:highlight w:val="none"/>
        </w:rPr>
      </w:pPr>
      <w:r>
        <w:rPr>
          <w:rFonts w:hint="eastAsia" w:ascii="宋体" w:hAnsi="宋体"/>
          <w:color w:val="auto"/>
          <w:sz w:val="24"/>
          <w:highlight w:val="none"/>
        </w:rPr>
        <w:t xml:space="preserve">B.卖方未能使合同货物达到合同附件2规定的技术性能和保证指标；或者 </w:t>
      </w:r>
    </w:p>
    <w:p>
      <w:pPr>
        <w:pStyle w:val="103"/>
        <w:spacing w:line="360" w:lineRule="auto"/>
        <w:ind w:left="1260"/>
        <w:rPr>
          <w:rFonts w:hint="eastAsia" w:ascii="宋体" w:hAnsi="宋体"/>
          <w:color w:val="auto"/>
          <w:sz w:val="24"/>
          <w:highlight w:val="none"/>
        </w:rPr>
      </w:pPr>
      <w:r>
        <w:rPr>
          <w:rFonts w:hint="eastAsia" w:ascii="宋体" w:hAnsi="宋体"/>
          <w:color w:val="auto"/>
          <w:sz w:val="24"/>
          <w:highlight w:val="none"/>
        </w:rPr>
        <w:t>C.卖方未能履行合同项下任何其它义务(细微义务除外)，并且在收到买方违约通知后未能按</w:t>
      </w:r>
      <w:r>
        <w:rPr>
          <w:rFonts w:hint="eastAsia" w:ascii="宋体" w:hAnsi="宋体"/>
          <w:b/>
          <w:bCs/>
          <w:color w:val="auto"/>
          <w:sz w:val="24"/>
          <w:highlight w:val="none"/>
        </w:rPr>
        <w:t>“合同专用条款”</w:t>
      </w:r>
      <w:r>
        <w:rPr>
          <w:rFonts w:hint="eastAsia" w:ascii="宋体" w:hAnsi="宋体"/>
          <w:color w:val="auto"/>
          <w:sz w:val="24"/>
          <w:highlight w:val="none"/>
        </w:rPr>
        <w:t xml:space="preserve">中规定的期限对其违约行为作出补救。 </w:t>
      </w:r>
    </w:p>
    <w:p>
      <w:pPr>
        <w:pStyle w:val="103"/>
        <w:spacing w:line="360" w:lineRule="auto"/>
        <w:ind w:left="1260" w:hanging="1260" w:hangingChars="525"/>
        <w:rPr>
          <w:rFonts w:hint="eastAsia" w:ascii="宋体" w:hAnsi="宋体"/>
          <w:color w:val="auto"/>
          <w:sz w:val="24"/>
          <w:highlight w:val="none"/>
        </w:rPr>
      </w:pPr>
      <w:r>
        <w:rPr>
          <w:rFonts w:hint="eastAsia" w:ascii="宋体" w:hAnsi="宋体"/>
          <w:color w:val="auto"/>
          <w:sz w:val="24"/>
          <w:highlight w:val="none"/>
        </w:rPr>
        <w:t>14.2</w:t>
      </w:r>
      <w:r>
        <w:rPr>
          <w:rFonts w:hint="eastAsia" w:ascii="宋体" w:hAnsi="宋体"/>
          <w:color w:val="auto"/>
          <w:sz w:val="24"/>
          <w:highlight w:val="none"/>
        </w:rPr>
        <w:tab/>
      </w:r>
      <w:r>
        <w:rPr>
          <w:rFonts w:hint="eastAsia" w:ascii="宋体" w:hAnsi="宋体"/>
          <w:color w:val="auto"/>
          <w:sz w:val="24"/>
          <w:highlight w:val="none"/>
        </w:rPr>
        <w:t xml:space="preserve">如果一方破产或发生资不抵债的情况,合同另一方有权在任何时候发出书面通知终止合同。此种情况下合同的终止不妨碍或影响行使任何可能的其它救济手段。 </w:t>
      </w:r>
    </w:p>
    <w:p>
      <w:pPr>
        <w:pStyle w:val="103"/>
        <w:spacing w:line="360" w:lineRule="auto"/>
        <w:ind w:left="1260" w:hanging="1260" w:hangingChars="525"/>
        <w:rPr>
          <w:rFonts w:hint="eastAsia" w:ascii="宋体" w:hAnsi="宋体"/>
          <w:color w:val="auto"/>
          <w:sz w:val="24"/>
          <w:highlight w:val="none"/>
        </w:rPr>
      </w:pPr>
      <w:r>
        <w:rPr>
          <w:rFonts w:hint="eastAsia" w:ascii="宋体" w:hAnsi="宋体"/>
          <w:color w:val="auto"/>
          <w:sz w:val="24"/>
          <w:highlight w:val="none"/>
        </w:rPr>
        <w:t xml:space="preserve">14.3      如果买方认定卖方在竞标或执行合同中有腐败或欺诈行为,买方有权在任何时候发出书面通知终止合同。 </w:t>
      </w:r>
    </w:p>
    <w:p>
      <w:pPr>
        <w:pStyle w:val="103"/>
        <w:tabs>
          <w:tab w:val="left" w:pos="840"/>
        </w:tabs>
        <w:spacing w:line="360" w:lineRule="auto"/>
        <w:ind w:left="1260"/>
        <w:rPr>
          <w:rFonts w:hint="eastAsia" w:ascii="宋体" w:hAnsi="宋体"/>
          <w:color w:val="auto"/>
          <w:sz w:val="24"/>
          <w:highlight w:val="none"/>
        </w:rPr>
      </w:pPr>
      <w:r>
        <w:rPr>
          <w:rFonts w:hint="eastAsia" w:ascii="宋体" w:hAnsi="宋体"/>
          <w:color w:val="auto"/>
          <w:sz w:val="24"/>
          <w:highlight w:val="none"/>
        </w:rPr>
        <w:t>A.“腐败行为”系指在招标、采购和合同执行等过程中，为谋求利益、影响相关人员而提供、给予、接受或索取任何有价物的行为。</w:t>
      </w:r>
    </w:p>
    <w:p>
      <w:pPr>
        <w:pStyle w:val="103"/>
        <w:tabs>
          <w:tab w:val="left" w:pos="840"/>
        </w:tabs>
        <w:spacing w:line="360" w:lineRule="auto"/>
        <w:ind w:left="1260"/>
        <w:rPr>
          <w:rFonts w:hint="eastAsia" w:ascii="宋体" w:hAnsi="宋体"/>
          <w:color w:val="auto"/>
          <w:sz w:val="24"/>
          <w:highlight w:val="none"/>
        </w:rPr>
      </w:pPr>
      <w:r>
        <w:rPr>
          <w:rFonts w:hint="eastAsia" w:ascii="宋体" w:hAnsi="宋体"/>
          <w:color w:val="auto"/>
          <w:sz w:val="24"/>
          <w:highlight w:val="none"/>
        </w:rPr>
        <w:t xml:space="preserve">B.“欺诈行为”系指为了影响招标、采购和合同执行等过程而隐瞒事实，从而给买方造成损害的行为，其中包括投标人之间的串通行为，其旨在使投标价成为人为的、无竞争的价格，并使买方无法从自由公开的竞争中受益。 </w:t>
      </w:r>
    </w:p>
    <w:p>
      <w:pPr>
        <w:pStyle w:val="103"/>
        <w:spacing w:line="360" w:lineRule="auto"/>
        <w:ind w:left="1154" w:hanging="1154" w:hangingChars="481"/>
        <w:jc w:val="left"/>
        <w:rPr>
          <w:rFonts w:hint="eastAsia" w:ascii="宋体" w:hAnsi="宋体"/>
          <w:color w:val="auto"/>
          <w:sz w:val="24"/>
          <w:highlight w:val="none"/>
        </w:rPr>
      </w:pPr>
      <w:r>
        <w:rPr>
          <w:rFonts w:hint="eastAsia" w:ascii="宋体" w:hAnsi="宋体"/>
          <w:color w:val="auto"/>
          <w:sz w:val="24"/>
          <w:highlight w:val="none"/>
        </w:rPr>
        <w:t>14.4      在买方全部或部分终止合同的情况下，卖方应按</w:t>
      </w:r>
      <w:r>
        <w:rPr>
          <w:rFonts w:hint="eastAsia" w:ascii="宋体" w:hAnsi="宋体"/>
          <w:b/>
          <w:bCs/>
          <w:color w:val="auto"/>
          <w:sz w:val="24"/>
          <w:highlight w:val="none"/>
        </w:rPr>
        <w:t>“合同专用条款”</w:t>
      </w:r>
      <w:r>
        <w:rPr>
          <w:rFonts w:hint="eastAsia" w:ascii="宋体" w:hAnsi="宋体"/>
          <w:color w:val="auto"/>
          <w:sz w:val="24"/>
          <w:highlight w:val="none"/>
        </w:rPr>
        <w:t xml:space="preserve">的规定对买方给予补偿。 </w:t>
      </w:r>
    </w:p>
    <w:p>
      <w:pPr>
        <w:pStyle w:val="103"/>
        <w:spacing w:line="360" w:lineRule="auto"/>
        <w:ind w:left="-42" w:leftChars="-135" w:hanging="282" w:hangingChars="117"/>
        <w:rPr>
          <w:rFonts w:hint="eastAsia" w:ascii="宋体"/>
          <w:b/>
          <w:bCs/>
          <w:color w:val="auto"/>
          <w:sz w:val="24"/>
          <w:highlight w:val="none"/>
        </w:rPr>
      </w:pPr>
      <w:r>
        <w:rPr>
          <w:rFonts w:hint="eastAsia" w:ascii="宋体"/>
          <w:b/>
          <w:bCs/>
          <w:color w:val="auto"/>
          <w:sz w:val="24"/>
          <w:highlight w:val="none"/>
        </w:rPr>
        <w:t>15.争议的解决</w:t>
      </w:r>
    </w:p>
    <w:p>
      <w:pPr>
        <w:pStyle w:val="103"/>
        <w:spacing w:line="360" w:lineRule="auto"/>
        <w:ind w:left="1154" w:hanging="1154" w:hangingChars="481"/>
        <w:jc w:val="left"/>
        <w:rPr>
          <w:rFonts w:hint="eastAsia" w:ascii="宋体" w:hAnsi="宋体"/>
          <w:color w:val="auto"/>
          <w:sz w:val="24"/>
          <w:highlight w:val="none"/>
        </w:rPr>
      </w:pPr>
      <w:r>
        <w:rPr>
          <w:rFonts w:hint="eastAsia" w:ascii="宋体" w:hAnsi="宋体"/>
          <w:color w:val="auto"/>
          <w:sz w:val="24"/>
          <w:highlight w:val="none"/>
        </w:rPr>
        <w:t>15.1</w:t>
      </w:r>
      <w:r>
        <w:rPr>
          <w:rFonts w:hint="eastAsia" w:ascii="宋体" w:hAnsi="宋体"/>
          <w:color w:val="auto"/>
          <w:sz w:val="24"/>
          <w:highlight w:val="none"/>
        </w:rPr>
        <w:tab/>
      </w:r>
      <w:r>
        <w:rPr>
          <w:rFonts w:hint="eastAsia" w:ascii="宋体" w:hAnsi="宋体"/>
          <w:color w:val="auto"/>
          <w:sz w:val="24"/>
          <w:highlight w:val="none"/>
        </w:rPr>
        <w:t>因执行本合同所发生的或者与本合同有关的一切争议将由合同双方通过友好协商解决。如果不能协商一致，合同任何一方有权按</w:t>
      </w:r>
      <w:r>
        <w:rPr>
          <w:rFonts w:hint="eastAsia" w:ascii="宋体" w:hAnsi="宋体"/>
          <w:b/>
          <w:bCs/>
          <w:color w:val="auto"/>
          <w:sz w:val="24"/>
          <w:highlight w:val="none"/>
        </w:rPr>
        <w:t>“合同专用条款”</w:t>
      </w:r>
      <w:r>
        <w:rPr>
          <w:rFonts w:hint="eastAsia" w:ascii="宋体" w:hAnsi="宋体"/>
          <w:color w:val="auto"/>
          <w:sz w:val="24"/>
          <w:highlight w:val="none"/>
        </w:rPr>
        <w:t xml:space="preserve">的规定将争议提交仲裁机构或提交法院判决。      </w:t>
      </w:r>
    </w:p>
    <w:p>
      <w:pPr>
        <w:pStyle w:val="103"/>
        <w:spacing w:line="360" w:lineRule="auto"/>
        <w:ind w:left="-42" w:leftChars="-135" w:hanging="282" w:hangingChars="117"/>
        <w:rPr>
          <w:rFonts w:hint="eastAsia" w:ascii="宋体"/>
          <w:b/>
          <w:bCs/>
          <w:color w:val="auto"/>
          <w:sz w:val="24"/>
          <w:highlight w:val="none"/>
        </w:rPr>
      </w:pPr>
      <w:r>
        <w:rPr>
          <w:rFonts w:hint="eastAsia" w:ascii="宋体"/>
          <w:b/>
          <w:bCs/>
          <w:color w:val="auto"/>
          <w:sz w:val="24"/>
          <w:highlight w:val="none"/>
        </w:rPr>
        <w:t>16.适用法律</w:t>
      </w:r>
    </w:p>
    <w:p>
      <w:pPr>
        <w:pStyle w:val="103"/>
        <w:spacing w:line="360" w:lineRule="auto"/>
        <w:ind w:left="1200" w:hanging="1200" w:hangingChars="500"/>
        <w:jc w:val="left"/>
        <w:rPr>
          <w:rFonts w:hint="eastAsia" w:ascii="宋体" w:hAnsi="宋体"/>
          <w:color w:val="auto"/>
          <w:sz w:val="24"/>
          <w:highlight w:val="none"/>
        </w:rPr>
      </w:pPr>
      <w:r>
        <w:rPr>
          <w:rFonts w:hint="eastAsia" w:ascii="宋体" w:hAnsi="宋体"/>
          <w:color w:val="auto"/>
          <w:sz w:val="24"/>
          <w:highlight w:val="none"/>
        </w:rPr>
        <w:t>16.1     本合同的执行和争议的解决应适用中华人民共和国的法律并按中华人民共和国的法律进行解释。</w:t>
      </w:r>
    </w:p>
    <w:p>
      <w:pPr>
        <w:pStyle w:val="103"/>
        <w:spacing w:line="360" w:lineRule="auto"/>
        <w:ind w:left="-42" w:leftChars="-135" w:hanging="282" w:hangingChars="117"/>
        <w:rPr>
          <w:rFonts w:hint="eastAsia" w:ascii="宋体"/>
          <w:b/>
          <w:bCs/>
          <w:color w:val="auto"/>
          <w:sz w:val="24"/>
          <w:highlight w:val="none"/>
        </w:rPr>
      </w:pPr>
      <w:r>
        <w:rPr>
          <w:rFonts w:hint="eastAsia" w:ascii="宋体"/>
          <w:b/>
          <w:bCs/>
          <w:color w:val="auto"/>
          <w:sz w:val="24"/>
          <w:highlight w:val="none"/>
        </w:rPr>
        <w:t>17.合同生效及其他</w:t>
      </w:r>
    </w:p>
    <w:p>
      <w:pPr>
        <w:pStyle w:val="103"/>
        <w:spacing w:line="360" w:lineRule="auto"/>
        <w:rPr>
          <w:rFonts w:hint="eastAsia" w:ascii="宋体" w:hAnsi="宋体"/>
          <w:color w:val="auto"/>
          <w:sz w:val="24"/>
          <w:highlight w:val="none"/>
        </w:rPr>
      </w:pPr>
      <w:r>
        <w:rPr>
          <w:rFonts w:hint="eastAsia" w:ascii="宋体" w:hAnsi="宋体"/>
          <w:color w:val="auto"/>
          <w:sz w:val="24"/>
          <w:highlight w:val="none"/>
        </w:rPr>
        <w:t>17.1</w:t>
      </w:r>
      <w:r>
        <w:rPr>
          <w:rFonts w:hint="eastAsia" w:ascii="宋体" w:hAnsi="宋体"/>
          <w:color w:val="auto"/>
          <w:sz w:val="24"/>
          <w:highlight w:val="none"/>
        </w:rPr>
        <w:tab/>
      </w:r>
      <w:r>
        <w:rPr>
          <w:rFonts w:hint="eastAsia" w:ascii="宋体" w:hAnsi="宋体"/>
          <w:color w:val="auto"/>
          <w:sz w:val="24"/>
          <w:highlight w:val="none"/>
        </w:rPr>
        <w:t xml:space="preserve"> 本合同在</w:t>
      </w:r>
      <w:r>
        <w:rPr>
          <w:rFonts w:hint="eastAsia" w:ascii="宋体" w:hAnsi="宋体"/>
          <w:b/>
          <w:bCs/>
          <w:color w:val="auto"/>
          <w:sz w:val="24"/>
          <w:highlight w:val="none"/>
        </w:rPr>
        <w:t>“合同专用条款”</w:t>
      </w:r>
      <w:r>
        <w:rPr>
          <w:rFonts w:hint="eastAsia" w:ascii="宋体" w:hAnsi="宋体"/>
          <w:color w:val="auto"/>
          <w:sz w:val="24"/>
          <w:highlight w:val="none"/>
        </w:rPr>
        <w:t>规定的条件全部满足后生效。</w:t>
      </w:r>
    </w:p>
    <w:p>
      <w:pPr>
        <w:pStyle w:val="103"/>
        <w:spacing w:line="360" w:lineRule="auto"/>
        <w:ind w:left="1200" w:hanging="1200" w:hangingChars="500"/>
        <w:rPr>
          <w:rFonts w:hint="eastAsia" w:ascii="宋体" w:hAnsi="宋体"/>
          <w:color w:val="auto"/>
          <w:sz w:val="24"/>
          <w:highlight w:val="none"/>
        </w:rPr>
      </w:pPr>
      <w:r>
        <w:rPr>
          <w:rFonts w:hint="eastAsia" w:ascii="宋体" w:hAnsi="宋体"/>
          <w:color w:val="auto"/>
          <w:sz w:val="24"/>
          <w:highlight w:val="none"/>
        </w:rPr>
        <w:t>17.2    合同项下全部权利义务履行完毕后，本合同自动失效。合同有效期最长不超过</w:t>
      </w:r>
      <w:r>
        <w:rPr>
          <w:rFonts w:hint="eastAsia" w:ascii="宋体" w:hAnsi="宋体"/>
          <w:b/>
          <w:bCs/>
          <w:color w:val="auto"/>
          <w:sz w:val="24"/>
          <w:highlight w:val="none"/>
        </w:rPr>
        <w:t>“合同专用条款”</w:t>
      </w:r>
      <w:r>
        <w:rPr>
          <w:rFonts w:hint="eastAsia" w:ascii="宋体" w:hAnsi="宋体"/>
          <w:color w:val="auto"/>
          <w:sz w:val="24"/>
          <w:highlight w:val="none"/>
        </w:rPr>
        <w:t xml:space="preserve">规定的年限。合同到期后，合同项下任何尚未了结的债权和债务不受合同到期的影响。债务人仍应向债权人履行其义务。 </w:t>
      </w:r>
    </w:p>
    <w:p>
      <w:pPr>
        <w:pStyle w:val="103"/>
        <w:spacing w:line="360" w:lineRule="auto"/>
        <w:ind w:left="53" w:leftChars="22"/>
        <w:rPr>
          <w:rFonts w:hint="eastAsia" w:ascii="宋体" w:hAnsi="宋体"/>
          <w:color w:val="auto"/>
          <w:sz w:val="24"/>
          <w:highlight w:val="none"/>
        </w:rPr>
      </w:pPr>
      <w:r>
        <w:rPr>
          <w:rFonts w:hint="eastAsia" w:ascii="宋体" w:hAnsi="宋体"/>
          <w:color w:val="auto"/>
          <w:sz w:val="24"/>
          <w:highlight w:val="none"/>
        </w:rPr>
        <w:t xml:space="preserve">17.3    双方应各自承担中国税务机构向其征收的与执行本合同有关的税费。 </w:t>
      </w:r>
    </w:p>
    <w:p>
      <w:pPr>
        <w:pStyle w:val="103"/>
        <w:spacing w:line="360" w:lineRule="auto"/>
        <w:ind w:left="1152" w:hanging="1152" w:hangingChars="480"/>
        <w:rPr>
          <w:rFonts w:hint="eastAsia" w:ascii="宋体" w:hAnsi="宋体"/>
          <w:color w:val="auto"/>
          <w:sz w:val="24"/>
          <w:highlight w:val="none"/>
        </w:rPr>
      </w:pPr>
      <w:r>
        <w:rPr>
          <w:rFonts w:hint="eastAsia" w:ascii="宋体" w:hAnsi="宋体"/>
          <w:color w:val="auto"/>
          <w:sz w:val="24"/>
          <w:highlight w:val="none"/>
        </w:rPr>
        <w:t>17.4     合同双方除非</w:t>
      </w:r>
      <w:r>
        <w:rPr>
          <w:rFonts w:hint="eastAsia" w:ascii="宋体" w:hAnsi="宋体"/>
          <w:b/>
          <w:bCs/>
          <w:color w:val="auto"/>
          <w:sz w:val="24"/>
          <w:highlight w:val="none"/>
        </w:rPr>
        <w:t>“合同专用条款”</w:t>
      </w:r>
      <w:r>
        <w:rPr>
          <w:rFonts w:hint="eastAsia" w:ascii="宋体" w:hAnsi="宋体"/>
          <w:color w:val="auto"/>
          <w:sz w:val="24"/>
          <w:highlight w:val="none"/>
        </w:rPr>
        <w:t xml:space="preserve">另有规定，所有合同文件及相关的修订和合同双方之间的书面联络，应使用中文书就并按中文解释。 </w:t>
      </w:r>
    </w:p>
    <w:p>
      <w:pPr>
        <w:pStyle w:val="103"/>
        <w:spacing w:line="360" w:lineRule="auto"/>
        <w:ind w:left="1152" w:hanging="1152" w:hangingChars="480"/>
        <w:rPr>
          <w:rFonts w:hint="eastAsia" w:ascii="宋体" w:hAnsi="宋体"/>
          <w:color w:val="auto"/>
          <w:sz w:val="24"/>
          <w:highlight w:val="none"/>
        </w:rPr>
      </w:pPr>
      <w:r>
        <w:rPr>
          <w:rFonts w:hint="eastAsia" w:ascii="宋体" w:hAnsi="宋体"/>
          <w:color w:val="auto"/>
          <w:sz w:val="24"/>
          <w:highlight w:val="none"/>
        </w:rPr>
        <w:t xml:space="preserve">17.5     对本合同条款的任何补充、增添或修改应以书面方式进行并由双方授权代表签字。 </w:t>
      </w:r>
    </w:p>
    <w:p>
      <w:pPr>
        <w:pStyle w:val="103"/>
        <w:spacing w:line="360" w:lineRule="auto"/>
        <w:ind w:left="1152" w:hanging="1152" w:hangingChars="480"/>
        <w:rPr>
          <w:rFonts w:hint="eastAsia" w:ascii="宋体" w:hAnsi="宋体"/>
          <w:color w:val="auto"/>
          <w:sz w:val="24"/>
          <w:highlight w:val="none"/>
        </w:rPr>
      </w:pPr>
      <w:r>
        <w:rPr>
          <w:rFonts w:hint="eastAsia" w:ascii="宋体" w:hAnsi="宋体"/>
          <w:color w:val="auto"/>
          <w:sz w:val="24"/>
          <w:highlight w:val="none"/>
        </w:rPr>
        <w:t>17.6</w:t>
      </w:r>
      <w:r>
        <w:rPr>
          <w:rFonts w:hint="eastAsia" w:ascii="宋体" w:hAnsi="宋体"/>
          <w:color w:val="auto"/>
          <w:sz w:val="24"/>
          <w:highlight w:val="none"/>
        </w:rPr>
        <w:tab/>
      </w:r>
      <w:r>
        <w:rPr>
          <w:rFonts w:hint="eastAsia" w:ascii="宋体" w:hAnsi="宋体"/>
          <w:color w:val="auto"/>
          <w:sz w:val="24"/>
          <w:highlight w:val="none"/>
        </w:rPr>
        <w:t xml:space="preserve">没有另一方的事先同意，合同任何一方不得将合同项下的任何权利和义务转让给第三方。 </w:t>
      </w:r>
    </w:p>
    <w:p>
      <w:pPr>
        <w:pStyle w:val="103"/>
        <w:spacing w:line="360" w:lineRule="auto"/>
        <w:ind w:left="1154" w:hanging="1154" w:hangingChars="481"/>
        <w:rPr>
          <w:rFonts w:hint="eastAsia" w:ascii="宋体" w:hAnsi="宋体"/>
          <w:color w:val="auto"/>
          <w:sz w:val="24"/>
          <w:highlight w:val="none"/>
        </w:rPr>
      </w:pPr>
      <w:r>
        <w:rPr>
          <w:rFonts w:hint="eastAsia" w:ascii="宋体" w:hAnsi="宋体"/>
          <w:color w:val="auto"/>
          <w:sz w:val="24"/>
          <w:highlight w:val="none"/>
        </w:rPr>
        <w:t>17.7 　　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p>
    <w:p>
      <w:pPr>
        <w:pStyle w:val="103"/>
        <w:spacing w:line="360" w:lineRule="auto"/>
        <w:ind w:left="1168" w:leftChars="50" w:hanging="1048" w:hangingChars="437"/>
        <w:jc w:val="left"/>
        <w:rPr>
          <w:rFonts w:hint="eastAsia" w:ascii="宋体" w:hAnsi="宋体"/>
          <w:color w:val="auto"/>
          <w:sz w:val="24"/>
          <w:highlight w:val="none"/>
        </w:rPr>
      </w:pPr>
      <w:r>
        <w:rPr>
          <w:rFonts w:hint="eastAsia" w:ascii="宋体" w:hAnsi="宋体"/>
          <w:color w:val="auto"/>
          <w:sz w:val="24"/>
          <w:highlight w:val="none"/>
        </w:rPr>
        <w:t>17.8     除非上下文另有要求，本文件中的单数含意包括复数，复数也包括单数。</w:t>
      </w:r>
    </w:p>
    <w:p>
      <w:pPr>
        <w:pStyle w:val="103"/>
        <w:spacing w:line="360" w:lineRule="auto"/>
        <w:ind w:left="1154" w:hanging="1154" w:hangingChars="481"/>
        <w:jc w:val="left"/>
        <w:rPr>
          <w:rFonts w:hint="eastAsia" w:ascii="宋体" w:hAnsi="宋体"/>
          <w:color w:val="auto"/>
          <w:sz w:val="24"/>
          <w:highlight w:val="none"/>
        </w:rPr>
      </w:pPr>
      <w:r>
        <w:rPr>
          <w:rFonts w:hint="eastAsia" w:ascii="宋体" w:hAnsi="宋体"/>
          <w:color w:val="auto"/>
          <w:sz w:val="24"/>
          <w:highlight w:val="none"/>
        </w:rPr>
        <w:t>17.9</w:t>
      </w:r>
      <w:r>
        <w:rPr>
          <w:rFonts w:hint="eastAsia" w:ascii="宋体" w:hAnsi="宋体"/>
          <w:color w:val="auto"/>
          <w:sz w:val="24"/>
          <w:highlight w:val="none"/>
        </w:rPr>
        <w:tab/>
      </w:r>
      <w:r>
        <w:rPr>
          <w:rFonts w:hint="eastAsia" w:ascii="宋体" w:hAnsi="宋体"/>
          <w:color w:val="auto"/>
          <w:sz w:val="24"/>
          <w:highlight w:val="none"/>
        </w:rPr>
        <w:t>合同条款中的标题和边注仅供参考使用，不应视为合同的一部分，也不影响本文的解释。</w:t>
      </w:r>
    </w:p>
    <w:p>
      <w:pPr>
        <w:pStyle w:val="103"/>
        <w:spacing w:line="360" w:lineRule="auto"/>
        <w:ind w:left="1198" w:leftChars="-1" w:hanging="1200" w:hangingChars="500"/>
        <w:rPr>
          <w:rFonts w:hint="eastAsia" w:ascii="宋体" w:hAnsi="宋体"/>
          <w:color w:val="auto"/>
          <w:sz w:val="24"/>
          <w:highlight w:val="none"/>
        </w:rPr>
      </w:pPr>
      <w:r>
        <w:rPr>
          <w:rFonts w:hint="eastAsia" w:ascii="宋体" w:hAnsi="宋体"/>
          <w:color w:val="auto"/>
          <w:sz w:val="24"/>
          <w:highlight w:val="none"/>
        </w:rPr>
        <w:t>17.10</w:t>
      </w:r>
      <w:r>
        <w:rPr>
          <w:rFonts w:hint="eastAsia" w:ascii="宋体" w:hAnsi="宋体"/>
          <w:color w:val="auto"/>
          <w:sz w:val="24"/>
          <w:highlight w:val="none"/>
        </w:rPr>
        <w:tab/>
      </w:r>
      <w:r>
        <w:rPr>
          <w:rFonts w:hint="eastAsia" w:ascii="宋体" w:hAnsi="宋体"/>
          <w:color w:val="auto"/>
          <w:sz w:val="24"/>
          <w:highlight w:val="none"/>
        </w:rPr>
        <w:t xml:space="preserve">合同构成买方和卖方之间就合同主要内容方面的完整协议，并且取代合同签订前所有关于这方面的通讯、协商、协议(不论是书面的，还是口头的)。 </w:t>
      </w:r>
    </w:p>
    <w:p>
      <w:pPr>
        <w:pStyle w:val="103"/>
        <w:spacing w:line="360" w:lineRule="auto"/>
        <w:ind w:left="1260" w:hanging="1260" w:hangingChars="525"/>
        <w:jc w:val="left"/>
        <w:rPr>
          <w:rFonts w:hint="eastAsia" w:ascii="宋体" w:hAnsi="宋体"/>
          <w:color w:val="auto"/>
          <w:sz w:val="24"/>
          <w:highlight w:val="none"/>
        </w:rPr>
      </w:pPr>
      <w:r>
        <w:rPr>
          <w:rFonts w:hint="eastAsia" w:ascii="宋体" w:hAnsi="宋体"/>
          <w:color w:val="auto"/>
          <w:sz w:val="24"/>
          <w:highlight w:val="none"/>
        </w:rPr>
        <w:t>17.11     合同双方之间的一切联络往来应以书面形式按</w:t>
      </w:r>
      <w:r>
        <w:rPr>
          <w:rFonts w:hint="eastAsia" w:ascii="宋体" w:hAnsi="宋体"/>
          <w:b/>
          <w:bCs/>
          <w:color w:val="auto"/>
          <w:sz w:val="24"/>
          <w:highlight w:val="none"/>
        </w:rPr>
        <w:t>“合同专用条款”</w:t>
      </w:r>
      <w:r>
        <w:rPr>
          <w:rFonts w:hint="eastAsia" w:ascii="宋体" w:hAnsi="宋体"/>
          <w:color w:val="auto"/>
          <w:sz w:val="24"/>
          <w:highlight w:val="none"/>
        </w:rPr>
        <w:t xml:space="preserve">中规定的地址发往合同另一方。有关重要事项的传真应及时用挂号信或快件确认。 </w:t>
      </w:r>
    </w:p>
    <w:p>
      <w:pPr>
        <w:pStyle w:val="103"/>
        <w:spacing w:line="360" w:lineRule="auto"/>
        <w:ind w:left="-42" w:leftChars="-135" w:hanging="282" w:hangingChars="117"/>
        <w:rPr>
          <w:rFonts w:hint="eastAsia" w:ascii="宋体"/>
          <w:b/>
          <w:bCs/>
          <w:color w:val="auto"/>
          <w:sz w:val="24"/>
          <w:highlight w:val="none"/>
        </w:rPr>
      </w:pPr>
      <w:r>
        <w:rPr>
          <w:rFonts w:hint="eastAsia" w:ascii="宋体"/>
          <w:b/>
          <w:bCs/>
          <w:color w:val="auto"/>
          <w:sz w:val="24"/>
          <w:highlight w:val="none"/>
        </w:rPr>
        <w:t>18.合同附件</w:t>
      </w:r>
    </w:p>
    <w:p>
      <w:pPr>
        <w:pStyle w:val="103"/>
        <w:spacing w:line="360" w:lineRule="auto"/>
        <w:ind w:firstLine="1200" w:firstLineChars="500"/>
        <w:outlineLvl w:val="1"/>
        <w:rPr>
          <w:rFonts w:hint="eastAsia" w:ascii="宋体" w:hAnsi="宋体"/>
          <w:color w:val="auto"/>
          <w:sz w:val="24"/>
          <w:highlight w:val="none"/>
        </w:rPr>
      </w:pPr>
      <w:bookmarkStart w:id="88" w:name="_Toc11970_WPSOffice_Level2"/>
      <w:bookmarkEnd w:id="88"/>
      <w:bookmarkStart w:id="89" w:name="_Toc11005"/>
      <w:bookmarkEnd w:id="89"/>
      <w:r>
        <w:rPr>
          <w:rFonts w:hint="eastAsia" w:ascii="宋体" w:hAnsi="宋体"/>
          <w:color w:val="auto"/>
          <w:sz w:val="24"/>
          <w:highlight w:val="none"/>
        </w:rPr>
        <w:t>附件1</w:t>
      </w:r>
      <w:r>
        <w:rPr>
          <w:rFonts w:hint="eastAsia" w:ascii="宋体" w:hAnsi="宋体"/>
          <w:color w:val="auto"/>
          <w:sz w:val="24"/>
          <w:highlight w:val="none"/>
        </w:rPr>
        <w:tab/>
      </w:r>
      <w:r>
        <w:rPr>
          <w:rFonts w:hint="eastAsia" w:ascii="宋体" w:hAnsi="宋体"/>
          <w:color w:val="auto"/>
          <w:sz w:val="24"/>
          <w:highlight w:val="none"/>
        </w:rPr>
        <w:t xml:space="preserve">供货范围和分项价格清单（略） </w:t>
      </w:r>
    </w:p>
    <w:p>
      <w:pPr>
        <w:pStyle w:val="103"/>
        <w:spacing w:line="360" w:lineRule="auto"/>
        <w:ind w:firstLine="1200" w:firstLineChars="500"/>
        <w:outlineLvl w:val="1"/>
        <w:rPr>
          <w:rFonts w:hint="eastAsia" w:ascii="宋体" w:hAnsi="宋体"/>
          <w:color w:val="auto"/>
          <w:sz w:val="24"/>
          <w:highlight w:val="none"/>
        </w:rPr>
      </w:pPr>
      <w:bookmarkStart w:id="90" w:name="_Toc23941_WPSOffice_Level2"/>
      <w:bookmarkEnd w:id="90"/>
      <w:bookmarkStart w:id="91" w:name="_Toc11060"/>
      <w:bookmarkEnd w:id="91"/>
      <w:r>
        <w:rPr>
          <w:rFonts w:hint="eastAsia" w:ascii="宋体" w:hAnsi="宋体"/>
          <w:color w:val="auto"/>
          <w:sz w:val="24"/>
          <w:highlight w:val="none"/>
        </w:rPr>
        <w:t xml:space="preserve">附件2 </w:t>
      </w:r>
      <w:r>
        <w:rPr>
          <w:rFonts w:hint="eastAsia" w:ascii="宋体" w:hAnsi="宋体"/>
          <w:color w:val="auto"/>
          <w:sz w:val="24"/>
          <w:highlight w:val="none"/>
        </w:rPr>
        <w:tab/>
      </w:r>
      <w:r>
        <w:rPr>
          <w:rFonts w:hint="eastAsia" w:ascii="宋体" w:hAnsi="宋体"/>
          <w:color w:val="auto"/>
          <w:sz w:val="24"/>
          <w:highlight w:val="none"/>
        </w:rPr>
        <w:t xml:space="preserve">技术规格、性能、保证指标和保证（略） </w:t>
      </w:r>
    </w:p>
    <w:p>
      <w:pPr>
        <w:pStyle w:val="103"/>
        <w:spacing w:line="360" w:lineRule="auto"/>
        <w:ind w:firstLine="1200" w:firstLineChars="500"/>
        <w:outlineLvl w:val="1"/>
        <w:rPr>
          <w:rFonts w:hint="eastAsia" w:ascii="宋体" w:hAnsi="宋体"/>
          <w:color w:val="auto"/>
          <w:sz w:val="24"/>
          <w:highlight w:val="none"/>
        </w:rPr>
      </w:pPr>
      <w:bookmarkStart w:id="92" w:name="_Toc13853"/>
      <w:bookmarkEnd w:id="92"/>
      <w:bookmarkStart w:id="93" w:name="_Toc21527_WPSOffice_Level2"/>
      <w:bookmarkEnd w:id="93"/>
      <w:r>
        <w:rPr>
          <w:rFonts w:hint="eastAsia" w:ascii="宋体" w:hAnsi="宋体"/>
          <w:color w:val="auto"/>
          <w:sz w:val="24"/>
          <w:highlight w:val="none"/>
        </w:rPr>
        <w:t xml:space="preserve">附件3 </w:t>
      </w:r>
      <w:r>
        <w:rPr>
          <w:rFonts w:hint="eastAsia" w:ascii="宋体" w:hAnsi="宋体"/>
          <w:color w:val="auto"/>
          <w:sz w:val="24"/>
          <w:highlight w:val="none"/>
        </w:rPr>
        <w:tab/>
      </w:r>
      <w:r>
        <w:rPr>
          <w:rFonts w:hint="eastAsia" w:ascii="宋体" w:hAnsi="宋体"/>
          <w:color w:val="auto"/>
          <w:sz w:val="24"/>
          <w:highlight w:val="none"/>
        </w:rPr>
        <w:t xml:space="preserve">技术服务、技术培训和验收考核（略） </w:t>
      </w:r>
    </w:p>
    <w:p>
      <w:pPr>
        <w:pStyle w:val="103"/>
        <w:spacing w:line="360" w:lineRule="auto"/>
        <w:ind w:firstLine="1200" w:firstLineChars="500"/>
        <w:outlineLvl w:val="1"/>
        <w:rPr>
          <w:rFonts w:hint="eastAsia" w:ascii="宋体" w:hAnsi="宋体"/>
          <w:color w:val="auto"/>
          <w:sz w:val="24"/>
          <w:highlight w:val="none"/>
        </w:rPr>
      </w:pPr>
      <w:bookmarkStart w:id="94" w:name="_Toc9730_WPSOffice_Level2"/>
      <w:bookmarkEnd w:id="94"/>
      <w:bookmarkStart w:id="95" w:name="_Toc10277"/>
      <w:bookmarkEnd w:id="95"/>
      <w:r>
        <w:rPr>
          <w:rFonts w:hint="eastAsia" w:ascii="宋体" w:hAnsi="宋体"/>
          <w:color w:val="auto"/>
          <w:sz w:val="24"/>
          <w:highlight w:val="none"/>
        </w:rPr>
        <w:t xml:space="preserve">附件4 </w:t>
      </w:r>
      <w:r>
        <w:rPr>
          <w:rFonts w:hint="eastAsia" w:ascii="宋体" w:hAnsi="宋体"/>
          <w:color w:val="auto"/>
          <w:sz w:val="24"/>
          <w:highlight w:val="none"/>
        </w:rPr>
        <w:tab/>
      </w:r>
      <w:r>
        <w:rPr>
          <w:rFonts w:hint="eastAsia" w:ascii="宋体" w:hAnsi="宋体"/>
          <w:color w:val="auto"/>
          <w:sz w:val="24"/>
          <w:highlight w:val="none"/>
        </w:rPr>
        <w:t>预付款银行保函格式 （略）</w:t>
      </w:r>
    </w:p>
    <w:p>
      <w:pPr>
        <w:pStyle w:val="103"/>
        <w:spacing w:line="360" w:lineRule="auto"/>
        <w:ind w:firstLine="1200" w:firstLineChars="500"/>
        <w:rPr>
          <w:rFonts w:hint="eastAsia" w:ascii="宋体" w:hAnsi="宋体"/>
          <w:color w:val="auto"/>
          <w:sz w:val="24"/>
          <w:highlight w:val="none"/>
        </w:rPr>
      </w:pPr>
    </w:p>
    <w:p>
      <w:pPr>
        <w:pStyle w:val="103"/>
        <w:rPr>
          <w:rFonts w:hint="eastAsia"/>
          <w:color w:val="auto"/>
          <w:highlight w:val="none"/>
        </w:rPr>
      </w:pPr>
    </w:p>
    <w:p>
      <w:pPr>
        <w:pStyle w:val="103"/>
        <w:rPr>
          <w:rFonts w:hint="eastAsia"/>
          <w:color w:val="auto"/>
          <w:highlight w:val="none"/>
        </w:rPr>
      </w:pPr>
    </w:p>
    <w:p>
      <w:pPr>
        <w:pStyle w:val="103"/>
        <w:rPr>
          <w:rFonts w:hint="eastAsia"/>
          <w:color w:val="auto"/>
          <w:highlight w:val="none"/>
        </w:rPr>
      </w:pPr>
    </w:p>
    <w:p>
      <w:pPr>
        <w:pStyle w:val="103"/>
        <w:rPr>
          <w:rFonts w:hint="eastAsia"/>
          <w:color w:val="auto"/>
          <w:highlight w:val="none"/>
        </w:rPr>
      </w:pPr>
    </w:p>
    <w:p>
      <w:pPr>
        <w:pStyle w:val="103"/>
        <w:rPr>
          <w:rFonts w:hint="eastAsia"/>
          <w:color w:val="auto"/>
          <w:highlight w:val="none"/>
        </w:rPr>
      </w:pPr>
    </w:p>
    <w:p>
      <w:pPr>
        <w:pStyle w:val="103"/>
        <w:rPr>
          <w:rFonts w:hint="eastAsia"/>
          <w:color w:val="auto"/>
          <w:highlight w:val="none"/>
        </w:rPr>
      </w:pPr>
    </w:p>
    <w:p>
      <w:pPr>
        <w:pStyle w:val="103"/>
        <w:rPr>
          <w:rFonts w:hint="eastAsia"/>
          <w:color w:val="auto"/>
          <w:highlight w:val="none"/>
        </w:rPr>
      </w:pPr>
    </w:p>
    <w:p>
      <w:pPr>
        <w:pStyle w:val="103"/>
        <w:rPr>
          <w:rFonts w:hint="eastAsia"/>
          <w:color w:val="auto"/>
          <w:highlight w:val="none"/>
        </w:rPr>
      </w:pPr>
    </w:p>
    <w:p>
      <w:pPr>
        <w:pStyle w:val="103"/>
        <w:rPr>
          <w:rFonts w:hint="eastAsia"/>
          <w:color w:val="auto"/>
          <w:highlight w:val="none"/>
        </w:rPr>
      </w:pPr>
    </w:p>
    <w:p>
      <w:pPr>
        <w:pStyle w:val="103"/>
        <w:rPr>
          <w:rFonts w:hint="eastAsia"/>
          <w:color w:val="auto"/>
          <w:highlight w:val="none"/>
        </w:rPr>
      </w:pPr>
    </w:p>
    <w:p>
      <w:pPr>
        <w:pStyle w:val="103"/>
        <w:rPr>
          <w:rFonts w:hint="eastAsia"/>
          <w:color w:val="auto"/>
          <w:highlight w:val="none"/>
        </w:rPr>
      </w:pPr>
    </w:p>
    <w:p>
      <w:pPr>
        <w:pStyle w:val="103"/>
        <w:jc w:val="center"/>
        <w:outlineLvl w:val="1"/>
        <w:rPr>
          <w:rFonts w:hint="eastAsia" w:ascii="黑体" w:eastAsia="黑体"/>
          <w:b/>
          <w:color w:val="auto"/>
          <w:sz w:val="32"/>
          <w:highlight w:val="none"/>
        </w:rPr>
      </w:pPr>
      <w:bookmarkStart w:id="96" w:name="_Toc5321_WPSOffice_Level2"/>
      <w:bookmarkEnd w:id="96"/>
      <w:bookmarkStart w:id="97" w:name="_Toc14707"/>
      <w:bookmarkEnd w:id="97"/>
    </w:p>
    <w:p>
      <w:pPr>
        <w:pStyle w:val="103"/>
        <w:jc w:val="center"/>
        <w:outlineLvl w:val="1"/>
        <w:rPr>
          <w:rFonts w:hint="eastAsia" w:ascii="黑体" w:eastAsia="黑体"/>
          <w:b/>
          <w:color w:val="auto"/>
          <w:sz w:val="32"/>
          <w:highlight w:val="none"/>
        </w:rPr>
      </w:pPr>
      <w:r>
        <w:rPr>
          <w:rFonts w:hint="eastAsia" w:ascii="黑体" w:eastAsia="黑体"/>
          <w:b/>
          <w:color w:val="auto"/>
          <w:sz w:val="32"/>
          <w:highlight w:val="none"/>
        </w:rPr>
        <w:t>合同专用条款</w:t>
      </w:r>
    </w:p>
    <w:p>
      <w:pPr>
        <w:pStyle w:val="102"/>
        <w:spacing w:line="240" w:lineRule="auto"/>
        <w:rPr>
          <w:color w:val="auto"/>
          <w:highlight w:val="none"/>
        </w:rPr>
      </w:pPr>
      <w:r>
        <w:rPr>
          <w:color w:val="auto"/>
          <w:highlight w:val="none"/>
        </w:rPr>
        <w:t>下述关于要采购的货物的具体资料是对招标文件</w:t>
      </w:r>
      <w:r>
        <w:rPr>
          <w:rFonts w:hint="eastAsia"/>
          <w:color w:val="auto"/>
          <w:highlight w:val="none"/>
        </w:rPr>
        <w:t>第五部分合同通用条款</w:t>
      </w:r>
      <w:r>
        <w:rPr>
          <w:color w:val="auto"/>
          <w:highlight w:val="none"/>
        </w:rPr>
        <w:t>的主要内容的具体补充和修改，如果与招标文件</w:t>
      </w:r>
      <w:r>
        <w:rPr>
          <w:rFonts w:hint="eastAsia"/>
          <w:color w:val="auto"/>
          <w:highlight w:val="none"/>
        </w:rPr>
        <w:t>第五部分合同通用条款</w:t>
      </w:r>
      <w:r>
        <w:rPr>
          <w:color w:val="auto"/>
          <w:highlight w:val="none"/>
        </w:rPr>
        <w:t>有矛盾的话，应以本资料表为准。</w:t>
      </w:r>
    </w:p>
    <w:tbl>
      <w:tblPr>
        <w:tblStyle w:val="13"/>
        <w:tblW w:w="9210" w:type="dxa"/>
        <w:tblInd w:w="-3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990"/>
        <w:gridCol w:w="8220"/>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89" w:hRule="atLeast"/>
        </w:trPr>
        <w:tc>
          <w:tcPr>
            <w:tcW w:w="990" w:type="dxa"/>
            <w:tcBorders>
              <w:top w:val="single" w:color="000000" w:sz="12" w:space="0"/>
            </w:tcBorders>
            <w:vAlign w:val="center"/>
          </w:tcPr>
          <w:p>
            <w:pPr>
              <w:jc w:val="center"/>
              <w:rPr>
                <w:rFonts w:hint="eastAsia" w:ascii="宋体" w:hAnsi="Calibri"/>
                <w:color w:val="auto"/>
                <w:sz w:val="24"/>
                <w:highlight w:val="none"/>
              </w:rPr>
            </w:pPr>
            <w:r>
              <w:rPr>
                <w:rFonts w:hint="eastAsia" w:ascii="宋体" w:hAnsi="Calibri"/>
                <w:color w:val="auto"/>
                <w:sz w:val="24"/>
                <w:highlight w:val="none"/>
              </w:rPr>
              <w:t>条款号</w:t>
            </w:r>
          </w:p>
        </w:tc>
        <w:tc>
          <w:tcPr>
            <w:tcW w:w="8220" w:type="dxa"/>
            <w:tcBorders>
              <w:top w:val="single" w:color="000000" w:sz="12" w:space="0"/>
            </w:tcBorders>
            <w:vAlign w:val="center"/>
          </w:tcPr>
          <w:p>
            <w:pPr>
              <w:jc w:val="center"/>
              <w:rPr>
                <w:rFonts w:hint="eastAsia" w:ascii="宋体" w:hAnsi="Calibri"/>
                <w:color w:val="auto"/>
                <w:sz w:val="24"/>
                <w:highlight w:val="none"/>
              </w:rPr>
            </w:pPr>
            <w:r>
              <w:rPr>
                <w:rFonts w:hint="eastAsia" w:ascii="宋体" w:hAnsi="Calibri"/>
                <w:color w:val="auto"/>
                <w:sz w:val="24"/>
                <w:highlight w:val="none"/>
              </w:rPr>
              <w:t>内                     容</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67" w:hRule="atLeast"/>
        </w:trPr>
        <w:tc>
          <w:tcPr>
            <w:tcW w:w="990" w:type="dxa"/>
            <w:vAlign w:val="center"/>
          </w:tcPr>
          <w:p>
            <w:pPr>
              <w:jc w:val="center"/>
              <w:rPr>
                <w:rFonts w:hint="eastAsia" w:ascii="宋体" w:hAnsi="Calibri"/>
                <w:color w:val="auto"/>
                <w:sz w:val="24"/>
                <w:highlight w:val="none"/>
              </w:rPr>
            </w:pPr>
            <w:r>
              <w:rPr>
                <w:rFonts w:hint="eastAsia" w:ascii="宋体" w:hAnsi="Calibri"/>
                <w:color w:val="auto"/>
                <w:sz w:val="24"/>
                <w:highlight w:val="none"/>
              </w:rPr>
              <w:t>1.1</w:t>
            </w:r>
          </w:p>
        </w:tc>
        <w:tc>
          <w:tcPr>
            <w:tcW w:w="8220" w:type="dxa"/>
            <w:vAlign w:val="center"/>
          </w:tcPr>
          <w:p>
            <w:pPr>
              <w:rPr>
                <w:rFonts w:hint="eastAsia" w:ascii="宋体" w:hAnsi="Calibri"/>
                <w:color w:val="auto"/>
                <w:sz w:val="24"/>
                <w:highlight w:val="none"/>
              </w:rPr>
            </w:pPr>
            <w:r>
              <w:rPr>
                <w:rFonts w:hint="eastAsia" w:ascii="宋体" w:hAnsi="Calibri"/>
                <w:color w:val="auto"/>
                <w:sz w:val="24"/>
                <w:highlight w:val="none"/>
              </w:rPr>
              <w:t>买方：</w:t>
            </w:r>
            <w:r>
              <w:rPr>
                <w:rFonts w:hint="eastAsia" w:ascii="宋体" w:hAnsi="宋体"/>
                <w:color w:val="auto"/>
                <w:sz w:val="24"/>
                <w:szCs w:val="24"/>
                <w:highlight w:val="none"/>
              </w:rPr>
              <w:t>江苏省</w:t>
            </w:r>
            <w:r>
              <w:rPr>
                <w:rFonts w:hint="eastAsia" w:ascii="宋体" w:hAnsi="宋体" w:eastAsia="宋体"/>
                <w:color w:val="auto"/>
                <w:sz w:val="24"/>
                <w:szCs w:val="24"/>
                <w:highlight w:val="none"/>
                <w:lang w:val="en-US" w:eastAsia="zh-CN"/>
              </w:rPr>
              <w:t>中</w:t>
            </w:r>
            <w:r>
              <w:rPr>
                <w:rFonts w:hint="eastAsia" w:ascii="宋体" w:hAnsi="宋体"/>
                <w:color w:val="auto"/>
                <w:sz w:val="24"/>
                <w:szCs w:val="24"/>
                <w:highlight w:val="none"/>
              </w:rPr>
              <w:t>医院</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2" w:hRule="exact"/>
        </w:trPr>
        <w:tc>
          <w:tcPr>
            <w:tcW w:w="990" w:type="dxa"/>
            <w:tcBorders>
              <w:bottom w:val="single" w:color="000000" w:sz="4" w:space="0"/>
            </w:tcBorders>
            <w:vAlign w:val="center"/>
          </w:tcPr>
          <w:p>
            <w:pPr>
              <w:jc w:val="center"/>
              <w:rPr>
                <w:rFonts w:hint="eastAsia" w:ascii="宋体" w:hAnsi="Calibri"/>
                <w:color w:val="auto"/>
                <w:sz w:val="24"/>
                <w:highlight w:val="none"/>
              </w:rPr>
            </w:pPr>
            <w:r>
              <w:rPr>
                <w:rFonts w:hint="eastAsia" w:ascii="宋体" w:hAnsi="Calibri"/>
                <w:color w:val="auto"/>
                <w:sz w:val="24"/>
                <w:highlight w:val="none"/>
              </w:rPr>
              <w:t>1.2</w:t>
            </w:r>
          </w:p>
        </w:tc>
        <w:tc>
          <w:tcPr>
            <w:tcW w:w="8220" w:type="dxa"/>
            <w:tcBorders>
              <w:bottom w:val="single" w:color="000000" w:sz="4" w:space="0"/>
            </w:tcBorders>
            <w:vAlign w:val="center"/>
          </w:tcPr>
          <w:p>
            <w:pPr>
              <w:rPr>
                <w:rFonts w:hint="eastAsia" w:ascii="宋体" w:hAnsi="Calibri"/>
                <w:color w:val="auto"/>
                <w:sz w:val="24"/>
                <w:highlight w:val="none"/>
              </w:rPr>
            </w:pPr>
            <w:r>
              <w:rPr>
                <w:rFonts w:hint="eastAsia" w:ascii="宋体" w:hAnsi="Calibri"/>
                <w:color w:val="auto"/>
                <w:sz w:val="24"/>
                <w:highlight w:val="none"/>
              </w:rPr>
              <w:t>卖方：待定。</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60" w:hRule="atLeast"/>
        </w:trPr>
        <w:tc>
          <w:tcPr>
            <w:tcW w:w="990" w:type="dxa"/>
            <w:tcBorders>
              <w:top w:val="single" w:color="000000" w:sz="4" w:space="0"/>
              <w:bottom w:val="single" w:color="000000" w:sz="4" w:space="0"/>
            </w:tcBorders>
            <w:vAlign w:val="center"/>
          </w:tcPr>
          <w:p>
            <w:pPr>
              <w:jc w:val="center"/>
              <w:rPr>
                <w:rFonts w:hint="eastAsia" w:ascii="宋体" w:hAnsi="Calibri"/>
                <w:color w:val="auto"/>
                <w:sz w:val="24"/>
                <w:highlight w:val="none"/>
              </w:rPr>
            </w:pPr>
            <w:r>
              <w:rPr>
                <w:rFonts w:hint="eastAsia" w:ascii="宋体" w:hAnsi="Calibri"/>
                <w:color w:val="auto"/>
                <w:sz w:val="24"/>
                <w:highlight w:val="none"/>
              </w:rPr>
              <w:t>1.4</w:t>
            </w:r>
          </w:p>
        </w:tc>
        <w:tc>
          <w:tcPr>
            <w:tcW w:w="8220" w:type="dxa"/>
            <w:tcBorders>
              <w:top w:val="single" w:color="000000" w:sz="4" w:space="0"/>
              <w:bottom w:val="single" w:color="000000" w:sz="4" w:space="0"/>
            </w:tcBorders>
            <w:vAlign w:val="center"/>
          </w:tcPr>
          <w:p>
            <w:pPr>
              <w:rPr>
                <w:rFonts w:hint="eastAsia" w:ascii="宋体" w:hAnsi="Calibri"/>
                <w:color w:val="auto"/>
                <w:sz w:val="24"/>
                <w:highlight w:val="none"/>
              </w:rPr>
            </w:pPr>
            <w:r>
              <w:rPr>
                <w:rFonts w:hint="eastAsia" w:ascii="宋体" w:hAnsi="Calibri"/>
                <w:color w:val="auto"/>
                <w:sz w:val="24"/>
                <w:highlight w:val="none"/>
              </w:rPr>
              <w:t>工作现场：</w:t>
            </w:r>
            <w:r>
              <w:rPr>
                <w:rFonts w:hint="eastAsia" w:ascii="宋体" w:hAnsi="宋体"/>
                <w:color w:val="auto"/>
                <w:sz w:val="24"/>
                <w:szCs w:val="24"/>
                <w:highlight w:val="none"/>
              </w:rPr>
              <w:t>江苏省</w:t>
            </w:r>
            <w:r>
              <w:rPr>
                <w:rFonts w:hint="eastAsia" w:ascii="宋体" w:hAnsi="宋体" w:eastAsia="宋体"/>
                <w:color w:val="auto"/>
                <w:sz w:val="24"/>
                <w:szCs w:val="24"/>
                <w:highlight w:val="none"/>
                <w:lang w:val="en-US" w:eastAsia="zh-CN"/>
              </w:rPr>
              <w:t>中</w:t>
            </w:r>
            <w:r>
              <w:rPr>
                <w:rFonts w:hint="eastAsia" w:ascii="宋体" w:hAnsi="宋体"/>
                <w:color w:val="auto"/>
                <w:sz w:val="24"/>
                <w:szCs w:val="24"/>
                <w:highlight w:val="none"/>
              </w:rPr>
              <w:t>医院</w:t>
            </w:r>
            <w:r>
              <w:rPr>
                <w:rFonts w:hint="eastAsia" w:ascii="Calibri" w:hAnsi="Calibri"/>
                <w:color w:val="auto"/>
                <w:sz w:val="24"/>
                <w:highlight w:val="none"/>
              </w:rPr>
              <w:t>指定地点</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9" w:hRule="atLeast"/>
        </w:trPr>
        <w:tc>
          <w:tcPr>
            <w:tcW w:w="990" w:type="dxa"/>
            <w:tcBorders>
              <w:top w:val="single" w:color="000000" w:sz="4" w:space="0"/>
              <w:bottom w:val="single" w:color="000000" w:sz="4" w:space="0"/>
            </w:tcBorders>
            <w:vAlign w:val="center"/>
          </w:tcPr>
          <w:p>
            <w:pPr>
              <w:jc w:val="center"/>
              <w:rPr>
                <w:rFonts w:hint="eastAsia" w:ascii="宋体" w:hAnsi="Calibri"/>
                <w:color w:val="auto"/>
                <w:sz w:val="24"/>
                <w:highlight w:val="none"/>
              </w:rPr>
            </w:pPr>
            <w:r>
              <w:rPr>
                <w:rFonts w:hint="eastAsia" w:ascii="宋体" w:hAnsi="Calibri"/>
                <w:color w:val="auto"/>
                <w:sz w:val="24"/>
                <w:highlight w:val="none"/>
              </w:rPr>
              <w:t>1.14</w:t>
            </w:r>
          </w:p>
        </w:tc>
        <w:tc>
          <w:tcPr>
            <w:tcW w:w="8220" w:type="dxa"/>
            <w:tcBorders>
              <w:top w:val="single" w:color="000000" w:sz="4" w:space="0"/>
              <w:bottom w:val="single" w:color="000000" w:sz="4" w:space="0"/>
            </w:tcBorders>
            <w:vAlign w:val="center"/>
          </w:tcPr>
          <w:p>
            <w:pPr>
              <w:rPr>
                <w:rFonts w:hint="eastAsia" w:ascii="宋体" w:hAnsi="Calibri"/>
                <w:color w:val="auto"/>
                <w:sz w:val="24"/>
                <w:highlight w:val="none"/>
              </w:rPr>
            </w:pPr>
            <w:r>
              <w:rPr>
                <w:rFonts w:hint="eastAsia" w:ascii="宋体" w:hAnsi="Calibri"/>
                <w:color w:val="auto"/>
                <w:sz w:val="24"/>
                <w:highlight w:val="none"/>
              </w:rPr>
              <w:t>合同货币：</w:t>
            </w:r>
            <w:r>
              <w:rPr>
                <w:rFonts w:hint="eastAsia" w:ascii="宋体" w:hAnsi="宋体"/>
                <w:color w:val="auto"/>
                <w:sz w:val="24"/>
                <w:highlight w:val="none"/>
              </w:rPr>
              <w:t>人民币</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58" w:hRule="atLeast"/>
        </w:trPr>
        <w:tc>
          <w:tcPr>
            <w:tcW w:w="990" w:type="dxa"/>
            <w:tcBorders>
              <w:top w:val="single" w:color="000000" w:sz="4" w:space="0"/>
            </w:tcBorders>
            <w:vAlign w:val="center"/>
          </w:tcPr>
          <w:p>
            <w:pPr>
              <w:jc w:val="center"/>
              <w:rPr>
                <w:rFonts w:hint="eastAsia" w:ascii="宋体" w:hAnsi="Calibri"/>
                <w:color w:val="auto"/>
                <w:sz w:val="24"/>
                <w:highlight w:val="none"/>
              </w:rPr>
            </w:pPr>
            <w:r>
              <w:rPr>
                <w:rFonts w:hint="eastAsia" w:ascii="宋体" w:hAnsi="Calibri"/>
                <w:color w:val="auto"/>
                <w:sz w:val="24"/>
                <w:highlight w:val="none"/>
              </w:rPr>
              <w:t>2.2</w:t>
            </w:r>
          </w:p>
        </w:tc>
        <w:tc>
          <w:tcPr>
            <w:tcW w:w="8220" w:type="dxa"/>
            <w:tcBorders>
              <w:top w:val="single" w:color="000000" w:sz="4" w:space="0"/>
            </w:tcBorders>
            <w:vAlign w:val="center"/>
          </w:tcPr>
          <w:p>
            <w:pPr>
              <w:rPr>
                <w:rFonts w:hint="eastAsia" w:ascii="宋体" w:hAnsi="Calibri"/>
                <w:color w:val="auto"/>
                <w:sz w:val="24"/>
                <w:highlight w:val="none"/>
              </w:rPr>
            </w:pPr>
            <w:r>
              <w:rPr>
                <w:rFonts w:hint="eastAsia" w:ascii="宋体" w:hAnsi="Calibri"/>
                <w:color w:val="auto"/>
                <w:sz w:val="24"/>
                <w:highlight w:val="none"/>
              </w:rPr>
              <w:t>合同货物的原产地：待定</w:t>
            </w:r>
          </w:p>
          <w:p>
            <w:pPr>
              <w:rPr>
                <w:rFonts w:hint="eastAsia" w:ascii="宋体" w:hAnsi="Calibri"/>
                <w:color w:val="auto"/>
                <w:sz w:val="24"/>
                <w:highlight w:val="none"/>
              </w:rPr>
            </w:pPr>
            <w:r>
              <w:rPr>
                <w:rFonts w:hint="eastAsia" w:ascii="宋体" w:hAnsi="Calibri"/>
                <w:color w:val="auto"/>
                <w:sz w:val="24"/>
                <w:highlight w:val="none"/>
              </w:rPr>
              <w:t>合同货物的制造商：待定</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5" w:hRule="atLeast"/>
        </w:trPr>
        <w:tc>
          <w:tcPr>
            <w:tcW w:w="990" w:type="dxa"/>
            <w:tcBorders>
              <w:top w:val="single" w:color="000000" w:sz="4" w:space="0"/>
            </w:tcBorders>
            <w:vAlign w:val="center"/>
          </w:tcPr>
          <w:p>
            <w:pPr>
              <w:jc w:val="center"/>
              <w:rPr>
                <w:rFonts w:hint="eastAsia" w:ascii="宋体" w:hAnsi="Calibri"/>
                <w:color w:val="auto"/>
                <w:sz w:val="24"/>
                <w:highlight w:val="none"/>
              </w:rPr>
            </w:pPr>
            <w:r>
              <w:rPr>
                <w:rFonts w:hint="eastAsia" w:ascii="宋体" w:hAnsi="Calibri"/>
                <w:color w:val="auto"/>
                <w:sz w:val="24"/>
                <w:highlight w:val="none"/>
              </w:rPr>
              <w:t>*4.1</w:t>
            </w:r>
          </w:p>
        </w:tc>
        <w:tc>
          <w:tcPr>
            <w:tcW w:w="8220" w:type="dxa"/>
            <w:tcBorders>
              <w:top w:val="single" w:color="000000" w:sz="4" w:space="0"/>
            </w:tcBorders>
            <w:vAlign w:val="center"/>
          </w:tcPr>
          <w:p>
            <w:pPr>
              <w:rPr>
                <w:rFonts w:hint="eastAsia" w:ascii="宋体"/>
                <w:color w:val="auto"/>
                <w:sz w:val="24"/>
                <w:highlight w:val="none"/>
              </w:rPr>
            </w:pPr>
            <w:r>
              <w:rPr>
                <w:rFonts w:hint="eastAsia" w:ascii="宋体"/>
                <w:color w:val="auto"/>
                <w:sz w:val="24"/>
                <w:highlight w:val="none"/>
              </w:rPr>
              <w:t>付款方式：</w:t>
            </w:r>
            <w:r>
              <w:rPr>
                <w:rFonts w:hint="eastAsia" w:ascii="宋体" w:hAnsi="宋体" w:cs="Arial"/>
                <w:color w:val="auto"/>
                <w:kern w:val="0"/>
                <w:sz w:val="24"/>
              </w:rPr>
              <w:t>合同签订后，货到安装，经采购人验收合格提供全额款项发票后付款</w:t>
            </w:r>
            <w:r>
              <w:rPr>
                <w:rFonts w:hint="eastAsia" w:ascii="宋体" w:hAnsi="宋体" w:cs="Arial"/>
                <w:color w:val="auto"/>
                <w:kern w:val="0"/>
                <w:sz w:val="24"/>
                <w:u w:val="single"/>
              </w:rPr>
              <w:t>90%</w:t>
            </w:r>
            <w:r>
              <w:rPr>
                <w:rFonts w:hint="eastAsia" w:ascii="宋体" w:hAnsi="宋体" w:cs="Arial"/>
                <w:color w:val="auto"/>
                <w:kern w:val="0"/>
                <w:sz w:val="24"/>
              </w:rPr>
              <w:t>，使用正常一年付</w:t>
            </w:r>
            <w:r>
              <w:rPr>
                <w:rFonts w:hint="eastAsia" w:ascii="宋体" w:hAnsi="宋体" w:cs="Arial"/>
                <w:color w:val="auto"/>
                <w:kern w:val="0"/>
                <w:sz w:val="24"/>
                <w:u w:val="single"/>
              </w:rPr>
              <w:t>10%</w:t>
            </w:r>
            <w:r>
              <w:rPr>
                <w:rFonts w:hint="eastAsia" w:ascii="宋体" w:hAnsi="宋体" w:cs="Arial"/>
                <w:color w:val="auto"/>
                <w:kern w:val="0"/>
                <w:sz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0" w:hRule="atLeast"/>
        </w:trPr>
        <w:tc>
          <w:tcPr>
            <w:tcW w:w="990" w:type="dxa"/>
            <w:vAlign w:val="center"/>
          </w:tcPr>
          <w:p>
            <w:pPr>
              <w:jc w:val="center"/>
              <w:rPr>
                <w:rFonts w:hint="eastAsia" w:ascii="宋体" w:hAnsi="Calibri"/>
                <w:color w:val="auto"/>
                <w:sz w:val="24"/>
                <w:highlight w:val="none"/>
              </w:rPr>
            </w:pPr>
            <w:r>
              <w:rPr>
                <w:rFonts w:hint="eastAsia" w:ascii="宋体" w:hAnsi="Calibri"/>
                <w:color w:val="auto"/>
                <w:sz w:val="24"/>
                <w:highlight w:val="none"/>
              </w:rPr>
              <w:t>6.1</w:t>
            </w:r>
          </w:p>
        </w:tc>
        <w:tc>
          <w:tcPr>
            <w:tcW w:w="8220" w:type="dxa"/>
            <w:vAlign w:val="center"/>
          </w:tcPr>
          <w:p>
            <w:pPr>
              <w:rPr>
                <w:rFonts w:hint="eastAsia" w:ascii="宋体" w:hAnsi="Calibri"/>
                <w:color w:val="auto"/>
                <w:sz w:val="24"/>
                <w:highlight w:val="none"/>
              </w:rPr>
            </w:pPr>
            <w:r>
              <w:rPr>
                <w:rFonts w:hint="eastAsia" w:ascii="宋体" w:hAnsi="Calibri"/>
                <w:color w:val="auto"/>
                <w:sz w:val="24"/>
                <w:highlight w:val="none"/>
              </w:rPr>
              <w:t>卖方需提供货物大约净重、总毛量、总体积等技术资料</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69" w:hRule="atLeast"/>
        </w:trPr>
        <w:tc>
          <w:tcPr>
            <w:tcW w:w="990" w:type="dxa"/>
            <w:vAlign w:val="center"/>
          </w:tcPr>
          <w:p>
            <w:pPr>
              <w:jc w:val="center"/>
              <w:rPr>
                <w:rFonts w:hint="eastAsia" w:ascii="宋体" w:hAnsi="Calibri"/>
                <w:color w:val="auto"/>
                <w:sz w:val="24"/>
                <w:highlight w:val="none"/>
              </w:rPr>
            </w:pPr>
            <w:r>
              <w:rPr>
                <w:rFonts w:hint="eastAsia" w:ascii="宋体" w:hAnsi="Calibri"/>
                <w:color w:val="auto"/>
                <w:sz w:val="24"/>
                <w:highlight w:val="none"/>
              </w:rPr>
              <w:t>6.2</w:t>
            </w:r>
          </w:p>
        </w:tc>
        <w:tc>
          <w:tcPr>
            <w:tcW w:w="8220" w:type="dxa"/>
            <w:vAlign w:val="center"/>
          </w:tcPr>
          <w:p>
            <w:pPr>
              <w:rPr>
                <w:rFonts w:hint="eastAsia" w:ascii="宋体" w:hAnsi="Calibri"/>
                <w:color w:val="auto"/>
                <w:sz w:val="24"/>
                <w:highlight w:val="none"/>
              </w:rPr>
            </w:pPr>
            <w:r>
              <w:rPr>
                <w:rFonts w:hint="eastAsia" w:ascii="宋体" w:hAnsi="Calibri"/>
                <w:color w:val="auto"/>
                <w:sz w:val="24"/>
                <w:highlight w:val="none"/>
              </w:rPr>
              <w:t>交货条件及时限：详见货物需求一览表</w:t>
            </w:r>
          </w:p>
          <w:p>
            <w:pPr>
              <w:rPr>
                <w:rFonts w:hint="eastAsia" w:ascii="宋体" w:hAnsi="Calibri"/>
                <w:color w:val="auto"/>
                <w:sz w:val="24"/>
                <w:highlight w:val="none"/>
              </w:rPr>
            </w:pPr>
            <w:r>
              <w:rPr>
                <w:rFonts w:hint="eastAsia" w:ascii="宋体" w:hAnsi="Calibri"/>
                <w:color w:val="auto"/>
                <w:sz w:val="24"/>
                <w:highlight w:val="none"/>
              </w:rPr>
              <w:t>投标人应在“投标报价汇总表”中详细说明“</w:t>
            </w:r>
            <w:r>
              <w:rPr>
                <w:rFonts w:hint="eastAsia" w:ascii="宋体" w:hAnsi="宋体"/>
                <w:color w:val="auto"/>
                <w:sz w:val="24"/>
                <w:highlight w:val="none"/>
              </w:rPr>
              <w:t>合同签订后货到项目现场的天数（日历日）”，及“接到买方送货通知后所需完成送货的天数（日历日）”。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62" w:hRule="atLeast"/>
        </w:trPr>
        <w:tc>
          <w:tcPr>
            <w:tcW w:w="990" w:type="dxa"/>
            <w:vAlign w:val="center"/>
          </w:tcPr>
          <w:p>
            <w:pPr>
              <w:jc w:val="center"/>
              <w:rPr>
                <w:rFonts w:ascii="宋体" w:hAnsi="Calibri"/>
                <w:color w:val="auto"/>
                <w:sz w:val="24"/>
                <w:highlight w:val="none"/>
              </w:rPr>
            </w:pPr>
            <w:r>
              <w:rPr>
                <w:rFonts w:ascii="宋体" w:hAnsi="Calibri"/>
                <w:color w:val="auto"/>
                <w:sz w:val="24"/>
                <w:highlight w:val="none"/>
              </w:rPr>
              <w:t>6.</w:t>
            </w:r>
            <w:r>
              <w:rPr>
                <w:rFonts w:hint="eastAsia" w:ascii="宋体" w:hAnsi="Calibri"/>
                <w:color w:val="auto"/>
                <w:sz w:val="24"/>
                <w:highlight w:val="none"/>
              </w:rPr>
              <w:t>3</w:t>
            </w:r>
          </w:p>
        </w:tc>
        <w:tc>
          <w:tcPr>
            <w:tcW w:w="8220" w:type="dxa"/>
            <w:vAlign w:val="center"/>
          </w:tcPr>
          <w:p>
            <w:pPr>
              <w:rPr>
                <w:rFonts w:hint="eastAsia" w:ascii="宋体" w:hAnsi="Calibri"/>
                <w:color w:val="auto"/>
                <w:sz w:val="24"/>
                <w:highlight w:val="none"/>
              </w:rPr>
            </w:pPr>
            <w:r>
              <w:rPr>
                <w:rFonts w:hint="eastAsia" w:ascii="宋体" w:hAnsi="Calibri"/>
                <w:color w:val="auto"/>
                <w:sz w:val="24"/>
                <w:highlight w:val="none"/>
              </w:rPr>
              <w:t>装运地点：待定</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vAlign w:val="center"/>
          </w:tcPr>
          <w:p>
            <w:pPr>
              <w:jc w:val="center"/>
              <w:rPr>
                <w:rFonts w:ascii="宋体" w:hAnsi="Calibri"/>
                <w:color w:val="auto"/>
                <w:sz w:val="24"/>
                <w:highlight w:val="none"/>
              </w:rPr>
            </w:pPr>
            <w:r>
              <w:rPr>
                <w:rFonts w:ascii="宋体" w:hAnsi="Calibri"/>
                <w:color w:val="auto"/>
                <w:sz w:val="24"/>
                <w:highlight w:val="none"/>
              </w:rPr>
              <w:t>6.</w:t>
            </w:r>
            <w:r>
              <w:rPr>
                <w:rFonts w:hint="eastAsia" w:ascii="宋体" w:hAnsi="Calibri"/>
                <w:color w:val="auto"/>
                <w:sz w:val="24"/>
                <w:highlight w:val="none"/>
              </w:rPr>
              <w:t>4</w:t>
            </w:r>
          </w:p>
        </w:tc>
        <w:tc>
          <w:tcPr>
            <w:tcW w:w="8220" w:type="dxa"/>
            <w:vAlign w:val="center"/>
          </w:tcPr>
          <w:p>
            <w:pPr>
              <w:rPr>
                <w:rFonts w:hint="eastAsia" w:ascii="宋体" w:hAnsi="Calibri"/>
                <w:color w:val="auto"/>
                <w:sz w:val="24"/>
                <w:highlight w:val="none"/>
              </w:rPr>
            </w:pPr>
            <w:r>
              <w:rPr>
                <w:rFonts w:hint="eastAsia" w:ascii="宋体" w:hAnsi="Calibri"/>
                <w:color w:val="auto"/>
                <w:sz w:val="24"/>
                <w:highlight w:val="none"/>
              </w:rPr>
              <w:t>卸货地点：医院现场</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vAlign w:val="center"/>
          </w:tcPr>
          <w:p>
            <w:pPr>
              <w:jc w:val="center"/>
              <w:rPr>
                <w:rFonts w:hint="eastAsia" w:ascii="宋体" w:hAnsi="Calibri"/>
                <w:color w:val="auto"/>
                <w:sz w:val="24"/>
                <w:highlight w:val="none"/>
              </w:rPr>
            </w:pPr>
            <w:r>
              <w:rPr>
                <w:rFonts w:hint="eastAsia" w:ascii="宋体" w:hAnsi="Calibri"/>
                <w:color w:val="auto"/>
                <w:sz w:val="24"/>
                <w:highlight w:val="none"/>
              </w:rPr>
              <w:t>6.5</w:t>
            </w:r>
          </w:p>
        </w:tc>
        <w:tc>
          <w:tcPr>
            <w:tcW w:w="8220" w:type="dxa"/>
            <w:vAlign w:val="center"/>
          </w:tcPr>
          <w:p>
            <w:pPr>
              <w:rPr>
                <w:rFonts w:hint="eastAsia" w:ascii="宋体" w:hAnsi="Calibri"/>
                <w:color w:val="auto"/>
                <w:sz w:val="24"/>
                <w:highlight w:val="none"/>
              </w:rPr>
            </w:pPr>
            <w:r>
              <w:rPr>
                <w:rFonts w:hint="eastAsia" w:ascii="宋体" w:hAnsi="Calibri"/>
                <w:color w:val="auto"/>
                <w:sz w:val="24"/>
                <w:highlight w:val="none"/>
              </w:rPr>
              <w:t>发运前7天。</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vAlign w:val="center"/>
          </w:tcPr>
          <w:p>
            <w:pPr>
              <w:jc w:val="center"/>
              <w:rPr>
                <w:rFonts w:hint="eastAsia" w:ascii="宋体" w:hAnsi="Calibri"/>
                <w:color w:val="auto"/>
                <w:sz w:val="24"/>
                <w:highlight w:val="none"/>
              </w:rPr>
            </w:pPr>
            <w:r>
              <w:rPr>
                <w:rFonts w:hint="eastAsia" w:ascii="宋体" w:hAnsi="Calibri"/>
                <w:color w:val="auto"/>
                <w:sz w:val="24"/>
                <w:highlight w:val="none"/>
              </w:rPr>
              <w:t>6.6</w:t>
            </w:r>
          </w:p>
        </w:tc>
        <w:tc>
          <w:tcPr>
            <w:tcW w:w="8220" w:type="dxa"/>
            <w:vAlign w:val="center"/>
          </w:tcPr>
          <w:p>
            <w:pPr>
              <w:rPr>
                <w:rFonts w:hint="eastAsia" w:ascii="Calibri" w:hAnsi="Calibri"/>
                <w:color w:val="auto"/>
                <w:sz w:val="24"/>
                <w:highlight w:val="none"/>
              </w:rPr>
            </w:pPr>
            <w:r>
              <w:rPr>
                <w:rFonts w:hint="eastAsia" w:ascii="Calibri" w:hAnsi="Calibri"/>
                <w:color w:val="auto"/>
                <w:sz w:val="24"/>
                <w:highlight w:val="none"/>
              </w:rPr>
              <w:t>卖方每逾期一周交货，按设备总价的5‰收取滞纳金；如逾期时间超过6周仍未能交付全部或部分设备，在不妨碍买方其他救济手段的情况下，买方可以向卖方发出书面违约通知从而全部或部分地终止合同，并向卖方索赔。</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tcBorders>
              <w:bottom w:val="single" w:color="000000" w:sz="6" w:space="0"/>
            </w:tcBorders>
            <w:vAlign w:val="center"/>
          </w:tcPr>
          <w:p>
            <w:pPr>
              <w:jc w:val="center"/>
              <w:rPr>
                <w:rFonts w:hint="eastAsia" w:ascii="宋体" w:hAnsi="Calibri"/>
                <w:color w:val="auto"/>
                <w:sz w:val="24"/>
                <w:highlight w:val="none"/>
              </w:rPr>
            </w:pPr>
            <w:r>
              <w:rPr>
                <w:rFonts w:hint="eastAsia" w:ascii="宋体" w:hAnsi="Calibri"/>
                <w:color w:val="auto"/>
                <w:sz w:val="24"/>
                <w:highlight w:val="none"/>
              </w:rPr>
              <w:t>8.1</w:t>
            </w:r>
          </w:p>
        </w:tc>
        <w:tc>
          <w:tcPr>
            <w:tcW w:w="8220" w:type="dxa"/>
            <w:vAlign w:val="center"/>
          </w:tcPr>
          <w:p>
            <w:pPr>
              <w:rPr>
                <w:rFonts w:hint="eastAsia" w:ascii="Calibri" w:hAnsi="Calibri"/>
                <w:color w:val="auto"/>
                <w:sz w:val="24"/>
                <w:highlight w:val="none"/>
              </w:rPr>
            </w:pPr>
            <w:r>
              <w:rPr>
                <w:rFonts w:hint="eastAsia" w:ascii="Calibri" w:hAnsi="Calibri"/>
                <w:color w:val="auto"/>
                <w:sz w:val="24"/>
                <w:highlight w:val="none"/>
              </w:rPr>
              <w:t>买方提供产品合格证书及说明书。</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tcBorders>
              <w:bottom w:val="single" w:color="000000" w:sz="6" w:space="0"/>
            </w:tcBorders>
            <w:vAlign w:val="center"/>
          </w:tcPr>
          <w:p>
            <w:pPr>
              <w:jc w:val="center"/>
              <w:rPr>
                <w:rFonts w:hint="eastAsia" w:ascii="宋体" w:hAnsi="Calibri"/>
                <w:color w:val="auto"/>
                <w:sz w:val="24"/>
                <w:highlight w:val="none"/>
              </w:rPr>
            </w:pPr>
            <w:r>
              <w:rPr>
                <w:rFonts w:hint="eastAsia" w:ascii="宋体" w:hAnsi="Calibri"/>
                <w:color w:val="auto"/>
                <w:sz w:val="24"/>
                <w:highlight w:val="none"/>
              </w:rPr>
              <w:t>*11.5</w:t>
            </w:r>
          </w:p>
        </w:tc>
        <w:tc>
          <w:tcPr>
            <w:tcW w:w="8220" w:type="dxa"/>
            <w:vAlign w:val="center"/>
          </w:tcPr>
          <w:p>
            <w:pPr>
              <w:rPr>
                <w:rFonts w:hint="eastAsia" w:ascii="Calibri" w:hAnsi="Calibri"/>
                <w:color w:val="auto"/>
                <w:sz w:val="24"/>
                <w:highlight w:val="none"/>
              </w:rPr>
            </w:pPr>
            <w:r>
              <w:rPr>
                <w:rFonts w:hint="eastAsia" w:ascii="Calibri" w:hAnsi="Calibri"/>
                <w:color w:val="auto"/>
                <w:sz w:val="24"/>
                <w:highlight w:val="none"/>
              </w:rPr>
              <w:t>质量保证期：</w:t>
            </w:r>
            <w:r>
              <w:rPr>
                <w:rFonts w:hint="eastAsia" w:ascii="Calibri" w:hAnsi="Calibri"/>
                <w:color w:val="auto"/>
                <w:sz w:val="24"/>
                <w:highlight w:val="none"/>
                <w:lang w:val="en-US" w:eastAsia="zh-CN"/>
              </w:rPr>
              <w:t>1、</w:t>
            </w:r>
            <w:r>
              <w:rPr>
                <w:rFonts w:hint="eastAsia" w:ascii="Calibri" w:hAnsi="Calibri"/>
                <w:color w:val="auto"/>
                <w:sz w:val="24"/>
                <w:highlight w:val="none"/>
              </w:rPr>
              <w:t xml:space="preserve">提供原厂质保≥ </w:t>
            </w:r>
            <w:r>
              <w:rPr>
                <w:rFonts w:hint="eastAsia" w:ascii="Calibri" w:hAnsi="Calibri"/>
                <w:color w:val="auto"/>
                <w:sz w:val="24"/>
                <w:highlight w:val="none"/>
                <w:lang w:val="en-US" w:eastAsia="zh-CN"/>
              </w:rPr>
              <w:t>5</w:t>
            </w:r>
            <w:r>
              <w:rPr>
                <w:rFonts w:hint="eastAsia" w:ascii="Calibri" w:hAnsi="Calibri"/>
                <w:color w:val="auto"/>
                <w:sz w:val="24"/>
                <w:highlight w:val="none"/>
              </w:rPr>
              <w:t xml:space="preserve"> 年，自采购人验收合格，验收报告确认签字日起，开始进入质保期。如质保期内半年内累计出现5次及以上故障或者同一质量问题累计出现3次及以上故障，采购方有权提出无条件退货或者换货。质量问题经供应商维修后，质保期相应延长。</w:t>
            </w:r>
          </w:p>
          <w:p>
            <w:pPr>
              <w:rPr>
                <w:rFonts w:hint="eastAsia" w:ascii="Calibri" w:hAnsi="Calibri"/>
                <w:color w:val="auto"/>
                <w:sz w:val="24"/>
                <w:highlight w:val="none"/>
              </w:rPr>
            </w:pPr>
            <w:r>
              <w:rPr>
                <w:rFonts w:hint="eastAsia" w:ascii="Calibri" w:hAnsi="Calibri"/>
                <w:color w:val="auto"/>
                <w:sz w:val="24"/>
                <w:highlight w:val="none"/>
              </w:rPr>
              <w:t>2、质保期内，一旦发生质量问题，供应商在接到通知的2小时内响应，在24小时内到达现场，一切费用供应商负责。更换部件时须保证与原有产品的规格、型号、颜色和结构的一致性，并不得影响已使用场所的正常工作的开展。</w:t>
            </w:r>
          </w:p>
          <w:p>
            <w:pPr>
              <w:rPr>
                <w:rFonts w:hint="eastAsia" w:ascii="Calibri" w:hAnsi="Calibri"/>
                <w:color w:val="auto"/>
                <w:sz w:val="24"/>
                <w:highlight w:val="none"/>
              </w:rPr>
            </w:pPr>
            <w:r>
              <w:rPr>
                <w:rFonts w:hint="eastAsia" w:ascii="Calibri" w:hAnsi="Calibri"/>
                <w:color w:val="auto"/>
                <w:sz w:val="24"/>
                <w:highlight w:val="none"/>
              </w:rPr>
              <w:t>3、供应商负责设备的终身维修。保修期外仅收取配件费,免收交通费及修理费；供应商保证能提供设备的所有原厂配件。保修期满后需更换配件，价格由双方协商确定。若附件中涉及零配件，易损件价格，则不得高于附件中的相应价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vAlign w:val="center"/>
          </w:tcPr>
          <w:p>
            <w:pPr>
              <w:jc w:val="center"/>
              <w:rPr>
                <w:rFonts w:hint="eastAsia" w:ascii="宋体" w:hAnsi="Calibri"/>
                <w:color w:val="auto"/>
                <w:sz w:val="24"/>
                <w:highlight w:val="none"/>
              </w:rPr>
            </w:pPr>
            <w:r>
              <w:rPr>
                <w:rFonts w:hint="eastAsia" w:ascii="宋体" w:hAnsi="Calibri"/>
                <w:color w:val="auto"/>
                <w:sz w:val="24"/>
                <w:highlight w:val="none"/>
              </w:rPr>
              <w:t>12.1</w:t>
            </w:r>
          </w:p>
        </w:tc>
        <w:tc>
          <w:tcPr>
            <w:tcW w:w="8220" w:type="dxa"/>
            <w:vAlign w:val="center"/>
          </w:tcPr>
          <w:p>
            <w:pPr>
              <w:rPr>
                <w:rFonts w:hint="eastAsia" w:ascii="宋体" w:hAnsi="Calibri"/>
                <w:color w:val="auto"/>
                <w:sz w:val="24"/>
                <w:highlight w:val="none"/>
              </w:rPr>
            </w:pPr>
            <w:r>
              <w:rPr>
                <w:rFonts w:hint="eastAsia" w:ascii="宋体" w:hAnsi="Calibri"/>
                <w:color w:val="auto"/>
                <w:sz w:val="24"/>
                <w:highlight w:val="none"/>
              </w:rPr>
              <w:t>根据卖方违约的程度，买方有权采取A、B、C、D、E五种救济方式中的任何一种或几种。</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vAlign w:val="center"/>
          </w:tcPr>
          <w:p>
            <w:pPr>
              <w:jc w:val="center"/>
              <w:rPr>
                <w:rFonts w:hint="eastAsia" w:ascii="宋体" w:hAnsi="Calibri"/>
                <w:color w:val="auto"/>
                <w:sz w:val="24"/>
                <w:highlight w:val="none"/>
              </w:rPr>
            </w:pPr>
            <w:r>
              <w:rPr>
                <w:rFonts w:hint="eastAsia" w:ascii="宋体" w:hAnsi="Calibri"/>
                <w:color w:val="auto"/>
                <w:sz w:val="24"/>
                <w:highlight w:val="none"/>
              </w:rPr>
              <w:t>12.3</w:t>
            </w:r>
          </w:p>
        </w:tc>
        <w:tc>
          <w:tcPr>
            <w:tcW w:w="8220" w:type="dxa"/>
            <w:vAlign w:val="center"/>
          </w:tcPr>
          <w:p>
            <w:pPr>
              <w:rPr>
                <w:rFonts w:hint="eastAsia" w:ascii="宋体" w:hAnsi="Calibri"/>
                <w:color w:val="auto"/>
                <w:sz w:val="24"/>
                <w:highlight w:val="none"/>
              </w:rPr>
            </w:pPr>
            <w:r>
              <w:rPr>
                <w:rFonts w:hint="eastAsia" w:ascii="宋体" w:hAnsi="Calibri"/>
                <w:color w:val="auto"/>
                <w:sz w:val="24"/>
                <w:highlight w:val="none"/>
              </w:rPr>
              <w:t>A.卖方收到买方索赔要求后14天内给予回复。</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vAlign w:val="center"/>
          </w:tcPr>
          <w:p>
            <w:pPr>
              <w:jc w:val="center"/>
              <w:rPr>
                <w:rFonts w:hint="eastAsia" w:ascii="宋体" w:hAnsi="Calibri"/>
                <w:color w:val="auto"/>
                <w:sz w:val="24"/>
                <w:highlight w:val="none"/>
              </w:rPr>
            </w:pPr>
            <w:r>
              <w:rPr>
                <w:rFonts w:hint="eastAsia" w:ascii="宋体" w:hAnsi="Calibri"/>
                <w:color w:val="auto"/>
                <w:sz w:val="24"/>
                <w:highlight w:val="none"/>
              </w:rPr>
              <w:t>14.1</w:t>
            </w:r>
          </w:p>
        </w:tc>
        <w:tc>
          <w:tcPr>
            <w:tcW w:w="8220" w:type="dxa"/>
            <w:vAlign w:val="center"/>
          </w:tcPr>
          <w:p>
            <w:pPr>
              <w:rPr>
                <w:rFonts w:hint="eastAsia" w:ascii="宋体" w:hAnsi="Calibri"/>
                <w:color w:val="auto"/>
                <w:sz w:val="24"/>
                <w:highlight w:val="none"/>
              </w:rPr>
            </w:pPr>
            <w:r>
              <w:rPr>
                <w:rFonts w:hint="eastAsia" w:ascii="宋体" w:hAnsi="Calibri"/>
                <w:color w:val="auto"/>
                <w:sz w:val="24"/>
                <w:highlight w:val="none"/>
              </w:rPr>
              <w:t>C.卖方未能履行合同项下任何其它义务</w:t>
            </w:r>
            <w:r>
              <w:rPr>
                <w:rFonts w:ascii="Arial" w:hAnsi="Arial"/>
                <w:color w:val="auto"/>
                <w:sz w:val="24"/>
                <w:highlight w:val="none"/>
              </w:rPr>
              <w:t>(</w:t>
            </w:r>
            <w:r>
              <w:rPr>
                <w:rFonts w:hint="eastAsia" w:ascii="宋体" w:hAnsi="Calibri"/>
                <w:color w:val="auto"/>
                <w:sz w:val="24"/>
                <w:highlight w:val="none"/>
              </w:rPr>
              <w:t>细微义务除外</w:t>
            </w:r>
            <w:r>
              <w:rPr>
                <w:rFonts w:ascii="Arial" w:hAnsi="Arial"/>
                <w:color w:val="auto"/>
                <w:sz w:val="24"/>
                <w:highlight w:val="none"/>
              </w:rPr>
              <w:t>)</w:t>
            </w:r>
            <w:r>
              <w:rPr>
                <w:rFonts w:hint="eastAsia" w:ascii="宋体" w:hAnsi="Calibri"/>
                <w:color w:val="auto"/>
                <w:sz w:val="24"/>
                <w:highlight w:val="none"/>
              </w:rPr>
              <w:t>，并且在收到买方违约通知后14天内仍未对其违约行为作出补救。</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990" w:type="dxa"/>
            <w:vAlign w:val="center"/>
          </w:tcPr>
          <w:p>
            <w:pPr>
              <w:jc w:val="center"/>
              <w:rPr>
                <w:rFonts w:hint="eastAsia" w:ascii="宋体" w:hAnsi="Calibri"/>
                <w:color w:val="auto"/>
                <w:sz w:val="24"/>
                <w:highlight w:val="none"/>
              </w:rPr>
            </w:pPr>
            <w:r>
              <w:rPr>
                <w:rFonts w:hint="eastAsia" w:ascii="宋体" w:hAnsi="Calibri"/>
                <w:color w:val="auto"/>
                <w:sz w:val="24"/>
                <w:highlight w:val="none"/>
              </w:rPr>
              <w:t>增加14.1D</w:t>
            </w:r>
          </w:p>
        </w:tc>
        <w:tc>
          <w:tcPr>
            <w:tcW w:w="8220" w:type="dxa"/>
            <w:vAlign w:val="center"/>
          </w:tcPr>
          <w:p>
            <w:pPr>
              <w:rPr>
                <w:rFonts w:hint="eastAsia" w:ascii="宋体" w:hAnsi="Calibri"/>
                <w:color w:val="auto"/>
                <w:sz w:val="24"/>
                <w:highlight w:val="none"/>
              </w:rPr>
            </w:pPr>
            <w:r>
              <w:rPr>
                <w:rFonts w:hint="eastAsia" w:ascii="宋体" w:hAnsi="Calibri"/>
                <w:color w:val="auto"/>
                <w:sz w:val="24"/>
                <w:highlight w:val="none"/>
              </w:rPr>
              <w:t>D.未得到买方许可，擅自将本合同货物或服务分包给其他单位。</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vAlign w:val="center"/>
          </w:tcPr>
          <w:p>
            <w:pPr>
              <w:jc w:val="center"/>
              <w:rPr>
                <w:rFonts w:hint="eastAsia" w:ascii="宋体" w:hAnsi="Calibri"/>
                <w:color w:val="auto"/>
                <w:sz w:val="24"/>
                <w:highlight w:val="none"/>
              </w:rPr>
            </w:pPr>
            <w:r>
              <w:rPr>
                <w:rFonts w:hint="eastAsia" w:ascii="宋体" w:hAnsi="Calibri"/>
                <w:color w:val="auto"/>
                <w:sz w:val="24"/>
                <w:highlight w:val="none"/>
              </w:rPr>
              <w:t>14.4</w:t>
            </w:r>
          </w:p>
        </w:tc>
        <w:tc>
          <w:tcPr>
            <w:tcW w:w="8220" w:type="dxa"/>
            <w:vAlign w:val="center"/>
          </w:tcPr>
          <w:p>
            <w:pPr>
              <w:rPr>
                <w:rFonts w:hint="eastAsia" w:ascii="宋体" w:hAnsi="Calibri"/>
                <w:color w:val="auto"/>
                <w:sz w:val="24"/>
                <w:highlight w:val="none"/>
              </w:rPr>
            </w:pPr>
            <w:r>
              <w:rPr>
                <w:rFonts w:hint="eastAsia" w:ascii="宋体" w:hAnsi="Calibri"/>
                <w:color w:val="auto"/>
                <w:sz w:val="24"/>
                <w:highlight w:val="none"/>
              </w:rPr>
              <w:t>E.卖方应双倍返还买方已支付的货款（包括定金）。</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vAlign w:val="center"/>
          </w:tcPr>
          <w:p>
            <w:pPr>
              <w:jc w:val="center"/>
              <w:rPr>
                <w:rFonts w:hint="eastAsia" w:ascii="宋体" w:hAnsi="Calibri"/>
                <w:color w:val="auto"/>
                <w:sz w:val="24"/>
                <w:highlight w:val="none"/>
              </w:rPr>
            </w:pPr>
            <w:r>
              <w:rPr>
                <w:rFonts w:hint="eastAsia" w:ascii="宋体" w:hAnsi="Calibri"/>
                <w:color w:val="auto"/>
                <w:sz w:val="24"/>
                <w:highlight w:val="none"/>
              </w:rPr>
              <w:t>15.1</w:t>
            </w:r>
          </w:p>
        </w:tc>
        <w:tc>
          <w:tcPr>
            <w:tcW w:w="8220" w:type="dxa"/>
            <w:vAlign w:val="center"/>
          </w:tcPr>
          <w:p>
            <w:pPr>
              <w:rPr>
                <w:rFonts w:hint="eastAsia" w:ascii="宋体" w:hAnsi="Calibri"/>
                <w:color w:val="auto"/>
                <w:sz w:val="24"/>
                <w:highlight w:val="none"/>
              </w:rPr>
            </w:pPr>
            <w:r>
              <w:rPr>
                <w:rFonts w:hint="eastAsia" w:ascii="宋体" w:hAnsi="Calibri"/>
                <w:color w:val="auto"/>
                <w:sz w:val="24"/>
                <w:highlight w:val="none"/>
              </w:rPr>
              <w:t>因执行本合同所发生的或者与本合同有关的一切争议将由合同双方通过友好协商解决。如果不能协商一致，合同任何一方有权将争议提交买方所在地仲裁机构或</w:t>
            </w:r>
            <w:r>
              <w:rPr>
                <w:rFonts w:hint="eastAsia" w:ascii="Calibri" w:hAnsi="Calibri"/>
                <w:color w:val="auto"/>
                <w:sz w:val="24"/>
                <w:highlight w:val="none"/>
              </w:rPr>
              <w:t>提交</w:t>
            </w:r>
            <w:r>
              <w:rPr>
                <w:rFonts w:hint="eastAsia" w:ascii="宋体" w:hAnsi="Calibri"/>
                <w:color w:val="auto"/>
                <w:sz w:val="24"/>
                <w:highlight w:val="none"/>
              </w:rPr>
              <w:t>买方所在地</w:t>
            </w:r>
            <w:r>
              <w:rPr>
                <w:rFonts w:hint="eastAsia" w:ascii="Calibri" w:hAnsi="Calibri"/>
                <w:color w:val="auto"/>
                <w:sz w:val="24"/>
                <w:highlight w:val="none"/>
              </w:rPr>
              <w:t>法院判决。</w:t>
            </w:r>
          </w:p>
        </w:tc>
      </w:tr>
    </w:tbl>
    <w:p>
      <w:pPr>
        <w:jc w:val="left"/>
        <w:rPr>
          <w:rFonts w:hint="eastAsia"/>
          <w:color w:val="auto"/>
          <w:sz w:val="20"/>
          <w:highlight w:val="none"/>
        </w:rPr>
      </w:pPr>
      <w:bookmarkStart w:id="98" w:name="_Toc12366"/>
      <w:r>
        <w:rPr>
          <w:rFonts w:hint="eastAsia"/>
          <w:color w:val="auto"/>
          <w:sz w:val="20"/>
          <w:highlight w:val="none"/>
        </w:rPr>
        <w:t xml:space="preserve">  </w:t>
      </w:r>
    </w:p>
    <w:p>
      <w:pPr>
        <w:jc w:val="left"/>
        <w:rPr>
          <w:rFonts w:hint="eastAsia"/>
          <w:color w:val="auto"/>
          <w:sz w:val="20"/>
          <w:highlight w:val="none"/>
        </w:rPr>
      </w:pPr>
    </w:p>
    <w:p>
      <w:pPr>
        <w:jc w:val="left"/>
        <w:rPr>
          <w:rFonts w:hint="eastAsia"/>
          <w:color w:val="auto"/>
          <w:sz w:val="20"/>
          <w:highlight w:val="none"/>
        </w:rPr>
      </w:pPr>
    </w:p>
    <w:p>
      <w:pPr>
        <w:pStyle w:val="2"/>
        <w:rPr>
          <w:rFonts w:hint="eastAsia"/>
          <w:color w:val="auto"/>
          <w:sz w:val="20"/>
          <w:highlight w:val="none"/>
        </w:rPr>
      </w:pPr>
    </w:p>
    <w:p>
      <w:pPr>
        <w:rPr>
          <w:rFonts w:hint="eastAsia"/>
          <w:color w:val="auto"/>
          <w:sz w:val="20"/>
          <w:highlight w:val="none"/>
        </w:rPr>
      </w:pPr>
    </w:p>
    <w:p>
      <w:pPr>
        <w:pStyle w:val="2"/>
        <w:rPr>
          <w:rFonts w:hint="eastAsia"/>
          <w:color w:val="auto"/>
          <w:sz w:val="20"/>
          <w:highlight w:val="none"/>
        </w:rPr>
      </w:pPr>
    </w:p>
    <w:p>
      <w:pPr>
        <w:rPr>
          <w:rFonts w:hint="eastAsia"/>
          <w:color w:val="auto"/>
          <w:sz w:val="20"/>
          <w:highlight w:val="none"/>
        </w:rPr>
      </w:pPr>
    </w:p>
    <w:p>
      <w:pPr>
        <w:pStyle w:val="2"/>
        <w:rPr>
          <w:rFonts w:hint="eastAsia"/>
          <w:color w:val="auto"/>
          <w:sz w:val="20"/>
          <w:highlight w:val="none"/>
        </w:rPr>
      </w:pPr>
    </w:p>
    <w:p>
      <w:pPr>
        <w:rPr>
          <w:rFonts w:hint="eastAsia"/>
          <w:color w:val="auto"/>
          <w:sz w:val="20"/>
          <w:highlight w:val="none"/>
        </w:rPr>
      </w:pPr>
    </w:p>
    <w:p>
      <w:pPr>
        <w:pStyle w:val="2"/>
        <w:rPr>
          <w:rFonts w:hint="eastAsia"/>
          <w:color w:val="auto"/>
          <w:sz w:val="20"/>
          <w:highlight w:val="none"/>
        </w:rPr>
      </w:pPr>
    </w:p>
    <w:p>
      <w:pPr>
        <w:rPr>
          <w:rFonts w:hint="eastAsia"/>
          <w:color w:val="auto"/>
          <w:sz w:val="20"/>
          <w:highlight w:val="none"/>
        </w:rPr>
      </w:pPr>
    </w:p>
    <w:p>
      <w:pPr>
        <w:pStyle w:val="2"/>
        <w:rPr>
          <w:rFonts w:hint="eastAsia"/>
          <w:color w:val="auto"/>
          <w:sz w:val="20"/>
          <w:highlight w:val="none"/>
        </w:rPr>
      </w:pPr>
    </w:p>
    <w:p>
      <w:pPr>
        <w:rPr>
          <w:rFonts w:hint="eastAsia"/>
          <w:color w:val="auto"/>
          <w:sz w:val="20"/>
          <w:highlight w:val="none"/>
        </w:rPr>
      </w:pPr>
    </w:p>
    <w:p>
      <w:pPr>
        <w:pStyle w:val="2"/>
        <w:rPr>
          <w:rFonts w:hint="eastAsia"/>
          <w:color w:val="auto"/>
          <w:sz w:val="20"/>
          <w:highlight w:val="none"/>
        </w:rPr>
      </w:pPr>
    </w:p>
    <w:p>
      <w:pPr>
        <w:rPr>
          <w:rFonts w:hint="eastAsia"/>
          <w:color w:val="auto"/>
          <w:sz w:val="20"/>
          <w:highlight w:val="none"/>
        </w:rPr>
      </w:pPr>
    </w:p>
    <w:p>
      <w:pPr>
        <w:pStyle w:val="2"/>
        <w:rPr>
          <w:rFonts w:hint="eastAsia"/>
          <w:color w:val="auto"/>
          <w:sz w:val="20"/>
          <w:highlight w:val="none"/>
        </w:rPr>
      </w:pPr>
    </w:p>
    <w:p>
      <w:pPr>
        <w:rPr>
          <w:rFonts w:hint="eastAsia"/>
          <w:color w:val="auto"/>
          <w:sz w:val="20"/>
          <w:highlight w:val="none"/>
        </w:rPr>
      </w:pPr>
    </w:p>
    <w:p>
      <w:pPr>
        <w:pStyle w:val="2"/>
        <w:rPr>
          <w:rFonts w:hint="eastAsia"/>
          <w:color w:val="auto"/>
          <w:sz w:val="20"/>
          <w:highlight w:val="none"/>
        </w:rPr>
      </w:pPr>
    </w:p>
    <w:p>
      <w:pPr>
        <w:rPr>
          <w:rFonts w:hint="eastAsia"/>
          <w:color w:val="auto"/>
          <w:sz w:val="20"/>
          <w:highlight w:val="none"/>
        </w:rPr>
      </w:pPr>
    </w:p>
    <w:p>
      <w:pPr>
        <w:pStyle w:val="2"/>
        <w:rPr>
          <w:rFonts w:hint="eastAsia"/>
          <w:color w:val="auto"/>
          <w:sz w:val="20"/>
          <w:highlight w:val="none"/>
        </w:rPr>
      </w:pPr>
    </w:p>
    <w:p>
      <w:pPr>
        <w:rPr>
          <w:rFonts w:hint="eastAsia"/>
          <w:color w:val="auto"/>
          <w:sz w:val="20"/>
          <w:highlight w:val="none"/>
        </w:rPr>
      </w:pPr>
    </w:p>
    <w:p>
      <w:pPr>
        <w:pStyle w:val="2"/>
        <w:rPr>
          <w:rFonts w:hint="eastAsia"/>
          <w:color w:val="auto"/>
          <w:sz w:val="20"/>
          <w:highlight w:val="none"/>
        </w:rPr>
      </w:pPr>
    </w:p>
    <w:p>
      <w:pPr>
        <w:rPr>
          <w:rFonts w:hint="eastAsia"/>
          <w:color w:val="auto"/>
          <w:sz w:val="20"/>
          <w:highlight w:val="none"/>
        </w:rPr>
      </w:pPr>
    </w:p>
    <w:p>
      <w:pPr>
        <w:pStyle w:val="2"/>
        <w:rPr>
          <w:rFonts w:hint="eastAsia"/>
          <w:color w:val="auto"/>
          <w:sz w:val="20"/>
          <w:highlight w:val="none"/>
        </w:rPr>
      </w:pPr>
    </w:p>
    <w:p>
      <w:pPr>
        <w:pStyle w:val="2"/>
        <w:rPr>
          <w:rFonts w:hint="eastAsia"/>
        </w:rPr>
      </w:pPr>
    </w:p>
    <w:p>
      <w:pPr>
        <w:jc w:val="left"/>
        <w:rPr>
          <w:rFonts w:hint="eastAsia"/>
          <w:color w:val="auto"/>
          <w:sz w:val="20"/>
          <w:highlight w:val="none"/>
        </w:rPr>
      </w:pPr>
    </w:p>
    <w:bookmarkEnd w:id="87"/>
    <w:bookmarkEnd w:id="98"/>
    <w:p>
      <w:pPr>
        <w:jc w:val="center"/>
        <w:rPr>
          <w:rFonts w:hint="eastAsia"/>
          <w:b/>
          <w:color w:val="auto"/>
          <w:sz w:val="44"/>
          <w:szCs w:val="44"/>
          <w:highlight w:val="none"/>
        </w:rPr>
      </w:pPr>
      <w:r>
        <w:rPr>
          <w:rFonts w:hint="eastAsia"/>
          <w:b/>
          <w:color w:val="auto"/>
          <w:sz w:val="44"/>
          <w:szCs w:val="44"/>
          <w:highlight w:val="none"/>
        </w:rPr>
        <w:t>第六部分  投标文件格式</w:t>
      </w:r>
    </w:p>
    <w:p>
      <w:pPr>
        <w:rPr>
          <w:color w:val="auto"/>
          <w:highlight w:val="none"/>
        </w:rPr>
      </w:pPr>
    </w:p>
    <w:p>
      <w:pPr>
        <w:pStyle w:val="195"/>
        <w:ind w:firstLine="321" w:firstLineChars="100"/>
        <w:jc w:val="center"/>
        <w:outlineLvl w:val="1"/>
        <w:rPr>
          <w:color w:val="auto"/>
          <w:highlight w:val="none"/>
        </w:rPr>
      </w:pPr>
      <w:bookmarkStart w:id="99" w:name="_Toc514054484"/>
      <w:bookmarkEnd w:id="99"/>
      <w:bookmarkStart w:id="100" w:name="_Toc26779"/>
      <w:bookmarkEnd w:id="100"/>
      <w:r>
        <w:rPr>
          <w:color w:val="auto"/>
          <w:highlight w:val="none"/>
        </w:rPr>
        <w:t>封面</w:t>
      </w:r>
    </w:p>
    <w:p>
      <w:pPr>
        <w:pStyle w:val="405"/>
        <w:autoSpaceDE w:val="0"/>
        <w:autoSpaceDN w:val="0"/>
        <w:jc w:val="left"/>
        <w:rPr>
          <w:rFonts w:hint="eastAsia" w:ascii="黑体" w:eastAsia="黑体"/>
          <w:color w:val="auto"/>
          <w:kern w:val="0"/>
          <w:sz w:val="32"/>
          <w:szCs w:val="32"/>
          <w:highlight w:val="none"/>
        </w:rPr>
      </w:pPr>
    </w:p>
    <w:p>
      <w:pPr>
        <w:pStyle w:val="405"/>
        <w:autoSpaceDE w:val="0"/>
        <w:autoSpaceDN w:val="0"/>
        <w:jc w:val="left"/>
        <w:rPr>
          <w:rFonts w:hint="eastAsia" w:ascii="黑体" w:eastAsia="黑体"/>
          <w:color w:val="auto"/>
          <w:kern w:val="0"/>
          <w:sz w:val="32"/>
          <w:szCs w:val="32"/>
          <w:highlight w:val="none"/>
        </w:rPr>
      </w:pPr>
    </w:p>
    <w:p>
      <w:pPr>
        <w:pStyle w:val="405"/>
        <w:autoSpaceDE w:val="0"/>
        <w:autoSpaceDN w:val="0"/>
        <w:jc w:val="left"/>
        <w:rPr>
          <w:rFonts w:hint="eastAsia" w:ascii="黑体" w:eastAsia="黑体"/>
          <w:color w:val="auto"/>
          <w:kern w:val="0"/>
          <w:sz w:val="32"/>
          <w:szCs w:val="32"/>
          <w:highlight w:val="none"/>
        </w:rPr>
      </w:pPr>
    </w:p>
    <w:p>
      <w:pPr>
        <w:pStyle w:val="405"/>
        <w:autoSpaceDE w:val="0"/>
        <w:autoSpaceDN w:val="0"/>
        <w:jc w:val="center"/>
        <w:rPr>
          <w:rFonts w:hint="eastAsia" w:ascii="黑体" w:eastAsia="黑体"/>
          <w:color w:val="auto"/>
          <w:kern w:val="0"/>
          <w:sz w:val="44"/>
          <w:szCs w:val="44"/>
          <w:highlight w:val="none"/>
          <w:u w:val="single"/>
        </w:rPr>
      </w:pPr>
      <w:r>
        <w:rPr>
          <w:rFonts w:hint="eastAsia" w:ascii="黑体" w:eastAsia="黑体"/>
          <w:color w:val="auto"/>
          <w:kern w:val="0"/>
          <w:sz w:val="44"/>
          <w:szCs w:val="44"/>
          <w:highlight w:val="none"/>
          <w:u w:val="single"/>
        </w:rPr>
        <w:t>（  项 目 名 称  ）</w:t>
      </w:r>
    </w:p>
    <w:p>
      <w:pPr>
        <w:pStyle w:val="405"/>
        <w:autoSpaceDE w:val="0"/>
        <w:autoSpaceDN w:val="0"/>
        <w:jc w:val="center"/>
        <w:rPr>
          <w:rFonts w:hint="eastAsia" w:ascii="黑体" w:eastAsia="黑体"/>
          <w:color w:val="auto"/>
          <w:kern w:val="0"/>
          <w:sz w:val="52"/>
          <w:szCs w:val="52"/>
          <w:highlight w:val="none"/>
        </w:rPr>
      </w:pPr>
    </w:p>
    <w:p>
      <w:pPr>
        <w:pStyle w:val="405"/>
        <w:autoSpaceDE w:val="0"/>
        <w:autoSpaceDN w:val="0"/>
        <w:jc w:val="center"/>
        <w:rPr>
          <w:rFonts w:hint="eastAsia" w:ascii="黑体" w:eastAsia="黑体"/>
          <w:color w:val="auto"/>
          <w:kern w:val="0"/>
          <w:sz w:val="72"/>
          <w:szCs w:val="72"/>
          <w:highlight w:val="none"/>
        </w:rPr>
      </w:pPr>
      <w:r>
        <w:rPr>
          <w:rFonts w:hint="eastAsia" w:ascii="黑体" w:eastAsia="黑体"/>
          <w:color w:val="auto"/>
          <w:kern w:val="0"/>
          <w:sz w:val="72"/>
          <w:szCs w:val="72"/>
          <w:highlight w:val="none"/>
        </w:rPr>
        <w:t>投</w:t>
      </w:r>
      <w:r>
        <w:rPr>
          <w:rFonts w:ascii="黑体" w:eastAsia="黑体"/>
          <w:color w:val="auto"/>
          <w:kern w:val="0"/>
          <w:sz w:val="72"/>
          <w:szCs w:val="72"/>
          <w:highlight w:val="none"/>
        </w:rPr>
        <w:t xml:space="preserve"> </w:t>
      </w:r>
      <w:r>
        <w:rPr>
          <w:rFonts w:hint="eastAsia" w:ascii="黑体" w:eastAsia="黑体"/>
          <w:color w:val="auto"/>
          <w:kern w:val="0"/>
          <w:sz w:val="72"/>
          <w:szCs w:val="72"/>
          <w:highlight w:val="none"/>
        </w:rPr>
        <w:t>标</w:t>
      </w:r>
      <w:r>
        <w:rPr>
          <w:rFonts w:ascii="黑体" w:eastAsia="黑体"/>
          <w:color w:val="auto"/>
          <w:kern w:val="0"/>
          <w:sz w:val="72"/>
          <w:szCs w:val="72"/>
          <w:highlight w:val="none"/>
        </w:rPr>
        <w:t xml:space="preserve"> </w:t>
      </w:r>
      <w:r>
        <w:rPr>
          <w:rFonts w:hint="eastAsia" w:ascii="黑体" w:eastAsia="黑体"/>
          <w:color w:val="auto"/>
          <w:kern w:val="0"/>
          <w:sz w:val="72"/>
          <w:szCs w:val="72"/>
          <w:highlight w:val="none"/>
        </w:rPr>
        <w:t>文</w:t>
      </w:r>
      <w:r>
        <w:rPr>
          <w:rFonts w:ascii="黑体" w:eastAsia="黑体"/>
          <w:color w:val="auto"/>
          <w:kern w:val="0"/>
          <w:sz w:val="72"/>
          <w:szCs w:val="72"/>
          <w:highlight w:val="none"/>
        </w:rPr>
        <w:t xml:space="preserve"> </w:t>
      </w:r>
      <w:r>
        <w:rPr>
          <w:rFonts w:hint="eastAsia" w:ascii="黑体" w:eastAsia="黑体"/>
          <w:color w:val="auto"/>
          <w:kern w:val="0"/>
          <w:sz w:val="72"/>
          <w:szCs w:val="72"/>
          <w:highlight w:val="none"/>
        </w:rPr>
        <w:t>件</w:t>
      </w:r>
    </w:p>
    <w:p>
      <w:pPr>
        <w:pStyle w:val="405"/>
        <w:autoSpaceDE w:val="0"/>
        <w:autoSpaceDN w:val="0"/>
        <w:jc w:val="left"/>
        <w:rPr>
          <w:rFonts w:hint="eastAsia" w:ascii="黑体" w:eastAsia="黑体"/>
          <w:color w:val="auto"/>
          <w:kern w:val="0"/>
          <w:sz w:val="28"/>
          <w:szCs w:val="28"/>
          <w:highlight w:val="none"/>
        </w:rPr>
      </w:pPr>
    </w:p>
    <w:p>
      <w:pPr>
        <w:pStyle w:val="405"/>
        <w:autoSpaceDE w:val="0"/>
        <w:autoSpaceDN w:val="0"/>
        <w:jc w:val="center"/>
        <w:rPr>
          <w:rFonts w:hint="eastAsia" w:ascii="黑体" w:eastAsia="黑体"/>
          <w:color w:val="auto"/>
          <w:kern w:val="0"/>
          <w:sz w:val="28"/>
          <w:szCs w:val="28"/>
          <w:highlight w:val="none"/>
        </w:rPr>
      </w:pPr>
      <w:r>
        <w:rPr>
          <w:rFonts w:hint="eastAsia" w:ascii="黑体" w:eastAsia="黑体"/>
          <w:color w:val="auto"/>
          <w:kern w:val="0"/>
          <w:sz w:val="28"/>
          <w:szCs w:val="28"/>
          <w:highlight w:val="none"/>
        </w:rPr>
        <w:t>（分包号）</w:t>
      </w:r>
    </w:p>
    <w:p>
      <w:pPr>
        <w:pStyle w:val="405"/>
        <w:autoSpaceDE w:val="0"/>
        <w:autoSpaceDN w:val="0"/>
        <w:jc w:val="left"/>
        <w:rPr>
          <w:rFonts w:hint="eastAsia" w:ascii="黑体" w:eastAsia="黑体"/>
          <w:color w:val="auto"/>
          <w:kern w:val="0"/>
          <w:sz w:val="28"/>
          <w:szCs w:val="28"/>
          <w:highlight w:val="none"/>
        </w:rPr>
      </w:pPr>
    </w:p>
    <w:p>
      <w:pPr>
        <w:pStyle w:val="405"/>
        <w:autoSpaceDE w:val="0"/>
        <w:autoSpaceDN w:val="0"/>
        <w:jc w:val="left"/>
        <w:rPr>
          <w:rFonts w:hint="eastAsia" w:ascii="黑体" w:eastAsia="黑体"/>
          <w:color w:val="auto"/>
          <w:kern w:val="0"/>
          <w:sz w:val="28"/>
          <w:szCs w:val="28"/>
          <w:highlight w:val="none"/>
        </w:rPr>
      </w:pPr>
    </w:p>
    <w:p>
      <w:pPr>
        <w:pStyle w:val="405"/>
        <w:autoSpaceDE w:val="0"/>
        <w:autoSpaceDN w:val="0"/>
        <w:jc w:val="left"/>
        <w:rPr>
          <w:rFonts w:hint="eastAsia" w:ascii="黑体" w:eastAsia="黑体"/>
          <w:color w:val="auto"/>
          <w:kern w:val="0"/>
          <w:sz w:val="28"/>
          <w:szCs w:val="28"/>
          <w:highlight w:val="none"/>
        </w:rPr>
      </w:pPr>
    </w:p>
    <w:p>
      <w:pPr>
        <w:pStyle w:val="405"/>
        <w:autoSpaceDE w:val="0"/>
        <w:autoSpaceDN w:val="0"/>
        <w:jc w:val="left"/>
        <w:rPr>
          <w:rFonts w:hint="eastAsia" w:ascii="黑体" w:eastAsia="黑体"/>
          <w:color w:val="auto"/>
          <w:kern w:val="0"/>
          <w:sz w:val="28"/>
          <w:szCs w:val="28"/>
          <w:highlight w:val="none"/>
        </w:rPr>
      </w:pPr>
    </w:p>
    <w:p>
      <w:pPr>
        <w:pStyle w:val="405"/>
        <w:autoSpaceDE w:val="0"/>
        <w:autoSpaceDN w:val="0"/>
        <w:jc w:val="left"/>
        <w:rPr>
          <w:rFonts w:hint="eastAsia" w:ascii="黑体" w:eastAsia="黑体"/>
          <w:color w:val="auto"/>
          <w:kern w:val="0"/>
          <w:sz w:val="28"/>
          <w:szCs w:val="28"/>
          <w:highlight w:val="none"/>
        </w:rPr>
      </w:pPr>
    </w:p>
    <w:p>
      <w:pPr>
        <w:pStyle w:val="405"/>
        <w:autoSpaceDE w:val="0"/>
        <w:autoSpaceDN w:val="0"/>
        <w:jc w:val="left"/>
        <w:rPr>
          <w:rFonts w:hint="eastAsia" w:ascii="黑体" w:eastAsia="黑体"/>
          <w:color w:val="auto"/>
          <w:kern w:val="0"/>
          <w:sz w:val="28"/>
          <w:szCs w:val="28"/>
          <w:highlight w:val="none"/>
        </w:rPr>
      </w:pPr>
    </w:p>
    <w:p>
      <w:pPr>
        <w:pStyle w:val="405"/>
        <w:autoSpaceDE w:val="0"/>
        <w:autoSpaceDN w:val="0"/>
        <w:jc w:val="left"/>
        <w:rPr>
          <w:rFonts w:hint="eastAsia" w:ascii="黑体" w:eastAsia="黑体"/>
          <w:color w:val="auto"/>
          <w:kern w:val="0"/>
          <w:sz w:val="28"/>
          <w:szCs w:val="28"/>
          <w:highlight w:val="none"/>
        </w:rPr>
      </w:pPr>
    </w:p>
    <w:p>
      <w:pPr>
        <w:pStyle w:val="405"/>
        <w:autoSpaceDE w:val="0"/>
        <w:autoSpaceDN w:val="0"/>
        <w:ind w:firstLine="2520" w:firstLineChars="900"/>
        <w:rPr>
          <w:rFonts w:hint="eastAsia" w:ascii="黑体" w:eastAsia="黑体"/>
          <w:color w:val="auto"/>
          <w:kern w:val="0"/>
          <w:sz w:val="28"/>
          <w:szCs w:val="28"/>
          <w:highlight w:val="none"/>
        </w:rPr>
      </w:pPr>
      <w:r>
        <w:rPr>
          <w:rFonts w:hint="eastAsia" w:ascii="黑体" w:eastAsia="黑体"/>
          <w:color w:val="auto"/>
          <w:kern w:val="0"/>
          <w:sz w:val="28"/>
          <w:szCs w:val="28"/>
          <w:highlight w:val="none"/>
        </w:rPr>
        <w:t>投标人：</w:t>
      </w:r>
      <w:r>
        <w:rPr>
          <w:rFonts w:ascii="黑体" w:eastAsia="黑体"/>
          <w:color w:val="auto"/>
          <w:kern w:val="0"/>
          <w:sz w:val="28"/>
          <w:szCs w:val="28"/>
          <w:highlight w:val="none"/>
        </w:rPr>
        <w:t xml:space="preserve"> </w:t>
      </w:r>
      <w:r>
        <w:rPr>
          <w:rFonts w:hint="eastAsia" w:ascii="黑体" w:eastAsia="黑体"/>
          <w:color w:val="auto"/>
          <w:kern w:val="0"/>
          <w:sz w:val="28"/>
          <w:szCs w:val="28"/>
          <w:highlight w:val="none"/>
        </w:rPr>
        <w:t>（盖章）</w:t>
      </w:r>
    </w:p>
    <w:p>
      <w:pPr>
        <w:pStyle w:val="405"/>
        <w:autoSpaceDE w:val="0"/>
        <w:autoSpaceDN w:val="0"/>
        <w:rPr>
          <w:rFonts w:hint="eastAsia" w:ascii="黑体" w:eastAsia="黑体"/>
          <w:color w:val="auto"/>
          <w:kern w:val="0"/>
          <w:sz w:val="28"/>
          <w:szCs w:val="28"/>
          <w:highlight w:val="none"/>
        </w:rPr>
      </w:pPr>
      <w:r>
        <w:rPr>
          <w:rFonts w:hint="eastAsia" w:ascii="黑体" w:eastAsia="黑体"/>
          <w:color w:val="auto"/>
          <w:kern w:val="0"/>
          <w:sz w:val="28"/>
          <w:szCs w:val="28"/>
          <w:highlight w:val="none"/>
        </w:rPr>
        <w:t xml:space="preserve">                  法定代表人（或授权代表）：（签字）</w:t>
      </w:r>
      <w:r>
        <w:rPr>
          <w:rFonts w:ascii="黑体" w:eastAsia="黑体"/>
          <w:color w:val="auto"/>
          <w:kern w:val="0"/>
          <w:sz w:val="28"/>
          <w:szCs w:val="28"/>
          <w:highlight w:val="none"/>
        </w:rPr>
        <w:t xml:space="preserve"> </w:t>
      </w:r>
    </w:p>
    <w:p>
      <w:pPr>
        <w:pStyle w:val="405"/>
        <w:autoSpaceDE w:val="0"/>
        <w:autoSpaceDN w:val="0"/>
        <w:ind w:firstLine="3080" w:firstLineChars="1100"/>
        <w:rPr>
          <w:rFonts w:hint="eastAsia" w:ascii="黑体" w:eastAsia="黑体"/>
          <w:color w:val="auto"/>
          <w:kern w:val="0"/>
          <w:sz w:val="28"/>
          <w:szCs w:val="28"/>
          <w:highlight w:val="none"/>
        </w:rPr>
      </w:pPr>
      <w:bookmarkStart w:id="101" w:name="_Toc20871"/>
      <w:bookmarkEnd w:id="101"/>
      <w:bookmarkStart w:id="102" w:name="_Toc514054485"/>
      <w:r>
        <w:rPr>
          <w:rFonts w:hint="eastAsia" w:ascii="黑体" w:eastAsia="黑体"/>
          <w:color w:val="auto"/>
          <w:kern w:val="0"/>
          <w:sz w:val="28"/>
          <w:szCs w:val="28"/>
          <w:highlight w:val="none"/>
        </w:rPr>
        <w:t xml:space="preserve">年   </w:t>
      </w:r>
      <w:r>
        <w:rPr>
          <w:rFonts w:ascii="黑体" w:eastAsia="黑体"/>
          <w:color w:val="auto"/>
          <w:kern w:val="0"/>
          <w:sz w:val="28"/>
          <w:szCs w:val="28"/>
          <w:highlight w:val="none"/>
        </w:rPr>
        <w:t xml:space="preserve"> </w:t>
      </w:r>
      <w:r>
        <w:rPr>
          <w:rFonts w:hint="eastAsia" w:ascii="黑体" w:eastAsia="黑体"/>
          <w:color w:val="auto"/>
          <w:kern w:val="0"/>
          <w:sz w:val="28"/>
          <w:szCs w:val="28"/>
          <w:highlight w:val="none"/>
        </w:rPr>
        <w:t xml:space="preserve">月   </w:t>
      </w:r>
      <w:r>
        <w:rPr>
          <w:rFonts w:ascii="黑体" w:eastAsia="黑体"/>
          <w:color w:val="auto"/>
          <w:kern w:val="0"/>
          <w:sz w:val="28"/>
          <w:szCs w:val="28"/>
          <w:highlight w:val="none"/>
        </w:rPr>
        <w:t xml:space="preserve"> </w:t>
      </w:r>
      <w:r>
        <w:rPr>
          <w:rFonts w:hint="eastAsia" w:ascii="黑体" w:eastAsia="黑体"/>
          <w:color w:val="auto"/>
          <w:kern w:val="0"/>
          <w:sz w:val="28"/>
          <w:szCs w:val="28"/>
          <w:highlight w:val="none"/>
        </w:rPr>
        <w:t>日</w:t>
      </w:r>
      <w:r>
        <w:rPr>
          <w:color w:val="auto"/>
          <w:highlight w:val="none"/>
        </w:rPr>
        <w:br w:type="page"/>
      </w:r>
      <w:r>
        <w:rPr>
          <w:rFonts w:hint="eastAsia"/>
          <w:color w:val="auto"/>
          <w:highlight w:val="none"/>
        </w:rPr>
        <w:t xml:space="preserve">                                      </w:t>
      </w:r>
      <w:r>
        <w:rPr>
          <w:rFonts w:hint="eastAsia" w:ascii="黑体" w:hAnsi="黑体" w:eastAsia="黑体"/>
          <w:color w:val="auto"/>
          <w:sz w:val="32"/>
          <w:szCs w:val="32"/>
          <w:highlight w:val="none"/>
        </w:rPr>
        <w:t>评审索引表</w:t>
      </w:r>
    </w:p>
    <w:tbl>
      <w:tblPr>
        <w:tblStyle w:val="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03"/>
        <w:gridCol w:w="41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outlineLvl w:val="1"/>
              <w:rPr>
                <w:rFonts w:hint="eastAsia"/>
                <w:color w:val="auto"/>
                <w:highlight w:val="none"/>
                <w:lang w:eastAsia="zh-CN"/>
              </w:rPr>
            </w:pPr>
            <w:bookmarkStart w:id="103" w:name="_Toc26621"/>
            <w:bookmarkEnd w:id="103"/>
            <w:r>
              <w:rPr>
                <w:rFonts w:hint="eastAsia"/>
                <w:color w:val="auto"/>
                <w:highlight w:val="none"/>
                <w:lang w:eastAsia="zh-CN"/>
              </w:rPr>
              <w:t>资格审查项</w:t>
            </w:r>
          </w:p>
        </w:tc>
        <w:tc>
          <w:tcPr>
            <w:tcW w:w="4157" w:type="dxa"/>
            <w:vAlign w:val="top"/>
          </w:tcPr>
          <w:p>
            <w:pPr>
              <w:pStyle w:val="403"/>
              <w:jc w:val="center"/>
              <w:outlineLvl w:val="1"/>
              <w:rPr>
                <w:rFonts w:hint="eastAsia"/>
                <w:color w:val="auto"/>
                <w:highlight w:val="none"/>
                <w:lang w:eastAsia="zh-CN"/>
              </w:rPr>
            </w:pPr>
            <w:bookmarkStart w:id="104" w:name="_Toc23773"/>
            <w:bookmarkEnd w:id="104"/>
            <w:r>
              <w:rPr>
                <w:rFonts w:hint="eastAsia"/>
                <w:color w:val="auto"/>
                <w:highlight w:val="none"/>
                <w:lang w:eastAsia="zh-CN"/>
              </w:rPr>
              <w:t>在投标文件中的页码位置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rPr>
                <w:rFonts w:hint="eastAsia"/>
                <w:color w:val="auto"/>
                <w:highlight w:val="none"/>
                <w:lang w:eastAsia="zh-CN"/>
              </w:rPr>
            </w:pPr>
          </w:p>
        </w:tc>
        <w:tc>
          <w:tcPr>
            <w:tcW w:w="4157" w:type="dxa"/>
            <w:vAlign w:val="top"/>
          </w:tcPr>
          <w:p>
            <w:pPr>
              <w:pStyle w:val="403"/>
              <w:jc w:val="center"/>
              <w:rPr>
                <w:rFonts w:hint="eastAsia"/>
                <w:color w:val="auto"/>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rPr>
                <w:rFonts w:hint="eastAsia"/>
                <w:color w:val="auto"/>
                <w:highlight w:val="none"/>
                <w:lang w:eastAsia="zh-CN"/>
              </w:rPr>
            </w:pPr>
          </w:p>
        </w:tc>
        <w:tc>
          <w:tcPr>
            <w:tcW w:w="4157" w:type="dxa"/>
            <w:vAlign w:val="top"/>
          </w:tcPr>
          <w:p>
            <w:pPr>
              <w:pStyle w:val="403"/>
              <w:jc w:val="center"/>
              <w:rPr>
                <w:rFonts w:hint="eastAsia"/>
                <w:color w:val="auto"/>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rPr>
                <w:rFonts w:hint="eastAsia"/>
                <w:color w:val="auto"/>
                <w:highlight w:val="none"/>
                <w:lang w:eastAsia="zh-CN"/>
              </w:rPr>
            </w:pPr>
          </w:p>
        </w:tc>
        <w:tc>
          <w:tcPr>
            <w:tcW w:w="4157" w:type="dxa"/>
            <w:vAlign w:val="top"/>
          </w:tcPr>
          <w:p>
            <w:pPr>
              <w:pStyle w:val="403"/>
              <w:jc w:val="center"/>
              <w:rPr>
                <w:rFonts w:hint="eastAsia"/>
                <w:color w:val="auto"/>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rPr>
                <w:rFonts w:hint="eastAsia"/>
                <w:color w:val="auto"/>
                <w:highlight w:val="none"/>
                <w:lang w:eastAsia="zh-CN"/>
              </w:rPr>
            </w:pPr>
          </w:p>
        </w:tc>
        <w:tc>
          <w:tcPr>
            <w:tcW w:w="4157" w:type="dxa"/>
            <w:vAlign w:val="top"/>
          </w:tcPr>
          <w:p>
            <w:pPr>
              <w:pStyle w:val="403"/>
              <w:jc w:val="center"/>
              <w:rPr>
                <w:rFonts w:hint="eastAsia"/>
                <w:color w:val="auto"/>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rPr>
                <w:rFonts w:hint="eastAsia"/>
                <w:color w:val="auto"/>
                <w:highlight w:val="none"/>
                <w:lang w:eastAsia="zh-CN"/>
              </w:rPr>
            </w:pPr>
          </w:p>
        </w:tc>
        <w:tc>
          <w:tcPr>
            <w:tcW w:w="4157" w:type="dxa"/>
            <w:vAlign w:val="top"/>
          </w:tcPr>
          <w:p>
            <w:pPr>
              <w:pStyle w:val="403"/>
              <w:jc w:val="center"/>
              <w:rPr>
                <w:rFonts w:hint="eastAsia"/>
                <w:color w:val="auto"/>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outlineLvl w:val="1"/>
              <w:rPr>
                <w:rFonts w:hint="eastAsia"/>
                <w:color w:val="auto"/>
                <w:highlight w:val="none"/>
                <w:lang w:val="en-US" w:eastAsia="zh-CN"/>
              </w:rPr>
            </w:pPr>
            <w:bookmarkStart w:id="105" w:name="_Toc4520"/>
            <w:bookmarkEnd w:id="105"/>
            <w:r>
              <w:rPr>
                <w:rFonts w:hint="eastAsia"/>
                <w:color w:val="auto"/>
                <w:highlight w:val="none"/>
                <w:lang w:val="en-US" w:eastAsia="zh-CN"/>
              </w:rPr>
              <w:t>......</w:t>
            </w:r>
          </w:p>
        </w:tc>
        <w:tc>
          <w:tcPr>
            <w:tcW w:w="4157" w:type="dxa"/>
            <w:vAlign w:val="top"/>
          </w:tcPr>
          <w:p>
            <w:pPr>
              <w:pStyle w:val="403"/>
              <w:jc w:val="center"/>
              <w:rPr>
                <w:rFonts w:hint="eastAsia"/>
                <w:color w:val="auto"/>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outlineLvl w:val="1"/>
              <w:rPr>
                <w:rFonts w:hint="eastAsia"/>
                <w:color w:val="auto"/>
                <w:highlight w:val="none"/>
                <w:lang w:eastAsia="zh-CN"/>
              </w:rPr>
            </w:pPr>
            <w:bookmarkStart w:id="106" w:name="_Toc17522"/>
            <w:bookmarkEnd w:id="106"/>
            <w:r>
              <w:rPr>
                <w:rFonts w:hint="eastAsia"/>
                <w:color w:val="auto"/>
                <w:highlight w:val="none"/>
                <w:lang w:eastAsia="zh-CN"/>
              </w:rPr>
              <w:t>符合性审查</w:t>
            </w:r>
          </w:p>
        </w:tc>
        <w:tc>
          <w:tcPr>
            <w:tcW w:w="4157" w:type="dxa"/>
            <w:vAlign w:val="top"/>
          </w:tcPr>
          <w:p>
            <w:pPr>
              <w:pStyle w:val="403"/>
              <w:jc w:val="center"/>
              <w:outlineLvl w:val="1"/>
              <w:rPr>
                <w:rFonts w:hint="eastAsia"/>
                <w:color w:val="auto"/>
                <w:highlight w:val="none"/>
                <w:lang w:eastAsia="zh-CN"/>
              </w:rPr>
            </w:pPr>
            <w:bookmarkStart w:id="107" w:name="_Toc22080"/>
            <w:bookmarkEnd w:id="107"/>
            <w:r>
              <w:rPr>
                <w:rFonts w:hint="eastAsia"/>
                <w:color w:val="auto"/>
                <w:highlight w:val="none"/>
                <w:lang w:eastAsia="zh-CN"/>
              </w:rPr>
              <w:t>在投标文件中的页码位置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rPr>
                <w:rFonts w:hint="eastAsia"/>
                <w:color w:val="auto"/>
                <w:highlight w:val="none"/>
                <w:lang w:eastAsia="zh-CN"/>
              </w:rPr>
            </w:pPr>
          </w:p>
        </w:tc>
        <w:tc>
          <w:tcPr>
            <w:tcW w:w="4157" w:type="dxa"/>
            <w:vAlign w:val="top"/>
          </w:tcPr>
          <w:p>
            <w:pPr>
              <w:pStyle w:val="403"/>
              <w:jc w:val="center"/>
              <w:rPr>
                <w:rFonts w:hint="eastAsia"/>
                <w:color w:val="auto"/>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rPr>
                <w:rFonts w:hint="eastAsia"/>
                <w:color w:val="auto"/>
                <w:highlight w:val="none"/>
                <w:lang w:eastAsia="zh-CN"/>
              </w:rPr>
            </w:pPr>
          </w:p>
        </w:tc>
        <w:tc>
          <w:tcPr>
            <w:tcW w:w="4157" w:type="dxa"/>
            <w:vAlign w:val="top"/>
          </w:tcPr>
          <w:p>
            <w:pPr>
              <w:pStyle w:val="403"/>
              <w:jc w:val="center"/>
              <w:rPr>
                <w:rFonts w:hint="eastAsia"/>
                <w:color w:val="auto"/>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rPr>
                <w:rFonts w:hint="eastAsia"/>
                <w:color w:val="auto"/>
                <w:highlight w:val="none"/>
                <w:lang w:eastAsia="zh-CN"/>
              </w:rPr>
            </w:pPr>
          </w:p>
        </w:tc>
        <w:tc>
          <w:tcPr>
            <w:tcW w:w="4157" w:type="dxa"/>
            <w:vAlign w:val="top"/>
          </w:tcPr>
          <w:p>
            <w:pPr>
              <w:pStyle w:val="403"/>
              <w:jc w:val="center"/>
              <w:rPr>
                <w:rFonts w:hint="eastAsia"/>
                <w:color w:val="auto"/>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rPr>
                <w:rFonts w:hint="eastAsia"/>
                <w:color w:val="auto"/>
                <w:highlight w:val="none"/>
                <w:lang w:eastAsia="zh-CN"/>
              </w:rPr>
            </w:pPr>
          </w:p>
        </w:tc>
        <w:tc>
          <w:tcPr>
            <w:tcW w:w="4157" w:type="dxa"/>
            <w:vAlign w:val="top"/>
          </w:tcPr>
          <w:p>
            <w:pPr>
              <w:pStyle w:val="403"/>
              <w:jc w:val="center"/>
              <w:rPr>
                <w:rFonts w:hint="eastAsia"/>
                <w:color w:val="auto"/>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outlineLvl w:val="1"/>
              <w:rPr>
                <w:rFonts w:hint="eastAsia"/>
                <w:color w:val="auto"/>
                <w:highlight w:val="none"/>
                <w:lang w:val="en-US" w:eastAsia="zh-CN"/>
              </w:rPr>
            </w:pPr>
            <w:bookmarkStart w:id="108" w:name="_Toc2367"/>
            <w:bookmarkEnd w:id="108"/>
            <w:r>
              <w:rPr>
                <w:rFonts w:hint="eastAsia"/>
                <w:color w:val="auto"/>
                <w:highlight w:val="none"/>
                <w:lang w:val="en-US" w:eastAsia="zh-CN"/>
              </w:rPr>
              <w:t>......</w:t>
            </w:r>
          </w:p>
        </w:tc>
        <w:tc>
          <w:tcPr>
            <w:tcW w:w="4157" w:type="dxa"/>
            <w:vAlign w:val="top"/>
          </w:tcPr>
          <w:p>
            <w:pPr>
              <w:pStyle w:val="403"/>
              <w:jc w:val="center"/>
              <w:rPr>
                <w:rFonts w:hint="eastAsia"/>
                <w:color w:val="auto"/>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outlineLvl w:val="1"/>
              <w:rPr>
                <w:rFonts w:hint="eastAsia"/>
                <w:color w:val="auto"/>
                <w:highlight w:val="none"/>
                <w:lang w:eastAsia="zh-CN"/>
              </w:rPr>
            </w:pPr>
            <w:bookmarkStart w:id="109" w:name="_Toc16952"/>
            <w:bookmarkEnd w:id="109"/>
            <w:r>
              <w:rPr>
                <w:rFonts w:hint="eastAsia"/>
                <w:color w:val="auto"/>
                <w:highlight w:val="none"/>
                <w:lang w:eastAsia="zh-CN"/>
              </w:rPr>
              <w:t>评分项目</w:t>
            </w:r>
          </w:p>
        </w:tc>
        <w:tc>
          <w:tcPr>
            <w:tcW w:w="4157" w:type="dxa"/>
            <w:vAlign w:val="top"/>
          </w:tcPr>
          <w:p>
            <w:pPr>
              <w:pStyle w:val="403"/>
              <w:jc w:val="center"/>
              <w:outlineLvl w:val="1"/>
              <w:rPr>
                <w:rFonts w:hint="eastAsia"/>
                <w:color w:val="auto"/>
                <w:highlight w:val="none"/>
                <w:lang w:eastAsia="zh-CN"/>
              </w:rPr>
            </w:pPr>
            <w:bookmarkStart w:id="110" w:name="_Toc16352"/>
            <w:bookmarkEnd w:id="110"/>
            <w:r>
              <w:rPr>
                <w:rFonts w:hint="eastAsia"/>
                <w:color w:val="auto"/>
                <w:highlight w:val="none"/>
                <w:lang w:eastAsia="zh-CN"/>
              </w:rPr>
              <w:t>在投标文件中的页码位置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rPr>
                <w:rFonts w:hint="eastAsia"/>
                <w:color w:val="auto"/>
                <w:highlight w:val="none"/>
                <w:lang w:eastAsia="zh-CN"/>
              </w:rPr>
            </w:pPr>
          </w:p>
        </w:tc>
        <w:tc>
          <w:tcPr>
            <w:tcW w:w="4157" w:type="dxa"/>
            <w:vAlign w:val="top"/>
          </w:tcPr>
          <w:p>
            <w:pPr>
              <w:pStyle w:val="403"/>
              <w:jc w:val="center"/>
              <w:rPr>
                <w:rFonts w:hint="eastAsia"/>
                <w:color w:val="auto"/>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rPr>
                <w:rFonts w:hint="eastAsia"/>
                <w:color w:val="auto"/>
                <w:highlight w:val="none"/>
                <w:lang w:eastAsia="zh-CN"/>
              </w:rPr>
            </w:pPr>
          </w:p>
        </w:tc>
        <w:tc>
          <w:tcPr>
            <w:tcW w:w="4157" w:type="dxa"/>
            <w:vAlign w:val="top"/>
          </w:tcPr>
          <w:p>
            <w:pPr>
              <w:pStyle w:val="403"/>
              <w:jc w:val="center"/>
              <w:rPr>
                <w:rFonts w:hint="eastAsia"/>
                <w:color w:val="auto"/>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rPr>
                <w:rFonts w:hint="eastAsia"/>
                <w:color w:val="auto"/>
                <w:highlight w:val="none"/>
                <w:lang w:eastAsia="zh-CN"/>
              </w:rPr>
            </w:pPr>
          </w:p>
        </w:tc>
        <w:tc>
          <w:tcPr>
            <w:tcW w:w="4157" w:type="dxa"/>
            <w:vAlign w:val="top"/>
          </w:tcPr>
          <w:p>
            <w:pPr>
              <w:pStyle w:val="403"/>
              <w:jc w:val="center"/>
              <w:rPr>
                <w:rFonts w:hint="eastAsia"/>
                <w:color w:val="auto"/>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rPr>
                <w:rFonts w:hint="eastAsia"/>
                <w:color w:val="auto"/>
                <w:highlight w:val="none"/>
                <w:lang w:eastAsia="zh-CN"/>
              </w:rPr>
            </w:pPr>
          </w:p>
        </w:tc>
        <w:tc>
          <w:tcPr>
            <w:tcW w:w="4157" w:type="dxa"/>
            <w:vAlign w:val="top"/>
          </w:tcPr>
          <w:p>
            <w:pPr>
              <w:pStyle w:val="403"/>
              <w:jc w:val="center"/>
              <w:rPr>
                <w:rFonts w:hint="eastAsia"/>
                <w:color w:val="auto"/>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vAlign w:val="top"/>
          </w:tcPr>
          <w:p>
            <w:pPr>
              <w:pStyle w:val="403"/>
              <w:jc w:val="center"/>
              <w:outlineLvl w:val="1"/>
              <w:rPr>
                <w:rFonts w:hint="eastAsia"/>
                <w:color w:val="auto"/>
                <w:highlight w:val="none"/>
                <w:lang w:val="en-US" w:eastAsia="zh-CN"/>
              </w:rPr>
            </w:pPr>
            <w:bookmarkStart w:id="111" w:name="_Toc12770"/>
            <w:bookmarkEnd w:id="111"/>
            <w:r>
              <w:rPr>
                <w:rFonts w:hint="eastAsia"/>
                <w:color w:val="auto"/>
                <w:highlight w:val="none"/>
                <w:lang w:val="en-US" w:eastAsia="zh-CN"/>
              </w:rPr>
              <w:t>......</w:t>
            </w:r>
          </w:p>
        </w:tc>
        <w:tc>
          <w:tcPr>
            <w:tcW w:w="4157" w:type="dxa"/>
            <w:vAlign w:val="top"/>
          </w:tcPr>
          <w:p>
            <w:pPr>
              <w:pStyle w:val="403"/>
              <w:jc w:val="center"/>
              <w:rPr>
                <w:rFonts w:hint="eastAsia"/>
                <w:color w:val="auto"/>
                <w:highlight w:val="none"/>
                <w:lang w:eastAsia="zh-CN"/>
              </w:rPr>
            </w:pPr>
          </w:p>
        </w:tc>
      </w:tr>
    </w:tbl>
    <w:p>
      <w:pPr>
        <w:pStyle w:val="403"/>
        <w:jc w:val="both"/>
        <w:rPr>
          <w:rFonts w:hint="eastAsia"/>
          <w:color w:val="auto"/>
          <w:sz w:val="44"/>
          <w:szCs w:val="44"/>
          <w:highlight w:val="none"/>
          <w:lang w:val="en-US" w:eastAsia="zh-CN"/>
        </w:rPr>
        <w:sectPr>
          <w:pgSz w:w="11906" w:h="16838"/>
          <w:pgMar w:top="1440" w:right="1474" w:bottom="1440" w:left="1247" w:header="851" w:footer="992" w:gutter="0"/>
          <w:cols w:space="720" w:num="1"/>
          <w:docGrid w:type="lines" w:linePitch="312" w:charSpace="0"/>
        </w:sectPr>
      </w:pPr>
    </w:p>
    <w:bookmarkEnd w:id="102"/>
    <w:p>
      <w:pPr>
        <w:pStyle w:val="403"/>
        <w:jc w:val="center"/>
        <w:outlineLvl w:val="1"/>
        <w:rPr>
          <w:color w:val="auto"/>
          <w:highlight w:val="none"/>
        </w:rPr>
      </w:pPr>
      <w:bookmarkStart w:id="112" w:name="_Toc11482"/>
      <w:bookmarkEnd w:id="112"/>
      <w:r>
        <w:rPr>
          <w:color w:val="auto"/>
          <w:highlight w:val="none"/>
        </w:rPr>
        <w:t>目录</w:t>
      </w:r>
    </w:p>
    <w:p>
      <w:pPr>
        <w:pStyle w:val="174"/>
        <w:spacing w:after="100" w:afterAutospacing="1"/>
        <w:rPr>
          <w:rFonts w:ascii="宋体" w:hAnsi="宋体" w:eastAsia="宋体"/>
          <w:color w:val="auto"/>
          <w:highlight w:val="none"/>
        </w:rPr>
      </w:pPr>
      <w:r>
        <w:rPr>
          <w:rFonts w:ascii="宋体" w:hAnsi="宋体" w:eastAsia="宋体"/>
          <w:color w:val="auto"/>
          <w:highlight w:val="none"/>
        </w:rPr>
        <w:t>一、投标人基本情况</w:t>
      </w:r>
    </w:p>
    <w:p>
      <w:pPr>
        <w:pStyle w:val="174"/>
        <w:spacing w:after="100" w:afterAutospacing="1"/>
        <w:rPr>
          <w:rFonts w:ascii="宋体" w:hAnsi="宋体" w:eastAsia="宋体"/>
          <w:color w:val="auto"/>
          <w:highlight w:val="none"/>
        </w:rPr>
      </w:pPr>
      <w:r>
        <w:rPr>
          <w:rFonts w:ascii="宋体" w:hAnsi="宋体" w:eastAsia="宋体"/>
          <w:color w:val="auto"/>
          <w:highlight w:val="none"/>
        </w:rPr>
        <w:t>二、投标人资质</w:t>
      </w:r>
    </w:p>
    <w:p>
      <w:pPr>
        <w:pStyle w:val="174"/>
        <w:spacing w:after="100" w:afterAutospacing="1"/>
        <w:rPr>
          <w:rFonts w:ascii="宋体" w:hAnsi="宋体" w:eastAsia="宋体"/>
          <w:color w:val="auto"/>
          <w:highlight w:val="none"/>
        </w:rPr>
      </w:pPr>
      <w:r>
        <w:rPr>
          <w:rFonts w:ascii="宋体" w:hAnsi="宋体" w:eastAsia="宋体"/>
          <w:color w:val="auto"/>
          <w:highlight w:val="none"/>
        </w:rPr>
        <w:t>三、投标人财务状况报告</w:t>
      </w:r>
    </w:p>
    <w:p>
      <w:pPr>
        <w:pStyle w:val="174"/>
        <w:spacing w:after="100" w:afterAutospacing="1"/>
        <w:rPr>
          <w:rFonts w:ascii="宋体" w:hAnsi="宋体" w:eastAsia="宋体"/>
          <w:color w:val="auto"/>
          <w:highlight w:val="none"/>
        </w:rPr>
      </w:pPr>
      <w:r>
        <w:rPr>
          <w:rFonts w:ascii="宋体" w:hAnsi="宋体" w:eastAsia="宋体"/>
          <w:color w:val="auto"/>
          <w:highlight w:val="none"/>
        </w:rPr>
        <w:t>四、缴纳税收和社会保障资金凭据</w:t>
      </w:r>
    </w:p>
    <w:p>
      <w:pPr>
        <w:pStyle w:val="174"/>
        <w:spacing w:after="100" w:afterAutospacing="1"/>
        <w:rPr>
          <w:rFonts w:ascii="宋体" w:hAnsi="宋体" w:eastAsia="宋体"/>
          <w:color w:val="auto"/>
          <w:highlight w:val="none"/>
        </w:rPr>
      </w:pPr>
      <w:r>
        <w:rPr>
          <w:rFonts w:ascii="宋体" w:hAnsi="宋体" w:eastAsia="宋体"/>
          <w:color w:val="auto"/>
          <w:highlight w:val="none"/>
        </w:rPr>
        <w:t>五、履行合同所必需的设备和专业技术能力的声明</w:t>
      </w:r>
    </w:p>
    <w:p>
      <w:pPr>
        <w:pStyle w:val="174"/>
        <w:spacing w:after="100" w:afterAutospacing="1"/>
        <w:rPr>
          <w:rFonts w:ascii="宋体" w:hAnsi="宋体" w:eastAsia="宋体"/>
          <w:color w:val="auto"/>
          <w:highlight w:val="none"/>
        </w:rPr>
      </w:pPr>
      <w:r>
        <w:rPr>
          <w:rFonts w:ascii="宋体" w:hAnsi="宋体" w:eastAsia="宋体"/>
          <w:color w:val="auto"/>
          <w:highlight w:val="none"/>
        </w:rPr>
        <w:t>六、无重大违法行为声明</w:t>
      </w:r>
    </w:p>
    <w:p>
      <w:pPr>
        <w:pStyle w:val="174"/>
        <w:spacing w:after="100" w:afterAutospacing="1"/>
        <w:rPr>
          <w:rFonts w:ascii="宋体" w:hAnsi="宋体" w:eastAsia="宋体"/>
          <w:color w:val="auto"/>
          <w:highlight w:val="none"/>
        </w:rPr>
      </w:pPr>
      <w:r>
        <w:rPr>
          <w:rFonts w:ascii="宋体" w:hAnsi="宋体" w:eastAsia="宋体"/>
          <w:color w:val="auto"/>
          <w:highlight w:val="none"/>
        </w:rPr>
        <w:t>七、投标函</w:t>
      </w:r>
    </w:p>
    <w:p>
      <w:pPr>
        <w:pStyle w:val="174"/>
        <w:spacing w:after="100" w:afterAutospacing="1"/>
        <w:rPr>
          <w:rFonts w:ascii="宋体" w:hAnsi="宋体" w:eastAsia="宋体"/>
          <w:color w:val="auto"/>
          <w:highlight w:val="none"/>
        </w:rPr>
      </w:pPr>
      <w:r>
        <w:rPr>
          <w:rFonts w:ascii="宋体" w:hAnsi="宋体" w:eastAsia="宋体"/>
          <w:color w:val="auto"/>
          <w:highlight w:val="none"/>
        </w:rPr>
        <w:t>八、法定代表人身份证明或授权委托书</w:t>
      </w:r>
    </w:p>
    <w:p>
      <w:pPr>
        <w:pStyle w:val="174"/>
        <w:spacing w:after="100" w:afterAutospacing="1"/>
        <w:rPr>
          <w:rFonts w:ascii="宋体" w:hAnsi="宋体" w:eastAsia="宋体"/>
          <w:color w:val="auto"/>
          <w:highlight w:val="none"/>
        </w:rPr>
      </w:pPr>
      <w:r>
        <w:rPr>
          <w:rFonts w:ascii="宋体" w:hAnsi="宋体" w:eastAsia="宋体"/>
          <w:color w:val="auto"/>
          <w:highlight w:val="none"/>
        </w:rPr>
        <w:t>九、开标一览表</w:t>
      </w:r>
    </w:p>
    <w:p>
      <w:pPr>
        <w:pStyle w:val="174"/>
        <w:spacing w:after="100" w:afterAutospacing="1"/>
        <w:rPr>
          <w:rFonts w:ascii="宋体" w:hAnsi="宋体" w:eastAsia="宋体"/>
          <w:color w:val="auto"/>
          <w:highlight w:val="none"/>
        </w:rPr>
      </w:pPr>
      <w:r>
        <w:rPr>
          <w:rFonts w:ascii="宋体" w:hAnsi="宋体" w:eastAsia="宋体"/>
          <w:color w:val="auto"/>
          <w:highlight w:val="none"/>
        </w:rPr>
        <w:t>十、明细报价表</w:t>
      </w:r>
    </w:p>
    <w:p>
      <w:pPr>
        <w:pStyle w:val="174"/>
        <w:spacing w:after="100" w:afterAutospacing="1"/>
        <w:rPr>
          <w:rFonts w:ascii="宋体" w:hAnsi="宋体" w:eastAsia="宋体"/>
          <w:color w:val="auto"/>
          <w:highlight w:val="none"/>
        </w:rPr>
      </w:pPr>
      <w:r>
        <w:rPr>
          <w:rFonts w:ascii="宋体" w:hAnsi="宋体" w:eastAsia="宋体"/>
          <w:color w:val="auto"/>
          <w:highlight w:val="none"/>
        </w:rPr>
        <w:t>十一、中小企业声明函</w:t>
      </w:r>
    </w:p>
    <w:p>
      <w:pPr>
        <w:pStyle w:val="174"/>
        <w:spacing w:after="100" w:afterAutospacing="1"/>
        <w:rPr>
          <w:rFonts w:ascii="宋体" w:hAnsi="宋体" w:eastAsia="宋体"/>
          <w:color w:val="auto"/>
          <w:highlight w:val="none"/>
        </w:rPr>
      </w:pPr>
      <w:r>
        <w:rPr>
          <w:rFonts w:ascii="宋体" w:hAnsi="宋体" w:eastAsia="宋体"/>
          <w:color w:val="auto"/>
          <w:highlight w:val="none"/>
        </w:rPr>
        <w:t>十二、响应偏差表</w:t>
      </w:r>
    </w:p>
    <w:p>
      <w:pPr>
        <w:pStyle w:val="174"/>
        <w:spacing w:after="100" w:afterAutospacing="1"/>
        <w:rPr>
          <w:rFonts w:ascii="宋体" w:hAnsi="宋体" w:eastAsia="宋体"/>
          <w:color w:val="auto"/>
          <w:highlight w:val="none"/>
        </w:rPr>
      </w:pPr>
      <w:r>
        <w:rPr>
          <w:rFonts w:ascii="宋体" w:hAnsi="宋体" w:eastAsia="宋体"/>
          <w:color w:val="auto"/>
          <w:highlight w:val="none"/>
        </w:rPr>
        <w:t>十三、所投产品技术资料或样本等</w:t>
      </w:r>
    </w:p>
    <w:p>
      <w:pPr>
        <w:pStyle w:val="174"/>
        <w:spacing w:after="100" w:afterAutospacing="1"/>
        <w:rPr>
          <w:rFonts w:ascii="宋体" w:hAnsi="宋体" w:eastAsia="宋体"/>
          <w:color w:val="auto"/>
          <w:highlight w:val="none"/>
        </w:rPr>
      </w:pPr>
      <w:r>
        <w:rPr>
          <w:rFonts w:ascii="宋体" w:hAnsi="宋体" w:eastAsia="宋体"/>
          <w:color w:val="auto"/>
          <w:highlight w:val="none"/>
        </w:rPr>
        <w:t>十四、主要部件、辅材明细表</w:t>
      </w:r>
    </w:p>
    <w:p>
      <w:pPr>
        <w:pStyle w:val="174"/>
        <w:spacing w:after="100" w:afterAutospacing="1"/>
        <w:rPr>
          <w:rFonts w:ascii="宋体" w:hAnsi="宋体" w:eastAsia="宋体"/>
          <w:color w:val="auto"/>
          <w:highlight w:val="none"/>
        </w:rPr>
      </w:pPr>
      <w:bookmarkStart w:id="113" w:name="_Toc21060_WPSOffice_Level2"/>
      <w:bookmarkEnd w:id="113"/>
      <w:r>
        <w:rPr>
          <w:rFonts w:ascii="宋体" w:hAnsi="宋体" w:eastAsia="宋体"/>
          <w:color w:val="auto"/>
          <w:highlight w:val="none"/>
        </w:rPr>
        <w:t>十五、</w:t>
      </w:r>
      <w:r>
        <w:rPr>
          <w:rFonts w:hint="eastAsia" w:ascii="宋体" w:hAnsi="宋体" w:eastAsia="宋体"/>
          <w:color w:val="auto"/>
          <w:highlight w:val="none"/>
          <w:lang w:val="en-US" w:eastAsia="zh-CN"/>
        </w:rPr>
        <w:t>服务</w:t>
      </w:r>
      <w:r>
        <w:rPr>
          <w:rFonts w:ascii="宋体" w:hAnsi="宋体" w:eastAsia="宋体"/>
          <w:color w:val="auto"/>
          <w:highlight w:val="none"/>
        </w:rPr>
        <w:t>方案</w:t>
      </w:r>
    </w:p>
    <w:p>
      <w:pPr>
        <w:pStyle w:val="174"/>
        <w:spacing w:after="100" w:afterAutospacing="1"/>
        <w:rPr>
          <w:rFonts w:ascii="宋体" w:hAnsi="宋体" w:eastAsia="宋体"/>
          <w:color w:val="auto"/>
          <w:highlight w:val="none"/>
        </w:rPr>
      </w:pPr>
      <w:r>
        <w:rPr>
          <w:rFonts w:ascii="宋体" w:hAnsi="宋体" w:eastAsia="宋体"/>
          <w:color w:val="auto"/>
          <w:highlight w:val="none"/>
        </w:rPr>
        <w:t>十</w:t>
      </w:r>
      <w:r>
        <w:rPr>
          <w:rFonts w:hint="eastAsia" w:ascii="宋体" w:hAnsi="宋体" w:eastAsia="宋体"/>
          <w:color w:val="auto"/>
          <w:highlight w:val="none"/>
          <w:lang w:val="en-US" w:eastAsia="zh-CN"/>
        </w:rPr>
        <w:t>六</w:t>
      </w:r>
      <w:r>
        <w:rPr>
          <w:rFonts w:ascii="宋体" w:hAnsi="宋体" w:eastAsia="宋体"/>
          <w:color w:val="auto"/>
          <w:highlight w:val="none"/>
        </w:rPr>
        <w:t>、投标人承担类似项目业绩一览表</w:t>
      </w:r>
    </w:p>
    <w:p>
      <w:pPr>
        <w:pStyle w:val="174"/>
        <w:spacing w:after="100" w:afterAutospacing="1"/>
        <w:rPr>
          <w:rFonts w:ascii="宋体" w:hAnsi="宋体" w:eastAsia="宋体"/>
          <w:color w:val="auto"/>
          <w:highlight w:val="none"/>
        </w:rPr>
      </w:pPr>
      <w:r>
        <w:rPr>
          <w:rFonts w:ascii="宋体" w:hAnsi="宋体" w:eastAsia="宋体"/>
          <w:color w:val="auto"/>
          <w:highlight w:val="none"/>
        </w:rPr>
        <w:t>十</w:t>
      </w:r>
      <w:r>
        <w:rPr>
          <w:rFonts w:hint="eastAsia" w:ascii="宋体" w:hAnsi="宋体" w:eastAsia="宋体"/>
          <w:color w:val="auto"/>
          <w:highlight w:val="none"/>
          <w:lang w:val="en-US" w:eastAsia="zh-CN"/>
        </w:rPr>
        <w:t>七</w:t>
      </w:r>
      <w:r>
        <w:rPr>
          <w:rFonts w:ascii="宋体" w:hAnsi="宋体" w:eastAsia="宋体"/>
          <w:color w:val="auto"/>
          <w:highlight w:val="none"/>
        </w:rPr>
        <w:t>、投标所需其他材料</w:t>
      </w:r>
    </w:p>
    <w:p>
      <w:pPr>
        <w:rPr>
          <w:color w:val="auto"/>
          <w:highlight w:val="none"/>
        </w:rPr>
      </w:pPr>
    </w:p>
    <w:p>
      <w:pPr>
        <w:pStyle w:val="309"/>
        <w:outlineLvl w:val="1"/>
        <w:rPr>
          <w:color w:val="auto"/>
          <w:highlight w:val="none"/>
        </w:rPr>
      </w:pPr>
      <w:bookmarkStart w:id="114" w:name="_Toc514054486"/>
      <w:bookmarkEnd w:id="114"/>
      <w:bookmarkStart w:id="115" w:name="_Toc21292"/>
      <w:bookmarkEnd w:id="115"/>
      <w:bookmarkStart w:id="116" w:name="_Toc23205_WPSOffice_Level2"/>
      <w:bookmarkEnd w:id="116"/>
      <w:r>
        <w:rPr>
          <w:color w:val="auto"/>
          <w:highlight w:val="none"/>
        </w:rPr>
        <w:br w:type="page"/>
      </w:r>
      <w:r>
        <w:rPr>
          <w:color w:val="auto"/>
          <w:highlight w:val="none"/>
        </w:rPr>
        <w:t>一、投标人基本情况</w:t>
      </w:r>
    </w:p>
    <w:p>
      <w:pPr>
        <w:pStyle w:val="169"/>
        <w:jc w:val="center"/>
        <w:rPr>
          <w:rFonts w:hint="eastAsia"/>
          <w:color w:val="auto"/>
          <w:sz w:val="44"/>
          <w:szCs w:val="44"/>
          <w:highlight w:val="none"/>
        </w:rPr>
      </w:pPr>
      <w:r>
        <w:rPr>
          <w:rFonts w:hint="eastAsia"/>
          <w:color w:val="auto"/>
          <w:sz w:val="44"/>
          <w:szCs w:val="44"/>
          <w:highlight w:val="none"/>
        </w:rPr>
        <w:t>投标人基本情况表</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pPr>
              <w:pStyle w:val="169"/>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投标人名称</w:t>
            </w:r>
          </w:p>
        </w:tc>
        <w:tc>
          <w:tcPr>
            <w:tcW w:w="6998" w:type="dxa"/>
            <w:gridSpan w:val="3"/>
            <w:vAlign w:val="center"/>
          </w:tcPr>
          <w:p>
            <w:pPr>
              <w:pStyle w:val="169"/>
              <w:spacing w:line="600" w:lineRule="exact"/>
              <w:jc w:val="center"/>
              <w:rPr>
                <w:rFonts w:hint="eastAsia" w:ascii="仿宋_GB2312" w:eastAsia="仿宋_GB2312"/>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pPr>
              <w:pStyle w:val="169"/>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法定代表人</w:t>
            </w:r>
          </w:p>
        </w:tc>
        <w:tc>
          <w:tcPr>
            <w:tcW w:w="3118" w:type="dxa"/>
            <w:vAlign w:val="center"/>
          </w:tcPr>
          <w:p>
            <w:pPr>
              <w:pStyle w:val="169"/>
              <w:spacing w:line="600" w:lineRule="exact"/>
              <w:jc w:val="center"/>
              <w:rPr>
                <w:rFonts w:hint="eastAsia" w:ascii="仿宋_GB2312" w:eastAsia="仿宋_GB2312"/>
                <w:color w:val="auto"/>
                <w:sz w:val="24"/>
                <w:szCs w:val="24"/>
                <w:highlight w:val="none"/>
              </w:rPr>
            </w:pPr>
          </w:p>
        </w:tc>
        <w:tc>
          <w:tcPr>
            <w:tcW w:w="1276" w:type="dxa"/>
            <w:vAlign w:val="center"/>
          </w:tcPr>
          <w:p>
            <w:pPr>
              <w:pStyle w:val="169"/>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注册地区</w:t>
            </w:r>
          </w:p>
        </w:tc>
        <w:tc>
          <w:tcPr>
            <w:tcW w:w="2604" w:type="dxa"/>
            <w:vAlign w:val="center"/>
          </w:tcPr>
          <w:p>
            <w:pPr>
              <w:pStyle w:val="169"/>
              <w:spacing w:line="600" w:lineRule="exact"/>
              <w:jc w:val="center"/>
              <w:rPr>
                <w:rFonts w:hint="eastAsia" w:ascii="仿宋_GB2312" w:eastAsia="仿宋_GB2312"/>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pPr>
              <w:pStyle w:val="169"/>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地址</w:t>
            </w:r>
          </w:p>
        </w:tc>
        <w:tc>
          <w:tcPr>
            <w:tcW w:w="3118" w:type="dxa"/>
            <w:vAlign w:val="center"/>
          </w:tcPr>
          <w:p>
            <w:pPr>
              <w:pStyle w:val="169"/>
              <w:spacing w:line="600" w:lineRule="exact"/>
              <w:jc w:val="center"/>
              <w:rPr>
                <w:rFonts w:hint="eastAsia" w:ascii="仿宋_GB2312" w:eastAsia="仿宋_GB2312"/>
                <w:color w:val="auto"/>
                <w:sz w:val="24"/>
                <w:szCs w:val="24"/>
                <w:highlight w:val="none"/>
              </w:rPr>
            </w:pPr>
          </w:p>
        </w:tc>
        <w:tc>
          <w:tcPr>
            <w:tcW w:w="1276" w:type="dxa"/>
            <w:vAlign w:val="center"/>
          </w:tcPr>
          <w:p>
            <w:pPr>
              <w:pStyle w:val="169"/>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邮政编码</w:t>
            </w:r>
          </w:p>
        </w:tc>
        <w:tc>
          <w:tcPr>
            <w:tcW w:w="2604" w:type="dxa"/>
            <w:vAlign w:val="center"/>
          </w:tcPr>
          <w:p>
            <w:pPr>
              <w:pStyle w:val="169"/>
              <w:spacing w:line="600" w:lineRule="exact"/>
              <w:jc w:val="center"/>
              <w:rPr>
                <w:rFonts w:hint="eastAsia" w:ascii="仿宋_GB2312" w:eastAsia="仿宋_GB2312"/>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pPr>
              <w:pStyle w:val="169"/>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成立时间</w:t>
            </w:r>
          </w:p>
        </w:tc>
        <w:tc>
          <w:tcPr>
            <w:tcW w:w="3118" w:type="dxa"/>
            <w:vAlign w:val="center"/>
          </w:tcPr>
          <w:p>
            <w:pPr>
              <w:pStyle w:val="169"/>
              <w:spacing w:line="600" w:lineRule="exact"/>
              <w:jc w:val="center"/>
              <w:rPr>
                <w:rFonts w:hint="eastAsia" w:ascii="仿宋_GB2312" w:eastAsia="仿宋_GB2312"/>
                <w:color w:val="auto"/>
                <w:sz w:val="24"/>
                <w:szCs w:val="24"/>
                <w:highlight w:val="none"/>
              </w:rPr>
            </w:pPr>
          </w:p>
        </w:tc>
        <w:tc>
          <w:tcPr>
            <w:tcW w:w="1276" w:type="dxa"/>
            <w:vAlign w:val="center"/>
          </w:tcPr>
          <w:p>
            <w:pPr>
              <w:pStyle w:val="169"/>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单位性质</w:t>
            </w:r>
          </w:p>
        </w:tc>
        <w:tc>
          <w:tcPr>
            <w:tcW w:w="2604" w:type="dxa"/>
            <w:vAlign w:val="center"/>
          </w:tcPr>
          <w:p>
            <w:pPr>
              <w:pStyle w:val="169"/>
              <w:spacing w:line="600" w:lineRule="exact"/>
              <w:jc w:val="center"/>
              <w:rPr>
                <w:rFonts w:hint="eastAsia" w:ascii="仿宋_GB2312" w:eastAsia="仿宋_GB2312"/>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pPr>
              <w:pStyle w:val="169"/>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注册号或社会信用代码</w:t>
            </w:r>
          </w:p>
        </w:tc>
        <w:tc>
          <w:tcPr>
            <w:tcW w:w="3118" w:type="dxa"/>
            <w:vAlign w:val="center"/>
          </w:tcPr>
          <w:p>
            <w:pPr>
              <w:pStyle w:val="169"/>
              <w:spacing w:line="600" w:lineRule="exact"/>
              <w:jc w:val="center"/>
              <w:rPr>
                <w:rFonts w:hint="eastAsia" w:ascii="仿宋_GB2312" w:eastAsia="仿宋_GB2312"/>
                <w:color w:val="auto"/>
                <w:sz w:val="24"/>
                <w:szCs w:val="24"/>
                <w:highlight w:val="none"/>
              </w:rPr>
            </w:pPr>
          </w:p>
        </w:tc>
        <w:tc>
          <w:tcPr>
            <w:tcW w:w="1276" w:type="dxa"/>
            <w:vAlign w:val="center"/>
          </w:tcPr>
          <w:p>
            <w:pPr>
              <w:pStyle w:val="169"/>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注册资本（万元）</w:t>
            </w:r>
          </w:p>
        </w:tc>
        <w:tc>
          <w:tcPr>
            <w:tcW w:w="2604" w:type="dxa"/>
            <w:vAlign w:val="center"/>
          </w:tcPr>
          <w:p>
            <w:pPr>
              <w:pStyle w:val="169"/>
              <w:spacing w:line="600" w:lineRule="exact"/>
              <w:jc w:val="center"/>
              <w:rPr>
                <w:rFonts w:hint="eastAsia" w:ascii="仿宋_GB2312" w:eastAsia="仿宋_GB2312"/>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pPr>
              <w:pStyle w:val="169"/>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开户银行</w:t>
            </w:r>
          </w:p>
        </w:tc>
        <w:tc>
          <w:tcPr>
            <w:tcW w:w="3118" w:type="dxa"/>
            <w:vAlign w:val="center"/>
          </w:tcPr>
          <w:p>
            <w:pPr>
              <w:pStyle w:val="169"/>
              <w:spacing w:line="600" w:lineRule="exact"/>
              <w:jc w:val="center"/>
              <w:rPr>
                <w:rFonts w:hint="eastAsia" w:ascii="仿宋_GB2312" w:eastAsia="仿宋_GB2312"/>
                <w:color w:val="auto"/>
                <w:sz w:val="24"/>
                <w:szCs w:val="24"/>
                <w:highlight w:val="none"/>
              </w:rPr>
            </w:pPr>
          </w:p>
        </w:tc>
        <w:tc>
          <w:tcPr>
            <w:tcW w:w="1276" w:type="dxa"/>
            <w:vAlign w:val="center"/>
          </w:tcPr>
          <w:p>
            <w:pPr>
              <w:pStyle w:val="169"/>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账号</w:t>
            </w:r>
          </w:p>
        </w:tc>
        <w:tc>
          <w:tcPr>
            <w:tcW w:w="2604" w:type="dxa"/>
            <w:vAlign w:val="center"/>
          </w:tcPr>
          <w:p>
            <w:pPr>
              <w:pStyle w:val="169"/>
              <w:spacing w:line="600" w:lineRule="exact"/>
              <w:jc w:val="center"/>
              <w:rPr>
                <w:rFonts w:hint="eastAsia" w:ascii="仿宋_GB2312" w:eastAsia="仿宋_GB2312"/>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pPr>
              <w:pStyle w:val="169"/>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联系人</w:t>
            </w:r>
          </w:p>
        </w:tc>
        <w:tc>
          <w:tcPr>
            <w:tcW w:w="3118" w:type="dxa"/>
            <w:vAlign w:val="center"/>
          </w:tcPr>
          <w:p>
            <w:pPr>
              <w:pStyle w:val="169"/>
              <w:spacing w:line="600" w:lineRule="exact"/>
              <w:jc w:val="center"/>
              <w:rPr>
                <w:rFonts w:hint="eastAsia" w:ascii="仿宋_GB2312" w:eastAsia="仿宋_GB2312"/>
                <w:color w:val="auto"/>
                <w:sz w:val="24"/>
                <w:szCs w:val="24"/>
                <w:highlight w:val="none"/>
              </w:rPr>
            </w:pPr>
          </w:p>
        </w:tc>
        <w:tc>
          <w:tcPr>
            <w:tcW w:w="1276" w:type="dxa"/>
            <w:vAlign w:val="center"/>
          </w:tcPr>
          <w:p>
            <w:pPr>
              <w:pStyle w:val="169"/>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联系电话</w:t>
            </w:r>
          </w:p>
        </w:tc>
        <w:tc>
          <w:tcPr>
            <w:tcW w:w="2604" w:type="dxa"/>
            <w:vAlign w:val="center"/>
          </w:tcPr>
          <w:p>
            <w:pPr>
              <w:pStyle w:val="169"/>
              <w:spacing w:line="600" w:lineRule="exact"/>
              <w:jc w:val="center"/>
              <w:rPr>
                <w:rFonts w:hint="eastAsia" w:ascii="仿宋_GB2312" w:eastAsia="仿宋_GB2312"/>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526" w:type="dxa"/>
            <w:vAlign w:val="center"/>
          </w:tcPr>
          <w:p>
            <w:pPr>
              <w:pStyle w:val="169"/>
              <w:spacing w:line="56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经营范围</w:t>
            </w:r>
          </w:p>
        </w:tc>
        <w:tc>
          <w:tcPr>
            <w:tcW w:w="6998" w:type="dxa"/>
            <w:gridSpan w:val="3"/>
            <w:vAlign w:val="top"/>
          </w:tcPr>
          <w:p>
            <w:pPr>
              <w:pStyle w:val="169"/>
              <w:spacing w:line="560" w:lineRule="exact"/>
              <w:ind w:firstLine="1432" w:firstLineChars="597"/>
              <w:rPr>
                <w:rFonts w:hint="eastAsia" w:ascii="仿宋_GB2312" w:eastAsia="仿宋_GB2312"/>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526" w:type="dxa"/>
            <w:vAlign w:val="center"/>
          </w:tcPr>
          <w:p>
            <w:pPr>
              <w:pStyle w:val="169"/>
              <w:spacing w:line="56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备注</w:t>
            </w:r>
          </w:p>
        </w:tc>
        <w:tc>
          <w:tcPr>
            <w:tcW w:w="6998" w:type="dxa"/>
            <w:gridSpan w:val="3"/>
            <w:vAlign w:val="center"/>
          </w:tcPr>
          <w:p>
            <w:pPr>
              <w:pStyle w:val="169"/>
              <w:spacing w:line="500" w:lineRule="exact"/>
              <w:jc w:val="center"/>
              <w:rPr>
                <w:rFonts w:hint="eastAsia" w:ascii="仿宋_GB2312" w:eastAsia="仿宋_GB2312"/>
                <w:color w:val="auto"/>
                <w:sz w:val="24"/>
                <w:szCs w:val="24"/>
                <w:highlight w:val="none"/>
              </w:rPr>
            </w:pPr>
          </w:p>
        </w:tc>
      </w:tr>
    </w:tbl>
    <w:p>
      <w:pPr>
        <w:pStyle w:val="169"/>
        <w:spacing w:line="560" w:lineRule="exact"/>
        <w:jc w:val="center"/>
        <w:rPr>
          <w:rFonts w:hint="eastAsia" w:ascii="方正大标宋简体" w:eastAsia="方正大标宋简体"/>
          <w:bCs/>
          <w:color w:val="auto"/>
          <w:sz w:val="32"/>
          <w:szCs w:val="32"/>
          <w:highlight w:val="none"/>
        </w:rPr>
      </w:pPr>
    </w:p>
    <w:p>
      <w:pPr>
        <w:pStyle w:val="218"/>
        <w:outlineLvl w:val="1"/>
        <w:rPr>
          <w:color w:val="auto"/>
          <w:highlight w:val="none"/>
        </w:rPr>
      </w:pPr>
      <w:bookmarkStart w:id="117" w:name="_Toc15353"/>
      <w:bookmarkEnd w:id="117"/>
      <w:bookmarkStart w:id="118" w:name="_Toc514054487"/>
      <w:bookmarkEnd w:id="118"/>
      <w:bookmarkStart w:id="119" w:name="_Toc30260_WPSOffice_Level2"/>
      <w:bookmarkEnd w:id="119"/>
      <w:r>
        <w:rPr>
          <w:color w:val="auto"/>
          <w:highlight w:val="none"/>
        </w:rPr>
        <w:br w:type="page"/>
      </w:r>
      <w:r>
        <w:rPr>
          <w:color w:val="auto"/>
          <w:highlight w:val="none"/>
        </w:rPr>
        <w:t>二、投标人资质</w:t>
      </w:r>
      <w:r>
        <w:rPr>
          <w:rFonts w:hint="eastAsia"/>
          <w:color w:val="auto"/>
          <w:highlight w:val="none"/>
          <w:lang w:eastAsia="zh-CN"/>
        </w:rPr>
        <w:t>（</w:t>
      </w:r>
      <w:r>
        <w:rPr>
          <w:rFonts w:hint="eastAsia"/>
          <w:color w:val="auto"/>
          <w:highlight w:val="none"/>
          <w:lang w:val="en-US" w:eastAsia="zh-CN"/>
        </w:rPr>
        <w:t>按资格要求提供</w:t>
      </w:r>
      <w:r>
        <w:rPr>
          <w:rFonts w:hint="eastAsia"/>
          <w:color w:val="auto"/>
          <w:highlight w:val="none"/>
          <w:lang w:eastAsia="zh-CN"/>
        </w:rPr>
        <w:t>）</w:t>
      </w:r>
    </w:p>
    <w:p>
      <w:pPr>
        <w:pStyle w:val="298"/>
        <w:rPr>
          <w:rFonts w:hint="eastAsia"/>
          <w:color w:val="auto"/>
          <w:highlight w:val="none"/>
        </w:rPr>
      </w:pPr>
      <w:bookmarkStart w:id="120" w:name="_Toc21452_WPSOffice_Level2"/>
      <w:bookmarkStart w:id="121" w:name="_Toc514054488"/>
      <w:r>
        <w:rPr>
          <w:rFonts w:hint="eastAsia"/>
          <w:color w:val="auto"/>
          <w:highlight w:val="none"/>
        </w:rPr>
        <w:t xml:space="preserve">    </w:t>
      </w:r>
    </w:p>
    <w:p>
      <w:pPr>
        <w:pStyle w:val="298"/>
        <w:rPr>
          <w:rFonts w:hint="eastAsia"/>
          <w:color w:val="auto"/>
          <w:highlight w:val="none"/>
        </w:rPr>
      </w:pPr>
    </w:p>
    <w:p>
      <w:pPr>
        <w:pStyle w:val="298"/>
        <w:rPr>
          <w:rFonts w:hint="eastAsia"/>
          <w:color w:val="auto"/>
          <w:highlight w:val="none"/>
        </w:rPr>
      </w:pPr>
    </w:p>
    <w:p>
      <w:pPr>
        <w:pStyle w:val="298"/>
        <w:rPr>
          <w:rFonts w:hint="eastAsia"/>
          <w:color w:val="auto"/>
          <w:highlight w:val="none"/>
        </w:rPr>
      </w:pPr>
    </w:p>
    <w:p>
      <w:pPr>
        <w:pStyle w:val="298"/>
        <w:rPr>
          <w:rFonts w:hint="eastAsia"/>
          <w:color w:val="auto"/>
          <w:highlight w:val="none"/>
        </w:rPr>
      </w:pPr>
    </w:p>
    <w:p>
      <w:pPr>
        <w:pStyle w:val="298"/>
        <w:rPr>
          <w:rFonts w:hint="eastAsia"/>
          <w:color w:val="auto"/>
          <w:highlight w:val="none"/>
        </w:rPr>
      </w:pPr>
    </w:p>
    <w:p>
      <w:pPr>
        <w:pStyle w:val="298"/>
        <w:rPr>
          <w:rFonts w:hint="eastAsia"/>
          <w:color w:val="auto"/>
          <w:highlight w:val="none"/>
        </w:rPr>
      </w:pPr>
    </w:p>
    <w:p>
      <w:pPr>
        <w:pStyle w:val="298"/>
        <w:rPr>
          <w:rFonts w:hint="eastAsia"/>
          <w:color w:val="auto"/>
          <w:highlight w:val="none"/>
        </w:rPr>
      </w:pPr>
    </w:p>
    <w:p>
      <w:pPr>
        <w:pStyle w:val="298"/>
        <w:rPr>
          <w:rFonts w:hint="eastAsia"/>
          <w:color w:val="auto"/>
          <w:highlight w:val="none"/>
        </w:rPr>
      </w:pPr>
    </w:p>
    <w:p>
      <w:pPr>
        <w:pStyle w:val="298"/>
        <w:rPr>
          <w:rFonts w:hint="eastAsia"/>
          <w:color w:val="auto"/>
          <w:highlight w:val="none"/>
        </w:rPr>
      </w:pPr>
    </w:p>
    <w:p>
      <w:pPr>
        <w:pStyle w:val="298"/>
        <w:rPr>
          <w:rFonts w:hint="eastAsia"/>
          <w:color w:val="auto"/>
          <w:highlight w:val="none"/>
        </w:rPr>
      </w:pPr>
    </w:p>
    <w:p>
      <w:pPr>
        <w:pStyle w:val="298"/>
        <w:rPr>
          <w:rFonts w:hint="eastAsia"/>
          <w:color w:val="auto"/>
          <w:highlight w:val="none"/>
        </w:rPr>
      </w:pPr>
    </w:p>
    <w:p>
      <w:pPr>
        <w:pStyle w:val="298"/>
        <w:rPr>
          <w:rFonts w:hint="eastAsia"/>
          <w:color w:val="auto"/>
          <w:highlight w:val="none"/>
        </w:rPr>
      </w:pPr>
    </w:p>
    <w:p>
      <w:pPr>
        <w:pStyle w:val="298"/>
        <w:rPr>
          <w:rFonts w:hint="eastAsia"/>
          <w:color w:val="auto"/>
          <w:highlight w:val="none"/>
        </w:rPr>
      </w:pPr>
    </w:p>
    <w:p>
      <w:pPr>
        <w:pStyle w:val="298"/>
        <w:rPr>
          <w:rFonts w:hint="eastAsia"/>
          <w:color w:val="auto"/>
          <w:highlight w:val="none"/>
        </w:rPr>
      </w:pPr>
    </w:p>
    <w:p>
      <w:pPr>
        <w:pStyle w:val="298"/>
        <w:rPr>
          <w:rFonts w:hint="eastAsia"/>
          <w:color w:val="auto"/>
          <w:highlight w:val="none"/>
        </w:rPr>
      </w:pPr>
    </w:p>
    <w:p>
      <w:pPr>
        <w:pStyle w:val="298"/>
        <w:rPr>
          <w:rFonts w:hint="eastAsia"/>
          <w:color w:val="auto"/>
          <w:highlight w:val="none"/>
        </w:rPr>
      </w:pPr>
    </w:p>
    <w:p>
      <w:pPr>
        <w:pStyle w:val="298"/>
        <w:rPr>
          <w:rFonts w:hint="eastAsia"/>
          <w:color w:val="auto"/>
          <w:highlight w:val="none"/>
        </w:rPr>
      </w:pPr>
    </w:p>
    <w:p>
      <w:pPr>
        <w:pStyle w:val="298"/>
        <w:rPr>
          <w:rFonts w:hint="eastAsia"/>
          <w:color w:val="auto"/>
          <w:highlight w:val="none"/>
        </w:rPr>
      </w:pPr>
    </w:p>
    <w:p>
      <w:pPr>
        <w:pStyle w:val="298"/>
        <w:rPr>
          <w:rFonts w:hint="eastAsia"/>
          <w:color w:val="auto"/>
          <w:highlight w:val="none"/>
        </w:rPr>
      </w:pPr>
    </w:p>
    <w:p>
      <w:pPr>
        <w:pStyle w:val="298"/>
        <w:rPr>
          <w:rFonts w:hint="eastAsia"/>
          <w:color w:val="auto"/>
          <w:highlight w:val="none"/>
        </w:rPr>
      </w:pPr>
    </w:p>
    <w:bookmarkEnd w:id="120"/>
    <w:bookmarkEnd w:id="121"/>
    <w:p>
      <w:pPr>
        <w:pStyle w:val="298"/>
        <w:outlineLvl w:val="1"/>
        <w:rPr>
          <w:color w:val="auto"/>
          <w:highlight w:val="none"/>
        </w:rPr>
      </w:pPr>
      <w:bookmarkStart w:id="122" w:name="_Toc18935"/>
      <w:bookmarkEnd w:id="122"/>
      <w:r>
        <w:rPr>
          <w:color w:val="auto"/>
          <w:highlight w:val="none"/>
        </w:rPr>
        <w:t>三、投标人财务状况报告</w:t>
      </w:r>
    </w:p>
    <w:p>
      <w:pPr>
        <w:pStyle w:val="190"/>
        <w:rPr>
          <w:rFonts w:hint="eastAsia" w:ascii="宋体"/>
          <w:bCs/>
          <w:color w:val="auto"/>
          <w:szCs w:val="32"/>
          <w:highlight w:val="none"/>
        </w:rPr>
      </w:pPr>
      <w:r>
        <w:rPr>
          <w:rFonts w:hint="eastAsia" w:ascii="宋体"/>
          <w:bCs/>
          <w:color w:val="auto"/>
          <w:szCs w:val="32"/>
          <w:highlight w:val="none"/>
        </w:rPr>
        <w:t>指投标人的财务报告或银行出具的资信证明</w:t>
      </w:r>
    </w:p>
    <w:p>
      <w:pPr>
        <w:pStyle w:val="387"/>
        <w:outlineLvl w:val="1"/>
        <w:rPr>
          <w:color w:val="auto"/>
          <w:highlight w:val="none"/>
        </w:rPr>
      </w:pPr>
      <w:bookmarkStart w:id="123" w:name="_Toc11562_WPSOffice_Level2"/>
      <w:bookmarkEnd w:id="123"/>
      <w:bookmarkStart w:id="124" w:name="_Toc29626"/>
      <w:bookmarkEnd w:id="124"/>
      <w:bookmarkStart w:id="125" w:name="_Toc514054489"/>
      <w:bookmarkEnd w:id="125"/>
      <w:r>
        <w:rPr>
          <w:color w:val="auto"/>
          <w:highlight w:val="none"/>
        </w:rPr>
        <w:br w:type="page"/>
      </w:r>
      <w:r>
        <w:rPr>
          <w:color w:val="auto"/>
          <w:highlight w:val="none"/>
        </w:rPr>
        <w:t>四、缴纳税收和社会保障资金凭据</w:t>
      </w:r>
    </w:p>
    <w:p>
      <w:pPr>
        <w:pStyle w:val="341"/>
        <w:rPr>
          <w:rFonts w:hint="eastAsia" w:ascii="宋体"/>
          <w:bCs/>
          <w:color w:val="auto"/>
          <w:szCs w:val="32"/>
          <w:highlight w:val="none"/>
        </w:rPr>
      </w:pPr>
      <w:r>
        <w:rPr>
          <w:rFonts w:hint="eastAsia" w:ascii="宋体"/>
          <w:bCs/>
          <w:color w:val="auto"/>
          <w:szCs w:val="32"/>
          <w:highlight w:val="none"/>
        </w:rPr>
        <w:t>提供符合招标文件要求的依法缴纳税收和社会保障资金的凭据</w:t>
      </w:r>
    </w:p>
    <w:p>
      <w:pPr>
        <w:pStyle w:val="230"/>
        <w:outlineLvl w:val="1"/>
        <w:rPr>
          <w:color w:val="auto"/>
          <w:highlight w:val="none"/>
        </w:rPr>
      </w:pPr>
      <w:bookmarkStart w:id="126" w:name="_Toc13419"/>
      <w:bookmarkEnd w:id="126"/>
      <w:bookmarkStart w:id="127" w:name="_Toc514054490"/>
      <w:bookmarkEnd w:id="127"/>
      <w:bookmarkStart w:id="128" w:name="_Toc467_WPSOffice_Level2"/>
      <w:bookmarkEnd w:id="128"/>
      <w:r>
        <w:rPr>
          <w:color w:val="auto"/>
          <w:highlight w:val="none"/>
        </w:rPr>
        <w:br w:type="page"/>
      </w:r>
      <w:r>
        <w:rPr>
          <w:color w:val="auto"/>
          <w:highlight w:val="none"/>
        </w:rPr>
        <w:t>五、履行合同所必需的设备和专业技术能力的声明</w:t>
      </w:r>
    </w:p>
    <w:p>
      <w:pPr>
        <w:pStyle w:val="179"/>
        <w:spacing w:line="600" w:lineRule="exact"/>
        <w:jc w:val="center"/>
        <w:rPr>
          <w:rFonts w:hint="eastAsia" w:ascii="宋体" w:hAnsi="宋体"/>
          <w:b/>
          <w:color w:val="auto"/>
          <w:sz w:val="32"/>
          <w:szCs w:val="24"/>
          <w:highlight w:val="none"/>
        </w:rPr>
      </w:pPr>
      <w:bookmarkStart w:id="129" w:name="_Toc31740_WPSOffice_Level2"/>
      <w:bookmarkEnd w:id="129"/>
      <w:r>
        <w:rPr>
          <w:rFonts w:hint="eastAsia" w:ascii="宋体" w:hAnsi="宋体"/>
          <w:b/>
          <w:color w:val="auto"/>
          <w:sz w:val="32"/>
          <w:szCs w:val="24"/>
          <w:highlight w:val="none"/>
        </w:rPr>
        <w:t>具备履行合同所必需的设备和专业技术能力的声明</w:t>
      </w:r>
    </w:p>
    <w:p>
      <w:pPr>
        <w:pStyle w:val="179"/>
        <w:spacing w:line="600" w:lineRule="exact"/>
        <w:rPr>
          <w:rFonts w:hint="eastAsia" w:ascii="仿宋_GB2312" w:eastAsia="仿宋_GB2312"/>
          <w:color w:val="auto"/>
          <w:sz w:val="24"/>
          <w:highlight w:val="none"/>
          <w:u w:val="single"/>
        </w:rPr>
      </w:pPr>
    </w:p>
    <w:p>
      <w:pPr>
        <w:pStyle w:val="179"/>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（采购单位）</w:t>
      </w:r>
      <w:r>
        <w:rPr>
          <w:rFonts w:hint="eastAsia" w:ascii="仿宋_GB2312" w:eastAsia="仿宋_GB2312"/>
          <w:color w:val="auto"/>
          <w:sz w:val="24"/>
          <w:highlight w:val="none"/>
        </w:rPr>
        <w:t>：</w:t>
      </w:r>
    </w:p>
    <w:p>
      <w:pPr>
        <w:pStyle w:val="179"/>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   我公司具备履行编号为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合同的设备和专业技术能力。</w:t>
      </w:r>
    </w:p>
    <w:p>
      <w:pPr>
        <w:pStyle w:val="179"/>
        <w:spacing w:line="60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特此声明。</w:t>
      </w:r>
    </w:p>
    <w:p>
      <w:pPr>
        <w:pStyle w:val="179"/>
        <w:spacing w:line="600" w:lineRule="exact"/>
        <w:ind w:firstLine="480" w:firstLineChars="200"/>
        <w:rPr>
          <w:rFonts w:hint="eastAsia" w:ascii="仿宋_GB2312" w:eastAsia="仿宋_GB2312"/>
          <w:color w:val="auto"/>
          <w:sz w:val="24"/>
          <w:highlight w:val="none"/>
        </w:rPr>
      </w:pPr>
    </w:p>
    <w:p>
      <w:pPr>
        <w:pStyle w:val="179"/>
        <w:spacing w:line="600" w:lineRule="exact"/>
        <w:jc w:val="center"/>
        <w:rPr>
          <w:rFonts w:hint="eastAsia" w:ascii="宋体"/>
          <w:b/>
          <w:bCs/>
          <w:color w:val="auto"/>
          <w:sz w:val="32"/>
          <w:szCs w:val="32"/>
          <w:highlight w:val="none"/>
        </w:rPr>
      </w:pPr>
    </w:p>
    <w:p>
      <w:pPr>
        <w:pStyle w:val="257"/>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pPr>
        <w:pStyle w:val="257"/>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pPr>
        <w:pStyle w:val="383"/>
        <w:ind w:firstLine="720" w:firstLineChars="300"/>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pPr>
        <w:pStyle w:val="157"/>
        <w:outlineLvl w:val="1"/>
        <w:rPr>
          <w:color w:val="auto"/>
          <w:highlight w:val="none"/>
        </w:rPr>
      </w:pPr>
      <w:bookmarkStart w:id="130" w:name="_Toc514054491"/>
      <w:bookmarkEnd w:id="130"/>
      <w:bookmarkStart w:id="131" w:name="_Toc5571_WPSOffice_Level2"/>
      <w:bookmarkEnd w:id="131"/>
      <w:bookmarkStart w:id="132" w:name="_Toc19673"/>
      <w:bookmarkEnd w:id="132"/>
      <w:r>
        <w:rPr>
          <w:color w:val="auto"/>
          <w:highlight w:val="none"/>
        </w:rPr>
        <w:br w:type="page"/>
      </w:r>
      <w:r>
        <w:rPr>
          <w:color w:val="auto"/>
          <w:highlight w:val="none"/>
        </w:rPr>
        <w:t>六、无重大违法行为声明</w:t>
      </w:r>
    </w:p>
    <w:p>
      <w:pPr>
        <w:pStyle w:val="402"/>
        <w:tabs>
          <w:tab w:val="left" w:pos="1498"/>
        </w:tabs>
        <w:spacing w:line="580" w:lineRule="exact"/>
        <w:jc w:val="center"/>
        <w:rPr>
          <w:rFonts w:hint="eastAsia"/>
          <w:b/>
          <w:color w:val="auto"/>
          <w:sz w:val="32"/>
          <w:szCs w:val="32"/>
          <w:highlight w:val="none"/>
        </w:rPr>
      </w:pPr>
      <w:bookmarkStart w:id="133" w:name="_Toc7575_WPSOffice_Level2"/>
      <w:bookmarkEnd w:id="133"/>
      <w:r>
        <w:rPr>
          <w:rFonts w:hint="eastAsia"/>
          <w:b/>
          <w:color w:val="auto"/>
          <w:sz w:val="32"/>
          <w:szCs w:val="32"/>
          <w:highlight w:val="none"/>
        </w:rPr>
        <w:t>无重大违法行为声明</w:t>
      </w:r>
    </w:p>
    <w:p>
      <w:pPr>
        <w:pStyle w:val="402"/>
        <w:tabs>
          <w:tab w:val="left" w:pos="1498"/>
        </w:tabs>
        <w:spacing w:line="580" w:lineRule="exact"/>
        <w:rPr>
          <w:rFonts w:hint="eastAsia"/>
          <w:color w:val="auto"/>
          <w:sz w:val="24"/>
          <w:highlight w:val="none"/>
          <w:u w:val="single"/>
        </w:rPr>
      </w:pPr>
      <w:r>
        <w:rPr>
          <w:rFonts w:hint="eastAsia"/>
          <w:color w:val="auto"/>
          <w:sz w:val="24"/>
          <w:highlight w:val="none"/>
          <w:u w:val="single"/>
        </w:rPr>
        <w:t xml:space="preserve">   （采购人</w:t>
      </w:r>
      <w:r>
        <w:rPr>
          <w:color w:val="auto"/>
          <w:sz w:val="24"/>
          <w:highlight w:val="none"/>
          <w:u w:val="single"/>
        </w:rPr>
        <w:t>名称）</w:t>
      </w:r>
      <w:r>
        <w:rPr>
          <w:rFonts w:hint="eastAsia"/>
          <w:color w:val="auto"/>
          <w:sz w:val="24"/>
          <w:highlight w:val="none"/>
          <w:u w:val="single"/>
        </w:rPr>
        <w:t xml:space="preserve">    </w:t>
      </w:r>
      <w:r>
        <w:rPr>
          <w:rFonts w:hint="eastAsia" w:ascii="仿宋_GB2312" w:eastAsia="仿宋_GB2312"/>
          <w:color w:val="auto"/>
          <w:sz w:val="24"/>
          <w:highlight w:val="none"/>
        </w:rPr>
        <w:t>：</w:t>
      </w:r>
    </w:p>
    <w:p>
      <w:pPr>
        <w:pStyle w:val="402"/>
        <w:spacing w:line="600" w:lineRule="exact"/>
        <w:ind w:firstLine="600"/>
        <w:rPr>
          <w:rFonts w:hint="eastAsia" w:ascii="仿宋_GB2312" w:eastAsia="仿宋_GB2312"/>
          <w:color w:val="auto"/>
          <w:sz w:val="24"/>
          <w:highlight w:val="none"/>
        </w:rPr>
      </w:pPr>
      <w:r>
        <w:rPr>
          <w:rFonts w:hint="eastAsia" w:ascii="仿宋_GB2312" w:eastAsia="仿宋_GB2312"/>
          <w:color w:val="auto"/>
          <w:sz w:val="24"/>
          <w:highlight w:val="none"/>
        </w:rPr>
        <w:t>我公司在参加编号为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项目的投标活动前3年内，</w:t>
      </w:r>
      <w:r>
        <w:rPr>
          <w:rFonts w:ascii="仿宋_GB2312" w:eastAsia="仿宋_GB2312"/>
          <w:color w:val="auto"/>
          <w:sz w:val="24"/>
          <w:highlight w:val="none"/>
        </w:rPr>
        <w:t>在经营活动中没有重大违法记录</w:t>
      </w:r>
      <w:r>
        <w:rPr>
          <w:rFonts w:hint="eastAsia" w:ascii="仿宋_GB2312" w:eastAsia="仿宋_GB2312"/>
          <w:color w:val="auto"/>
          <w:sz w:val="24"/>
          <w:highlight w:val="none"/>
        </w:rPr>
        <w:t>。</w:t>
      </w:r>
    </w:p>
    <w:p>
      <w:pPr>
        <w:pStyle w:val="402"/>
        <w:spacing w:line="600" w:lineRule="exact"/>
        <w:ind w:firstLine="600"/>
        <w:rPr>
          <w:rFonts w:hint="eastAsia" w:ascii="仿宋_GB2312" w:eastAsia="仿宋_GB2312"/>
          <w:color w:val="auto"/>
          <w:sz w:val="24"/>
          <w:highlight w:val="none"/>
        </w:rPr>
      </w:pPr>
      <w:r>
        <w:rPr>
          <w:rFonts w:hint="eastAsia" w:ascii="仿宋_GB2312" w:eastAsia="仿宋_GB2312"/>
          <w:color w:val="auto"/>
          <w:sz w:val="24"/>
          <w:highlight w:val="none"/>
        </w:rPr>
        <w:t>特此声明。</w:t>
      </w:r>
    </w:p>
    <w:p>
      <w:pPr>
        <w:pStyle w:val="402"/>
        <w:spacing w:line="600" w:lineRule="exact"/>
        <w:ind w:firstLine="600"/>
        <w:rPr>
          <w:rFonts w:hint="eastAsia" w:ascii="仿宋_GB2312" w:eastAsia="仿宋_GB2312"/>
          <w:color w:val="auto"/>
          <w:sz w:val="24"/>
          <w:highlight w:val="none"/>
        </w:rPr>
      </w:pPr>
    </w:p>
    <w:p>
      <w:pPr>
        <w:pStyle w:val="402"/>
        <w:spacing w:line="600" w:lineRule="exact"/>
        <w:ind w:firstLine="600"/>
        <w:rPr>
          <w:rFonts w:hint="eastAsia" w:ascii="仿宋_GB2312" w:eastAsia="仿宋_GB2312"/>
          <w:color w:val="auto"/>
          <w:sz w:val="24"/>
          <w:highlight w:val="none"/>
        </w:rPr>
      </w:pPr>
      <w:r>
        <w:rPr>
          <w:rFonts w:hint="eastAsia" w:ascii="仿宋_GB2312" w:eastAsia="仿宋_GB2312"/>
          <w:color w:val="auto"/>
          <w:sz w:val="24"/>
          <w:highlight w:val="none"/>
        </w:rPr>
        <w:t>注：重大违法记录，是指供应商因违法经营受到刑事处罚或者责令停产停业、吊销许可证或者执照、较大数额罚款等行政处罚。</w:t>
      </w:r>
    </w:p>
    <w:p>
      <w:pPr>
        <w:pStyle w:val="402"/>
        <w:spacing w:line="600" w:lineRule="exact"/>
        <w:ind w:firstLine="600"/>
        <w:rPr>
          <w:rFonts w:hint="eastAsia" w:ascii="仿宋_GB2312" w:eastAsia="仿宋_GB2312"/>
          <w:color w:val="auto"/>
          <w:sz w:val="24"/>
          <w:highlight w:val="none"/>
        </w:rPr>
      </w:pPr>
    </w:p>
    <w:p>
      <w:pPr>
        <w:pStyle w:val="402"/>
        <w:spacing w:line="600" w:lineRule="exact"/>
        <w:ind w:firstLine="600"/>
        <w:rPr>
          <w:rFonts w:hint="eastAsia" w:ascii="仿宋_GB2312" w:eastAsia="仿宋_GB2312"/>
          <w:color w:val="auto"/>
          <w:sz w:val="24"/>
          <w:highlight w:val="none"/>
        </w:rPr>
      </w:pPr>
    </w:p>
    <w:p>
      <w:pPr>
        <w:pStyle w:val="257"/>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pPr>
        <w:pStyle w:val="257"/>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pPr>
        <w:pStyle w:val="429"/>
        <w:ind w:firstLine="720" w:firstLineChars="300"/>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pPr>
        <w:pStyle w:val="240"/>
        <w:outlineLvl w:val="1"/>
        <w:rPr>
          <w:color w:val="auto"/>
          <w:highlight w:val="none"/>
        </w:rPr>
      </w:pPr>
      <w:bookmarkStart w:id="134" w:name="_Toc31956_WPSOffice_Level2"/>
      <w:bookmarkEnd w:id="134"/>
      <w:bookmarkStart w:id="135" w:name="_Toc514054492"/>
      <w:bookmarkEnd w:id="135"/>
      <w:bookmarkStart w:id="136" w:name="_Toc30396"/>
      <w:bookmarkEnd w:id="136"/>
      <w:r>
        <w:rPr>
          <w:color w:val="auto"/>
          <w:highlight w:val="none"/>
        </w:rPr>
        <w:br w:type="page"/>
      </w:r>
      <w:r>
        <w:rPr>
          <w:color w:val="auto"/>
          <w:highlight w:val="none"/>
        </w:rPr>
        <w:t>七、投标函</w:t>
      </w:r>
    </w:p>
    <w:p>
      <w:pPr>
        <w:pStyle w:val="229"/>
        <w:tabs>
          <w:tab w:val="left" w:pos="1498"/>
        </w:tabs>
        <w:spacing w:line="580" w:lineRule="exact"/>
        <w:rPr>
          <w:rFonts w:hint="eastAsia"/>
          <w:color w:val="auto"/>
          <w:sz w:val="24"/>
          <w:highlight w:val="none"/>
          <w:u w:val="single"/>
        </w:rPr>
      </w:pPr>
      <w:r>
        <w:rPr>
          <w:rFonts w:hint="eastAsia"/>
          <w:color w:val="auto"/>
          <w:sz w:val="24"/>
          <w:highlight w:val="none"/>
          <w:u w:val="single"/>
        </w:rPr>
        <w:t xml:space="preserve">                      </w:t>
      </w:r>
      <w:r>
        <w:rPr>
          <w:rFonts w:hint="eastAsia" w:ascii="仿宋_GB2312" w:eastAsia="仿宋_GB2312"/>
          <w:color w:val="auto"/>
          <w:sz w:val="24"/>
          <w:highlight w:val="none"/>
        </w:rPr>
        <w:t>：</w:t>
      </w:r>
    </w:p>
    <w:p>
      <w:pPr>
        <w:pStyle w:val="229"/>
        <w:tabs>
          <w:tab w:val="left" w:pos="1498"/>
        </w:tabs>
        <w:spacing w:line="580" w:lineRule="exact"/>
        <w:ind w:firstLine="480" w:firstLineChars="200"/>
        <w:rPr>
          <w:rFonts w:hint="eastAsia"/>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经研究，我们决定参加编号为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的招标活动并投标，为此，我方郑重声明以下诸点，并负法律责任。</w:t>
      </w:r>
    </w:p>
    <w:p>
      <w:pPr>
        <w:pStyle w:val="229"/>
        <w:numPr>
          <w:ilvl w:val="0"/>
          <w:numId w:val="16"/>
        </w:numPr>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经研究招标文件的全部内容后，我方愿按招标文件的规定要求提供所有货物和服务；</w:t>
      </w:r>
    </w:p>
    <w:p>
      <w:pPr>
        <w:pStyle w:val="229"/>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二、</w:t>
      </w:r>
      <w:r>
        <w:rPr>
          <w:rFonts w:hint="eastAsia" w:ascii="仿宋_GB2312" w:eastAsia="仿宋_GB2312"/>
          <w:b/>
          <w:bCs/>
          <w:color w:val="auto"/>
          <w:sz w:val="24"/>
          <w:highlight w:val="none"/>
        </w:rPr>
        <w:t xml:space="preserve">我方没有为本采购项目提供整体设计、规范编制，以及项目管理、监理、检测等服务。 </w:t>
      </w:r>
    </w:p>
    <w:p>
      <w:pPr>
        <w:pStyle w:val="229"/>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p>
    <w:p>
      <w:pPr>
        <w:pStyle w:val="229"/>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p>
    <w:p>
      <w:pPr>
        <w:pStyle w:val="229"/>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五、我们理解，最低报价不是中标的唯一条件，你们有选择中标人的权利；</w:t>
      </w:r>
    </w:p>
    <w:p>
      <w:pPr>
        <w:pStyle w:val="229"/>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p>
    <w:p>
      <w:pPr>
        <w:pStyle w:val="229"/>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七、一旦我方中标，我方将根据招标文件的规定，严格按照《中华人民共和国民法典》履行自己的责任和义务，并保证于我方承诺的期限内完成项目规定的所有内容。</w:t>
      </w:r>
    </w:p>
    <w:p>
      <w:pPr>
        <w:pStyle w:val="252"/>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八、我方同意遵守贵方有关招标投标的各项规定；</w:t>
      </w:r>
    </w:p>
    <w:p>
      <w:pPr>
        <w:pStyle w:val="252"/>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九、我方响应招标文件规定的投标有效期。</w:t>
      </w:r>
    </w:p>
    <w:p>
      <w:pPr>
        <w:pStyle w:val="252"/>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pPr>
        <w:pStyle w:val="252"/>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 xml:space="preserve">十一、与本投标有关的正式联系方式为： </w:t>
      </w:r>
    </w:p>
    <w:p>
      <w:pPr>
        <w:pStyle w:val="252"/>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联系人：</w:t>
      </w:r>
      <w:r>
        <w:rPr>
          <w:rFonts w:hint="eastAsia" w:ascii="仿宋_GB2312" w:eastAsia="仿宋_GB2312"/>
          <w:color w:val="auto"/>
          <w:sz w:val="24"/>
          <w:highlight w:val="none"/>
          <w:u w:val="single"/>
        </w:rPr>
        <w:t xml:space="preserve">               </w:t>
      </w:r>
    </w:p>
    <w:p>
      <w:pPr>
        <w:pStyle w:val="252"/>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地址：</w:t>
      </w:r>
      <w:r>
        <w:rPr>
          <w:rFonts w:hint="eastAsia" w:ascii="仿宋_GB2312" w:eastAsia="仿宋_GB2312"/>
          <w:color w:val="auto"/>
          <w:sz w:val="24"/>
          <w:highlight w:val="none"/>
          <w:u w:val="single"/>
        </w:rPr>
        <w:t xml:space="preserve">                 </w:t>
      </w:r>
    </w:p>
    <w:p>
      <w:pPr>
        <w:pStyle w:val="252"/>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pPr>
        <w:pStyle w:val="252"/>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 xml:space="preserve">十二、我方正式开户银行和帐号为： </w:t>
      </w:r>
    </w:p>
    <w:p>
      <w:pPr>
        <w:pStyle w:val="252"/>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pPr>
        <w:pStyle w:val="252"/>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pPr>
        <w:pStyle w:val="252"/>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（盖章） </w:t>
      </w:r>
    </w:p>
    <w:p>
      <w:pPr>
        <w:pStyle w:val="252"/>
        <w:tabs>
          <w:tab w:val="left" w:pos="1498"/>
        </w:tabs>
        <w:spacing w:line="58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日 期： 年 月 日</w:t>
      </w:r>
    </w:p>
    <w:p>
      <w:pPr>
        <w:pStyle w:val="212"/>
        <w:outlineLvl w:val="1"/>
        <w:rPr>
          <w:color w:val="auto"/>
          <w:highlight w:val="none"/>
        </w:rPr>
      </w:pPr>
      <w:bookmarkStart w:id="137" w:name="_Toc22395"/>
      <w:bookmarkEnd w:id="137"/>
      <w:bookmarkStart w:id="138" w:name="_Toc514054493"/>
      <w:bookmarkEnd w:id="138"/>
      <w:r>
        <w:rPr>
          <w:color w:val="auto"/>
          <w:highlight w:val="none"/>
        </w:rPr>
        <w:br w:type="page"/>
      </w:r>
      <w:r>
        <w:rPr>
          <w:color w:val="auto"/>
          <w:highlight w:val="none"/>
        </w:rPr>
        <w:t>八、法定代表人身份证明或授权委托书</w:t>
      </w:r>
    </w:p>
    <w:p>
      <w:pPr>
        <w:pStyle w:val="369"/>
        <w:spacing w:line="560" w:lineRule="exact"/>
        <w:jc w:val="center"/>
        <w:rPr>
          <w:rFonts w:ascii="宋体"/>
          <w:b/>
          <w:bCs/>
          <w:color w:val="auto"/>
          <w:sz w:val="32"/>
          <w:szCs w:val="32"/>
          <w:highlight w:val="none"/>
        </w:rPr>
      </w:pPr>
      <w:bookmarkStart w:id="139" w:name="_Toc22626_WPSOffice_Level2"/>
      <w:bookmarkEnd w:id="139"/>
      <w:r>
        <w:rPr>
          <w:rFonts w:ascii="宋体"/>
          <w:b/>
          <w:bCs/>
          <w:color w:val="auto"/>
          <w:sz w:val="32"/>
          <w:szCs w:val="32"/>
          <w:highlight w:val="none"/>
        </w:rPr>
        <w:t>法定代表人身份证明</w:t>
      </w:r>
    </w:p>
    <w:p>
      <w:pPr>
        <w:pStyle w:val="420"/>
        <w:spacing w:line="480" w:lineRule="exact"/>
        <w:rPr>
          <w:rFonts w:eastAsia="仿宋_GB2312"/>
          <w:color w:val="auto"/>
          <w:sz w:val="24"/>
          <w:highlight w:val="none"/>
        </w:rPr>
      </w:pPr>
    </w:p>
    <w:p>
      <w:pPr>
        <w:pStyle w:val="420"/>
        <w:spacing w:line="480" w:lineRule="exact"/>
        <w:rPr>
          <w:rFonts w:hint="eastAsia" w:eastAsia="仿宋_GB2312"/>
          <w:color w:val="auto"/>
          <w:sz w:val="24"/>
          <w:highlight w:val="none"/>
        </w:rPr>
      </w:pPr>
      <w:r>
        <w:rPr>
          <w:rFonts w:hint="eastAsia" w:eastAsia="仿宋_GB2312"/>
          <w:color w:val="auto"/>
          <w:sz w:val="24"/>
          <w:highlight w:val="none"/>
        </w:rPr>
        <w:t>投标人</w:t>
      </w:r>
      <w:r>
        <w:rPr>
          <w:rFonts w:eastAsia="仿宋_GB2312"/>
          <w:color w:val="auto"/>
          <w:sz w:val="24"/>
          <w:highlight w:val="none"/>
        </w:rPr>
        <w:t>名称：</w:t>
      </w:r>
      <w:r>
        <w:rPr>
          <w:rFonts w:eastAsia="仿宋_GB2312"/>
          <w:color w:val="auto"/>
          <w:sz w:val="24"/>
          <w:highlight w:val="none"/>
          <w:u w:val="single"/>
        </w:rPr>
        <w:t xml:space="preserve">                            </w:t>
      </w:r>
      <w:r>
        <w:rPr>
          <w:rFonts w:eastAsia="仿宋_GB2312"/>
          <w:color w:val="auto"/>
          <w:sz w:val="24"/>
          <w:highlight w:val="none"/>
        </w:rPr>
        <w:t xml:space="preserve"> </w:t>
      </w:r>
    </w:p>
    <w:p>
      <w:pPr>
        <w:pStyle w:val="420"/>
        <w:spacing w:line="480" w:lineRule="exact"/>
        <w:rPr>
          <w:rFonts w:eastAsia="仿宋_GB2312"/>
          <w:color w:val="auto"/>
          <w:sz w:val="24"/>
          <w:highlight w:val="none"/>
        </w:rPr>
      </w:pPr>
      <w:r>
        <w:rPr>
          <w:rFonts w:eastAsia="仿宋_GB2312"/>
          <w:color w:val="auto"/>
          <w:sz w:val="24"/>
          <w:highlight w:val="none"/>
        </w:rPr>
        <w:t>单位性质：</w:t>
      </w:r>
      <w:r>
        <w:rPr>
          <w:rFonts w:eastAsia="仿宋_GB2312"/>
          <w:color w:val="auto"/>
          <w:sz w:val="24"/>
          <w:highlight w:val="none"/>
          <w:u w:val="single"/>
        </w:rPr>
        <w:t xml:space="preserve">                               </w:t>
      </w:r>
      <w:r>
        <w:rPr>
          <w:rFonts w:eastAsia="仿宋_GB2312"/>
          <w:color w:val="auto"/>
          <w:sz w:val="24"/>
          <w:highlight w:val="none"/>
        </w:rPr>
        <w:t xml:space="preserve"> </w:t>
      </w:r>
    </w:p>
    <w:p>
      <w:pPr>
        <w:pStyle w:val="420"/>
        <w:spacing w:line="480" w:lineRule="exact"/>
        <w:rPr>
          <w:rFonts w:eastAsia="仿宋_GB2312"/>
          <w:color w:val="auto"/>
          <w:sz w:val="24"/>
          <w:highlight w:val="none"/>
        </w:rPr>
      </w:pPr>
      <w:r>
        <w:rPr>
          <w:rFonts w:eastAsia="仿宋_GB2312"/>
          <w:color w:val="auto"/>
          <w:sz w:val="24"/>
          <w:highlight w:val="none"/>
        </w:rPr>
        <w:t>地址：</w:t>
      </w:r>
      <w:r>
        <w:rPr>
          <w:rFonts w:eastAsia="仿宋_GB2312"/>
          <w:color w:val="auto"/>
          <w:sz w:val="24"/>
          <w:highlight w:val="none"/>
          <w:u w:val="single"/>
        </w:rPr>
        <w:t xml:space="preserve">                                   </w:t>
      </w:r>
    </w:p>
    <w:p>
      <w:pPr>
        <w:pStyle w:val="420"/>
        <w:spacing w:line="480" w:lineRule="exact"/>
        <w:rPr>
          <w:rFonts w:eastAsia="仿宋_GB2312"/>
          <w:color w:val="auto"/>
          <w:sz w:val="24"/>
          <w:highlight w:val="none"/>
        </w:rPr>
      </w:pPr>
      <w:r>
        <w:rPr>
          <w:rFonts w:eastAsia="仿宋_GB2312"/>
          <w:color w:val="auto"/>
          <w:sz w:val="24"/>
          <w:highlight w:val="none"/>
        </w:rPr>
        <w:t>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p>
    <w:p>
      <w:pPr>
        <w:pStyle w:val="420"/>
        <w:spacing w:line="480" w:lineRule="exact"/>
        <w:rPr>
          <w:rFonts w:eastAsia="仿宋_GB2312"/>
          <w:color w:val="auto"/>
          <w:sz w:val="24"/>
          <w:highlight w:val="none"/>
        </w:rPr>
      </w:pPr>
      <w:r>
        <w:rPr>
          <w:rFonts w:eastAsia="仿宋_GB2312"/>
          <w:color w:val="auto"/>
          <w:sz w:val="24"/>
          <w:highlight w:val="none"/>
        </w:rPr>
        <w:t>经营期限：</w:t>
      </w:r>
      <w:r>
        <w:rPr>
          <w:rFonts w:eastAsia="仿宋_GB2312"/>
          <w:color w:val="auto"/>
          <w:sz w:val="24"/>
          <w:highlight w:val="none"/>
          <w:u w:val="single"/>
        </w:rPr>
        <w:t xml:space="preserve">                               </w:t>
      </w:r>
    </w:p>
    <w:p>
      <w:pPr>
        <w:pStyle w:val="420"/>
        <w:spacing w:line="480" w:lineRule="exact"/>
        <w:rPr>
          <w:rFonts w:eastAsia="仿宋_GB2312"/>
          <w:color w:val="auto"/>
          <w:sz w:val="24"/>
          <w:highlight w:val="none"/>
        </w:rPr>
      </w:pPr>
      <w:r>
        <w:rPr>
          <w:rFonts w:eastAsia="仿宋_GB2312"/>
          <w:color w:val="auto"/>
          <w:sz w:val="24"/>
          <w:highlight w:val="none"/>
        </w:rPr>
        <w:t>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职务：</w:t>
      </w:r>
      <w:r>
        <w:rPr>
          <w:rFonts w:eastAsia="仿宋_GB2312"/>
          <w:color w:val="auto"/>
          <w:sz w:val="24"/>
          <w:highlight w:val="none"/>
          <w:u w:val="single"/>
        </w:rPr>
        <w:t xml:space="preserve">        </w:t>
      </w:r>
      <w:r>
        <w:rPr>
          <w:rFonts w:eastAsia="仿宋_GB2312"/>
          <w:color w:val="auto"/>
          <w:sz w:val="24"/>
          <w:highlight w:val="none"/>
        </w:rPr>
        <w:t>系</w:t>
      </w:r>
    </w:p>
    <w:p>
      <w:pPr>
        <w:pStyle w:val="420"/>
        <w:spacing w:line="480" w:lineRule="exact"/>
        <w:rPr>
          <w:rFonts w:eastAsia="仿宋_GB2312"/>
          <w:color w:val="auto"/>
          <w:sz w:val="24"/>
          <w:highlight w:val="none"/>
          <w:u w:val="singl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p>
    <w:p>
      <w:pPr>
        <w:pStyle w:val="420"/>
        <w:spacing w:line="480" w:lineRule="exact"/>
        <w:ind w:firstLine="480" w:firstLineChars="200"/>
        <w:rPr>
          <w:rFonts w:eastAsia="仿宋_GB2312"/>
          <w:color w:val="auto"/>
          <w:sz w:val="24"/>
          <w:highlight w:val="none"/>
        </w:rPr>
      </w:pPr>
      <w:r>
        <w:rPr>
          <w:rFonts w:eastAsia="仿宋_GB2312"/>
          <w:color w:val="auto"/>
          <w:sz w:val="24"/>
          <w:highlight w:val="none"/>
        </w:rPr>
        <w:t>特此证明。</w:t>
      </w:r>
    </w:p>
    <w:p>
      <w:pPr>
        <w:pStyle w:val="376"/>
        <w:spacing w:line="600" w:lineRule="exact"/>
        <w:rPr>
          <w:rFonts w:hint="eastAsia" w:ascii="仿宋_GB2312" w:eastAsia="仿宋_GB2312"/>
          <w:b/>
          <w:color w:val="auto"/>
          <w:sz w:val="24"/>
          <w:highlight w:val="none"/>
        </w:rPr>
      </w:pPr>
      <w:r>
        <w:rPr>
          <w:rFonts w:hint="eastAsia" w:ascii="仿宋_GB2312" w:eastAsia="仿宋_GB2312"/>
          <w:b/>
          <w:color w:val="auto"/>
          <w:sz w:val="24"/>
          <w:highlight w:val="none"/>
        </w:rPr>
        <w:t>（法定代表人出席开标会议的提供，未出席的可不提供。附法定代表人身份证、扫描件。）</w:t>
      </w:r>
    </w:p>
    <w:p>
      <w:pPr>
        <w:pStyle w:val="420"/>
        <w:spacing w:line="480" w:lineRule="exact"/>
        <w:ind w:firstLine="480" w:firstLineChars="200"/>
        <w:rPr>
          <w:rFonts w:eastAsia="仿宋_GB2312"/>
          <w:color w:val="auto"/>
          <w:sz w:val="24"/>
          <w:highlight w:val="none"/>
        </w:rPr>
      </w:pPr>
    </w:p>
    <w:p>
      <w:pPr>
        <w:pStyle w:val="420"/>
        <w:spacing w:line="480" w:lineRule="exact"/>
        <w:jc w:val="right"/>
        <w:rPr>
          <w:rFonts w:eastAsia="仿宋_GB2312"/>
          <w:color w:val="auto"/>
          <w:sz w:val="24"/>
          <w:highlight w:val="none"/>
        </w:rPr>
      </w:pPr>
      <w:r>
        <w:rPr>
          <w:rFonts w:eastAsia="仿宋_GB2312"/>
          <w:color w:val="auto"/>
          <w:sz w:val="24"/>
          <w:highlight w:val="none"/>
        </w:rPr>
        <w:t xml:space="preserve">                       </w:t>
      </w:r>
    </w:p>
    <w:p>
      <w:pPr>
        <w:pStyle w:val="420"/>
        <w:spacing w:line="480" w:lineRule="exact"/>
        <w:jc w:val="right"/>
        <w:rPr>
          <w:rFonts w:eastAsia="仿宋_GB2312"/>
          <w:color w:val="auto"/>
          <w:sz w:val="24"/>
          <w:highlight w:val="none"/>
        </w:rPr>
      </w:pPr>
    </w:p>
    <w:p>
      <w:pPr>
        <w:pStyle w:val="420"/>
        <w:spacing w:line="480" w:lineRule="exact"/>
        <w:jc w:val="right"/>
        <w:rPr>
          <w:rFonts w:eastAsia="仿宋_GB2312"/>
          <w:color w:val="auto"/>
          <w:sz w:val="24"/>
          <w:highlight w:val="none"/>
        </w:rPr>
      </w:pPr>
    </w:p>
    <w:p>
      <w:pPr>
        <w:pStyle w:val="376"/>
        <w:spacing w:line="700" w:lineRule="exact"/>
        <w:ind w:firstLine="445"/>
        <w:rPr>
          <w:rFonts w:hint="eastAsia" w:ascii="仿宋_GB2312" w:eastAsia="仿宋_GB2312"/>
          <w:color w:val="auto"/>
          <w:sz w:val="24"/>
          <w:highlight w:val="none"/>
        </w:rPr>
      </w:pPr>
      <w:r>
        <w:rPr>
          <w:rFonts w:hint="eastAsia" w:ascii="仿宋_GB2312" w:eastAsia="仿宋_GB2312"/>
          <w:color w:val="auto"/>
          <w:sz w:val="24"/>
          <w:highlight w:val="none"/>
        </w:rPr>
        <w:t>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（盖章）</w:t>
      </w:r>
    </w:p>
    <w:p>
      <w:pPr>
        <w:pStyle w:val="369"/>
        <w:spacing w:line="560" w:lineRule="exact"/>
        <w:ind w:firstLine="424" w:firstLineChars="177"/>
        <w:jc w:val="left"/>
        <w:rPr>
          <w:rFonts w:hint="eastAsia" w:ascii="仿宋_GB2312" w:eastAsia="仿宋_GB2312"/>
          <w:color w:val="auto"/>
          <w:sz w:val="24"/>
          <w:highlight w:val="none"/>
        </w:rPr>
      </w:pPr>
      <w:r>
        <w:rPr>
          <w:rFonts w:hint="eastAsia" w:ascii="仿宋_GB2312" w:eastAsia="仿宋_GB2312"/>
          <w:color w:val="auto"/>
          <w:sz w:val="24"/>
          <w:highlight w:val="none"/>
        </w:rPr>
        <w:t>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（签字）</w:t>
      </w:r>
    </w:p>
    <w:p>
      <w:pPr>
        <w:pStyle w:val="210"/>
        <w:spacing w:line="700" w:lineRule="exact"/>
        <w:ind w:firstLine="988" w:firstLineChars="412"/>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pPr>
        <w:pStyle w:val="369"/>
        <w:spacing w:line="560" w:lineRule="exact"/>
        <w:jc w:val="center"/>
        <w:rPr>
          <w:rFonts w:ascii="仿宋_GB2312" w:eastAsia="仿宋_GB2312"/>
          <w:color w:val="auto"/>
          <w:sz w:val="24"/>
          <w:highlight w:val="none"/>
        </w:rPr>
      </w:pPr>
      <w:bookmarkStart w:id="140" w:name="_Toc406_WPSOffice_Level2"/>
      <w:bookmarkEnd w:id="140"/>
      <w:r>
        <w:rPr>
          <w:rFonts w:ascii="仿宋_GB2312" w:eastAsia="仿宋_GB2312"/>
          <w:color w:val="auto"/>
          <w:sz w:val="24"/>
          <w:highlight w:val="none"/>
        </w:rPr>
        <w:br w:type="page"/>
      </w:r>
      <w:r>
        <w:rPr>
          <w:rFonts w:hint="eastAsia" w:ascii="宋体"/>
          <w:b/>
          <w:bCs/>
          <w:color w:val="auto"/>
          <w:sz w:val="32"/>
          <w:szCs w:val="32"/>
          <w:highlight w:val="none"/>
        </w:rPr>
        <w:t>法定代表人授权委托书</w:t>
      </w:r>
    </w:p>
    <w:p>
      <w:pPr>
        <w:pStyle w:val="369"/>
        <w:spacing w:line="600" w:lineRule="exact"/>
        <w:rPr>
          <w:rFonts w:hint="eastAsia" w:ascii="方正大标宋简体" w:eastAsia="方正大标宋简体"/>
          <w:color w:val="auto"/>
          <w:sz w:val="32"/>
          <w:highlight w:val="none"/>
        </w:rPr>
      </w:pPr>
    </w:p>
    <w:p>
      <w:pPr>
        <w:pStyle w:val="420"/>
        <w:rPr>
          <w:rFonts w:hint="eastAsia"/>
          <w:color w:val="auto"/>
          <w:sz w:val="32"/>
          <w:szCs w:val="32"/>
          <w:highlight w:val="none"/>
          <w:u w:val="single"/>
        </w:rPr>
      </w:pPr>
      <w:r>
        <w:rPr>
          <w:rFonts w:hint="eastAsia"/>
          <w:color w:val="auto"/>
          <w:sz w:val="32"/>
          <w:szCs w:val="32"/>
          <w:highlight w:val="none"/>
          <w:u w:val="single"/>
        </w:rPr>
        <w:t xml:space="preserve">          </w:t>
      </w:r>
      <w:r>
        <w:rPr>
          <w:rFonts w:hint="eastAsia" w:ascii="仿宋_GB2312" w:eastAsia="仿宋_GB2312"/>
          <w:color w:val="auto"/>
          <w:sz w:val="24"/>
          <w:highlight w:val="none"/>
          <w:u w:val="single"/>
        </w:rPr>
        <w:t>（采购人名称）</w:t>
      </w:r>
      <w:r>
        <w:rPr>
          <w:rFonts w:hint="eastAsia" w:ascii="仿宋_GB2312" w:eastAsia="仿宋_GB2312"/>
          <w:color w:val="auto"/>
          <w:sz w:val="24"/>
          <w:highlight w:val="none"/>
        </w:rPr>
        <w:t>：</w:t>
      </w:r>
    </w:p>
    <w:p>
      <w:pPr>
        <w:pStyle w:val="369"/>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      （单位名称）</w:t>
      </w:r>
      <w:r>
        <w:rPr>
          <w:rFonts w:hint="eastAsia" w:ascii="仿宋_GB2312" w:eastAsia="仿宋_GB2312"/>
          <w:color w:val="auto"/>
          <w:sz w:val="24"/>
          <w:highlight w:val="none"/>
        </w:rPr>
        <w:t>法定代表人授权我单位</w:t>
      </w:r>
      <w:r>
        <w:rPr>
          <w:rFonts w:hint="eastAsia" w:ascii="仿宋_GB2312" w:eastAsia="仿宋_GB2312"/>
          <w:color w:val="auto"/>
          <w:sz w:val="24"/>
          <w:highlight w:val="none"/>
          <w:u w:val="single"/>
        </w:rPr>
        <w:t xml:space="preserve">    （职务或职称）   （姓名）</w:t>
      </w:r>
      <w:r>
        <w:rPr>
          <w:rFonts w:hint="eastAsia" w:ascii="仿宋_GB2312" w:eastAsia="仿宋_GB2312"/>
          <w:color w:val="auto"/>
          <w:sz w:val="24"/>
          <w:highlight w:val="none"/>
        </w:rPr>
        <w:t>为我单位本次授权代理人，全权处理此次</w:t>
      </w:r>
      <w:r>
        <w:rPr>
          <w:rFonts w:hint="eastAsia" w:ascii="仿宋_GB2312" w:eastAsia="仿宋_GB2312"/>
          <w:color w:val="auto"/>
          <w:sz w:val="24"/>
          <w:highlight w:val="none"/>
          <w:u w:val="single"/>
        </w:rPr>
        <w:t xml:space="preserve">           </w:t>
      </w:r>
      <w:r>
        <w:rPr>
          <w:rFonts w:hint="eastAsia" w:ascii="仿宋_GB2312" w:eastAsia="仿宋_GB2312"/>
          <w:color w:val="auto"/>
          <w:kern w:val="10"/>
          <w:sz w:val="24"/>
          <w:highlight w:val="none"/>
        </w:rPr>
        <w:t>公开招标</w:t>
      </w:r>
      <w:r>
        <w:rPr>
          <w:rFonts w:hint="eastAsia" w:ascii="仿宋_GB2312" w:eastAsia="仿宋_GB2312"/>
          <w:color w:val="auto"/>
          <w:sz w:val="24"/>
          <w:highlight w:val="none"/>
        </w:rPr>
        <w:t>活动的一切事宜。</w:t>
      </w:r>
    </w:p>
    <w:p>
      <w:pPr>
        <w:pStyle w:val="369"/>
        <w:spacing w:line="600" w:lineRule="exact"/>
        <w:ind w:firstLine="630"/>
        <w:rPr>
          <w:rFonts w:hint="eastAsia" w:ascii="仿宋_GB2312" w:eastAsia="仿宋_GB2312"/>
          <w:color w:val="auto"/>
          <w:sz w:val="24"/>
          <w:highlight w:val="none"/>
        </w:rPr>
      </w:pPr>
      <w:r>
        <w:rPr>
          <w:rFonts w:hint="eastAsia" w:ascii="仿宋_GB2312" w:eastAsia="仿宋_GB2312"/>
          <w:color w:val="auto"/>
          <w:sz w:val="24"/>
          <w:highlight w:val="none"/>
        </w:rPr>
        <w:t>特此授权</w:t>
      </w:r>
    </w:p>
    <w:p>
      <w:pPr>
        <w:pStyle w:val="193"/>
        <w:spacing w:line="600" w:lineRule="exact"/>
        <w:ind w:firstLine="630"/>
        <w:rPr>
          <w:rFonts w:hint="eastAsia" w:ascii="仿宋_GB2312" w:eastAsia="仿宋_GB2312"/>
          <w:b/>
          <w:color w:val="auto"/>
          <w:sz w:val="24"/>
          <w:highlight w:val="none"/>
        </w:rPr>
      </w:pPr>
      <w:r>
        <w:rPr>
          <w:rFonts w:hint="eastAsia" w:ascii="仿宋_GB2312" w:eastAsia="仿宋_GB2312"/>
          <w:b/>
          <w:color w:val="auto"/>
          <w:sz w:val="24"/>
          <w:highlight w:val="none"/>
        </w:rPr>
        <w:t>（授权委托人出席开标会议的提供。附法定代表人、授权委托人身份证扫描件。</w:t>
      </w:r>
    </w:p>
    <w:p>
      <w:pPr>
        <w:pStyle w:val="369"/>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（盖章）</w:t>
      </w:r>
    </w:p>
    <w:p>
      <w:pPr>
        <w:pStyle w:val="369"/>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（签字）</w:t>
      </w:r>
    </w:p>
    <w:p>
      <w:pPr>
        <w:pStyle w:val="369"/>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法人授权代表：</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（签字）</w:t>
      </w:r>
    </w:p>
    <w:p>
      <w:pPr>
        <w:pStyle w:val="243"/>
        <w:ind w:firstLine="720" w:firstLineChars="300"/>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pPr>
        <w:pStyle w:val="254"/>
        <w:outlineLvl w:val="1"/>
        <w:rPr>
          <w:color w:val="auto"/>
          <w:highlight w:val="none"/>
        </w:rPr>
      </w:pPr>
      <w:bookmarkStart w:id="141" w:name="_Toc12853"/>
      <w:bookmarkEnd w:id="141"/>
      <w:bookmarkStart w:id="142" w:name="_Toc514054494"/>
      <w:bookmarkEnd w:id="142"/>
      <w:r>
        <w:rPr>
          <w:color w:val="auto"/>
          <w:highlight w:val="none"/>
        </w:rPr>
        <w:br w:type="page"/>
      </w:r>
      <w:r>
        <w:rPr>
          <w:color w:val="auto"/>
          <w:highlight w:val="none"/>
        </w:rPr>
        <w:t>九、开标一览表</w:t>
      </w:r>
    </w:p>
    <w:p>
      <w:pPr>
        <w:pStyle w:val="176"/>
        <w:rPr>
          <w:color w:val="auto"/>
          <w:highlight w:val="none"/>
        </w:rPr>
      </w:pPr>
      <w:r>
        <w:rPr>
          <w:color w:val="auto"/>
          <w:highlight w:val="none"/>
        </w:rPr>
        <w:t xml:space="preserve"> </w:t>
      </w:r>
    </w:p>
    <w:p>
      <w:pPr>
        <w:pStyle w:val="254"/>
        <w:spacing w:line="360" w:lineRule="auto"/>
        <w:outlineLvl w:val="1"/>
        <w:rPr>
          <w:rFonts w:hint="eastAsia" w:ascii="仿宋_GB2312" w:hAnsi="Times New Roman" w:eastAsia="仿宋_GB2312"/>
          <w:b w:val="0"/>
          <w:color w:val="auto"/>
          <w:kern w:val="2"/>
          <w:sz w:val="24"/>
          <w:szCs w:val="20"/>
          <w:highlight w:val="none"/>
          <w:lang w:val="en-US" w:eastAsia="zh-CN"/>
        </w:rPr>
      </w:pPr>
      <w:r>
        <w:rPr>
          <w:rFonts w:hint="eastAsia" w:ascii="仿宋_GB2312" w:hAnsi="Times New Roman" w:eastAsia="仿宋_GB2312"/>
          <w:b w:val="0"/>
          <w:color w:val="auto"/>
          <w:kern w:val="2"/>
          <w:sz w:val="24"/>
          <w:szCs w:val="20"/>
          <w:highlight w:val="none"/>
          <w:lang w:val="en-US" w:eastAsia="zh-CN"/>
        </w:rPr>
        <w:t>项目编号：</w:t>
      </w:r>
    </w:p>
    <w:p>
      <w:pPr>
        <w:pStyle w:val="254"/>
        <w:spacing w:line="360" w:lineRule="auto"/>
        <w:outlineLvl w:val="1"/>
        <w:rPr>
          <w:rFonts w:hint="eastAsia" w:ascii="仿宋_GB2312" w:hAnsi="Times New Roman" w:eastAsia="仿宋_GB2312"/>
          <w:b w:val="0"/>
          <w:color w:val="auto"/>
          <w:kern w:val="2"/>
          <w:sz w:val="24"/>
          <w:szCs w:val="20"/>
          <w:highlight w:val="none"/>
          <w:lang w:val="en-US" w:eastAsia="zh-CN"/>
        </w:rPr>
      </w:pPr>
      <w:r>
        <w:rPr>
          <w:rFonts w:hint="eastAsia" w:ascii="仿宋_GB2312" w:hAnsi="Times New Roman" w:eastAsia="仿宋_GB2312"/>
          <w:b w:val="0"/>
          <w:color w:val="auto"/>
          <w:kern w:val="2"/>
          <w:sz w:val="24"/>
          <w:szCs w:val="20"/>
          <w:highlight w:val="none"/>
          <w:lang w:val="en-US" w:eastAsia="zh-CN"/>
        </w:rPr>
        <w:t>项目名称：</w:t>
      </w:r>
    </w:p>
    <w:p>
      <w:pPr>
        <w:pStyle w:val="176"/>
        <w:spacing w:line="360" w:lineRule="auto"/>
        <w:rPr>
          <w:rFonts w:hint="eastAsia" w:ascii="仿宋_GB2312" w:eastAsia="仿宋_GB2312"/>
          <w:color w:val="auto"/>
          <w:kern w:val="2"/>
          <w:szCs w:val="20"/>
          <w:highlight w:val="none"/>
          <w:lang w:val="en-US" w:eastAsia="zh-CN"/>
        </w:rPr>
      </w:pPr>
      <w:r>
        <w:rPr>
          <w:rFonts w:hint="eastAsia" w:ascii="仿宋_GB2312" w:eastAsia="仿宋_GB2312"/>
          <w:color w:val="auto"/>
          <w:kern w:val="2"/>
          <w:szCs w:val="20"/>
          <w:highlight w:val="none"/>
          <w:lang w:val="en-US" w:eastAsia="zh-CN"/>
        </w:rPr>
        <w:t>包号：第</w:t>
      </w:r>
      <w:r>
        <w:rPr>
          <w:rFonts w:hint="eastAsia" w:ascii="仿宋_GB2312" w:eastAsia="仿宋_GB2312"/>
          <w:color w:val="auto"/>
          <w:kern w:val="2"/>
          <w:szCs w:val="20"/>
          <w:highlight w:val="none"/>
          <w:u w:val="single"/>
          <w:lang w:val="en-US" w:eastAsia="zh-CN"/>
        </w:rPr>
        <w:t xml:space="preserve">   </w:t>
      </w:r>
      <w:r>
        <w:rPr>
          <w:rFonts w:hint="eastAsia" w:ascii="仿宋_GB2312" w:eastAsia="仿宋_GB2312"/>
          <w:color w:val="auto"/>
          <w:kern w:val="2"/>
          <w:szCs w:val="20"/>
          <w:highlight w:val="none"/>
          <w:lang w:val="en-US" w:eastAsia="zh-CN"/>
        </w:rPr>
        <w:t>包</w:t>
      </w:r>
    </w:p>
    <w:tbl>
      <w:tblPr>
        <w:tblStyle w:val="13"/>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2"/>
        <w:gridCol w:w="36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tblHeader/>
        </w:trPr>
        <w:tc>
          <w:tcPr>
            <w:tcW w:w="4312"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pPr>
              <w:pStyle w:val="176"/>
              <w:rPr>
                <w:rFonts w:hint="eastAsia" w:ascii="宋体" w:hAnsi="宋体" w:eastAsia="宋体"/>
                <w:b/>
                <w:color w:val="auto"/>
                <w:highlight w:val="none"/>
              </w:rPr>
            </w:pPr>
            <w:r>
              <w:rPr>
                <w:rFonts w:hint="eastAsia" w:ascii="宋体" w:hAnsi="宋体" w:eastAsia="宋体"/>
                <w:b/>
                <w:color w:val="auto"/>
                <w:highlight w:val="none"/>
              </w:rPr>
              <w:t>标题</w:t>
            </w:r>
          </w:p>
        </w:tc>
        <w:tc>
          <w:tcPr>
            <w:tcW w:w="3623"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pPr>
              <w:pStyle w:val="176"/>
              <w:rPr>
                <w:rFonts w:hint="eastAsia" w:ascii="宋体" w:hAnsi="宋体" w:eastAsia="宋体"/>
                <w:b/>
                <w:color w:val="auto"/>
                <w:highlight w:val="none"/>
              </w:rPr>
            </w:pPr>
            <w:r>
              <w:rPr>
                <w:rFonts w:hint="eastAsia" w:ascii="宋体" w:hAnsi="宋体" w:eastAsia="宋体"/>
                <w:b/>
                <w:color w:val="auto"/>
                <w:highlight w:val="none"/>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7" w:hRule="atLeast"/>
          <w:tblHeader/>
        </w:trPr>
        <w:tc>
          <w:tcPr>
            <w:tcW w:w="4312"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pPr>
              <w:pStyle w:val="176"/>
              <w:rPr>
                <w:rFonts w:hint="eastAsia" w:ascii="宋体" w:hAnsi="宋体" w:eastAsia="宋体"/>
                <w:b/>
                <w:color w:val="auto"/>
                <w:highlight w:val="none"/>
              </w:rPr>
            </w:pPr>
            <w:r>
              <w:rPr>
                <w:rFonts w:hint="eastAsia" w:ascii="宋体" w:hAnsi="宋体" w:eastAsia="宋体"/>
                <w:b/>
                <w:color w:val="auto"/>
                <w:highlight w:val="none"/>
              </w:rPr>
              <w:t>投标总价</w:t>
            </w:r>
          </w:p>
        </w:tc>
        <w:tc>
          <w:tcPr>
            <w:tcW w:w="3623"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pPr>
              <w:pStyle w:val="176"/>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大写：人民币       </w:t>
            </w:r>
          </w:p>
          <w:p>
            <w:pPr>
              <w:pStyle w:val="176"/>
              <w:rPr>
                <w:rFonts w:hint="eastAsia" w:ascii="宋体" w:hAnsi="宋体" w:eastAsia="宋体"/>
                <w:color w:val="auto"/>
                <w:highlight w:val="none"/>
                <w:lang w:val="en-US" w:eastAsia="zh-CN"/>
              </w:rPr>
            </w:pPr>
          </w:p>
          <w:p>
            <w:pPr>
              <w:pStyle w:val="176"/>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7" w:hRule="atLeast"/>
          <w:tblHeader/>
        </w:trPr>
        <w:tc>
          <w:tcPr>
            <w:tcW w:w="4312"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pPr>
              <w:pStyle w:val="176"/>
              <w:rPr>
                <w:rFonts w:hint="eastAsia" w:ascii="宋体" w:hAnsi="宋体" w:eastAsia="宋体"/>
                <w:color w:val="auto"/>
                <w:highlight w:val="none"/>
              </w:rPr>
            </w:pPr>
            <w:r>
              <w:rPr>
                <w:rFonts w:hint="eastAsia" w:ascii="宋体" w:hAnsi="宋体" w:eastAsia="宋体"/>
                <w:color w:val="auto"/>
                <w:highlight w:val="none"/>
              </w:rPr>
              <w:t>交货期</w:t>
            </w:r>
          </w:p>
        </w:tc>
        <w:tc>
          <w:tcPr>
            <w:tcW w:w="3623"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pPr>
              <w:pStyle w:val="176"/>
              <w:rPr>
                <w:rFonts w:hint="eastAsia" w:ascii="宋体" w:hAnsi="宋体" w:eastAsia="宋体"/>
                <w:color w:val="auto"/>
                <w:highlight w:val="none"/>
                <w:u w:val="single"/>
                <w:lang w:val="en-US" w:eastAsia="zh-CN"/>
              </w:rPr>
            </w:pPr>
            <w:r>
              <w:rPr>
                <w:rFonts w:hint="eastAsia" w:ascii="宋体" w:hAnsi="宋体" w:eastAsia="宋体"/>
                <w:color w:val="auto"/>
                <w:highlight w:val="none"/>
                <w:u w:val="single"/>
                <w:lang w:val="en-US" w:eastAsia="zh-CN"/>
              </w:rPr>
              <w:t xml:space="preserve">           </w:t>
            </w:r>
            <w:r>
              <w:rPr>
                <w:rFonts w:hint="eastAsia" w:ascii="宋体" w:hAnsi="宋体" w:eastAsia="宋体"/>
                <w:color w:val="auto"/>
                <w:highlight w:val="none"/>
                <w:lang w:val="en-US"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4" w:hRule="atLeast"/>
          <w:tblHeader/>
        </w:trPr>
        <w:tc>
          <w:tcPr>
            <w:tcW w:w="4312"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pPr>
              <w:pStyle w:val="176"/>
              <w:rPr>
                <w:rFonts w:hint="eastAsia" w:ascii="宋体" w:hAnsi="宋体" w:eastAsia="宋体"/>
                <w:b/>
                <w:bCs/>
                <w:color w:val="auto"/>
                <w:highlight w:val="none"/>
                <w:lang w:val="en-US" w:eastAsia="zh-CN"/>
              </w:rPr>
            </w:pPr>
            <w:r>
              <w:rPr>
                <w:rFonts w:hint="eastAsia" w:ascii="宋体" w:hAnsi="宋体" w:eastAsia="宋体"/>
                <w:b/>
                <w:bCs/>
                <w:color w:val="auto"/>
                <w:highlight w:val="none"/>
                <w:lang w:val="en-US" w:eastAsia="zh-CN"/>
              </w:rPr>
              <w:t>投标</w:t>
            </w:r>
            <w:r>
              <w:rPr>
                <w:rFonts w:hint="eastAsia" w:ascii="宋体" w:hAnsi="宋体" w:eastAsia="宋体"/>
                <w:b/>
                <w:bCs/>
                <w:color w:val="auto"/>
                <w:highlight w:val="none"/>
              </w:rPr>
              <w:t>货物是否</w:t>
            </w:r>
            <w:r>
              <w:rPr>
                <w:rFonts w:hint="eastAsia" w:ascii="宋体" w:hAnsi="宋体" w:eastAsia="宋体"/>
                <w:b/>
                <w:bCs/>
                <w:color w:val="auto"/>
                <w:highlight w:val="none"/>
                <w:lang w:val="en-US" w:eastAsia="zh-CN"/>
              </w:rPr>
              <w:t>全部为</w:t>
            </w:r>
            <w:r>
              <w:rPr>
                <w:rFonts w:hint="eastAsia" w:ascii="宋体" w:hAnsi="宋体" w:eastAsia="宋体"/>
                <w:b/>
                <w:bCs/>
                <w:color w:val="auto"/>
                <w:highlight w:val="none"/>
                <w:lang w:eastAsia="zh-CN"/>
              </w:rPr>
              <w:t>小微型企业</w:t>
            </w:r>
            <w:r>
              <w:rPr>
                <w:rFonts w:hint="eastAsia" w:ascii="宋体" w:hAnsi="宋体" w:eastAsia="宋体"/>
                <w:b/>
                <w:bCs/>
                <w:color w:val="auto"/>
                <w:highlight w:val="none"/>
                <w:lang w:val="en-US" w:eastAsia="zh-CN"/>
              </w:rPr>
              <w:t>或监狱企业或残疾人福利性单位制造的货物</w:t>
            </w:r>
          </w:p>
        </w:tc>
        <w:tc>
          <w:tcPr>
            <w:tcW w:w="3623"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pPr>
              <w:pStyle w:val="176"/>
              <w:rPr>
                <w:rFonts w:hint="eastAsia" w:ascii="宋体" w:hAnsi="宋体" w:eastAsia="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tblHeader/>
        </w:trPr>
        <w:tc>
          <w:tcPr>
            <w:tcW w:w="4312"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pPr>
              <w:pStyle w:val="176"/>
              <w:rPr>
                <w:rFonts w:hint="eastAsia" w:ascii="宋体" w:hAnsi="宋体" w:eastAsia="宋体"/>
                <w:color w:val="auto"/>
                <w:highlight w:val="none"/>
                <w:lang w:eastAsia="zh-CN"/>
              </w:rPr>
            </w:pPr>
            <w:r>
              <w:rPr>
                <w:rFonts w:hint="eastAsia" w:ascii="宋体" w:hAnsi="宋体" w:eastAsia="宋体"/>
                <w:color w:val="auto"/>
                <w:highlight w:val="none"/>
                <w:lang w:eastAsia="zh-CN"/>
              </w:rPr>
              <w:t>是否为环保节能产品</w:t>
            </w:r>
          </w:p>
        </w:tc>
        <w:tc>
          <w:tcPr>
            <w:tcW w:w="3623"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pPr>
              <w:pStyle w:val="176"/>
              <w:rPr>
                <w:rFonts w:hint="eastAsia" w:ascii="宋体" w:hAnsi="宋体" w:eastAsia="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4" w:hRule="atLeast"/>
          <w:tblHeader/>
        </w:trPr>
        <w:tc>
          <w:tcPr>
            <w:tcW w:w="4312"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pPr>
              <w:pStyle w:val="176"/>
              <w:rPr>
                <w:rFonts w:hint="eastAsia" w:ascii="宋体" w:hAnsi="宋体" w:eastAsia="宋体"/>
                <w:color w:val="auto"/>
                <w:highlight w:val="none"/>
              </w:rPr>
            </w:pPr>
            <w:r>
              <w:rPr>
                <w:rFonts w:hint="eastAsia" w:ascii="宋体" w:hAnsi="宋体" w:eastAsia="宋体"/>
                <w:color w:val="auto"/>
                <w:highlight w:val="none"/>
              </w:rPr>
              <w:t>备注（品牌、</w:t>
            </w:r>
            <w:r>
              <w:rPr>
                <w:rFonts w:hint="eastAsia" w:ascii="宋体" w:hAnsi="宋体" w:eastAsia="宋体"/>
                <w:color w:val="auto"/>
                <w:highlight w:val="none"/>
                <w:lang w:val="en-US" w:eastAsia="zh-CN"/>
              </w:rPr>
              <w:t>型号、</w:t>
            </w:r>
            <w:r>
              <w:rPr>
                <w:rFonts w:hint="eastAsia" w:ascii="宋体" w:hAnsi="宋体" w:eastAsia="宋体"/>
                <w:color w:val="auto"/>
                <w:highlight w:val="none"/>
              </w:rPr>
              <w:t>国别）</w:t>
            </w:r>
          </w:p>
        </w:tc>
        <w:tc>
          <w:tcPr>
            <w:tcW w:w="3623"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pPr>
              <w:pStyle w:val="176"/>
              <w:rPr>
                <w:rFonts w:hint="eastAsia" w:ascii="宋体" w:hAnsi="宋体" w:eastAsia="宋体"/>
                <w:color w:val="auto"/>
                <w:highlight w:val="none"/>
              </w:rPr>
            </w:pPr>
          </w:p>
        </w:tc>
      </w:tr>
    </w:tbl>
    <w:p>
      <w:pPr>
        <w:pStyle w:val="257"/>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pPr>
        <w:pStyle w:val="257"/>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pPr>
        <w:widowControl/>
        <w:shd w:val="clear" w:color="auto" w:fill="FFFFFF"/>
        <w:spacing w:line="360" w:lineRule="auto"/>
        <w:jc w:val="left"/>
        <w:rPr>
          <w:rFonts w:hint="eastAsia" w:ascii="宋体" w:hAnsi="宋体"/>
          <w:color w:val="auto"/>
          <w:kern w:val="0"/>
          <w:highlight w:val="none"/>
        </w:rPr>
      </w:pPr>
    </w:p>
    <w:p>
      <w:pPr>
        <w:widowControl/>
        <w:shd w:val="clear" w:color="auto" w:fill="FFFFFF"/>
        <w:spacing w:line="360" w:lineRule="auto"/>
        <w:jc w:val="left"/>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t>说明：“投标货物是否全部由小微型企业或监狱企业或残疾人福利性单位制造的货物”栏内填写“是”或“否”。如填写“是”，投标人应按招标文件要求提供《中小企业声明函》、《残疾人福利性单位声明函》、《属于监狱企业的证明文件》。如未按要求提供、填写，或相关内容表述不清前后矛盾的，不享受价格扣除。</w:t>
      </w:r>
    </w:p>
    <w:p>
      <w:pPr>
        <w:pStyle w:val="299"/>
        <w:outlineLvl w:val="1"/>
        <w:rPr>
          <w:color w:val="auto"/>
          <w:highlight w:val="none"/>
        </w:rPr>
      </w:pPr>
      <w:bookmarkStart w:id="143" w:name="_Toc514054495"/>
      <w:bookmarkEnd w:id="143"/>
      <w:bookmarkStart w:id="144" w:name="_Toc8851"/>
      <w:bookmarkEnd w:id="144"/>
      <w:r>
        <w:rPr>
          <w:color w:val="auto"/>
          <w:highlight w:val="none"/>
        </w:rPr>
        <w:br w:type="page"/>
      </w:r>
      <w:r>
        <w:rPr>
          <w:color w:val="auto"/>
          <w:highlight w:val="none"/>
        </w:rPr>
        <w:t>十、明细报价表</w:t>
      </w:r>
    </w:p>
    <w:tbl>
      <w:tblPr>
        <w:tblStyle w:val="13"/>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6"/>
        <w:gridCol w:w="1793"/>
        <w:gridCol w:w="2200"/>
        <w:gridCol w:w="1103"/>
        <w:gridCol w:w="962"/>
        <w:gridCol w:w="1030"/>
        <w:gridCol w:w="19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2" w:hRule="atLeast"/>
          <w:jc w:val="center"/>
        </w:trPr>
        <w:tc>
          <w:tcPr>
            <w:tcW w:w="656" w:type="dxa"/>
            <w:vAlign w:val="center"/>
          </w:tcPr>
          <w:p>
            <w:pPr>
              <w:pStyle w:val="264"/>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1793" w:type="dxa"/>
            <w:vAlign w:val="center"/>
          </w:tcPr>
          <w:p>
            <w:pPr>
              <w:pStyle w:val="264"/>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货物名称</w:t>
            </w:r>
          </w:p>
        </w:tc>
        <w:tc>
          <w:tcPr>
            <w:tcW w:w="2200" w:type="dxa"/>
            <w:vAlign w:val="center"/>
          </w:tcPr>
          <w:p>
            <w:pPr>
              <w:pStyle w:val="264"/>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品牌.型号.产地</w:t>
            </w:r>
          </w:p>
        </w:tc>
        <w:tc>
          <w:tcPr>
            <w:tcW w:w="1103" w:type="dxa"/>
            <w:vAlign w:val="center"/>
          </w:tcPr>
          <w:p>
            <w:pPr>
              <w:pStyle w:val="264"/>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单价</w:t>
            </w:r>
          </w:p>
          <w:p>
            <w:pPr>
              <w:pStyle w:val="264"/>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（元）</w:t>
            </w:r>
          </w:p>
        </w:tc>
        <w:tc>
          <w:tcPr>
            <w:tcW w:w="962" w:type="dxa"/>
            <w:vAlign w:val="center"/>
          </w:tcPr>
          <w:p>
            <w:pPr>
              <w:pStyle w:val="264"/>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数量</w:t>
            </w:r>
          </w:p>
        </w:tc>
        <w:tc>
          <w:tcPr>
            <w:tcW w:w="1030" w:type="dxa"/>
            <w:vAlign w:val="center"/>
          </w:tcPr>
          <w:p>
            <w:pPr>
              <w:pStyle w:val="264"/>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合价</w:t>
            </w:r>
          </w:p>
          <w:p>
            <w:pPr>
              <w:pStyle w:val="264"/>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（元）</w:t>
            </w:r>
          </w:p>
        </w:tc>
        <w:tc>
          <w:tcPr>
            <w:tcW w:w="1980" w:type="dxa"/>
            <w:vAlign w:val="center"/>
          </w:tcPr>
          <w:p>
            <w:pPr>
              <w:pStyle w:val="264"/>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备注（符合小微企业等规定的请注明）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jc w:val="center"/>
        </w:trPr>
        <w:tc>
          <w:tcPr>
            <w:tcW w:w="656" w:type="dxa"/>
            <w:vAlign w:val="top"/>
          </w:tcPr>
          <w:p>
            <w:pPr>
              <w:pStyle w:val="264"/>
              <w:widowControl/>
              <w:spacing w:line="560" w:lineRule="exact"/>
              <w:rPr>
                <w:rFonts w:hint="eastAsia" w:ascii="仿宋_GB2312" w:eastAsia="仿宋_GB2312"/>
                <w:color w:val="auto"/>
                <w:sz w:val="28"/>
                <w:szCs w:val="28"/>
                <w:highlight w:val="none"/>
              </w:rPr>
            </w:pPr>
          </w:p>
        </w:tc>
        <w:tc>
          <w:tcPr>
            <w:tcW w:w="1793" w:type="dxa"/>
            <w:vAlign w:val="top"/>
          </w:tcPr>
          <w:p>
            <w:pPr>
              <w:pStyle w:val="264"/>
              <w:widowControl/>
              <w:spacing w:line="560" w:lineRule="exact"/>
              <w:jc w:val="center"/>
              <w:rPr>
                <w:rFonts w:hint="eastAsia" w:ascii="仿宋_GB2312" w:eastAsia="仿宋_GB2312"/>
                <w:color w:val="auto"/>
                <w:sz w:val="24"/>
                <w:highlight w:val="none"/>
              </w:rPr>
            </w:pPr>
          </w:p>
        </w:tc>
        <w:tc>
          <w:tcPr>
            <w:tcW w:w="2200" w:type="dxa"/>
            <w:vAlign w:val="top"/>
          </w:tcPr>
          <w:p>
            <w:pPr>
              <w:pStyle w:val="264"/>
              <w:widowControl/>
              <w:spacing w:line="560" w:lineRule="exact"/>
              <w:jc w:val="center"/>
              <w:rPr>
                <w:rFonts w:hint="eastAsia" w:ascii="仿宋_GB2312" w:eastAsia="仿宋_GB2312"/>
                <w:color w:val="auto"/>
                <w:sz w:val="24"/>
                <w:highlight w:val="none"/>
              </w:rPr>
            </w:pPr>
          </w:p>
        </w:tc>
        <w:tc>
          <w:tcPr>
            <w:tcW w:w="1103" w:type="dxa"/>
            <w:vAlign w:val="center"/>
          </w:tcPr>
          <w:p>
            <w:pPr>
              <w:pStyle w:val="264"/>
              <w:spacing w:line="560" w:lineRule="exact"/>
              <w:jc w:val="center"/>
              <w:rPr>
                <w:rFonts w:hint="eastAsia" w:ascii="仿宋_GB2312" w:eastAsia="仿宋_GB2312"/>
                <w:color w:val="auto"/>
                <w:sz w:val="24"/>
                <w:highlight w:val="none"/>
              </w:rPr>
            </w:pPr>
          </w:p>
        </w:tc>
        <w:tc>
          <w:tcPr>
            <w:tcW w:w="962" w:type="dxa"/>
            <w:vAlign w:val="top"/>
          </w:tcPr>
          <w:p>
            <w:pPr>
              <w:pStyle w:val="264"/>
              <w:widowControl/>
              <w:spacing w:line="560" w:lineRule="exact"/>
              <w:jc w:val="center"/>
              <w:rPr>
                <w:rFonts w:hint="eastAsia" w:ascii="仿宋_GB2312" w:eastAsia="仿宋_GB2312"/>
                <w:color w:val="auto"/>
                <w:sz w:val="24"/>
                <w:highlight w:val="none"/>
              </w:rPr>
            </w:pPr>
          </w:p>
        </w:tc>
        <w:tc>
          <w:tcPr>
            <w:tcW w:w="1030" w:type="dxa"/>
            <w:vAlign w:val="center"/>
          </w:tcPr>
          <w:p>
            <w:pPr>
              <w:pStyle w:val="264"/>
              <w:spacing w:line="560" w:lineRule="exact"/>
              <w:jc w:val="center"/>
              <w:rPr>
                <w:rFonts w:hint="eastAsia" w:ascii="仿宋_GB2312" w:eastAsia="仿宋_GB2312"/>
                <w:color w:val="auto"/>
                <w:sz w:val="24"/>
                <w:highlight w:val="none"/>
              </w:rPr>
            </w:pPr>
          </w:p>
        </w:tc>
        <w:tc>
          <w:tcPr>
            <w:tcW w:w="1980" w:type="dxa"/>
            <w:vAlign w:val="center"/>
          </w:tcPr>
          <w:p>
            <w:pPr>
              <w:pStyle w:val="264"/>
              <w:spacing w:line="560" w:lineRule="exact"/>
              <w:jc w:val="center"/>
              <w:rPr>
                <w:rFonts w:hint="eastAsia"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vAlign w:val="top"/>
          </w:tcPr>
          <w:p>
            <w:pPr>
              <w:pStyle w:val="264"/>
              <w:widowControl/>
              <w:spacing w:line="560" w:lineRule="exact"/>
              <w:rPr>
                <w:rFonts w:hint="eastAsia" w:ascii="仿宋_GB2312" w:eastAsia="仿宋_GB2312"/>
                <w:color w:val="auto"/>
                <w:sz w:val="28"/>
                <w:szCs w:val="28"/>
                <w:highlight w:val="none"/>
              </w:rPr>
            </w:pPr>
          </w:p>
        </w:tc>
        <w:tc>
          <w:tcPr>
            <w:tcW w:w="1793" w:type="dxa"/>
            <w:vAlign w:val="top"/>
          </w:tcPr>
          <w:p>
            <w:pPr>
              <w:pStyle w:val="264"/>
              <w:widowControl/>
              <w:spacing w:line="560" w:lineRule="exact"/>
              <w:jc w:val="center"/>
              <w:rPr>
                <w:rFonts w:hint="eastAsia" w:ascii="仿宋_GB2312" w:eastAsia="仿宋_GB2312"/>
                <w:color w:val="auto"/>
                <w:sz w:val="24"/>
                <w:highlight w:val="none"/>
              </w:rPr>
            </w:pPr>
          </w:p>
        </w:tc>
        <w:tc>
          <w:tcPr>
            <w:tcW w:w="2200" w:type="dxa"/>
            <w:vAlign w:val="top"/>
          </w:tcPr>
          <w:p>
            <w:pPr>
              <w:pStyle w:val="264"/>
              <w:widowControl/>
              <w:spacing w:line="560" w:lineRule="exact"/>
              <w:jc w:val="center"/>
              <w:rPr>
                <w:rFonts w:hint="eastAsia" w:ascii="仿宋_GB2312" w:eastAsia="仿宋_GB2312"/>
                <w:color w:val="auto"/>
                <w:sz w:val="24"/>
                <w:highlight w:val="none"/>
              </w:rPr>
            </w:pPr>
          </w:p>
        </w:tc>
        <w:tc>
          <w:tcPr>
            <w:tcW w:w="1103" w:type="dxa"/>
            <w:vAlign w:val="center"/>
          </w:tcPr>
          <w:p>
            <w:pPr>
              <w:pStyle w:val="264"/>
              <w:spacing w:line="560" w:lineRule="exact"/>
              <w:jc w:val="center"/>
              <w:rPr>
                <w:rFonts w:hint="eastAsia" w:ascii="仿宋_GB2312" w:eastAsia="仿宋_GB2312"/>
                <w:color w:val="auto"/>
                <w:sz w:val="24"/>
                <w:highlight w:val="none"/>
              </w:rPr>
            </w:pPr>
          </w:p>
        </w:tc>
        <w:tc>
          <w:tcPr>
            <w:tcW w:w="962" w:type="dxa"/>
            <w:vAlign w:val="top"/>
          </w:tcPr>
          <w:p>
            <w:pPr>
              <w:pStyle w:val="264"/>
              <w:widowControl/>
              <w:spacing w:line="560" w:lineRule="exact"/>
              <w:jc w:val="center"/>
              <w:rPr>
                <w:rFonts w:hint="eastAsia" w:ascii="仿宋_GB2312" w:eastAsia="仿宋_GB2312"/>
                <w:color w:val="auto"/>
                <w:sz w:val="24"/>
                <w:highlight w:val="none"/>
              </w:rPr>
            </w:pPr>
          </w:p>
        </w:tc>
        <w:tc>
          <w:tcPr>
            <w:tcW w:w="1030" w:type="dxa"/>
            <w:vAlign w:val="center"/>
          </w:tcPr>
          <w:p>
            <w:pPr>
              <w:pStyle w:val="264"/>
              <w:spacing w:line="560" w:lineRule="exact"/>
              <w:jc w:val="center"/>
              <w:rPr>
                <w:rFonts w:hint="eastAsia" w:ascii="仿宋_GB2312" w:eastAsia="仿宋_GB2312"/>
                <w:color w:val="auto"/>
                <w:sz w:val="24"/>
                <w:highlight w:val="none"/>
              </w:rPr>
            </w:pPr>
          </w:p>
        </w:tc>
        <w:tc>
          <w:tcPr>
            <w:tcW w:w="1980" w:type="dxa"/>
            <w:vAlign w:val="center"/>
          </w:tcPr>
          <w:p>
            <w:pPr>
              <w:pStyle w:val="264"/>
              <w:spacing w:line="560" w:lineRule="exact"/>
              <w:jc w:val="center"/>
              <w:rPr>
                <w:rFonts w:hint="eastAsia"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vAlign w:val="top"/>
          </w:tcPr>
          <w:p>
            <w:pPr>
              <w:pStyle w:val="264"/>
              <w:widowControl/>
              <w:spacing w:line="560" w:lineRule="exact"/>
              <w:rPr>
                <w:rFonts w:hint="eastAsia" w:ascii="仿宋_GB2312" w:eastAsia="仿宋_GB2312"/>
                <w:color w:val="auto"/>
                <w:sz w:val="28"/>
                <w:szCs w:val="28"/>
                <w:highlight w:val="none"/>
              </w:rPr>
            </w:pPr>
          </w:p>
        </w:tc>
        <w:tc>
          <w:tcPr>
            <w:tcW w:w="1793" w:type="dxa"/>
            <w:vAlign w:val="top"/>
          </w:tcPr>
          <w:p>
            <w:pPr>
              <w:pStyle w:val="264"/>
              <w:widowControl/>
              <w:spacing w:line="560" w:lineRule="exact"/>
              <w:jc w:val="center"/>
              <w:rPr>
                <w:rFonts w:hint="eastAsia" w:ascii="仿宋_GB2312" w:eastAsia="仿宋_GB2312"/>
                <w:color w:val="auto"/>
                <w:sz w:val="24"/>
                <w:highlight w:val="none"/>
              </w:rPr>
            </w:pPr>
          </w:p>
        </w:tc>
        <w:tc>
          <w:tcPr>
            <w:tcW w:w="2200" w:type="dxa"/>
            <w:vAlign w:val="top"/>
          </w:tcPr>
          <w:p>
            <w:pPr>
              <w:pStyle w:val="264"/>
              <w:widowControl/>
              <w:spacing w:line="560" w:lineRule="exact"/>
              <w:jc w:val="center"/>
              <w:rPr>
                <w:rFonts w:hint="eastAsia" w:ascii="仿宋_GB2312" w:eastAsia="仿宋_GB2312"/>
                <w:color w:val="auto"/>
                <w:sz w:val="24"/>
                <w:highlight w:val="none"/>
              </w:rPr>
            </w:pPr>
          </w:p>
        </w:tc>
        <w:tc>
          <w:tcPr>
            <w:tcW w:w="1103" w:type="dxa"/>
            <w:vAlign w:val="center"/>
          </w:tcPr>
          <w:p>
            <w:pPr>
              <w:pStyle w:val="264"/>
              <w:spacing w:line="560" w:lineRule="exact"/>
              <w:jc w:val="center"/>
              <w:rPr>
                <w:rFonts w:hint="eastAsia" w:ascii="仿宋_GB2312" w:eastAsia="仿宋_GB2312"/>
                <w:color w:val="auto"/>
                <w:sz w:val="24"/>
                <w:highlight w:val="none"/>
              </w:rPr>
            </w:pPr>
          </w:p>
        </w:tc>
        <w:tc>
          <w:tcPr>
            <w:tcW w:w="962" w:type="dxa"/>
            <w:vAlign w:val="top"/>
          </w:tcPr>
          <w:p>
            <w:pPr>
              <w:pStyle w:val="264"/>
              <w:widowControl/>
              <w:spacing w:line="560" w:lineRule="exact"/>
              <w:jc w:val="center"/>
              <w:rPr>
                <w:rFonts w:hint="eastAsia" w:ascii="仿宋_GB2312" w:eastAsia="仿宋_GB2312"/>
                <w:color w:val="auto"/>
                <w:sz w:val="24"/>
                <w:highlight w:val="none"/>
              </w:rPr>
            </w:pPr>
          </w:p>
        </w:tc>
        <w:tc>
          <w:tcPr>
            <w:tcW w:w="1030" w:type="dxa"/>
            <w:vAlign w:val="center"/>
          </w:tcPr>
          <w:p>
            <w:pPr>
              <w:pStyle w:val="264"/>
              <w:spacing w:line="560" w:lineRule="exact"/>
              <w:jc w:val="center"/>
              <w:rPr>
                <w:rFonts w:hint="eastAsia" w:ascii="仿宋_GB2312" w:eastAsia="仿宋_GB2312"/>
                <w:color w:val="auto"/>
                <w:sz w:val="24"/>
                <w:highlight w:val="none"/>
              </w:rPr>
            </w:pPr>
          </w:p>
        </w:tc>
        <w:tc>
          <w:tcPr>
            <w:tcW w:w="1980" w:type="dxa"/>
            <w:vAlign w:val="center"/>
          </w:tcPr>
          <w:p>
            <w:pPr>
              <w:pStyle w:val="264"/>
              <w:spacing w:line="560" w:lineRule="exact"/>
              <w:jc w:val="center"/>
              <w:rPr>
                <w:rFonts w:hint="eastAsia"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vAlign w:val="top"/>
          </w:tcPr>
          <w:p>
            <w:pPr>
              <w:pStyle w:val="264"/>
              <w:widowControl/>
              <w:spacing w:line="560" w:lineRule="exact"/>
              <w:rPr>
                <w:rFonts w:hint="eastAsia" w:ascii="仿宋_GB2312" w:eastAsia="仿宋_GB2312"/>
                <w:color w:val="auto"/>
                <w:sz w:val="28"/>
                <w:szCs w:val="28"/>
                <w:highlight w:val="none"/>
              </w:rPr>
            </w:pPr>
          </w:p>
        </w:tc>
        <w:tc>
          <w:tcPr>
            <w:tcW w:w="1793" w:type="dxa"/>
            <w:vAlign w:val="top"/>
          </w:tcPr>
          <w:p>
            <w:pPr>
              <w:pStyle w:val="264"/>
              <w:widowControl/>
              <w:spacing w:line="560" w:lineRule="exact"/>
              <w:jc w:val="center"/>
              <w:rPr>
                <w:rFonts w:hint="eastAsia" w:ascii="仿宋_GB2312" w:eastAsia="仿宋_GB2312"/>
                <w:color w:val="auto"/>
                <w:sz w:val="24"/>
                <w:highlight w:val="none"/>
              </w:rPr>
            </w:pPr>
          </w:p>
        </w:tc>
        <w:tc>
          <w:tcPr>
            <w:tcW w:w="2200" w:type="dxa"/>
            <w:vAlign w:val="top"/>
          </w:tcPr>
          <w:p>
            <w:pPr>
              <w:pStyle w:val="264"/>
              <w:widowControl/>
              <w:spacing w:line="560" w:lineRule="exact"/>
              <w:jc w:val="center"/>
              <w:rPr>
                <w:rFonts w:hint="eastAsia" w:ascii="仿宋_GB2312" w:eastAsia="仿宋_GB2312"/>
                <w:color w:val="auto"/>
                <w:sz w:val="24"/>
                <w:highlight w:val="none"/>
              </w:rPr>
            </w:pPr>
          </w:p>
        </w:tc>
        <w:tc>
          <w:tcPr>
            <w:tcW w:w="1103" w:type="dxa"/>
            <w:vAlign w:val="center"/>
          </w:tcPr>
          <w:p>
            <w:pPr>
              <w:pStyle w:val="264"/>
              <w:spacing w:line="560" w:lineRule="exact"/>
              <w:jc w:val="center"/>
              <w:rPr>
                <w:rFonts w:hint="eastAsia" w:ascii="仿宋_GB2312" w:eastAsia="仿宋_GB2312"/>
                <w:color w:val="auto"/>
                <w:sz w:val="24"/>
                <w:highlight w:val="none"/>
              </w:rPr>
            </w:pPr>
          </w:p>
        </w:tc>
        <w:tc>
          <w:tcPr>
            <w:tcW w:w="962" w:type="dxa"/>
            <w:vAlign w:val="top"/>
          </w:tcPr>
          <w:p>
            <w:pPr>
              <w:pStyle w:val="264"/>
              <w:widowControl/>
              <w:spacing w:line="560" w:lineRule="exact"/>
              <w:jc w:val="center"/>
              <w:rPr>
                <w:rFonts w:hint="eastAsia" w:ascii="仿宋_GB2312" w:eastAsia="仿宋_GB2312"/>
                <w:color w:val="auto"/>
                <w:sz w:val="24"/>
                <w:highlight w:val="none"/>
              </w:rPr>
            </w:pPr>
          </w:p>
        </w:tc>
        <w:tc>
          <w:tcPr>
            <w:tcW w:w="1030" w:type="dxa"/>
            <w:vAlign w:val="center"/>
          </w:tcPr>
          <w:p>
            <w:pPr>
              <w:pStyle w:val="264"/>
              <w:spacing w:line="560" w:lineRule="exact"/>
              <w:jc w:val="center"/>
              <w:rPr>
                <w:rFonts w:hint="eastAsia" w:ascii="仿宋_GB2312" w:eastAsia="仿宋_GB2312"/>
                <w:color w:val="auto"/>
                <w:sz w:val="24"/>
                <w:highlight w:val="none"/>
              </w:rPr>
            </w:pPr>
          </w:p>
        </w:tc>
        <w:tc>
          <w:tcPr>
            <w:tcW w:w="1980" w:type="dxa"/>
            <w:vAlign w:val="center"/>
          </w:tcPr>
          <w:p>
            <w:pPr>
              <w:pStyle w:val="264"/>
              <w:spacing w:line="560" w:lineRule="exact"/>
              <w:jc w:val="center"/>
              <w:rPr>
                <w:rFonts w:hint="eastAsia"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656" w:type="dxa"/>
            <w:vAlign w:val="top"/>
          </w:tcPr>
          <w:p>
            <w:pPr>
              <w:pStyle w:val="264"/>
              <w:widowControl/>
              <w:spacing w:line="560" w:lineRule="exact"/>
              <w:rPr>
                <w:rFonts w:hint="eastAsia" w:ascii="仿宋_GB2312" w:eastAsia="仿宋_GB2312"/>
                <w:color w:val="auto"/>
                <w:sz w:val="28"/>
                <w:szCs w:val="28"/>
                <w:highlight w:val="none"/>
              </w:rPr>
            </w:pPr>
          </w:p>
        </w:tc>
        <w:tc>
          <w:tcPr>
            <w:tcW w:w="1793" w:type="dxa"/>
            <w:vAlign w:val="top"/>
          </w:tcPr>
          <w:p>
            <w:pPr>
              <w:pStyle w:val="264"/>
              <w:widowControl/>
              <w:spacing w:line="560" w:lineRule="exact"/>
              <w:jc w:val="center"/>
              <w:rPr>
                <w:rFonts w:hint="eastAsia" w:ascii="仿宋_GB2312" w:eastAsia="仿宋_GB2312"/>
                <w:color w:val="auto"/>
                <w:sz w:val="24"/>
                <w:highlight w:val="none"/>
              </w:rPr>
            </w:pPr>
            <w:r>
              <w:rPr>
                <w:rFonts w:hint="eastAsia" w:ascii="仿宋_GB2312" w:eastAsia="仿宋_GB2312"/>
                <w:color w:val="auto"/>
                <w:sz w:val="24"/>
                <w:highlight w:val="none"/>
              </w:rPr>
              <w:t>安装调试费</w:t>
            </w:r>
          </w:p>
        </w:tc>
        <w:tc>
          <w:tcPr>
            <w:tcW w:w="2200" w:type="dxa"/>
            <w:vAlign w:val="top"/>
          </w:tcPr>
          <w:p>
            <w:pPr>
              <w:pStyle w:val="264"/>
              <w:widowControl/>
              <w:spacing w:line="560" w:lineRule="exact"/>
              <w:jc w:val="center"/>
              <w:rPr>
                <w:rFonts w:hint="eastAsia" w:ascii="仿宋_GB2312" w:eastAsia="仿宋_GB2312"/>
                <w:color w:val="auto"/>
                <w:sz w:val="24"/>
                <w:highlight w:val="none"/>
              </w:rPr>
            </w:pPr>
          </w:p>
        </w:tc>
        <w:tc>
          <w:tcPr>
            <w:tcW w:w="1103" w:type="dxa"/>
            <w:vAlign w:val="center"/>
          </w:tcPr>
          <w:p>
            <w:pPr>
              <w:pStyle w:val="264"/>
              <w:spacing w:line="560" w:lineRule="exact"/>
              <w:jc w:val="center"/>
              <w:rPr>
                <w:rFonts w:hint="eastAsia" w:ascii="仿宋_GB2312" w:eastAsia="仿宋_GB2312"/>
                <w:color w:val="auto"/>
                <w:sz w:val="24"/>
                <w:highlight w:val="none"/>
              </w:rPr>
            </w:pPr>
          </w:p>
        </w:tc>
        <w:tc>
          <w:tcPr>
            <w:tcW w:w="962" w:type="dxa"/>
            <w:vAlign w:val="top"/>
          </w:tcPr>
          <w:p>
            <w:pPr>
              <w:pStyle w:val="264"/>
              <w:widowControl/>
              <w:spacing w:line="560" w:lineRule="exact"/>
              <w:jc w:val="center"/>
              <w:rPr>
                <w:rFonts w:hint="eastAsia" w:ascii="仿宋_GB2312" w:eastAsia="仿宋_GB2312"/>
                <w:color w:val="auto"/>
                <w:sz w:val="24"/>
                <w:highlight w:val="none"/>
              </w:rPr>
            </w:pPr>
          </w:p>
        </w:tc>
        <w:tc>
          <w:tcPr>
            <w:tcW w:w="1030" w:type="dxa"/>
            <w:vAlign w:val="center"/>
          </w:tcPr>
          <w:p>
            <w:pPr>
              <w:pStyle w:val="264"/>
              <w:spacing w:line="560" w:lineRule="exact"/>
              <w:jc w:val="center"/>
              <w:rPr>
                <w:rFonts w:hint="eastAsia" w:ascii="仿宋_GB2312" w:eastAsia="仿宋_GB2312"/>
                <w:color w:val="auto"/>
                <w:sz w:val="24"/>
                <w:highlight w:val="none"/>
              </w:rPr>
            </w:pPr>
          </w:p>
        </w:tc>
        <w:tc>
          <w:tcPr>
            <w:tcW w:w="1980" w:type="dxa"/>
            <w:vAlign w:val="center"/>
          </w:tcPr>
          <w:p>
            <w:pPr>
              <w:pStyle w:val="264"/>
              <w:spacing w:line="560" w:lineRule="exact"/>
              <w:jc w:val="center"/>
              <w:rPr>
                <w:rFonts w:hint="eastAsia"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656" w:type="dxa"/>
            <w:vAlign w:val="center"/>
          </w:tcPr>
          <w:p>
            <w:pPr>
              <w:pStyle w:val="264"/>
              <w:spacing w:line="560" w:lineRule="exact"/>
              <w:jc w:val="center"/>
              <w:rPr>
                <w:rFonts w:hint="eastAsia" w:ascii="仿宋_GB2312" w:eastAsia="仿宋_GB2312"/>
                <w:i/>
                <w:iCs/>
                <w:color w:val="auto"/>
                <w:sz w:val="28"/>
                <w:szCs w:val="28"/>
                <w:highlight w:val="none"/>
              </w:rPr>
            </w:pPr>
            <w:r>
              <w:rPr>
                <w:rFonts w:hint="eastAsia" w:ascii="仿宋_GB2312" w:eastAsia="仿宋_GB2312"/>
                <w:i/>
                <w:iCs/>
                <w:color w:val="auto"/>
                <w:sz w:val="28"/>
                <w:szCs w:val="28"/>
                <w:highlight w:val="none"/>
              </w:rPr>
              <w:t>…</w:t>
            </w:r>
          </w:p>
        </w:tc>
        <w:tc>
          <w:tcPr>
            <w:tcW w:w="1793" w:type="dxa"/>
            <w:vAlign w:val="center"/>
          </w:tcPr>
          <w:p>
            <w:pPr>
              <w:pStyle w:val="264"/>
              <w:spacing w:line="560" w:lineRule="exact"/>
              <w:jc w:val="center"/>
              <w:rPr>
                <w:rFonts w:hint="eastAsia" w:ascii="仿宋_GB2312" w:eastAsia="仿宋_GB2312"/>
                <w:iCs/>
                <w:color w:val="auto"/>
                <w:sz w:val="24"/>
                <w:highlight w:val="none"/>
              </w:rPr>
            </w:pPr>
            <w:r>
              <w:rPr>
                <w:rFonts w:hint="eastAsia" w:ascii="仿宋_GB2312" w:eastAsia="仿宋_GB2312"/>
                <w:iCs/>
                <w:color w:val="auto"/>
                <w:sz w:val="24"/>
                <w:highlight w:val="none"/>
              </w:rPr>
              <w:t>税金</w:t>
            </w:r>
          </w:p>
        </w:tc>
        <w:tc>
          <w:tcPr>
            <w:tcW w:w="2200" w:type="dxa"/>
            <w:vAlign w:val="center"/>
          </w:tcPr>
          <w:p>
            <w:pPr>
              <w:pStyle w:val="264"/>
              <w:spacing w:line="560" w:lineRule="exact"/>
              <w:jc w:val="center"/>
              <w:rPr>
                <w:rFonts w:hint="eastAsia" w:ascii="仿宋_GB2312" w:eastAsia="仿宋_GB2312"/>
                <w:i/>
                <w:iCs/>
                <w:color w:val="auto"/>
                <w:sz w:val="24"/>
                <w:highlight w:val="none"/>
              </w:rPr>
            </w:pPr>
          </w:p>
        </w:tc>
        <w:tc>
          <w:tcPr>
            <w:tcW w:w="1103" w:type="dxa"/>
            <w:vAlign w:val="center"/>
          </w:tcPr>
          <w:p>
            <w:pPr>
              <w:pStyle w:val="264"/>
              <w:spacing w:line="560" w:lineRule="exact"/>
              <w:jc w:val="center"/>
              <w:rPr>
                <w:rFonts w:hint="eastAsia" w:ascii="仿宋_GB2312" w:eastAsia="仿宋_GB2312"/>
                <w:color w:val="auto"/>
                <w:sz w:val="24"/>
                <w:highlight w:val="none"/>
              </w:rPr>
            </w:pPr>
          </w:p>
        </w:tc>
        <w:tc>
          <w:tcPr>
            <w:tcW w:w="962" w:type="dxa"/>
            <w:vAlign w:val="center"/>
          </w:tcPr>
          <w:p>
            <w:pPr>
              <w:pStyle w:val="264"/>
              <w:spacing w:line="560" w:lineRule="exact"/>
              <w:jc w:val="center"/>
              <w:rPr>
                <w:rFonts w:hint="eastAsia" w:ascii="仿宋_GB2312" w:eastAsia="仿宋_GB2312"/>
                <w:color w:val="auto"/>
                <w:sz w:val="24"/>
                <w:highlight w:val="none"/>
              </w:rPr>
            </w:pPr>
          </w:p>
        </w:tc>
        <w:tc>
          <w:tcPr>
            <w:tcW w:w="1030" w:type="dxa"/>
            <w:vAlign w:val="center"/>
          </w:tcPr>
          <w:p>
            <w:pPr>
              <w:pStyle w:val="264"/>
              <w:spacing w:line="560" w:lineRule="exact"/>
              <w:jc w:val="center"/>
              <w:rPr>
                <w:rFonts w:hint="eastAsia" w:ascii="仿宋_GB2312" w:eastAsia="仿宋_GB2312"/>
                <w:color w:val="auto"/>
                <w:sz w:val="24"/>
                <w:highlight w:val="none"/>
              </w:rPr>
            </w:pPr>
          </w:p>
        </w:tc>
        <w:tc>
          <w:tcPr>
            <w:tcW w:w="1980" w:type="dxa"/>
            <w:vAlign w:val="center"/>
          </w:tcPr>
          <w:p>
            <w:pPr>
              <w:pStyle w:val="264"/>
              <w:spacing w:line="560" w:lineRule="exact"/>
              <w:jc w:val="center"/>
              <w:rPr>
                <w:rFonts w:hint="eastAsia"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656" w:type="dxa"/>
            <w:vAlign w:val="center"/>
          </w:tcPr>
          <w:p>
            <w:pPr>
              <w:pStyle w:val="264"/>
              <w:spacing w:line="560" w:lineRule="exact"/>
              <w:jc w:val="center"/>
              <w:rPr>
                <w:rFonts w:hint="eastAsia" w:ascii="仿宋_GB2312" w:eastAsia="仿宋_GB2312"/>
                <w:i/>
                <w:iCs/>
                <w:color w:val="auto"/>
                <w:sz w:val="28"/>
                <w:szCs w:val="28"/>
                <w:highlight w:val="none"/>
              </w:rPr>
            </w:pPr>
          </w:p>
        </w:tc>
        <w:tc>
          <w:tcPr>
            <w:tcW w:w="6058" w:type="dxa"/>
            <w:gridSpan w:val="4"/>
            <w:vAlign w:val="center"/>
          </w:tcPr>
          <w:p>
            <w:pPr>
              <w:pStyle w:val="264"/>
              <w:spacing w:line="560" w:lineRule="exact"/>
              <w:jc w:val="center"/>
              <w:rPr>
                <w:rFonts w:hint="eastAsia" w:ascii="仿宋_GB2312" w:eastAsia="仿宋_GB2312"/>
                <w:iCs/>
                <w:color w:val="auto"/>
                <w:sz w:val="24"/>
                <w:highlight w:val="none"/>
              </w:rPr>
            </w:pPr>
            <w:r>
              <w:rPr>
                <w:rFonts w:hint="eastAsia" w:ascii="仿宋_GB2312" w:eastAsia="仿宋_GB2312"/>
                <w:iCs/>
                <w:color w:val="auto"/>
                <w:sz w:val="24"/>
                <w:highlight w:val="none"/>
              </w:rPr>
              <w:t>合计</w:t>
            </w:r>
          </w:p>
        </w:tc>
        <w:tc>
          <w:tcPr>
            <w:tcW w:w="1030" w:type="dxa"/>
            <w:vAlign w:val="center"/>
          </w:tcPr>
          <w:p>
            <w:pPr>
              <w:pStyle w:val="264"/>
              <w:spacing w:line="560" w:lineRule="exact"/>
              <w:jc w:val="center"/>
              <w:rPr>
                <w:rFonts w:hint="eastAsia" w:ascii="仿宋_GB2312" w:eastAsia="仿宋_GB2312"/>
                <w:color w:val="auto"/>
                <w:sz w:val="24"/>
                <w:highlight w:val="none"/>
              </w:rPr>
            </w:pPr>
          </w:p>
        </w:tc>
        <w:tc>
          <w:tcPr>
            <w:tcW w:w="1980" w:type="dxa"/>
            <w:vAlign w:val="center"/>
          </w:tcPr>
          <w:p>
            <w:pPr>
              <w:pStyle w:val="264"/>
              <w:spacing w:line="560" w:lineRule="exact"/>
              <w:jc w:val="center"/>
              <w:rPr>
                <w:rFonts w:hint="eastAsia"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0" w:hRule="atLeast"/>
          <w:jc w:val="center"/>
        </w:trPr>
        <w:tc>
          <w:tcPr>
            <w:tcW w:w="2449" w:type="dxa"/>
            <w:gridSpan w:val="2"/>
            <w:vAlign w:val="center"/>
          </w:tcPr>
          <w:p>
            <w:pPr>
              <w:pStyle w:val="264"/>
              <w:spacing w:line="560" w:lineRule="exact"/>
              <w:jc w:val="center"/>
              <w:rPr>
                <w:rFonts w:hint="eastAsia" w:ascii="仿宋_GB2312" w:eastAsia="仿宋_GB2312"/>
                <w:b/>
                <w:bCs/>
                <w:color w:val="auto"/>
                <w:sz w:val="28"/>
                <w:szCs w:val="28"/>
                <w:highlight w:val="none"/>
              </w:rPr>
            </w:pPr>
            <w:r>
              <w:rPr>
                <w:rFonts w:hint="eastAsia" w:ascii="仿宋_GB2312" w:eastAsia="仿宋_GB2312"/>
                <w:b/>
                <w:bCs/>
                <w:color w:val="auto"/>
                <w:sz w:val="28"/>
                <w:szCs w:val="28"/>
                <w:highlight w:val="none"/>
              </w:rPr>
              <w:t>投标</w:t>
            </w:r>
          </w:p>
          <w:p>
            <w:pPr>
              <w:pStyle w:val="264"/>
              <w:spacing w:line="560" w:lineRule="exact"/>
              <w:jc w:val="center"/>
              <w:rPr>
                <w:rFonts w:hint="eastAsia" w:ascii="仿宋_GB2312" w:eastAsia="仿宋_GB2312"/>
                <w:b/>
                <w:bCs/>
                <w:color w:val="auto"/>
                <w:sz w:val="28"/>
                <w:szCs w:val="28"/>
                <w:highlight w:val="none"/>
              </w:rPr>
            </w:pPr>
            <w:r>
              <w:rPr>
                <w:rFonts w:hint="eastAsia" w:ascii="仿宋_GB2312" w:eastAsia="仿宋_GB2312"/>
                <w:b/>
                <w:bCs/>
                <w:color w:val="auto"/>
                <w:sz w:val="28"/>
                <w:szCs w:val="28"/>
                <w:highlight w:val="none"/>
              </w:rPr>
              <w:t>报价总计</w:t>
            </w:r>
          </w:p>
        </w:tc>
        <w:tc>
          <w:tcPr>
            <w:tcW w:w="7275" w:type="dxa"/>
            <w:gridSpan w:val="5"/>
            <w:vAlign w:val="center"/>
          </w:tcPr>
          <w:p>
            <w:pPr>
              <w:pStyle w:val="264"/>
              <w:spacing w:line="560" w:lineRule="exact"/>
              <w:rPr>
                <w:rFonts w:hint="eastAsia" w:ascii="仿宋_GB2312" w:eastAsia="仿宋_GB2312"/>
                <w:b/>
                <w:bCs/>
                <w:color w:val="auto"/>
                <w:sz w:val="24"/>
                <w:highlight w:val="none"/>
              </w:rPr>
            </w:pPr>
            <w:r>
              <w:rPr>
                <w:rFonts w:hint="eastAsia" w:ascii="仿宋_GB2312" w:eastAsia="仿宋_GB2312"/>
                <w:b/>
                <w:bCs/>
                <w:color w:val="auto"/>
                <w:sz w:val="24"/>
                <w:highlight w:val="none"/>
              </w:rPr>
              <w:t>￥</w:t>
            </w:r>
            <w:r>
              <w:rPr>
                <w:rFonts w:hint="eastAsia" w:ascii="仿宋_GB2312" w:eastAsia="仿宋_GB2312"/>
                <w:b/>
                <w:bCs/>
                <w:color w:val="auto"/>
                <w:sz w:val="24"/>
                <w:highlight w:val="none"/>
                <w:u w:val="single"/>
              </w:rPr>
              <w:t xml:space="preserve">                          </w:t>
            </w:r>
          </w:p>
          <w:p>
            <w:pPr>
              <w:pStyle w:val="264"/>
              <w:spacing w:line="560" w:lineRule="exact"/>
              <w:rPr>
                <w:rFonts w:hint="eastAsia" w:ascii="仿宋_GB2312" w:eastAsia="仿宋_GB2312"/>
                <w:b/>
                <w:bCs/>
                <w:color w:val="auto"/>
                <w:sz w:val="24"/>
                <w:highlight w:val="none"/>
              </w:rPr>
            </w:pPr>
            <w:r>
              <w:rPr>
                <w:rFonts w:hint="eastAsia" w:ascii="仿宋_GB2312" w:eastAsia="仿宋_GB2312"/>
                <w:b/>
                <w:bCs/>
                <w:color w:val="auto"/>
                <w:sz w:val="24"/>
                <w:highlight w:val="none"/>
              </w:rPr>
              <w:t>人民币（大写）：</w:t>
            </w:r>
          </w:p>
          <w:p>
            <w:pPr>
              <w:pStyle w:val="264"/>
              <w:spacing w:line="560" w:lineRule="exact"/>
              <w:rPr>
                <w:rFonts w:hint="eastAsia" w:ascii="仿宋_GB2312" w:eastAsia="仿宋_GB2312"/>
                <w:b/>
                <w:bCs/>
                <w:color w:val="auto"/>
                <w:sz w:val="24"/>
                <w:highlight w:val="none"/>
                <w:u w:val="singl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分</w:t>
            </w:r>
          </w:p>
        </w:tc>
      </w:tr>
    </w:tbl>
    <w:p>
      <w:pPr>
        <w:pStyle w:val="264"/>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注：</w:t>
      </w:r>
      <w:r>
        <w:rPr>
          <w:rFonts w:hint="eastAsia" w:ascii="仿宋_GB2312" w:eastAsia="仿宋_GB2312"/>
          <w:color w:val="auto"/>
          <w:sz w:val="24"/>
          <w:szCs w:val="30"/>
          <w:highlight w:val="none"/>
        </w:rPr>
        <w:t>投标人应分项进行填报，表中表格行数可自行添加。</w:t>
      </w:r>
      <w:r>
        <w:rPr>
          <w:rFonts w:hint="eastAsia" w:ascii="仿宋_GB2312" w:eastAsia="仿宋_GB2312"/>
          <w:iCs/>
          <w:color w:val="auto"/>
          <w:sz w:val="24"/>
          <w:szCs w:val="28"/>
          <w:highlight w:val="none"/>
        </w:rPr>
        <w:t>招标文件中未列出的相关辅助材料和在实施过程中涉及到的其它一切费用应在报价时一并考虑，项目实施过程中不再单独结算。</w:t>
      </w:r>
      <w:r>
        <w:rPr>
          <w:rFonts w:hint="eastAsia" w:ascii="仿宋_GB2312" w:eastAsia="仿宋_GB2312"/>
          <w:b/>
          <w:color w:val="auto"/>
          <w:sz w:val="24"/>
          <w:szCs w:val="30"/>
          <w:highlight w:val="none"/>
        </w:rPr>
        <w:t>表中投标报价总计应与对应报价一览表中投标总价一致</w:t>
      </w:r>
      <w:r>
        <w:rPr>
          <w:rFonts w:hint="eastAsia" w:ascii="仿宋_GB2312" w:eastAsia="仿宋_GB2312"/>
          <w:b/>
          <w:color w:val="auto"/>
          <w:sz w:val="24"/>
          <w:highlight w:val="none"/>
        </w:rPr>
        <w:t>。</w:t>
      </w:r>
    </w:p>
    <w:p>
      <w:pPr>
        <w:pStyle w:val="257"/>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pPr>
        <w:pStyle w:val="257"/>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pPr>
        <w:pStyle w:val="256"/>
        <w:outlineLvl w:val="1"/>
        <w:rPr>
          <w:color w:val="auto"/>
          <w:highlight w:val="none"/>
        </w:rPr>
      </w:pPr>
      <w:bookmarkStart w:id="145" w:name="_Toc10632"/>
      <w:bookmarkEnd w:id="145"/>
      <w:bookmarkStart w:id="146" w:name="_Toc514054496"/>
      <w:bookmarkEnd w:id="146"/>
      <w:r>
        <w:rPr>
          <w:color w:val="auto"/>
          <w:highlight w:val="none"/>
        </w:rPr>
        <w:br w:type="page"/>
      </w:r>
      <w:r>
        <w:rPr>
          <w:color w:val="auto"/>
          <w:highlight w:val="none"/>
        </w:rPr>
        <w:t>十一、中小企业声明函</w:t>
      </w:r>
    </w:p>
    <w:p>
      <w:pPr>
        <w:jc w:val="center"/>
        <w:rPr>
          <w:rStyle w:val="80"/>
          <w:rFonts w:hint="eastAsia" w:ascii="楷体" w:hAnsi="楷体" w:eastAsia="楷体"/>
          <w:color w:val="auto"/>
          <w:kern w:val="0"/>
          <w:sz w:val="32"/>
          <w:szCs w:val="32"/>
          <w:highlight w:val="none"/>
          <w:lang w:bidi="ar"/>
        </w:rPr>
      </w:pPr>
      <w:r>
        <w:rPr>
          <w:rStyle w:val="80"/>
          <w:rFonts w:hint="eastAsia" w:ascii="楷体" w:hAnsi="楷体" w:eastAsia="楷体"/>
          <w:color w:val="auto"/>
          <w:kern w:val="0"/>
          <w:sz w:val="32"/>
          <w:szCs w:val="32"/>
          <w:highlight w:val="none"/>
          <w:lang w:bidi="ar"/>
        </w:rPr>
        <w:t>中小企业声明函（货物）</w:t>
      </w:r>
    </w:p>
    <w:p>
      <w:pPr>
        <w:widowControl/>
        <w:spacing w:before="100" w:beforeAutospacing="1" w:after="100" w:afterAutospacing="1" w:line="435" w:lineRule="exact"/>
        <w:ind w:firstLine="480" w:firstLineChars="200"/>
        <w:jc w:val="left"/>
        <w:rPr>
          <w:rFonts w:hint="eastAsia" w:ascii="仿宋_GB2312" w:eastAsia="仿宋_GB2312"/>
          <w:color w:val="auto"/>
          <w:sz w:val="24"/>
          <w:szCs w:val="20"/>
          <w:highlight w:val="none"/>
        </w:rPr>
      </w:pPr>
      <w:r>
        <w:rPr>
          <w:rFonts w:hint="eastAsia" w:ascii="仿宋_GB2312" w:eastAsia="仿宋_GB2312"/>
          <w:color w:val="auto"/>
          <w:sz w:val="24"/>
          <w:szCs w:val="20"/>
          <w:highlight w:val="none"/>
        </w:rPr>
        <w:t>本公司（联合体）郑重声明，根据《政府采购促进中小企业发展管理办法》（财库﹝2020﹞46 号）的规定，本公司（联合体）参加</w:t>
      </w:r>
      <w:r>
        <w:rPr>
          <w:rFonts w:hint="eastAsia" w:ascii="仿宋_GB2312" w:eastAsia="仿宋_GB2312"/>
          <w:color w:val="auto"/>
          <w:sz w:val="24"/>
          <w:szCs w:val="20"/>
          <w:highlight w:val="none"/>
          <w:u w:val="single"/>
        </w:rPr>
        <w:t xml:space="preserve">    （单位名称）</w:t>
      </w:r>
      <w:r>
        <w:rPr>
          <w:rFonts w:hint="eastAsia" w:ascii="仿宋" w:hAnsi="仿宋" w:eastAsia="仿宋"/>
          <w:color w:val="auto"/>
          <w:kern w:val="0"/>
          <w:sz w:val="24"/>
          <w:szCs w:val="24"/>
          <w:highlight w:val="none"/>
          <w:lang w:bidi="ar"/>
        </w:rPr>
        <w:t>的</w:t>
      </w:r>
      <w:r>
        <w:rPr>
          <w:rFonts w:hint="eastAsia" w:ascii="仿宋" w:hAnsi="仿宋" w:eastAsia="仿宋"/>
          <w:color w:val="auto"/>
          <w:kern w:val="0"/>
          <w:sz w:val="24"/>
          <w:szCs w:val="24"/>
          <w:highlight w:val="none"/>
          <w:u w:val="single"/>
          <w:lang w:bidi="ar"/>
        </w:rPr>
        <w:t xml:space="preserve"> </w:t>
      </w:r>
      <w:r>
        <w:rPr>
          <w:rFonts w:hint="eastAsia" w:ascii="仿宋_GB2312" w:eastAsia="仿宋_GB2312"/>
          <w:color w:val="auto"/>
          <w:sz w:val="24"/>
          <w:szCs w:val="20"/>
          <w:highlight w:val="none"/>
          <w:u w:val="single"/>
        </w:rPr>
        <w:t xml:space="preserve">   （项目名称）采</w:t>
      </w:r>
      <w:r>
        <w:rPr>
          <w:rFonts w:hint="eastAsia" w:ascii="仿宋_GB2312" w:eastAsia="仿宋_GB2312"/>
          <w:color w:val="auto"/>
          <w:sz w:val="24"/>
          <w:szCs w:val="20"/>
          <w:highlight w:val="none"/>
        </w:rPr>
        <w:t>购活动，提供的货物全部由符合政策要求的中小企业制造。相关企业（含联合体中的中小企业、签订分包意向协议的中小企业）的具体情况如下：</w:t>
      </w:r>
    </w:p>
    <w:p>
      <w:pPr>
        <w:widowControl/>
        <w:spacing w:before="100" w:beforeAutospacing="1" w:after="100" w:afterAutospacing="1" w:line="435" w:lineRule="exact"/>
        <w:ind w:firstLine="480" w:firstLineChars="200"/>
        <w:jc w:val="left"/>
        <w:rPr>
          <w:rFonts w:hint="eastAsia" w:ascii="仿宋" w:hAnsi="仿宋" w:eastAsia="仿宋"/>
          <w:color w:val="auto"/>
          <w:kern w:val="0"/>
          <w:sz w:val="24"/>
          <w:szCs w:val="24"/>
          <w:highlight w:val="none"/>
          <w:lang w:bidi="ar"/>
        </w:rPr>
      </w:pPr>
      <w:r>
        <w:rPr>
          <w:rFonts w:hint="eastAsia" w:ascii="仿宋" w:hAnsi="仿宋" w:eastAsia="仿宋"/>
          <w:color w:val="auto"/>
          <w:kern w:val="0"/>
          <w:sz w:val="24"/>
          <w:szCs w:val="24"/>
          <w:highlight w:val="none"/>
          <w:lang w:bidi="ar"/>
        </w:rPr>
        <w:t>1</w:t>
      </w:r>
      <w:r>
        <w:rPr>
          <w:rFonts w:hint="eastAsia" w:ascii="仿宋_GB2312" w:eastAsia="仿宋_GB2312"/>
          <w:color w:val="auto"/>
          <w:sz w:val="24"/>
          <w:szCs w:val="20"/>
          <w:highlight w:val="none"/>
          <w:u w:val="single"/>
        </w:rPr>
        <w:t xml:space="preserve">.     </w:t>
      </w:r>
      <w:r>
        <w:rPr>
          <w:rFonts w:hint="eastAsia" w:ascii="仿宋" w:hAnsi="仿宋" w:eastAsia="仿宋"/>
          <w:color w:val="auto"/>
          <w:kern w:val="0"/>
          <w:sz w:val="24"/>
          <w:szCs w:val="24"/>
          <w:highlight w:val="none"/>
          <w:u w:val="single"/>
          <w:lang w:bidi="ar"/>
        </w:rPr>
        <w:t>（</w:t>
      </w:r>
      <w:r>
        <w:rPr>
          <w:rFonts w:hint="eastAsia" w:ascii="仿宋_GB2312" w:eastAsia="仿宋_GB2312"/>
          <w:color w:val="auto"/>
          <w:sz w:val="24"/>
          <w:szCs w:val="20"/>
          <w:highlight w:val="none"/>
          <w:u w:val="single"/>
        </w:rPr>
        <w:t>标的名称）</w:t>
      </w:r>
      <w:r>
        <w:rPr>
          <w:rFonts w:hint="eastAsia" w:ascii="仿宋" w:hAnsi="仿宋" w:eastAsia="仿宋"/>
          <w:color w:val="auto"/>
          <w:kern w:val="0"/>
          <w:sz w:val="24"/>
          <w:szCs w:val="24"/>
          <w:highlight w:val="none"/>
          <w:lang w:bidi="ar"/>
        </w:rPr>
        <w:t>，属于</w:t>
      </w:r>
      <w:r>
        <w:rPr>
          <w:rFonts w:hint="eastAsia" w:ascii="仿宋_GB2312" w:eastAsia="仿宋_GB2312"/>
          <w:color w:val="auto"/>
          <w:sz w:val="24"/>
          <w:szCs w:val="20"/>
          <w:highlight w:val="none"/>
          <w:u w:val="single"/>
        </w:rPr>
        <w:t xml:space="preserve">     （采购文件中明确的所属行业）</w:t>
      </w:r>
      <w:r>
        <w:rPr>
          <w:rFonts w:hint="eastAsia" w:ascii="仿宋" w:hAnsi="仿宋" w:eastAsia="仿宋"/>
          <w:color w:val="auto"/>
          <w:kern w:val="0"/>
          <w:sz w:val="24"/>
          <w:szCs w:val="24"/>
          <w:highlight w:val="none"/>
          <w:lang w:bidi="ar"/>
        </w:rPr>
        <w:t>行业；</w:t>
      </w:r>
      <w:r>
        <w:rPr>
          <w:rFonts w:hint="eastAsia" w:ascii="仿宋_GB2312" w:eastAsia="仿宋_GB2312"/>
          <w:color w:val="auto"/>
          <w:sz w:val="24"/>
          <w:szCs w:val="20"/>
          <w:highlight w:val="none"/>
        </w:rPr>
        <w:t xml:space="preserve">制造商为 </w:t>
      </w:r>
      <w:r>
        <w:rPr>
          <w:rFonts w:hint="eastAsia" w:ascii="仿宋_GB2312" w:eastAsia="仿宋_GB2312"/>
          <w:color w:val="auto"/>
          <w:sz w:val="24"/>
          <w:szCs w:val="20"/>
          <w:highlight w:val="none"/>
          <w:u w:val="single"/>
        </w:rPr>
        <w:t xml:space="preserve">         （企业名称）</w:t>
      </w:r>
      <w:r>
        <w:rPr>
          <w:rFonts w:hint="eastAsia" w:ascii="仿宋" w:hAnsi="仿宋" w:eastAsia="仿宋"/>
          <w:color w:val="auto"/>
          <w:kern w:val="0"/>
          <w:sz w:val="24"/>
          <w:szCs w:val="24"/>
          <w:highlight w:val="none"/>
          <w:lang w:bidi="ar"/>
        </w:rPr>
        <w:t>，</w:t>
      </w:r>
      <w:r>
        <w:rPr>
          <w:rFonts w:hint="eastAsia" w:ascii="仿宋_GB2312" w:eastAsia="仿宋_GB2312"/>
          <w:color w:val="auto"/>
          <w:sz w:val="24"/>
          <w:szCs w:val="20"/>
          <w:highlight w:val="none"/>
        </w:rPr>
        <w:t>从业人员</w:t>
      </w:r>
      <w:r>
        <w:rPr>
          <w:rFonts w:hint="eastAsia" w:ascii="仿宋" w:hAnsi="仿宋" w:eastAsia="仿宋"/>
          <w:color w:val="auto"/>
          <w:kern w:val="0"/>
          <w:sz w:val="24"/>
          <w:szCs w:val="24"/>
          <w:highlight w:val="none"/>
          <w:u w:val="single"/>
          <w:lang w:bidi="ar"/>
        </w:rPr>
        <w:t xml:space="preserve">    </w:t>
      </w:r>
      <w:r>
        <w:rPr>
          <w:rFonts w:hint="eastAsia" w:ascii="仿宋" w:hAnsi="仿宋" w:eastAsia="仿宋"/>
          <w:color w:val="auto"/>
          <w:kern w:val="0"/>
          <w:sz w:val="24"/>
          <w:szCs w:val="24"/>
          <w:highlight w:val="none"/>
          <w:lang w:bidi="ar"/>
        </w:rPr>
        <w:t>人，</w:t>
      </w:r>
      <w:r>
        <w:rPr>
          <w:rFonts w:hint="eastAsia" w:ascii="仿宋_GB2312" w:eastAsia="仿宋_GB2312"/>
          <w:color w:val="auto"/>
          <w:sz w:val="24"/>
          <w:szCs w:val="20"/>
          <w:highlight w:val="none"/>
        </w:rPr>
        <w:t>营业收入为</w:t>
      </w:r>
      <w:r>
        <w:rPr>
          <w:rFonts w:hint="eastAsia" w:ascii="仿宋" w:hAnsi="仿宋" w:eastAsia="仿宋"/>
          <w:color w:val="auto"/>
          <w:kern w:val="0"/>
          <w:sz w:val="24"/>
          <w:szCs w:val="24"/>
          <w:highlight w:val="none"/>
          <w:u w:val="single"/>
          <w:lang w:bidi="ar"/>
        </w:rPr>
        <w:t xml:space="preserve">    </w:t>
      </w:r>
      <w:r>
        <w:rPr>
          <w:rFonts w:hint="eastAsia" w:ascii="仿宋" w:hAnsi="仿宋" w:eastAsia="仿宋"/>
          <w:color w:val="auto"/>
          <w:kern w:val="0"/>
          <w:sz w:val="24"/>
          <w:szCs w:val="24"/>
          <w:highlight w:val="none"/>
          <w:lang w:bidi="ar"/>
        </w:rPr>
        <w:t>万元，</w:t>
      </w:r>
      <w:r>
        <w:rPr>
          <w:rFonts w:hint="eastAsia" w:ascii="仿宋_GB2312" w:eastAsia="仿宋_GB2312"/>
          <w:color w:val="auto"/>
          <w:sz w:val="24"/>
          <w:szCs w:val="20"/>
          <w:highlight w:val="none"/>
        </w:rPr>
        <w:t>资产总额为</w:t>
      </w:r>
      <w:r>
        <w:rPr>
          <w:rFonts w:hint="eastAsia" w:ascii="仿宋" w:hAnsi="仿宋" w:eastAsia="仿宋"/>
          <w:color w:val="auto"/>
          <w:kern w:val="0"/>
          <w:sz w:val="24"/>
          <w:szCs w:val="24"/>
          <w:highlight w:val="none"/>
          <w:u w:val="single"/>
          <w:lang w:bidi="ar"/>
        </w:rPr>
        <w:t xml:space="preserve">   </w:t>
      </w:r>
      <w:r>
        <w:rPr>
          <w:rFonts w:hint="eastAsia" w:ascii="仿宋" w:hAnsi="仿宋" w:eastAsia="仿宋"/>
          <w:color w:val="auto"/>
          <w:kern w:val="0"/>
          <w:sz w:val="24"/>
          <w:szCs w:val="24"/>
          <w:highlight w:val="none"/>
          <w:lang w:bidi="ar"/>
        </w:rPr>
        <w:t>万</w:t>
      </w:r>
      <w:r>
        <w:rPr>
          <w:rFonts w:hint="eastAsia" w:ascii="仿宋_GB2312" w:eastAsia="仿宋_GB2312"/>
          <w:color w:val="auto"/>
          <w:sz w:val="24"/>
          <w:szCs w:val="20"/>
          <w:highlight w:val="none"/>
        </w:rPr>
        <w:t>元，属于</w:t>
      </w:r>
      <w:r>
        <w:rPr>
          <w:rFonts w:hint="eastAsia" w:ascii="仿宋_GB2312" w:eastAsia="仿宋_GB2312"/>
          <w:color w:val="auto"/>
          <w:sz w:val="24"/>
          <w:szCs w:val="20"/>
          <w:highlight w:val="none"/>
          <w:u w:val="single"/>
        </w:rPr>
        <w:t xml:space="preserve">     （中型企业、小型企业、微型企业）</w:t>
      </w:r>
      <w:r>
        <w:rPr>
          <w:rFonts w:hint="eastAsia" w:ascii="仿宋" w:hAnsi="仿宋" w:eastAsia="仿宋"/>
          <w:color w:val="auto"/>
          <w:kern w:val="0"/>
          <w:sz w:val="24"/>
          <w:szCs w:val="24"/>
          <w:highlight w:val="none"/>
          <w:lang w:bidi="ar"/>
        </w:rPr>
        <w:t>；</w:t>
      </w:r>
    </w:p>
    <w:p>
      <w:pPr>
        <w:widowControl/>
        <w:spacing w:before="100" w:beforeAutospacing="1" w:after="100" w:afterAutospacing="1" w:line="435" w:lineRule="exact"/>
        <w:ind w:firstLine="480" w:firstLineChars="200"/>
        <w:jc w:val="left"/>
        <w:rPr>
          <w:rFonts w:hint="eastAsia" w:ascii="仿宋" w:hAnsi="仿宋" w:eastAsia="仿宋"/>
          <w:color w:val="auto"/>
          <w:kern w:val="0"/>
          <w:sz w:val="24"/>
          <w:szCs w:val="24"/>
          <w:highlight w:val="none"/>
          <w:lang w:bidi="ar"/>
        </w:rPr>
      </w:pPr>
      <w:r>
        <w:rPr>
          <w:rFonts w:hint="eastAsia" w:ascii="仿宋" w:hAnsi="仿宋" w:eastAsia="仿宋"/>
          <w:color w:val="auto"/>
          <w:kern w:val="0"/>
          <w:sz w:val="24"/>
          <w:szCs w:val="24"/>
          <w:highlight w:val="none"/>
          <w:lang w:bidi="ar"/>
        </w:rPr>
        <w:t>2</w:t>
      </w:r>
      <w:r>
        <w:rPr>
          <w:rFonts w:hint="eastAsia" w:ascii="仿宋_GB2312" w:eastAsia="仿宋_GB2312"/>
          <w:color w:val="auto"/>
          <w:sz w:val="24"/>
          <w:szCs w:val="20"/>
          <w:highlight w:val="none"/>
          <w:u w:val="single"/>
        </w:rPr>
        <w:t xml:space="preserve">.     </w:t>
      </w:r>
      <w:r>
        <w:rPr>
          <w:rFonts w:hint="eastAsia" w:ascii="仿宋" w:hAnsi="仿宋" w:eastAsia="仿宋"/>
          <w:color w:val="auto"/>
          <w:kern w:val="0"/>
          <w:sz w:val="24"/>
          <w:szCs w:val="24"/>
          <w:highlight w:val="none"/>
          <w:u w:val="single"/>
          <w:lang w:bidi="ar"/>
        </w:rPr>
        <w:t>（</w:t>
      </w:r>
      <w:r>
        <w:rPr>
          <w:rFonts w:hint="eastAsia" w:ascii="仿宋_GB2312" w:eastAsia="仿宋_GB2312"/>
          <w:color w:val="auto"/>
          <w:sz w:val="24"/>
          <w:szCs w:val="20"/>
          <w:highlight w:val="none"/>
          <w:u w:val="single"/>
        </w:rPr>
        <w:t>标的名称）</w:t>
      </w:r>
      <w:r>
        <w:rPr>
          <w:rFonts w:hint="eastAsia" w:ascii="仿宋" w:hAnsi="仿宋" w:eastAsia="仿宋"/>
          <w:color w:val="auto"/>
          <w:kern w:val="0"/>
          <w:sz w:val="24"/>
          <w:szCs w:val="24"/>
          <w:highlight w:val="none"/>
          <w:lang w:bidi="ar"/>
        </w:rPr>
        <w:t>，属于</w:t>
      </w:r>
      <w:r>
        <w:rPr>
          <w:rFonts w:hint="eastAsia" w:ascii="仿宋_GB2312" w:eastAsia="仿宋_GB2312"/>
          <w:color w:val="auto"/>
          <w:sz w:val="24"/>
          <w:szCs w:val="20"/>
          <w:highlight w:val="none"/>
          <w:u w:val="single"/>
        </w:rPr>
        <w:t xml:space="preserve">     （采购文件中明确的所属行业）</w:t>
      </w:r>
      <w:r>
        <w:rPr>
          <w:rFonts w:hint="eastAsia" w:ascii="仿宋" w:hAnsi="仿宋" w:eastAsia="仿宋"/>
          <w:color w:val="auto"/>
          <w:kern w:val="0"/>
          <w:sz w:val="24"/>
          <w:szCs w:val="24"/>
          <w:highlight w:val="none"/>
          <w:lang w:bidi="ar"/>
        </w:rPr>
        <w:t>行业；</w:t>
      </w:r>
      <w:r>
        <w:rPr>
          <w:rFonts w:hint="eastAsia" w:ascii="仿宋_GB2312" w:eastAsia="仿宋_GB2312"/>
          <w:color w:val="auto"/>
          <w:sz w:val="24"/>
          <w:szCs w:val="20"/>
          <w:highlight w:val="none"/>
        </w:rPr>
        <w:t xml:space="preserve">制造商为 </w:t>
      </w:r>
      <w:r>
        <w:rPr>
          <w:rFonts w:hint="eastAsia" w:ascii="仿宋_GB2312" w:eastAsia="仿宋_GB2312"/>
          <w:color w:val="auto"/>
          <w:sz w:val="24"/>
          <w:szCs w:val="20"/>
          <w:highlight w:val="none"/>
          <w:u w:val="single"/>
        </w:rPr>
        <w:t xml:space="preserve">         （企业名称）</w:t>
      </w:r>
      <w:r>
        <w:rPr>
          <w:rFonts w:hint="eastAsia" w:ascii="仿宋" w:hAnsi="仿宋" w:eastAsia="仿宋"/>
          <w:color w:val="auto"/>
          <w:kern w:val="0"/>
          <w:sz w:val="24"/>
          <w:szCs w:val="24"/>
          <w:highlight w:val="none"/>
          <w:lang w:bidi="ar"/>
        </w:rPr>
        <w:t>，</w:t>
      </w:r>
      <w:r>
        <w:rPr>
          <w:rFonts w:hint="eastAsia" w:ascii="仿宋_GB2312" w:eastAsia="仿宋_GB2312"/>
          <w:color w:val="auto"/>
          <w:sz w:val="24"/>
          <w:szCs w:val="20"/>
          <w:highlight w:val="none"/>
        </w:rPr>
        <w:t>从业人员</w:t>
      </w:r>
      <w:r>
        <w:rPr>
          <w:rFonts w:hint="eastAsia" w:ascii="仿宋" w:hAnsi="仿宋" w:eastAsia="仿宋"/>
          <w:color w:val="auto"/>
          <w:kern w:val="0"/>
          <w:sz w:val="24"/>
          <w:szCs w:val="24"/>
          <w:highlight w:val="none"/>
          <w:u w:val="single"/>
          <w:lang w:bidi="ar"/>
        </w:rPr>
        <w:t xml:space="preserve">    </w:t>
      </w:r>
      <w:r>
        <w:rPr>
          <w:rFonts w:hint="eastAsia" w:ascii="仿宋" w:hAnsi="仿宋" w:eastAsia="仿宋"/>
          <w:color w:val="auto"/>
          <w:kern w:val="0"/>
          <w:sz w:val="24"/>
          <w:szCs w:val="24"/>
          <w:highlight w:val="none"/>
          <w:lang w:bidi="ar"/>
        </w:rPr>
        <w:t>人，</w:t>
      </w:r>
      <w:r>
        <w:rPr>
          <w:rFonts w:hint="eastAsia" w:ascii="仿宋_GB2312" w:eastAsia="仿宋_GB2312"/>
          <w:color w:val="auto"/>
          <w:sz w:val="24"/>
          <w:szCs w:val="20"/>
          <w:highlight w:val="none"/>
        </w:rPr>
        <w:t>营业收入为</w:t>
      </w:r>
      <w:r>
        <w:rPr>
          <w:rFonts w:hint="eastAsia" w:ascii="仿宋" w:hAnsi="仿宋" w:eastAsia="仿宋"/>
          <w:color w:val="auto"/>
          <w:kern w:val="0"/>
          <w:sz w:val="24"/>
          <w:szCs w:val="24"/>
          <w:highlight w:val="none"/>
          <w:u w:val="single"/>
          <w:lang w:bidi="ar"/>
        </w:rPr>
        <w:t xml:space="preserve">    </w:t>
      </w:r>
      <w:r>
        <w:rPr>
          <w:rFonts w:hint="eastAsia" w:ascii="仿宋" w:hAnsi="仿宋" w:eastAsia="仿宋"/>
          <w:color w:val="auto"/>
          <w:kern w:val="0"/>
          <w:sz w:val="24"/>
          <w:szCs w:val="24"/>
          <w:highlight w:val="none"/>
          <w:lang w:bidi="ar"/>
        </w:rPr>
        <w:t>万元，</w:t>
      </w:r>
      <w:r>
        <w:rPr>
          <w:rFonts w:hint="eastAsia" w:ascii="仿宋_GB2312" w:eastAsia="仿宋_GB2312"/>
          <w:color w:val="auto"/>
          <w:sz w:val="24"/>
          <w:szCs w:val="20"/>
          <w:highlight w:val="none"/>
        </w:rPr>
        <w:t>资产总额为</w:t>
      </w:r>
      <w:r>
        <w:rPr>
          <w:rFonts w:hint="eastAsia" w:ascii="仿宋" w:hAnsi="仿宋" w:eastAsia="仿宋"/>
          <w:color w:val="auto"/>
          <w:kern w:val="0"/>
          <w:sz w:val="24"/>
          <w:szCs w:val="24"/>
          <w:highlight w:val="none"/>
          <w:u w:val="single"/>
          <w:lang w:bidi="ar"/>
        </w:rPr>
        <w:t xml:space="preserve">   </w:t>
      </w:r>
      <w:r>
        <w:rPr>
          <w:rFonts w:hint="eastAsia" w:ascii="仿宋" w:hAnsi="仿宋" w:eastAsia="仿宋"/>
          <w:color w:val="auto"/>
          <w:kern w:val="0"/>
          <w:sz w:val="24"/>
          <w:szCs w:val="24"/>
          <w:highlight w:val="none"/>
          <w:lang w:bidi="ar"/>
        </w:rPr>
        <w:t>万</w:t>
      </w:r>
      <w:r>
        <w:rPr>
          <w:rFonts w:hint="eastAsia" w:ascii="仿宋_GB2312" w:eastAsia="仿宋_GB2312"/>
          <w:color w:val="auto"/>
          <w:sz w:val="24"/>
          <w:szCs w:val="20"/>
          <w:highlight w:val="none"/>
        </w:rPr>
        <w:t>元，属于</w:t>
      </w:r>
      <w:r>
        <w:rPr>
          <w:rFonts w:hint="eastAsia" w:ascii="仿宋_GB2312" w:eastAsia="仿宋_GB2312"/>
          <w:color w:val="auto"/>
          <w:sz w:val="24"/>
          <w:szCs w:val="20"/>
          <w:highlight w:val="none"/>
          <w:u w:val="single"/>
        </w:rPr>
        <w:t xml:space="preserve">     （中型企业、小型企业、微型企业）</w:t>
      </w:r>
      <w:r>
        <w:rPr>
          <w:rFonts w:hint="eastAsia" w:ascii="仿宋" w:hAnsi="仿宋" w:eastAsia="仿宋"/>
          <w:color w:val="auto"/>
          <w:kern w:val="0"/>
          <w:sz w:val="24"/>
          <w:szCs w:val="24"/>
          <w:highlight w:val="none"/>
          <w:lang w:bidi="ar"/>
        </w:rPr>
        <w:t>；</w:t>
      </w:r>
    </w:p>
    <w:p>
      <w:pPr>
        <w:widowControl/>
        <w:spacing w:before="100" w:beforeAutospacing="1" w:after="100" w:afterAutospacing="1" w:line="435" w:lineRule="exact"/>
        <w:ind w:firstLine="480" w:firstLineChars="200"/>
        <w:jc w:val="left"/>
        <w:rPr>
          <w:rFonts w:hint="eastAsia" w:ascii="仿宋" w:hAnsi="仿宋" w:eastAsia="仿宋"/>
          <w:color w:val="auto"/>
          <w:kern w:val="0"/>
          <w:sz w:val="24"/>
          <w:szCs w:val="24"/>
          <w:highlight w:val="none"/>
          <w:lang w:bidi="ar"/>
        </w:rPr>
      </w:pPr>
      <w:r>
        <w:rPr>
          <w:rFonts w:hint="eastAsia" w:ascii="仿宋" w:hAnsi="仿宋" w:eastAsia="仿宋"/>
          <w:color w:val="auto"/>
          <w:kern w:val="0"/>
          <w:sz w:val="24"/>
          <w:szCs w:val="24"/>
          <w:highlight w:val="none"/>
          <w:lang w:bidi="ar"/>
        </w:rPr>
        <w:t>……</w:t>
      </w:r>
    </w:p>
    <w:p>
      <w:pPr>
        <w:widowControl/>
        <w:spacing w:before="100" w:beforeAutospacing="1" w:after="100" w:afterAutospacing="1" w:line="435" w:lineRule="exact"/>
        <w:ind w:firstLine="480" w:firstLineChars="200"/>
        <w:jc w:val="left"/>
        <w:rPr>
          <w:rFonts w:hint="eastAsia" w:ascii="仿宋_GB2312" w:eastAsia="仿宋_GB2312"/>
          <w:color w:val="auto"/>
          <w:sz w:val="24"/>
          <w:szCs w:val="20"/>
          <w:highlight w:val="none"/>
        </w:rPr>
      </w:pPr>
      <w:r>
        <w:rPr>
          <w:rFonts w:hint="eastAsia" w:ascii="仿宋_GB2312" w:eastAsia="仿宋_GB2312"/>
          <w:color w:val="auto"/>
          <w:sz w:val="24"/>
          <w:szCs w:val="20"/>
          <w:highlight w:val="none"/>
        </w:rPr>
        <w:t>以上企业，不属于大企业的分支机构，不存在控股股东为大企业的情形，也不存在与大企业的负责人为同一人的情形。</w:t>
      </w:r>
    </w:p>
    <w:p>
      <w:pPr>
        <w:widowControl/>
        <w:spacing w:before="100" w:beforeAutospacing="1" w:after="100" w:afterAutospacing="1" w:line="435" w:lineRule="exact"/>
        <w:ind w:firstLine="480" w:firstLineChars="200"/>
        <w:jc w:val="left"/>
        <w:rPr>
          <w:rFonts w:hint="eastAsia" w:ascii="仿宋_GB2312" w:eastAsia="仿宋_GB2312"/>
          <w:color w:val="auto"/>
          <w:sz w:val="24"/>
          <w:szCs w:val="20"/>
          <w:highlight w:val="none"/>
        </w:rPr>
      </w:pPr>
      <w:r>
        <w:rPr>
          <w:rFonts w:hint="eastAsia" w:ascii="仿宋_GB2312" w:eastAsia="仿宋_GB2312"/>
          <w:color w:val="auto"/>
          <w:sz w:val="24"/>
          <w:szCs w:val="20"/>
          <w:highlight w:val="none"/>
        </w:rPr>
        <w:t>本企业对上述声明内容的真实性负责。如有虚假，将依法承担相应责任。</w:t>
      </w:r>
    </w:p>
    <w:p>
      <w:pPr>
        <w:widowControl/>
        <w:spacing w:before="100" w:beforeAutospacing="1" w:after="100" w:afterAutospacing="1" w:line="435" w:lineRule="exact"/>
        <w:ind w:firstLine="480" w:firstLineChars="200"/>
        <w:jc w:val="right"/>
        <w:rPr>
          <w:rFonts w:hint="eastAsia" w:ascii="仿宋_GB2312" w:eastAsia="仿宋_GB2312"/>
          <w:color w:val="auto"/>
          <w:sz w:val="24"/>
          <w:szCs w:val="20"/>
          <w:highlight w:val="none"/>
        </w:rPr>
      </w:pPr>
      <w:r>
        <w:rPr>
          <w:rFonts w:hint="eastAsia" w:ascii="仿宋_GB2312" w:eastAsia="仿宋_GB2312"/>
          <w:color w:val="auto"/>
          <w:sz w:val="24"/>
          <w:szCs w:val="20"/>
          <w:highlight w:val="none"/>
        </w:rPr>
        <w:t>企业名称（盖章）：</w:t>
      </w:r>
    </w:p>
    <w:p>
      <w:pPr>
        <w:widowControl/>
        <w:spacing w:before="100" w:beforeAutospacing="1" w:after="100" w:afterAutospacing="1" w:line="435" w:lineRule="exact"/>
        <w:ind w:firstLine="480" w:firstLineChars="200"/>
        <w:jc w:val="right"/>
        <w:rPr>
          <w:rFonts w:hint="eastAsia" w:ascii="仿宋_GB2312" w:eastAsia="仿宋_GB2312"/>
          <w:color w:val="auto"/>
          <w:sz w:val="24"/>
          <w:szCs w:val="20"/>
          <w:highlight w:val="none"/>
        </w:rPr>
      </w:pPr>
      <w:r>
        <w:rPr>
          <w:rFonts w:hint="eastAsia" w:ascii="仿宋_GB2312" w:eastAsia="仿宋_GB2312"/>
          <w:color w:val="auto"/>
          <w:sz w:val="24"/>
          <w:szCs w:val="20"/>
          <w:highlight w:val="none"/>
        </w:rPr>
        <w:t>日 期：</w:t>
      </w:r>
    </w:p>
    <w:p>
      <w:pPr>
        <w:widowControl/>
        <w:spacing w:before="100" w:beforeAutospacing="1" w:after="100" w:afterAutospacing="1" w:line="435" w:lineRule="exact"/>
        <w:jc w:val="left"/>
        <w:rPr>
          <w:rFonts w:hint="eastAsia" w:ascii="仿宋_GB2312" w:eastAsia="仿宋_GB2312"/>
          <w:color w:val="auto"/>
          <w:sz w:val="24"/>
          <w:szCs w:val="20"/>
          <w:highlight w:val="none"/>
        </w:rPr>
      </w:pPr>
      <w:r>
        <w:rPr>
          <w:rFonts w:hint="eastAsia" w:ascii="仿宋_GB2312" w:eastAsia="仿宋_GB2312"/>
          <w:color w:val="auto"/>
          <w:sz w:val="24"/>
          <w:szCs w:val="20"/>
          <w:highlight w:val="none"/>
        </w:rPr>
        <w:t>从业人员、营业收入、资产总额填报上一年度数据，无上一年度数据的新成立企业可不填报。</w:t>
      </w:r>
    </w:p>
    <w:p>
      <w:pPr>
        <w:pStyle w:val="46"/>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t>请投标人根据实际情况如实填写。</w:t>
      </w:r>
    </w:p>
    <w:p>
      <w:pPr>
        <w:pStyle w:val="431"/>
        <w:spacing w:before="151" w:after="151" w:line="600" w:lineRule="exact"/>
        <w:jc w:val="center"/>
        <w:rPr>
          <w:rFonts w:hint="eastAsia" w:ascii="宋体" w:hAnsi="宋体"/>
          <w:b/>
          <w:bCs/>
          <w:color w:val="auto"/>
          <w:sz w:val="32"/>
          <w:szCs w:val="32"/>
          <w:highlight w:val="none"/>
        </w:rPr>
      </w:pPr>
      <w:r>
        <w:rPr>
          <w:rFonts w:hint="eastAsia" w:ascii="宋体" w:hAnsi="宋体"/>
          <w:b/>
          <w:bCs/>
          <w:color w:val="auto"/>
          <w:sz w:val="32"/>
          <w:szCs w:val="32"/>
          <w:highlight w:val="none"/>
        </w:rPr>
        <w:br w:type="page"/>
      </w:r>
      <w:r>
        <w:rPr>
          <w:rFonts w:hint="eastAsia" w:ascii="宋体"/>
          <w:b/>
          <w:bCs/>
          <w:color w:val="auto"/>
          <w:sz w:val="32"/>
          <w:szCs w:val="32"/>
          <w:highlight w:val="none"/>
        </w:rPr>
        <w:t>残疾人福利性单位声明函</w:t>
      </w:r>
    </w:p>
    <w:p>
      <w:pPr>
        <w:pStyle w:val="393"/>
        <w:spacing w:line="588" w:lineRule="exact"/>
        <w:rPr>
          <w:rFonts w:hint="eastAsia" w:ascii="仿宋_GB2312" w:eastAsia="仿宋_GB2312"/>
          <w:b/>
          <w:color w:val="auto"/>
          <w:spacing w:val="6"/>
          <w:sz w:val="30"/>
          <w:szCs w:val="30"/>
          <w:highlight w:val="none"/>
        </w:rPr>
      </w:pPr>
    </w:p>
    <w:p>
      <w:pPr>
        <w:pStyle w:val="431"/>
        <w:spacing w:line="50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p>
    <w:p>
      <w:pPr>
        <w:pStyle w:val="431"/>
        <w:spacing w:line="50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本单位对上述声明的真实性负责。如有虚假，将依法承担相应责任。</w:t>
      </w:r>
    </w:p>
    <w:p>
      <w:pPr>
        <w:pStyle w:val="393"/>
        <w:spacing w:line="588" w:lineRule="exact"/>
        <w:ind w:firstLine="504" w:firstLineChars="200"/>
        <w:rPr>
          <w:rFonts w:hint="eastAsia" w:ascii="仿宋_GB2312" w:eastAsia="仿宋_GB2312"/>
          <w:color w:val="auto"/>
          <w:spacing w:val="6"/>
          <w:sz w:val="24"/>
          <w:szCs w:val="24"/>
          <w:highlight w:val="none"/>
        </w:rPr>
      </w:pPr>
    </w:p>
    <w:p>
      <w:pPr>
        <w:pStyle w:val="393"/>
        <w:spacing w:line="588" w:lineRule="exact"/>
        <w:ind w:firstLine="504" w:firstLineChars="200"/>
        <w:rPr>
          <w:rFonts w:hint="eastAsia" w:ascii="仿宋_GB2312" w:eastAsia="仿宋_GB2312"/>
          <w:color w:val="auto"/>
          <w:spacing w:val="6"/>
          <w:sz w:val="24"/>
          <w:szCs w:val="24"/>
          <w:highlight w:val="none"/>
        </w:rPr>
      </w:pPr>
    </w:p>
    <w:p>
      <w:pPr>
        <w:pStyle w:val="257"/>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pPr>
        <w:pStyle w:val="257"/>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pPr>
        <w:pStyle w:val="258"/>
        <w:ind w:firstLine="720" w:firstLineChars="300"/>
        <w:rPr>
          <w:rFonts w:hint="eastAsia" w:ascii="仿宋_GB2312" w:eastAsia="仿宋_GB2312"/>
          <w:color w:val="auto"/>
          <w:sz w:val="24"/>
          <w:highlight w:val="none"/>
          <w:u w:val="single"/>
        </w:rPr>
      </w:pPr>
    </w:p>
    <w:p>
      <w:pPr>
        <w:pStyle w:val="258"/>
        <w:ind w:firstLine="4320" w:firstLineChars="1800"/>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pPr>
        <w:pStyle w:val="404"/>
        <w:rPr>
          <w:color w:val="auto"/>
          <w:highlight w:val="none"/>
        </w:rPr>
      </w:pPr>
    </w:p>
    <w:p>
      <w:pPr>
        <w:pStyle w:val="431"/>
        <w:rPr>
          <w:rFonts w:hint="eastAsia"/>
          <w:color w:val="auto"/>
          <w:highlight w:val="none"/>
        </w:rPr>
      </w:pPr>
      <w:r>
        <w:rPr>
          <w:rFonts w:hint="eastAsia"/>
          <w:color w:val="auto"/>
          <w:highlight w:val="none"/>
        </w:rPr>
        <w:t>注：1、残疾人福利性单位应完整填写此函并提供相关证明材料；</w:t>
      </w:r>
    </w:p>
    <w:p>
      <w:pPr>
        <w:pStyle w:val="431"/>
        <w:ind w:firstLine="420" w:firstLineChars="200"/>
        <w:rPr>
          <w:rFonts w:hint="eastAsia"/>
          <w:color w:val="auto"/>
          <w:highlight w:val="none"/>
        </w:rPr>
      </w:pPr>
      <w:r>
        <w:rPr>
          <w:rFonts w:hint="eastAsia"/>
          <w:color w:val="auto"/>
          <w:highlight w:val="none"/>
        </w:rPr>
        <w:t>2、非残疾人福利性单位不需提供此声明函</w:t>
      </w:r>
    </w:p>
    <w:p>
      <w:pPr>
        <w:pStyle w:val="404"/>
        <w:outlineLvl w:val="1"/>
        <w:rPr>
          <w:color w:val="auto"/>
          <w:highlight w:val="none"/>
        </w:rPr>
      </w:pPr>
      <w:bookmarkStart w:id="147" w:name="_Toc16234"/>
      <w:bookmarkEnd w:id="147"/>
      <w:bookmarkStart w:id="148" w:name="_Toc514054497"/>
      <w:bookmarkEnd w:id="148"/>
      <w:r>
        <w:rPr>
          <w:color w:val="auto"/>
          <w:highlight w:val="none"/>
        </w:rPr>
        <w:br w:type="page"/>
      </w:r>
      <w:r>
        <w:rPr>
          <w:color w:val="auto"/>
          <w:highlight w:val="none"/>
        </w:rPr>
        <w:t>十二、响应偏差表</w:t>
      </w:r>
    </w:p>
    <w:p>
      <w:pPr>
        <w:pStyle w:val="98"/>
        <w:jc w:val="center"/>
        <w:rPr>
          <w:rFonts w:hint="eastAsia"/>
          <w:color w:val="auto"/>
          <w:sz w:val="32"/>
          <w:szCs w:val="32"/>
          <w:highlight w:val="none"/>
        </w:rPr>
      </w:pPr>
      <w:bookmarkStart w:id="149" w:name="_Toc29509_WPSOffice_Level2"/>
      <w:bookmarkEnd w:id="149"/>
      <w:r>
        <w:rPr>
          <w:rFonts w:hint="eastAsia"/>
          <w:color w:val="auto"/>
          <w:sz w:val="32"/>
          <w:szCs w:val="32"/>
          <w:highlight w:val="none"/>
        </w:rPr>
        <w:t>（一）投标技术响应偏差表</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43"/>
        <w:gridCol w:w="2682"/>
        <w:gridCol w:w="26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招标文件内容</w:t>
            </w: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投标文件内容</w:t>
            </w: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偏差内容及说明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bl>
    <w:p>
      <w:pPr>
        <w:pStyle w:val="257"/>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pPr>
        <w:pStyle w:val="257"/>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pPr>
        <w:pStyle w:val="97"/>
        <w:ind w:firstLine="482"/>
        <w:rPr>
          <w:rFonts w:hint="eastAsia" w:hAnsi="宋体"/>
          <w:b/>
          <w:bCs/>
          <w:color w:val="auto"/>
          <w:sz w:val="24"/>
          <w:szCs w:val="28"/>
          <w:highlight w:val="none"/>
        </w:rPr>
      </w:pPr>
    </w:p>
    <w:p>
      <w:pPr>
        <w:pStyle w:val="97"/>
        <w:rPr>
          <w:rFonts w:hint="eastAsia" w:hAnsi="宋体"/>
          <w:b/>
          <w:bCs/>
          <w:color w:val="auto"/>
          <w:sz w:val="24"/>
          <w:szCs w:val="28"/>
          <w:highlight w:val="none"/>
        </w:rPr>
      </w:pPr>
      <w:r>
        <w:rPr>
          <w:rFonts w:hint="eastAsia" w:hAnsi="宋体"/>
          <w:b/>
          <w:bCs/>
          <w:color w:val="auto"/>
          <w:sz w:val="24"/>
          <w:szCs w:val="28"/>
          <w:highlight w:val="none"/>
        </w:rPr>
        <w:t>1、凡投标文件中所投货物或服务与招标文件有偏差的（包括正偏差，负偏差），均应在此表中详细列出并说明理由。第四部分技术要求须逐条应答。</w:t>
      </w:r>
    </w:p>
    <w:p>
      <w:pPr>
        <w:pStyle w:val="98"/>
        <w:snapToGrid w:val="0"/>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2、投标人所投产品如与招标文件要求的规格及配置不一致，则须在上表偏离说明中详细注明。</w:t>
      </w:r>
    </w:p>
    <w:p>
      <w:pPr>
        <w:pStyle w:val="203"/>
        <w:rPr>
          <w:rFonts w:hint="eastAsia" w:ascii="宋体" w:hAnsi="宋体"/>
          <w:b/>
          <w:bCs/>
          <w:color w:val="auto"/>
          <w:sz w:val="24"/>
          <w:szCs w:val="28"/>
          <w:highlight w:val="none"/>
        </w:rPr>
      </w:pPr>
      <w:r>
        <w:rPr>
          <w:rFonts w:hint="eastAsia" w:ascii="宋体" w:hAnsi="宋体"/>
          <w:b/>
          <w:bCs/>
          <w:color w:val="auto"/>
          <w:sz w:val="24"/>
          <w:szCs w:val="28"/>
          <w:highlight w:val="none"/>
        </w:rPr>
        <w:t>3、响应部分可后附详细说明及技术资料，并注明投标文件中对应的页码范围。</w:t>
      </w:r>
    </w:p>
    <w:p>
      <w:pPr>
        <w:pStyle w:val="380"/>
        <w:jc w:val="center"/>
        <w:rPr>
          <w:rFonts w:hint="eastAsia"/>
          <w:color w:val="auto"/>
          <w:highlight w:val="none"/>
          <w:lang w:eastAsia="zh-CN"/>
        </w:rPr>
      </w:pPr>
    </w:p>
    <w:p>
      <w:pPr>
        <w:pStyle w:val="380"/>
        <w:jc w:val="center"/>
        <w:rPr>
          <w:rFonts w:hint="eastAsia"/>
          <w:color w:val="auto"/>
          <w:highlight w:val="none"/>
          <w:lang w:eastAsia="zh-CN"/>
        </w:rPr>
      </w:pPr>
    </w:p>
    <w:p>
      <w:pPr>
        <w:pStyle w:val="380"/>
        <w:jc w:val="center"/>
        <w:outlineLvl w:val="1"/>
        <w:rPr>
          <w:rFonts w:hint="eastAsia"/>
          <w:color w:val="auto"/>
          <w:highlight w:val="none"/>
          <w:lang w:eastAsia="zh-CN"/>
        </w:rPr>
      </w:pPr>
      <w:bookmarkStart w:id="150" w:name="_Toc514054498"/>
      <w:bookmarkEnd w:id="150"/>
      <w:bookmarkStart w:id="151" w:name="_Toc3171_WPSOffice_Level2"/>
      <w:bookmarkEnd w:id="151"/>
      <w:bookmarkStart w:id="152" w:name="_Toc9396"/>
      <w:bookmarkEnd w:id="152"/>
      <w:r>
        <w:rPr>
          <w:rFonts w:hint="eastAsia"/>
          <w:color w:val="auto"/>
          <w:highlight w:val="none"/>
          <w:lang w:eastAsia="zh-CN"/>
        </w:rPr>
        <w:t>（二）投标商务偏离表</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43"/>
        <w:gridCol w:w="2682"/>
        <w:gridCol w:w="26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招标文件内容</w:t>
            </w: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投标文件内容</w:t>
            </w: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偏差内容及说明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c>
          <w:tcPr>
            <w:tcW w:w="2682" w:type="dxa"/>
            <w:tcBorders>
              <w:top w:val="single" w:color="000000" w:sz="4" w:space="0"/>
              <w:left w:val="single" w:color="000000" w:sz="4" w:space="0"/>
              <w:bottom w:val="single" w:color="000000" w:sz="4" w:space="0"/>
              <w:right w:val="single" w:color="000000" w:sz="4" w:space="0"/>
            </w:tcBorders>
            <w:vAlign w:val="center"/>
          </w:tcPr>
          <w:p>
            <w:pPr>
              <w:pStyle w:val="98"/>
              <w:spacing w:line="560" w:lineRule="exact"/>
              <w:jc w:val="center"/>
              <w:rPr>
                <w:rFonts w:ascii="仿宋_GB2312" w:eastAsia="仿宋_GB2312"/>
                <w:color w:val="auto"/>
                <w:sz w:val="24"/>
                <w:highlight w:val="none"/>
              </w:rPr>
            </w:pPr>
          </w:p>
        </w:tc>
      </w:tr>
    </w:tbl>
    <w:p>
      <w:pPr>
        <w:pStyle w:val="257"/>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pPr>
        <w:pStyle w:val="257"/>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pPr>
        <w:pStyle w:val="97"/>
        <w:ind w:firstLine="482"/>
        <w:rPr>
          <w:rFonts w:hint="eastAsia" w:hAnsi="宋体"/>
          <w:b/>
          <w:bCs/>
          <w:color w:val="auto"/>
          <w:sz w:val="24"/>
          <w:szCs w:val="28"/>
          <w:highlight w:val="none"/>
        </w:rPr>
      </w:pPr>
    </w:p>
    <w:p>
      <w:pPr>
        <w:pStyle w:val="97"/>
        <w:rPr>
          <w:rFonts w:hint="eastAsia" w:hAnsi="宋体"/>
          <w:b/>
          <w:bCs/>
          <w:color w:val="auto"/>
          <w:sz w:val="24"/>
          <w:szCs w:val="28"/>
          <w:highlight w:val="none"/>
        </w:rPr>
      </w:pPr>
      <w:r>
        <w:rPr>
          <w:rFonts w:hint="eastAsia" w:hAnsi="宋体"/>
          <w:b/>
          <w:bCs/>
          <w:color w:val="auto"/>
          <w:sz w:val="24"/>
          <w:szCs w:val="28"/>
          <w:highlight w:val="none"/>
        </w:rPr>
        <w:t>1、凡投标文件中所投货物或服务与招标文件有偏差的（包括正偏差，负偏差），均应在此表中详细列出并说明理由，须点对点应答。</w:t>
      </w:r>
    </w:p>
    <w:p>
      <w:pPr>
        <w:pStyle w:val="98"/>
        <w:snapToGrid w:val="0"/>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2、投标人商务条件如与招标文件要求的不一致，则须在上表偏离说明中详细注明。</w:t>
      </w:r>
    </w:p>
    <w:p>
      <w:pPr>
        <w:pStyle w:val="380"/>
        <w:outlineLvl w:val="1"/>
        <w:rPr>
          <w:color w:val="auto"/>
          <w:highlight w:val="none"/>
        </w:rPr>
      </w:pPr>
      <w:bookmarkStart w:id="153" w:name="_Toc14591"/>
      <w:bookmarkEnd w:id="153"/>
      <w:bookmarkStart w:id="154" w:name="_Toc514054500"/>
      <w:bookmarkEnd w:id="154"/>
      <w:r>
        <w:rPr>
          <w:color w:val="auto"/>
          <w:highlight w:val="none"/>
        </w:rPr>
        <w:br w:type="page"/>
      </w:r>
      <w:r>
        <w:rPr>
          <w:color w:val="auto"/>
          <w:highlight w:val="none"/>
        </w:rPr>
        <w:t>十三、所投产品技术资料或样本等</w:t>
      </w:r>
    </w:p>
    <w:p>
      <w:pPr>
        <w:pStyle w:val="196"/>
        <w:rPr>
          <w:rFonts w:hint="eastAsia" w:ascii="宋体"/>
          <w:bCs/>
          <w:color w:val="auto"/>
          <w:szCs w:val="21"/>
          <w:highlight w:val="none"/>
        </w:rPr>
      </w:pPr>
      <w:r>
        <w:rPr>
          <w:rFonts w:hint="eastAsia" w:ascii="宋体"/>
          <w:bCs/>
          <w:color w:val="auto"/>
          <w:szCs w:val="21"/>
          <w:highlight w:val="none"/>
        </w:rPr>
        <w:t>格式自拟，可附相关产品技术彩页</w:t>
      </w:r>
    </w:p>
    <w:p>
      <w:pPr>
        <w:pStyle w:val="317"/>
        <w:outlineLvl w:val="1"/>
        <w:rPr>
          <w:color w:val="auto"/>
          <w:highlight w:val="none"/>
        </w:rPr>
      </w:pPr>
      <w:bookmarkStart w:id="155" w:name="_Toc23522_WPSOffice_Level2"/>
      <w:bookmarkEnd w:id="155"/>
      <w:bookmarkStart w:id="156" w:name="_Toc514054501"/>
      <w:bookmarkEnd w:id="156"/>
      <w:bookmarkStart w:id="157" w:name="_Toc27623"/>
      <w:bookmarkEnd w:id="157"/>
      <w:r>
        <w:rPr>
          <w:color w:val="auto"/>
          <w:highlight w:val="none"/>
        </w:rPr>
        <w:br w:type="page"/>
      </w:r>
      <w:r>
        <w:rPr>
          <w:color w:val="auto"/>
          <w:highlight w:val="none"/>
        </w:rPr>
        <w:t>十四、主要部件、辅材明细表</w:t>
      </w:r>
    </w:p>
    <w:p>
      <w:pPr>
        <w:pStyle w:val="248"/>
        <w:rPr>
          <w:rFonts w:hint="eastAsia"/>
          <w:color w:val="auto"/>
          <w:highlight w:val="none"/>
        </w:rPr>
      </w:pPr>
    </w:p>
    <w:tbl>
      <w:tblPr>
        <w:tblStyle w:val="13"/>
        <w:tblpPr w:leftFromText="180" w:rightFromText="180" w:vertAnchor="text" w:horzAnchor="margin" w:tblpY="3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3"/>
        <w:gridCol w:w="1260"/>
        <w:gridCol w:w="1080"/>
        <w:gridCol w:w="1440"/>
        <w:gridCol w:w="1974"/>
        <w:gridCol w:w="19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主要部件及辅材</w:t>
            </w:r>
          </w:p>
        </w:tc>
        <w:tc>
          <w:tcPr>
            <w:tcW w:w="126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品牌</w:t>
            </w:r>
          </w:p>
        </w:tc>
        <w:tc>
          <w:tcPr>
            <w:tcW w:w="108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产地</w:t>
            </w:r>
          </w:p>
        </w:tc>
        <w:tc>
          <w:tcPr>
            <w:tcW w:w="144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生产厂家</w:t>
            </w:r>
          </w:p>
        </w:tc>
        <w:tc>
          <w:tcPr>
            <w:tcW w:w="1974"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主要技术参数</w:t>
            </w:r>
          </w:p>
        </w:tc>
        <w:tc>
          <w:tcPr>
            <w:tcW w:w="1901"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质保期满后优惠价格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26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08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44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974"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901"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26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08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44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974"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901"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26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08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44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974"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901"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trPr>
        <w:tc>
          <w:tcPr>
            <w:tcW w:w="1453"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26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08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44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974"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901"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26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08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44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974"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901"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26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08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44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974"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901"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26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08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44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974"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c>
          <w:tcPr>
            <w:tcW w:w="1901"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26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08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440" w:type="dxa"/>
            <w:tcBorders>
              <w:top w:val="single" w:color="000000" w:sz="4" w:space="0"/>
              <w:left w:val="single" w:color="000000" w:sz="4" w:space="0"/>
              <w:bottom w:val="single" w:color="000000" w:sz="4" w:space="0"/>
              <w:right w:val="single" w:color="000000" w:sz="4" w:space="0"/>
            </w:tcBorders>
            <w:vAlign w:val="center"/>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974"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c>
          <w:tcPr>
            <w:tcW w:w="1901"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26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c>
          <w:tcPr>
            <w:tcW w:w="108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c>
          <w:tcPr>
            <w:tcW w:w="144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c>
          <w:tcPr>
            <w:tcW w:w="1974"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c>
          <w:tcPr>
            <w:tcW w:w="1901"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26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c>
          <w:tcPr>
            <w:tcW w:w="108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c>
          <w:tcPr>
            <w:tcW w:w="144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c>
          <w:tcPr>
            <w:tcW w:w="1974"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c>
          <w:tcPr>
            <w:tcW w:w="1901"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26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c>
          <w:tcPr>
            <w:tcW w:w="108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c>
          <w:tcPr>
            <w:tcW w:w="144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c>
          <w:tcPr>
            <w:tcW w:w="1974"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c>
          <w:tcPr>
            <w:tcW w:w="1901"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jc w:val="center"/>
              <w:rPr>
                <w:rFonts w:ascii="仿宋_GB2312" w:eastAsia="仿宋_GB2312"/>
                <w:color w:val="auto"/>
                <w:sz w:val="24"/>
                <w:szCs w:val="22"/>
                <w:highlight w:val="none"/>
              </w:rPr>
            </w:pPr>
          </w:p>
        </w:tc>
        <w:tc>
          <w:tcPr>
            <w:tcW w:w="126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c>
          <w:tcPr>
            <w:tcW w:w="108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c>
          <w:tcPr>
            <w:tcW w:w="1440"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c>
          <w:tcPr>
            <w:tcW w:w="1974"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c>
          <w:tcPr>
            <w:tcW w:w="1901" w:type="dxa"/>
            <w:tcBorders>
              <w:top w:val="single" w:color="000000" w:sz="4" w:space="0"/>
              <w:left w:val="single" w:color="000000" w:sz="4" w:space="0"/>
              <w:bottom w:val="single" w:color="000000" w:sz="4" w:space="0"/>
              <w:right w:val="single" w:color="000000" w:sz="4" w:space="0"/>
            </w:tcBorders>
            <w:vAlign w:val="top"/>
          </w:tcPr>
          <w:p>
            <w:pPr>
              <w:pStyle w:val="411"/>
              <w:widowControl/>
              <w:snapToGrid w:val="0"/>
              <w:spacing w:before="100" w:beforeAutospacing="1" w:line="560" w:lineRule="exact"/>
              <w:rPr>
                <w:rFonts w:ascii="仿宋_GB2312" w:eastAsia="仿宋_GB2312"/>
                <w:color w:val="auto"/>
                <w:sz w:val="24"/>
                <w:szCs w:val="22"/>
                <w:highlight w:val="none"/>
              </w:rPr>
            </w:pPr>
          </w:p>
        </w:tc>
      </w:tr>
    </w:tbl>
    <w:p>
      <w:pPr>
        <w:pStyle w:val="411"/>
        <w:widowControl/>
        <w:snapToGrid w:val="0"/>
        <w:spacing w:before="100" w:beforeAutospacing="1" w:line="480" w:lineRule="exact"/>
        <w:ind w:left="-329" w:leftChars="-137" w:firstLine="285" w:firstLineChars="119"/>
        <w:rPr>
          <w:rFonts w:hint="eastAsia" w:ascii="仿宋_GB2312" w:eastAsia="仿宋_GB2312"/>
          <w:bCs/>
          <w:color w:val="auto"/>
          <w:sz w:val="24"/>
          <w:highlight w:val="none"/>
        </w:rPr>
      </w:pPr>
      <w:r>
        <w:rPr>
          <w:rFonts w:hint="eastAsia" w:ascii="仿宋_GB2312" w:eastAsia="仿宋_GB2312"/>
          <w:bCs/>
          <w:color w:val="auto"/>
          <w:sz w:val="24"/>
          <w:highlight w:val="none"/>
        </w:rPr>
        <w:t>注：投标人应将所投货物的主要部件、配件等材料的品牌、产地、相关参数、质保期满后的优惠价格等在表中空白处填列。</w:t>
      </w:r>
    </w:p>
    <w:p>
      <w:pPr>
        <w:pStyle w:val="411"/>
        <w:spacing w:line="560" w:lineRule="exact"/>
        <w:ind w:right="120" w:rightChars="50" w:firstLine="313" w:firstLineChars="98"/>
        <w:rPr>
          <w:rFonts w:hint="eastAsia" w:ascii="仿宋_GB2312" w:eastAsia="仿宋_GB2312"/>
          <w:color w:val="auto"/>
          <w:sz w:val="32"/>
          <w:szCs w:val="32"/>
          <w:highlight w:val="none"/>
        </w:rPr>
      </w:pPr>
    </w:p>
    <w:p>
      <w:pPr>
        <w:pStyle w:val="411"/>
        <w:spacing w:line="560" w:lineRule="exact"/>
        <w:ind w:right="120" w:rightChars="50" w:firstLine="313" w:firstLineChars="98"/>
        <w:rPr>
          <w:rFonts w:hint="eastAsia" w:ascii="仿宋_GB2312" w:eastAsia="仿宋_GB2312"/>
          <w:color w:val="auto"/>
          <w:sz w:val="32"/>
          <w:szCs w:val="32"/>
          <w:highlight w:val="none"/>
        </w:rPr>
      </w:pPr>
    </w:p>
    <w:p>
      <w:pPr>
        <w:pStyle w:val="257"/>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pPr>
        <w:pStyle w:val="257"/>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pPr>
        <w:pStyle w:val="364"/>
        <w:outlineLvl w:val="1"/>
        <w:rPr>
          <w:color w:val="auto"/>
          <w:highlight w:val="none"/>
        </w:rPr>
      </w:pPr>
      <w:bookmarkStart w:id="158" w:name="_Toc514054502"/>
      <w:bookmarkEnd w:id="158"/>
      <w:bookmarkStart w:id="159" w:name="_Toc15828"/>
      <w:bookmarkEnd w:id="159"/>
      <w:bookmarkStart w:id="160" w:name="_Toc25001_WPSOffice_Level2"/>
      <w:bookmarkEnd w:id="160"/>
      <w:r>
        <w:rPr>
          <w:color w:val="auto"/>
          <w:highlight w:val="none"/>
        </w:rPr>
        <w:br w:type="page"/>
      </w:r>
      <w:r>
        <w:rPr>
          <w:color w:val="auto"/>
          <w:highlight w:val="none"/>
        </w:rPr>
        <w:t>十五、</w:t>
      </w:r>
      <w:r>
        <w:rPr>
          <w:rFonts w:hint="eastAsia"/>
          <w:color w:val="auto"/>
          <w:highlight w:val="none"/>
          <w:lang w:val="en-US" w:eastAsia="zh-CN"/>
        </w:rPr>
        <w:t>服务</w:t>
      </w:r>
      <w:r>
        <w:rPr>
          <w:color w:val="auto"/>
          <w:highlight w:val="none"/>
        </w:rPr>
        <w:t>方案</w:t>
      </w:r>
    </w:p>
    <w:p>
      <w:pPr>
        <w:pStyle w:val="315"/>
        <w:spacing w:line="560" w:lineRule="exact"/>
        <w:jc w:val="center"/>
        <w:rPr>
          <w:rFonts w:hint="eastAsia" w:ascii="宋体"/>
          <w:b/>
          <w:bCs/>
          <w:color w:val="auto"/>
          <w:sz w:val="32"/>
          <w:szCs w:val="32"/>
          <w:highlight w:val="none"/>
        </w:rPr>
      </w:pPr>
      <w:bookmarkStart w:id="161" w:name="_Toc2882_WPSOffice_Level2"/>
      <w:bookmarkEnd w:id="161"/>
      <w:r>
        <w:rPr>
          <w:rFonts w:hint="eastAsia" w:ascii="宋体"/>
          <w:b/>
          <w:bCs/>
          <w:color w:val="auto"/>
          <w:sz w:val="32"/>
          <w:szCs w:val="32"/>
          <w:highlight w:val="none"/>
        </w:rPr>
        <w:t>按照招标文件要求，格式自拟</w:t>
      </w:r>
    </w:p>
    <w:p>
      <w:pPr>
        <w:pStyle w:val="327"/>
        <w:outlineLvl w:val="1"/>
        <w:rPr>
          <w:color w:val="auto"/>
          <w:highlight w:val="none"/>
        </w:rPr>
      </w:pPr>
      <w:bookmarkStart w:id="162" w:name="_Toc514054504"/>
      <w:bookmarkEnd w:id="162"/>
      <w:bookmarkStart w:id="163" w:name="_Toc30208_WPSOffice_Level2"/>
      <w:bookmarkEnd w:id="163"/>
      <w:bookmarkStart w:id="164" w:name="_Toc5519"/>
      <w:bookmarkEnd w:id="164"/>
      <w:r>
        <w:rPr>
          <w:color w:val="auto"/>
          <w:highlight w:val="none"/>
        </w:rPr>
        <w:br w:type="page"/>
      </w:r>
      <w:r>
        <w:rPr>
          <w:color w:val="auto"/>
          <w:highlight w:val="none"/>
        </w:rPr>
        <w:t>十</w:t>
      </w:r>
      <w:r>
        <w:rPr>
          <w:rFonts w:hint="eastAsia"/>
          <w:color w:val="auto"/>
          <w:highlight w:val="none"/>
          <w:lang w:val="en-US" w:eastAsia="zh-CN"/>
        </w:rPr>
        <w:t>六</w:t>
      </w:r>
      <w:r>
        <w:rPr>
          <w:color w:val="auto"/>
          <w:highlight w:val="none"/>
        </w:rPr>
        <w:t>、投标人承担类似项目业绩一览表</w:t>
      </w:r>
    </w:p>
    <w:p>
      <w:pPr>
        <w:pStyle w:val="187"/>
        <w:jc w:val="center"/>
        <w:rPr>
          <w:rFonts w:hint="eastAsia"/>
          <w:b/>
          <w:color w:val="auto"/>
          <w:sz w:val="32"/>
          <w:szCs w:val="32"/>
          <w:highlight w:val="none"/>
        </w:rPr>
      </w:pPr>
      <w:bookmarkStart w:id="165" w:name="_Toc10294_WPSOffice_Level2"/>
      <w:bookmarkEnd w:id="165"/>
      <w:r>
        <w:rPr>
          <w:rFonts w:hint="eastAsia"/>
          <w:b/>
          <w:color w:val="auto"/>
          <w:sz w:val="32"/>
          <w:szCs w:val="32"/>
          <w:highlight w:val="none"/>
        </w:rPr>
        <w:t>投标人承担类似项目业绩一览表</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vAlign w:val="top"/>
          </w:tcPr>
          <w:p>
            <w:pPr>
              <w:pStyle w:val="278"/>
              <w:spacing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3827" w:type="dxa"/>
            <w:vAlign w:val="center"/>
          </w:tcPr>
          <w:p>
            <w:pPr>
              <w:pStyle w:val="278"/>
              <w:spacing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项目名称</w:t>
            </w:r>
          </w:p>
        </w:tc>
        <w:tc>
          <w:tcPr>
            <w:tcW w:w="2433" w:type="dxa"/>
            <w:vAlign w:val="center"/>
          </w:tcPr>
          <w:p>
            <w:pPr>
              <w:pStyle w:val="278"/>
              <w:spacing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采购单位</w:t>
            </w:r>
          </w:p>
        </w:tc>
        <w:tc>
          <w:tcPr>
            <w:tcW w:w="1395" w:type="dxa"/>
            <w:vAlign w:val="center"/>
          </w:tcPr>
          <w:p>
            <w:pPr>
              <w:pStyle w:val="278"/>
              <w:spacing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合同金额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vAlign w:val="top"/>
          </w:tcPr>
          <w:p>
            <w:pPr>
              <w:pStyle w:val="278"/>
              <w:spacing w:line="560" w:lineRule="exact"/>
              <w:jc w:val="center"/>
              <w:rPr>
                <w:rFonts w:ascii="仿宋_GB2312" w:eastAsia="仿宋_GB2312"/>
                <w:color w:val="auto"/>
                <w:sz w:val="28"/>
                <w:highlight w:val="none"/>
              </w:rPr>
            </w:pPr>
          </w:p>
        </w:tc>
        <w:tc>
          <w:tcPr>
            <w:tcW w:w="3827" w:type="dxa"/>
            <w:vAlign w:val="center"/>
          </w:tcPr>
          <w:p>
            <w:pPr>
              <w:pStyle w:val="278"/>
              <w:spacing w:line="560" w:lineRule="exact"/>
              <w:jc w:val="center"/>
              <w:rPr>
                <w:rFonts w:ascii="仿宋_GB2312" w:eastAsia="仿宋_GB2312"/>
                <w:color w:val="auto"/>
                <w:sz w:val="28"/>
                <w:highlight w:val="none"/>
              </w:rPr>
            </w:pPr>
          </w:p>
        </w:tc>
        <w:tc>
          <w:tcPr>
            <w:tcW w:w="2433" w:type="dxa"/>
            <w:vAlign w:val="center"/>
          </w:tcPr>
          <w:p>
            <w:pPr>
              <w:pStyle w:val="278"/>
              <w:spacing w:line="560" w:lineRule="exact"/>
              <w:jc w:val="center"/>
              <w:rPr>
                <w:rFonts w:ascii="仿宋_GB2312" w:eastAsia="仿宋_GB2312"/>
                <w:color w:val="auto"/>
                <w:sz w:val="28"/>
                <w:highlight w:val="none"/>
              </w:rPr>
            </w:pPr>
          </w:p>
        </w:tc>
        <w:tc>
          <w:tcPr>
            <w:tcW w:w="1395" w:type="dxa"/>
            <w:vAlign w:val="center"/>
          </w:tcPr>
          <w:p>
            <w:pPr>
              <w:pStyle w:val="278"/>
              <w:spacing w:line="560" w:lineRule="exact"/>
              <w:jc w:val="center"/>
              <w:rPr>
                <w:rFonts w:ascii="仿宋_GB2312" w:eastAsia="仿宋_GB2312"/>
                <w:color w:val="auto"/>
                <w:sz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vAlign w:val="top"/>
          </w:tcPr>
          <w:p>
            <w:pPr>
              <w:pStyle w:val="278"/>
              <w:spacing w:line="560" w:lineRule="exact"/>
              <w:jc w:val="center"/>
              <w:rPr>
                <w:rFonts w:ascii="仿宋_GB2312" w:eastAsia="仿宋_GB2312"/>
                <w:color w:val="auto"/>
                <w:sz w:val="28"/>
                <w:highlight w:val="none"/>
              </w:rPr>
            </w:pPr>
          </w:p>
        </w:tc>
        <w:tc>
          <w:tcPr>
            <w:tcW w:w="3827" w:type="dxa"/>
            <w:vAlign w:val="center"/>
          </w:tcPr>
          <w:p>
            <w:pPr>
              <w:pStyle w:val="278"/>
              <w:spacing w:line="560" w:lineRule="exact"/>
              <w:jc w:val="center"/>
              <w:rPr>
                <w:rFonts w:ascii="仿宋_GB2312" w:eastAsia="仿宋_GB2312"/>
                <w:color w:val="auto"/>
                <w:sz w:val="28"/>
                <w:highlight w:val="none"/>
              </w:rPr>
            </w:pPr>
          </w:p>
        </w:tc>
        <w:tc>
          <w:tcPr>
            <w:tcW w:w="2433" w:type="dxa"/>
            <w:vAlign w:val="center"/>
          </w:tcPr>
          <w:p>
            <w:pPr>
              <w:pStyle w:val="278"/>
              <w:spacing w:line="560" w:lineRule="exact"/>
              <w:jc w:val="center"/>
              <w:rPr>
                <w:rFonts w:ascii="仿宋_GB2312" w:eastAsia="仿宋_GB2312"/>
                <w:color w:val="auto"/>
                <w:sz w:val="28"/>
                <w:highlight w:val="none"/>
              </w:rPr>
            </w:pPr>
          </w:p>
        </w:tc>
        <w:tc>
          <w:tcPr>
            <w:tcW w:w="1395" w:type="dxa"/>
            <w:vAlign w:val="center"/>
          </w:tcPr>
          <w:p>
            <w:pPr>
              <w:pStyle w:val="278"/>
              <w:spacing w:line="560" w:lineRule="exact"/>
              <w:jc w:val="center"/>
              <w:rPr>
                <w:rFonts w:ascii="仿宋_GB2312" w:eastAsia="仿宋_GB2312"/>
                <w:color w:val="auto"/>
                <w:sz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vAlign w:val="top"/>
          </w:tcPr>
          <w:p>
            <w:pPr>
              <w:pStyle w:val="278"/>
              <w:spacing w:line="560" w:lineRule="exact"/>
              <w:jc w:val="center"/>
              <w:rPr>
                <w:rFonts w:ascii="仿宋_GB2312" w:eastAsia="仿宋_GB2312"/>
                <w:color w:val="auto"/>
                <w:sz w:val="28"/>
                <w:highlight w:val="none"/>
              </w:rPr>
            </w:pPr>
          </w:p>
        </w:tc>
        <w:tc>
          <w:tcPr>
            <w:tcW w:w="3827" w:type="dxa"/>
            <w:vAlign w:val="center"/>
          </w:tcPr>
          <w:p>
            <w:pPr>
              <w:pStyle w:val="278"/>
              <w:spacing w:line="560" w:lineRule="exact"/>
              <w:jc w:val="center"/>
              <w:rPr>
                <w:rFonts w:ascii="仿宋_GB2312" w:eastAsia="仿宋_GB2312"/>
                <w:color w:val="auto"/>
                <w:sz w:val="28"/>
                <w:highlight w:val="none"/>
              </w:rPr>
            </w:pPr>
          </w:p>
        </w:tc>
        <w:tc>
          <w:tcPr>
            <w:tcW w:w="2433" w:type="dxa"/>
            <w:vAlign w:val="center"/>
          </w:tcPr>
          <w:p>
            <w:pPr>
              <w:pStyle w:val="278"/>
              <w:spacing w:line="560" w:lineRule="exact"/>
              <w:jc w:val="center"/>
              <w:rPr>
                <w:rFonts w:ascii="仿宋_GB2312" w:eastAsia="仿宋_GB2312"/>
                <w:color w:val="auto"/>
                <w:sz w:val="28"/>
                <w:highlight w:val="none"/>
              </w:rPr>
            </w:pPr>
          </w:p>
        </w:tc>
        <w:tc>
          <w:tcPr>
            <w:tcW w:w="1395" w:type="dxa"/>
            <w:vAlign w:val="center"/>
          </w:tcPr>
          <w:p>
            <w:pPr>
              <w:pStyle w:val="278"/>
              <w:spacing w:line="560" w:lineRule="exact"/>
              <w:jc w:val="center"/>
              <w:rPr>
                <w:rFonts w:ascii="仿宋_GB2312" w:eastAsia="仿宋_GB2312"/>
                <w:color w:val="auto"/>
                <w:sz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vAlign w:val="top"/>
          </w:tcPr>
          <w:p>
            <w:pPr>
              <w:pStyle w:val="278"/>
              <w:spacing w:line="560" w:lineRule="exact"/>
              <w:jc w:val="center"/>
              <w:rPr>
                <w:rFonts w:ascii="仿宋_GB2312" w:eastAsia="仿宋_GB2312"/>
                <w:color w:val="auto"/>
                <w:sz w:val="28"/>
                <w:highlight w:val="none"/>
              </w:rPr>
            </w:pPr>
          </w:p>
        </w:tc>
        <w:tc>
          <w:tcPr>
            <w:tcW w:w="3827" w:type="dxa"/>
            <w:vAlign w:val="center"/>
          </w:tcPr>
          <w:p>
            <w:pPr>
              <w:pStyle w:val="278"/>
              <w:spacing w:line="560" w:lineRule="exact"/>
              <w:jc w:val="center"/>
              <w:rPr>
                <w:rFonts w:ascii="仿宋_GB2312" w:eastAsia="仿宋_GB2312"/>
                <w:color w:val="auto"/>
                <w:sz w:val="28"/>
                <w:highlight w:val="none"/>
              </w:rPr>
            </w:pPr>
          </w:p>
        </w:tc>
        <w:tc>
          <w:tcPr>
            <w:tcW w:w="2433" w:type="dxa"/>
            <w:vAlign w:val="center"/>
          </w:tcPr>
          <w:p>
            <w:pPr>
              <w:pStyle w:val="278"/>
              <w:spacing w:line="560" w:lineRule="exact"/>
              <w:jc w:val="center"/>
              <w:rPr>
                <w:rFonts w:ascii="仿宋_GB2312" w:eastAsia="仿宋_GB2312"/>
                <w:color w:val="auto"/>
                <w:sz w:val="28"/>
                <w:highlight w:val="none"/>
              </w:rPr>
            </w:pPr>
          </w:p>
        </w:tc>
        <w:tc>
          <w:tcPr>
            <w:tcW w:w="1395" w:type="dxa"/>
            <w:vAlign w:val="center"/>
          </w:tcPr>
          <w:p>
            <w:pPr>
              <w:pStyle w:val="278"/>
              <w:spacing w:line="560" w:lineRule="exact"/>
              <w:jc w:val="center"/>
              <w:rPr>
                <w:rFonts w:ascii="仿宋_GB2312" w:eastAsia="仿宋_GB2312"/>
                <w:color w:val="auto"/>
                <w:sz w:val="28"/>
                <w:highlight w:val="none"/>
              </w:rPr>
            </w:pPr>
          </w:p>
        </w:tc>
      </w:tr>
    </w:tbl>
    <w:p>
      <w:pPr>
        <w:pStyle w:val="269"/>
        <w:outlineLvl w:val="1"/>
        <w:rPr>
          <w:color w:val="auto"/>
          <w:highlight w:val="none"/>
        </w:rPr>
      </w:pPr>
      <w:bookmarkStart w:id="166" w:name="_Toc15753"/>
      <w:bookmarkEnd w:id="166"/>
      <w:bookmarkStart w:id="167" w:name="_Toc30836_WPSOffice_Level2"/>
      <w:bookmarkEnd w:id="167"/>
      <w:bookmarkStart w:id="168" w:name="_Toc514054505"/>
      <w:bookmarkEnd w:id="168"/>
      <w:bookmarkStart w:id="169" w:name="_Toc502821163"/>
      <w:bookmarkEnd w:id="169"/>
      <w:r>
        <w:rPr>
          <w:color w:val="auto"/>
          <w:highlight w:val="none"/>
        </w:rPr>
        <w:br w:type="page"/>
      </w:r>
      <w:r>
        <w:rPr>
          <w:color w:val="auto"/>
          <w:highlight w:val="none"/>
        </w:rPr>
        <w:t>十</w:t>
      </w:r>
      <w:r>
        <w:rPr>
          <w:rFonts w:hint="eastAsia"/>
          <w:color w:val="auto"/>
          <w:highlight w:val="none"/>
          <w:lang w:val="en-US" w:eastAsia="zh-CN"/>
        </w:rPr>
        <w:t>七</w:t>
      </w:r>
      <w:r>
        <w:rPr>
          <w:color w:val="auto"/>
          <w:highlight w:val="none"/>
        </w:rPr>
        <w:t>、投标所需其他材料</w:t>
      </w:r>
    </w:p>
    <w:p>
      <w:pPr>
        <w:pStyle w:val="346"/>
        <w:spacing w:line="360" w:lineRule="auto"/>
        <w:ind w:firstLine="420" w:firstLineChars="200"/>
        <w:rPr>
          <w:rFonts w:hint="eastAsia"/>
          <w:color w:val="auto"/>
          <w:highlight w:val="none"/>
        </w:rPr>
      </w:pPr>
      <w:r>
        <w:rPr>
          <w:rFonts w:hint="eastAsia"/>
          <w:color w:val="auto"/>
          <w:highlight w:val="none"/>
        </w:rPr>
        <w:t>请在此文档中增加投标所需其他相关内容（包括资格要求、评分办法、采购需求中涉及的证件证明及其它投标人认为有必要提供的资料），如没有请空置。</w:t>
      </w:r>
    </w:p>
    <w:p>
      <w:pPr>
        <w:rPr>
          <w:rFonts w:hint="eastAsia"/>
          <w:color w:val="auto"/>
          <w:sz w:val="20"/>
          <w:highlight w:val="none"/>
        </w:rPr>
      </w:pPr>
      <w:r>
        <w:rPr>
          <w:rFonts w:hint="eastAsia"/>
          <w:color w:val="auto"/>
          <w:sz w:val="20"/>
          <w:highlight w:val="none"/>
        </w:rPr>
        <w:t xml:space="preserve"> </w:t>
      </w:r>
    </w:p>
    <w:sectPr>
      <w:pgSz w:w="11906" w:h="16838"/>
      <w:pgMar w:top="1440" w:right="1474" w:bottom="1440"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
    <w:altName w:val="宋体"/>
    <w:panose1 w:val="00000000000000000000"/>
    <w:charset w:val="86"/>
    <w:family w:val="swiss"/>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Univers LT Std 45 Light">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Helvetica-Light">
    <w:altName w:val="Arial"/>
    <w:panose1 w:val="000000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Kingsoft Phonetic Plain">
    <w:altName w:val="Times New Roman"/>
    <w:panose1 w:val="00000000000000000000"/>
    <w:charset w:val="00"/>
    <w:family w:val="auto"/>
    <w:pitch w:val="default"/>
    <w:sig w:usb0="00000000" w:usb1="00000000" w:usb2="00000000" w:usb3="00000000" w:csb0="00040001" w:csb1="00000000"/>
  </w:font>
  <w:font w:name="Book Antiqua">
    <w:panose1 w:val="02040602050305030304"/>
    <w:charset w:val="00"/>
    <w:family w:val="roman"/>
    <w:pitch w:val="default"/>
    <w:sig w:usb0="00000287" w:usb1="00000000" w:usb2="00000000" w:usb3="00000000" w:csb0="2000009F" w:csb1="DFD70000"/>
  </w:font>
  <w:font w:name="Helvetica">
    <w:altName w:val="Arial"/>
    <w:panose1 w:val="020B0604020202020204"/>
    <w:charset w:val="00"/>
    <w:family w:val="swiss"/>
    <w:pitch w:val="default"/>
    <w:sig w:usb0="00000000" w:usb1="00000000" w:usb2="00000009" w:usb3="00000000" w:csb0="000001FF" w:csb1="00000000"/>
  </w:font>
  <w:font w:name="华文琥珀">
    <w:panose1 w:val="02010800040101010101"/>
    <w:charset w:val="86"/>
    <w:family w:val="auto"/>
    <w:pitch w:val="default"/>
    <w:sig w:usb0="00000001" w:usb1="080F0000" w:usb2="00000000" w:usb3="00000000" w:csb0="00040000" w:csb1="00000000"/>
  </w:font>
  <w:font w:name="方正大标宋简体">
    <w:altName w:val="宋体"/>
    <w:panose1 w:val="02010601030101010101"/>
    <w:charset w:val="86"/>
    <w:family w:val="script"/>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jc w:val="cente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050"/>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pPr>
                            <w:pStyle w:val="59"/>
                            <w:jc w:val="center"/>
                          </w:pPr>
                          <w:r>
                            <w:fldChar w:fldCharType="begin"/>
                          </w:r>
                          <w:r>
                            <w:rPr>
                              <w:highlight w:val="white"/>
                            </w:rPr>
                            <w:instrText xml:space="preserve">PAGE   \* MERGEFORMAT</w:instrText>
                          </w:r>
                          <w:r>
                            <w:fldChar w:fldCharType="separate"/>
                          </w:r>
                          <w:r>
                            <w:rPr>
                              <w:highlight w:val="white"/>
                              <w:lang w:val="zh-CN"/>
                            </w:rPr>
                            <w:t>30</w:t>
                          </w:r>
                          <w:r>
                            <w:fldChar w:fldCharType="end"/>
                          </w:r>
                        </w:p>
                        <w:p/>
                      </w:txbxContent>
                    </wps:txbx>
                    <wps:bodyPr rot="0" vert="horz" wrap="square" lIns="91440" tIns="45720" rIns="91440" bIns="45720" anchor="t" anchorCtr="0"/>
                  </wps:wsp>
                </a:graphicData>
              </a:graphic>
            </wp:anchor>
          </w:drawing>
        </mc:Choice>
        <mc:Fallback>
          <w:pict>
            <v:rect id="_x0000_s2050"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NjGzwTTAAAABQEAAA8AAAAAAAAAAQAgAAAAIgAAAGRycy9kb3ducmV2LnhtbFBLAQIUABQAAAAI&#10;AIdO4kBzy+deuQEAAIYDAAAOAAAAAAAAAAEAIAAAACIBAABkcnMvZTJvRG9jLnhtbFBLBQYAAAAA&#10;BgAGAFkBAABNBQAAAAA=&#10;">
              <v:fill on="f" focussize="0,0"/>
              <v:stroke on="f"/>
              <v:imagedata o:title=""/>
              <o:lock v:ext="edit" aspectratio="f"/>
              <v:textbox>
                <w:txbxContent>
                  <w:p>
                    <w:pPr>
                      <w:pStyle w:val="59"/>
                      <w:jc w:val="center"/>
                    </w:pPr>
                    <w:r>
                      <w:fldChar w:fldCharType="begin"/>
                    </w:r>
                    <w:r>
                      <w:rPr>
                        <w:highlight w:val="white"/>
                      </w:rPr>
                      <w:instrText xml:space="preserve">PAGE   \* MERGEFORMAT</w:instrText>
                    </w:r>
                    <w:r>
                      <w:fldChar w:fldCharType="separate"/>
                    </w:r>
                    <w:r>
                      <w:rPr>
                        <w:highlight w:val="white"/>
                        <w:lang w:val="zh-CN"/>
                      </w:rPr>
                      <w:t>30</w:t>
                    </w:r>
                    <w:r>
                      <w:fldChar w:fldCharType="end"/>
                    </w:r>
                  </w:p>
                  <w:p/>
                </w:txbxContent>
              </v:textbox>
            </v:rect>
          </w:pict>
        </mc:Fallback>
      </mc:AlternateContent>
    </w:r>
  </w:p>
  <w:p>
    <w:pPr>
      <w:pStyle w:val="59"/>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E252C"/>
    <w:multiLevelType w:val="multilevel"/>
    <w:tmpl w:val="80CE252C"/>
    <w:lvl w:ilvl="0" w:tentative="0">
      <w:start w:val="1"/>
      <w:numFmt w:val="bullet"/>
      <w:lvlText w:val=""/>
      <w:lvlJc w:val="left"/>
      <w:pPr>
        <w:tabs>
          <w:tab w:val="left" w:pos="1325"/>
        </w:tabs>
        <w:ind w:left="1325" w:hanging="420"/>
      </w:pPr>
      <w:rPr>
        <w:rFonts w:ascii="Wingdings" w:hAnsi="Wingdings"/>
      </w:rPr>
    </w:lvl>
    <w:lvl w:ilvl="1" w:tentative="0">
      <w:start w:val="1"/>
      <w:numFmt w:val="bullet"/>
      <w:lvlText w:val=""/>
      <w:lvlJc w:val="left"/>
      <w:pPr>
        <w:tabs>
          <w:tab w:val="left" w:pos="425"/>
        </w:tabs>
        <w:ind w:left="1745" w:hanging="420"/>
      </w:pPr>
      <w:rPr>
        <w:rFonts w:ascii="Wingdings" w:hAnsi="Wingdings"/>
      </w:rPr>
    </w:lvl>
    <w:lvl w:ilvl="2" w:tentative="0">
      <w:start w:val="1"/>
      <w:numFmt w:val="bullet"/>
      <w:pStyle w:val="184"/>
      <w:lvlText w:val=""/>
      <w:lvlJc w:val="left"/>
      <w:pPr>
        <w:tabs>
          <w:tab w:val="left" w:pos="425"/>
        </w:tabs>
        <w:ind w:left="2165" w:hanging="420"/>
      </w:pPr>
      <w:rPr>
        <w:rFonts w:ascii="Wingdings" w:hAnsi="Wingdings"/>
      </w:rPr>
    </w:lvl>
    <w:lvl w:ilvl="3" w:tentative="0">
      <w:start w:val="1"/>
      <w:numFmt w:val="bullet"/>
      <w:lvlText w:val=""/>
      <w:lvlJc w:val="left"/>
      <w:pPr>
        <w:tabs>
          <w:tab w:val="left" w:pos="425"/>
        </w:tabs>
        <w:ind w:left="2585" w:hanging="420"/>
      </w:pPr>
      <w:rPr>
        <w:rFonts w:ascii="Wingdings" w:hAnsi="Wingdings"/>
      </w:rPr>
    </w:lvl>
    <w:lvl w:ilvl="4" w:tentative="0">
      <w:start w:val="1"/>
      <w:numFmt w:val="bullet"/>
      <w:lvlText w:val=""/>
      <w:lvlJc w:val="left"/>
      <w:pPr>
        <w:tabs>
          <w:tab w:val="left" w:pos="425"/>
        </w:tabs>
        <w:ind w:left="3005" w:hanging="420"/>
      </w:pPr>
      <w:rPr>
        <w:rFonts w:ascii="Wingdings" w:hAnsi="Wingdings"/>
      </w:rPr>
    </w:lvl>
    <w:lvl w:ilvl="5" w:tentative="0">
      <w:start w:val="1"/>
      <w:numFmt w:val="bullet"/>
      <w:lvlText w:val=""/>
      <w:lvlJc w:val="left"/>
      <w:pPr>
        <w:tabs>
          <w:tab w:val="left" w:pos="425"/>
        </w:tabs>
        <w:ind w:left="3425" w:hanging="420"/>
      </w:pPr>
      <w:rPr>
        <w:rFonts w:ascii="Wingdings" w:hAnsi="Wingdings"/>
      </w:rPr>
    </w:lvl>
    <w:lvl w:ilvl="6" w:tentative="0">
      <w:start w:val="1"/>
      <w:numFmt w:val="bullet"/>
      <w:lvlText w:val=""/>
      <w:lvlJc w:val="left"/>
      <w:pPr>
        <w:tabs>
          <w:tab w:val="left" w:pos="425"/>
        </w:tabs>
        <w:ind w:left="3845" w:hanging="420"/>
      </w:pPr>
      <w:rPr>
        <w:rFonts w:ascii="Wingdings" w:hAnsi="Wingdings"/>
      </w:rPr>
    </w:lvl>
    <w:lvl w:ilvl="7" w:tentative="0">
      <w:start w:val="1"/>
      <w:numFmt w:val="bullet"/>
      <w:lvlText w:val=""/>
      <w:lvlJc w:val="left"/>
      <w:pPr>
        <w:tabs>
          <w:tab w:val="left" w:pos="425"/>
        </w:tabs>
        <w:ind w:left="4265" w:hanging="420"/>
      </w:pPr>
      <w:rPr>
        <w:rFonts w:ascii="Wingdings" w:hAnsi="Wingdings"/>
      </w:rPr>
    </w:lvl>
    <w:lvl w:ilvl="8" w:tentative="0">
      <w:start w:val="1"/>
      <w:numFmt w:val="bullet"/>
      <w:lvlText w:val=""/>
      <w:lvlJc w:val="left"/>
      <w:pPr>
        <w:tabs>
          <w:tab w:val="left" w:pos="425"/>
        </w:tabs>
        <w:ind w:left="4685" w:hanging="420"/>
      </w:pPr>
      <w:rPr>
        <w:rFonts w:ascii="Wingdings" w:hAnsi="Wingdings"/>
      </w:rPr>
    </w:lvl>
  </w:abstractNum>
  <w:abstractNum w:abstractNumId="1">
    <w:nsid w:val="891CA178"/>
    <w:multiLevelType w:val="multilevel"/>
    <w:tmpl w:val="891CA178"/>
    <w:lvl w:ilvl="0" w:tentative="0">
      <w:start w:val="1"/>
      <w:numFmt w:val="upperLetter"/>
      <w:lvlText w:val="%1."/>
      <w:lvlJc w:val="left"/>
      <w:pPr>
        <w:tabs>
          <w:tab w:val="left" w:pos="1134"/>
        </w:tabs>
        <w:ind w:left="1134" w:firstLine="0"/>
      </w:pPr>
      <w:rPr>
        <w:rFonts w:ascii="Arial" w:hAnsi="Aria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9B82044E"/>
    <w:multiLevelType w:val="singleLevel"/>
    <w:tmpl w:val="9B82044E"/>
    <w:lvl w:ilvl="0" w:tentative="0">
      <w:start w:val="3"/>
      <w:numFmt w:val="decimal"/>
      <w:lvlText w:val="%1."/>
      <w:lvlJc w:val="left"/>
      <w:pPr>
        <w:tabs>
          <w:tab w:val="left" w:pos="312"/>
        </w:tabs>
      </w:pPr>
    </w:lvl>
  </w:abstractNum>
  <w:abstractNum w:abstractNumId="3">
    <w:nsid w:val="A838CA1C"/>
    <w:multiLevelType w:val="singleLevel"/>
    <w:tmpl w:val="A838CA1C"/>
    <w:lvl w:ilvl="0" w:tentative="0">
      <w:start w:val="1"/>
      <w:numFmt w:val="bullet"/>
      <w:pStyle w:val="316"/>
      <w:lvlText w:val="◆"/>
      <w:lvlJc w:val="left"/>
      <w:pPr>
        <w:tabs>
          <w:tab w:val="left" w:pos="930"/>
        </w:tabs>
        <w:ind w:left="930" w:hanging="210"/>
      </w:pPr>
      <w:rPr>
        <w:rFonts w:hint="eastAsia" w:ascii="宋体" w:hAnsi="宋体"/>
      </w:rPr>
    </w:lvl>
  </w:abstractNum>
  <w:abstractNum w:abstractNumId="4">
    <w:nsid w:val="A9484F4F"/>
    <w:multiLevelType w:val="singleLevel"/>
    <w:tmpl w:val="A9484F4F"/>
    <w:lvl w:ilvl="0" w:tentative="0">
      <w:start w:val="1"/>
      <w:numFmt w:val="chineseCounting"/>
      <w:suff w:val="nothing"/>
      <w:lvlText w:val="%1、"/>
      <w:lvlJc w:val="left"/>
      <w:rPr>
        <w:rFonts w:hint="eastAsia"/>
      </w:rPr>
    </w:lvl>
  </w:abstractNum>
  <w:abstractNum w:abstractNumId="5">
    <w:nsid w:val="B5F5B16A"/>
    <w:multiLevelType w:val="singleLevel"/>
    <w:tmpl w:val="B5F5B16A"/>
    <w:lvl w:ilvl="0" w:tentative="0">
      <w:start w:val="7"/>
      <w:numFmt w:val="chineseCounting"/>
      <w:suff w:val="nothing"/>
      <w:lvlText w:val="%1、"/>
      <w:lvlJc w:val="left"/>
      <w:rPr>
        <w:rFonts w:hint="eastAsia"/>
      </w:rPr>
    </w:lvl>
  </w:abstractNum>
  <w:abstractNum w:abstractNumId="6">
    <w:nsid w:val="C8AD9CD8"/>
    <w:multiLevelType w:val="multilevel"/>
    <w:tmpl w:val="C8AD9CD8"/>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249"/>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7">
    <w:nsid w:val="10576097"/>
    <w:multiLevelType w:val="singleLevel"/>
    <w:tmpl w:val="10576097"/>
    <w:lvl w:ilvl="0" w:tentative="0">
      <w:start w:val="3"/>
      <w:numFmt w:val="decimal"/>
      <w:suff w:val="nothing"/>
      <w:lvlText w:val="%1、"/>
      <w:lvlJc w:val="left"/>
    </w:lvl>
  </w:abstractNum>
  <w:abstractNum w:abstractNumId="8">
    <w:nsid w:val="1DC22587"/>
    <w:multiLevelType w:val="singleLevel"/>
    <w:tmpl w:val="1DC22587"/>
    <w:lvl w:ilvl="0" w:tentative="0">
      <w:start w:val="1"/>
      <w:numFmt w:val="decimal"/>
      <w:lvlText w:val="%1."/>
      <w:lvlJc w:val="left"/>
      <w:pPr>
        <w:ind w:left="425" w:hanging="425"/>
      </w:pPr>
      <w:rPr>
        <w:rFonts w:hint="default"/>
      </w:rPr>
    </w:lvl>
  </w:abstractNum>
  <w:abstractNum w:abstractNumId="9">
    <w:nsid w:val="38748006"/>
    <w:multiLevelType w:val="singleLevel"/>
    <w:tmpl w:val="38748006"/>
    <w:lvl w:ilvl="0" w:tentative="0">
      <w:start w:val="6"/>
      <w:numFmt w:val="chineseCounting"/>
      <w:suff w:val="nothing"/>
      <w:lvlText w:val="%1、"/>
      <w:lvlJc w:val="left"/>
      <w:rPr>
        <w:rFonts w:hint="eastAsia"/>
      </w:rPr>
    </w:lvl>
  </w:abstractNum>
  <w:abstractNum w:abstractNumId="10">
    <w:nsid w:val="3FE036AF"/>
    <w:multiLevelType w:val="multilevel"/>
    <w:tmpl w:val="3FE036AF"/>
    <w:lvl w:ilvl="0" w:tentative="0">
      <w:start w:val="1"/>
      <w:numFmt w:val="decimal"/>
      <w:lvlText w:val="%1."/>
      <w:lvlJc w:val="left"/>
      <w:pPr>
        <w:ind w:left="1523" w:hanging="420"/>
      </w:pPr>
    </w:lvl>
    <w:lvl w:ilvl="1" w:tentative="0">
      <w:start w:val="1"/>
      <w:numFmt w:val="lowerLetter"/>
      <w:lvlText w:val="%2)"/>
      <w:lvlJc w:val="left"/>
      <w:pPr>
        <w:ind w:left="1943" w:hanging="420"/>
      </w:pPr>
    </w:lvl>
    <w:lvl w:ilvl="2" w:tentative="0">
      <w:start w:val="1"/>
      <w:numFmt w:val="lowerRoman"/>
      <w:lvlText w:val="%3."/>
      <w:lvlJc w:val="right"/>
      <w:pPr>
        <w:ind w:left="2363" w:hanging="420"/>
      </w:pPr>
    </w:lvl>
    <w:lvl w:ilvl="3" w:tentative="0">
      <w:start w:val="1"/>
      <w:numFmt w:val="decimal"/>
      <w:lvlText w:val="%4."/>
      <w:lvlJc w:val="left"/>
      <w:pPr>
        <w:ind w:left="2783" w:hanging="420"/>
      </w:pPr>
    </w:lvl>
    <w:lvl w:ilvl="4" w:tentative="0">
      <w:start w:val="1"/>
      <w:numFmt w:val="lowerLetter"/>
      <w:lvlText w:val="%5)"/>
      <w:lvlJc w:val="left"/>
      <w:pPr>
        <w:ind w:left="3203" w:hanging="420"/>
      </w:pPr>
    </w:lvl>
    <w:lvl w:ilvl="5" w:tentative="0">
      <w:start w:val="1"/>
      <w:numFmt w:val="lowerRoman"/>
      <w:lvlText w:val="%6."/>
      <w:lvlJc w:val="right"/>
      <w:pPr>
        <w:ind w:left="3623" w:hanging="420"/>
      </w:pPr>
    </w:lvl>
    <w:lvl w:ilvl="6" w:tentative="0">
      <w:start w:val="1"/>
      <w:numFmt w:val="decimal"/>
      <w:lvlText w:val="%7."/>
      <w:lvlJc w:val="left"/>
      <w:pPr>
        <w:ind w:left="4043" w:hanging="420"/>
      </w:pPr>
    </w:lvl>
    <w:lvl w:ilvl="7" w:tentative="0">
      <w:start w:val="1"/>
      <w:numFmt w:val="lowerLetter"/>
      <w:lvlText w:val="%8)"/>
      <w:lvlJc w:val="left"/>
      <w:pPr>
        <w:ind w:left="4463" w:hanging="420"/>
      </w:pPr>
    </w:lvl>
    <w:lvl w:ilvl="8" w:tentative="0">
      <w:start w:val="1"/>
      <w:numFmt w:val="lowerRoman"/>
      <w:lvlText w:val="%9."/>
      <w:lvlJc w:val="right"/>
      <w:pPr>
        <w:ind w:left="4883" w:hanging="420"/>
      </w:pPr>
    </w:lvl>
  </w:abstractNum>
  <w:abstractNum w:abstractNumId="11">
    <w:nsid w:val="556C4D14"/>
    <w:multiLevelType w:val="multilevel"/>
    <w:tmpl w:val="556C4D14"/>
    <w:lvl w:ilvl="0" w:tentative="0">
      <w:start w:val="1"/>
      <w:numFmt w:val="chineseCountingThousand"/>
      <w:lvlText w:val="(%1)"/>
      <w:lvlJc w:val="left"/>
      <w:pPr>
        <w:ind w:left="1272" w:hanging="420"/>
      </w:pPr>
    </w:lvl>
    <w:lvl w:ilvl="1" w:tentative="0">
      <w:start w:val="1"/>
      <w:numFmt w:val="lowerLetter"/>
      <w:lvlText w:val="%2)"/>
      <w:lvlJc w:val="left"/>
      <w:pPr>
        <w:ind w:left="1548" w:hanging="420"/>
      </w:pPr>
    </w:lvl>
    <w:lvl w:ilvl="2" w:tentative="0">
      <w:start w:val="1"/>
      <w:numFmt w:val="lowerRoman"/>
      <w:lvlText w:val="%3."/>
      <w:lvlJc w:val="right"/>
      <w:pPr>
        <w:ind w:left="1968" w:hanging="420"/>
      </w:pPr>
    </w:lvl>
    <w:lvl w:ilvl="3" w:tentative="0">
      <w:start w:val="1"/>
      <w:numFmt w:val="decimal"/>
      <w:lvlText w:val="%4."/>
      <w:lvlJc w:val="left"/>
      <w:pPr>
        <w:ind w:left="2388" w:hanging="420"/>
      </w:pPr>
    </w:lvl>
    <w:lvl w:ilvl="4" w:tentative="0">
      <w:start w:val="1"/>
      <w:numFmt w:val="lowerLetter"/>
      <w:lvlText w:val="%5)"/>
      <w:lvlJc w:val="left"/>
      <w:pPr>
        <w:ind w:left="2808" w:hanging="420"/>
      </w:pPr>
    </w:lvl>
    <w:lvl w:ilvl="5" w:tentative="0">
      <w:start w:val="1"/>
      <w:numFmt w:val="lowerRoman"/>
      <w:lvlText w:val="%6."/>
      <w:lvlJc w:val="right"/>
      <w:pPr>
        <w:ind w:left="3228" w:hanging="420"/>
      </w:pPr>
    </w:lvl>
    <w:lvl w:ilvl="6" w:tentative="0">
      <w:start w:val="1"/>
      <w:numFmt w:val="decimal"/>
      <w:lvlText w:val="%7."/>
      <w:lvlJc w:val="left"/>
      <w:pPr>
        <w:ind w:left="3648" w:hanging="420"/>
      </w:pPr>
    </w:lvl>
    <w:lvl w:ilvl="7" w:tentative="0">
      <w:start w:val="1"/>
      <w:numFmt w:val="lowerLetter"/>
      <w:lvlText w:val="%8)"/>
      <w:lvlJc w:val="left"/>
      <w:pPr>
        <w:ind w:left="4068" w:hanging="420"/>
      </w:pPr>
    </w:lvl>
    <w:lvl w:ilvl="8" w:tentative="0">
      <w:start w:val="1"/>
      <w:numFmt w:val="lowerRoman"/>
      <w:lvlText w:val="%9."/>
      <w:lvlJc w:val="right"/>
      <w:pPr>
        <w:ind w:left="4488" w:hanging="420"/>
      </w:pPr>
    </w:lvl>
  </w:abstractNum>
  <w:abstractNum w:abstractNumId="12">
    <w:nsid w:val="616FB73F"/>
    <w:multiLevelType w:val="singleLevel"/>
    <w:tmpl w:val="616FB73F"/>
    <w:lvl w:ilvl="0" w:tentative="0">
      <w:start w:val="1"/>
      <w:numFmt w:val="decimal"/>
      <w:lvlText w:val="(%1)"/>
      <w:lvlJc w:val="left"/>
      <w:pPr>
        <w:ind w:left="425" w:hanging="425"/>
      </w:pPr>
    </w:lvl>
  </w:abstractNum>
  <w:abstractNum w:abstractNumId="13">
    <w:nsid w:val="7D87B292"/>
    <w:multiLevelType w:val="singleLevel"/>
    <w:tmpl w:val="7D87B292"/>
    <w:lvl w:ilvl="0" w:tentative="0">
      <w:start w:val="12"/>
      <w:numFmt w:val="decimal"/>
      <w:suff w:val="nothing"/>
      <w:lvlText w:val="%1、"/>
      <w:lvlJc w:val="left"/>
    </w:lvl>
  </w:abstractNum>
  <w:abstractNum w:abstractNumId="14">
    <w:nsid w:val="7EAF525E"/>
    <w:multiLevelType w:val="multilevel"/>
    <w:tmpl w:val="7EAF525E"/>
    <w:lvl w:ilvl="0" w:tentative="0">
      <w:start w:val="10"/>
      <w:numFmt w:val="decimal"/>
      <w:lvlText w:val="%1"/>
      <w:lvlJc w:val="left"/>
      <w:pPr>
        <w:tabs>
          <w:tab w:val="left" w:pos="480"/>
        </w:tabs>
        <w:ind w:left="480" w:hanging="480"/>
      </w:pPr>
      <w:rPr>
        <w:rFonts w:hint="eastAsia"/>
      </w:rPr>
    </w:lvl>
    <w:lvl w:ilvl="1" w:tentative="0">
      <w:start w:val="5"/>
      <w:numFmt w:val="decimal"/>
      <w:lvlText w:val="%1.%2"/>
      <w:lvlJc w:val="left"/>
      <w:pPr>
        <w:tabs>
          <w:tab w:val="left" w:pos="480"/>
        </w:tabs>
        <w:ind w:left="480" w:hanging="480"/>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1080"/>
        </w:tabs>
        <w:ind w:left="1080" w:hanging="1080"/>
      </w:pPr>
      <w:rPr>
        <w:rFonts w:hint="eastAsia"/>
      </w:rPr>
    </w:lvl>
    <w:lvl w:ilvl="4" w:tentative="0">
      <w:start w:val="1"/>
      <w:numFmt w:val="decimal"/>
      <w:lvlText w:val="%1.%2.%3.%4.%5"/>
      <w:lvlJc w:val="left"/>
      <w:pPr>
        <w:tabs>
          <w:tab w:val="left" w:pos="1080"/>
        </w:tabs>
        <w:ind w:left="1080" w:hanging="1080"/>
      </w:pPr>
      <w:rPr>
        <w:rFonts w:hint="eastAsia"/>
      </w:rPr>
    </w:lvl>
    <w:lvl w:ilvl="5" w:tentative="0">
      <w:start w:val="1"/>
      <w:numFmt w:val="decimal"/>
      <w:lvlText w:val="%1.%2.%3.%4.%5.%6"/>
      <w:lvlJc w:val="left"/>
      <w:pPr>
        <w:tabs>
          <w:tab w:val="left" w:pos="1440"/>
        </w:tabs>
        <w:ind w:left="1440" w:hanging="1440"/>
      </w:pPr>
      <w:rPr>
        <w:rFonts w:hint="eastAsia"/>
      </w:rPr>
    </w:lvl>
    <w:lvl w:ilvl="6" w:tentative="0">
      <w:start w:val="1"/>
      <w:numFmt w:val="decimal"/>
      <w:lvlText w:val="%1.%2.%3.%4.%5.%6.%7"/>
      <w:lvlJc w:val="left"/>
      <w:pPr>
        <w:tabs>
          <w:tab w:val="left" w:pos="1800"/>
        </w:tabs>
        <w:ind w:left="1800" w:hanging="1800"/>
      </w:pPr>
      <w:rPr>
        <w:rFonts w:hint="eastAsia"/>
      </w:rPr>
    </w:lvl>
    <w:lvl w:ilvl="7" w:tentative="0">
      <w:start w:val="1"/>
      <w:numFmt w:val="decimal"/>
      <w:lvlText w:val="%1.%2.%3.%4.%5.%6.%7.%8"/>
      <w:lvlJc w:val="left"/>
      <w:pPr>
        <w:tabs>
          <w:tab w:val="left" w:pos="1800"/>
        </w:tabs>
        <w:ind w:left="1800" w:hanging="1800"/>
      </w:pPr>
      <w:rPr>
        <w:rFonts w:hint="eastAsia"/>
      </w:rPr>
    </w:lvl>
    <w:lvl w:ilvl="8" w:tentative="0">
      <w:start w:val="1"/>
      <w:numFmt w:val="decimal"/>
      <w:lvlText w:val="%1.%2.%3.%4.%5.%6.%7.%8.%9"/>
      <w:lvlJc w:val="left"/>
      <w:pPr>
        <w:tabs>
          <w:tab w:val="left" w:pos="2160"/>
        </w:tabs>
        <w:ind w:left="2160" w:hanging="2160"/>
      </w:pPr>
      <w:rPr>
        <w:rFonts w:hint="eastAsia"/>
      </w:rPr>
    </w:lvl>
  </w:abstractNum>
  <w:abstractNum w:abstractNumId="15">
    <w:nsid w:val="7EAF5263"/>
    <w:multiLevelType w:val="singleLevel"/>
    <w:tmpl w:val="7EAF5263"/>
    <w:lvl w:ilvl="0" w:tentative="0">
      <w:start w:val="1"/>
      <w:numFmt w:val="decimal"/>
      <w:lvlText w:val="一、"/>
      <w:lvlJc w:val="left"/>
      <w:pPr>
        <w:tabs>
          <w:tab w:val="left" w:pos="630"/>
        </w:tabs>
        <w:ind w:left="630" w:hanging="630"/>
      </w:pPr>
      <w:rPr>
        <w:rFonts w:hint="eastAsia"/>
      </w:rPr>
    </w:lvl>
  </w:abstractNum>
  <w:num w:numId="1">
    <w:abstractNumId w:val="0"/>
  </w:num>
  <w:num w:numId="2">
    <w:abstractNumId w:val="6"/>
  </w:num>
  <w:num w:numId="3">
    <w:abstractNumId w:val="3"/>
  </w:num>
  <w:num w:numId="4">
    <w:abstractNumId w:val="11"/>
  </w:num>
  <w:num w:numId="5">
    <w:abstractNumId w:val="10"/>
  </w:num>
  <w:num w:numId="6">
    <w:abstractNumId w:val="9"/>
  </w:num>
  <w:num w:numId="7">
    <w:abstractNumId w:val="5"/>
  </w:num>
  <w:num w:numId="8">
    <w:abstractNumId w:val="2"/>
  </w:num>
  <w:num w:numId="9">
    <w:abstractNumId w:val="12"/>
  </w:num>
  <w:num w:numId="10">
    <w:abstractNumId w:val="13"/>
  </w:num>
  <w:num w:numId="11">
    <w:abstractNumId w:val="7"/>
  </w:num>
  <w:num w:numId="12">
    <w:abstractNumId w:val="15"/>
  </w:num>
  <w:num w:numId="13">
    <w:abstractNumId w:val="8"/>
  </w:num>
  <w:num w:numId="14">
    <w:abstractNumId w:val="14"/>
  </w:num>
  <w:num w:numId="15">
    <w:abstractNumId w:val="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doNotDisplayPageBoundaries w:val="1"/>
  <w:bordersDoNotSurroundHeader w:val="0"/>
  <w:bordersDoNotSurroundFooter w:val="0"/>
  <w:documentProtection w:enforcement="0"/>
  <w:defaultTabStop w:val="420"/>
  <w:displayHorizontalDrawingGridEvery w:val="1"/>
  <w:displayVerticalDrawingGridEvery w:val="1"/>
  <w:noPunctuationKerning w:val="1"/>
  <w:compat>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000000"/>
    <w:rsid w:val="04CB5FDF"/>
    <w:rsid w:val="06233BF8"/>
    <w:rsid w:val="0AA37AE9"/>
    <w:rsid w:val="0BF1663B"/>
    <w:rsid w:val="154D5425"/>
    <w:rsid w:val="16AD3796"/>
    <w:rsid w:val="177120DC"/>
    <w:rsid w:val="18EF608C"/>
    <w:rsid w:val="1A6C5716"/>
    <w:rsid w:val="1DEC525C"/>
    <w:rsid w:val="1E8C7C38"/>
    <w:rsid w:val="23840081"/>
    <w:rsid w:val="25381ECC"/>
    <w:rsid w:val="29582615"/>
    <w:rsid w:val="2F677C3D"/>
    <w:rsid w:val="33D4403C"/>
    <w:rsid w:val="387D0437"/>
    <w:rsid w:val="3C4D430D"/>
    <w:rsid w:val="3DBF4D18"/>
    <w:rsid w:val="3EE651E8"/>
    <w:rsid w:val="4B901606"/>
    <w:rsid w:val="4BFE1C3B"/>
    <w:rsid w:val="4D8C1BEE"/>
    <w:rsid w:val="521753BD"/>
    <w:rsid w:val="62F96AAC"/>
    <w:rsid w:val="69FA1237"/>
    <w:rsid w:val="6D200BC4"/>
    <w:rsid w:val="6F5B51C0"/>
    <w:rsid w:val="70A93618"/>
    <w:rsid w:val="71771B4C"/>
    <w:rsid w:val="723F7C13"/>
    <w:rsid w:val="73D47918"/>
    <w:rsid w:val="77DA2FEA"/>
    <w:rsid w:val="7C705A36"/>
    <w:rsid w:val="7C98542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36"/>
    <w:qFormat/>
    <w:uiPriority w:val="0"/>
    <w:rPr>
      <w:rFonts w:ascii="Times New Roman" w:hAnsi="Times New Roman" w:eastAsia="Times New Roman" w:cs="Times New Roman"/>
      <w:sz w:val="24"/>
      <w:szCs w:val="24"/>
      <w:lang w:val="en-US" w:bidi="ar-SA"/>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toc 1"/>
    <w:basedOn w:val="3"/>
    <w:next w:val="1"/>
    <w:qFormat/>
    <w:uiPriority w:val="0"/>
    <w:pPr>
      <w:spacing w:before="120" w:after="120"/>
      <w:jc w:val="left"/>
    </w:pPr>
    <w:rPr>
      <w:rFonts w:ascii="Calibri" w:hAnsi="Calibri"/>
      <w:b/>
      <w:bCs/>
      <w:caps/>
      <w:sz w:val="20"/>
      <w:szCs w:val="20"/>
    </w:rPr>
  </w:style>
  <w:style w:type="paragraph" w:styleId="3">
    <w:name w:val="toa heading"/>
    <w:basedOn w:val="1"/>
    <w:next w:val="1"/>
    <w:unhideWhenUsed/>
    <w:qFormat/>
    <w:uiPriority w:val="99"/>
    <w:pPr>
      <w:spacing w:before="120"/>
    </w:pPr>
    <w:rPr>
      <w:rFonts w:ascii="Cambria" w:hAnsi="Cambria"/>
      <w:sz w:val="24"/>
    </w:rPr>
  </w:style>
  <w:style w:type="paragraph" w:styleId="4">
    <w:name w:val="toc 7"/>
    <w:basedOn w:val="1"/>
    <w:next w:val="1"/>
    <w:qFormat/>
    <w:uiPriority w:val="0"/>
    <w:pPr>
      <w:ind w:left="1260"/>
      <w:jc w:val="left"/>
    </w:pPr>
    <w:rPr>
      <w:rFonts w:ascii="Calibri" w:hAnsi="Calibri"/>
      <w:sz w:val="18"/>
      <w:szCs w:val="18"/>
    </w:rPr>
  </w:style>
  <w:style w:type="paragraph" w:styleId="5">
    <w:name w:val="toc 5"/>
    <w:basedOn w:val="1"/>
    <w:next w:val="1"/>
    <w:qFormat/>
    <w:uiPriority w:val="0"/>
    <w:pPr>
      <w:ind w:left="840"/>
      <w:jc w:val="left"/>
    </w:pPr>
    <w:rPr>
      <w:rFonts w:ascii="Calibri" w:hAnsi="Calibri"/>
      <w:sz w:val="18"/>
      <w:szCs w:val="18"/>
    </w:rPr>
  </w:style>
  <w:style w:type="paragraph" w:styleId="6">
    <w:name w:val="toc 3"/>
    <w:basedOn w:val="1"/>
    <w:next w:val="1"/>
    <w:qFormat/>
    <w:uiPriority w:val="0"/>
    <w:pPr>
      <w:ind w:left="420"/>
      <w:jc w:val="left"/>
    </w:pPr>
    <w:rPr>
      <w:rFonts w:ascii="Calibri" w:hAnsi="Calibri"/>
      <w:i/>
      <w:iCs/>
      <w:sz w:val="20"/>
      <w:szCs w:val="20"/>
    </w:rPr>
  </w:style>
  <w:style w:type="paragraph" w:styleId="7">
    <w:name w:val="toc 8"/>
    <w:basedOn w:val="1"/>
    <w:next w:val="1"/>
    <w:qFormat/>
    <w:uiPriority w:val="0"/>
    <w:pPr>
      <w:ind w:left="1470"/>
      <w:jc w:val="left"/>
    </w:pPr>
    <w:rPr>
      <w:rFonts w:ascii="Calibri" w:hAnsi="Calibri"/>
      <w:sz w:val="18"/>
      <w:szCs w:val="18"/>
    </w:rPr>
  </w:style>
  <w:style w:type="paragraph" w:styleId="8">
    <w:name w:val="toc 4"/>
    <w:basedOn w:val="1"/>
    <w:next w:val="1"/>
    <w:qFormat/>
    <w:uiPriority w:val="0"/>
    <w:pPr>
      <w:ind w:left="630"/>
      <w:jc w:val="left"/>
    </w:pPr>
    <w:rPr>
      <w:rFonts w:ascii="Calibri" w:hAnsi="Calibri"/>
      <w:sz w:val="18"/>
      <w:szCs w:val="18"/>
    </w:rPr>
  </w:style>
  <w:style w:type="paragraph" w:styleId="9">
    <w:name w:val="toc 6"/>
    <w:basedOn w:val="1"/>
    <w:next w:val="1"/>
    <w:qFormat/>
    <w:uiPriority w:val="0"/>
    <w:pPr>
      <w:ind w:left="1050"/>
      <w:jc w:val="left"/>
    </w:pPr>
    <w:rPr>
      <w:rFonts w:ascii="Calibri" w:hAnsi="Calibri"/>
      <w:sz w:val="18"/>
      <w:szCs w:val="18"/>
    </w:rPr>
  </w:style>
  <w:style w:type="paragraph" w:styleId="10">
    <w:name w:val="Body Text Indent 3"/>
    <w:basedOn w:val="1"/>
    <w:qFormat/>
    <w:uiPriority w:val="0"/>
    <w:pPr>
      <w:ind w:firstLine="213" w:firstLineChars="213"/>
    </w:pPr>
    <w:rPr>
      <w:rFonts w:ascii="仿宋_GB2312" w:eastAsia="仿宋_GB2312"/>
      <w:sz w:val="30"/>
    </w:rPr>
  </w:style>
  <w:style w:type="paragraph" w:styleId="11">
    <w:name w:val="toc 2"/>
    <w:basedOn w:val="1"/>
    <w:next w:val="1"/>
    <w:qFormat/>
    <w:uiPriority w:val="0"/>
    <w:pPr>
      <w:ind w:left="210"/>
      <w:jc w:val="left"/>
    </w:pPr>
    <w:rPr>
      <w:rFonts w:ascii="Calibri" w:hAnsi="Calibri"/>
      <w:sz w:val="20"/>
      <w:szCs w:val="20"/>
    </w:rPr>
  </w:style>
  <w:style w:type="paragraph" w:styleId="12">
    <w:name w:val="toc 9"/>
    <w:basedOn w:val="1"/>
    <w:next w:val="1"/>
    <w:qFormat/>
    <w:uiPriority w:val="0"/>
    <w:pPr>
      <w:ind w:left="1680"/>
      <w:jc w:val="left"/>
    </w:pPr>
    <w:rPr>
      <w:rFonts w:ascii="Calibri" w:hAnsi="Calibri"/>
      <w:sz w:val="18"/>
      <w:szCs w:val="18"/>
    </w:rPr>
  </w:style>
  <w:style w:type="character" w:styleId="15">
    <w:name w:val="Strong"/>
    <w:basedOn w:val="14"/>
    <w:qFormat/>
    <w:uiPriority w:val="0"/>
    <w:rPr>
      <w:b/>
      <w:bCs/>
    </w:rPr>
  </w:style>
  <w:style w:type="character" w:styleId="16">
    <w:name w:val="Hyperlink"/>
    <w:basedOn w:val="14"/>
    <w:qFormat/>
    <w:uiPriority w:val="0"/>
    <w:rPr>
      <w:color w:val="0000FF"/>
      <w:u w:val="single"/>
    </w:rPr>
  </w:style>
  <w:style w:type="paragraph" w:customStyle="1" w:styleId="17">
    <w:name w:val="标题 11"/>
    <w:basedOn w:val="1"/>
    <w:link w:val="28"/>
    <w:qFormat/>
    <w:uiPriority w:val="0"/>
    <w:pPr>
      <w:keepNext/>
      <w:keepLines/>
      <w:spacing w:before="340" w:after="330" w:line="576" w:lineRule="auto"/>
      <w:outlineLvl w:val="0"/>
    </w:pPr>
    <w:rPr>
      <w:b/>
      <w:kern w:val="44"/>
      <w:sz w:val="44"/>
      <w:szCs w:val="20"/>
      <w:lang w:val="en-US" w:eastAsia="en-US"/>
    </w:rPr>
  </w:style>
  <w:style w:type="paragraph" w:customStyle="1" w:styleId="18">
    <w:name w:val="标题 21"/>
    <w:basedOn w:val="1"/>
    <w:link w:val="29"/>
    <w:qFormat/>
    <w:uiPriority w:val="0"/>
    <w:pPr>
      <w:keepNext/>
      <w:keepLines/>
      <w:spacing w:before="260" w:after="260" w:line="413" w:lineRule="auto"/>
      <w:outlineLvl w:val="1"/>
    </w:pPr>
    <w:rPr>
      <w:rFonts w:ascii="Arial" w:hAnsi="Arial" w:eastAsia="黑体"/>
      <w:b/>
      <w:sz w:val="32"/>
      <w:szCs w:val="20"/>
      <w:lang w:val="en-US" w:eastAsia="en-US"/>
    </w:rPr>
  </w:style>
  <w:style w:type="paragraph" w:customStyle="1" w:styleId="19">
    <w:name w:val="标题 31"/>
    <w:basedOn w:val="1"/>
    <w:link w:val="30"/>
    <w:qFormat/>
    <w:uiPriority w:val="0"/>
    <w:pPr>
      <w:keepNext/>
      <w:keepLines/>
      <w:spacing w:before="260" w:after="260" w:line="413" w:lineRule="auto"/>
      <w:outlineLvl w:val="2"/>
    </w:pPr>
    <w:rPr>
      <w:b/>
      <w:sz w:val="32"/>
      <w:szCs w:val="20"/>
      <w:lang w:val="en-US" w:eastAsia="en-US"/>
    </w:rPr>
  </w:style>
  <w:style w:type="paragraph" w:customStyle="1" w:styleId="20">
    <w:name w:val="标题 41"/>
    <w:basedOn w:val="1"/>
    <w:link w:val="31"/>
    <w:qFormat/>
    <w:uiPriority w:val="0"/>
    <w:pPr>
      <w:keepNext/>
      <w:keepLines/>
      <w:widowControl w:val="0"/>
      <w:tabs>
        <w:tab w:val="left" w:pos="1134"/>
        <w:tab w:val="right" w:pos="7371"/>
      </w:tabs>
      <w:overflowPunct w:val="0"/>
      <w:autoSpaceDE w:val="0"/>
      <w:autoSpaceDN w:val="0"/>
      <w:snapToGrid w:val="0"/>
      <w:spacing w:line="360" w:lineRule="auto"/>
      <w:outlineLvl w:val="3"/>
    </w:pPr>
    <w:rPr>
      <w:rFonts w:ascii="宋体"/>
      <w:color w:val="800000"/>
      <w:kern w:val="0"/>
      <w:sz w:val="28"/>
      <w:szCs w:val="20"/>
    </w:rPr>
  </w:style>
  <w:style w:type="paragraph" w:customStyle="1" w:styleId="21">
    <w:name w:val="标题 51"/>
    <w:basedOn w:val="1"/>
    <w:qFormat/>
    <w:uiPriority w:val="0"/>
    <w:pPr>
      <w:keepNext/>
      <w:keepLines/>
      <w:widowControl w:val="0"/>
      <w:tabs>
        <w:tab w:val="left" w:pos="1134"/>
        <w:tab w:val="right" w:pos="7371"/>
      </w:tabs>
      <w:overflowPunct w:val="0"/>
      <w:autoSpaceDE w:val="0"/>
      <w:autoSpaceDN w:val="0"/>
      <w:snapToGrid w:val="0"/>
      <w:spacing w:line="360" w:lineRule="auto"/>
      <w:jc w:val="left"/>
      <w:outlineLvl w:val="4"/>
    </w:pPr>
    <w:rPr>
      <w:rFonts w:ascii="宋体"/>
      <w:color w:val="008000"/>
      <w:kern w:val="0"/>
      <w:sz w:val="28"/>
      <w:szCs w:val="20"/>
    </w:rPr>
  </w:style>
  <w:style w:type="paragraph" w:customStyle="1" w:styleId="22">
    <w:name w:val="标题 61"/>
    <w:basedOn w:val="1"/>
    <w:qFormat/>
    <w:uiPriority w:val="0"/>
    <w:pPr>
      <w:keepNext/>
      <w:keepLines/>
      <w:widowControl w:val="0"/>
      <w:tabs>
        <w:tab w:val="left" w:pos="1134"/>
        <w:tab w:val="right" w:pos="7371"/>
      </w:tabs>
      <w:overflowPunct w:val="0"/>
      <w:autoSpaceDE w:val="0"/>
      <w:autoSpaceDN w:val="0"/>
      <w:snapToGrid w:val="0"/>
      <w:spacing w:before="240" w:after="64" w:line="316" w:lineRule="auto"/>
      <w:jc w:val="left"/>
      <w:outlineLvl w:val="5"/>
    </w:pPr>
    <w:rPr>
      <w:rFonts w:ascii="Arial" w:hAnsi="Arial" w:eastAsia="黑体"/>
      <w:b/>
      <w:color w:val="000000"/>
      <w:kern w:val="0"/>
      <w:sz w:val="24"/>
      <w:szCs w:val="20"/>
    </w:rPr>
  </w:style>
  <w:style w:type="paragraph" w:customStyle="1" w:styleId="23">
    <w:name w:val="标题 71"/>
    <w:basedOn w:val="1"/>
    <w:qFormat/>
    <w:uiPriority w:val="0"/>
    <w:pPr>
      <w:keepNext/>
      <w:keepLines/>
      <w:widowControl w:val="0"/>
      <w:tabs>
        <w:tab w:val="left" w:pos="1134"/>
        <w:tab w:val="right" w:pos="7371"/>
      </w:tabs>
      <w:overflowPunct w:val="0"/>
      <w:autoSpaceDE w:val="0"/>
      <w:autoSpaceDN w:val="0"/>
      <w:snapToGrid w:val="0"/>
      <w:spacing w:before="240" w:after="64" w:line="316" w:lineRule="auto"/>
      <w:jc w:val="left"/>
      <w:outlineLvl w:val="6"/>
    </w:pPr>
    <w:rPr>
      <w:rFonts w:ascii="宋体"/>
      <w:b/>
      <w:color w:val="000000"/>
      <w:kern w:val="0"/>
      <w:sz w:val="24"/>
      <w:szCs w:val="20"/>
    </w:rPr>
  </w:style>
  <w:style w:type="paragraph" w:customStyle="1" w:styleId="24">
    <w:name w:val="标题 81"/>
    <w:basedOn w:val="1"/>
    <w:qFormat/>
    <w:uiPriority w:val="0"/>
    <w:pPr>
      <w:keepNext/>
      <w:keepLines/>
      <w:widowControl w:val="0"/>
      <w:tabs>
        <w:tab w:val="left" w:pos="1134"/>
        <w:tab w:val="right" w:pos="7371"/>
      </w:tabs>
      <w:overflowPunct w:val="0"/>
      <w:autoSpaceDE w:val="0"/>
      <w:autoSpaceDN w:val="0"/>
      <w:snapToGrid w:val="0"/>
      <w:spacing w:before="240" w:after="64" w:line="316" w:lineRule="auto"/>
      <w:jc w:val="left"/>
      <w:outlineLvl w:val="7"/>
    </w:pPr>
    <w:rPr>
      <w:rFonts w:ascii="Arial" w:hAnsi="Arial" w:eastAsia="黑体"/>
      <w:color w:val="000000"/>
      <w:kern w:val="0"/>
      <w:sz w:val="24"/>
      <w:szCs w:val="20"/>
    </w:rPr>
  </w:style>
  <w:style w:type="paragraph" w:customStyle="1" w:styleId="25">
    <w:name w:val="标题 91"/>
    <w:basedOn w:val="1"/>
    <w:qFormat/>
    <w:uiPriority w:val="0"/>
    <w:pPr>
      <w:keepNext/>
      <w:widowControl w:val="0"/>
      <w:spacing w:line="600" w:lineRule="exact"/>
      <w:jc w:val="center"/>
      <w:outlineLvl w:val="8"/>
    </w:pPr>
    <w:rPr>
      <w:rFonts w:ascii="仿宋_GB2312" w:eastAsia="仿宋_GB2312"/>
      <w:sz w:val="32"/>
    </w:rPr>
  </w:style>
  <w:style w:type="character" w:customStyle="1" w:styleId="26">
    <w:name w:val="默认段落字体1"/>
    <w:link w:val="1"/>
    <w:qFormat/>
    <w:uiPriority w:val="0"/>
  </w:style>
  <w:style w:type="table" w:customStyle="1" w:styleId="27">
    <w:name w:val="普通表格1"/>
    <w:semiHidden/>
    <w:qFormat/>
    <w:uiPriority w:val="0"/>
  </w:style>
  <w:style w:type="character" w:customStyle="1" w:styleId="28">
    <w:name w:val="标题 1 字符"/>
    <w:link w:val="17"/>
    <w:qFormat/>
    <w:uiPriority w:val="0"/>
    <w:rPr>
      <w:b/>
      <w:kern w:val="44"/>
      <w:sz w:val="44"/>
    </w:rPr>
  </w:style>
  <w:style w:type="character" w:customStyle="1" w:styleId="29">
    <w:name w:val="标题 2 字符"/>
    <w:link w:val="18"/>
    <w:qFormat/>
    <w:uiPriority w:val="0"/>
    <w:rPr>
      <w:rFonts w:ascii="Arial" w:hAnsi="Arial" w:eastAsia="黑体"/>
      <w:b/>
      <w:kern w:val="2"/>
      <w:sz w:val="32"/>
    </w:rPr>
  </w:style>
  <w:style w:type="character" w:customStyle="1" w:styleId="30">
    <w:name w:val="标题 3 字符"/>
    <w:link w:val="19"/>
    <w:qFormat/>
    <w:uiPriority w:val="0"/>
    <w:rPr>
      <w:b/>
      <w:kern w:val="2"/>
      <w:sz w:val="32"/>
    </w:rPr>
  </w:style>
  <w:style w:type="character" w:customStyle="1" w:styleId="31">
    <w:name w:val="标题 4 字符"/>
    <w:link w:val="20"/>
    <w:qFormat/>
    <w:uiPriority w:val="0"/>
    <w:rPr>
      <w:rFonts w:ascii="宋体" w:eastAsia="宋体"/>
      <w:color w:val="800000"/>
      <w:sz w:val="28"/>
      <w:lang w:val="en-US" w:eastAsia="zh-CN" w:bidi="ar-SA"/>
    </w:rPr>
  </w:style>
  <w:style w:type="paragraph" w:customStyle="1" w:styleId="32">
    <w:name w:val="列表项目符号 41"/>
    <w:basedOn w:val="1"/>
    <w:qFormat/>
    <w:uiPriority w:val="0"/>
    <w:pPr>
      <w:tabs>
        <w:tab w:val="left" w:pos="360"/>
      </w:tabs>
      <w:spacing w:line="380" w:lineRule="exact"/>
      <w:ind w:left="360" w:hanging="360"/>
    </w:pPr>
    <w:rPr>
      <w:rFonts w:ascii="Calibri" w:hAnsi="Calibri"/>
      <w:sz w:val="28"/>
      <w:szCs w:val="22"/>
    </w:rPr>
  </w:style>
  <w:style w:type="paragraph" w:customStyle="1" w:styleId="33">
    <w:name w:val="索引 81"/>
    <w:basedOn w:val="1"/>
    <w:qFormat/>
    <w:uiPriority w:val="0"/>
    <w:pPr>
      <w:ind w:left="1400" w:leftChars="1400"/>
    </w:pPr>
    <w:rPr>
      <w:rFonts w:ascii="Calibri" w:hAnsi="Calibri"/>
      <w:szCs w:val="22"/>
    </w:rPr>
  </w:style>
  <w:style w:type="paragraph" w:customStyle="1" w:styleId="34">
    <w:name w:val="列表编号1"/>
    <w:basedOn w:val="1"/>
    <w:qFormat/>
    <w:uiPriority w:val="0"/>
    <w:pPr>
      <w:tabs>
        <w:tab w:val="left" w:pos="0"/>
        <w:tab w:val="left" w:pos="840"/>
      </w:tabs>
      <w:spacing w:line="360" w:lineRule="auto"/>
    </w:pPr>
  </w:style>
  <w:style w:type="paragraph" w:customStyle="1" w:styleId="35">
    <w:name w:val="正文缩进1"/>
    <w:basedOn w:val="1"/>
    <w:qFormat/>
    <w:uiPriority w:val="0"/>
    <w:pPr>
      <w:autoSpaceDE w:val="0"/>
      <w:autoSpaceDN w:val="0"/>
      <w:snapToGrid w:val="0"/>
      <w:ind w:firstLine="420"/>
    </w:pPr>
    <w:rPr>
      <w:rFonts w:ascii="宋体"/>
      <w:color w:val="000000"/>
      <w:sz w:val="24"/>
      <w:szCs w:val="20"/>
    </w:rPr>
  </w:style>
  <w:style w:type="paragraph" w:customStyle="1" w:styleId="36">
    <w:name w:val="题注1"/>
    <w:basedOn w:val="1"/>
    <w:link w:val="37"/>
    <w:qFormat/>
    <w:uiPriority w:val="0"/>
    <w:pPr>
      <w:tabs>
        <w:tab w:val="left" w:pos="0"/>
      </w:tabs>
      <w:spacing w:line="360" w:lineRule="auto"/>
    </w:pPr>
    <w:rPr>
      <w:rFonts w:ascii="Arial" w:hAnsi="Arial" w:eastAsia="黑体"/>
      <w:sz w:val="20"/>
      <w:szCs w:val="20"/>
      <w:lang w:val="en-US" w:eastAsia="en-US"/>
    </w:rPr>
  </w:style>
  <w:style w:type="character" w:customStyle="1" w:styleId="37">
    <w:name w:val="题注 字符"/>
    <w:link w:val="36"/>
    <w:qFormat/>
    <w:uiPriority w:val="0"/>
    <w:rPr>
      <w:rFonts w:ascii="Arial" w:hAnsi="Arial" w:eastAsia="黑体"/>
      <w:kern w:val="2"/>
    </w:rPr>
  </w:style>
  <w:style w:type="paragraph" w:customStyle="1" w:styleId="38">
    <w:name w:val="索引 51"/>
    <w:basedOn w:val="1"/>
    <w:qFormat/>
    <w:uiPriority w:val="0"/>
    <w:pPr>
      <w:ind w:left="800" w:leftChars="800"/>
    </w:pPr>
    <w:rPr>
      <w:rFonts w:ascii="Calibri" w:hAnsi="Calibri"/>
      <w:szCs w:val="22"/>
    </w:rPr>
  </w:style>
  <w:style w:type="paragraph" w:customStyle="1" w:styleId="39">
    <w:name w:val="列表项目符号1"/>
    <w:basedOn w:val="1"/>
    <w:qFormat/>
    <w:uiPriority w:val="0"/>
    <w:pPr>
      <w:tabs>
        <w:tab w:val="left" w:pos="840"/>
      </w:tabs>
      <w:spacing w:line="360" w:lineRule="auto"/>
      <w:ind w:left="962" w:hanging="480"/>
    </w:pPr>
    <w:rPr>
      <w:sz w:val="24"/>
    </w:rPr>
  </w:style>
  <w:style w:type="paragraph" w:customStyle="1" w:styleId="40">
    <w:name w:val="文档结构图1"/>
    <w:basedOn w:val="1"/>
    <w:qFormat/>
    <w:uiPriority w:val="0"/>
    <w:pPr>
      <w:shd w:val="clear" w:color="auto" w:fill="000080"/>
    </w:pPr>
  </w:style>
  <w:style w:type="paragraph" w:customStyle="1" w:styleId="41">
    <w:name w:val="批注文字1"/>
    <w:basedOn w:val="1"/>
    <w:link w:val="42"/>
    <w:qFormat/>
    <w:uiPriority w:val="0"/>
    <w:pPr>
      <w:jc w:val="left"/>
    </w:pPr>
    <w:rPr>
      <w:rFonts w:ascii="Calibri" w:hAnsi="Calibri"/>
      <w:szCs w:val="20"/>
      <w:lang w:val="en-US" w:eastAsia="en-US"/>
    </w:rPr>
  </w:style>
  <w:style w:type="character" w:customStyle="1" w:styleId="42">
    <w:name w:val="批注文字 字符"/>
    <w:link w:val="41"/>
    <w:qFormat/>
    <w:uiPriority w:val="0"/>
    <w:rPr>
      <w:rFonts w:ascii="Calibri" w:hAnsi="Calibri" w:eastAsia="宋体"/>
      <w:kern w:val="2"/>
      <w:sz w:val="21"/>
    </w:rPr>
  </w:style>
  <w:style w:type="paragraph" w:customStyle="1" w:styleId="43">
    <w:name w:val="索引 61"/>
    <w:basedOn w:val="1"/>
    <w:qFormat/>
    <w:uiPriority w:val="0"/>
    <w:pPr>
      <w:ind w:left="1000" w:leftChars="1000"/>
    </w:pPr>
    <w:rPr>
      <w:rFonts w:ascii="Calibri" w:hAnsi="Calibri"/>
      <w:szCs w:val="22"/>
    </w:rPr>
  </w:style>
  <w:style w:type="paragraph" w:customStyle="1" w:styleId="44">
    <w:name w:val="正文文本 31"/>
    <w:basedOn w:val="1"/>
    <w:qFormat/>
    <w:uiPriority w:val="0"/>
    <w:rPr>
      <w:color w:val="000000"/>
    </w:rPr>
  </w:style>
  <w:style w:type="paragraph" w:customStyle="1" w:styleId="45">
    <w:name w:val="列表项目符号 31"/>
    <w:basedOn w:val="1"/>
    <w:qFormat/>
    <w:uiPriority w:val="0"/>
    <w:pPr>
      <w:tabs>
        <w:tab w:val="left" w:pos="1200"/>
      </w:tabs>
      <w:spacing w:line="380" w:lineRule="exact"/>
      <w:ind w:left="1200" w:hanging="360"/>
    </w:pPr>
    <w:rPr>
      <w:rFonts w:ascii="Calibri" w:hAnsi="Calibri"/>
      <w:sz w:val="28"/>
      <w:szCs w:val="22"/>
    </w:rPr>
  </w:style>
  <w:style w:type="paragraph" w:customStyle="1" w:styleId="46">
    <w:name w:val="正文文本1"/>
    <w:basedOn w:val="1"/>
    <w:qFormat/>
    <w:uiPriority w:val="0"/>
    <w:pPr>
      <w:spacing w:line="60" w:lineRule="auto"/>
    </w:pPr>
    <w:rPr>
      <w:rFonts w:ascii="仿宋_GB2312" w:eastAsia="仿宋_GB2312"/>
      <w:sz w:val="32"/>
    </w:rPr>
  </w:style>
  <w:style w:type="paragraph" w:customStyle="1" w:styleId="47">
    <w:name w:val="正文文本缩进1"/>
    <w:basedOn w:val="1"/>
    <w:qFormat/>
    <w:uiPriority w:val="0"/>
    <w:pPr>
      <w:ind w:firstLine="225" w:firstLineChars="225"/>
    </w:pPr>
    <w:rPr>
      <w:rFonts w:ascii="仿宋_GB2312" w:eastAsia="仿宋_GB2312"/>
      <w:sz w:val="32"/>
    </w:rPr>
  </w:style>
  <w:style w:type="paragraph" w:customStyle="1" w:styleId="48">
    <w:name w:val="文本块1"/>
    <w:basedOn w:val="1"/>
    <w:qFormat/>
    <w:uiPriority w:val="0"/>
    <w:pPr>
      <w:spacing w:line="360" w:lineRule="exact"/>
      <w:ind w:left="1548" w:leftChars="-857" w:right="12" w:rightChars="12" w:hanging="2405" w:hangingChars="2405"/>
    </w:pPr>
    <w:rPr>
      <w:rFonts w:ascii="宋体"/>
      <w:bCs/>
      <w:sz w:val="28"/>
      <w:szCs w:val="22"/>
    </w:rPr>
  </w:style>
  <w:style w:type="paragraph" w:customStyle="1" w:styleId="49">
    <w:name w:val="列表项目符号 21"/>
    <w:basedOn w:val="1"/>
    <w:qFormat/>
    <w:uiPriority w:val="0"/>
    <w:pPr>
      <w:tabs>
        <w:tab w:val="left" w:pos="720"/>
      </w:tabs>
      <w:spacing w:line="360" w:lineRule="auto"/>
      <w:ind w:left="720" w:hanging="360"/>
    </w:pPr>
    <w:rPr>
      <w:sz w:val="24"/>
    </w:rPr>
  </w:style>
  <w:style w:type="paragraph" w:customStyle="1" w:styleId="50">
    <w:name w:val="HTML 地址1"/>
    <w:basedOn w:val="1"/>
    <w:qFormat/>
    <w:uiPriority w:val="0"/>
    <w:rPr>
      <w:i/>
      <w:iCs/>
    </w:rPr>
  </w:style>
  <w:style w:type="paragraph" w:customStyle="1" w:styleId="51">
    <w:name w:val="索引 41"/>
    <w:basedOn w:val="1"/>
    <w:qFormat/>
    <w:uiPriority w:val="0"/>
    <w:pPr>
      <w:ind w:left="600" w:leftChars="600"/>
    </w:pPr>
    <w:rPr>
      <w:rFonts w:ascii="Calibri" w:hAnsi="Calibri"/>
      <w:szCs w:val="22"/>
    </w:rPr>
  </w:style>
  <w:style w:type="paragraph" w:customStyle="1" w:styleId="52">
    <w:name w:val="纯文本1"/>
    <w:basedOn w:val="1"/>
    <w:qFormat/>
    <w:uiPriority w:val="0"/>
    <w:rPr>
      <w:rFonts w:ascii="宋体"/>
      <w:szCs w:val="21"/>
    </w:rPr>
  </w:style>
  <w:style w:type="paragraph" w:customStyle="1" w:styleId="53">
    <w:name w:val="列表项目符号 51"/>
    <w:basedOn w:val="1"/>
    <w:qFormat/>
    <w:uiPriority w:val="0"/>
    <w:pPr>
      <w:tabs>
        <w:tab w:val="left" w:pos="720"/>
      </w:tabs>
      <w:spacing w:line="380" w:lineRule="exact"/>
      <w:ind w:left="720" w:hanging="360"/>
    </w:pPr>
    <w:rPr>
      <w:rFonts w:ascii="Calibri" w:hAnsi="Calibri"/>
      <w:sz w:val="28"/>
      <w:szCs w:val="22"/>
    </w:rPr>
  </w:style>
  <w:style w:type="paragraph" w:customStyle="1" w:styleId="54">
    <w:name w:val="索引 31"/>
    <w:basedOn w:val="1"/>
    <w:qFormat/>
    <w:uiPriority w:val="0"/>
    <w:pPr>
      <w:ind w:left="400" w:leftChars="400"/>
    </w:pPr>
    <w:rPr>
      <w:rFonts w:ascii="Calibri" w:hAnsi="Calibri"/>
      <w:szCs w:val="22"/>
    </w:rPr>
  </w:style>
  <w:style w:type="paragraph" w:customStyle="1" w:styleId="55">
    <w:name w:val="日期1"/>
    <w:basedOn w:val="1"/>
    <w:qFormat/>
    <w:uiPriority w:val="0"/>
    <w:pPr>
      <w:ind w:left="2500" w:leftChars="2500"/>
    </w:pPr>
  </w:style>
  <w:style w:type="paragraph" w:customStyle="1" w:styleId="56">
    <w:name w:val="正文文本缩进 21"/>
    <w:basedOn w:val="1"/>
    <w:qFormat/>
    <w:uiPriority w:val="0"/>
    <w:pPr>
      <w:spacing w:line="540" w:lineRule="exact"/>
      <w:ind w:firstLine="225" w:firstLineChars="225"/>
      <w:jc w:val="left"/>
    </w:pPr>
    <w:rPr>
      <w:rFonts w:ascii="仿宋_GB2312" w:eastAsia="仿宋_GB2312"/>
      <w:sz w:val="32"/>
    </w:rPr>
  </w:style>
  <w:style w:type="paragraph" w:customStyle="1" w:styleId="57">
    <w:name w:val="尾注文本1"/>
    <w:basedOn w:val="1"/>
    <w:qFormat/>
    <w:uiPriority w:val="0"/>
    <w:pPr>
      <w:widowControl/>
      <w:snapToGrid w:val="0"/>
      <w:jc w:val="left"/>
    </w:pPr>
    <w:rPr>
      <w:rFonts w:ascii="宋体"/>
      <w:bCs/>
      <w:kern w:val="0"/>
      <w:szCs w:val="21"/>
    </w:rPr>
  </w:style>
  <w:style w:type="paragraph" w:customStyle="1" w:styleId="58">
    <w:name w:val="批注框文本1"/>
    <w:basedOn w:val="1"/>
    <w:qFormat/>
    <w:uiPriority w:val="0"/>
    <w:rPr>
      <w:sz w:val="18"/>
      <w:szCs w:val="20"/>
    </w:rPr>
  </w:style>
  <w:style w:type="paragraph" w:customStyle="1" w:styleId="59">
    <w:name w:val="页脚1"/>
    <w:basedOn w:val="1"/>
    <w:link w:val="60"/>
    <w:qFormat/>
    <w:uiPriority w:val="0"/>
    <w:pPr>
      <w:tabs>
        <w:tab w:val="center" w:pos="4153"/>
        <w:tab w:val="right" w:pos="8306"/>
      </w:tabs>
      <w:snapToGrid w:val="0"/>
      <w:jc w:val="left"/>
    </w:pPr>
    <w:rPr>
      <w:rFonts w:ascii="Calibri" w:hAnsi="Calibri"/>
      <w:sz w:val="18"/>
      <w:szCs w:val="18"/>
      <w:lang w:val="en-US" w:eastAsia="en-US"/>
    </w:rPr>
  </w:style>
  <w:style w:type="character" w:customStyle="1" w:styleId="60">
    <w:name w:val="页脚 字符"/>
    <w:link w:val="59"/>
    <w:qFormat/>
    <w:uiPriority w:val="0"/>
    <w:rPr>
      <w:rFonts w:ascii="Calibri" w:hAnsi="Calibri" w:eastAsia="宋体"/>
      <w:kern w:val="2"/>
      <w:sz w:val="18"/>
      <w:szCs w:val="18"/>
    </w:rPr>
  </w:style>
  <w:style w:type="paragraph" w:customStyle="1" w:styleId="61">
    <w:name w:val="页眉1"/>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62">
    <w:name w:val="索引标题1"/>
    <w:basedOn w:val="1"/>
    <w:qFormat/>
    <w:uiPriority w:val="0"/>
    <w:rPr>
      <w:rFonts w:ascii="Calibri" w:hAnsi="Calibri"/>
      <w:szCs w:val="22"/>
    </w:rPr>
  </w:style>
  <w:style w:type="paragraph" w:customStyle="1" w:styleId="63">
    <w:name w:val="索引 11"/>
    <w:basedOn w:val="1"/>
    <w:qFormat/>
    <w:uiPriority w:val="0"/>
    <w:rPr>
      <w:rFonts w:ascii="Calibri" w:hAnsi="Calibri"/>
      <w:szCs w:val="22"/>
    </w:rPr>
  </w:style>
  <w:style w:type="paragraph" w:customStyle="1" w:styleId="64">
    <w:name w:val="脚注文本1"/>
    <w:basedOn w:val="1"/>
    <w:qFormat/>
    <w:uiPriority w:val="0"/>
    <w:pPr>
      <w:snapToGrid w:val="0"/>
      <w:jc w:val="left"/>
    </w:pPr>
    <w:rPr>
      <w:rFonts w:ascii="宋体"/>
      <w:bCs/>
      <w:kern w:val="0"/>
      <w:sz w:val="18"/>
      <w:szCs w:val="18"/>
    </w:rPr>
  </w:style>
  <w:style w:type="paragraph" w:customStyle="1" w:styleId="65">
    <w:name w:val="正文文本缩进 31"/>
    <w:basedOn w:val="1"/>
    <w:qFormat/>
    <w:uiPriority w:val="0"/>
    <w:pPr>
      <w:ind w:firstLine="213" w:firstLineChars="213"/>
    </w:pPr>
    <w:rPr>
      <w:rFonts w:ascii="仿宋_GB2312" w:eastAsia="仿宋_GB2312"/>
      <w:sz w:val="30"/>
    </w:rPr>
  </w:style>
  <w:style w:type="paragraph" w:customStyle="1" w:styleId="66">
    <w:name w:val="索引 71"/>
    <w:basedOn w:val="1"/>
    <w:qFormat/>
    <w:uiPriority w:val="0"/>
    <w:pPr>
      <w:ind w:left="1200" w:leftChars="1200"/>
    </w:pPr>
    <w:rPr>
      <w:rFonts w:ascii="Calibri" w:hAnsi="Calibri"/>
      <w:szCs w:val="22"/>
    </w:rPr>
  </w:style>
  <w:style w:type="paragraph" w:customStyle="1" w:styleId="67">
    <w:name w:val="索引 91"/>
    <w:basedOn w:val="1"/>
    <w:qFormat/>
    <w:uiPriority w:val="0"/>
    <w:pPr>
      <w:ind w:left="1600" w:leftChars="1600"/>
    </w:pPr>
    <w:rPr>
      <w:rFonts w:ascii="Calibri" w:hAnsi="Calibri"/>
      <w:szCs w:val="22"/>
    </w:rPr>
  </w:style>
  <w:style w:type="paragraph" w:customStyle="1" w:styleId="68">
    <w:name w:val="图表目录11"/>
    <w:basedOn w:val="1"/>
    <w:qFormat/>
    <w:uiPriority w:val="0"/>
    <w:pPr>
      <w:widowControl/>
      <w:ind w:left="400" w:leftChars="200" w:hanging="200" w:hangingChars="200"/>
      <w:jc w:val="left"/>
    </w:pPr>
    <w:rPr>
      <w:rFonts w:ascii="宋体"/>
      <w:bCs/>
      <w:kern w:val="0"/>
      <w:szCs w:val="21"/>
    </w:rPr>
  </w:style>
  <w:style w:type="paragraph" w:customStyle="1" w:styleId="69">
    <w:name w:val="正文文本 21"/>
    <w:basedOn w:val="1"/>
    <w:qFormat/>
    <w:uiPriority w:val="0"/>
    <w:pPr>
      <w:spacing w:line="560" w:lineRule="exact"/>
    </w:pPr>
    <w:rPr>
      <w:rFonts w:ascii="仿宋_GB2312" w:eastAsia="仿宋_GB2312"/>
      <w:sz w:val="28"/>
      <w:szCs w:val="30"/>
    </w:rPr>
  </w:style>
  <w:style w:type="paragraph" w:customStyle="1" w:styleId="70">
    <w:name w:val="列表接续 21"/>
    <w:basedOn w:val="1"/>
    <w:qFormat/>
    <w:uiPriority w:val="0"/>
    <w:pPr>
      <w:spacing w:after="120"/>
      <w:ind w:left="840" w:leftChars="400"/>
    </w:pPr>
  </w:style>
  <w:style w:type="paragraph" w:customStyle="1" w:styleId="71">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bidi="ar-SA"/>
    </w:rPr>
  </w:style>
  <w:style w:type="paragraph" w:customStyle="1" w:styleId="72">
    <w:name w:val="普通(网站)1"/>
    <w:basedOn w:val="1"/>
    <w:qFormat/>
    <w:uiPriority w:val="0"/>
    <w:pPr>
      <w:widowControl/>
      <w:spacing w:before="100" w:beforeAutospacing="1" w:after="100" w:afterAutospacing="1"/>
      <w:jc w:val="left"/>
    </w:pPr>
    <w:rPr>
      <w:rFonts w:ascii="宋体"/>
      <w:kern w:val="0"/>
      <w:sz w:val="24"/>
      <w:szCs w:val="20"/>
    </w:rPr>
  </w:style>
  <w:style w:type="paragraph" w:customStyle="1" w:styleId="73">
    <w:name w:val="索引 21"/>
    <w:basedOn w:val="1"/>
    <w:qFormat/>
    <w:uiPriority w:val="0"/>
    <w:pPr>
      <w:ind w:left="200" w:leftChars="200"/>
    </w:pPr>
    <w:rPr>
      <w:rFonts w:ascii="Calibri" w:hAnsi="Calibri"/>
      <w:szCs w:val="22"/>
    </w:rPr>
  </w:style>
  <w:style w:type="paragraph" w:customStyle="1" w:styleId="74">
    <w:name w:val="标题1"/>
    <w:basedOn w:val="1"/>
    <w:qFormat/>
    <w:uiPriority w:val="0"/>
    <w:pPr>
      <w:spacing w:before="240" w:after="60"/>
      <w:jc w:val="center"/>
      <w:outlineLvl w:val="0"/>
    </w:pPr>
    <w:rPr>
      <w:rFonts w:ascii="Cambria" w:hAnsi="Cambria"/>
      <w:b/>
      <w:bCs/>
      <w:sz w:val="32"/>
      <w:szCs w:val="32"/>
    </w:rPr>
  </w:style>
  <w:style w:type="paragraph" w:customStyle="1" w:styleId="75">
    <w:name w:val="批注主题1"/>
    <w:basedOn w:val="41"/>
    <w:qFormat/>
    <w:uiPriority w:val="0"/>
    <w:rPr>
      <w:b/>
    </w:rPr>
  </w:style>
  <w:style w:type="paragraph" w:customStyle="1" w:styleId="76">
    <w:name w:val="正文文本首行缩进"/>
    <w:basedOn w:val="46"/>
    <w:qFormat/>
    <w:uiPriority w:val="0"/>
    <w:pPr>
      <w:spacing w:after="120" w:line="240" w:lineRule="auto"/>
      <w:ind w:firstLine="100" w:firstLineChars="100"/>
    </w:pPr>
    <w:rPr>
      <w:rFonts w:ascii="Times New Roman" w:hAnsi="Times New Roman" w:eastAsia="宋体"/>
      <w:sz w:val="21"/>
    </w:rPr>
  </w:style>
  <w:style w:type="paragraph" w:customStyle="1" w:styleId="77">
    <w:name w:val="正文文本首行缩进 2"/>
    <w:basedOn w:val="47"/>
    <w:link w:val="78"/>
    <w:qFormat/>
    <w:uiPriority w:val="0"/>
    <w:pPr>
      <w:spacing w:after="120"/>
      <w:ind w:left="200" w:leftChars="200" w:firstLine="200" w:firstLineChars="200"/>
    </w:pPr>
    <w:rPr>
      <w:rFonts w:ascii="Times New Roman"/>
      <w:kern w:val="0"/>
      <w:sz w:val="24"/>
      <w:szCs w:val="24"/>
      <w:lang w:val="en-US" w:eastAsia="en-US"/>
    </w:rPr>
  </w:style>
  <w:style w:type="character" w:customStyle="1" w:styleId="78">
    <w:name w:val="正文文本首行缩进 2 字符"/>
    <w:link w:val="77"/>
    <w:qFormat/>
    <w:uiPriority w:val="0"/>
    <w:rPr>
      <w:rFonts w:eastAsia="仿宋_GB2312"/>
      <w:sz w:val="24"/>
      <w:szCs w:val="24"/>
      <w:lang w:bidi="ar-SA"/>
    </w:rPr>
  </w:style>
  <w:style w:type="table" w:customStyle="1" w:styleId="79">
    <w:name w:val="网格型1"/>
    <w:basedOn w:val="27"/>
    <w:qFormat/>
    <w:uiPriority w:val="0"/>
  </w:style>
  <w:style w:type="character" w:customStyle="1" w:styleId="80">
    <w:name w:val="要点1"/>
    <w:link w:val="1"/>
    <w:qFormat/>
    <w:uiPriority w:val="0"/>
    <w:rPr>
      <w:b/>
    </w:rPr>
  </w:style>
  <w:style w:type="character" w:customStyle="1" w:styleId="81">
    <w:name w:val="尾注引用1"/>
    <w:link w:val="1"/>
    <w:qFormat/>
    <w:uiPriority w:val="0"/>
    <w:rPr>
      <w:vertAlign w:val="superscript"/>
    </w:rPr>
  </w:style>
  <w:style w:type="character" w:customStyle="1" w:styleId="82">
    <w:name w:val="页码1"/>
    <w:link w:val="1"/>
    <w:qFormat/>
    <w:uiPriority w:val="0"/>
  </w:style>
  <w:style w:type="character" w:customStyle="1" w:styleId="83">
    <w:name w:val="访问过的超链接"/>
    <w:link w:val="1"/>
    <w:qFormat/>
    <w:uiPriority w:val="0"/>
    <w:rPr>
      <w:color w:val="800080"/>
      <w:u w:val="single"/>
    </w:rPr>
  </w:style>
  <w:style w:type="character" w:customStyle="1" w:styleId="84">
    <w:name w:val="强调1"/>
    <w:link w:val="1"/>
    <w:qFormat/>
    <w:uiPriority w:val="0"/>
    <w:rPr>
      <w:color w:val="CC0033"/>
    </w:rPr>
  </w:style>
  <w:style w:type="character" w:customStyle="1" w:styleId="85">
    <w:name w:val="HTML 打字机1"/>
    <w:link w:val="1"/>
    <w:qFormat/>
    <w:uiPriority w:val="0"/>
    <w:rPr>
      <w:rFonts w:ascii="宋体" w:eastAsia="宋体"/>
      <w:sz w:val="24"/>
      <w:szCs w:val="24"/>
      <w:lang w:bidi="ar-SA"/>
    </w:rPr>
  </w:style>
  <w:style w:type="character" w:customStyle="1" w:styleId="86">
    <w:name w:val="超链接1"/>
    <w:link w:val="1"/>
    <w:qFormat/>
    <w:uiPriority w:val="0"/>
    <w:rPr>
      <w:color w:val="0000FF"/>
      <w:u w:val="single"/>
    </w:rPr>
  </w:style>
  <w:style w:type="character" w:customStyle="1" w:styleId="87">
    <w:name w:val="批注引用1"/>
    <w:link w:val="1"/>
    <w:qFormat/>
    <w:uiPriority w:val="0"/>
    <w:rPr>
      <w:sz w:val="21"/>
    </w:rPr>
  </w:style>
  <w:style w:type="character" w:customStyle="1" w:styleId="88">
    <w:name w:val="脚注引用1"/>
    <w:link w:val="1"/>
    <w:qFormat/>
    <w:uiPriority w:val="0"/>
    <w:rPr>
      <w:vertAlign w:val="superscript"/>
    </w:rPr>
  </w:style>
  <w:style w:type="paragraph" w:customStyle="1" w:styleId="89">
    <w:name w:val="样式1"/>
    <w:basedOn w:val="34"/>
    <w:qFormat/>
    <w:uiPriority w:val="0"/>
    <w:pPr>
      <w:numPr>
        <w:ilvl w:val="0"/>
        <w:numId w:val="0"/>
      </w:numPr>
      <w:tabs>
        <w:tab w:val="clear" w:pos="0"/>
        <w:tab w:val="clear" w:pos="840"/>
      </w:tabs>
    </w:pPr>
    <w:rPr>
      <w:rFonts w:ascii="Arial" w:hAnsi="Arial" w:eastAsia="幼圆"/>
      <w:sz w:val="24"/>
      <w:szCs w:val="20"/>
      <w:lang w:bidi="ar-SA"/>
    </w:rPr>
  </w:style>
  <w:style w:type="paragraph" w:customStyle="1" w:styleId="90">
    <w:name w:val="标题二、"/>
    <w:basedOn w:val="1"/>
    <w:qFormat/>
    <w:uiPriority w:val="0"/>
    <w:pPr>
      <w:spacing w:line="360" w:lineRule="auto"/>
      <w:ind w:firstLine="200" w:firstLineChars="200"/>
      <w:outlineLvl w:val="2"/>
    </w:pPr>
    <w:rPr>
      <w:rFonts w:ascii="宋体" w:hAnsi="宋体"/>
      <w:b/>
      <w:szCs w:val="21"/>
    </w:rPr>
  </w:style>
  <w:style w:type="character" w:customStyle="1" w:styleId="91">
    <w:name w:val="font11"/>
    <w:link w:val="1"/>
    <w:qFormat/>
    <w:uiPriority w:val="0"/>
    <w:rPr>
      <w:rFonts w:ascii="Times" w:hAnsi="Times" w:eastAsia="Times"/>
      <w:color w:val="000000"/>
      <w:sz w:val="24"/>
      <w:szCs w:val="24"/>
      <w:u w:val="none"/>
    </w:rPr>
  </w:style>
  <w:style w:type="character" w:customStyle="1" w:styleId="92">
    <w:name w:val="Plain Text Char"/>
    <w:link w:val="1"/>
    <w:qFormat/>
    <w:uiPriority w:val="0"/>
    <w:rPr>
      <w:rFonts w:ascii="宋体" w:eastAsia="宋体"/>
      <w:kern w:val="2"/>
      <w:sz w:val="21"/>
      <w:lang w:val="en-US" w:eastAsia="zh-CN"/>
    </w:rPr>
  </w:style>
  <w:style w:type="character" w:customStyle="1" w:styleId="93">
    <w:name w:val="Footer Char"/>
    <w:link w:val="1"/>
    <w:qFormat/>
    <w:uiPriority w:val="0"/>
    <w:rPr>
      <w:rFonts w:eastAsia="宋体"/>
      <w:kern w:val="2"/>
      <w:sz w:val="18"/>
      <w:lang w:val="en-US" w:eastAsia="zh-CN"/>
    </w:rPr>
  </w:style>
  <w:style w:type="character" w:customStyle="1" w:styleId="94">
    <w:name w:val="Char Char"/>
    <w:link w:val="1"/>
    <w:qFormat/>
    <w:uiPriority w:val="0"/>
    <w:rPr>
      <w:rFonts w:eastAsia="宋体"/>
      <w:kern w:val="2"/>
      <w:sz w:val="18"/>
      <w:lang w:val="en-US" w:eastAsia="zh-CN"/>
    </w:rPr>
  </w:style>
  <w:style w:type="character" w:customStyle="1" w:styleId="95">
    <w:name w:val="z12 style23"/>
    <w:link w:val="1"/>
    <w:qFormat/>
    <w:uiPriority w:val="0"/>
  </w:style>
  <w:style w:type="character" w:customStyle="1" w:styleId="96">
    <w:name w:val="纯文本 Char_0_0"/>
    <w:link w:val="97"/>
    <w:qFormat/>
    <w:uiPriority w:val="0"/>
    <w:rPr>
      <w:rFonts w:ascii="宋体" w:hAnsi="Courier New"/>
      <w:kern w:val="2"/>
      <w:sz w:val="21"/>
      <w:szCs w:val="21"/>
    </w:rPr>
  </w:style>
  <w:style w:type="paragraph" w:customStyle="1" w:styleId="97">
    <w:name w:val="纯文本_0_0"/>
    <w:basedOn w:val="98"/>
    <w:link w:val="96"/>
    <w:qFormat/>
    <w:uiPriority w:val="0"/>
    <w:rPr>
      <w:rFonts w:ascii="宋体" w:hAnsi="Courier New"/>
      <w:szCs w:val="21"/>
      <w:lang w:val="en-US" w:eastAsia="en-US"/>
    </w:rPr>
  </w:style>
  <w:style w:type="paragraph" w:customStyle="1" w:styleId="98">
    <w:name w:val="正文_7_1_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99">
    <w:name w:val="z1"/>
    <w:link w:val="1"/>
    <w:qFormat/>
    <w:uiPriority w:val="0"/>
  </w:style>
  <w:style w:type="character" w:customStyle="1" w:styleId="100">
    <w:name w:val="marklong"/>
    <w:link w:val="1"/>
    <w:qFormat/>
    <w:uiPriority w:val="0"/>
  </w:style>
  <w:style w:type="character" w:customStyle="1" w:styleId="101">
    <w:name w:val="正文文本缩进 2 Char"/>
    <w:link w:val="102"/>
    <w:qFormat/>
    <w:uiPriority w:val="0"/>
    <w:rPr>
      <w:rFonts w:hAnsi="Times New Roman"/>
      <w:sz w:val="21"/>
      <w:szCs w:val="20"/>
    </w:rPr>
  </w:style>
  <w:style w:type="paragraph" w:customStyle="1" w:styleId="102">
    <w:name w:val="正文文本缩进 2_0"/>
    <w:basedOn w:val="103"/>
    <w:link w:val="101"/>
    <w:qFormat/>
    <w:uiPriority w:val="0"/>
    <w:pPr>
      <w:spacing w:line="420" w:lineRule="exact"/>
      <w:ind w:firstLine="525"/>
    </w:pPr>
    <w:rPr>
      <w:kern w:val="0"/>
      <w:lang w:val="en-US" w:eastAsia="en-US"/>
    </w:rPr>
  </w:style>
  <w:style w:type="paragraph" w:customStyle="1" w:styleId="103">
    <w:name w:val="正文_2"/>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104">
    <w:name w:val="Char Char2"/>
    <w:link w:val="1"/>
    <w:qFormat/>
    <w:uiPriority w:val="0"/>
    <w:rPr>
      <w:kern w:val="2"/>
      <w:sz w:val="18"/>
      <w:szCs w:val="18"/>
    </w:rPr>
  </w:style>
  <w:style w:type="character" w:customStyle="1" w:styleId="105">
    <w:name w:val="Char Char1"/>
    <w:link w:val="1"/>
    <w:qFormat/>
    <w:uiPriority w:val="0"/>
    <w:rPr>
      <w:rFonts w:ascii="宋体" w:eastAsia="宋体"/>
      <w:kern w:val="2"/>
      <w:sz w:val="21"/>
      <w:lang w:val="en-US" w:eastAsia="zh-CN"/>
    </w:rPr>
  </w:style>
  <w:style w:type="character" w:customStyle="1" w:styleId="106">
    <w:name w:val="style91"/>
    <w:link w:val="1"/>
    <w:qFormat/>
    <w:uiPriority w:val="0"/>
    <w:rPr>
      <w:color w:val="2060C0"/>
      <w:sz w:val="24"/>
      <w:szCs w:val="24"/>
    </w:rPr>
  </w:style>
  <w:style w:type="character" w:customStyle="1" w:styleId="107">
    <w:name w:val="apple-converted-space"/>
    <w:link w:val="1"/>
    <w:qFormat/>
    <w:uiPriority w:val="0"/>
  </w:style>
  <w:style w:type="character" w:customStyle="1" w:styleId="108">
    <w:name w:val="ca-21"/>
    <w:link w:val="1"/>
    <w:qFormat/>
    <w:uiPriority w:val="0"/>
    <w:rPr>
      <w:rFonts w:ascii="宋体" w:eastAsia="宋体"/>
      <w:sz w:val="21"/>
    </w:rPr>
  </w:style>
  <w:style w:type="character" w:customStyle="1" w:styleId="109">
    <w:name w:val="正文缩进 Char1_0"/>
    <w:link w:val="110"/>
    <w:qFormat/>
    <w:uiPriority w:val="0"/>
    <w:rPr>
      <w:kern w:val="2"/>
      <w:sz w:val="21"/>
      <w:szCs w:val="22"/>
    </w:rPr>
  </w:style>
  <w:style w:type="paragraph" w:customStyle="1" w:styleId="110">
    <w:name w:val="正文缩进_0"/>
    <w:basedOn w:val="111"/>
    <w:link w:val="109"/>
    <w:qFormat/>
    <w:uiPriority w:val="0"/>
    <w:pPr>
      <w:ind w:firstLine="420" w:firstLineChars="200"/>
    </w:pPr>
    <w:rPr>
      <w:szCs w:val="22"/>
      <w:lang w:val="en-US" w:eastAsia="en-US"/>
    </w:rPr>
  </w:style>
  <w:style w:type="paragraph" w:customStyle="1" w:styleId="111">
    <w:name w:val="正文_7"/>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12">
    <w:name w:val="ca-01"/>
    <w:link w:val="1"/>
    <w:qFormat/>
    <w:uiPriority w:val="0"/>
    <w:rPr>
      <w:rFonts w:ascii="宋体" w:eastAsia="宋体"/>
      <w:b/>
      <w:bCs/>
      <w:spacing w:val="-20"/>
      <w:sz w:val="24"/>
      <w:szCs w:val="24"/>
    </w:rPr>
  </w:style>
  <w:style w:type="character" w:customStyle="1" w:styleId="113">
    <w:name w:val="font21"/>
    <w:link w:val="1"/>
    <w:qFormat/>
    <w:uiPriority w:val="0"/>
    <w:rPr>
      <w:rFonts w:ascii="Times New Roman" w:hAnsi="Times New Roman"/>
      <w:color w:val="000000"/>
      <w:sz w:val="20"/>
      <w:u w:val="none"/>
    </w:rPr>
  </w:style>
  <w:style w:type="character" w:customStyle="1" w:styleId="114">
    <w:name w:val="A0"/>
    <w:link w:val="1"/>
    <w:qFormat/>
    <w:uiPriority w:val="0"/>
    <w:rPr>
      <w:rFonts w:ascii=".....?." w:hAnsi="宋体" w:eastAsia=".....?."/>
      <w:color w:val="000000"/>
      <w:sz w:val="22"/>
    </w:rPr>
  </w:style>
  <w:style w:type="character" w:customStyle="1" w:styleId="115">
    <w:name w:val="ca-51"/>
    <w:link w:val="1"/>
    <w:qFormat/>
    <w:uiPriority w:val="0"/>
    <w:rPr>
      <w:rFonts w:ascii="楷体_GB2312" w:eastAsia="楷体_GB2312"/>
      <w:b/>
      <w:bCs/>
      <w:spacing w:val="-20"/>
      <w:sz w:val="24"/>
      <w:szCs w:val="24"/>
    </w:rPr>
  </w:style>
  <w:style w:type="character" w:customStyle="1" w:styleId="116">
    <w:name w:val="正文（缩进） Char Char"/>
    <w:link w:val="1"/>
    <w:qFormat/>
    <w:uiPriority w:val="0"/>
    <w:rPr>
      <w:rFonts w:eastAsia="宋体"/>
      <w:kern w:val="2"/>
      <w:sz w:val="24"/>
      <w:szCs w:val="24"/>
      <w:lang w:val="en-US" w:eastAsia="zh-CN" w:bidi="ar-SA"/>
    </w:rPr>
  </w:style>
  <w:style w:type="character" w:customStyle="1" w:styleId="117">
    <w:name w:val=" Char Char2"/>
    <w:link w:val="1"/>
    <w:qFormat/>
    <w:uiPriority w:val="0"/>
    <w:rPr>
      <w:kern w:val="2"/>
      <w:sz w:val="18"/>
      <w:szCs w:val="18"/>
    </w:rPr>
  </w:style>
  <w:style w:type="character" w:customStyle="1" w:styleId="118">
    <w:name w:val="普通文字1 Char"/>
    <w:link w:val="1"/>
    <w:qFormat/>
    <w:uiPriority w:val="0"/>
    <w:rPr>
      <w:rFonts w:ascii="宋体" w:eastAsia="宋体"/>
      <w:kern w:val="2"/>
      <w:sz w:val="21"/>
      <w:szCs w:val="21"/>
      <w:lang w:val="en-US" w:eastAsia="zh-CN" w:bidi="ar-SA"/>
    </w:rPr>
  </w:style>
  <w:style w:type="character" w:customStyle="1" w:styleId="119">
    <w:name w:val="Heading 2 Char"/>
    <w:link w:val="1"/>
    <w:qFormat/>
    <w:uiPriority w:val="0"/>
    <w:rPr>
      <w:rFonts w:ascii="Arial" w:hAnsi="Arial" w:eastAsia="黑体"/>
      <w:b/>
      <w:bCs/>
      <w:kern w:val="2"/>
      <w:sz w:val="32"/>
      <w:szCs w:val="32"/>
      <w:lang w:val="en-US" w:eastAsia="zh-CN" w:bidi="ar-SA"/>
    </w:rPr>
  </w:style>
  <w:style w:type="character" w:customStyle="1" w:styleId="120">
    <w:name w:val="A1"/>
    <w:link w:val="1"/>
    <w:qFormat/>
    <w:uiPriority w:val="0"/>
    <w:rPr>
      <w:rFonts w:ascii="Univers LT Std 45 Light" w:hAnsi="宋体" w:eastAsia="Univers LT Std 45 Light"/>
      <w:color w:val="221E1F"/>
      <w:sz w:val="10"/>
      <w:szCs w:val="10"/>
    </w:rPr>
  </w:style>
  <w:style w:type="character" w:customStyle="1" w:styleId="121">
    <w:name w:val="正文（标记） Char2"/>
    <w:link w:val="122"/>
    <w:qFormat/>
    <w:uiPriority w:val="0"/>
    <w:rPr>
      <w:kern w:val="2"/>
      <w:sz w:val="24"/>
      <w:szCs w:val="24"/>
    </w:rPr>
  </w:style>
  <w:style w:type="paragraph" w:customStyle="1" w:styleId="122">
    <w:name w:val="正文（标记）"/>
    <w:basedOn w:val="1"/>
    <w:link w:val="121"/>
    <w:qFormat/>
    <w:uiPriority w:val="0"/>
    <w:pPr>
      <w:tabs>
        <w:tab w:val="left" w:pos="0"/>
        <w:tab w:val="left" w:pos="840"/>
      </w:tabs>
      <w:spacing w:before="50" w:after="50"/>
    </w:pPr>
    <w:rPr>
      <w:sz w:val="24"/>
      <w:szCs w:val="24"/>
      <w:lang w:val="en-US" w:eastAsia="en-US"/>
    </w:rPr>
  </w:style>
  <w:style w:type="character" w:customStyle="1" w:styleId="123">
    <w:name w:val="font31"/>
    <w:link w:val="1"/>
    <w:qFormat/>
    <w:uiPriority w:val="0"/>
    <w:rPr>
      <w:rFonts w:ascii="Arial" w:hAnsi="Arial"/>
      <w:color w:val="000000"/>
      <w:sz w:val="22"/>
      <w:szCs w:val="22"/>
      <w:u w:val="none"/>
    </w:rPr>
  </w:style>
  <w:style w:type="character" w:customStyle="1" w:styleId="124">
    <w:name w:val="ca-11"/>
    <w:link w:val="1"/>
    <w:qFormat/>
    <w:uiPriority w:val="0"/>
    <w:rPr>
      <w:rFonts w:ascii="宋体" w:eastAsia="宋体"/>
      <w:b/>
      <w:bCs/>
      <w:color w:val="000000"/>
      <w:spacing w:val="-20"/>
      <w:sz w:val="28"/>
      <w:szCs w:val="28"/>
    </w:rPr>
  </w:style>
  <w:style w:type="character" w:customStyle="1" w:styleId="125">
    <w:name w:val="无间隔 字符"/>
    <w:link w:val="126"/>
    <w:qFormat/>
    <w:uiPriority w:val="0"/>
    <w:rPr>
      <w:kern w:val="2"/>
      <w:sz w:val="22"/>
      <w:lang w:val="en-US" w:eastAsia="zh-CN" w:bidi="ar-SA"/>
    </w:rPr>
  </w:style>
  <w:style w:type="paragraph" w:customStyle="1" w:styleId="126">
    <w:name w:val="无间隔"/>
    <w:link w:val="125"/>
    <w:qFormat/>
    <w:uiPriority w:val="0"/>
    <w:rPr>
      <w:rFonts w:ascii="Times New Roman" w:hAnsi="Times New Roman" w:eastAsia="宋体" w:cs="Times New Roman"/>
      <w:kern w:val="2"/>
      <w:sz w:val="22"/>
      <w:lang w:val="en-US" w:eastAsia="zh-CN" w:bidi="ar-SA"/>
    </w:rPr>
  </w:style>
  <w:style w:type="character" w:customStyle="1" w:styleId="127">
    <w:name w:val="正文（编号） Char Char"/>
    <w:link w:val="128"/>
    <w:qFormat/>
    <w:uiPriority w:val="0"/>
    <w:rPr>
      <w:kern w:val="2"/>
      <w:sz w:val="24"/>
      <w:szCs w:val="24"/>
    </w:rPr>
  </w:style>
  <w:style w:type="paragraph" w:customStyle="1" w:styleId="128">
    <w:name w:val="正文（编号）"/>
    <w:basedOn w:val="129"/>
    <w:link w:val="127"/>
    <w:qFormat/>
    <w:uiPriority w:val="0"/>
    <w:pPr>
      <w:tabs>
        <w:tab w:val="left" w:pos="720"/>
        <w:tab w:val="left" w:pos="780"/>
      </w:tabs>
      <w:ind w:left="720" w:firstLine="0" w:firstLineChars="0"/>
    </w:pPr>
    <w:rPr>
      <w:szCs w:val="24"/>
      <w:lang w:val="en-US" w:eastAsia="en-US"/>
    </w:rPr>
  </w:style>
  <w:style w:type="paragraph" w:customStyle="1" w:styleId="129">
    <w:name w:val="正文（缩进）"/>
    <w:basedOn w:val="1"/>
    <w:qFormat/>
    <w:uiPriority w:val="0"/>
    <w:pPr>
      <w:spacing w:before="50" w:after="50" w:line="360" w:lineRule="auto"/>
      <w:ind w:firstLine="200" w:firstLineChars="200"/>
    </w:pPr>
    <w:rPr>
      <w:sz w:val="24"/>
    </w:rPr>
  </w:style>
  <w:style w:type="character" w:customStyle="1" w:styleId="130">
    <w:name w:val="style161"/>
    <w:link w:val="1"/>
    <w:qFormat/>
    <w:uiPriority w:val="0"/>
    <w:rPr>
      <w:rFonts w:ascii="Verdana" w:hAnsi="Verdana" w:eastAsia="宋体"/>
      <w:b/>
      <w:color w:val="0A246A"/>
      <w:sz w:val="24"/>
      <w:szCs w:val="24"/>
      <w:lang w:val="en-US" w:eastAsia="zh-CN" w:bidi="ar-SA"/>
    </w:rPr>
  </w:style>
  <w:style w:type="character" w:customStyle="1" w:styleId="131">
    <w:name w:val="apple-style-span"/>
    <w:link w:val="1"/>
    <w:qFormat/>
    <w:uiPriority w:val="0"/>
    <w:rPr>
      <w:rFonts w:ascii="宋体" w:hAnsi="宋体"/>
    </w:rPr>
  </w:style>
  <w:style w:type="character" w:customStyle="1" w:styleId="132">
    <w:name w:val="标题 2 Char Char Char"/>
    <w:link w:val="1"/>
    <w:qFormat/>
    <w:uiPriority w:val="0"/>
    <w:rPr>
      <w:rFonts w:ascii="Arial" w:hAnsi="Arial" w:eastAsia="宋体"/>
      <w:b/>
      <w:bCs/>
      <w:i/>
      <w:iCs/>
      <w:sz w:val="28"/>
      <w:szCs w:val="28"/>
      <w:lang w:val="en-US" w:eastAsia="zh-CN" w:bidi="ar-SA"/>
    </w:rPr>
  </w:style>
  <w:style w:type="character" w:customStyle="1" w:styleId="133">
    <w:name w:val="Heading 4 Char"/>
    <w:link w:val="1"/>
    <w:qFormat/>
    <w:uiPriority w:val="0"/>
    <w:rPr>
      <w:rFonts w:ascii="Cambria" w:hAnsi="Cambria" w:eastAsia="宋体"/>
      <w:b/>
      <w:bCs/>
      <w:sz w:val="28"/>
      <w:szCs w:val="28"/>
      <w:lang w:bidi="ar-SA"/>
    </w:rPr>
  </w:style>
  <w:style w:type="character" w:customStyle="1" w:styleId="134">
    <w:name w:val="ca-41"/>
    <w:link w:val="1"/>
    <w:qFormat/>
    <w:uiPriority w:val="0"/>
    <w:rPr>
      <w:rFonts w:ascii="宋体" w:eastAsia="宋体"/>
      <w:b/>
      <w:bCs/>
      <w:color w:val="000000"/>
      <w:spacing w:val="-20"/>
      <w:sz w:val="21"/>
      <w:szCs w:val="21"/>
    </w:rPr>
  </w:style>
  <w:style w:type="character" w:customStyle="1" w:styleId="135">
    <w:name w:val="Footer Char1"/>
    <w:link w:val="1"/>
    <w:qFormat/>
    <w:uiPriority w:val="0"/>
    <w:rPr>
      <w:sz w:val="18"/>
      <w:szCs w:val="18"/>
      <w:lang w:bidi="ar-SA"/>
    </w:rPr>
  </w:style>
  <w:style w:type="character" w:customStyle="1" w:styleId="136">
    <w:name w:val=" Char Char23"/>
    <w:link w:val="1"/>
    <w:qFormat/>
    <w:uiPriority w:val="0"/>
    <w:rPr>
      <w:kern w:val="2"/>
      <w:sz w:val="24"/>
      <w:szCs w:val="21"/>
      <w:lang w:bidi="ar-SA"/>
    </w:rPr>
  </w:style>
  <w:style w:type="character" w:customStyle="1" w:styleId="137">
    <w:name w:val="正文文本缩进 Char"/>
    <w:link w:val="138"/>
    <w:qFormat/>
    <w:uiPriority w:val="0"/>
    <w:rPr>
      <w:rFonts w:hAnsi="Times New Roman"/>
      <w:szCs w:val="20"/>
    </w:rPr>
  </w:style>
  <w:style w:type="paragraph" w:customStyle="1" w:styleId="138">
    <w:name w:val="正文文本缩进_0"/>
    <w:basedOn w:val="103"/>
    <w:link w:val="137"/>
    <w:qFormat/>
    <w:uiPriority w:val="0"/>
    <w:pPr>
      <w:spacing w:line="360" w:lineRule="auto"/>
      <w:ind w:firstLine="420"/>
    </w:pPr>
    <w:rPr>
      <w:kern w:val="0"/>
      <w:sz w:val="20"/>
      <w:lang w:val="en-US" w:eastAsia="en-US"/>
    </w:rPr>
  </w:style>
  <w:style w:type="character" w:customStyle="1" w:styleId="139">
    <w:name w:val="maywed421"/>
    <w:link w:val="1"/>
    <w:qFormat/>
    <w:uiPriority w:val="0"/>
    <w:rPr>
      <w:color w:val="366FB6"/>
      <w:u w:val="none"/>
    </w:rPr>
  </w:style>
  <w:style w:type="character" w:customStyle="1" w:styleId="140">
    <w:name w:val="Comment Text Char"/>
    <w:link w:val="1"/>
    <w:qFormat/>
    <w:uiPriority w:val="0"/>
    <w:rPr>
      <w:sz w:val="21"/>
      <w:szCs w:val="21"/>
      <w:lang w:bidi="ar-SA"/>
    </w:rPr>
  </w:style>
  <w:style w:type="character" w:customStyle="1" w:styleId="141">
    <w:name w:val="font41"/>
    <w:link w:val="1"/>
    <w:qFormat/>
    <w:uiPriority w:val="0"/>
    <w:rPr>
      <w:rFonts w:hint="eastAsia" w:ascii="宋体" w:hAnsi="宋体" w:eastAsia="宋体"/>
      <w:color w:val="000000"/>
      <w:sz w:val="24"/>
      <w:szCs w:val="24"/>
      <w:u w:val="none"/>
    </w:rPr>
  </w:style>
  <w:style w:type="character" w:customStyle="1" w:styleId="142">
    <w:name w:val="Header Char"/>
    <w:link w:val="1"/>
    <w:qFormat/>
    <w:uiPriority w:val="0"/>
    <w:rPr>
      <w:rFonts w:eastAsia="宋体"/>
      <w:kern w:val="2"/>
      <w:sz w:val="18"/>
      <w:lang w:val="en-US" w:eastAsia="zh-CN"/>
    </w:rPr>
  </w:style>
  <w:style w:type="character" w:customStyle="1" w:styleId="143">
    <w:name w:val="纯文本 Char_0"/>
    <w:link w:val="144"/>
    <w:qFormat/>
    <w:uiPriority w:val="0"/>
    <w:rPr>
      <w:rFonts w:ascii="宋体" w:hAnsi="Courier New"/>
      <w:kern w:val="2"/>
      <w:sz w:val="21"/>
      <w:szCs w:val="21"/>
    </w:rPr>
  </w:style>
  <w:style w:type="paragraph" w:customStyle="1" w:styleId="144">
    <w:name w:val="纯文本_0"/>
    <w:basedOn w:val="111"/>
    <w:link w:val="143"/>
    <w:qFormat/>
    <w:uiPriority w:val="0"/>
    <w:rPr>
      <w:rFonts w:ascii="宋体" w:hAnsi="Courier New"/>
      <w:szCs w:val="21"/>
      <w:lang w:val="en-US" w:eastAsia="en-US"/>
    </w:rPr>
  </w:style>
  <w:style w:type="character" w:customStyle="1" w:styleId="145">
    <w:name w:val=" Char Char3"/>
    <w:link w:val="1"/>
    <w:qFormat/>
    <w:uiPriority w:val="0"/>
    <w:rPr>
      <w:rFonts w:ascii="宋体" w:eastAsia="宋体"/>
      <w:sz w:val="18"/>
      <w:szCs w:val="18"/>
      <w:lang w:val="en-US" w:eastAsia="zh-CN" w:bidi="ar-SA"/>
    </w:rPr>
  </w:style>
  <w:style w:type="character" w:customStyle="1" w:styleId="146">
    <w:name w:val="question-title"/>
    <w:link w:val="1"/>
    <w:qFormat/>
    <w:uiPriority w:val="0"/>
  </w:style>
  <w:style w:type="character" w:customStyle="1" w:styleId="147">
    <w:name w:val="ca-31"/>
    <w:link w:val="1"/>
    <w:qFormat/>
    <w:uiPriority w:val="0"/>
    <w:rPr>
      <w:rFonts w:ascii="宋体" w:eastAsia="宋体"/>
      <w:color w:val="000000"/>
      <w:sz w:val="21"/>
      <w:szCs w:val="21"/>
    </w:rPr>
  </w:style>
  <w:style w:type="character" w:customStyle="1" w:styleId="148">
    <w:name w:val="style15"/>
    <w:link w:val="1"/>
    <w:qFormat/>
    <w:uiPriority w:val="0"/>
  </w:style>
  <w:style w:type="character" w:customStyle="1" w:styleId="149">
    <w:name w:val="Char Char3"/>
    <w:link w:val="1"/>
    <w:qFormat/>
    <w:uiPriority w:val="0"/>
    <w:rPr>
      <w:rFonts w:ascii="Arial" w:hAnsi="Arial" w:eastAsia="黑体"/>
      <w:b/>
      <w:bCs/>
      <w:kern w:val="2"/>
      <w:sz w:val="32"/>
      <w:szCs w:val="32"/>
      <w:lang w:val="en-US" w:eastAsia="zh-CN" w:bidi="ar-SA"/>
    </w:rPr>
  </w:style>
  <w:style w:type="character" w:customStyle="1" w:styleId="150">
    <w:name w:val="Header Char1"/>
    <w:link w:val="1"/>
    <w:qFormat/>
    <w:uiPriority w:val="0"/>
    <w:rPr>
      <w:sz w:val="18"/>
      <w:szCs w:val="18"/>
      <w:lang w:bidi="ar-SA"/>
    </w:rPr>
  </w:style>
  <w:style w:type="character" w:customStyle="1" w:styleId="151">
    <w:name w:val="段落 Char"/>
    <w:link w:val="1"/>
    <w:qFormat/>
    <w:uiPriority w:val="0"/>
    <w:rPr>
      <w:rFonts w:ascii="仿宋_GB2312" w:eastAsia="仿宋_GB2312"/>
      <w:kern w:val="2"/>
      <w:sz w:val="24"/>
      <w:szCs w:val="24"/>
      <w:lang w:val="en-US" w:eastAsia="zh-CN" w:bidi="ar-SA"/>
    </w:rPr>
  </w:style>
  <w:style w:type="character" w:customStyle="1" w:styleId="152">
    <w:name w:val="font01"/>
    <w:link w:val="1"/>
    <w:qFormat/>
    <w:uiPriority w:val="0"/>
    <w:rPr>
      <w:rFonts w:hint="eastAsia" w:ascii="宋体" w:hAnsi="宋体" w:eastAsia="宋体"/>
      <w:color w:val="000000"/>
      <w:sz w:val="24"/>
      <w:szCs w:val="24"/>
      <w:u w:val="none"/>
    </w:rPr>
  </w:style>
  <w:style w:type="character" w:customStyle="1" w:styleId="153">
    <w:name w:val="wj1"/>
    <w:link w:val="1"/>
    <w:qFormat/>
    <w:uiPriority w:val="0"/>
    <w:rPr>
      <w:color w:val="000000"/>
      <w:sz w:val="18"/>
      <w:szCs w:val="18"/>
      <w:u w:val="none"/>
    </w:rPr>
  </w:style>
  <w:style w:type="character" w:customStyle="1" w:styleId="154">
    <w:name w:val="Heading 3 Char"/>
    <w:link w:val="1"/>
    <w:qFormat/>
    <w:uiPriority w:val="0"/>
    <w:rPr>
      <w:b/>
      <w:bCs/>
      <w:sz w:val="32"/>
      <w:szCs w:val="32"/>
      <w:lang w:bidi="ar-SA"/>
    </w:rPr>
  </w:style>
  <w:style w:type="character" w:customStyle="1" w:styleId="155">
    <w:name w:val="Plain Text Char1"/>
    <w:link w:val="1"/>
    <w:qFormat/>
    <w:uiPriority w:val="0"/>
    <w:rPr>
      <w:rFonts w:ascii="宋体" w:eastAsia="宋体"/>
      <w:kern w:val="2"/>
      <w:sz w:val="21"/>
      <w:szCs w:val="21"/>
      <w:lang w:val="en-US" w:eastAsia="zh-CN" w:bidi="ar-SA"/>
    </w:rPr>
  </w:style>
  <w:style w:type="character" w:customStyle="1" w:styleId="156">
    <w:name w:val="ca-1"/>
    <w:link w:val="1"/>
    <w:qFormat/>
    <w:uiPriority w:val="0"/>
  </w:style>
  <w:style w:type="paragraph" w:customStyle="1" w:styleId="157">
    <w:name w:val="Normal_5_0"/>
    <w:qFormat/>
    <w:uiPriority w:val="0"/>
    <w:rPr>
      <w:rFonts w:ascii="黑体" w:hAnsi="黑体" w:eastAsia="黑体" w:cs="Times New Roman"/>
      <w:b/>
      <w:sz w:val="32"/>
      <w:szCs w:val="24"/>
      <w:lang w:val="en-US" w:bidi="ar-SA"/>
    </w:rPr>
  </w:style>
  <w:style w:type="paragraph" w:customStyle="1" w:styleId="158">
    <w:name w:val="技术方案2"/>
    <w:basedOn w:val="1"/>
    <w:qFormat/>
    <w:uiPriority w:val="0"/>
    <w:pPr>
      <w:spacing w:line="480" w:lineRule="auto"/>
    </w:pPr>
    <w:rPr>
      <w:rFonts w:ascii="宋体"/>
      <w:b/>
      <w:bCs/>
      <w:sz w:val="36"/>
      <w:szCs w:val="22"/>
    </w:rPr>
  </w:style>
  <w:style w:type="paragraph" w:customStyle="1" w:styleId="159">
    <w:name w:val="表中文字"/>
    <w:basedOn w:val="1"/>
    <w:qFormat/>
    <w:uiPriority w:val="0"/>
    <w:pPr>
      <w:widowControl/>
    </w:pPr>
    <w:rPr>
      <w:rFonts w:ascii="Calibri" w:hAnsi="Calibri"/>
      <w:szCs w:val="20"/>
    </w:rPr>
  </w:style>
  <w:style w:type="paragraph" w:customStyle="1" w:styleId="160">
    <w:name w:val="Normal_9"/>
    <w:qFormat/>
    <w:uiPriority w:val="0"/>
    <w:rPr>
      <w:rFonts w:ascii="黑体" w:hAnsi="黑体" w:eastAsia="黑体" w:cs="Times New Roman"/>
      <w:b/>
      <w:sz w:val="32"/>
      <w:szCs w:val="24"/>
      <w:lang w:val="en-US" w:bidi="ar-SA"/>
    </w:rPr>
  </w:style>
  <w:style w:type="paragraph" w:customStyle="1" w:styleId="161">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2">
    <w:name w:val="标书2"/>
    <w:qFormat/>
    <w:uiPriority w:val="0"/>
    <w:rPr>
      <w:rFonts w:ascii="Times New Roman" w:hAnsi="Times New Roman" w:eastAsia="黑体" w:cs="Times New Roman"/>
      <w:b/>
      <w:kern w:val="2"/>
      <w:sz w:val="44"/>
      <w:lang w:val="en-US" w:eastAsia="zh-CN" w:bidi="ar-SA"/>
    </w:rPr>
  </w:style>
  <w:style w:type="paragraph" w:customStyle="1" w:styleId="163">
    <w:name w:val="段落"/>
    <w:qFormat/>
    <w:uiPriority w:val="0"/>
    <w:pPr>
      <w:snapToGrid w:val="0"/>
      <w:spacing w:before="120" w:after="120" w:line="360" w:lineRule="auto"/>
      <w:ind w:firstLine="420"/>
      <w:jc w:val="both"/>
    </w:pPr>
    <w:rPr>
      <w:rFonts w:ascii="Times New Roman" w:hAnsi="Times New Roman" w:eastAsia="仿宋_GB2312" w:cs="Times New Roman"/>
      <w:kern w:val="2"/>
      <w:sz w:val="24"/>
      <w:szCs w:val="24"/>
      <w:lang w:val="en-US" w:eastAsia="zh-CN" w:bidi="ar-SA"/>
    </w:rPr>
  </w:style>
  <w:style w:type="paragraph" w:customStyle="1" w:styleId="164">
    <w:name w:val="一级条标题"/>
    <w:qFormat/>
    <w:uiPriority w:val="0"/>
    <w:pPr>
      <w:outlineLvl w:val="2"/>
    </w:pPr>
    <w:rPr>
      <w:rFonts w:ascii="Times New Roman" w:hAnsi="Times New Roman" w:eastAsia="黑体" w:cs="Times New Roman"/>
      <w:sz w:val="21"/>
      <w:lang w:val="en-US" w:eastAsia="zh-CN" w:bidi="ar-SA"/>
    </w:rPr>
  </w:style>
  <w:style w:type="paragraph" w:customStyle="1" w:styleId="16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66">
    <w:name w:val="首页小标题"/>
    <w:qFormat/>
    <w:uiPriority w:val="0"/>
    <w:pPr>
      <w:snapToGrid w:val="0"/>
      <w:jc w:val="center"/>
    </w:pPr>
    <w:rPr>
      <w:rFonts w:ascii="Times New Roman" w:hAnsi="Times New Roman" w:eastAsia="宋体" w:cs="Times New Roman"/>
      <w:kern w:val="2"/>
      <w:sz w:val="44"/>
      <w:lang w:val="en-US" w:eastAsia="zh-CN" w:bidi="ar-SA"/>
    </w:rPr>
  </w:style>
  <w:style w:type="paragraph" w:customStyle="1" w:styleId="167">
    <w:name w:val="首页空格"/>
    <w:qFormat/>
    <w:uiPriority w:val="0"/>
    <w:pPr>
      <w:snapToGrid w:val="0"/>
      <w:jc w:val="center"/>
    </w:pPr>
    <w:rPr>
      <w:rFonts w:ascii="Times New Roman" w:hAnsi="Times New Roman" w:eastAsia="宋体" w:cs="Times New Roman"/>
      <w:kern w:val="2"/>
      <w:sz w:val="72"/>
      <w:lang w:val="en-US" w:eastAsia="zh-CN" w:bidi="ar-SA"/>
    </w:rPr>
  </w:style>
  <w:style w:type="paragraph" w:customStyle="1" w:styleId="168">
    <w:name w:val="正文_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9">
    <w:name w:val="正文_1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70">
    <w:name w:val="Normal_1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71">
    <w:name w:val="pa-10"/>
    <w:basedOn w:val="1"/>
    <w:qFormat/>
    <w:uiPriority w:val="0"/>
    <w:pPr>
      <w:widowControl/>
      <w:spacing w:line="240" w:lineRule="atLeast"/>
    </w:pPr>
    <w:rPr>
      <w:rFonts w:ascii="宋体"/>
      <w:kern w:val="0"/>
      <w:sz w:val="24"/>
      <w:lang w:bidi="ar-SA"/>
    </w:rPr>
  </w:style>
  <w:style w:type="paragraph" w:customStyle="1" w:styleId="172">
    <w:name w:val="封面标准号1"/>
    <w:qFormat/>
    <w:uiPriority w:val="0"/>
    <w:pPr>
      <w:widowControl w:val="0"/>
      <w:kinsoku w:val="0"/>
      <w:overflowPunct w:val="0"/>
      <w:autoSpaceDE w:val="0"/>
      <w:autoSpaceDN w:val="0"/>
      <w:spacing w:before="308"/>
      <w:jc w:val="right"/>
    </w:pPr>
    <w:rPr>
      <w:rFonts w:ascii="Times New Roman" w:hAnsi="Times New Roman" w:eastAsia="宋体" w:cs="Times New Roman"/>
      <w:sz w:val="28"/>
      <w:lang w:val="en-US" w:eastAsia="zh-CN" w:bidi="ar-SA"/>
    </w:rPr>
  </w:style>
  <w:style w:type="paragraph" w:customStyle="1" w:styleId="173">
    <w:name w:val="pa-2"/>
    <w:basedOn w:val="1"/>
    <w:qFormat/>
    <w:uiPriority w:val="0"/>
    <w:pPr>
      <w:widowControl/>
      <w:spacing w:line="360" w:lineRule="atLeast"/>
    </w:pPr>
    <w:rPr>
      <w:rFonts w:ascii="宋体"/>
      <w:kern w:val="0"/>
      <w:sz w:val="24"/>
      <w:lang w:bidi="ar-SA"/>
    </w:rPr>
  </w:style>
  <w:style w:type="paragraph" w:customStyle="1" w:styleId="174">
    <w:name w:val="Normal_1_2"/>
    <w:qFormat/>
    <w:uiPriority w:val="0"/>
    <w:rPr>
      <w:rFonts w:ascii="Times New Roman" w:hAnsi="Times New Roman" w:eastAsia="Times New Roman" w:cs="Times New Roman"/>
      <w:sz w:val="24"/>
      <w:szCs w:val="24"/>
      <w:lang w:val="en-US" w:bidi="ar-SA"/>
    </w:rPr>
  </w:style>
  <w:style w:type="paragraph" w:customStyle="1" w:styleId="175">
    <w:name w:val="Char Char1 Char Char Char Char Char Char Char Char"/>
    <w:basedOn w:val="1"/>
    <w:qFormat/>
    <w:uiPriority w:val="0"/>
    <w:pPr>
      <w:widowControl/>
      <w:spacing w:after="160" w:line="240" w:lineRule="exact"/>
      <w:jc w:val="left"/>
    </w:pPr>
  </w:style>
  <w:style w:type="paragraph" w:customStyle="1" w:styleId="176">
    <w:name w:val="Normal_9_0"/>
    <w:qFormat/>
    <w:uiPriority w:val="0"/>
    <w:rPr>
      <w:rFonts w:ascii="Times New Roman" w:hAnsi="Times New Roman" w:eastAsia="Times New Roman" w:cs="Times New Roman"/>
      <w:sz w:val="24"/>
      <w:szCs w:val="24"/>
      <w:lang w:val="en-US" w:bidi="ar-SA"/>
    </w:rPr>
  </w:style>
  <w:style w:type="paragraph" w:customStyle="1" w:styleId="177">
    <w:name w:val="首页标题小初"/>
    <w:qFormat/>
    <w:uiPriority w:val="0"/>
    <w:pPr>
      <w:snapToGrid w:val="0"/>
      <w:jc w:val="center"/>
    </w:pPr>
    <w:rPr>
      <w:rFonts w:ascii="黑体" w:hAnsi="Times New Roman" w:eastAsia="黑体" w:cs="Times New Roman"/>
      <w:kern w:val="2"/>
      <w:sz w:val="72"/>
      <w:lang w:val="en-US" w:eastAsia="zh-CN" w:bidi="ar-SA"/>
    </w:rPr>
  </w:style>
  <w:style w:type="paragraph" w:customStyle="1" w:styleId="178">
    <w:name w:val="正文_6_0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79">
    <w:name w:val="正文_3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80">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1">
    <w:name w:val="图表目录1"/>
    <w:qFormat/>
    <w:uiPriority w:val="0"/>
    <w:pPr>
      <w:ind w:left="840" w:hanging="420"/>
    </w:pPr>
    <w:rPr>
      <w:rFonts w:ascii="Times New Roman" w:hAnsi="Times New Roman" w:eastAsia="宋体" w:cs="Times New Roman"/>
      <w:kern w:val="2"/>
      <w:sz w:val="21"/>
      <w:lang w:val="en-US" w:eastAsia="zh-CN" w:bidi="ar-SA"/>
    </w:rPr>
  </w:style>
  <w:style w:type="paragraph" w:customStyle="1" w:styleId="182">
    <w:name w:val="正文1"/>
    <w:basedOn w:val="1"/>
    <w:qFormat/>
    <w:uiPriority w:val="0"/>
    <w:pPr>
      <w:widowControl/>
      <w:spacing w:line="360" w:lineRule="auto"/>
      <w:ind w:left="357" w:firstLine="420"/>
      <w:jc w:val="left"/>
    </w:pPr>
    <w:rPr>
      <w:szCs w:val="20"/>
      <w:lang w:bidi="ar-SA"/>
    </w:rPr>
  </w:style>
  <w:style w:type="paragraph" w:customStyle="1" w:styleId="183">
    <w:name w:val="加点正文缩进"/>
    <w:basedOn w:val="1"/>
    <w:qFormat/>
    <w:uiPriority w:val="0"/>
    <w:pPr>
      <w:tabs>
        <w:tab w:val="left" w:pos="840"/>
      </w:tabs>
      <w:snapToGrid w:val="0"/>
      <w:spacing w:line="300" w:lineRule="auto"/>
      <w:ind w:left="962" w:hanging="480"/>
    </w:pPr>
    <w:rPr>
      <w:sz w:val="24"/>
    </w:rPr>
  </w:style>
  <w:style w:type="paragraph" w:customStyle="1" w:styleId="184">
    <w:name w:val="说明书3级标题"/>
    <w:basedOn w:val="1"/>
    <w:qFormat/>
    <w:uiPriority w:val="0"/>
    <w:pPr>
      <w:numPr>
        <w:ilvl w:val="2"/>
        <w:numId w:val="1"/>
      </w:numPr>
      <w:tabs>
        <w:tab w:val="clear" w:pos="425"/>
      </w:tabs>
      <w:spacing w:line="360" w:lineRule="auto"/>
    </w:pPr>
    <w:rPr>
      <w:rFonts w:ascii="Calibri" w:hAnsi="Calibri" w:eastAsia="黑体"/>
      <w:sz w:val="24"/>
      <w:szCs w:val="22"/>
    </w:rPr>
  </w:style>
  <w:style w:type="paragraph" w:customStyle="1" w:styleId="185">
    <w:name w:val="样式 序号----------- + 仿宋_GB23121"/>
    <w:basedOn w:val="186"/>
    <w:qFormat/>
    <w:uiPriority w:val="0"/>
    <w:pPr>
      <w:spacing w:line="360" w:lineRule="auto"/>
    </w:pPr>
    <w:rPr>
      <w:rFonts w:ascii="仿宋_GB2312" w:eastAsia="仿宋_GB2312"/>
      <w:bCs w:val="0"/>
    </w:rPr>
  </w:style>
  <w:style w:type="paragraph" w:customStyle="1" w:styleId="186">
    <w:name w:val="序号-----------"/>
    <w:basedOn w:val="1"/>
    <w:qFormat/>
    <w:uiPriority w:val="0"/>
    <w:pPr>
      <w:widowControl/>
      <w:jc w:val="left"/>
    </w:pPr>
    <w:rPr>
      <w:rFonts w:ascii="宋体"/>
      <w:bCs/>
      <w:kern w:val="0"/>
      <w:szCs w:val="21"/>
    </w:rPr>
  </w:style>
  <w:style w:type="paragraph" w:customStyle="1" w:styleId="187">
    <w:name w:val="正文_1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88">
    <w:name w:val=" Char1"/>
    <w:basedOn w:val="1"/>
    <w:qFormat/>
    <w:uiPriority w:val="0"/>
    <w:pPr>
      <w:tabs>
        <w:tab w:val="left" w:pos="360"/>
      </w:tabs>
      <w:spacing w:line="480" w:lineRule="auto"/>
      <w:ind w:left="360" w:right="202" w:firstLine="360"/>
    </w:pPr>
    <w:rPr>
      <w:sz w:val="24"/>
    </w:rPr>
  </w:style>
  <w:style w:type="paragraph" w:customStyle="1" w:styleId="189">
    <w:name w:val="章标题"/>
    <w:qFormat/>
    <w:uiPriority w:val="0"/>
    <w:pPr>
      <w:tabs>
        <w:tab w:val="left" w:pos="1200"/>
      </w:tabs>
      <w:spacing w:before="50" w:after="50"/>
      <w:ind w:left="1320" w:hanging="420"/>
      <w:jc w:val="both"/>
      <w:outlineLvl w:val="1"/>
    </w:pPr>
    <w:rPr>
      <w:rFonts w:ascii="黑体" w:hAnsi="Times New Roman" w:eastAsia="黑体" w:cs="Times New Roman"/>
      <w:sz w:val="21"/>
      <w:lang w:val="en-US" w:eastAsia="zh-CN" w:bidi="ar-SA"/>
    </w:rPr>
  </w:style>
  <w:style w:type="paragraph" w:customStyle="1" w:styleId="190">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1">
    <w:name w:val="三级条标题"/>
    <w:basedOn w:val="192"/>
    <w:qFormat/>
    <w:uiPriority w:val="0"/>
    <w:pPr>
      <w:ind w:left="1050"/>
      <w:outlineLvl w:val="4"/>
    </w:pPr>
  </w:style>
  <w:style w:type="paragraph" w:customStyle="1" w:styleId="192">
    <w:name w:val="二级条标题"/>
    <w:basedOn w:val="164"/>
    <w:qFormat/>
    <w:uiPriority w:val="0"/>
    <w:pPr>
      <w:ind w:left="360"/>
      <w:outlineLvl w:val="3"/>
    </w:pPr>
  </w:style>
  <w:style w:type="paragraph" w:customStyle="1" w:styleId="193">
    <w:name w:val="正文_1_0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4">
    <w:name w:val="表格样式居中"/>
    <w:qFormat/>
    <w:uiPriority w:val="0"/>
    <w:pPr>
      <w:snapToGrid w:val="0"/>
      <w:jc w:val="center"/>
    </w:pPr>
    <w:rPr>
      <w:rFonts w:ascii="Times New Roman" w:hAnsi="Times New Roman" w:eastAsia="仿宋_GB2312" w:cs="Times New Roman"/>
      <w:bCs/>
      <w:kern w:val="44"/>
      <w:sz w:val="21"/>
      <w:szCs w:val="44"/>
      <w:lang w:val="en-US" w:eastAsia="zh-CN" w:bidi="ar-SA"/>
    </w:rPr>
  </w:style>
  <w:style w:type="paragraph" w:customStyle="1" w:styleId="195">
    <w:name w:val="Normal_0_3"/>
    <w:qFormat/>
    <w:uiPriority w:val="0"/>
    <w:rPr>
      <w:rFonts w:ascii="黑体" w:hAnsi="黑体" w:eastAsia="黑体" w:cs="Times New Roman"/>
      <w:b/>
      <w:sz w:val="32"/>
      <w:szCs w:val="24"/>
      <w:lang w:val="en-US" w:bidi="ar-SA"/>
    </w:rPr>
  </w:style>
  <w:style w:type="paragraph" w:customStyle="1" w:styleId="196">
    <w:name w:val="正文_13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7">
    <w:name w:val="Normal_12"/>
    <w:qFormat/>
    <w:uiPriority w:val="0"/>
    <w:rPr>
      <w:rFonts w:ascii="黑体" w:hAnsi="黑体" w:eastAsia="黑体" w:cs="Times New Roman"/>
      <w:b/>
      <w:sz w:val="32"/>
      <w:szCs w:val="24"/>
      <w:lang w:val="en-US" w:bidi="ar-SA"/>
    </w:rPr>
  </w:style>
  <w:style w:type="paragraph" w:customStyle="1" w:styleId="198">
    <w:name w:val="技术方案正文"/>
    <w:basedOn w:val="1"/>
    <w:qFormat/>
    <w:uiPriority w:val="0"/>
    <w:pPr>
      <w:spacing w:line="360" w:lineRule="auto"/>
      <w:ind w:firstLine="480"/>
    </w:pPr>
    <w:rPr>
      <w:rFonts w:ascii="宋体"/>
      <w:sz w:val="24"/>
      <w:szCs w:val="22"/>
    </w:rPr>
  </w:style>
  <w:style w:type="paragraph" w:customStyle="1" w:styleId="199">
    <w:name w:val="表格序号"/>
    <w:qFormat/>
    <w:uiPriority w:val="0"/>
    <w:rPr>
      <w:rFonts w:ascii="Times New Roman" w:hAnsi="Times New Roman" w:eastAsia="仿宋_GB2312" w:cs="Times New Roman"/>
      <w:kern w:val="44"/>
      <w:sz w:val="21"/>
      <w:lang w:val="en-US" w:eastAsia="zh-CN" w:bidi="ar-SA"/>
    </w:rPr>
  </w:style>
  <w:style w:type="paragraph" w:customStyle="1" w:styleId="200">
    <w:name w:val="Normal_2"/>
    <w:qFormat/>
    <w:uiPriority w:val="0"/>
    <w:rPr>
      <w:rFonts w:ascii="黑体" w:hAnsi="黑体" w:eastAsia="黑体" w:cs="Times New Roman"/>
      <w:b/>
      <w:sz w:val="32"/>
      <w:szCs w:val="24"/>
      <w:lang w:val="en-US" w:bidi="ar-SA"/>
    </w:rPr>
  </w:style>
  <w:style w:type="paragraph" w:customStyle="1" w:styleId="201">
    <w:name w:val="篇名"/>
    <w:qFormat/>
    <w:uiPriority w:val="0"/>
    <w:pPr>
      <w:pageBreakBefore/>
      <w:snapToGrid w:val="0"/>
      <w:spacing w:before="480" w:after="480"/>
      <w:jc w:val="center"/>
    </w:pPr>
    <w:rPr>
      <w:rFonts w:ascii="Times New Roman" w:hAnsi="Times New Roman" w:eastAsia="黑体" w:cs="Times New Roman"/>
      <w:b/>
      <w:kern w:val="2"/>
      <w:sz w:val="44"/>
      <w:szCs w:val="24"/>
      <w:lang w:val="en-US" w:eastAsia="zh-CN" w:bidi="ar-SA"/>
    </w:rPr>
  </w:style>
  <w:style w:type="paragraph" w:customStyle="1" w:styleId="202">
    <w:name w:val="pa-6"/>
    <w:basedOn w:val="1"/>
    <w:qFormat/>
    <w:uiPriority w:val="0"/>
    <w:pPr>
      <w:widowControl/>
      <w:spacing w:line="360" w:lineRule="atLeast"/>
    </w:pPr>
    <w:rPr>
      <w:rFonts w:ascii="宋体"/>
      <w:kern w:val="0"/>
      <w:sz w:val="24"/>
      <w:szCs w:val="20"/>
    </w:rPr>
  </w:style>
  <w:style w:type="paragraph" w:customStyle="1" w:styleId="203">
    <w:name w:val="正文_12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04">
    <w:name w:val="样式4"/>
    <w:basedOn w:val="19"/>
    <w:qFormat/>
    <w:uiPriority w:val="0"/>
    <w:pPr>
      <w:autoSpaceDE/>
      <w:autoSpaceDN/>
      <w:snapToGrid/>
      <w:spacing w:line="415" w:lineRule="auto"/>
    </w:pPr>
    <w:rPr>
      <w:rFonts w:ascii="Calibri" w:hAnsi="Calibri"/>
      <w:bCs/>
      <w:color w:val="000000"/>
      <w:sz w:val="28"/>
      <w:szCs w:val="28"/>
    </w:rPr>
  </w:style>
  <w:style w:type="paragraph" w:customStyle="1" w:styleId="20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kern w:val="0"/>
      <w:sz w:val="20"/>
      <w:szCs w:val="20"/>
    </w:rPr>
  </w:style>
  <w:style w:type="paragraph" w:customStyle="1" w:styleId="206">
    <w:name w:val="Normal_1"/>
    <w:qFormat/>
    <w:uiPriority w:val="0"/>
    <w:rPr>
      <w:rFonts w:ascii="黑体" w:hAnsi="黑体" w:eastAsia="黑体" w:cs="Times New Roman"/>
      <w:b/>
      <w:sz w:val="32"/>
      <w:szCs w:val="24"/>
      <w:lang w:val="en-US" w:bidi="ar-SA"/>
    </w:rPr>
  </w:style>
  <w:style w:type="paragraph" w:customStyle="1" w:styleId="207">
    <w:name w:val="正文_1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08">
    <w:name w:val="标书3"/>
    <w:qFormat/>
    <w:uiPriority w:val="0"/>
    <w:pPr>
      <w:widowControl w:val="0"/>
      <w:jc w:val="center"/>
    </w:pPr>
    <w:rPr>
      <w:rFonts w:ascii="Times New Roman" w:hAnsi="Times New Roman" w:eastAsia="黑体" w:cs="Times New Roman"/>
      <w:b/>
      <w:kern w:val="2"/>
      <w:sz w:val="44"/>
      <w:szCs w:val="24"/>
      <w:lang w:val="en-US" w:eastAsia="zh-CN" w:bidi="ar-SA"/>
    </w:rPr>
  </w:style>
  <w:style w:type="paragraph" w:customStyle="1" w:styleId="209">
    <w:name w:val="Char"/>
    <w:basedOn w:val="1"/>
    <w:qFormat/>
    <w:uiPriority w:val="0"/>
    <w:pPr>
      <w:tabs>
        <w:tab w:val="left" w:pos="360"/>
      </w:tabs>
    </w:pPr>
    <w:rPr>
      <w:rFonts w:ascii="仿宋_GB2312" w:eastAsia="仿宋_GB2312"/>
      <w:b/>
      <w:sz w:val="24"/>
    </w:rPr>
  </w:style>
  <w:style w:type="paragraph" w:customStyle="1" w:styleId="210">
    <w:name w:val="正文_0_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1">
    <w:name w:val="pa-3"/>
    <w:basedOn w:val="1"/>
    <w:qFormat/>
    <w:uiPriority w:val="0"/>
    <w:pPr>
      <w:widowControl/>
      <w:spacing w:before="150" w:after="150"/>
      <w:jc w:val="left"/>
    </w:pPr>
    <w:rPr>
      <w:rFonts w:ascii="宋体"/>
      <w:kern w:val="0"/>
      <w:sz w:val="24"/>
      <w:lang w:bidi="ar-SA"/>
    </w:rPr>
  </w:style>
  <w:style w:type="paragraph" w:customStyle="1" w:styleId="212">
    <w:name w:val="Normal_7_0"/>
    <w:qFormat/>
    <w:uiPriority w:val="0"/>
    <w:rPr>
      <w:rFonts w:ascii="黑体" w:hAnsi="黑体" w:eastAsia="黑体" w:cs="Times New Roman"/>
      <w:b/>
      <w:sz w:val="32"/>
      <w:szCs w:val="24"/>
      <w:lang w:val="en-US" w:bidi="ar-SA"/>
    </w:rPr>
  </w:style>
  <w:style w:type="paragraph" w:customStyle="1" w:styleId="213">
    <w:name w:val="WPSOffice手动目录 2"/>
    <w:qFormat/>
    <w:uiPriority w:val="0"/>
    <w:pPr>
      <w:ind w:leftChars="200"/>
    </w:pPr>
    <w:rPr>
      <w:rFonts w:ascii="Times New Roman" w:hAnsi="Times New Roman" w:eastAsia="宋体" w:cs="Times New Roman"/>
      <w:lang w:val="en-US" w:eastAsia="zh-CN" w:bidi="ar-SA"/>
    </w:rPr>
  </w:style>
  <w:style w:type="paragraph" w:customStyle="1" w:styleId="214">
    <w:name w:val=" Char Char Char Char"/>
    <w:basedOn w:val="1"/>
    <w:qFormat/>
    <w:uiPriority w:val="0"/>
    <w:pPr>
      <w:widowControl/>
      <w:spacing w:after="120" w:line="360" w:lineRule="auto"/>
      <w:ind w:left="560" w:firstLine="200" w:firstLineChars="200"/>
      <w:jc w:val="left"/>
    </w:pPr>
    <w:rPr>
      <w:rFonts w:ascii="Verdana" w:hAnsi="Verdana"/>
      <w:kern w:val="0"/>
      <w:sz w:val="24"/>
      <w:szCs w:val="22"/>
    </w:rPr>
  </w:style>
  <w:style w:type="paragraph" w:customStyle="1" w:styleId="215">
    <w:name w:val="font9"/>
    <w:basedOn w:val="1"/>
    <w:qFormat/>
    <w:uiPriority w:val="0"/>
    <w:pPr>
      <w:widowControl/>
      <w:spacing w:before="100" w:beforeAutospacing="1" w:after="100" w:afterAutospacing="1"/>
      <w:jc w:val="left"/>
    </w:pPr>
    <w:rPr>
      <w:rFonts w:ascii="宋体"/>
      <w:color w:val="000000"/>
      <w:kern w:val="0"/>
      <w:sz w:val="18"/>
      <w:szCs w:val="18"/>
    </w:rPr>
  </w:style>
  <w:style w:type="paragraph" w:customStyle="1" w:styleId="216">
    <w:name w:val="五级条标题"/>
    <w:basedOn w:val="217"/>
    <w:qFormat/>
    <w:uiPriority w:val="0"/>
    <w:pPr>
      <w:outlineLvl w:val="6"/>
    </w:pPr>
  </w:style>
  <w:style w:type="paragraph" w:customStyle="1" w:styleId="217">
    <w:name w:val="四级条标题"/>
    <w:basedOn w:val="191"/>
    <w:qFormat/>
    <w:uiPriority w:val="0"/>
    <w:pPr>
      <w:ind w:left="0"/>
      <w:outlineLvl w:val="5"/>
    </w:pPr>
  </w:style>
  <w:style w:type="paragraph" w:customStyle="1" w:styleId="218">
    <w:name w:val="Normal_1_1"/>
    <w:qFormat/>
    <w:uiPriority w:val="0"/>
    <w:rPr>
      <w:rFonts w:ascii="黑体" w:hAnsi="黑体" w:eastAsia="黑体" w:cs="Times New Roman"/>
      <w:b/>
      <w:sz w:val="32"/>
      <w:szCs w:val="24"/>
      <w:lang w:val="en-US" w:bidi="ar-SA"/>
    </w:rPr>
  </w:style>
  <w:style w:type="paragraph" w:customStyle="1" w:styleId="219">
    <w:name w:val="目录 1_0"/>
    <w:basedOn w:val="103"/>
    <w:semiHidden/>
    <w:qFormat/>
    <w:uiPriority w:val="0"/>
    <w:pPr>
      <w:autoSpaceDE w:val="0"/>
      <w:autoSpaceDN w:val="0"/>
      <w:jc w:val="left"/>
    </w:pPr>
    <w:rPr>
      <w:rFonts w:hint="eastAsia" w:ascii="宋体" w:hAnsi="宋体"/>
      <w:b/>
      <w:kern w:val="0"/>
      <w:sz w:val="24"/>
    </w:rPr>
  </w:style>
  <w:style w:type="paragraph" w:customStyle="1" w:styleId="220">
    <w:name w:val="正文_1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1">
    <w:name w:val="pa-0"/>
    <w:basedOn w:val="1"/>
    <w:qFormat/>
    <w:uiPriority w:val="0"/>
    <w:pPr>
      <w:widowControl/>
      <w:spacing w:line="360" w:lineRule="atLeast"/>
      <w:ind w:firstLine="480"/>
    </w:pPr>
    <w:rPr>
      <w:rFonts w:ascii="宋体"/>
      <w:kern w:val="0"/>
      <w:sz w:val="24"/>
      <w:lang w:bidi="ar-SA"/>
    </w:rPr>
  </w:style>
  <w:style w:type="paragraph" w:customStyle="1" w:styleId="222">
    <w:name w:val="正文_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3">
    <w:name w:val="D&amp;L"/>
    <w:basedOn w:val="61"/>
    <w:qFormat/>
    <w:uiPriority w:val="0"/>
    <w:pPr>
      <w:pBdr>
        <w:bottom w:val="thinThickSmallGap" w:color="000000" w:sz="18" w:space="1"/>
      </w:pBdr>
      <w:tabs>
        <w:tab w:val="clear" w:pos="4153"/>
        <w:tab w:val="clear" w:pos="8306"/>
      </w:tabs>
      <w:snapToGrid/>
      <w:spacing w:line="240" w:lineRule="atLeast"/>
    </w:pPr>
    <w:rPr>
      <w:kern w:val="0"/>
      <w:sz w:val="24"/>
      <w:szCs w:val="20"/>
    </w:rPr>
  </w:style>
  <w:style w:type="paragraph" w:customStyle="1" w:styleId="224">
    <w:name w:val="正文_10_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5">
    <w:name w:val="Normal_16"/>
    <w:qFormat/>
    <w:uiPriority w:val="0"/>
    <w:rPr>
      <w:rFonts w:ascii="黑体" w:hAnsi="黑体" w:eastAsia="黑体" w:cs="Times New Roman"/>
      <w:b/>
      <w:sz w:val="32"/>
      <w:szCs w:val="24"/>
      <w:lang w:val="en-US" w:bidi="ar-SA"/>
    </w:rPr>
  </w:style>
  <w:style w:type="paragraph" w:customStyle="1" w:styleId="226">
    <w:name w:val="正文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7">
    <w:name w:val="文档正文"/>
    <w:basedOn w:val="1"/>
    <w:qFormat/>
    <w:uiPriority w:val="0"/>
    <w:rPr>
      <w:rFonts w:ascii="宋体"/>
      <w:szCs w:val="20"/>
    </w:rPr>
  </w:style>
  <w:style w:type="paragraph" w:customStyle="1" w:styleId="228">
    <w:name w:val="pa-5"/>
    <w:basedOn w:val="1"/>
    <w:qFormat/>
    <w:uiPriority w:val="0"/>
    <w:pPr>
      <w:widowControl/>
      <w:spacing w:line="280" w:lineRule="atLeast"/>
    </w:pPr>
    <w:rPr>
      <w:rFonts w:ascii="宋体"/>
      <w:kern w:val="0"/>
      <w:sz w:val="24"/>
      <w:lang w:bidi="ar-SA"/>
    </w:rPr>
  </w:style>
  <w:style w:type="paragraph" w:customStyle="1" w:styleId="229">
    <w:name w:val="正文_0_0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0">
    <w:name w:val="Normal_4_0"/>
    <w:qFormat/>
    <w:uiPriority w:val="0"/>
    <w:rPr>
      <w:rFonts w:ascii="黑体" w:hAnsi="黑体" w:eastAsia="黑体" w:cs="Times New Roman"/>
      <w:b/>
      <w:sz w:val="32"/>
      <w:szCs w:val="24"/>
      <w:lang w:val="en-US" w:bidi="ar-SA"/>
    </w:rPr>
  </w:style>
  <w:style w:type="paragraph" w:customStyle="1" w:styleId="231">
    <w:name w:val="标准小四"/>
    <w:basedOn w:val="1"/>
    <w:qFormat/>
    <w:uiPriority w:val="0"/>
    <w:pPr>
      <w:spacing w:line="360" w:lineRule="auto"/>
      <w:ind w:firstLine="200" w:firstLineChars="200"/>
    </w:pPr>
    <w:rPr>
      <w:rFonts w:ascii="Arial" w:hAnsi="Arial"/>
      <w:sz w:val="24"/>
      <w:szCs w:val="21"/>
    </w:rPr>
  </w:style>
  <w:style w:type="paragraph" w:customStyle="1" w:styleId="232">
    <w:name w:val="Figure and Table Title"/>
    <w:basedOn w:val="1"/>
    <w:qFormat/>
    <w:uiPriority w:val="0"/>
    <w:pPr>
      <w:widowControl/>
      <w:ind w:left="2160"/>
      <w:jc w:val="left"/>
    </w:pPr>
    <w:rPr>
      <w:rFonts w:ascii="Helvetica-Light" w:hAnsi="Helvetica-Light"/>
      <w:b/>
      <w:bCs/>
      <w:kern w:val="0"/>
      <w:sz w:val="20"/>
      <w:szCs w:val="22"/>
      <w:lang w:eastAsia="en-US"/>
    </w:rPr>
  </w:style>
  <w:style w:type="paragraph" w:customStyle="1" w:styleId="233">
    <w:name w:val="Char1 Char Char Char"/>
    <w:basedOn w:val="1"/>
    <w:qFormat/>
    <w:uiPriority w:val="0"/>
    <w:rPr>
      <w:szCs w:val="20"/>
    </w:rPr>
  </w:style>
  <w:style w:type="paragraph" w:customStyle="1" w:styleId="234">
    <w:name w:val="正文_1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5">
    <w:name w:val="缩进正文"/>
    <w:basedOn w:val="1"/>
    <w:qFormat/>
    <w:uiPriority w:val="0"/>
    <w:pPr>
      <w:widowControl/>
      <w:spacing w:after="200" w:line="400" w:lineRule="exact"/>
      <w:ind w:left="1418" w:firstLine="425"/>
      <w:jc w:val="left"/>
    </w:pPr>
    <w:rPr>
      <w:rFonts w:ascii="宋体"/>
      <w:kern w:val="0"/>
      <w:sz w:val="24"/>
      <w:szCs w:val="20"/>
    </w:rPr>
  </w:style>
  <w:style w:type="paragraph" w:customStyle="1" w:styleId="236">
    <w:name w:val="正文_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7">
    <w:name w:val=" Char Char Char Char Char Char Char Char Char Char"/>
    <w:basedOn w:val="1"/>
    <w:qFormat/>
    <w:uiPriority w:val="0"/>
    <w:rPr>
      <w:rFonts w:ascii="Tahoma" w:hAnsi="Tahoma"/>
      <w:sz w:val="24"/>
      <w:szCs w:val="20"/>
    </w:rPr>
  </w:style>
  <w:style w:type="paragraph" w:customStyle="1" w:styleId="238">
    <w:name w:val="正文_6_0_0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9">
    <w:name w:val="表格标题"/>
    <w:basedOn w:val="1"/>
    <w:qFormat/>
    <w:uiPriority w:val="0"/>
    <w:pPr>
      <w:jc w:val="center"/>
    </w:pPr>
    <w:rPr>
      <w:b/>
    </w:rPr>
  </w:style>
  <w:style w:type="paragraph" w:customStyle="1" w:styleId="240">
    <w:name w:val="Normal_6_0"/>
    <w:qFormat/>
    <w:uiPriority w:val="0"/>
    <w:rPr>
      <w:rFonts w:ascii="黑体" w:hAnsi="黑体" w:eastAsia="黑体" w:cs="Times New Roman"/>
      <w:b/>
      <w:sz w:val="32"/>
      <w:szCs w:val="24"/>
      <w:lang w:val="en-US" w:bidi="ar-SA"/>
    </w:rPr>
  </w:style>
  <w:style w:type="paragraph" w:customStyle="1" w:styleId="241">
    <w:name w:val="Table Text/Title"/>
    <w:basedOn w:val="1"/>
    <w:qFormat/>
    <w:uiPriority w:val="0"/>
    <w:pPr>
      <w:widowControl/>
      <w:jc w:val="left"/>
    </w:pPr>
    <w:rPr>
      <w:rFonts w:ascii="宋体"/>
      <w:b/>
      <w:bCs/>
      <w:kern w:val="0"/>
      <w:sz w:val="20"/>
      <w:szCs w:val="20"/>
      <w:lang w:eastAsia="en-US"/>
    </w:rPr>
  </w:style>
  <w:style w:type="paragraph" w:customStyle="1" w:styleId="242">
    <w:name w:val="默认段落字体 Para Char Char Char Char Char"/>
    <w:basedOn w:val="1"/>
    <w:qFormat/>
    <w:uiPriority w:val="0"/>
    <w:pPr>
      <w:spacing w:before="100" w:beforeAutospacing="1" w:after="100" w:afterAutospacing="1" w:line="360" w:lineRule="auto"/>
      <w:ind w:firstLine="200" w:firstLineChars="200"/>
      <w:jc w:val="left"/>
    </w:pPr>
    <w:rPr>
      <w:rFonts w:ascii="Arial" w:hAnsi="Arial"/>
      <w:kern w:val="0"/>
      <w:sz w:val="24"/>
      <w:szCs w:val="22"/>
      <w:lang w:eastAsia="en-US"/>
    </w:rPr>
  </w:style>
  <w:style w:type="paragraph" w:customStyle="1" w:styleId="243">
    <w:name w:val="正文_6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4">
    <w:name w:val="ibm-list-next"/>
    <w:basedOn w:val="1"/>
    <w:qFormat/>
    <w:uiPriority w:val="0"/>
    <w:pPr>
      <w:widowControl/>
      <w:spacing w:before="100" w:beforeAutospacing="1" w:after="100" w:afterAutospacing="1"/>
      <w:jc w:val="left"/>
    </w:pPr>
    <w:rPr>
      <w:rFonts w:ascii="宋体"/>
      <w:kern w:val="0"/>
      <w:sz w:val="24"/>
      <w:lang w:bidi="ar-SA"/>
    </w:rPr>
  </w:style>
  <w:style w:type="paragraph" w:customStyle="1" w:styleId="245">
    <w:name w:val="正文_5"/>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6">
    <w:name w:val="Normal_3"/>
    <w:qFormat/>
    <w:uiPriority w:val="0"/>
    <w:rPr>
      <w:rFonts w:ascii="黑体" w:hAnsi="黑体" w:eastAsia="黑体" w:cs="Times New Roman"/>
      <w:b/>
      <w:sz w:val="32"/>
      <w:szCs w:val="24"/>
      <w:lang w:val="en-US" w:bidi="ar-SA"/>
    </w:rPr>
  </w:style>
  <w:style w:type="paragraph" w:customStyle="1" w:styleId="247">
    <w:name w:val="序号"/>
    <w:qFormat/>
    <w:uiPriority w:val="0"/>
    <w:pPr>
      <w:snapToGrid w:val="0"/>
      <w:jc w:val="center"/>
    </w:pPr>
    <w:rPr>
      <w:rFonts w:ascii="Times New Roman" w:hAnsi="Times New Roman" w:eastAsia="仿宋_GB2312" w:cs="Times New Roman"/>
      <w:bCs/>
      <w:kern w:val="44"/>
      <w:sz w:val="21"/>
      <w:szCs w:val="44"/>
      <w:lang w:val="en-US" w:eastAsia="zh-CN" w:bidi="ar-SA"/>
    </w:rPr>
  </w:style>
  <w:style w:type="paragraph" w:customStyle="1" w:styleId="248">
    <w:name w:val="正文_14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9">
    <w:name w:val="说明书2级标题"/>
    <w:basedOn w:val="1"/>
    <w:qFormat/>
    <w:uiPriority w:val="0"/>
    <w:pPr>
      <w:numPr>
        <w:ilvl w:val="2"/>
        <w:numId w:val="2"/>
      </w:numPr>
      <w:tabs>
        <w:tab w:val="clear" w:pos="1680"/>
      </w:tabs>
      <w:spacing w:before="100"/>
    </w:pPr>
    <w:rPr>
      <w:rFonts w:ascii="Calibri" w:hAnsi="Calibri" w:eastAsia="黑体"/>
      <w:sz w:val="28"/>
      <w:szCs w:val="28"/>
    </w:rPr>
  </w:style>
  <w:style w:type="paragraph" w:customStyle="1" w:styleId="250">
    <w:name w:val="编号2"/>
    <w:qFormat/>
    <w:uiPriority w:val="0"/>
    <w:pPr>
      <w:tabs>
        <w:tab w:val="left" w:pos="-40"/>
      </w:tabs>
      <w:spacing w:before="120" w:after="120" w:line="360" w:lineRule="auto"/>
      <w:ind w:left="720" w:hanging="360"/>
    </w:pPr>
    <w:rPr>
      <w:rFonts w:ascii="仿宋_GB2312" w:hAnsi="Times New Roman" w:eastAsia="仿宋_GB2312" w:cs="Times New Roman"/>
      <w:color w:val="FF0000"/>
      <w:kern w:val="2"/>
      <w:sz w:val="24"/>
      <w:szCs w:val="24"/>
      <w:lang w:val="en-US" w:eastAsia="zh-CN" w:bidi="ar-SA"/>
    </w:rPr>
  </w:style>
  <w:style w:type="paragraph" w:customStyle="1" w:styleId="251">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2">
    <w:name w:val="正文_0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3">
    <w:name w:val="Normal_7"/>
    <w:qFormat/>
    <w:uiPriority w:val="0"/>
    <w:rPr>
      <w:rFonts w:ascii="黑体" w:hAnsi="黑体" w:eastAsia="黑体" w:cs="Times New Roman"/>
      <w:b/>
      <w:sz w:val="32"/>
      <w:szCs w:val="24"/>
      <w:lang w:val="en-US" w:bidi="ar-SA"/>
    </w:rPr>
  </w:style>
  <w:style w:type="paragraph" w:customStyle="1" w:styleId="254">
    <w:name w:val="Normal_8_0"/>
    <w:qFormat/>
    <w:uiPriority w:val="0"/>
    <w:rPr>
      <w:rFonts w:ascii="黑体" w:hAnsi="黑体" w:eastAsia="黑体" w:cs="Times New Roman"/>
      <w:b/>
      <w:sz w:val="32"/>
      <w:szCs w:val="24"/>
      <w:lang w:val="en-US" w:bidi="ar-SA"/>
    </w:rPr>
  </w:style>
  <w:style w:type="paragraph" w:customStyle="1" w:styleId="255">
    <w:name w:val="前言、引言标题"/>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56">
    <w:name w:val="Normal_11_0"/>
    <w:qFormat/>
    <w:uiPriority w:val="0"/>
    <w:rPr>
      <w:rFonts w:ascii="黑体" w:hAnsi="黑体" w:eastAsia="黑体" w:cs="Times New Roman"/>
      <w:b/>
      <w:sz w:val="32"/>
      <w:szCs w:val="24"/>
      <w:lang w:val="en-US" w:bidi="ar-SA"/>
    </w:rPr>
  </w:style>
  <w:style w:type="paragraph" w:customStyle="1" w:styleId="257">
    <w:name w:val="正文_4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8">
    <w:name w:val="正文_1_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59">
    <w:name w:val="Normal_4"/>
    <w:qFormat/>
    <w:uiPriority w:val="0"/>
    <w:rPr>
      <w:rFonts w:ascii="黑体" w:hAnsi="黑体" w:eastAsia="黑体" w:cs="Times New Roman"/>
      <w:b/>
      <w:sz w:val="32"/>
      <w:szCs w:val="24"/>
      <w:lang w:val="en-US" w:bidi="ar-SA"/>
    </w:rPr>
  </w:style>
  <w:style w:type="paragraph" w:customStyle="1" w:styleId="260">
    <w:name w:val="WPSOffice手动目录 1"/>
    <w:qFormat/>
    <w:uiPriority w:val="0"/>
    <w:rPr>
      <w:rFonts w:ascii="Times New Roman" w:hAnsi="Times New Roman" w:eastAsia="宋体" w:cs="Times New Roman"/>
      <w:lang w:val="en-US" w:eastAsia="zh-CN" w:bidi="ar-SA"/>
    </w:rPr>
  </w:style>
  <w:style w:type="paragraph" w:customStyle="1" w:styleId="261">
    <w:name w:val="txt"/>
    <w:basedOn w:val="1"/>
    <w:qFormat/>
    <w:uiPriority w:val="0"/>
    <w:pPr>
      <w:widowControl/>
      <w:spacing w:before="100" w:beforeAutospacing="1" w:after="100" w:afterAutospacing="1"/>
      <w:jc w:val="left"/>
    </w:pPr>
    <w:rPr>
      <w:rFonts w:ascii="宋体"/>
      <w:kern w:val="0"/>
      <w:sz w:val="24"/>
      <w:lang w:bidi="ar-SA"/>
    </w:rPr>
  </w:style>
  <w:style w:type="paragraph" w:customStyle="1" w:styleId="262">
    <w:name w:val="Char Char Char Char1"/>
    <w:basedOn w:val="1"/>
    <w:qFormat/>
    <w:uiPriority w:val="0"/>
    <w:pPr>
      <w:spacing w:line="360" w:lineRule="auto"/>
      <w:ind w:firstLine="200" w:firstLineChars="200"/>
    </w:pPr>
    <w:rPr>
      <w:kern w:val="0"/>
      <w:sz w:val="24"/>
      <w:szCs w:val="20"/>
    </w:rPr>
  </w:style>
  <w:style w:type="paragraph" w:customStyle="1" w:styleId="263">
    <w:name w:val="pbody"/>
    <w:basedOn w:val="1"/>
    <w:qFormat/>
    <w:uiPriority w:val="0"/>
    <w:pPr>
      <w:widowControl/>
      <w:spacing w:before="100" w:beforeAutospacing="1" w:after="100" w:afterAutospacing="1" w:line="360" w:lineRule="auto"/>
      <w:jc w:val="left"/>
    </w:pPr>
    <w:rPr>
      <w:rFonts w:ascii="宋体"/>
      <w:kern w:val="0"/>
      <w:sz w:val="24"/>
      <w:lang w:bidi="ar-SA"/>
    </w:rPr>
  </w:style>
  <w:style w:type="paragraph" w:customStyle="1" w:styleId="264">
    <w:name w:val="正文_6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65">
    <w:name w:val="默认段落字体 Para Char Char Char Char Char Char Char Char Char1"/>
    <w:basedOn w:val="1"/>
    <w:qFormat/>
    <w:uiPriority w:val="0"/>
    <w:rPr>
      <w:rFonts w:ascii="Tahoma" w:hAnsi="Tahoma"/>
      <w:sz w:val="24"/>
      <w:szCs w:val="20"/>
    </w:rPr>
  </w:style>
  <w:style w:type="paragraph" w:customStyle="1" w:styleId="266">
    <w:name w:val="font7"/>
    <w:basedOn w:val="1"/>
    <w:qFormat/>
    <w:uiPriority w:val="0"/>
    <w:pPr>
      <w:widowControl/>
      <w:spacing w:before="100" w:beforeAutospacing="1" w:after="100" w:afterAutospacing="1"/>
      <w:jc w:val="left"/>
    </w:pPr>
    <w:rPr>
      <w:rFonts w:ascii="宋体"/>
      <w:kern w:val="0"/>
      <w:sz w:val="20"/>
      <w:szCs w:val="20"/>
    </w:rPr>
  </w:style>
  <w:style w:type="paragraph" w:customStyle="1" w:styleId="267">
    <w:name w:val="正文（首行缩进）"/>
    <w:basedOn w:val="1"/>
    <w:qFormat/>
    <w:uiPriority w:val="0"/>
    <w:pPr>
      <w:widowControl/>
      <w:spacing w:before="120" w:line="360" w:lineRule="auto"/>
      <w:ind w:firstLine="482"/>
    </w:pPr>
    <w:rPr>
      <w:rFonts w:ascii="Calibri" w:hAnsi="Calibri"/>
      <w:sz w:val="24"/>
      <w:szCs w:val="20"/>
    </w:rPr>
  </w:style>
  <w:style w:type="paragraph" w:customStyle="1" w:styleId="268">
    <w:name w:val="正文_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9">
    <w:name w:val="Normal_18_0"/>
    <w:qFormat/>
    <w:uiPriority w:val="0"/>
    <w:rPr>
      <w:rFonts w:ascii="黑体" w:hAnsi="黑体" w:eastAsia="黑体" w:cs="Times New Roman"/>
      <w:b/>
      <w:sz w:val="32"/>
      <w:szCs w:val="24"/>
      <w:lang w:val="en-US" w:bidi="ar-SA"/>
    </w:rPr>
  </w:style>
  <w:style w:type="paragraph" w:customStyle="1" w:styleId="270">
    <w:name w:val="Indent Normal"/>
    <w:basedOn w:val="1"/>
    <w:qFormat/>
    <w:uiPriority w:val="0"/>
    <w:pPr>
      <w:ind w:firstLine="150" w:firstLineChars="150"/>
    </w:pPr>
    <w:rPr>
      <w:sz w:val="24"/>
      <w:szCs w:val="20"/>
    </w:rPr>
  </w:style>
  <w:style w:type="paragraph" w:customStyle="1" w:styleId="271">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kern w:val="0"/>
      <w:sz w:val="24"/>
      <w:szCs w:val="20"/>
      <w:lang w:eastAsia="en-US"/>
    </w:rPr>
  </w:style>
  <w:style w:type="paragraph" w:customStyle="1" w:styleId="272">
    <w:name w:val="正文（黑体）"/>
    <w:basedOn w:val="1"/>
    <w:qFormat/>
    <w:uiPriority w:val="0"/>
    <w:pPr>
      <w:spacing w:before="50" w:after="50" w:line="360" w:lineRule="auto"/>
      <w:ind w:firstLine="200" w:firstLineChars="200"/>
    </w:pPr>
    <w:rPr>
      <w:rFonts w:ascii="黑体" w:eastAsia="黑体"/>
      <w:color w:val="000080"/>
      <w:sz w:val="24"/>
    </w:rPr>
  </w:style>
  <w:style w:type="paragraph" w:customStyle="1" w:styleId="273">
    <w:name w:val="Char11"/>
    <w:basedOn w:val="1"/>
    <w:qFormat/>
    <w:uiPriority w:val="0"/>
    <w:rPr>
      <w:szCs w:val="21"/>
    </w:rPr>
  </w:style>
  <w:style w:type="paragraph" w:customStyle="1" w:styleId="274">
    <w:name w:val="CM17"/>
    <w:basedOn w:val="1"/>
    <w:qFormat/>
    <w:uiPriority w:val="0"/>
    <w:pPr>
      <w:autoSpaceDE w:val="0"/>
      <w:autoSpaceDN w:val="0"/>
      <w:spacing w:after="273" w:line="360" w:lineRule="auto"/>
      <w:jc w:val="left"/>
    </w:pPr>
    <w:rPr>
      <w:rFonts w:ascii="宋体"/>
      <w:kern w:val="0"/>
      <w:sz w:val="24"/>
    </w:rPr>
  </w:style>
  <w:style w:type="paragraph" w:customStyle="1" w:styleId="275">
    <w:name w:val="附图标题"/>
    <w:basedOn w:val="36"/>
    <w:qFormat/>
    <w:uiPriority w:val="0"/>
    <w:pPr>
      <w:tabs>
        <w:tab w:val="clear" w:pos="0"/>
      </w:tabs>
      <w:spacing w:after="100"/>
      <w:ind w:left="780" w:hanging="480"/>
      <w:jc w:val="center"/>
    </w:pPr>
    <w:rPr>
      <w:b/>
      <w:sz w:val="21"/>
    </w:rPr>
  </w:style>
  <w:style w:type="paragraph" w:customStyle="1" w:styleId="276">
    <w:name w:val="p0"/>
    <w:basedOn w:val="1"/>
    <w:qFormat/>
    <w:uiPriority w:val="0"/>
    <w:pPr>
      <w:widowControl/>
    </w:pPr>
    <w:rPr>
      <w:kern w:val="0"/>
      <w:szCs w:val="21"/>
    </w:rPr>
  </w:style>
  <w:style w:type="paragraph" w:customStyle="1" w:styleId="277">
    <w:name w:val="默认段落字体 Para Char Char Char Char Char Char Char Char Char1 Char Char Char Char Char Char Char Char"/>
    <w:basedOn w:val="40"/>
    <w:qFormat/>
    <w:uiPriority w:val="0"/>
    <w:rPr>
      <w:rFonts w:ascii="Calibri" w:hAnsi="Calibri"/>
      <w:szCs w:val="22"/>
    </w:rPr>
  </w:style>
  <w:style w:type="paragraph" w:customStyle="1" w:styleId="278">
    <w:name w:val="正文_14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9">
    <w:name w:val="Normal_6"/>
    <w:qFormat/>
    <w:uiPriority w:val="0"/>
    <w:rPr>
      <w:rFonts w:ascii="黑体" w:hAnsi="黑体" w:eastAsia="黑体" w:cs="Times New Roman"/>
      <w:b/>
      <w:sz w:val="32"/>
      <w:szCs w:val="24"/>
      <w:lang w:val="en-US" w:bidi="ar-SA"/>
    </w:rPr>
  </w:style>
  <w:style w:type="paragraph" w:customStyle="1" w:styleId="280">
    <w:name w:val=" Char Char Char"/>
    <w:basedOn w:val="1"/>
    <w:qFormat/>
    <w:uiPriority w:val="0"/>
    <w:rPr>
      <w:rFonts w:ascii="Calibri" w:hAnsi="Calibri"/>
      <w:szCs w:val="21"/>
    </w:rPr>
  </w:style>
  <w:style w:type="paragraph" w:customStyle="1" w:styleId="281">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kern w:val="0"/>
      <w:sz w:val="20"/>
      <w:szCs w:val="20"/>
      <w:lang w:eastAsia="en-US"/>
    </w:rPr>
  </w:style>
  <w:style w:type="paragraph" w:customStyle="1" w:styleId="282">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kern w:val="0"/>
      <w:sz w:val="20"/>
      <w:szCs w:val="20"/>
    </w:rPr>
  </w:style>
  <w:style w:type="paragraph" w:customStyle="1" w:styleId="283">
    <w:name w:val="表文1"/>
    <w:basedOn w:val="1"/>
    <w:qFormat/>
    <w:uiPriority w:val="0"/>
    <w:pPr>
      <w:widowControl/>
      <w:spacing w:line="360" w:lineRule="auto"/>
      <w:ind w:firstLine="196" w:firstLineChars="196"/>
    </w:pPr>
    <w:rPr>
      <w:rFonts w:ascii="宋体"/>
      <w:sz w:val="24"/>
    </w:rPr>
  </w:style>
  <w:style w:type="paragraph" w:customStyle="1" w:styleId="284">
    <w:name w:val="普通正文"/>
    <w:basedOn w:val="1"/>
    <w:qFormat/>
    <w:uiPriority w:val="0"/>
    <w:pPr>
      <w:ind w:firstLine="425"/>
      <w:jc w:val="left"/>
    </w:pPr>
    <w:rPr>
      <w:rFonts w:ascii="宋体"/>
      <w:kern w:val="0"/>
      <w:sz w:val="20"/>
      <w:szCs w:val="20"/>
    </w:rPr>
  </w:style>
  <w:style w:type="paragraph" w:customStyle="1" w:styleId="28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kern w:val="0"/>
      <w:sz w:val="20"/>
      <w:szCs w:val="20"/>
    </w:rPr>
  </w:style>
  <w:style w:type="paragraph" w:customStyle="1" w:styleId="286">
    <w:name w:val="表头"/>
    <w:basedOn w:val="182"/>
    <w:qFormat/>
    <w:uiPriority w:val="0"/>
    <w:pPr>
      <w:spacing w:line="240" w:lineRule="auto"/>
      <w:ind w:left="0" w:firstLine="0"/>
    </w:pPr>
    <w:rPr>
      <w:sz w:val="20"/>
    </w:rPr>
  </w:style>
  <w:style w:type="paragraph" w:customStyle="1" w:styleId="287">
    <w:name w:val="样式6"/>
    <w:basedOn w:val="89"/>
    <w:qFormat/>
    <w:uiPriority w:val="0"/>
    <w:pPr>
      <w:keepNext/>
      <w:keepLines/>
      <w:widowControl w:val="0"/>
      <w:spacing w:before="260" w:after="260" w:line="415" w:lineRule="auto"/>
      <w:outlineLvl w:val="1"/>
    </w:pPr>
    <w:rPr>
      <w:rFonts w:ascii="Times New Roman" w:hAnsi="Times New Roman" w:eastAsia="宋体"/>
      <w:b/>
      <w:bCs/>
      <w:sz w:val="32"/>
      <w:szCs w:val="32"/>
      <w:lang w:bidi="ar-SA"/>
    </w:rPr>
  </w:style>
  <w:style w:type="paragraph" w:customStyle="1" w:styleId="288">
    <w:name w:val="pa-9"/>
    <w:basedOn w:val="1"/>
    <w:qFormat/>
    <w:uiPriority w:val="0"/>
    <w:pPr>
      <w:widowControl/>
      <w:spacing w:line="360" w:lineRule="atLeast"/>
      <w:jc w:val="center"/>
    </w:pPr>
    <w:rPr>
      <w:rFonts w:ascii="宋体"/>
      <w:kern w:val="0"/>
      <w:sz w:val="24"/>
      <w:lang w:bidi="ar-SA"/>
    </w:rPr>
  </w:style>
  <w:style w:type="paragraph" w:customStyle="1" w:styleId="289">
    <w:name w:val="样式5"/>
    <w:basedOn w:val="19"/>
    <w:qFormat/>
    <w:uiPriority w:val="0"/>
    <w:pPr>
      <w:autoSpaceDE/>
      <w:autoSpaceDN/>
      <w:snapToGrid/>
      <w:spacing w:line="415" w:lineRule="auto"/>
    </w:pPr>
    <w:rPr>
      <w:rFonts w:ascii="Calibri" w:hAnsi="Calibri"/>
      <w:bCs/>
      <w:color w:val="000000"/>
      <w:sz w:val="28"/>
      <w:szCs w:val="28"/>
    </w:rPr>
  </w:style>
  <w:style w:type="paragraph" w:customStyle="1" w:styleId="290">
    <w:name w:val="Normal_0_0"/>
    <w:qFormat/>
    <w:uiPriority w:val="0"/>
    <w:rPr>
      <w:rFonts w:ascii="黑体" w:hAnsi="黑体" w:eastAsia="黑体" w:cs="Times New Roman"/>
      <w:b/>
      <w:sz w:val="40"/>
      <w:szCs w:val="24"/>
      <w:lang w:val="en-US" w:bidi="ar-SA"/>
    </w:rPr>
  </w:style>
  <w:style w:type="paragraph" w:customStyle="1" w:styleId="291">
    <w:name w:val="Normal_10"/>
    <w:qFormat/>
    <w:uiPriority w:val="0"/>
    <w:rPr>
      <w:rFonts w:ascii="黑体" w:hAnsi="黑体" w:eastAsia="黑体" w:cs="Times New Roman"/>
      <w:b/>
      <w:sz w:val="32"/>
      <w:szCs w:val="24"/>
      <w:lang w:val="en-US" w:bidi="ar-SA"/>
    </w:rPr>
  </w:style>
  <w:style w:type="paragraph" w:customStyle="1" w:styleId="292">
    <w:name w:val="列表段落"/>
    <w:basedOn w:val="1"/>
    <w:qFormat/>
    <w:uiPriority w:val="0"/>
    <w:pPr>
      <w:ind w:firstLine="420" w:firstLineChars="200"/>
    </w:pPr>
  </w:style>
  <w:style w:type="paragraph" w:customStyle="1" w:styleId="293">
    <w:name w:val="首页标题"/>
    <w:qFormat/>
    <w:uiPriority w:val="0"/>
    <w:pPr>
      <w:snapToGrid w:val="0"/>
      <w:jc w:val="center"/>
    </w:pPr>
    <w:rPr>
      <w:rFonts w:ascii="宋体" w:hAnsi="Times New Roman" w:eastAsia="宋体" w:cs="Times New Roman"/>
      <w:kern w:val="2"/>
      <w:sz w:val="72"/>
      <w:szCs w:val="72"/>
      <w:lang w:val="en-US" w:eastAsia="zh-CN" w:bidi="ar-SA"/>
    </w:rPr>
  </w:style>
  <w:style w:type="paragraph" w:customStyle="1" w:styleId="294">
    <w:name w:val="首页标题 一号"/>
    <w:basedOn w:val="177"/>
    <w:qFormat/>
    <w:uiPriority w:val="0"/>
    <w:rPr>
      <w:sz w:val="52"/>
    </w:rPr>
  </w:style>
  <w:style w:type="paragraph" w:customStyle="1" w:styleId="29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kern w:val="0"/>
      <w:sz w:val="20"/>
      <w:szCs w:val="20"/>
    </w:rPr>
  </w:style>
  <w:style w:type="paragraph" w:customStyle="1" w:styleId="296">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7">
    <w:name w:val="技术方案3"/>
    <w:basedOn w:val="1"/>
    <w:qFormat/>
    <w:uiPriority w:val="0"/>
    <w:pPr>
      <w:spacing w:line="360" w:lineRule="auto"/>
    </w:pPr>
    <w:rPr>
      <w:rFonts w:ascii="宋体"/>
      <w:b/>
      <w:bCs/>
      <w:sz w:val="32"/>
      <w:szCs w:val="22"/>
    </w:rPr>
  </w:style>
  <w:style w:type="paragraph" w:customStyle="1" w:styleId="298">
    <w:name w:val="Normal_2_0"/>
    <w:qFormat/>
    <w:uiPriority w:val="0"/>
    <w:rPr>
      <w:rFonts w:ascii="黑体" w:hAnsi="黑体" w:eastAsia="黑体" w:cs="Times New Roman"/>
      <w:b/>
      <w:sz w:val="32"/>
      <w:szCs w:val="24"/>
      <w:lang w:val="en-US" w:bidi="ar-SA"/>
    </w:rPr>
  </w:style>
  <w:style w:type="paragraph" w:customStyle="1" w:styleId="299">
    <w:name w:val="Normal_10_0"/>
    <w:qFormat/>
    <w:uiPriority w:val="0"/>
    <w:rPr>
      <w:rFonts w:ascii="黑体" w:hAnsi="黑体" w:eastAsia="黑体" w:cs="Times New Roman"/>
      <w:b/>
      <w:sz w:val="32"/>
      <w:szCs w:val="24"/>
      <w:lang w:val="en-US" w:bidi="ar-SA"/>
    </w:rPr>
  </w:style>
  <w:style w:type="paragraph" w:customStyle="1" w:styleId="300">
    <w:name w:val="列出段落1"/>
    <w:basedOn w:val="1"/>
    <w:qFormat/>
    <w:uiPriority w:val="0"/>
    <w:pPr>
      <w:ind w:firstLine="200" w:firstLineChars="200"/>
    </w:pPr>
    <w:rPr>
      <w:rFonts w:ascii="Calibri" w:hAnsi="Calibri"/>
      <w:szCs w:val="22"/>
    </w:rPr>
  </w:style>
  <w:style w:type="paragraph" w:customStyle="1" w:styleId="301">
    <w:name w:val="TOC 标题"/>
    <w:basedOn w:val="17"/>
    <w:qFormat/>
    <w:uiPriority w:val="0"/>
    <w:pPr>
      <w:widowControl/>
      <w:spacing w:before="480" w:after="0" w:line="276" w:lineRule="auto"/>
      <w:outlineLvl w:val="9"/>
    </w:pPr>
    <w:rPr>
      <w:rFonts w:ascii="Cambria" w:hAnsi="Cambria"/>
      <w:color w:val="365F91"/>
      <w:kern w:val="0"/>
      <w:sz w:val="28"/>
    </w:rPr>
  </w:style>
  <w:style w:type="paragraph" w:customStyle="1" w:styleId="302">
    <w:name w:val="正文（首行缩进两字）"/>
    <w:basedOn w:val="1"/>
    <w:qFormat/>
    <w:uiPriority w:val="0"/>
    <w:pPr>
      <w:spacing w:line="312" w:lineRule="auto"/>
    </w:pPr>
    <w:rPr>
      <w:rFonts w:ascii="宋体"/>
      <w:sz w:val="24"/>
      <w:szCs w:val="22"/>
      <w:lang w:bidi="ar-SA"/>
    </w:rPr>
  </w:style>
  <w:style w:type="paragraph" w:customStyle="1" w:styleId="303">
    <w:name w:val="正文_13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4">
    <w:name w:val="新段落缩进"/>
    <w:basedOn w:val="1"/>
    <w:qFormat/>
    <w:uiPriority w:val="0"/>
    <w:pPr>
      <w:spacing w:line="400" w:lineRule="exact"/>
      <w:ind w:firstLine="200" w:firstLineChars="200"/>
    </w:pPr>
    <w:rPr>
      <w:rFonts w:ascii="仿宋_GB2312" w:eastAsia="仿宋_GB2312"/>
      <w:kern w:val="0"/>
      <w:sz w:val="24"/>
    </w:rPr>
  </w:style>
  <w:style w:type="paragraph" w:customStyle="1" w:styleId="305">
    <w:name w:val="修订"/>
    <w:qFormat/>
    <w:uiPriority w:val="0"/>
    <w:rPr>
      <w:rFonts w:ascii="Times New Roman" w:hAnsi="Times New Roman" w:eastAsia="宋体" w:cs="Times New Roman"/>
      <w:kern w:val="2"/>
      <w:sz w:val="21"/>
      <w:szCs w:val="24"/>
      <w:lang w:val="en-US" w:eastAsia="zh-CN" w:bidi="ar-SA"/>
    </w:rPr>
  </w:style>
  <w:style w:type="paragraph" w:customStyle="1" w:styleId="306">
    <w:name w:val="正文文字缩进 3"/>
    <w:basedOn w:val="1"/>
    <w:qFormat/>
    <w:uiPriority w:val="0"/>
    <w:pPr>
      <w:spacing w:line="312" w:lineRule="auto"/>
      <w:ind w:left="420" w:firstLine="420"/>
    </w:pPr>
    <w:rPr>
      <w:rFonts w:ascii="黑体" w:hAnsi="黑体"/>
      <w:bCs/>
      <w:color w:val="000000"/>
      <w:kern w:val="0"/>
      <w:sz w:val="24"/>
      <w:szCs w:val="22"/>
      <w:lang w:bidi="ar-SA"/>
    </w:rPr>
  </w:style>
  <w:style w:type="paragraph" w:customStyle="1" w:styleId="307">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8">
    <w:name w:val="pa-8"/>
    <w:basedOn w:val="1"/>
    <w:qFormat/>
    <w:uiPriority w:val="0"/>
    <w:pPr>
      <w:widowControl/>
      <w:spacing w:line="280" w:lineRule="atLeast"/>
      <w:ind w:firstLine="480"/>
    </w:pPr>
    <w:rPr>
      <w:rFonts w:ascii="宋体"/>
      <w:kern w:val="0"/>
      <w:sz w:val="24"/>
      <w:lang w:bidi="ar-SA"/>
    </w:rPr>
  </w:style>
  <w:style w:type="paragraph" w:customStyle="1" w:styleId="309">
    <w:name w:val="Normal_0_1"/>
    <w:qFormat/>
    <w:uiPriority w:val="0"/>
    <w:rPr>
      <w:rFonts w:ascii="黑体" w:hAnsi="黑体" w:eastAsia="黑体" w:cs="Times New Roman"/>
      <w:b/>
      <w:sz w:val="32"/>
      <w:szCs w:val="24"/>
      <w:lang w:val="en-US" w:bidi="ar-SA"/>
    </w:rPr>
  </w:style>
  <w:style w:type="paragraph" w:customStyle="1" w:styleId="310">
    <w:name w:val="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11">
    <w:name w:val="技术方案正文样式"/>
    <w:basedOn w:val="1"/>
    <w:qFormat/>
    <w:uiPriority w:val="0"/>
    <w:pPr>
      <w:autoSpaceDE w:val="0"/>
      <w:autoSpaceDN w:val="0"/>
      <w:spacing w:line="400" w:lineRule="exact"/>
      <w:ind w:firstLine="200" w:firstLineChars="200"/>
    </w:pPr>
    <w:rPr>
      <w:rFonts w:ascii="宋体"/>
      <w:sz w:val="24"/>
      <w:szCs w:val="21"/>
      <w:lang w:bidi="ar-SA"/>
    </w:rPr>
  </w:style>
  <w:style w:type="paragraph" w:customStyle="1" w:styleId="312">
    <w:name w:val="编号"/>
    <w:basedOn w:val="1"/>
    <w:qFormat/>
    <w:uiPriority w:val="0"/>
    <w:pPr>
      <w:widowControl/>
      <w:tabs>
        <w:tab w:val="left" w:pos="420"/>
      </w:tabs>
      <w:ind w:left="420" w:right="-136" w:rightChars="-136" w:hanging="420"/>
    </w:pPr>
    <w:rPr>
      <w:rFonts w:ascii="仿宋_GB2312" w:eastAsia="仿宋_GB2312"/>
      <w:b/>
      <w:bCs/>
      <w:kern w:val="0"/>
      <w:sz w:val="24"/>
      <w:szCs w:val="21"/>
    </w:rPr>
  </w:style>
  <w:style w:type="paragraph" w:customStyle="1" w:styleId="313">
    <w:name w:val="标题2"/>
    <w:basedOn w:val="1"/>
    <w:qFormat/>
    <w:uiPriority w:val="0"/>
    <w:pPr>
      <w:tabs>
        <w:tab w:val="left" w:pos="0"/>
      </w:tabs>
    </w:pPr>
    <w:rPr>
      <w:rFonts w:ascii="黑体" w:eastAsia="黑体"/>
      <w:sz w:val="24"/>
      <w:szCs w:val="22"/>
    </w:rPr>
  </w:style>
  <w:style w:type="paragraph" w:customStyle="1" w:styleId="314">
    <w:name w:val="xl34"/>
    <w:basedOn w:val="1"/>
    <w:qFormat/>
    <w:uiPriority w:val="0"/>
    <w:pPr>
      <w:widowControl/>
      <w:spacing w:before="100" w:beforeAutospacing="1" w:after="100" w:afterAutospacing="1"/>
      <w:jc w:val="center"/>
    </w:pPr>
    <w:rPr>
      <w:rFonts w:ascii="Arial Unicode MS" w:hAnsi="Arial Unicode MS" w:eastAsia="Arial Unicode MS"/>
      <w:kern w:val="0"/>
      <w:sz w:val="24"/>
    </w:rPr>
  </w:style>
  <w:style w:type="paragraph" w:customStyle="1" w:styleId="315">
    <w:name w:val="正文_10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6">
    <w:name w:val="ul"/>
    <w:basedOn w:val="1"/>
    <w:qFormat/>
    <w:uiPriority w:val="0"/>
    <w:pPr>
      <w:widowControl/>
      <w:numPr>
        <w:ilvl w:val="0"/>
        <w:numId w:val="3"/>
      </w:numPr>
      <w:tabs>
        <w:tab w:val="clear" w:pos="930"/>
      </w:tabs>
      <w:spacing w:line="360" w:lineRule="auto"/>
      <w:ind w:left="567" w:hanging="85"/>
      <w:jc w:val="left"/>
    </w:pPr>
    <w:rPr>
      <w:rFonts w:ascii="Calibri" w:hAnsi="Calibri"/>
      <w:kern w:val="0"/>
      <w:sz w:val="24"/>
      <w:szCs w:val="22"/>
    </w:rPr>
  </w:style>
  <w:style w:type="paragraph" w:customStyle="1" w:styleId="317">
    <w:name w:val="Normal_14_0"/>
    <w:qFormat/>
    <w:uiPriority w:val="0"/>
    <w:rPr>
      <w:rFonts w:ascii="黑体" w:hAnsi="黑体" w:eastAsia="黑体" w:cs="Times New Roman"/>
      <w:b/>
      <w:sz w:val="32"/>
      <w:szCs w:val="24"/>
      <w:lang w:val="en-US" w:bidi="ar-SA"/>
    </w:rPr>
  </w:style>
  <w:style w:type="paragraph" w:styleId="318">
    <w:name w:val="List Paragraph"/>
    <w:basedOn w:val="1"/>
    <w:qFormat/>
    <w:uiPriority w:val="0"/>
    <w:pPr>
      <w:ind w:firstLine="200" w:firstLineChars="200"/>
    </w:pPr>
    <w:rPr>
      <w:rFonts w:ascii="Calibri" w:hAnsi="Calibri"/>
      <w:szCs w:val="22"/>
    </w:rPr>
  </w:style>
  <w:style w:type="paragraph" w:customStyle="1" w:styleId="319">
    <w:name w:val="Normal_18"/>
    <w:qFormat/>
    <w:uiPriority w:val="0"/>
    <w:rPr>
      <w:rFonts w:ascii="黑体" w:hAnsi="黑体" w:eastAsia="黑体" w:cs="Times New Roman"/>
      <w:b/>
      <w:sz w:val="32"/>
      <w:szCs w:val="24"/>
      <w:lang w:val="en-US" w:bidi="ar-SA"/>
    </w:rPr>
  </w:style>
  <w:style w:type="paragraph" w:customStyle="1" w:styleId="320">
    <w:name w:val="font8"/>
    <w:basedOn w:val="1"/>
    <w:qFormat/>
    <w:uiPriority w:val="0"/>
    <w:pPr>
      <w:widowControl/>
      <w:spacing w:before="100" w:beforeAutospacing="1" w:after="100" w:afterAutospacing="1"/>
      <w:jc w:val="left"/>
    </w:pPr>
    <w:rPr>
      <w:rFonts w:ascii="Arial" w:hAnsi="Arial"/>
      <w:color w:val="000000"/>
      <w:kern w:val="0"/>
      <w:sz w:val="18"/>
      <w:szCs w:val="18"/>
      <w:lang w:bidi="ar-SA"/>
    </w:rPr>
  </w:style>
  <w:style w:type="paragraph" w:customStyle="1" w:styleId="321">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kern w:val="0"/>
      <w:sz w:val="18"/>
      <w:szCs w:val="18"/>
    </w:rPr>
  </w:style>
  <w:style w:type="paragraph" w:customStyle="1" w:styleId="322">
    <w:name w:val="正文_1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23">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kern w:val="0"/>
      <w:sz w:val="20"/>
      <w:szCs w:val="20"/>
    </w:rPr>
  </w:style>
  <w:style w:type="paragraph" w:customStyle="1" w:styleId="324">
    <w:name w:val="font6"/>
    <w:basedOn w:val="1"/>
    <w:qFormat/>
    <w:uiPriority w:val="0"/>
    <w:pPr>
      <w:widowControl/>
      <w:spacing w:before="100" w:beforeAutospacing="1" w:after="100" w:afterAutospacing="1"/>
      <w:jc w:val="left"/>
    </w:pPr>
    <w:rPr>
      <w:kern w:val="0"/>
      <w:sz w:val="20"/>
      <w:szCs w:val="20"/>
    </w:rPr>
  </w:style>
  <w:style w:type="paragraph" w:customStyle="1" w:styleId="325">
    <w:name w:val="样式 正文首行缩进 + 宋体 首行缩进:  0.74 厘米"/>
    <w:basedOn w:val="76"/>
    <w:qFormat/>
    <w:uiPriority w:val="0"/>
    <w:pPr>
      <w:autoSpaceDE w:val="0"/>
      <w:autoSpaceDN w:val="0"/>
      <w:spacing w:before="120" w:after="0" w:line="380" w:lineRule="exact"/>
      <w:ind w:firstLine="210" w:firstLineChars="0"/>
    </w:pPr>
    <w:rPr>
      <w:rFonts w:ascii="宋体"/>
      <w:kern w:val="0"/>
      <w:sz w:val="24"/>
      <w:szCs w:val="20"/>
      <w:lang w:bidi="ar-SA"/>
    </w:rPr>
  </w:style>
  <w:style w:type="paragraph" w:customStyle="1" w:styleId="326">
    <w:name w:val="英文音标"/>
    <w:qFormat/>
    <w:uiPriority w:val="0"/>
    <w:rPr>
      <w:rFonts w:ascii="Kingsoft Phonetic Plain" w:hAnsi="Kingsoft Phonetic Plain" w:eastAsia="Kingsoft Phonetic Plain" w:cs="Times New Roman"/>
      <w:kern w:val="2"/>
      <w:sz w:val="24"/>
      <w:szCs w:val="24"/>
      <w:lang w:val="en-US" w:eastAsia="zh-CN" w:bidi="ar-SA"/>
    </w:rPr>
  </w:style>
  <w:style w:type="paragraph" w:customStyle="1" w:styleId="327">
    <w:name w:val="Normal_17_0"/>
    <w:qFormat/>
    <w:uiPriority w:val="0"/>
    <w:rPr>
      <w:rFonts w:ascii="黑体" w:hAnsi="黑体" w:eastAsia="黑体" w:cs="Times New Roman"/>
      <w:b/>
      <w:sz w:val="32"/>
      <w:szCs w:val="24"/>
      <w:lang w:val="en-US" w:bidi="ar-SA"/>
    </w:rPr>
  </w:style>
  <w:style w:type="paragraph" w:customStyle="1" w:styleId="328">
    <w:name w:val="编号3"/>
    <w:qFormat/>
    <w:uiPriority w:val="0"/>
    <w:pPr>
      <w:tabs>
        <w:tab w:val="left" w:pos="771"/>
      </w:tabs>
      <w:snapToGrid w:val="0"/>
      <w:spacing w:before="120" w:after="120" w:line="360" w:lineRule="auto"/>
      <w:ind w:left="1021" w:hanging="250"/>
      <w:jc w:val="both"/>
    </w:pPr>
    <w:rPr>
      <w:rFonts w:ascii="Times New Roman" w:hAnsi="Times New Roman" w:eastAsia="仿宋_GB2312" w:cs="Times New Roman"/>
      <w:kern w:val="2"/>
      <w:sz w:val="24"/>
      <w:szCs w:val="24"/>
      <w:lang w:val="en-US" w:eastAsia="zh-CN" w:bidi="ar-SA"/>
    </w:rPr>
  </w:style>
  <w:style w:type="paragraph" w:customStyle="1" w:styleId="329">
    <w:name w:val="Char Char1 Char Char Char Char Char Char"/>
    <w:basedOn w:val="1"/>
    <w:qFormat/>
    <w:uiPriority w:val="0"/>
    <w:pPr>
      <w:widowControl/>
      <w:jc w:val="center"/>
    </w:pPr>
    <w:rPr>
      <w:szCs w:val="20"/>
    </w:rPr>
  </w:style>
  <w:style w:type="paragraph" w:customStyle="1" w:styleId="330">
    <w:name w:val=" Char Char Char Char Char Char Char Char Char Char Char Char Char"/>
    <w:basedOn w:val="1"/>
    <w:qFormat/>
    <w:uiPriority w:val="0"/>
    <w:pPr>
      <w:widowControl/>
      <w:spacing w:after="160" w:line="240" w:lineRule="exact"/>
      <w:jc w:val="left"/>
    </w:pPr>
    <w:rPr>
      <w:rFonts w:ascii="Arial" w:hAnsi="Arial" w:eastAsia="Times New Roman"/>
      <w:b/>
      <w:kern w:val="0"/>
      <w:sz w:val="24"/>
      <w:szCs w:val="32"/>
      <w:lang w:eastAsia="en-US" w:bidi="ar-SA"/>
    </w:rPr>
  </w:style>
  <w:style w:type="paragraph" w:customStyle="1" w:styleId="331">
    <w:name w:val="Normal_1_0"/>
    <w:qFormat/>
    <w:uiPriority w:val="0"/>
    <w:rPr>
      <w:rFonts w:ascii="Times New Roman" w:hAnsi="Times New Roman" w:eastAsia="Times New Roman" w:cs="Times New Roman"/>
      <w:sz w:val="24"/>
      <w:szCs w:val="24"/>
      <w:lang w:val="en-US" w:bidi="ar-SA"/>
    </w:rPr>
  </w:style>
  <w:style w:type="paragraph" w:customStyle="1" w:styleId="332">
    <w:name w:val="表格"/>
    <w:basedOn w:val="1"/>
    <w:qFormat/>
    <w:uiPriority w:val="0"/>
    <w:pPr>
      <w:snapToGrid w:val="0"/>
      <w:ind w:firstLine="21" w:firstLineChars="21"/>
    </w:pPr>
    <w:rPr>
      <w:rFonts w:ascii="宋体"/>
      <w:szCs w:val="20"/>
    </w:rPr>
  </w:style>
  <w:style w:type="paragraph" w:customStyle="1" w:styleId="333">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4">
    <w:name w:val="正文_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5">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6">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kern w:val="0"/>
      <w:sz w:val="24"/>
      <w:szCs w:val="20"/>
    </w:rPr>
  </w:style>
  <w:style w:type="paragraph" w:customStyle="1" w:styleId="337">
    <w:name w:val="正文_9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8">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339">
    <w:name w:val="正文_8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0">
    <w:name w:val="样式 标题 2 + Times New Roman 四号 非加粗 段前: 5 磅 段后: 0 磅 行距: 固定值 20..."/>
    <w:basedOn w:val="18"/>
    <w:qFormat/>
    <w:uiPriority w:val="0"/>
    <w:pPr>
      <w:spacing w:before="100" w:after="0" w:line="400" w:lineRule="exact"/>
    </w:pPr>
    <w:rPr>
      <w:rFonts w:ascii="Times New Roman" w:hAnsi="Times New Roman"/>
      <w:b w:val="0"/>
      <w:sz w:val="28"/>
      <w:szCs w:val="20"/>
    </w:rPr>
  </w:style>
  <w:style w:type="paragraph" w:customStyle="1" w:styleId="341">
    <w:name w:val="正文_2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2">
    <w:name w:val="特点"/>
    <w:basedOn w:val="1"/>
    <w:qFormat/>
    <w:uiPriority w:val="0"/>
    <w:pPr>
      <w:spacing w:line="360" w:lineRule="auto"/>
      <w:jc w:val="center"/>
    </w:pPr>
    <w:rPr>
      <w:rFonts w:ascii="Arial" w:hAnsi="Arial"/>
      <w:sz w:val="24"/>
      <w:szCs w:val="20"/>
    </w:rPr>
  </w:style>
  <w:style w:type="paragraph" w:customStyle="1" w:styleId="343">
    <w:name w:val="tabletext"/>
    <w:basedOn w:val="1"/>
    <w:qFormat/>
    <w:uiPriority w:val="0"/>
    <w:pPr>
      <w:widowControl/>
      <w:spacing w:before="100" w:beforeAutospacing="1" w:after="100" w:afterAutospacing="1"/>
      <w:jc w:val="left"/>
    </w:pPr>
    <w:rPr>
      <w:rFonts w:ascii="宋体"/>
      <w:kern w:val="0"/>
      <w:sz w:val="24"/>
      <w:szCs w:val="22"/>
    </w:rPr>
  </w:style>
  <w:style w:type="paragraph" w:customStyle="1" w:styleId="344">
    <w:name w:val="表内容"/>
    <w:basedOn w:val="182"/>
    <w:qFormat/>
    <w:uiPriority w:val="0"/>
    <w:pPr>
      <w:spacing w:line="320" w:lineRule="exact"/>
      <w:ind w:left="0" w:firstLine="0"/>
    </w:pPr>
    <w:rPr>
      <w:sz w:val="20"/>
    </w:rPr>
  </w:style>
  <w:style w:type="paragraph" w:customStyle="1" w:styleId="345">
    <w:name w:val="Char1"/>
    <w:basedOn w:val="1"/>
    <w:qFormat/>
    <w:uiPriority w:val="0"/>
  </w:style>
  <w:style w:type="paragraph" w:customStyle="1" w:styleId="346">
    <w:name w:val="正文_1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7">
    <w:name w:val="编号1"/>
    <w:qFormat/>
    <w:uiPriority w:val="0"/>
    <w:pPr>
      <w:tabs>
        <w:tab w:val="left" w:pos="420"/>
      </w:tabs>
      <w:spacing w:before="120" w:after="120" w:line="360" w:lineRule="auto"/>
      <w:ind w:left="720" w:hanging="360"/>
    </w:pPr>
    <w:rPr>
      <w:rFonts w:ascii="Times New Roman" w:hAnsi="Times New Roman" w:eastAsia="宋体" w:cs="Times New Roman"/>
      <w:kern w:val="2"/>
      <w:sz w:val="24"/>
      <w:szCs w:val="24"/>
      <w:lang w:val="en-US" w:eastAsia="zh-CN" w:bidi="ar-SA"/>
    </w:rPr>
  </w:style>
  <w:style w:type="paragraph" w:customStyle="1" w:styleId="348">
    <w:name w:val="Normal_0"/>
    <w:qFormat/>
    <w:uiPriority w:val="0"/>
    <w:rPr>
      <w:rFonts w:ascii="黑体" w:hAnsi="黑体" w:eastAsia="黑体" w:cs="Times New Roman"/>
      <w:b/>
      <w:sz w:val="32"/>
      <w:szCs w:val="24"/>
      <w:lang w:val="en-US" w:bidi="ar-SA"/>
    </w:rPr>
  </w:style>
  <w:style w:type="paragraph" w:customStyle="1" w:styleId="349">
    <w:name w:val="首页单位日期"/>
    <w:basedOn w:val="1"/>
    <w:qFormat/>
    <w:uiPriority w:val="0"/>
    <w:pPr>
      <w:widowControl/>
      <w:snapToGrid w:val="0"/>
      <w:jc w:val="center"/>
    </w:pPr>
    <w:rPr>
      <w:rFonts w:ascii="宋体"/>
      <w:bCs/>
      <w:kern w:val="0"/>
      <w:sz w:val="28"/>
      <w:szCs w:val="20"/>
      <w:lang w:bidi="ar-SA"/>
    </w:rPr>
  </w:style>
  <w:style w:type="paragraph" w:customStyle="1" w:styleId="350">
    <w:name w:val="Normal Paragraph"/>
    <w:basedOn w:val="1"/>
    <w:qFormat/>
    <w:uiPriority w:val="0"/>
    <w:pPr>
      <w:widowControl/>
      <w:spacing w:before="120" w:line="360" w:lineRule="auto"/>
      <w:ind w:firstLine="425"/>
    </w:pPr>
    <w:rPr>
      <w:rFonts w:ascii="Calibri" w:hAnsi="Calibri"/>
      <w:kern w:val="0"/>
      <w:sz w:val="24"/>
      <w:szCs w:val="20"/>
    </w:rPr>
  </w:style>
  <w:style w:type="paragraph" w:customStyle="1" w:styleId="351">
    <w:name w:val="一级缩进"/>
    <w:qFormat/>
    <w:uiPriority w:val="0"/>
    <w:pPr>
      <w:tabs>
        <w:tab w:val="left" w:pos="0"/>
        <w:tab w:val="left" w:pos="568"/>
      </w:tabs>
      <w:snapToGrid w:val="0"/>
      <w:spacing w:before="120" w:after="120" w:line="360" w:lineRule="auto"/>
      <w:jc w:val="both"/>
    </w:pPr>
    <w:rPr>
      <w:rFonts w:ascii="Times New Roman" w:hAnsi="Times New Roman" w:eastAsia="仿宋_GB2312" w:cs="Times New Roman"/>
      <w:kern w:val="2"/>
      <w:sz w:val="24"/>
      <w:szCs w:val="24"/>
      <w:lang w:val="en-US" w:eastAsia="zh-CN" w:bidi="ar-SA"/>
    </w:rPr>
  </w:style>
  <w:style w:type="paragraph" w:customStyle="1" w:styleId="352">
    <w:name w:val="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53">
    <w:name w:val="Char12"/>
    <w:basedOn w:val="1"/>
    <w:qFormat/>
    <w:uiPriority w:val="0"/>
    <w:pPr>
      <w:tabs>
        <w:tab w:val="left" w:pos="360"/>
      </w:tabs>
      <w:spacing w:line="480" w:lineRule="auto"/>
      <w:ind w:left="360" w:right="202" w:firstLine="360"/>
    </w:pPr>
    <w:rPr>
      <w:sz w:val="24"/>
    </w:rPr>
  </w:style>
  <w:style w:type="paragraph" w:customStyle="1" w:styleId="354">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kern w:val="0"/>
      <w:sz w:val="20"/>
      <w:szCs w:val="20"/>
    </w:rPr>
  </w:style>
  <w:style w:type="paragraph" w:customStyle="1" w:styleId="355">
    <w:name w:val="È±Ê¡ÎÄ±¾"/>
    <w:basedOn w:val="1"/>
    <w:qFormat/>
    <w:uiPriority w:val="0"/>
    <w:pPr>
      <w:widowControl/>
      <w:overflowPunct w:val="0"/>
      <w:autoSpaceDE w:val="0"/>
      <w:autoSpaceDN w:val="0"/>
      <w:spacing w:line="360" w:lineRule="auto"/>
      <w:jc w:val="left"/>
    </w:pPr>
    <w:rPr>
      <w:kern w:val="0"/>
      <w:sz w:val="24"/>
      <w:szCs w:val="20"/>
    </w:rPr>
  </w:style>
  <w:style w:type="paragraph" w:customStyle="1" w:styleId="356">
    <w:name w:val="Char Char Char Char Char Char Char Char Char Char"/>
    <w:basedOn w:val="1"/>
    <w:qFormat/>
    <w:uiPriority w:val="0"/>
    <w:rPr>
      <w:rFonts w:ascii="Tahoma" w:hAnsi="Tahoma"/>
      <w:sz w:val="24"/>
      <w:szCs w:val="20"/>
    </w:rPr>
  </w:style>
  <w:style w:type="paragraph" w:customStyle="1" w:styleId="357">
    <w:name w:val="a1"/>
    <w:basedOn w:val="1"/>
    <w:qFormat/>
    <w:uiPriority w:val="0"/>
    <w:pPr>
      <w:widowControl/>
      <w:spacing w:before="100" w:beforeAutospacing="1" w:after="100" w:afterAutospacing="1"/>
      <w:jc w:val="left"/>
    </w:pPr>
    <w:rPr>
      <w:rFonts w:ascii="宋体"/>
      <w:kern w:val="0"/>
      <w:sz w:val="24"/>
      <w:szCs w:val="22"/>
    </w:rPr>
  </w:style>
  <w:style w:type="paragraph" w:customStyle="1" w:styleId="358">
    <w:name w:val="保密事宜内容"/>
    <w:basedOn w:val="1"/>
    <w:qFormat/>
    <w:uiPriority w:val="0"/>
    <w:pPr>
      <w:pBdr>
        <w:top w:val="single" w:color="000000" w:sz="4" w:space="1"/>
        <w:left w:val="single" w:color="000000" w:sz="4" w:space="4"/>
        <w:bottom w:val="single" w:color="000000" w:sz="4" w:space="1"/>
        <w:right w:val="single" w:color="000000" w:sz="4" w:space="4"/>
      </w:pBdr>
      <w:snapToGrid w:val="0"/>
      <w:spacing w:line="360" w:lineRule="auto"/>
      <w:ind w:firstLine="200" w:firstLineChars="200"/>
    </w:pPr>
    <w:rPr>
      <w:rFonts w:ascii="Tahoma" w:hAnsi="Tahoma" w:eastAsia="楷体_GB2312"/>
      <w:bCs/>
      <w:kern w:val="0"/>
      <w:sz w:val="24"/>
      <w:szCs w:val="20"/>
      <w:lang w:bidi="ar-SA"/>
    </w:rPr>
  </w:style>
  <w:style w:type="paragraph" w:customStyle="1" w:styleId="359">
    <w:name w:val="正文_11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60">
    <w:name w:val="项目"/>
    <w:basedOn w:val="1"/>
    <w:qFormat/>
    <w:uiPriority w:val="0"/>
    <w:pPr>
      <w:tabs>
        <w:tab w:val="left" w:pos="840"/>
      </w:tabs>
      <w:spacing w:before="60" w:after="60" w:line="360" w:lineRule="auto"/>
      <w:ind w:left="840" w:hanging="420"/>
    </w:pPr>
    <w:rPr>
      <w:rFonts w:ascii="宋体"/>
      <w:kern w:val="0"/>
      <w:szCs w:val="20"/>
    </w:rPr>
  </w:style>
  <w:style w:type="paragraph" w:customStyle="1" w:styleId="361">
    <w:name w:val="Char Char Char Char Char Char Char1 Char"/>
    <w:basedOn w:val="1"/>
    <w:qFormat/>
    <w:uiPriority w:val="0"/>
    <w:rPr>
      <w:rFonts w:ascii="Tahoma" w:hAnsi="Tahoma"/>
      <w:sz w:val="24"/>
      <w:szCs w:val="20"/>
    </w:rPr>
  </w:style>
  <w:style w:type="paragraph" w:customStyle="1" w:styleId="362">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kern w:val="0"/>
      <w:sz w:val="20"/>
      <w:szCs w:val="20"/>
    </w:rPr>
  </w:style>
  <w:style w:type="paragraph" w:customStyle="1" w:styleId="363">
    <w:name w:val="Normal_16_0"/>
    <w:qFormat/>
    <w:uiPriority w:val="0"/>
    <w:rPr>
      <w:rFonts w:ascii="黑体" w:hAnsi="黑体" w:eastAsia="黑体" w:cs="Times New Roman"/>
      <w:b/>
      <w:sz w:val="32"/>
      <w:szCs w:val="24"/>
      <w:lang w:val="en-US" w:bidi="ar-SA"/>
    </w:rPr>
  </w:style>
  <w:style w:type="paragraph" w:customStyle="1" w:styleId="364">
    <w:name w:val="Normal_15_0"/>
    <w:qFormat/>
    <w:uiPriority w:val="0"/>
    <w:rPr>
      <w:rFonts w:ascii="黑体" w:hAnsi="黑体" w:eastAsia="黑体" w:cs="Times New Roman"/>
      <w:b/>
      <w:sz w:val="32"/>
      <w:szCs w:val="24"/>
      <w:lang w:val="en-US" w:bidi="ar-SA"/>
    </w:rPr>
  </w:style>
  <w:style w:type="paragraph" w:customStyle="1" w:styleId="365">
    <w:name w:val="Normal_17"/>
    <w:qFormat/>
    <w:uiPriority w:val="0"/>
    <w:rPr>
      <w:rFonts w:ascii="黑体" w:hAnsi="黑体" w:eastAsia="黑体" w:cs="Times New Roman"/>
      <w:b/>
      <w:sz w:val="32"/>
      <w:szCs w:val="24"/>
      <w:lang w:val="en-US" w:bidi="ar-SA"/>
    </w:rPr>
  </w:style>
  <w:style w:type="paragraph" w:customStyle="1" w:styleId="366">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7">
    <w:name w:val="Normal Paragraph Char"/>
    <w:basedOn w:val="1"/>
    <w:qFormat/>
    <w:uiPriority w:val="0"/>
    <w:pPr>
      <w:widowControl/>
      <w:spacing w:before="120" w:line="360" w:lineRule="auto"/>
      <w:ind w:firstLine="425"/>
    </w:pPr>
    <w:rPr>
      <w:rFonts w:ascii="Calibri" w:hAnsi="Calibri"/>
      <w:kern w:val="0"/>
      <w:sz w:val="24"/>
      <w:szCs w:val="22"/>
    </w:rPr>
  </w:style>
  <w:style w:type="paragraph" w:customStyle="1" w:styleId="368">
    <w:name w:val="列出段落[858D7CFB-ED40-4347-BF05-701D383B685F][858D7CFB-ED40-4347-BF05-701D383B685F]"/>
    <w:basedOn w:val="1"/>
    <w:qFormat/>
    <w:uiPriority w:val="0"/>
    <w:pPr>
      <w:ind w:firstLine="200" w:firstLineChars="200"/>
    </w:pPr>
    <w:rPr>
      <w:rFonts w:ascii="Calibri" w:hAnsi="Calibri"/>
      <w:szCs w:val="22"/>
    </w:rPr>
  </w:style>
  <w:style w:type="paragraph" w:customStyle="1" w:styleId="369">
    <w:name w:val="正文_1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70">
    <w:name w:val="Normal_13"/>
    <w:qFormat/>
    <w:uiPriority w:val="0"/>
    <w:rPr>
      <w:rFonts w:ascii="黑体" w:hAnsi="黑体" w:eastAsia="黑体" w:cs="Times New Roman"/>
      <w:b/>
      <w:sz w:val="32"/>
      <w:szCs w:val="24"/>
      <w:lang w:val="en-US" w:bidi="ar-SA"/>
    </w:rPr>
  </w:style>
  <w:style w:type="paragraph" w:customStyle="1" w:styleId="371">
    <w:name w:val="style42"/>
    <w:basedOn w:val="1"/>
    <w:qFormat/>
    <w:uiPriority w:val="0"/>
    <w:pPr>
      <w:widowControl/>
      <w:spacing w:before="100" w:beforeAutospacing="1" w:after="100" w:afterAutospacing="1"/>
      <w:jc w:val="left"/>
    </w:pPr>
    <w:rPr>
      <w:rFonts w:ascii="宋体"/>
      <w:color w:val="000000"/>
      <w:kern w:val="0"/>
      <w:sz w:val="15"/>
      <w:szCs w:val="15"/>
      <w:lang w:bidi="ar-SA"/>
    </w:rPr>
  </w:style>
  <w:style w:type="paragraph" w:customStyle="1" w:styleId="372">
    <w:name w:val="SFClearBullets"/>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373">
    <w:name w:val="我的样式"/>
    <w:basedOn w:val="1"/>
    <w:qFormat/>
    <w:uiPriority w:val="0"/>
    <w:pPr>
      <w:widowControl/>
      <w:spacing w:after="120"/>
      <w:ind w:firstLine="420"/>
      <w:jc w:val="left"/>
    </w:pPr>
    <w:rPr>
      <w:rFonts w:ascii="宋体"/>
      <w:color w:val="000000"/>
      <w:kern w:val="0"/>
      <w:sz w:val="24"/>
      <w:szCs w:val="16"/>
    </w:rPr>
  </w:style>
  <w:style w:type="paragraph" w:customStyle="1" w:styleId="374">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375">
    <w:name w:val="附图居中"/>
    <w:basedOn w:val="1"/>
    <w:qFormat/>
    <w:uiPriority w:val="0"/>
    <w:pPr>
      <w:keepNext/>
      <w:tabs>
        <w:tab w:val="left" w:pos="0"/>
      </w:tabs>
      <w:spacing w:line="360" w:lineRule="auto"/>
      <w:ind w:left="1271" w:hanging="420"/>
      <w:jc w:val="center"/>
    </w:pPr>
    <w:rPr>
      <w:caps/>
      <w:sz w:val="24"/>
    </w:rPr>
  </w:style>
  <w:style w:type="paragraph" w:customStyle="1" w:styleId="376">
    <w:name w:val="正文_0_0_0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7">
    <w:name w:val="正文 + 宋体"/>
    <w:basedOn w:val="1"/>
    <w:qFormat/>
    <w:uiPriority w:val="0"/>
    <w:pPr>
      <w:ind w:firstLine="250" w:firstLineChars="250"/>
    </w:pPr>
    <w:rPr>
      <w:rFonts w:ascii="宋体"/>
      <w:szCs w:val="21"/>
    </w:rPr>
  </w:style>
  <w:style w:type="paragraph" w:customStyle="1" w:styleId="378">
    <w:name w:val="Char Char Char Char Char Char Char Char Char Char1"/>
    <w:basedOn w:val="1"/>
    <w:qFormat/>
    <w:uiPriority w:val="0"/>
    <w:rPr>
      <w:rFonts w:ascii="Tahoma" w:hAnsi="Tahoma"/>
      <w:sz w:val="24"/>
      <w:lang w:bidi="ar-SA"/>
    </w:rPr>
  </w:style>
  <w:style w:type="paragraph" w:customStyle="1" w:styleId="379">
    <w:name w:val="Normal_5"/>
    <w:qFormat/>
    <w:uiPriority w:val="0"/>
    <w:rPr>
      <w:rFonts w:ascii="黑体" w:hAnsi="黑体" w:eastAsia="黑体" w:cs="Times New Roman"/>
      <w:b/>
      <w:sz w:val="32"/>
      <w:szCs w:val="24"/>
      <w:lang w:val="en-US" w:bidi="ar-SA"/>
    </w:rPr>
  </w:style>
  <w:style w:type="paragraph" w:customStyle="1" w:styleId="380">
    <w:name w:val="Normal_13_0"/>
    <w:qFormat/>
    <w:uiPriority w:val="0"/>
    <w:rPr>
      <w:rFonts w:ascii="黑体" w:hAnsi="黑体" w:eastAsia="黑体" w:cs="Times New Roman"/>
      <w:b/>
      <w:sz w:val="32"/>
      <w:szCs w:val="24"/>
      <w:lang w:val="en-US" w:bidi="ar-SA"/>
    </w:rPr>
  </w:style>
  <w:style w:type="paragraph" w:customStyle="1" w:styleId="381">
    <w:name w:val="Normal_14"/>
    <w:qFormat/>
    <w:uiPriority w:val="0"/>
    <w:rPr>
      <w:rFonts w:ascii="黑体" w:hAnsi="黑体" w:eastAsia="黑体" w:cs="Times New Roman"/>
      <w:b/>
      <w:sz w:val="32"/>
      <w:szCs w:val="24"/>
      <w:lang w:val="en-US" w:bidi="ar-SA"/>
    </w:rPr>
  </w:style>
  <w:style w:type="paragraph" w:customStyle="1" w:styleId="382">
    <w:name w:val="正文_1_0_0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83">
    <w:name w:val="正文_7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84">
    <w:name w:val="Normal_11"/>
    <w:qFormat/>
    <w:uiPriority w:val="0"/>
    <w:rPr>
      <w:rFonts w:ascii="黑体" w:hAnsi="黑体" w:eastAsia="黑体" w:cs="Times New Roman"/>
      <w:b/>
      <w:sz w:val="32"/>
      <w:szCs w:val="24"/>
      <w:lang w:val="en-US" w:bidi="ar-SA"/>
    </w:rPr>
  </w:style>
  <w:style w:type="paragraph" w:customStyle="1" w:styleId="385">
    <w:name w:val="正文_7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86">
    <w:name w:val="Char Char Char Char Char Char Char Char Char Char2"/>
    <w:basedOn w:val="1"/>
    <w:qFormat/>
    <w:uiPriority w:val="0"/>
    <w:rPr>
      <w:rFonts w:ascii="Tahoma" w:hAnsi="Tahoma"/>
      <w:sz w:val="24"/>
      <w:szCs w:val="20"/>
    </w:rPr>
  </w:style>
  <w:style w:type="paragraph" w:customStyle="1" w:styleId="387">
    <w:name w:val="Normal_3_0"/>
    <w:qFormat/>
    <w:uiPriority w:val="0"/>
    <w:rPr>
      <w:rFonts w:ascii="黑体" w:hAnsi="黑体" w:eastAsia="黑体" w:cs="Times New Roman"/>
      <w:b/>
      <w:sz w:val="32"/>
      <w:szCs w:val="24"/>
      <w:lang w:val="en-US" w:bidi="ar-SA"/>
    </w:rPr>
  </w:style>
  <w:style w:type="paragraph" w:customStyle="1" w:styleId="388">
    <w:name w:val="正文小四"/>
    <w:basedOn w:val="1"/>
    <w:qFormat/>
    <w:uiPriority w:val="0"/>
    <w:pPr>
      <w:spacing w:line="312" w:lineRule="auto"/>
    </w:pPr>
    <w:rPr>
      <w:rFonts w:ascii="Calibri" w:hAnsi="Calibri"/>
      <w:sz w:val="24"/>
      <w:szCs w:val="22"/>
    </w:rPr>
  </w:style>
  <w:style w:type="paragraph" w:customStyle="1" w:styleId="389">
    <w:name w:val="正文_1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0">
    <w:name w:val="正文段"/>
    <w:basedOn w:val="1"/>
    <w:qFormat/>
    <w:uiPriority w:val="0"/>
    <w:pPr>
      <w:widowControl/>
      <w:snapToGrid w:val="0"/>
      <w:spacing w:after="240" w:line="240" w:lineRule="atLeast"/>
      <w:ind w:firstLine="425"/>
    </w:pPr>
    <w:rPr>
      <w:kern w:val="0"/>
      <w:sz w:val="24"/>
      <w:szCs w:val="20"/>
    </w:rPr>
  </w:style>
  <w:style w:type="paragraph" w:customStyle="1" w:styleId="391">
    <w:name w:val="默认段落字体 Para Char"/>
    <w:basedOn w:val="1"/>
    <w:qFormat/>
    <w:uiPriority w:val="0"/>
    <w:rPr>
      <w:rFonts w:ascii="宋体"/>
      <w:b/>
      <w:sz w:val="28"/>
      <w:szCs w:val="28"/>
    </w:rPr>
  </w:style>
  <w:style w:type="paragraph" w:customStyle="1" w:styleId="392">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kern w:val="0"/>
      <w:sz w:val="20"/>
      <w:szCs w:val="20"/>
    </w:rPr>
  </w:style>
  <w:style w:type="paragraph" w:customStyle="1" w:styleId="393">
    <w:name w:val="正文_1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4">
    <w:name w:val="保密事宜格式"/>
    <w:basedOn w:val="36"/>
    <w:qFormat/>
    <w:uiPriority w:val="0"/>
    <w:pPr>
      <w:numPr>
        <w:ilvl w:val="0"/>
        <w:numId w:val="0"/>
      </w:numPr>
      <w:pBdr>
        <w:top w:val="single" w:color="000000" w:sz="4" w:space="1"/>
        <w:left w:val="single" w:color="000000" w:sz="4" w:space="4"/>
        <w:bottom w:val="single" w:color="000000" w:sz="4" w:space="1"/>
        <w:right w:val="single" w:color="000000" w:sz="4" w:space="4"/>
      </w:pBdr>
      <w:shd w:val="clear" w:color="auto" w:fill="E6E6E6"/>
      <w:tabs>
        <w:tab w:val="clear" w:pos="0"/>
      </w:tabs>
      <w:spacing w:before="152" w:after="160"/>
    </w:pPr>
    <w:rPr>
      <w:rFonts w:ascii="Tahoma" w:hAnsi="Tahoma" w:eastAsia="楷体_GB2312"/>
      <w:b/>
      <w:kern w:val="0"/>
      <w:sz w:val="32"/>
      <w:lang w:bidi="ar-SA"/>
    </w:rPr>
  </w:style>
  <w:style w:type="paragraph" w:customStyle="1" w:styleId="395">
    <w:name w:val="规范正文"/>
    <w:basedOn w:val="1"/>
    <w:qFormat/>
    <w:uiPriority w:val="0"/>
    <w:pPr>
      <w:spacing w:line="360" w:lineRule="auto"/>
      <w:ind w:left="480"/>
    </w:pPr>
    <w:rPr>
      <w:kern w:val="0"/>
      <w:sz w:val="24"/>
      <w:szCs w:val="20"/>
    </w:rPr>
  </w:style>
  <w:style w:type="paragraph" w:customStyle="1" w:styleId="396">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kern w:val="0"/>
      <w:sz w:val="20"/>
      <w:szCs w:val="20"/>
    </w:rPr>
  </w:style>
  <w:style w:type="paragraph" w:customStyle="1" w:styleId="397">
    <w:name w:val="正文_1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8">
    <w:name w:val="Char Char Char"/>
    <w:basedOn w:val="1"/>
    <w:qFormat/>
    <w:uiPriority w:val="0"/>
    <w:rPr>
      <w:rFonts w:ascii="Tahoma" w:hAnsi="Tahoma"/>
      <w:sz w:val="24"/>
      <w:szCs w:val="20"/>
    </w:rPr>
  </w:style>
  <w:style w:type="paragraph" w:customStyle="1" w:styleId="399">
    <w:name w:val="缺省文本"/>
    <w:basedOn w:val="1"/>
    <w:qFormat/>
    <w:uiPriority w:val="0"/>
    <w:pPr>
      <w:autoSpaceDE w:val="0"/>
      <w:autoSpaceDN w:val="0"/>
      <w:jc w:val="left"/>
    </w:pPr>
    <w:rPr>
      <w:kern w:val="0"/>
      <w:sz w:val="24"/>
      <w:szCs w:val="20"/>
    </w:rPr>
  </w:style>
  <w:style w:type="paragraph" w:customStyle="1" w:styleId="400">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kern w:val="0"/>
      <w:sz w:val="24"/>
    </w:rPr>
  </w:style>
  <w:style w:type="paragraph" w:customStyle="1" w:styleId="401">
    <w:name w:val="样式 正文缩进 + (中文) 仿宋_GB2312 小四 Char"/>
    <w:basedOn w:val="35"/>
    <w:qFormat/>
    <w:uiPriority w:val="0"/>
    <w:pPr>
      <w:autoSpaceDE/>
      <w:autoSpaceDN/>
      <w:snapToGrid/>
      <w:spacing w:line="360" w:lineRule="auto"/>
      <w:ind w:firstLine="200" w:firstLineChars="200"/>
    </w:pPr>
    <w:rPr>
      <w:rFonts w:ascii="宋体"/>
      <w:color w:val="000000"/>
      <w:szCs w:val="24"/>
    </w:rPr>
  </w:style>
  <w:style w:type="paragraph" w:customStyle="1" w:styleId="402">
    <w:name w:val="正文_4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03">
    <w:name w:val="Normal_0_2"/>
    <w:qFormat/>
    <w:uiPriority w:val="0"/>
    <w:rPr>
      <w:rFonts w:ascii="黑体" w:hAnsi="黑体" w:eastAsia="黑体" w:cs="Times New Roman"/>
      <w:b/>
      <w:sz w:val="32"/>
      <w:szCs w:val="24"/>
      <w:lang w:val="en-US" w:bidi="ar-SA"/>
    </w:rPr>
  </w:style>
  <w:style w:type="paragraph" w:customStyle="1" w:styleId="404">
    <w:name w:val="Normal_12_0"/>
    <w:qFormat/>
    <w:uiPriority w:val="0"/>
    <w:rPr>
      <w:rFonts w:ascii="黑体" w:hAnsi="黑体" w:eastAsia="黑体" w:cs="Times New Roman"/>
      <w:b/>
      <w:sz w:val="32"/>
      <w:szCs w:val="24"/>
      <w:lang w:val="en-US" w:bidi="ar-SA"/>
    </w:rPr>
  </w:style>
  <w:style w:type="paragraph" w:customStyle="1" w:styleId="405">
    <w:name w:val="正文_2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6">
    <w:name w:val="Normal_15"/>
    <w:qFormat/>
    <w:uiPriority w:val="0"/>
    <w:rPr>
      <w:rFonts w:ascii="黑体" w:hAnsi="黑体" w:eastAsia="黑体" w:cs="Times New Roman"/>
      <w:b/>
      <w:sz w:val="32"/>
      <w:szCs w:val="24"/>
      <w:lang w:val="en-US" w:bidi="ar-SA"/>
    </w:rPr>
  </w:style>
  <w:style w:type="paragraph" w:customStyle="1" w:styleId="407">
    <w:name w:val="表格正文"/>
    <w:basedOn w:val="1"/>
    <w:qFormat/>
    <w:uiPriority w:val="0"/>
    <w:pPr>
      <w:tabs>
        <w:tab w:val="left" w:pos="420"/>
      </w:tabs>
      <w:snapToGrid w:val="0"/>
      <w:spacing w:line="300" w:lineRule="auto"/>
    </w:pPr>
  </w:style>
  <w:style w:type="paragraph" w:customStyle="1" w:styleId="408">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kern w:val="0"/>
      <w:sz w:val="24"/>
    </w:rPr>
  </w:style>
  <w:style w:type="paragraph" w:customStyle="1" w:styleId="409">
    <w:name w:val="font5"/>
    <w:basedOn w:val="1"/>
    <w:qFormat/>
    <w:uiPriority w:val="0"/>
    <w:pPr>
      <w:widowControl/>
      <w:spacing w:before="100" w:beforeAutospacing="1" w:after="100" w:afterAutospacing="1"/>
      <w:jc w:val="left"/>
    </w:pPr>
    <w:rPr>
      <w:rFonts w:ascii="宋体"/>
      <w:kern w:val="0"/>
      <w:sz w:val="18"/>
      <w:szCs w:val="18"/>
    </w:rPr>
  </w:style>
  <w:style w:type="paragraph" w:customStyle="1" w:styleId="410">
    <w:name w:val="样式 序号----------- + 仿宋_GB2312"/>
    <w:basedOn w:val="186"/>
    <w:qFormat/>
    <w:uiPriority w:val="0"/>
    <w:pPr>
      <w:spacing w:line="360" w:lineRule="auto"/>
      <w:ind w:firstLine="200" w:firstLineChars="200"/>
    </w:pPr>
    <w:rPr>
      <w:rFonts w:ascii="仿宋_GB2312" w:eastAsia="仿宋_GB2312"/>
      <w:bCs w:val="0"/>
    </w:rPr>
  </w:style>
  <w:style w:type="paragraph" w:customStyle="1" w:styleId="411">
    <w:name w:val="正文_9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2">
    <w:name w:val="样式3"/>
    <w:basedOn w:val="19"/>
    <w:qFormat/>
    <w:uiPriority w:val="0"/>
    <w:pPr>
      <w:autoSpaceDE/>
      <w:autoSpaceDN/>
      <w:snapToGrid/>
      <w:spacing w:line="415" w:lineRule="auto"/>
    </w:pPr>
    <w:rPr>
      <w:rFonts w:ascii="Calibri" w:hAnsi="Calibri"/>
      <w:bCs/>
      <w:color w:val="000000"/>
      <w:sz w:val="28"/>
      <w:szCs w:val="28"/>
    </w:rPr>
  </w:style>
  <w:style w:type="paragraph" w:customStyle="1" w:styleId="413">
    <w:name w:val="Normal_8"/>
    <w:qFormat/>
    <w:uiPriority w:val="0"/>
    <w:rPr>
      <w:rFonts w:ascii="Times New Roman" w:hAnsi="Times New Roman" w:eastAsia="Times New Roman" w:cs="Times New Roman"/>
      <w:sz w:val="24"/>
      <w:szCs w:val="24"/>
      <w:lang w:val="en-US" w:bidi="ar-SA"/>
    </w:rPr>
  </w:style>
  <w:style w:type="paragraph" w:customStyle="1" w:styleId="414">
    <w:name w:val="样式2"/>
    <w:basedOn w:val="19"/>
    <w:qFormat/>
    <w:uiPriority w:val="0"/>
    <w:pPr>
      <w:autoSpaceDE/>
      <w:autoSpaceDN/>
      <w:snapToGrid/>
      <w:spacing w:line="415" w:lineRule="auto"/>
    </w:pPr>
    <w:rPr>
      <w:rFonts w:ascii="Calibri" w:hAnsi="Calibri"/>
      <w:bCs/>
      <w:color w:val="000000"/>
      <w:sz w:val="28"/>
      <w:szCs w:val="28"/>
    </w:rPr>
  </w:style>
  <w:style w:type="paragraph" w:customStyle="1" w:styleId="415">
    <w:name w:val="正文_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6">
    <w:name w:val="表格样式居左"/>
    <w:qFormat/>
    <w:uiPriority w:val="0"/>
    <w:pPr>
      <w:snapToGrid w:val="0"/>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417">
    <w:name w:val="pa-4"/>
    <w:basedOn w:val="1"/>
    <w:qFormat/>
    <w:uiPriority w:val="0"/>
    <w:pPr>
      <w:widowControl/>
      <w:spacing w:line="280" w:lineRule="atLeast"/>
      <w:jc w:val="center"/>
    </w:pPr>
    <w:rPr>
      <w:rFonts w:ascii="宋体"/>
      <w:kern w:val="0"/>
      <w:sz w:val="24"/>
      <w:lang w:bidi="ar-SA"/>
    </w:rPr>
  </w:style>
  <w:style w:type="paragraph" w:customStyle="1" w:styleId="418">
    <w:name w:val="图号"/>
    <w:basedOn w:val="1"/>
    <w:qFormat/>
    <w:uiPriority w:val="0"/>
    <w:pPr>
      <w:keepNext/>
      <w:tabs>
        <w:tab w:val="left" w:pos="0"/>
        <w:tab w:val="left" w:pos="3360"/>
      </w:tabs>
      <w:autoSpaceDE w:val="0"/>
      <w:autoSpaceDN w:val="0"/>
      <w:spacing w:before="105" w:line="360" w:lineRule="auto"/>
      <w:jc w:val="center"/>
    </w:pPr>
    <w:rPr>
      <w:rFonts w:ascii="Arial" w:hAnsi="Arial"/>
      <w:kern w:val="0"/>
      <w:sz w:val="18"/>
      <w:szCs w:val="18"/>
    </w:rPr>
  </w:style>
  <w:style w:type="paragraph" w:customStyle="1" w:styleId="419">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kern w:val="0"/>
      <w:sz w:val="24"/>
    </w:rPr>
  </w:style>
  <w:style w:type="paragraph" w:customStyle="1" w:styleId="420">
    <w:name w:val="正文_0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1">
    <w:name w:val="Sourcetext bullet"/>
    <w:basedOn w:val="1"/>
    <w:qFormat/>
    <w:uiPriority w:val="0"/>
    <w:pPr>
      <w:widowControl/>
      <w:tabs>
        <w:tab w:val="left" w:pos="360"/>
      </w:tabs>
      <w:spacing w:after="120"/>
      <w:ind w:left="2160" w:hanging="360"/>
      <w:jc w:val="left"/>
    </w:pPr>
    <w:rPr>
      <w:rFonts w:ascii="Book Antiqua" w:hAnsi="Book Antiqua"/>
      <w:kern w:val="0"/>
      <w:sz w:val="20"/>
      <w:szCs w:val="20"/>
      <w:lang w:eastAsia="en-US"/>
    </w:rPr>
  </w:style>
  <w:style w:type="paragraph" w:customStyle="1" w:styleId="422">
    <w:name w:val="Default"/>
    <w:qFormat/>
    <w:uiPriority w:val="0"/>
    <w:pPr>
      <w:widowControl w:val="0"/>
      <w:autoSpaceDE w:val="0"/>
      <w:autoSpaceDN w:val="0"/>
    </w:pPr>
    <w:rPr>
      <w:rFonts w:ascii="宋体" w:hAnsi="Times New Roman" w:eastAsia="宋体" w:cs="Times New Roman"/>
      <w:color w:val="000000"/>
      <w:kern w:val="2"/>
      <w:sz w:val="24"/>
      <w:szCs w:val="24"/>
      <w:lang w:val="en-US" w:eastAsia="zh-CN" w:bidi="ar-SA"/>
    </w:rPr>
  </w:style>
  <w:style w:type="paragraph" w:customStyle="1" w:styleId="423">
    <w:name w:val="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424">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kern w:val="0"/>
      <w:sz w:val="20"/>
      <w:szCs w:val="20"/>
    </w:rPr>
  </w:style>
  <w:style w:type="paragraph" w:customStyle="1" w:styleId="425">
    <w:name w:val="表格文字"/>
    <w:basedOn w:val="1"/>
    <w:qFormat/>
    <w:uiPriority w:val="0"/>
    <w:pPr>
      <w:jc w:val="left"/>
    </w:pPr>
    <w:rPr>
      <w:sz w:val="18"/>
    </w:rPr>
  </w:style>
  <w:style w:type="paragraph" w:customStyle="1" w:styleId="42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kern w:val="0"/>
      <w:sz w:val="20"/>
      <w:szCs w:val="20"/>
    </w:rPr>
  </w:style>
  <w:style w:type="paragraph" w:customStyle="1" w:styleId="427">
    <w:name w:val="大汉方案正文 Char"/>
    <w:basedOn w:val="1"/>
    <w:qFormat/>
    <w:uiPriority w:val="0"/>
    <w:pPr>
      <w:spacing w:line="360" w:lineRule="auto"/>
      <w:ind w:firstLine="200" w:firstLineChars="200"/>
    </w:pPr>
    <w:rPr>
      <w:rFonts w:ascii="Arial" w:hAnsi="Arial"/>
      <w:sz w:val="24"/>
      <w:szCs w:val="22"/>
    </w:rPr>
  </w:style>
  <w:style w:type="paragraph" w:customStyle="1" w:styleId="42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kern w:val="0"/>
      <w:sz w:val="20"/>
      <w:szCs w:val="20"/>
    </w:rPr>
  </w:style>
  <w:style w:type="paragraph" w:customStyle="1" w:styleId="429">
    <w:name w:val="正文_4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30">
    <w:name w:val="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431">
    <w:name w:val="正文_9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32">
    <w:name w:val="默认段落字体 Para Char Char Char Char Char Char Char Char Char Char Char Char Char Char"/>
    <w:basedOn w:val="40"/>
    <w:qFormat/>
    <w:uiPriority w:val="0"/>
    <w:rPr>
      <w:rFonts w:ascii="Tahoma" w:hAnsi="Tahoma"/>
      <w:sz w:val="24"/>
    </w:rPr>
  </w:style>
  <w:style w:type="paragraph" w:customStyle="1" w:styleId="433">
    <w:name w:val="a0"/>
    <w:basedOn w:val="1"/>
    <w:qFormat/>
    <w:uiPriority w:val="0"/>
    <w:pPr>
      <w:widowControl/>
      <w:spacing w:before="100" w:beforeAutospacing="1" w:after="100" w:afterAutospacing="1"/>
      <w:jc w:val="left"/>
    </w:pPr>
    <w:rPr>
      <w:rFonts w:ascii="宋体"/>
      <w:kern w:val="0"/>
      <w:sz w:val="24"/>
      <w:szCs w:val="22"/>
    </w:rPr>
  </w:style>
  <w:style w:type="paragraph" w:customStyle="1" w:styleId="434">
    <w:name w:val="参考资料清单+倾斜+蓝色"/>
    <w:basedOn w:val="1"/>
    <w:qFormat/>
    <w:uiPriority w:val="0"/>
    <w:pPr>
      <w:autoSpaceDE w:val="0"/>
      <w:autoSpaceDN w:val="0"/>
      <w:spacing w:line="360" w:lineRule="auto"/>
    </w:pPr>
    <w:rPr>
      <w:rFonts w:ascii="Arial" w:hAnsi="Arial"/>
      <w:i/>
      <w:iCs/>
      <w:color w:val="0000FF"/>
      <w:kern w:val="0"/>
      <w:szCs w:val="21"/>
    </w:rPr>
  </w:style>
  <w:style w:type="paragraph" w:customStyle="1" w:styleId="435">
    <w:name w:val="FUNO正文"/>
    <w:qFormat/>
    <w:uiPriority w:val="0"/>
    <w:pPr>
      <w:spacing w:line="360" w:lineRule="auto"/>
      <w:ind w:firstLine="283" w:firstLineChars="118"/>
      <w:jc w:val="both"/>
    </w:pPr>
    <w:rPr>
      <w:rFonts w:ascii="宋体" w:hAnsi="宋体" w:eastAsia="宋体" w:cs="Times New Roman"/>
      <w:kern w:val="2"/>
      <w:sz w:val="24"/>
      <w:szCs w:val="21"/>
      <w:lang w:val="en-US" w:eastAsia="zh-CN" w:bidi="ar-SA"/>
    </w:rPr>
  </w:style>
  <w:style w:type="character" w:customStyle="1" w:styleId="436">
    <w:name w:val="NormalCharacter"/>
    <w:link w:val="1"/>
    <w:semiHidden/>
    <w:qFormat/>
    <w:uiPriority w:val="0"/>
  </w:style>
  <w:style w:type="paragraph" w:customStyle="1" w:styleId="437">
    <w:name w:val="Table Text"/>
    <w:basedOn w:val="1"/>
    <w:semiHidden/>
    <w:qFormat/>
    <w:uiPriority w:val="0"/>
    <w:rPr>
      <w:rFonts w:ascii="宋体" w:hAnsi="宋体" w:eastAsia="宋体"/>
      <w:sz w:val="22"/>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63</Pages>
  <Words>26342</Words>
  <Characters>27780</Characters>
  <Lines>0</Lines>
  <Paragraphs>0</Paragraphs>
  <TotalTime>49</TotalTime>
  <ScaleCrop>false</ScaleCrop>
  <LinksUpToDate>false</LinksUpToDate>
  <CharactersWithSpaces>29482</CharactersWithSpaces>
  <Application>WPS Office_11.8.6.11719_F1E327BC-269C-435d-A152-05C5408002CA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2024-03-26T01:32:00Z</dcterms:created>
  <dc:creator>叉烧</dc:creator>
  <cp:lastModifiedBy>毛毛</cp:lastModifiedBy>
  <dcterms:modified xsi:type="dcterms:W3CDTF">2024-07-24T05:41:48Z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2052-11.8.6.11719</vt:lpwstr>
  </property>
  <property fmtid="{D5CDD505-2E9C-101B-9397-08002B2CF9AE}" pid="3" name="ICV">
    <vt:lpwstr>32C9E501577540B99273CFB7BA43980B_13</vt:lpwstr>
  </property>
</Properties>
</file>