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hint="eastAsia" w:ascii="Arial" w:hAnsi="Arial" w:cs="Arial"/>
          <w:b/>
          <w:color w:val="auto"/>
          <w:sz w:val="28"/>
          <w:highlight w:val="none"/>
        </w:rPr>
      </w:pPr>
      <w:r>
        <w:rPr>
          <w:rFonts w:hint="eastAsia" w:ascii="Arial" w:hAnsi="Arial" w:cs="Arial"/>
          <w:b/>
          <w:color w:val="auto"/>
          <w:sz w:val="28"/>
          <w:highlight w:val="none"/>
        </w:rPr>
      </w:r>
      <w:r>
        <w:rPr>
          <w:color w:val="auto"/>
          <w:highlight w:val="none"/>
        </w:rPr>
      </w:r>
    </w:p>
    <w:p>
      <w:pPr>
        <w:rPr>
          <w:rFonts w:ascii="Arial" w:hAnsi="Arial" w:cs="Arial"/>
          <w:b/>
          <w:color w:val="auto"/>
          <w:sz w:val="28"/>
          <w:highlight w:val="none"/>
        </w:rPr>
      </w:pPr>
      <w:r>
        <w:rPr>
          <w:rFonts w:ascii="Arial" w:hAnsi="Arial" w:cs="Arial"/>
          <w:b/>
          <w:color w:val="auto"/>
          <w:sz w:val="28"/>
          <w:highlight w:val="none"/>
        </w:rPr>
      </w:r>
      <w:r>
        <w:rPr>
          <w:color w:val="auto"/>
          <w:highlight w:val="none"/>
        </w:rPr>
      </w:r>
    </w:p>
    <w:p>
      <w:pPr>
        <w:rPr>
          <w:rFonts w:ascii="Arial" w:hAnsi="Arial" w:cs="Arial"/>
          <w:b/>
          <w:color w:val="auto"/>
          <w:sz w:val="28"/>
          <w:highlight w:val="none"/>
        </w:rPr>
      </w:pPr>
      <w:r>
        <w:rPr>
          <w:rFonts w:ascii="Arial" w:hAnsi="Arial" w:cs="Arial"/>
          <w:b/>
          <w:color w:val="auto"/>
          <w:sz w:val="28"/>
          <w:highlight w:val="none"/>
        </w:rPr>
      </w:r>
      <w:r>
        <w:rPr>
          <w:color w:val="auto"/>
          <w:highlight w:val="none"/>
        </w:rPr>
      </w:r>
    </w:p>
    <w:p>
      <w:pPr>
        <w:ind w:left="-199"/>
        <w:jc w:val="center"/>
        <w:rPr>
          <w:rFonts w:ascii="Arial" w:hAnsi="Arial" w:cs="Arial"/>
          <w:color w:val="auto"/>
          <w:sz w:val="30"/>
          <w:szCs w:val="30"/>
          <w:highlight w:val="none"/>
        </w:rPr>
      </w:pPr>
      <w:r>
        <w:rPr>
          <w:rFonts w:hint="eastAsia" w:ascii="Arial" w:hAnsi="Arial" w:cs="Arial"/>
          <w:b/>
          <w:color w:val="auto"/>
          <w:sz w:val="40"/>
          <w:highlight w:val="none"/>
          <w:lang w:val="en-US" w:eastAsia="zh-CN"/>
        </w:rPr>
        <w:t xml:space="preserve">开发区本部区域生活污水泵站维保</w:t>
      </w:r>
      <w:r>
        <w:rPr>
          <w:rFonts w:hint="eastAsia" w:ascii="Arial" w:hAnsi="Arial" w:cs="Arial"/>
          <w:b/>
          <w:color w:val="auto"/>
          <w:sz w:val="40"/>
          <w:highlight w:val="none"/>
        </w:rPr>
        <w:t xml:space="preserve"> </w:t>
      </w:r>
      <w:r>
        <w:rPr>
          <w:color w:val="auto"/>
          <w:highlight w:val="none"/>
        </w:rPr>
      </w:r>
    </w:p>
    <w:p>
      <w:pP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p>
    <w:p>
      <w:pP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p>
    <w:p>
      <w:pP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p>
    <w:p>
      <w:pP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p>
    <w:p>
      <w:pP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p>
    <w:p>
      <w:pPr>
        <w:jc w:val="center"/>
        <w:rPr>
          <w:rFonts w:ascii="Arial" w:hAnsi="Arial" w:cs="Arial"/>
          <w:b/>
          <w:bCs/>
          <w:color w:val="auto"/>
          <w:sz w:val="84"/>
          <w:szCs w:val="84"/>
          <w:highlight w:val="none"/>
        </w:rPr>
      </w:pPr>
      <w:r>
        <w:rPr>
          <w:rFonts w:ascii="Arial" w:hAnsi="Arial" w:cs="Arial"/>
          <w:b/>
          <w:bCs/>
          <w:color w:val="auto"/>
          <w:sz w:val="84"/>
          <w:szCs w:val="84"/>
          <w:highlight w:val="none"/>
        </w:rPr>
        <w:t xml:space="preserve">招 标 文 件</w:t>
      </w:r>
      <w:r>
        <w:rPr>
          <w:color w:val="auto"/>
          <w:highlight w:val="none"/>
        </w:rPr>
      </w:r>
    </w:p>
    <w:p>
      <w:pPr>
        <w:jc w:val="cente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p>
    <w:p>
      <w:pPr>
        <w:jc w:val="center"/>
        <w:rPr>
          <w:rFonts w:ascii="Arial" w:hAnsi="Arial" w:cs="Arial"/>
          <w:b/>
          <w:color w:val="auto"/>
          <w:sz w:val="30"/>
          <w:szCs w:val="30"/>
          <w:highlight w:val="none"/>
        </w:rPr>
      </w:pPr>
      <w:r>
        <w:rPr>
          <w:rFonts w:ascii="Arial" w:hAnsi="Arial" w:cs="Arial"/>
          <w:b/>
          <w:color w:val="auto"/>
          <w:sz w:val="30"/>
          <w:szCs w:val="30"/>
          <w:highlight w:val="none"/>
        </w:rPr>
        <w:t xml:space="preserve">（招标编号：</w:t>
      </w:r>
      <w:r>
        <w:rPr>
          <w:rFonts w:hint="eastAsia" w:ascii="Arial" w:hAnsi="Arial" w:cs="Arial"/>
          <w:b/>
          <w:color w:val="auto"/>
          <w:sz w:val="30"/>
          <w:szCs w:val="30"/>
          <w:highlight w:val="none"/>
          <w:lang w:eastAsia="zh-CN"/>
        </w:rPr>
        <w:t xml:space="preserve">JSZC-321282-ZZJT-G2024-0038</w:t>
      </w:r>
      <w:r>
        <w:rPr>
          <w:rFonts w:ascii="Arial" w:hAnsi="Arial" w:cs="Arial"/>
          <w:b/>
          <w:color w:val="auto"/>
          <w:sz w:val="30"/>
          <w:szCs w:val="30"/>
          <w:highlight w:val="none"/>
        </w:rPr>
        <w:t xml:space="preserve">）</w:t>
      </w:r>
      <w:r>
        <w:rPr>
          <w:color w:val="auto"/>
          <w:highlight w:val="none"/>
        </w:rPr>
      </w:r>
    </w:p>
    <w:p>
      <w:pPr>
        <w:jc w:val="cente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p>
    <w:p>
      <w:pPr>
        <w:jc w:val="cente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p>
    <w:p>
      <w:pPr>
        <w:jc w:val="cente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p>
    <w:p>
      <w:pPr>
        <w:rPr>
          <w:rFonts w:ascii="Arial" w:hAnsi="Arial" w:cs="Arial"/>
          <w:b/>
          <w:color w:val="auto"/>
          <w:sz w:val="30"/>
          <w:szCs w:val="30"/>
          <w:highlight w:val="none"/>
        </w:rPr>
      </w:pPr>
      <w:r>
        <w:rPr>
          <w:rFonts w:ascii="Arial" w:hAnsi="Arial" w:cs="Arial"/>
          <w:b/>
          <w:color w:val="auto"/>
          <w:sz w:val="30"/>
          <w:szCs w:val="30"/>
          <w:highlight w:val="none"/>
        </w:rPr>
      </w:r>
      <w:r>
        <w:rPr>
          <w:color w:val="auto"/>
          <w:highlight w:val="none"/>
        </w:rPr>
      </w:r>
    </w:p>
    <w:p>
      <w:pPr>
        <w:rPr>
          <w:rFonts w:ascii="Arial" w:hAnsi="Arial" w:cs="Arial"/>
          <w:b/>
          <w:color w:val="auto"/>
          <w:sz w:val="30"/>
          <w:szCs w:val="30"/>
          <w:highlight w:val="none"/>
        </w:rPr>
      </w:pPr>
      <w:r>
        <w:rPr>
          <w:rFonts w:ascii="Arial" w:hAnsi="Arial" w:cs="Arial"/>
          <w:b/>
          <w:color w:val="auto"/>
          <w:sz w:val="30"/>
          <w:szCs w:val="30"/>
          <w:highlight w:val="none"/>
        </w:rPr>
      </w:r>
      <w:r>
        <w:rPr>
          <w:color w:val="auto"/>
          <w:highlight w:val="none"/>
        </w:rPr>
      </w:r>
    </w:p>
    <w:p>
      <w:pPr>
        <w:rPr>
          <w:rFonts w:ascii="Arial" w:hAnsi="Arial" w:cs="Arial"/>
          <w:b/>
          <w:color w:val="auto"/>
          <w:sz w:val="30"/>
          <w:szCs w:val="30"/>
          <w:highlight w:val="none"/>
        </w:rPr>
      </w:pPr>
      <w:r>
        <w:rPr>
          <w:rFonts w:ascii="Arial" w:hAnsi="Arial" w:cs="Arial"/>
          <w:b/>
          <w:color w:val="auto"/>
          <w:sz w:val="30"/>
          <w:szCs w:val="30"/>
          <w:highlight w:val="none"/>
        </w:rPr>
      </w:r>
      <w:r>
        <w:rPr>
          <w:color w:val="auto"/>
          <w:highlight w:val="none"/>
        </w:rPr>
      </w:r>
    </w:p>
    <w:p>
      <w:pPr>
        <w:ind w:firstLine="1084"/>
        <w:jc w:val="left"/>
        <w:spacing w:before="120"/>
        <w:rPr>
          <w:rFonts w:ascii="Arial" w:hAnsi="Arial" w:cs="Arial"/>
          <w:color w:val="auto"/>
          <w:spacing w:val="20"/>
          <w:sz w:val="32"/>
          <w:szCs w:val="32"/>
          <w:highlight w:val="none"/>
          <w:u w:val="single"/>
        </w:rPr>
      </w:pPr>
      <w:r>
        <w:rPr>
          <w:rFonts w:ascii="Arial" w:hAnsi="Arial" w:cs="Arial"/>
          <w:b/>
          <w:bCs/>
          <w:color w:val="auto"/>
          <w:spacing w:val="20"/>
          <w:sz w:val="32"/>
          <w:szCs w:val="32"/>
          <w:highlight w:val="none"/>
        </w:rPr>
        <w:t xml:space="preserve">采 购 人：</w:t>
      </w:r>
      <w:r>
        <w:rPr>
          <w:rFonts w:hint="eastAsia" w:ascii="Arial" w:hAnsi="Arial" w:cs="Arial"/>
          <w:b/>
          <w:bCs/>
          <w:color w:val="auto"/>
          <w:spacing w:val="20"/>
          <w:sz w:val="32"/>
          <w:szCs w:val="32"/>
          <w:highlight w:val="none"/>
          <w:u w:val="single"/>
          <w:lang w:val="en-GB" w:eastAsia="zh-CN"/>
        </w:rPr>
        <w:t xml:space="preserve">靖江经济技术开发区管理委员会</w:t>
      </w:r>
      <w:r>
        <w:rPr>
          <w:rFonts w:hint="eastAsia" w:ascii="Arial" w:hAnsi="Arial" w:cs="Arial"/>
          <w:b/>
          <w:bCs/>
          <w:color w:val="auto"/>
          <w:spacing w:val="20"/>
          <w:sz w:val="32"/>
          <w:szCs w:val="32"/>
          <w:highlight w:val="none"/>
          <w:u w:val="single"/>
          <w:lang w:val="en-GB"/>
        </w:rPr>
        <w:t xml:space="preserve"> </w:t>
      </w:r>
      <w:r>
        <w:rPr>
          <w:rFonts w:hint="eastAsia" w:ascii="Arial" w:hAnsi="Arial" w:cs="Arial"/>
          <w:b/>
          <w:bCs/>
          <w:color w:val="auto"/>
          <w:spacing w:val="20"/>
          <w:sz w:val="32"/>
          <w:szCs w:val="32"/>
          <w:highlight w:val="none"/>
          <w:u w:val="single"/>
        </w:rPr>
        <w:t xml:space="preserve"> </w:t>
      </w:r>
      <w:r>
        <w:rPr>
          <w:color w:val="auto"/>
          <w:highlight w:val="none"/>
        </w:rPr>
      </w:r>
    </w:p>
    <w:p>
      <w:pPr>
        <w:ind w:firstLine="1084"/>
        <w:jc w:val="left"/>
        <w:spacing w:before="120"/>
        <w:rPr>
          <w:rFonts w:ascii="Arial" w:hAnsi="Arial" w:cs="Arial"/>
          <w:b/>
          <w:bCs/>
          <w:color w:val="auto"/>
          <w:spacing w:val="20"/>
          <w:sz w:val="32"/>
          <w:szCs w:val="32"/>
          <w:highlight w:val="none"/>
        </w:rPr>
      </w:pPr>
      <w:r>
        <w:rPr>
          <w:rFonts w:ascii="Arial" w:hAnsi="Arial" w:cs="Arial"/>
          <w:b/>
          <w:bCs/>
          <w:color w:val="auto"/>
          <w:spacing w:val="20"/>
          <w:sz w:val="32"/>
          <w:szCs w:val="32"/>
          <w:highlight w:val="none"/>
        </w:rPr>
      </w:r>
      <w:r>
        <w:rPr>
          <w:color w:val="auto"/>
          <w:highlight w:val="none"/>
        </w:rPr>
      </w:r>
    </w:p>
    <w:p>
      <w:pPr>
        <w:ind w:firstLine="1084"/>
        <w:jc w:val="left"/>
        <w:spacing w:before="120"/>
        <w:rPr>
          <w:rFonts w:ascii="Arial" w:hAnsi="Arial" w:cs="Arial"/>
          <w:b/>
          <w:bCs/>
          <w:color w:val="auto"/>
          <w:spacing w:val="20"/>
          <w:sz w:val="32"/>
          <w:szCs w:val="32"/>
          <w:highlight w:val="none"/>
          <w:u w:val="single"/>
        </w:rPr>
      </w:pPr>
      <w:r>
        <w:rPr>
          <w:rFonts w:ascii="Arial" w:hAnsi="Arial" w:cs="Arial"/>
          <w:b/>
          <w:bCs/>
          <w:color w:val="auto"/>
          <w:spacing w:val="20"/>
          <w:sz w:val="32"/>
          <w:szCs w:val="32"/>
          <w:highlight w:val="none"/>
        </w:rPr>
        <w:t xml:space="preserve">代理机构：</w:t>
      </w:r>
      <w:r>
        <w:rPr>
          <w:rFonts w:hint="eastAsia" w:ascii="Arial" w:hAnsi="Arial" w:cs="Arial"/>
          <w:b/>
          <w:bCs/>
          <w:color w:val="auto"/>
          <w:spacing w:val="20"/>
          <w:sz w:val="32"/>
          <w:szCs w:val="32"/>
          <w:highlight w:val="none"/>
          <w:u w:val="single"/>
          <w:lang w:val="en-GB"/>
        </w:rPr>
        <w:t xml:space="preserve">中证房地产评估造价集团有限公司</w:t>
      </w:r>
      <w:r>
        <w:rPr>
          <w:color w:val="auto"/>
          <w:highlight w:val="none"/>
        </w:rPr>
      </w:r>
    </w:p>
    <w:p>
      <w:pPr>
        <w:jc w:val="center"/>
        <w:rPr>
          <w:rFonts w:ascii="Arial" w:hAnsi="Arial" w:cs="Arial"/>
          <w:b/>
          <w:color w:val="auto"/>
          <w:sz w:val="28"/>
          <w:highlight w:val="none"/>
        </w:rPr>
      </w:pPr>
      <w:r>
        <w:rPr>
          <w:rFonts w:ascii="Arial" w:hAnsi="Arial" w:cs="Arial"/>
          <w:b/>
          <w:color w:val="auto"/>
          <w:sz w:val="28"/>
          <w:highlight w:val="none"/>
        </w:rPr>
      </w:r>
      <w:r>
        <w:rPr>
          <w:color w:val="auto"/>
          <w:highlight w:val="none"/>
        </w:rPr>
      </w:r>
    </w:p>
    <w:p>
      <w:pPr>
        <w:jc w:val="center"/>
        <w:rPr>
          <w:rFonts w:ascii="Arial" w:hAnsi="Arial" w:cs="Arial"/>
          <w:b/>
          <w:color w:val="auto"/>
          <w:sz w:val="44"/>
          <w:highlight w:val="none"/>
        </w:rPr>
      </w:pPr>
      <w:r>
        <w:rPr>
          <w:rFonts w:ascii="Arial" w:hAnsi="Arial" w:cs="Arial"/>
          <w:b/>
          <w:color w:val="auto"/>
          <w:sz w:val="44"/>
          <w:highlight w:val="none"/>
        </w:rPr>
      </w:r>
      <w:r>
        <w:rPr>
          <w:color w:val="auto"/>
          <w:highlight w:val="none"/>
        </w:rPr>
      </w:r>
    </w:p>
    <w:p>
      <w:pPr>
        <w:jc w:val="center"/>
        <w:rPr>
          <w:rFonts w:ascii="Arial" w:hAnsi="Arial" w:cs="Arial"/>
          <w:b/>
          <w:color w:val="auto"/>
          <w:sz w:val="32"/>
          <w:szCs w:val="32"/>
          <w:highlight w:val="none"/>
          <w:u w:val="single"/>
        </w:rPr>
      </w:pPr>
      <w:r>
        <w:rPr>
          <w:rFonts w:ascii="Arial" w:hAnsi="Arial" w:cs="Arial"/>
          <w:b/>
          <w:color w:val="auto"/>
          <w:sz w:val="32"/>
          <w:szCs w:val="32"/>
          <w:highlight w:val="none"/>
          <w:u w:val="single"/>
        </w:rPr>
        <w:t xml:space="preserve"> 20</w:t>
      </w:r>
      <w:r>
        <w:rPr>
          <w:rFonts w:hint="eastAsia" w:ascii="Arial" w:hAnsi="Arial" w:cs="Arial"/>
          <w:b/>
          <w:color w:val="auto"/>
          <w:sz w:val="32"/>
          <w:szCs w:val="32"/>
          <w:highlight w:val="none"/>
          <w:u w:val="single"/>
        </w:rPr>
        <w:t xml:space="preserve">24</w:t>
      </w:r>
      <w:r>
        <w:rPr>
          <w:rFonts w:ascii="Arial" w:hAnsi="Arial" w:cs="Arial"/>
          <w:b/>
          <w:color w:val="auto"/>
          <w:sz w:val="32"/>
          <w:szCs w:val="32"/>
          <w:highlight w:val="none"/>
          <w:u w:val="single"/>
        </w:rPr>
        <w:t xml:space="preserve"> </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rPr>
        <w:t xml:space="preserve"> </w:t>
      </w:r>
      <w:r>
        <w:rPr>
          <w:rFonts w:hint="eastAsia" w:ascii="Arial" w:hAnsi="Arial" w:cs="Arial"/>
          <w:b/>
          <w:color w:val="auto"/>
          <w:sz w:val="32"/>
          <w:szCs w:val="32"/>
          <w:highlight w:val="none"/>
          <w:u w:val="single"/>
          <w:lang w:val="en-US" w:eastAsia="zh-CN"/>
        </w:rPr>
        <w:t xml:space="preserve">6</w:t>
      </w:r>
      <w:r>
        <w:rPr>
          <w:rFonts w:hint="eastAsia" w:ascii="Arial" w:hAnsi="Arial" w:cs="Arial"/>
          <w:b/>
          <w:color w:val="auto"/>
          <w:sz w:val="32"/>
          <w:szCs w:val="32"/>
          <w:highlight w:val="none"/>
          <w:u w:val="none"/>
        </w:rPr>
        <w:t xml:space="preserve">月</w:t>
      </w:r>
      <w:r>
        <w:rPr>
          <w:color w:val="auto"/>
          <w:highlight w:val="none"/>
        </w:rPr>
      </w:r>
    </w:p>
    <w:p>
      <w:pPr>
        <w:jc w:val="center"/>
        <w:rPr>
          <w:rFonts w:hint="eastAsia" w:ascii="方正小标宋简体" w:hAnsi="方正小标宋_GBK"/>
          <w:b/>
          <w:bCs/>
          <w:color w:val="auto"/>
          <w:sz w:val="36"/>
          <w:szCs w:val="36"/>
          <w:highlight w:val="none"/>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outlineLvl w:val="0"/>
      </w:pPr>
      <w:r>
        <w:rPr>
          <w:color w:val="auto"/>
          <w:highlight w:val="none"/>
        </w:rPr>
      </w:r>
      <w:bookmarkStart w:id="0" w:name="_Toc16576"/>
      <w:r>
        <w:rPr>
          <w:color w:val="auto"/>
          <w:highlight w:val="none"/>
        </w:rPr>
      </w:r>
      <w:r>
        <w:rPr>
          <w:color w:val="auto"/>
          <w:highlight w:val="none"/>
        </w:rPr>
      </w:r>
    </w:p>
    <w:p>
      <w:pPr>
        <w:jc w:val="center"/>
        <w:rPr>
          <w:rFonts w:ascii="方正小标宋简体" w:hAnsi="方正小标宋_GBK" w:eastAsia="方正小标宋简体"/>
          <w:b/>
          <w:bCs/>
          <w:color w:val="auto"/>
          <w:sz w:val="36"/>
          <w:szCs w:val="36"/>
          <w:highlight w:val="none"/>
        </w:rPr>
        <w:outlineLvl w:val="0"/>
      </w:pPr>
      <w:r>
        <w:rPr>
          <w:rFonts w:hint="eastAsia" w:ascii="方正小标宋简体" w:hAnsi="方正小标宋_GBK"/>
          <w:b/>
          <w:bCs/>
          <w:color w:val="auto"/>
          <w:sz w:val="36"/>
          <w:szCs w:val="36"/>
          <w:highlight w:val="none"/>
        </w:rPr>
        <w:t xml:space="preserve">靖江市政府采购不见面交易相关提醒</w:t>
      </w:r>
      <w:bookmarkEnd w:id="0"/>
      <w:r>
        <w:rPr>
          <w:color w:val="auto"/>
          <w:highlight w:val="none"/>
        </w:rPr>
      </w:r>
      <w:r>
        <w:rPr>
          <w:color w:val="auto"/>
          <w:highlight w:val="none"/>
        </w:rP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rPr>
          <w:color w:val="auto"/>
          <w:highlight w:val="none"/>
        </w:rPr>
      </w:r>
    </w:p>
    <w:p>
      <w:pPr>
        <w:pStyle w:val="1177"/>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今年我市已正式启用“苏采云”系统，目前已全面开通政府采购线上合同信用融资（以下简称“政采贷”）功能。成交供应商可凭政府采购合同在中征平台发起贷款申请贷款。</w:t>
      </w:r>
      <w:r>
        <w:rPr>
          <w:color w:val="auto"/>
          <w:highlight w:val="none"/>
        </w:rPr>
      </w:r>
    </w:p>
    <w:p>
      <w:pPr>
        <w:pStyle w:val="1177"/>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1.“政采贷”业务流程</w:t>
      </w:r>
      <w:r>
        <w:rPr>
          <w:color w:val="auto"/>
          <w:highlight w:val="none"/>
        </w:rPr>
      </w:r>
    </w:p>
    <w:p>
      <w:pPr>
        <w:pStyle w:val="1177"/>
        <w:jc w:val="both"/>
        <w:spacing w:beforeAutospacing="0" w:afterAutospacing="0"/>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5267325" cy="1553210"/>
                <wp:effectExtent l="0" t="0" r="5715" b="127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21"/>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21" o:title=""/>
              </v:shape>
            </w:pict>
          </mc:Fallback>
        </mc:AlternateContent>
      </w:r>
      <w:r>
        <w:rPr>
          <w:color w:val="auto"/>
          <w:highlight w:val="none"/>
        </w:rPr>
      </w:r>
    </w:p>
    <w:p>
      <w:pPr>
        <w:pStyle w:val="1177"/>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2.常见问题</w:t>
      </w:r>
      <w:r>
        <w:rPr>
          <w:color w:val="auto"/>
          <w:highlight w:val="none"/>
        </w:rPr>
      </w:r>
    </w:p>
    <w:p>
      <w:pPr>
        <w:pStyle w:val="117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Q1：哪些企业能申请“政采贷”？</w:t>
      </w:r>
      <w:r>
        <w:rPr>
          <w:color w:val="auto"/>
          <w:highlight w:val="none"/>
        </w:rPr>
      </w:r>
    </w:p>
    <w:p>
      <w:pPr>
        <w:pStyle w:val="117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答：江苏省内采用国库集中支付的政府采购项目的中标供应商，可凭政府采购合同申请"政采贷"。</w:t>
      </w:r>
      <w:r>
        <w:rPr>
          <w:color w:val="auto"/>
          <w:highlight w:val="none"/>
        </w:rPr>
      </w:r>
    </w:p>
    <w:p>
      <w:pPr>
        <w:pStyle w:val="117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Q2：供应商在哪里申请“政采贷”？</w:t>
      </w:r>
      <w:r>
        <w:rPr>
          <w:color w:val="auto"/>
          <w:highlight w:val="none"/>
        </w:rPr>
      </w:r>
    </w:p>
    <w:p>
      <w:pPr>
        <w:pStyle w:val="117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答：中标供应商在“中征应收账款融资服务平台”（简称“中征平台”）上向意向银行发起融资申请</w:t>
      </w:r>
      <w:r>
        <w:rPr>
          <w:color w:val="auto"/>
          <w:highlight w:val="none"/>
        </w:rPr>
      </w:r>
    </w:p>
    <w:p>
      <w:pPr>
        <w:pStyle w:val="117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Q3：中标供应商要注意什么？</w:t>
      </w:r>
      <w:r>
        <w:rPr>
          <w:color w:val="auto"/>
          <w:highlight w:val="none"/>
        </w:rPr>
      </w:r>
    </w:p>
    <w:p>
      <w:pPr>
        <w:pStyle w:val="117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答：中标供应商要加强和采购单位的沟通协调，尽早确定融资需求。需要“政采贷”融资的，政府采购合同付款账号应当空置。</w:t>
      </w:r>
      <w:r>
        <w:rPr>
          <w:color w:val="auto"/>
          <w:highlight w:val="none"/>
        </w:rPr>
      </w:r>
    </w:p>
    <w:p>
      <w:pPr>
        <w:pStyle w:val="117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Q4：采购单位要做什么？</w:t>
      </w:r>
      <w:r>
        <w:rPr>
          <w:color w:val="auto"/>
          <w:highlight w:val="none"/>
        </w:rPr>
      </w:r>
    </w:p>
    <w:p>
      <w:pPr>
        <w:pStyle w:val="117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color w:val="auto"/>
          <w:highlight w:val="none"/>
        </w:rPr>
      </w:r>
    </w:p>
    <w:p>
      <w:pPr>
        <w:pStyle w:val="117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Q5：“政采贷”融资失败怎么办？</w:t>
      </w:r>
      <w:r>
        <w:rPr>
          <w:color w:val="auto"/>
          <w:highlight w:val="none"/>
        </w:rPr>
      </w:r>
    </w:p>
    <w:p>
      <w:pPr>
        <w:pStyle w:val="117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color w:val="auto"/>
          <w:highlight w:val="none"/>
        </w:rPr>
      </w:r>
    </w:p>
    <w:p>
      <w:pPr>
        <w:pStyle w:val="1177"/>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3.网址及联系方式</w:t>
      </w:r>
      <w:r>
        <w:rPr>
          <w:color w:val="auto"/>
          <w:highlight w:val="none"/>
        </w:rPr>
      </w:r>
    </w:p>
    <w:p>
      <w:pPr>
        <w:pStyle w:val="117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ascii="宋体" w:hAnsi="宋体" w:eastAsia="宋体" w:cs="宋体"/>
          <w:color w:val="auto"/>
          <w:szCs w:val="24"/>
          <w:highlight w:val="none"/>
        </w:rPr>
        <w:t xml:space="preserve">http://www.ccgp-jiangsu.gov.cn/jiangsu/paying.html</w:t>
      </w:r>
      <w:r>
        <w:rPr>
          <w:rFonts w:hint="eastAsia" w:ascii="宋体" w:hAnsi="宋体" w:eastAsia="宋体" w:cs="宋体"/>
          <w:color w:val="auto"/>
          <w:szCs w:val="24"/>
          <w:highlight w:val="none"/>
        </w:rPr>
        <w:fldChar w:fldCharType="end"/>
      </w:r>
      <w:r>
        <w:rPr>
          <w:color w:val="auto"/>
          <w:highlight w:val="none"/>
        </w:rPr>
      </w:r>
    </w:p>
    <w:p>
      <w:pPr>
        <w:pStyle w:val="1177"/>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ascii="宋体" w:hAnsi="宋体" w:eastAsia="宋体" w:cs="宋体"/>
          <w:color w:val="auto"/>
          <w:szCs w:val="24"/>
          <w:highlight w:val="none"/>
        </w:rPr>
        <w:t xml:space="preserve">https://www.crcrfsp.com/</w:t>
      </w:r>
      <w:r>
        <w:rPr>
          <w:rFonts w:hint="eastAsia" w:ascii="宋体" w:hAnsi="宋体" w:eastAsia="宋体" w:cs="宋体"/>
          <w:color w:val="auto"/>
          <w:szCs w:val="24"/>
          <w:highlight w:val="none"/>
        </w:rPr>
        <w:fldChar w:fldCharType="end"/>
      </w:r>
      <w:r>
        <w:rPr>
          <w:color w:val="auto"/>
          <w:highlight w:val="none"/>
        </w:rPr>
      </w:r>
    </w:p>
    <w:p>
      <w:pPr>
        <w:pStyle w:val="1177"/>
        <w:jc w:val="both"/>
        <w:spacing w:beforeAutospacing="0" w:afterAutospacing="0" w:line="400" w:lineRule="exact"/>
        <w:rPr>
          <w:rFonts w:ascii="宋体" w:hAnsi="宋体" w:cs="宋体"/>
          <w:color w:val="auto"/>
          <w:spacing w:val="1"/>
          <w:szCs w:val="24"/>
          <w:highlight w:val="none"/>
        </w:rPr>
      </w:pPr>
      <w:r>
        <w:rPr>
          <w:rFonts w:hint="eastAsia" w:ascii="宋体" w:hAnsi="宋体" w:eastAsia="宋体" w:cs="宋体"/>
          <w:color w:val="auto"/>
          <w:szCs w:val="24"/>
          <w:highlight w:val="none"/>
        </w:rPr>
        <w:t xml:space="preserve"> 联系电话：0523-84821917</w:t>
      </w:r>
      <w:r>
        <w:rPr>
          <w:color w:val="auto"/>
          <w:highlight w:val="none"/>
        </w:rP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rPr>
        <w:t xml:space="preserve">二、不见面交易投标文件制作提交说明</w:t>
      </w:r>
      <w:r>
        <w:rPr>
          <w:color w:val="auto"/>
          <w:highlight w:val="none"/>
        </w:rP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b/>
          <w:bCs/>
          <w:color w:val="auto"/>
          <w:sz w:val="24"/>
          <w:szCs w:val="24"/>
          <w:highlight w:val="none"/>
          <w:lang w:bidi="ar"/>
        </w:rPr>
        <w:t xml:space="preserve">1.业务流程</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auto"/>
          <w:highlight w:val="none"/>
        </w:rP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b/>
          <w:bCs/>
          <w:color w:val="auto"/>
          <w:sz w:val="24"/>
          <w:szCs w:val="24"/>
          <w:highlight w:val="none"/>
          <w:lang w:bidi="ar"/>
        </w:rPr>
        <w:t xml:space="preserve">2.苏采云资料</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rPr>
          <w:color w:val="auto"/>
          <w:highlight w:val="none"/>
        </w:rPr>
      </w:r>
    </w:p>
    <w:p>
      <w:pPr>
        <w:spacing w:line="360" w:lineRule="auto"/>
        <w:rPr>
          <w:rFonts w:ascii="宋体" w:hAnsi="宋体" w:cs="宋体"/>
          <w:b/>
          <w:color w:val="auto"/>
          <w:sz w:val="30"/>
          <w:szCs w:val="30"/>
          <w:highlight w:val="none"/>
        </w:rPr>
      </w:pPr>
      <w:r>
        <w:rPr>
          <w:rFonts w:hint="eastAsia" w:ascii="宋体" w:hAnsi="宋体" w:cs="宋体"/>
          <w:color w:val="auto"/>
          <w:sz w:val="24"/>
          <w:szCs w:val="24"/>
          <w:highlight w:val="none"/>
        </w:rPr>
        <w:t xml:space="preserve">http://www.ccgp-jiangsu.gov.cn/jiangsu/zlxz/index.html</w:t>
      </w:r>
      <w:r>
        <w:rPr>
          <w:color w:val="auto"/>
          <w:highlight w:val="none"/>
        </w:rPr>
      </w:r>
    </w:p>
    <w:p>
      <w:pPr>
        <w:numPr>
          <w:ilvl w:val="0"/>
          <w:numId w:val="2"/>
        </w:numPr>
        <w:ind w:firstLine="562"/>
        <w:jc w:val="left"/>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CA数字证书”的获取与更换: </w:t>
      </w:r>
      <w:r>
        <w:rPr>
          <w:color w:val="auto"/>
          <w:highlight w:val="none"/>
        </w:rP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color w:val="auto"/>
          <w:highlight w:val="none"/>
        </w:rP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rPr>
          <w:color w:val="auto"/>
          <w:highlight w:val="none"/>
        </w:rP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rPr>
          <w:color w:val="auto"/>
          <w:highlight w:val="none"/>
        </w:rP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rPr>
          <w:color w:val="auto"/>
          <w:highlight w:val="none"/>
        </w:rP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如潜在供应商未按上述要求操作，将自行承担所产生的风险。</w:t>
      </w:r>
      <w:r>
        <w:rPr>
          <w:color w:val="auto"/>
          <w:highlight w:val="none"/>
        </w:rPr>
      </w:r>
    </w:p>
    <w:p>
      <w:pPr>
        <w:ind w:firstLine="562"/>
        <w:jc w:val="left"/>
        <w:spacing w:line="520" w:lineRule="exact"/>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r>
      <w:r>
        <w:rPr>
          <w:color w:val="auto"/>
          <w:highlight w:val="none"/>
        </w:rP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zh-CN" w:bidi="ar"/>
        </w:rPr>
        <w:br w:type="page" w:clear="all"/>
      </w:r>
      <w:r>
        <w:rPr>
          <w:color w:val="auto"/>
          <w:highlight w:val="none"/>
        </w:rPr>
      </w:r>
    </w:p>
    <w:p>
      <w:pPr>
        <w:jc w:val="center"/>
        <w:rPr>
          <w:rFonts w:ascii="Arial" w:hAnsi="Arial" w:cs="Arial"/>
          <w:b/>
          <w:color w:val="auto"/>
          <w:sz w:val="44"/>
          <w:szCs w:val="44"/>
          <w:highlight w:val="none"/>
        </w:rPr>
      </w:pPr>
      <w:r>
        <w:rPr>
          <w:rFonts w:ascii="Arial" w:hAnsi="Arial" w:cs="Arial"/>
          <w:b/>
          <w:color w:val="auto"/>
          <w:sz w:val="44"/>
          <w:szCs w:val="44"/>
          <w:highlight w:val="none"/>
          <w:lang w:val="zh-CN"/>
        </w:rPr>
        <w:t xml:space="preserve">目</w:t>
      </w:r>
      <w:r>
        <w:rPr>
          <w:rFonts w:hint="eastAsia" w:ascii="Arial" w:hAnsi="Arial" w:cs="Arial"/>
          <w:b/>
          <w:color w:val="auto"/>
          <w:sz w:val="44"/>
          <w:szCs w:val="44"/>
          <w:highlight w:val="none"/>
        </w:rPr>
        <w:t xml:space="preserve">  </w:t>
      </w:r>
      <w:r>
        <w:rPr>
          <w:rFonts w:ascii="Arial" w:hAnsi="Arial" w:cs="Arial"/>
          <w:b/>
          <w:color w:val="auto"/>
          <w:sz w:val="44"/>
          <w:szCs w:val="44"/>
          <w:highlight w:val="none"/>
          <w:lang w:val="zh-CN"/>
        </w:rPr>
        <w:t xml:space="preserve">录</w:t>
      </w:r>
      <w:r>
        <w:rPr>
          <w:color w:val="auto"/>
          <w:highlight w:val="none"/>
        </w:rPr>
      </w:r>
    </w:p>
    <w:p>
      <w:pPr>
        <w:jc w:val="center"/>
        <w:rPr>
          <w:rFonts w:ascii="Arial" w:hAnsi="Arial" w:cs="Arial"/>
          <w:color w:val="auto"/>
          <w:highlight w:val="none"/>
        </w:rPr>
      </w:pPr>
      <w:r>
        <w:rPr>
          <w:rFonts w:ascii="Arial" w:hAnsi="Arial" w:cs="Arial"/>
          <w:color w:val="auto"/>
          <w:highlight w:val="none"/>
        </w:rPr>
      </w:r>
      <w:r>
        <w:rPr>
          <w:color w:val="auto"/>
          <w:highlight w:val="none"/>
        </w:rPr>
      </w:r>
    </w:p>
    <w:p>
      <w:pPr>
        <w:pStyle w:val="929"/>
        <w:tabs>
          <w:tab w:val="right" w:pos="9071" w:leader="dot"/>
        </w:tabs>
        <w:rPr>
          <w:color w:val="auto"/>
          <w:sz w:val="28"/>
          <w:szCs w:val="28"/>
          <w:highlight w:val="none"/>
        </w:rPr>
      </w:pPr>
      <w:r>
        <w:rPr>
          <w:rFonts w:hint="eastAsia" w:ascii="宋体" w:hAnsi="宋体" w:cs="宋体"/>
          <w:color w:val="auto"/>
          <w:sz w:val="36"/>
          <w:szCs w:val="48"/>
          <w:highlight w:val="none"/>
        </w:rPr>
        <w:fldChar w:fldCharType="begin"/>
      </w:r>
      <w:r>
        <w:rPr>
          <w:rFonts w:hint="eastAsia" w:ascii="宋体" w:hAnsi="宋体" w:cs="宋体"/>
          <w:color w:val="auto"/>
          <w:sz w:val="36"/>
          <w:szCs w:val="48"/>
          <w:highlight w:val="none"/>
        </w:rPr>
        <w:instrText xml:space="preserve">TOC \o "1-1" \h \u </w:instrText>
      </w:r>
      <w:r>
        <w:rPr>
          <w:rFonts w:hint="eastAsia" w:ascii="宋体" w:hAnsi="宋体" w:cs="宋体"/>
          <w:color w:val="auto"/>
          <w:sz w:val="36"/>
          <w:szCs w:val="48"/>
          <w:highlight w:val="none"/>
        </w:rPr>
        <w:fldChar w:fldCharType="separate"/>
      </w:r>
      <w:r>
        <w:rPr>
          <w:color w:val="auto"/>
          <w:highlight w:val="none"/>
        </w:rPr>
        <w:fldChar w:fldCharType="begin"/>
      </w:r>
      <w:r>
        <w:rPr>
          <w:color w:val="auto"/>
          <w:highlight w:val="none"/>
        </w:rPr>
        <w:instrText xml:space="preserve"> HYPERLINK \l "_Toc18117" </w:instrText>
      </w:r>
      <w:r>
        <w:rPr>
          <w:color w:val="auto"/>
          <w:highlight w:val="none"/>
        </w:rPr>
        <w:fldChar w:fldCharType="separate"/>
      </w:r>
      <w:r>
        <w:rPr>
          <w:rFonts w:hint="eastAsia" w:ascii="Arial" w:hAnsi="Arial" w:cs="Arial"/>
          <w:color w:val="auto"/>
          <w:sz w:val="28"/>
          <w:szCs w:val="28"/>
          <w:highlight w:val="none"/>
        </w:rPr>
        <w:t xml:space="preserve">第一章 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_Toc18117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rPr>
          <w:color w:val="auto"/>
          <w:highlight w:val="none"/>
        </w:rPr>
      </w:r>
    </w:p>
    <w:p>
      <w:pPr>
        <w:pStyle w:val="929"/>
        <w:tabs>
          <w:tab w:val="right" w:pos="9071" w:leader="dot"/>
        </w:tabs>
        <w:rPr>
          <w:color w:val="auto"/>
          <w:sz w:val="28"/>
          <w:szCs w:val="28"/>
          <w:highlight w:val="none"/>
        </w:rPr>
      </w:pPr>
      <w:r>
        <w:rPr>
          <w:color w:val="auto"/>
          <w:highlight w:val="none"/>
        </w:rPr>
        <w:fldChar w:fldCharType="begin"/>
      </w:r>
      <w:r>
        <w:rPr>
          <w:color w:val="auto"/>
          <w:highlight w:val="none"/>
        </w:rPr>
        <w:instrText xml:space="preserve"> HYPERLINK \l "_Toc12515" </w:instrText>
      </w:r>
      <w:r>
        <w:rPr>
          <w:color w:val="auto"/>
          <w:highlight w:val="none"/>
        </w:rPr>
        <w:fldChar w:fldCharType="separate"/>
      </w:r>
      <w:r>
        <w:rPr>
          <w:rFonts w:ascii="Arial" w:hAnsi="Arial" w:cs="Arial"/>
          <w:color w:val="auto"/>
          <w:sz w:val="28"/>
          <w:szCs w:val="28"/>
          <w:highlight w:val="none"/>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_Toc12515 \h </w:instrText>
      </w:r>
      <w:r>
        <w:rPr>
          <w:color w:val="auto"/>
          <w:sz w:val="28"/>
          <w:szCs w:val="28"/>
          <w:highlight w:val="none"/>
        </w:rPr>
        <w:fldChar w:fldCharType="separate"/>
      </w:r>
      <w:r>
        <w:rPr>
          <w:color w:val="auto"/>
          <w:sz w:val="28"/>
          <w:szCs w:val="28"/>
          <w:highlight w:val="none"/>
        </w:rPr>
        <w:t xml:space="preserve">8</w:t>
      </w:r>
      <w:r>
        <w:rPr>
          <w:color w:val="auto"/>
          <w:sz w:val="28"/>
          <w:szCs w:val="28"/>
          <w:highlight w:val="none"/>
        </w:rPr>
        <w:fldChar w:fldCharType="end"/>
      </w:r>
      <w:r>
        <w:rPr>
          <w:color w:val="auto"/>
          <w:sz w:val="28"/>
          <w:szCs w:val="28"/>
          <w:highlight w:val="none"/>
        </w:rPr>
        <w:fldChar w:fldCharType="end"/>
      </w:r>
      <w:r>
        <w:rPr>
          <w:color w:val="auto"/>
          <w:highlight w:val="none"/>
        </w:rPr>
      </w:r>
    </w:p>
    <w:p>
      <w:pPr>
        <w:pStyle w:val="929"/>
        <w:tabs>
          <w:tab w:val="right" w:pos="9071" w:leader="dot"/>
        </w:tabs>
        <w:rPr>
          <w:color w:val="auto"/>
          <w:sz w:val="28"/>
          <w:szCs w:val="28"/>
          <w:highlight w:val="none"/>
        </w:rPr>
      </w:pPr>
      <w:r>
        <w:rPr>
          <w:color w:val="auto"/>
          <w:highlight w:val="none"/>
        </w:rPr>
        <w:fldChar w:fldCharType="begin"/>
      </w:r>
      <w:r>
        <w:rPr>
          <w:color w:val="auto"/>
          <w:highlight w:val="none"/>
        </w:rPr>
        <w:instrText xml:space="preserve"> HYPERLINK \l "_Toc27729" </w:instrText>
      </w:r>
      <w:r>
        <w:rPr>
          <w:color w:val="auto"/>
          <w:highlight w:val="none"/>
        </w:rPr>
        <w:fldChar w:fldCharType="separate"/>
      </w:r>
      <w:r>
        <w:rPr>
          <w:rFonts w:ascii="Arial" w:hAnsi="Arial" w:cs="Arial"/>
          <w:color w:val="auto"/>
          <w:sz w:val="28"/>
          <w:szCs w:val="40"/>
          <w:highlight w:val="none"/>
        </w:rPr>
        <w:t xml:space="preserve">第三章 合同一般条款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_Toc27729 \h </w:instrText>
      </w:r>
      <w:r>
        <w:rPr>
          <w:color w:val="auto"/>
          <w:sz w:val="28"/>
          <w:szCs w:val="28"/>
          <w:highlight w:val="none"/>
        </w:rPr>
        <w:fldChar w:fldCharType="separate"/>
      </w:r>
      <w:r>
        <w:rPr>
          <w:color w:val="auto"/>
          <w:sz w:val="28"/>
          <w:szCs w:val="28"/>
          <w:highlight w:val="none"/>
        </w:rPr>
        <w:t xml:space="preserve">24</w:t>
      </w:r>
      <w:r>
        <w:rPr>
          <w:color w:val="auto"/>
          <w:sz w:val="28"/>
          <w:szCs w:val="28"/>
          <w:highlight w:val="none"/>
        </w:rPr>
        <w:fldChar w:fldCharType="end"/>
      </w:r>
      <w:r>
        <w:rPr>
          <w:color w:val="auto"/>
          <w:sz w:val="28"/>
          <w:szCs w:val="28"/>
          <w:highlight w:val="none"/>
        </w:rPr>
        <w:fldChar w:fldCharType="end"/>
      </w:r>
      <w:r>
        <w:rPr>
          <w:color w:val="auto"/>
          <w:highlight w:val="none"/>
        </w:rPr>
      </w:r>
    </w:p>
    <w:p>
      <w:pPr>
        <w:pStyle w:val="929"/>
        <w:tabs>
          <w:tab w:val="right" w:pos="9071" w:leader="dot"/>
        </w:tabs>
        <w:rPr>
          <w:color w:val="auto"/>
          <w:sz w:val="28"/>
          <w:szCs w:val="28"/>
          <w:highlight w:val="none"/>
        </w:rPr>
      </w:pPr>
      <w:r>
        <w:rPr>
          <w:color w:val="auto"/>
          <w:highlight w:val="none"/>
        </w:rPr>
        <w:fldChar w:fldCharType="begin"/>
      </w:r>
      <w:r>
        <w:rPr>
          <w:color w:val="auto"/>
          <w:highlight w:val="none"/>
        </w:rPr>
        <w:instrText xml:space="preserve"> HYPERLINK \l "_Toc24708" </w:instrText>
      </w:r>
      <w:r>
        <w:rPr>
          <w:color w:val="auto"/>
          <w:highlight w:val="none"/>
        </w:rPr>
        <w:fldChar w:fldCharType="separate"/>
      </w:r>
      <w:r>
        <w:rPr>
          <w:rFonts w:hint="eastAsia" w:ascii="Arial" w:hAnsi="Arial" w:cs="Arial"/>
          <w:color w:val="auto"/>
          <w:sz w:val="28"/>
          <w:szCs w:val="40"/>
          <w:highlight w:val="none"/>
        </w:rPr>
        <w:t xml:space="preserve">第四章 合同格式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_Toc24708 \h </w:instrText>
      </w:r>
      <w:r>
        <w:rPr>
          <w:color w:val="auto"/>
          <w:sz w:val="28"/>
          <w:szCs w:val="28"/>
          <w:highlight w:val="none"/>
        </w:rPr>
        <w:fldChar w:fldCharType="separate"/>
      </w:r>
      <w:r>
        <w:rPr>
          <w:color w:val="auto"/>
          <w:sz w:val="28"/>
          <w:szCs w:val="28"/>
          <w:highlight w:val="none"/>
        </w:rPr>
        <w:t xml:space="preserve">27</w:t>
      </w:r>
      <w:r>
        <w:rPr>
          <w:color w:val="auto"/>
          <w:sz w:val="28"/>
          <w:szCs w:val="28"/>
          <w:highlight w:val="none"/>
        </w:rPr>
        <w:fldChar w:fldCharType="end"/>
      </w:r>
      <w:r>
        <w:rPr>
          <w:color w:val="auto"/>
          <w:sz w:val="28"/>
          <w:szCs w:val="28"/>
          <w:highlight w:val="none"/>
        </w:rPr>
        <w:fldChar w:fldCharType="end"/>
      </w:r>
      <w:r>
        <w:rPr>
          <w:color w:val="auto"/>
          <w:highlight w:val="none"/>
        </w:rPr>
      </w:r>
    </w:p>
    <w:p>
      <w:pPr>
        <w:pStyle w:val="929"/>
        <w:tabs>
          <w:tab w:val="right" w:pos="9071" w:leader="dot"/>
        </w:tabs>
        <w:rPr>
          <w:color w:val="auto"/>
          <w:sz w:val="28"/>
          <w:szCs w:val="28"/>
          <w:highlight w:val="none"/>
        </w:rPr>
      </w:pPr>
      <w:r>
        <w:rPr>
          <w:color w:val="auto"/>
          <w:highlight w:val="none"/>
        </w:rPr>
        <w:fldChar w:fldCharType="begin"/>
      </w:r>
      <w:r>
        <w:rPr>
          <w:color w:val="auto"/>
          <w:highlight w:val="none"/>
        </w:rPr>
        <w:instrText xml:space="preserve"> HYPERLINK \l "_Toc24443" </w:instrText>
      </w:r>
      <w:r>
        <w:rPr>
          <w:color w:val="auto"/>
          <w:highlight w:val="none"/>
        </w:rPr>
        <w:fldChar w:fldCharType="separate"/>
      </w:r>
      <w:r>
        <w:rPr>
          <w:rFonts w:hint="eastAsia" w:ascii="宋体" w:hAnsi="宋体" w:cs="宋体"/>
          <w:color w:val="auto"/>
          <w:sz w:val="28"/>
          <w:szCs w:val="32"/>
          <w:highlight w:val="none"/>
        </w:rPr>
        <w:t xml:space="preserve">合同协议书</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_Toc24443 \h </w:instrText>
      </w:r>
      <w:r>
        <w:rPr>
          <w:color w:val="auto"/>
          <w:sz w:val="28"/>
          <w:szCs w:val="28"/>
          <w:highlight w:val="none"/>
        </w:rPr>
        <w:fldChar w:fldCharType="separate"/>
      </w:r>
      <w:r>
        <w:rPr>
          <w:color w:val="auto"/>
          <w:sz w:val="28"/>
          <w:szCs w:val="28"/>
          <w:highlight w:val="none"/>
        </w:rPr>
        <w:t xml:space="preserve">28</w:t>
      </w:r>
      <w:r>
        <w:rPr>
          <w:color w:val="auto"/>
          <w:sz w:val="28"/>
          <w:szCs w:val="28"/>
          <w:highlight w:val="none"/>
        </w:rPr>
        <w:fldChar w:fldCharType="end"/>
      </w:r>
      <w:r>
        <w:rPr>
          <w:color w:val="auto"/>
          <w:sz w:val="28"/>
          <w:szCs w:val="28"/>
          <w:highlight w:val="none"/>
        </w:rPr>
        <w:fldChar w:fldCharType="end"/>
      </w:r>
      <w:r>
        <w:rPr>
          <w:color w:val="auto"/>
          <w:highlight w:val="none"/>
        </w:rPr>
      </w:r>
    </w:p>
    <w:p>
      <w:pPr>
        <w:pStyle w:val="929"/>
        <w:tabs>
          <w:tab w:val="right" w:pos="9071" w:leader="dot"/>
        </w:tabs>
        <w:rPr>
          <w:color w:val="auto"/>
          <w:sz w:val="28"/>
          <w:szCs w:val="28"/>
          <w:highlight w:val="none"/>
        </w:rPr>
      </w:pPr>
      <w:r>
        <w:rPr>
          <w:color w:val="auto"/>
          <w:highlight w:val="none"/>
        </w:rPr>
        <w:fldChar w:fldCharType="begin"/>
      </w:r>
      <w:r>
        <w:rPr>
          <w:color w:val="auto"/>
          <w:highlight w:val="none"/>
        </w:rPr>
        <w:instrText xml:space="preserve"> HYPERLINK \l "_Toc28819" </w:instrText>
      </w:r>
      <w:r>
        <w:rPr>
          <w:color w:val="auto"/>
          <w:highlight w:val="none"/>
        </w:rPr>
        <w:fldChar w:fldCharType="separate"/>
      </w:r>
      <w:r>
        <w:rPr>
          <w:rFonts w:hint="eastAsia"/>
          <w:color w:val="auto"/>
          <w:sz w:val="28"/>
          <w:szCs w:val="28"/>
          <w:highlight w:val="none"/>
        </w:rPr>
        <w:t xml:space="preserve">第五章 </w:t>
      </w:r>
      <w:r>
        <w:rPr>
          <w:color w:val="auto"/>
          <w:sz w:val="28"/>
          <w:szCs w:val="28"/>
          <w:highlight w:val="none"/>
        </w:rPr>
        <w:t xml:space="preserve">项目需求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_Toc28819 \h </w:instrText>
      </w:r>
      <w:r>
        <w:rPr>
          <w:color w:val="auto"/>
          <w:sz w:val="28"/>
          <w:szCs w:val="28"/>
          <w:highlight w:val="none"/>
        </w:rPr>
        <w:fldChar w:fldCharType="separate"/>
      </w:r>
      <w:r>
        <w:rPr>
          <w:color w:val="auto"/>
          <w:sz w:val="28"/>
          <w:szCs w:val="28"/>
          <w:highlight w:val="none"/>
        </w:rPr>
        <w:t xml:space="preserve">32</w:t>
      </w:r>
      <w:r>
        <w:rPr>
          <w:color w:val="auto"/>
          <w:sz w:val="28"/>
          <w:szCs w:val="28"/>
          <w:highlight w:val="none"/>
        </w:rPr>
        <w:fldChar w:fldCharType="end"/>
      </w:r>
      <w:r>
        <w:rPr>
          <w:color w:val="auto"/>
          <w:sz w:val="28"/>
          <w:szCs w:val="28"/>
          <w:highlight w:val="none"/>
        </w:rPr>
        <w:fldChar w:fldCharType="end"/>
      </w:r>
      <w:r>
        <w:rPr>
          <w:color w:val="auto"/>
          <w:highlight w:val="none"/>
        </w:rPr>
      </w:r>
    </w:p>
    <w:p>
      <w:pPr>
        <w:pStyle w:val="929"/>
        <w:tabs>
          <w:tab w:val="right" w:pos="9071" w:leader="dot"/>
        </w:tabs>
        <w:rPr>
          <w:color w:val="auto"/>
          <w:sz w:val="28"/>
          <w:szCs w:val="28"/>
          <w:highlight w:val="none"/>
        </w:rPr>
      </w:pPr>
      <w:r>
        <w:rPr>
          <w:color w:val="auto"/>
          <w:highlight w:val="none"/>
        </w:rPr>
        <w:fldChar w:fldCharType="begin"/>
      </w:r>
      <w:r>
        <w:rPr>
          <w:color w:val="auto"/>
          <w:highlight w:val="none"/>
        </w:rPr>
        <w:instrText xml:space="preserve"> HYPERLINK \l "_Toc28991" </w:instrText>
      </w:r>
      <w:r>
        <w:rPr>
          <w:color w:val="auto"/>
          <w:highlight w:val="none"/>
        </w:rPr>
        <w:fldChar w:fldCharType="separate"/>
      </w:r>
      <w:r>
        <w:rPr>
          <w:rFonts w:ascii="Arial" w:hAnsi="Arial" w:cs="Arial"/>
          <w:color w:val="auto"/>
          <w:sz w:val="28"/>
          <w:szCs w:val="28"/>
          <w:highlight w:val="none"/>
        </w:rPr>
        <w:t xml:space="preserve">第六章 评标办法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_Toc28991 \h </w:instrText>
      </w:r>
      <w:r>
        <w:rPr>
          <w:color w:val="auto"/>
          <w:sz w:val="28"/>
          <w:szCs w:val="28"/>
          <w:highlight w:val="none"/>
        </w:rPr>
        <w:fldChar w:fldCharType="separate"/>
      </w:r>
      <w:r>
        <w:rPr>
          <w:color w:val="auto"/>
          <w:sz w:val="28"/>
          <w:szCs w:val="28"/>
          <w:highlight w:val="none"/>
        </w:rPr>
        <w:t xml:space="preserve">32</w:t>
      </w:r>
      <w:r>
        <w:rPr>
          <w:color w:val="auto"/>
          <w:sz w:val="28"/>
          <w:szCs w:val="28"/>
          <w:highlight w:val="none"/>
        </w:rPr>
        <w:fldChar w:fldCharType="end"/>
      </w:r>
      <w:r>
        <w:rPr>
          <w:color w:val="auto"/>
          <w:sz w:val="28"/>
          <w:szCs w:val="28"/>
          <w:highlight w:val="none"/>
        </w:rPr>
        <w:fldChar w:fldCharType="end"/>
      </w:r>
      <w:r>
        <w:rPr>
          <w:color w:val="auto"/>
          <w:highlight w:val="none"/>
        </w:rPr>
      </w:r>
    </w:p>
    <w:p>
      <w:pPr>
        <w:pStyle w:val="929"/>
        <w:tabs>
          <w:tab w:val="right" w:pos="9071" w:leader="dot"/>
        </w:tabs>
        <w:rPr>
          <w:color w:val="auto"/>
          <w:sz w:val="28"/>
          <w:szCs w:val="28"/>
          <w:highlight w:val="none"/>
        </w:rPr>
      </w:pPr>
      <w:r>
        <w:rPr>
          <w:color w:val="auto"/>
          <w:highlight w:val="none"/>
        </w:rPr>
        <w:fldChar w:fldCharType="begin"/>
      </w:r>
      <w:r>
        <w:rPr>
          <w:color w:val="auto"/>
          <w:highlight w:val="none"/>
        </w:rPr>
        <w:instrText xml:space="preserve"> HYPERLINK \l "_Toc12083" </w:instrText>
      </w:r>
      <w:r>
        <w:rPr>
          <w:color w:val="auto"/>
          <w:highlight w:val="none"/>
        </w:rPr>
        <w:fldChar w:fldCharType="separate"/>
      </w:r>
      <w:r>
        <w:rPr>
          <w:rFonts w:ascii="Arial" w:hAnsi="Arial" w:cs="Arial"/>
          <w:color w:val="auto"/>
          <w:sz w:val="28"/>
          <w:szCs w:val="28"/>
          <w:highlight w:val="none"/>
        </w:rPr>
        <w:t xml:space="preserve">第七章 投标文件内容及格式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_Toc12083 \h </w:instrText>
      </w:r>
      <w:r>
        <w:rPr>
          <w:color w:val="auto"/>
          <w:sz w:val="28"/>
          <w:szCs w:val="28"/>
          <w:highlight w:val="none"/>
        </w:rPr>
        <w:fldChar w:fldCharType="separate"/>
      </w:r>
      <w:r>
        <w:rPr>
          <w:color w:val="auto"/>
          <w:sz w:val="28"/>
          <w:szCs w:val="28"/>
          <w:highlight w:val="none"/>
        </w:rPr>
        <w:t xml:space="preserve">39</w:t>
      </w:r>
      <w:r>
        <w:rPr>
          <w:color w:val="auto"/>
          <w:sz w:val="28"/>
          <w:szCs w:val="28"/>
          <w:highlight w:val="none"/>
        </w:rPr>
        <w:fldChar w:fldCharType="end"/>
      </w:r>
      <w:r>
        <w:rPr>
          <w:color w:val="auto"/>
          <w:sz w:val="28"/>
          <w:szCs w:val="28"/>
          <w:highlight w:val="none"/>
        </w:rPr>
        <w:fldChar w:fldCharType="end"/>
      </w:r>
      <w:r>
        <w:rPr>
          <w:color w:val="auto"/>
          <w:highlight w:val="none"/>
        </w:rPr>
      </w:r>
    </w:p>
    <w:p>
      <w:pPr>
        <w:pStyle w:val="983"/>
        <w:spacing w:line="440" w:lineRule="exact"/>
        <w:tabs>
          <w:tab w:val="clear" w:pos="9061" w:leader="none"/>
          <w:tab w:val="right" w:pos="9071" w:leader="dot"/>
        </w:tabs>
        <w:rPr>
          <w:rFonts w:ascii="Arial" w:hAnsi="Arial" w:cs="Arial"/>
          <w:color w:val="auto"/>
          <w:highlight w:val="none"/>
        </w:rPr>
      </w:pPr>
      <w:r>
        <w:rPr>
          <w:rFonts w:hint="eastAsia" w:ascii="宋体" w:eastAsia="宋体" w:cs="宋体"/>
          <w:color w:val="auto"/>
          <w:sz w:val="28"/>
          <w:szCs w:val="48"/>
          <w:highlight w:val="none"/>
        </w:rPr>
        <w:fldChar w:fldCharType="end"/>
      </w:r>
      <w:r>
        <w:rPr>
          <w:color w:val="auto"/>
          <w:highlight w:val="none"/>
        </w:rPr>
      </w:r>
    </w:p>
    <w:p>
      <w:pPr>
        <w:pStyle w:val="1157"/>
        <w:tabs>
          <w:tab w:val="right" w:pos="9071" w:leader="dot"/>
        </w:tabs>
        <w:rPr>
          <w:rFonts w:ascii="Arial" w:hAnsi="Arial" w:cs="Arial"/>
          <w:color w:val="auto"/>
          <w:highlight w:val="none"/>
        </w:rPr>
      </w:pPr>
      <w:r>
        <w:rPr>
          <w:rFonts w:ascii="Arial" w:hAnsi="Arial" w:cs="Arial"/>
          <w:color w:val="auto"/>
          <w:highlight w:val="none"/>
        </w:rPr>
        <w:br w:type="page" w:clear="all"/>
      </w:r>
      <w:r>
        <w:rPr>
          <w:color w:val="auto"/>
          <w:highlight w:val="none"/>
        </w:rPr>
      </w:r>
    </w:p>
    <w:p>
      <w:pPr>
        <w:pStyle w:val="1132"/>
        <w:numPr>
          <w:ilvl w:val="0"/>
          <w:numId w:val="3"/>
        </w:numPr>
        <w:spacing w:line="240" w:lineRule="auto"/>
        <w:rPr>
          <w:rFonts w:ascii="Arial" w:hAnsi="Arial" w:cs="Arial"/>
          <w:color w:val="auto"/>
          <w:highlight w:val="none"/>
        </w:rPr>
      </w:pPr>
      <w:r>
        <w:rPr>
          <w:color w:val="auto"/>
          <w:highlight w:val="none"/>
        </w:rPr>
      </w:r>
      <w:bookmarkStart w:id="1" w:name="_Toc18117"/>
      <w:r>
        <w:rPr>
          <w:color w:val="auto"/>
          <w:highlight w:val="none"/>
        </w:rPr>
      </w:r>
      <w:bookmarkStart w:id="2" w:name="_Toc28191"/>
      <w:r>
        <w:rPr>
          <w:color w:val="auto"/>
          <w:highlight w:val="none"/>
        </w:rPr>
      </w:r>
      <w:bookmarkStart w:id="3" w:name="_Hlk88038389"/>
      <w:r>
        <w:rPr>
          <w:color w:val="auto"/>
          <w:highlight w:val="none"/>
        </w:rPr>
      </w:r>
      <w:bookmarkStart w:id="4" w:name="_Toc89569837"/>
      <w:r>
        <w:rPr>
          <w:rFonts w:hint="eastAsia" w:ascii="Arial" w:hAnsi="Arial" w:cs="Arial"/>
          <w:color w:val="auto"/>
          <w:highlight w:val="none"/>
        </w:rPr>
        <w:t xml:space="preserve">招标公告</w:t>
      </w:r>
      <w:bookmarkEnd w:id="1"/>
      <w:r>
        <w:rPr>
          <w:color w:val="auto"/>
          <w:highlight w:val="none"/>
        </w:rPr>
      </w:r>
      <w:bookmarkEnd w:id="2"/>
      <w:r>
        <w:rPr>
          <w:color w:val="auto"/>
          <w:highlight w:val="none"/>
        </w:rPr>
      </w:r>
      <w:r>
        <w:rPr>
          <w:color w:val="auto"/>
          <w:highlight w:val="none"/>
        </w:rPr>
      </w:r>
    </w:p>
    <w:p>
      <w:pPr>
        <w:ind w:firstLine="480"/>
        <w:spacing w:line="440" w:lineRule="exact"/>
        <w:rPr>
          <w:rFonts w:ascii="Arial" w:hAnsi="Arial" w:eastAsia="仿宋" w:cs="Arial"/>
          <w:color w:val="auto"/>
          <w:sz w:val="24"/>
          <w:szCs w:val="24"/>
          <w:highlight w:val="none"/>
        </w:rPr>
        <w:pBdr>
          <w:top w:val="single" w:color="000000" w:sz="4" w:space="1"/>
          <w:left w:val="single" w:color="000000" w:sz="4" w:space="4"/>
          <w:bottom w:val="single" w:color="000000" w:sz="4" w:space="1"/>
          <w:right w:val="single" w:color="000000" w:sz="4" w:space="4"/>
        </w:pBdr>
      </w:pPr>
      <w:r>
        <w:rPr>
          <w:rFonts w:ascii="Arial" w:hAnsi="Arial" w:eastAsia="仿宋" w:cs="Arial"/>
          <w:color w:val="auto"/>
          <w:sz w:val="24"/>
          <w:szCs w:val="24"/>
          <w:highlight w:val="none"/>
        </w:rPr>
        <w:t xml:space="preserve">项目概况</w:t>
      </w:r>
      <w:r>
        <w:rPr>
          <w:color w:val="auto"/>
          <w:highlight w:val="none"/>
        </w:rPr>
      </w:r>
    </w:p>
    <w:p>
      <w:pPr>
        <w:ind w:firstLine="480"/>
        <w:spacing w:line="440" w:lineRule="exact"/>
        <w:rPr>
          <w:rFonts w:ascii="Arial" w:hAnsi="Arial" w:cs="Arial"/>
          <w:color w:val="auto"/>
          <w:highlight w:val="none"/>
        </w:rPr>
        <w:pBdr>
          <w:top w:val="single" w:color="000000" w:sz="4" w:space="1"/>
          <w:left w:val="single" w:color="000000" w:sz="4" w:space="4"/>
          <w:bottom w:val="single" w:color="000000" w:sz="4" w:space="1"/>
          <w:right w:val="single" w:color="000000" w:sz="4" w:space="4"/>
        </w:pBdr>
      </w:pPr>
      <w:r>
        <w:rPr>
          <w:rFonts w:hint="eastAsia" w:ascii="Arial" w:hAnsi="Arial" w:eastAsia="仿宋" w:cs="Arial"/>
          <w:color w:val="auto"/>
          <w:sz w:val="24"/>
          <w:szCs w:val="24"/>
          <w:highlight w:val="none"/>
          <w:u w:val="single"/>
        </w:rPr>
        <w:t xml:space="preserve">中证房地产评估造价集团有限公司</w:t>
      </w:r>
      <w:r>
        <w:rPr>
          <w:rFonts w:ascii="Arial" w:hAnsi="Arial" w:eastAsia="仿宋" w:cs="Arial"/>
          <w:color w:val="auto"/>
          <w:sz w:val="24"/>
          <w:szCs w:val="24"/>
          <w:highlight w:val="none"/>
        </w:rPr>
        <w:t xml:space="preserve">受</w:t>
      </w:r>
      <w:r>
        <w:rPr>
          <w:rFonts w:hint="eastAsia" w:ascii="Arial" w:hAnsi="Arial" w:eastAsia="仿宋" w:cs="Arial"/>
          <w:color w:val="auto"/>
          <w:sz w:val="24"/>
          <w:szCs w:val="24"/>
          <w:highlight w:val="none"/>
          <w:u w:val="single"/>
          <w:lang w:val="en-GB" w:eastAsia="zh-CN"/>
        </w:rPr>
        <w:t xml:space="preserve">靖江经济技术开发区管理委员会</w:t>
      </w:r>
      <w:r>
        <w:rPr>
          <w:rFonts w:ascii="Arial" w:hAnsi="Arial" w:eastAsia="仿宋" w:cs="Arial"/>
          <w:color w:val="auto"/>
          <w:sz w:val="24"/>
          <w:szCs w:val="24"/>
          <w:highlight w:val="none"/>
        </w:rPr>
        <w:t xml:space="preserve">委托，对</w:t>
      </w:r>
      <w:bookmarkStart w:id="5" w:name="_Toc28359012"/>
      <w:r>
        <w:rPr>
          <w:color w:val="auto"/>
          <w:highlight w:val="none"/>
        </w:rPr>
      </w:r>
      <w:bookmarkStart w:id="6" w:name="_Toc28359089"/>
      <w:r>
        <w:rPr>
          <w:color w:val="auto"/>
          <w:highlight w:val="none"/>
        </w:rPr>
      </w:r>
      <w:bookmarkStart w:id="7" w:name="_Toc35393629"/>
      <w:r>
        <w:rPr>
          <w:color w:val="auto"/>
          <w:highlight w:val="none"/>
        </w:rPr>
      </w:r>
      <w:bookmarkStart w:id="8" w:name="_Toc35393798"/>
      <w:r>
        <w:rPr>
          <w:rFonts w:hint="eastAsia" w:ascii="Arial" w:hAnsi="Arial" w:eastAsia="仿宋" w:cs="Arial"/>
          <w:color w:val="auto"/>
          <w:sz w:val="24"/>
          <w:szCs w:val="24"/>
          <w:highlight w:val="none"/>
          <w:u w:val="single"/>
          <w:lang w:val="en-US" w:eastAsia="zh-CN"/>
        </w:rPr>
        <w:t xml:space="preserve">开发区本部区域生活污水泵站维保</w:t>
      </w:r>
      <w:r>
        <w:rPr>
          <w:rFonts w:hint="eastAsia" w:ascii="Arial" w:hAnsi="Arial" w:eastAsia="仿宋" w:cs="Arial"/>
          <w:color w:val="auto"/>
          <w:sz w:val="24"/>
          <w:szCs w:val="24"/>
          <w:highlight w:val="none"/>
          <w:u w:val="none"/>
          <w:lang w:eastAsia="zh-CN"/>
        </w:rPr>
        <w:t xml:space="preserve">项目</w:t>
      </w:r>
      <w:r>
        <w:rPr>
          <w:rFonts w:hint="eastAsia" w:ascii="仿宋" w:hAnsi="仿宋" w:eastAsia="仿宋"/>
          <w:color w:val="auto"/>
          <w:sz w:val="24"/>
          <w:szCs w:val="24"/>
          <w:highlight w:val="none"/>
        </w:rPr>
        <w:t xml:space="preserve">以公开招标方式组织政府采购。</w:t>
      </w:r>
      <w:r>
        <w:rPr>
          <w:rFonts w:ascii="仿宋" w:hAnsi="仿宋" w:eastAsia="仿宋" w:cs="仿宋"/>
          <w:color w:val="auto"/>
          <w:sz w:val="24"/>
          <w:szCs w:val="24"/>
          <w:highlight w:val="none"/>
        </w:rPr>
        <w:t xml:space="preserve">本次</w:t>
      </w:r>
      <w:r>
        <w:rPr>
          <w:rFonts w:hint="eastAsia" w:ascii="仿宋" w:hAnsi="仿宋" w:eastAsia="仿宋" w:cs="仿宋"/>
          <w:color w:val="auto"/>
          <w:sz w:val="24"/>
          <w:szCs w:val="24"/>
          <w:highlight w:val="none"/>
        </w:rPr>
        <w:t xml:space="preserve">招标公告发布及有关变更信息在江苏政府采购网（http://www.ccgp-jiangsu.gov.cn/）发布，请潜在供应商在江苏政府采购网“苏采云”系统（http://jszfcg.jsczt.cn/）获</w:t>
      </w:r>
      <w:r>
        <w:rPr>
          <w:rFonts w:hint="eastAsia" w:ascii="仿宋" w:hAnsi="仿宋" w:eastAsia="仿宋" w:cs="仿宋"/>
          <w:color w:val="auto"/>
          <w:sz w:val="24"/>
          <w:szCs w:val="24"/>
          <w:highlight w:val="none"/>
          <w:shd w:val="clear" w:color="ffffff" w:themeColor="background1" w:fill="ffffff" w:themeFill="background1"/>
        </w:rPr>
        <w:t xml:space="preserve">取招标文件</w:t>
      </w:r>
      <w:r>
        <w:rPr>
          <w:rFonts w:hint="eastAsia" w:ascii="仿宋" w:hAnsi="仿宋" w:eastAsia="仿宋" w:cs="仿宋"/>
          <w:color w:val="auto"/>
          <w:sz w:val="24"/>
          <w:szCs w:val="24"/>
          <w:highlight w:val="none"/>
        </w:rPr>
        <w:t xml:space="preserve">并制作电子投标文件</w:t>
      </w:r>
      <w:r>
        <w:rPr>
          <w:rFonts w:hint="eastAsia" w:ascii="仿宋" w:hAnsi="仿宋" w:eastAsia="仿宋"/>
          <w:color w:val="auto"/>
          <w:sz w:val="24"/>
          <w:szCs w:val="24"/>
          <w:highlight w:val="none"/>
        </w:rPr>
        <w:t xml:space="preserve">，并于2024年</w:t>
      </w:r>
      <w:r>
        <w:rPr>
          <w:rFonts w:hint="eastAsia" w:ascii="仿宋" w:hAnsi="仿宋" w:eastAsia="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日09点00分</w:t>
      </w:r>
      <w:r>
        <w:rPr>
          <w:rFonts w:hint="eastAsia" w:ascii="仿宋" w:hAnsi="仿宋" w:eastAsia="仿宋"/>
          <w:color w:val="auto"/>
          <w:sz w:val="24"/>
          <w:szCs w:val="24"/>
          <w:highlight w:val="none"/>
        </w:rPr>
        <w:t xml:space="preserve">（北京时间）</w:t>
      </w:r>
      <w:r>
        <w:rPr>
          <w:rFonts w:hint="eastAsia" w:ascii="仿宋" w:hAnsi="仿宋" w:eastAsia="仿宋"/>
          <w:bCs/>
          <w:color w:val="auto"/>
          <w:sz w:val="24"/>
          <w:szCs w:val="24"/>
          <w:highlight w:val="none"/>
        </w:rPr>
        <w:t xml:space="preserve">前提交投标</w:t>
      </w:r>
      <w:r>
        <w:rPr>
          <w:rFonts w:ascii="仿宋" w:hAnsi="仿宋" w:eastAsia="仿宋"/>
          <w:bCs/>
          <w:color w:val="auto"/>
          <w:sz w:val="24"/>
          <w:szCs w:val="24"/>
          <w:highlight w:val="none"/>
        </w:rPr>
        <w:t xml:space="preserve">文件</w:t>
      </w:r>
      <w:r>
        <w:rPr>
          <w:rFonts w:hint="eastAsia" w:ascii="仿宋" w:hAnsi="仿宋" w:eastAsia="仿宋"/>
          <w:color w:val="auto"/>
          <w:sz w:val="24"/>
          <w:szCs w:val="24"/>
          <w:highlight w:val="none"/>
        </w:rPr>
        <w:t xml:space="preserve">。</w:t>
      </w:r>
      <w:r>
        <w:rPr>
          <w:color w:val="auto"/>
          <w:highlight w:val="none"/>
        </w:rP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一、项目基本情况</w:t>
      </w:r>
      <w:bookmarkEnd w:id="5"/>
      <w:r>
        <w:rPr>
          <w:color w:val="auto"/>
          <w:highlight w:val="none"/>
        </w:rPr>
      </w:r>
      <w:bookmarkEnd w:id="6"/>
      <w:r>
        <w:rPr>
          <w:color w:val="auto"/>
          <w:highlight w:val="none"/>
        </w:rPr>
      </w:r>
      <w:bookmarkEnd w:id="7"/>
      <w:r>
        <w:rPr>
          <w:color w:val="auto"/>
          <w:highlight w:val="none"/>
        </w:rPr>
      </w:r>
      <w:bookmarkEnd w:id="8"/>
      <w:r>
        <w:rPr>
          <w:color w:val="auto"/>
          <w:highlight w:val="none"/>
        </w:rPr>
      </w:r>
      <w:r>
        <w:rPr>
          <w:color w:val="auto"/>
          <w:highlight w:val="none"/>
        </w:rPr>
      </w:r>
    </w:p>
    <w:p>
      <w:pPr>
        <w:ind w:firstLine="420"/>
        <w:spacing w:line="440" w:lineRule="exact"/>
        <w:rPr>
          <w:rFonts w:hint="eastAsia" w:ascii="Arial" w:hAnsi="Arial" w:eastAsia="宋体" w:cs="Arial"/>
          <w:color w:val="auto"/>
          <w:highlight w:val="none"/>
        </w:rPr>
      </w:pPr>
      <w:r>
        <w:rPr>
          <w:rFonts w:hint="eastAsia" w:ascii="Arial" w:hAnsi="Arial" w:cs="Arial"/>
          <w:color w:val="auto"/>
          <w:highlight w:val="none"/>
        </w:rPr>
        <w:t xml:space="preserve">1.</w:t>
      </w:r>
      <w:r>
        <w:rPr>
          <w:rFonts w:ascii="Arial" w:hAnsi="Arial" w:cs="Arial"/>
          <w:color w:val="auto"/>
          <w:highlight w:val="none"/>
        </w:rPr>
        <w:t xml:space="preserve">项目编号：</w:t>
      </w:r>
      <w:r>
        <w:rPr>
          <w:rFonts w:hint="eastAsia" w:ascii="Arial" w:hAnsi="Arial" w:cs="Arial"/>
          <w:color w:val="auto"/>
          <w:highlight w:val="none"/>
          <w:lang w:eastAsia="zh-CN"/>
        </w:rPr>
        <w:t xml:space="preserve">JSZC-321282-ZZJT-G2024-0038</w:t>
      </w:r>
      <w:r>
        <w:rPr>
          <w:color w:val="auto"/>
          <w:highlight w:val="none"/>
        </w:rP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2.</w:t>
      </w:r>
      <w:r>
        <w:rPr>
          <w:rFonts w:ascii="Arial" w:hAnsi="Arial" w:cs="Arial"/>
          <w:color w:val="auto"/>
          <w:highlight w:val="none"/>
        </w:rPr>
        <w:t xml:space="preserve">项目名称：</w:t>
      </w:r>
      <w:r>
        <w:rPr>
          <w:rFonts w:hint="eastAsia" w:ascii="Arial" w:hAnsi="Arial" w:cs="Arial"/>
          <w:color w:val="auto"/>
          <w:highlight w:val="none"/>
          <w:lang w:val="en-US" w:eastAsia="zh-CN"/>
        </w:rPr>
        <w:t xml:space="preserve">开发区本部区域生活污水泵站维保</w:t>
      </w:r>
      <w:r>
        <w:rPr>
          <w:rFonts w:hint="eastAsia" w:ascii="Arial" w:hAnsi="Arial" w:cs="Arial"/>
          <w:color w:val="auto"/>
          <w:highlight w:val="none"/>
        </w:rPr>
        <w:t xml:space="preserve"> </w:t>
      </w:r>
      <w:r>
        <w:rPr>
          <w:color w:val="auto"/>
          <w:highlight w:val="none"/>
        </w:rP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3.采购方式：公开招标 </w:t>
      </w:r>
      <w:r>
        <w:rPr>
          <w:color w:val="auto"/>
          <w:highlight w:val="none"/>
        </w:rPr>
      </w:r>
    </w:p>
    <w:p>
      <w:pPr>
        <w:ind w:firstLine="420"/>
        <w:spacing w:line="440" w:lineRule="exact"/>
        <w:rPr>
          <w:rFonts w:hint="eastAsia" w:ascii="Arial" w:hAnsi="Arial" w:eastAsia="宋体" w:cs="Arial"/>
          <w:color w:val="auto"/>
          <w:highlight w:val="none"/>
        </w:rPr>
      </w:pPr>
      <w:r>
        <w:rPr>
          <w:rFonts w:hint="eastAsia" w:ascii="Arial" w:hAnsi="Arial" w:cs="Arial"/>
          <w:color w:val="auto"/>
          <w:highlight w:val="none"/>
        </w:rPr>
        <w:t xml:space="preserve">4.预算金额：</w:t>
      </w:r>
      <w:r>
        <w:rPr>
          <w:rFonts w:hint="eastAsia" w:ascii="Arial" w:hAnsi="Arial" w:cs="Arial"/>
          <w:color w:val="auto"/>
          <w:highlight w:val="none"/>
          <w:lang w:val="en-US" w:eastAsia="zh-CN"/>
        </w:rPr>
        <w:t xml:space="preserve">3975100.68</w:t>
      </w:r>
      <w:r>
        <w:rPr>
          <w:rFonts w:hint="eastAsia" w:ascii="Arial" w:hAnsi="Arial" w:cs="Arial"/>
          <w:color w:val="auto"/>
          <w:highlight w:val="none"/>
        </w:rPr>
        <w:t xml:space="preserve">元；</w:t>
      </w:r>
      <w:r>
        <w:rPr>
          <w:color w:val="auto"/>
          <w:highlight w:val="none"/>
        </w:rPr>
      </w:r>
    </w:p>
    <w:p>
      <w:pPr>
        <w:ind w:firstLine="420"/>
        <w:spacing w:line="440" w:lineRule="exact"/>
        <w:rPr>
          <w:rFonts w:hint="eastAsia" w:ascii="Arial" w:hAnsi="Arial" w:cs="Arial"/>
          <w:color w:val="auto"/>
          <w:highlight w:val="none"/>
        </w:rPr>
      </w:pPr>
      <w:r>
        <w:rPr>
          <w:rFonts w:hint="eastAsia" w:ascii="Arial" w:hAnsi="Arial" w:cs="Arial"/>
          <w:color w:val="auto"/>
          <w:highlight w:val="none"/>
          <w:lang w:val="en-US" w:eastAsia="zh-CN"/>
        </w:rPr>
        <w:t xml:space="preserve">5</w:t>
      </w:r>
      <w:r>
        <w:rPr>
          <w:rFonts w:hint="eastAsia" w:ascii="Arial" w:hAnsi="Arial" w:cs="Arial"/>
          <w:color w:val="auto"/>
          <w:highlight w:val="none"/>
        </w:rPr>
        <w:t xml:space="preserve">.服务期：</w:t>
      </w:r>
      <w:bookmarkStart w:id="9" w:name="_Toc28359090"/>
      <w:r>
        <w:rPr>
          <w:color w:val="auto"/>
          <w:highlight w:val="none"/>
        </w:rPr>
      </w:r>
      <w:bookmarkStart w:id="10" w:name="_Toc35393630"/>
      <w:r>
        <w:rPr>
          <w:color w:val="auto"/>
          <w:highlight w:val="none"/>
        </w:rPr>
      </w:r>
      <w:bookmarkStart w:id="11" w:name="_Toc35393799"/>
      <w:r>
        <w:rPr>
          <w:color w:val="auto"/>
          <w:highlight w:val="none"/>
        </w:rPr>
      </w:r>
      <w:bookmarkStart w:id="12" w:name="_Toc28359013"/>
      <w:r>
        <w:rPr>
          <w:rFonts w:hint="eastAsia" w:ascii="Arial" w:hAnsi="Arial" w:cs="Arial"/>
          <w:color w:val="auto"/>
          <w:highlight w:val="none"/>
          <w:lang w:eastAsia="zh-CN"/>
        </w:rPr>
        <w:t xml:space="preserve">三年</w:t>
      </w:r>
      <w:r>
        <w:rPr>
          <w:color w:val="auto"/>
          <w:highlight w:val="none"/>
        </w:rPr>
      </w:r>
    </w:p>
    <w:p>
      <w:pPr>
        <w:ind w:firstLine="420"/>
        <w:spacing w:line="440" w:lineRule="exact"/>
        <w:rPr>
          <w:rFonts w:hint="eastAsia" w:ascii="Arial" w:hAnsi="Arial" w:cs="Arial"/>
          <w:color w:val="auto"/>
          <w:highlight w:val="none"/>
        </w:rPr>
      </w:pPr>
      <w:r>
        <w:rPr>
          <w:rFonts w:hint="eastAsia" w:ascii="Arial" w:hAnsi="Arial" w:cs="Arial"/>
          <w:color w:val="auto"/>
          <w:highlight w:val="none"/>
          <w:lang w:val="en-US" w:eastAsia="zh-CN"/>
        </w:rPr>
        <w:t xml:space="preserve">6</w:t>
      </w:r>
      <w:r>
        <w:rPr>
          <w:rFonts w:hint="eastAsia" w:ascii="Arial" w:hAnsi="Arial" w:cs="Arial"/>
          <w:color w:val="auto"/>
          <w:highlight w:val="none"/>
        </w:rPr>
        <w:t xml:space="preserve">.采购需求：具体详见招标文件“第五章 项目需求”。</w:t>
      </w:r>
      <w:r>
        <w:rPr>
          <w:color w:val="auto"/>
          <w:highlight w:val="none"/>
        </w:rPr>
      </w:r>
    </w:p>
    <w:p>
      <w:pPr>
        <w:ind w:firstLine="442"/>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二、申请人的资格要求：</w:t>
      </w:r>
      <w:bookmarkEnd w:id="9"/>
      <w:r>
        <w:rPr>
          <w:color w:val="auto"/>
          <w:highlight w:val="none"/>
        </w:rPr>
      </w:r>
      <w:bookmarkEnd w:id="10"/>
      <w:r>
        <w:rPr>
          <w:color w:val="auto"/>
          <w:highlight w:val="none"/>
        </w:rPr>
      </w:r>
      <w:bookmarkEnd w:id="11"/>
      <w:r>
        <w:rPr>
          <w:color w:val="auto"/>
          <w:highlight w:val="none"/>
        </w:rPr>
      </w:r>
      <w:bookmarkEnd w:id="12"/>
      <w:r>
        <w:rPr>
          <w:color w:val="auto"/>
          <w:highlight w:val="none"/>
        </w:rPr>
      </w:r>
      <w:r>
        <w:rPr>
          <w:color w:val="auto"/>
          <w:highlight w:val="none"/>
        </w:rPr>
      </w:r>
    </w:p>
    <w:p>
      <w:pPr>
        <w:ind w:firstLine="420"/>
        <w:spacing w:line="440" w:lineRule="exact"/>
        <w:rPr>
          <w:rFonts w:ascii="Arial" w:hAnsi="Arial" w:cs="Arial"/>
          <w:color w:val="auto"/>
          <w:highlight w:val="none"/>
        </w:rPr>
      </w:pPr>
      <w:r>
        <w:rPr>
          <w:color w:val="auto"/>
          <w:highlight w:val="none"/>
        </w:rPr>
      </w:r>
      <w:bookmarkStart w:id="13" w:name="_Toc35393792"/>
      <w:r>
        <w:rPr>
          <w:color w:val="auto"/>
          <w:highlight w:val="none"/>
        </w:rPr>
      </w:r>
      <w:bookmarkEnd w:id="13"/>
      <w:r>
        <w:rPr>
          <w:color w:val="auto"/>
          <w:highlight w:val="none"/>
        </w:rPr>
      </w:r>
      <w:bookmarkStart w:id="14" w:name="_Toc35393623"/>
      <w:r>
        <w:rPr>
          <w:rFonts w:ascii="Arial" w:hAnsi="Arial" w:cs="Arial"/>
          <w:color w:val="auto"/>
          <w:highlight w:val="none"/>
        </w:rPr>
        <w:t xml:space="preserve">（一）满足《中华人民共和国政府采购法》第二十二条规定；</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（1）具有独立承担民事责任的能力；</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（2）具有良好的商业信誉和健全的财务会计制度（承诺制）；</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（3）具备履行合同所必需的设备和专业技术能力（承诺制）；</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（4）有依法缴纳税收和社会保障资金的良好记录（承诺制）；</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（5）参加政府采购活动近3年内（成立时间不足三年的，可以自成立时间起）在经营活动中没有重大违法记录的书面声明（承诺制）；</w:t>
      </w:r>
      <w:r>
        <w:rPr>
          <w:color w:val="auto"/>
          <w:highlight w:val="none"/>
        </w:rPr>
      </w:r>
    </w:p>
    <w:p>
      <w:pPr>
        <w:ind w:firstLine="420"/>
        <w:spacing w:line="440" w:lineRule="exact"/>
        <w:rPr>
          <w:rFonts w:hint="eastAsia" w:ascii="Arial" w:hAnsi="Arial" w:cs="Arial"/>
          <w:color w:val="auto"/>
          <w:highlight w:val="none"/>
        </w:rPr>
      </w:pPr>
      <w:r>
        <w:rPr>
          <w:color w:val="auto"/>
          <w:highlight w:val="none"/>
        </w:rPr>
      </w:r>
      <w:bookmarkStart w:id="15" w:name="_Toc28359004"/>
      <w:r>
        <w:rPr>
          <w:color w:val="auto"/>
          <w:highlight w:val="none"/>
        </w:rPr>
      </w:r>
      <w:bookmarkEnd w:id="15"/>
      <w:r>
        <w:rPr>
          <w:rFonts w:ascii="Arial" w:hAnsi="Arial" w:cs="Arial"/>
          <w:color w:val="auto"/>
          <w:highlight w:val="none"/>
        </w:rPr>
        <w:t xml:space="preserve">（</w:t>
      </w:r>
      <w:r>
        <w:rPr>
          <w:rFonts w:hint="eastAsia" w:ascii="Arial" w:hAnsi="Arial" w:cs="Arial"/>
          <w:color w:val="auto"/>
          <w:highlight w:val="none"/>
          <w:lang w:eastAsia="zh-CN"/>
        </w:rPr>
        <w:t xml:space="preserve">二</w:t>
      </w:r>
      <w:r>
        <w:rPr>
          <w:rFonts w:ascii="Arial" w:hAnsi="Arial" w:cs="Arial"/>
          <w:color w:val="auto"/>
          <w:highlight w:val="none"/>
        </w:rPr>
        <w:t xml:space="preserve">）落实政府采购政策需满足的资格要求：</w:t>
      </w:r>
      <w:r>
        <w:rPr>
          <w:rFonts w:hint="eastAsia" w:ascii="Arial" w:hAnsi="Arial" w:cs="Arial"/>
          <w:color w:val="auto"/>
          <w:highlight w:val="none"/>
        </w:rPr>
        <w:t xml:space="preserve">根据苏财购[2021]34号文关于“转发财政部 工业和信息化部关于印发《政府采购促进中小企业发展管理办法》的通知”要求，本项目专门面向中小企业采购</w:t>
      </w:r>
      <w:r>
        <w:rPr>
          <w:rFonts w:hint="eastAsia" w:ascii="Arial" w:hAnsi="Arial" w:cs="Arial"/>
          <w:color w:val="auto"/>
          <w:highlight w:val="none"/>
          <w:lang w:eastAsia="zh-CN"/>
        </w:rPr>
        <w:t xml:space="preserve">，</w:t>
      </w:r>
      <w:r>
        <w:rPr>
          <w:rFonts w:hint="eastAsia" w:ascii="Arial" w:hAnsi="Arial" w:cs="Arial"/>
          <w:color w:val="auto"/>
          <w:highlight w:val="none"/>
        </w:rPr>
        <w:t xml:space="preserve">供应商应为中小微企业、监狱企业、残疾人福利性单位之一；</w:t>
      </w:r>
      <w:r>
        <w:rPr>
          <w:color w:val="auto"/>
          <w:highlight w:val="none"/>
        </w:rPr>
      </w:r>
    </w:p>
    <w:p>
      <w:pPr>
        <w:ind w:firstLine="420"/>
        <w:spacing w:line="440" w:lineRule="exact"/>
        <w:rPr>
          <w:rFonts w:hint="eastAsia" w:ascii="Arial" w:hAnsi="Arial" w:cs="Arial"/>
          <w:color w:val="auto"/>
          <w:highlight w:val="none"/>
        </w:rPr>
      </w:pPr>
      <w:r>
        <w:rPr>
          <w:rFonts w:hint="eastAsia" w:ascii="Arial" w:hAnsi="Arial" w:cs="Arial"/>
          <w:color w:val="auto"/>
          <w:highlight w:val="none"/>
        </w:rPr>
        <w:t xml:space="preserve">注：中小企业划分标准参照：工信部联企业[2011]300号文件规定</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w:t>
      </w:r>
      <w:r>
        <w:rPr>
          <w:rFonts w:hint="eastAsia" w:ascii="Arial" w:hAnsi="Arial" w:cs="Arial"/>
          <w:color w:val="auto"/>
          <w:highlight w:val="none"/>
          <w:lang w:eastAsia="zh-CN"/>
        </w:rPr>
        <w:t xml:space="preserve">三</w:t>
      </w:r>
      <w:r>
        <w:rPr>
          <w:rFonts w:ascii="Arial" w:hAnsi="Arial" w:cs="Arial"/>
          <w:color w:val="auto"/>
          <w:highlight w:val="none"/>
        </w:rPr>
        <w:t xml:space="preserve">）至提交响应文件截止时间止，投标人有下列情形之一的，不得参加本项目政府采购活动：</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lang w:val="en-US" w:eastAsia="zh-CN"/>
        </w:rPr>
        <w:t xml:space="preserve">.</w:t>
      </w:r>
      <w:r>
        <w:rPr>
          <w:rFonts w:ascii="Arial" w:hAnsi="Arial" w:cs="Arial"/>
          <w:color w:val="auto"/>
          <w:highlight w:val="none"/>
        </w:rPr>
        <w:t xml:space="preserve">单位负责人为同一人或者存在直接控股、管理关系的不同投标人；</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2</w:t>
      </w:r>
      <w:r>
        <w:rPr>
          <w:rFonts w:hint="eastAsia" w:ascii="Arial" w:hAnsi="Arial" w:cs="Arial"/>
          <w:color w:val="auto"/>
          <w:highlight w:val="none"/>
          <w:lang w:val="en-US" w:eastAsia="zh-CN"/>
        </w:rPr>
        <w:t xml:space="preserve">.</w:t>
      </w:r>
      <w:r>
        <w:rPr>
          <w:rFonts w:ascii="Arial" w:hAnsi="Arial" w:cs="Arial"/>
          <w:color w:val="auto"/>
          <w:highlight w:val="none"/>
        </w:rPr>
        <w:t xml:space="preserve">被各级财政主管部门取消采购项目所在地的参加政府采购资格且处于有效期内；</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3</w:t>
      </w:r>
      <w:r>
        <w:rPr>
          <w:rFonts w:hint="eastAsia" w:ascii="Arial" w:hAnsi="Arial" w:cs="Arial"/>
          <w:color w:val="auto"/>
          <w:highlight w:val="none"/>
          <w:lang w:val="en-US" w:eastAsia="zh-CN"/>
        </w:rPr>
        <w:t xml:space="preserve">.</w:t>
      </w:r>
      <w:r>
        <w:rPr>
          <w:rFonts w:ascii="Arial" w:hAnsi="Arial" w:cs="Arial"/>
          <w:color w:val="auto"/>
          <w:highlight w:val="none"/>
        </w:rPr>
        <w:t xml:space="preserve">被责令停业，暂扣或吊销营业执照，或吊销资质证书；</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4</w:t>
      </w:r>
      <w:r>
        <w:rPr>
          <w:rFonts w:hint="eastAsia" w:ascii="Arial" w:hAnsi="Arial" w:cs="Arial"/>
          <w:color w:val="auto"/>
          <w:highlight w:val="none"/>
          <w:lang w:val="en-US" w:eastAsia="zh-CN"/>
        </w:rPr>
        <w:t xml:space="preserve">.</w:t>
      </w:r>
      <w:r>
        <w:rPr>
          <w:rFonts w:ascii="Arial" w:hAnsi="Arial" w:cs="Arial"/>
          <w:color w:val="auto"/>
          <w:highlight w:val="none"/>
        </w:rPr>
        <w:t xml:space="preserve">进入清算程序，或被宣告破产，或其他丧失履约能力的情形；</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5</w:t>
      </w:r>
      <w:r>
        <w:rPr>
          <w:rFonts w:hint="eastAsia" w:ascii="Arial" w:hAnsi="Arial" w:cs="Arial"/>
          <w:color w:val="auto"/>
          <w:highlight w:val="none"/>
          <w:lang w:val="en-US" w:eastAsia="zh-CN"/>
        </w:rPr>
        <w:t xml:space="preserve">.</w:t>
      </w:r>
      <w:r>
        <w:rPr>
          <w:rFonts w:ascii="Arial" w:hAnsi="Arial" w:cs="Arial"/>
          <w:color w:val="auto"/>
          <w:highlight w:val="none"/>
        </w:rPr>
        <w:t xml:space="preserve">在中国政府采购网</w:t>
      </w:r>
      <w:r>
        <w:rPr>
          <w:rFonts w:hint="eastAsia" w:ascii="Arial" w:hAnsi="Arial" w:cs="Arial"/>
          <w:color w:val="auto"/>
          <w:highlight w:val="none"/>
          <w:lang w:eastAsia="zh-CN"/>
        </w:rPr>
        <w:t xml:space="preserve">（</w:t>
      </w:r>
      <w:r>
        <w:rPr>
          <w:rFonts w:ascii="Arial" w:hAnsi="Arial" w:cs="Arial"/>
          <w:color w:val="auto"/>
          <w:highlight w:val="none"/>
        </w:rPr>
        <w:t xml:space="preserve">www.ccgp.gov.cn</w:t>
      </w:r>
      <w:r>
        <w:rPr>
          <w:rFonts w:hint="eastAsia" w:ascii="Arial" w:hAnsi="Arial" w:cs="Arial"/>
          <w:color w:val="auto"/>
          <w:highlight w:val="none"/>
          <w:lang w:eastAsia="zh-CN"/>
        </w:rPr>
        <w:t xml:space="preserve">）</w:t>
      </w:r>
      <w:r>
        <w:rPr>
          <w:rFonts w:ascii="Arial" w:hAnsi="Arial" w:cs="Arial"/>
          <w:color w:val="auto"/>
          <w:highlight w:val="none"/>
        </w:rPr>
        <w:t xml:space="preserve">中被列入《政府采购严重违法失信行为记录名单》；</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6</w:t>
      </w:r>
      <w:r>
        <w:rPr>
          <w:rFonts w:hint="eastAsia" w:ascii="Arial" w:hAnsi="Arial" w:cs="Arial"/>
          <w:color w:val="auto"/>
          <w:highlight w:val="none"/>
          <w:lang w:val="en-US" w:eastAsia="zh-CN"/>
        </w:rPr>
        <w:t xml:space="preserve">.</w:t>
      </w:r>
      <w:r>
        <w:rPr>
          <w:rFonts w:ascii="Arial" w:hAnsi="Arial" w:cs="Arial"/>
          <w:color w:val="auto"/>
          <w:highlight w:val="none"/>
        </w:rPr>
        <w:t xml:space="preserve">在“信用中国”网站（http://www.creditchina.gov.cn/）中被列入失信被执行人名单和重大税收违法案件当事人名单；</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7</w:t>
      </w:r>
      <w:r>
        <w:rPr>
          <w:rFonts w:hint="eastAsia" w:ascii="Arial" w:hAnsi="Arial" w:cs="Arial"/>
          <w:color w:val="auto"/>
          <w:highlight w:val="none"/>
          <w:lang w:val="en-US" w:eastAsia="zh-CN"/>
        </w:rPr>
        <w:t xml:space="preserve">.法律法规</w:t>
      </w:r>
      <w:r>
        <w:rPr>
          <w:rFonts w:ascii="Arial" w:hAnsi="Arial" w:cs="Arial"/>
          <w:color w:val="auto"/>
          <w:highlight w:val="none"/>
        </w:rPr>
        <w:t xml:space="preserve">规定的其他情形。</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w:t>
      </w:r>
      <w:r>
        <w:rPr>
          <w:rFonts w:hint="eastAsia" w:ascii="Arial" w:hAnsi="Arial" w:cs="Arial"/>
          <w:color w:val="auto"/>
          <w:highlight w:val="none"/>
          <w:lang w:eastAsia="zh-CN"/>
        </w:rPr>
        <w:t xml:space="preserve">四</w:t>
      </w:r>
      <w:r>
        <w:rPr>
          <w:rFonts w:ascii="Arial" w:hAnsi="Arial" w:cs="Arial"/>
          <w:color w:val="auto"/>
          <w:highlight w:val="none"/>
        </w:rPr>
        <w:t xml:space="preserve">）本项目不接受联合体投标。</w:t>
      </w:r>
      <w:r>
        <w:rPr>
          <w:color w:val="auto"/>
          <w:highlight w:val="none"/>
        </w:rP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三、获取招标文件</w:t>
      </w:r>
      <w:bookmarkEnd w:id="14"/>
      <w:r>
        <w:rPr>
          <w:color w:val="auto"/>
          <w:highlight w:val="none"/>
        </w:rPr>
      </w:r>
      <w:r>
        <w:rPr>
          <w:color w:val="auto"/>
          <w:highlight w:val="none"/>
        </w:rPr>
      </w:r>
    </w:p>
    <w:p>
      <w:pPr>
        <w:ind w:firstLine="210"/>
        <w:spacing w:line="440" w:lineRule="exact"/>
        <w:rPr>
          <w:color w:val="auto"/>
          <w:highlight w:val="none"/>
        </w:rPr>
      </w:pPr>
      <w:r>
        <w:rPr>
          <w:color w:val="auto"/>
          <w:highlight w:val="none"/>
        </w:rPr>
      </w:r>
      <w:bookmarkStart w:id="16" w:name="_Toc28359015"/>
      <w:r>
        <w:rPr>
          <w:color w:val="auto"/>
          <w:highlight w:val="none"/>
        </w:rPr>
      </w:r>
      <w:bookmarkStart w:id="17" w:name="_Toc35393801"/>
      <w:r>
        <w:rPr>
          <w:color w:val="auto"/>
          <w:highlight w:val="none"/>
        </w:rPr>
      </w:r>
      <w:bookmarkStart w:id="18" w:name="_Toc28359092"/>
      <w:r>
        <w:rPr>
          <w:color w:val="auto"/>
          <w:highlight w:val="none"/>
        </w:rPr>
      </w:r>
      <w:bookmarkStart w:id="19" w:name="_Toc35393632"/>
      <w:r>
        <w:rPr>
          <w:rFonts w:hint="eastAsia"/>
          <w:color w:val="auto"/>
          <w:highlight w:val="none"/>
        </w:rPr>
        <w:t xml:space="preserve">1.时间：2024年</w:t>
      </w:r>
      <w:r>
        <w:rPr>
          <w:rFonts w:hint="eastAsia"/>
          <w:color w:val="auto"/>
          <w:highlight w:val="none"/>
          <w:lang w:val="en-US" w:eastAsia="zh-CN"/>
        </w:rPr>
        <w:t xml:space="preserve">6</w:t>
      </w:r>
      <w:r>
        <w:rPr>
          <w:rFonts w:hint="eastAsia"/>
          <w:color w:val="auto"/>
          <w:highlight w:val="none"/>
        </w:rPr>
        <w:t xml:space="preserve">月</w:t>
      </w:r>
      <w:r>
        <w:rPr>
          <w:rFonts w:hint="eastAsia"/>
          <w:color w:val="auto"/>
          <w:highlight w:val="none"/>
          <w:lang w:val="en-US" w:eastAsia="zh-CN"/>
        </w:rPr>
        <w:t xml:space="preserve">19</w:t>
      </w:r>
      <w:r>
        <w:rPr>
          <w:rFonts w:hint="eastAsia"/>
          <w:color w:val="auto"/>
          <w:highlight w:val="none"/>
        </w:rPr>
        <w:t xml:space="preserve">日起至2024年</w:t>
      </w:r>
      <w:r>
        <w:rPr>
          <w:rFonts w:hint="eastAsia"/>
          <w:color w:val="auto"/>
          <w:highlight w:val="none"/>
          <w:lang w:val="en-US" w:eastAsia="zh-CN"/>
        </w:rPr>
        <w:t xml:space="preserve">6</w:t>
      </w:r>
      <w:r>
        <w:rPr>
          <w:rFonts w:hint="eastAsia"/>
          <w:color w:val="auto"/>
          <w:highlight w:val="none"/>
        </w:rPr>
        <w:t xml:space="preserve">月</w:t>
      </w:r>
      <w:r>
        <w:rPr>
          <w:rFonts w:hint="eastAsia"/>
          <w:color w:val="auto"/>
          <w:highlight w:val="none"/>
          <w:lang w:val="en-US" w:eastAsia="zh-CN"/>
        </w:rPr>
        <w:t xml:space="preserve">26</w:t>
      </w:r>
      <w:r>
        <w:rPr>
          <w:rFonts w:hint="eastAsia"/>
          <w:color w:val="auto"/>
          <w:highlight w:val="none"/>
        </w:rPr>
        <w:t xml:space="preserve">日止，网上报名和下载招标文件。</w:t>
      </w:r>
      <w:r>
        <w:rPr>
          <w:color w:val="auto"/>
          <w:highlight w:val="none"/>
        </w:rPr>
      </w:r>
    </w:p>
    <w:p>
      <w:pPr>
        <w:ind w:firstLine="210"/>
        <w:spacing w:line="440" w:lineRule="exact"/>
        <w:rPr>
          <w:color w:val="auto"/>
          <w:highlight w:val="none"/>
        </w:rPr>
      </w:pPr>
      <w:r>
        <w:rPr>
          <w:rFonts w:hint="eastAsia"/>
          <w:color w:val="auto"/>
          <w:highlight w:val="none"/>
        </w:rPr>
        <w:t xml:space="preserve">2.方式：本项目采用网上注册登记方式。</w:t>
      </w:r>
      <w:r>
        <w:rPr>
          <w:color w:val="auto"/>
          <w:highlight w:val="none"/>
        </w:rPr>
      </w:r>
    </w:p>
    <w:p>
      <w:pPr>
        <w:pStyle w:val="1151"/>
        <w:ind w:left="0" w:firstLine="210"/>
        <w:spacing w:line="440" w:lineRule="exact"/>
        <w:rPr>
          <w:color w:val="auto"/>
          <w:highlight w:val="none"/>
        </w:rPr>
      </w:pPr>
      <w:r>
        <w:rPr>
          <w:rFonts w:hint="eastAsia"/>
          <w:color w:val="auto"/>
          <w:highlight w:val="none"/>
        </w:rPr>
        <w:t xml:space="preserve">3.潜在投标供应商访问电子招标投标交易平台的网络地址和方法：</w:t>
      </w:r>
      <w:r>
        <w:rPr>
          <w:color w:val="auto"/>
          <w:highlight w:val="none"/>
        </w:rP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color w:val="auto"/>
          <w:highlight w:val="none"/>
        </w:rP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（2）潜在投标人访问“苏采云”系统的网络地址和方法：“苏采云”系统的网址：http://jszfcg.jsczt.cn/，点击“苏采云”进入系统。</w:t>
      </w:r>
      <w:r>
        <w:rPr>
          <w:color w:val="auto"/>
          <w:highlight w:val="none"/>
        </w:rP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rPr>
          <w:color w:val="auto"/>
          <w:highlight w:val="none"/>
        </w:rP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“CA数字证书”的获取与更换详见“靖江市政府采购不见面交易相关提醒”。</w:t>
      </w:r>
      <w:r>
        <w:rPr>
          <w:color w:val="auto"/>
          <w:highlight w:val="none"/>
        </w:rP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color w:val="auto"/>
          <w:highlight w:val="none"/>
        </w:rP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（5）招标代理机构（采购代理机构）将数据电文形式的招标文件加载至“苏采云”系统，供潜在投标人下载或者查阅。</w:t>
      </w:r>
      <w:r>
        <w:rPr>
          <w:color w:val="auto"/>
          <w:highlight w:val="none"/>
        </w:rP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（6）苏采云系统优先使用谷歌浏览器参与不见面开标。</w:t>
      </w:r>
      <w:r>
        <w:rPr>
          <w:color w:val="auto"/>
          <w:highlight w:val="none"/>
        </w:rP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（7）有关本次采购的事项若存在变动或修改，敬请及时关注“江苏政府采购网”发布的更正公告。</w:t>
      </w:r>
      <w:r>
        <w:rPr>
          <w:color w:val="auto"/>
          <w:highlight w:val="none"/>
        </w:rP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如潜在供应商未按上述要求操作，将自行承担所产生的风险。</w:t>
      </w:r>
      <w:r>
        <w:rPr>
          <w:color w:val="auto"/>
          <w:highlight w:val="none"/>
        </w:rPr>
      </w:r>
    </w:p>
    <w:p>
      <w:pPr>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四、响应文件提交</w:t>
      </w:r>
      <w:bookmarkEnd w:id="16"/>
      <w:r>
        <w:rPr>
          <w:color w:val="auto"/>
          <w:highlight w:val="none"/>
        </w:rPr>
      </w:r>
      <w:bookmarkEnd w:id="17"/>
      <w:r>
        <w:rPr>
          <w:color w:val="auto"/>
          <w:highlight w:val="none"/>
        </w:rPr>
      </w:r>
      <w:bookmarkEnd w:id="18"/>
      <w:r>
        <w:rPr>
          <w:color w:val="auto"/>
          <w:highlight w:val="none"/>
        </w:rPr>
      </w:r>
      <w:bookmarkEnd w:id="19"/>
      <w:r>
        <w:rPr>
          <w:color w:val="auto"/>
          <w:highlight w:val="none"/>
        </w:rPr>
      </w:r>
      <w:r>
        <w:rPr>
          <w:color w:val="auto"/>
          <w:highlight w:val="none"/>
        </w:rPr>
      </w:r>
    </w:p>
    <w:p>
      <w:pPr>
        <w:ind w:firstLine="440"/>
        <w:spacing w:line="400" w:lineRule="atLeast"/>
        <w:rPr>
          <w:rFonts w:ascii="宋体" w:hAnsi="宋体" w:cs="宋体"/>
          <w:b w:val="0"/>
          <w:bCs/>
          <w:color w:val="auto"/>
          <w:sz w:val="22"/>
          <w:highlight w:val="none"/>
        </w:rPr>
        <w:pBdr>
          <w:top w:val="none" w:color="000000" w:sz="0" w:space="0"/>
          <w:left w:val="none" w:color="000000" w:sz="0" w:space="0"/>
          <w:bottom w:val="none" w:color="000000" w:sz="0" w:space="0"/>
          <w:right w:val="none" w:color="000000" w:sz="0" w:space="0"/>
        </w:pBdr>
      </w:pPr>
      <w:r>
        <w:rPr>
          <w:color w:val="auto"/>
          <w:highlight w:val="none"/>
        </w:rPr>
      </w:r>
      <w:bookmarkStart w:id="20" w:name="_Toc28359084"/>
      <w:r>
        <w:rPr>
          <w:color w:val="auto"/>
          <w:highlight w:val="none"/>
        </w:rPr>
      </w:r>
      <w:bookmarkEnd w:id="20"/>
      <w:r>
        <w:rPr>
          <w:color w:val="auto"/>
          <w:highlight w:val="none"/>
        </w:rPr>
      </w:r>
      <w:bookmarkStart w:id="21" w:name="_Toc28359007"/>
      <w:r>
        <w:rPr>
          <w:color w:val="auto"/>
          <w:highlight w:val="none"/>
        </w:rPr>
      </w:r>
      <w:bookmarkEnd w:id="21"/>
      <w:r>
        <w:rPr>
          <w:color w:val="auto"/>
          <w:highlight w:val="none"/>
        </w:rPr>
      </w:r>
      <w:bookmarkStart w:id="22" w:name="_Toc35393794"/>
      <w:r>
        <w:rPr>
          <w:color w:val="auto"/>
          <w:highlight w:val="none"/>
        </w:rPr>
      </w:r>
      <w:bookmarkEnd w:id="22"/>
      <w:r>
        <w:rPr>
          <w:rFonts w:hint="eastAsia" w:ascii="宋体" w:hAnsi="宋体" w:cs="宋体"/>
          <w:b w:val="0"/>
          <w:bCs/>
          <w:color w:val="auto"/>
          <w:sz w:val="22"/>
          <w:highlight w:val="none"/>
        </w:rPr>
        <w:t xml:space="preserve">1.时间：2024年7</w:t>
      </w:r>
      <w:r>
        <w:rPr>
          <w:rFonts w:hint="eastAsia" w:ascii="宋体" w:hAnsi="宋体" w:cs="宋体"/>
          <w:b w:val="0"/>
          <w:bCs/>
          <w:color w:val="auto"/>
          <w:sz w:val="22"/>
          <w:highlight w:val="none"/>
        </w:rPr>
        <w:t xml:space="preserve">月</w:t>
      </w:r>
      <w:r>
        <w:rPr>
          <w:rFonts w:hint="eastAsia" w:ascii="宋体" w:hAnsi="宋体" w:cs="宋体"/>
          <w:b w:val="0"/>
          <w:bCs/>
          <w:color w:val="auto"/>
          <w:sz w:val="22"/>
          <w:highlight w:val="none"/>
          <w:lang w:val="en-US" w:eastAsia="zh-CN"/>
        </w:rPr>
        <w:t xml:space="preserve">11</w:t>
      </w:r>
      <w:r>
        <w:rPr>
          <w:rFonts w:hint="eastAsia" w:ascii="宋体" w:hAnsi="宋体" w:cs="宋体"/>
          <w:b w:val="0"/>
          <w:bCs/>
          <w:color w:val="auto"/>
          <w:sz w:val="22"/>
          <w:highlight w:val="none"/>
        </w:rPr>
        <w:t xml:space="preserve">日09时00分（北京时间）；</w:t>
      </w:r>
      <w:r>
        <w:rPr>
          <w:color w:val="auto"/>
          <w:highlight w:val="none"/>
        </w:rPr>
      </w:r>
    </w:p>
    <w:p>
      <w:pPr>
        <w:ind w:firstLine="440"/>
        <w:spacing w:line="400" w:lineRule="atLeast"/>
        <w:rPr>
          <w:rFonts w:ascii="宋体" w:hAnsi="宋体" w:cs="宋体"/>
          <w:b w:val="0"/>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2"/>
          <w:highlight w:val="none"/>
        </w:rPr>
        <w:t xml:space="preserve">2.地点：“苏采云”系统(网址: http://jszfcg.jsczt.cn/) “开标大厅，点击“苏采云”进入系统“开标大厅”；</w:t>
      </w:r>
      <w:r>
        <w:rPr>
          <w:color w:val="auto"/>
          <w:highlight w:val="none"/>
        </w:rP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五、开启</w:t>
      </w:r>
      <w:r>
        <w:rPr>
          <w:color w:val="auto"/>
          <w:highlight w:val="none"/>
        </w:rP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1.时间：202</w:t>
      </w:r>
      <w:r>
        <w:rPr>
          <w:rFonts w:hint="eastAsia" w:ascii="宋体" w:hAnsi="宋体" w:cs="宋体"/>
          <w:color w:val="auto"/>
          <w:sz w:val="22"/>
          <w:highlight w:val="none"/>
        </w:rPr>
        <w:t xml:space="preserve">4</w:t>
      </w:r>
      <w:r>
        <w:rPr>
          <w:rFonts w:ascii="宋体" w:hAnsi="宋体" w:cs="宋体"/>
          <w:color w:val="auto"/>
          <w:sz w:val="22"/>
          <w:highlight w:val="none"/>
        </w:rPr>
        <w:t xml:space="preserve">年7</w:t>
      </w:r>
      <w:r>
        <w:rPr>
          <w:rFonts w:ascii="宋体" w:hAnsi="宋体" w:cs="宋体"/>
          <w:color w:val="auto"/>
          <w:sz w:val="22"/>
          <w:highlight w:val="none"/>
        </w:rPr>
        <w:t xml:space="preserve">月</w:t>
      </w:r>
      <w:r>
        <w:rPr>
          <w:rFonts w:hint="eastAsia" w:ascii="宋体" w:hAnsi="宋体" w:cs="宋体"/>
          <w:color w:val="auto"/>
          <w:sz w:val="22"/>
          <w:highlight w:val="none"/>
          <w:lang w:val="en-US" w:eastAsia="zh-CN"/>
        </w:rPr>
        <w:t xml:space="preserve">11</w:t>
      </w:r>
      <w:r>
        <w:rPr>
          <w:rFonts w:ascii="宋体" w:hAnsi="宋体" w:cs="宋体"/>
          <w:color w:val="auto"/>
          <w:sz w:val="22"/>
          <w:highlight w:val="none"/>
        </w:rPr>
        <w:t xml:space="preserve">日09时00分（北京时间）；</w:t>
      </w:r>
      <w:r>
        <w:rPr>
          <w:color w:val="auto"/>
          <w:highlight w:val="none"/>
        </w:rP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2.地点：“苏采云”系统(网址: http://jszfcg.jsczt.cn/) “开标大厅”。</w:t>
      </w:r>
      <w:r>
        <w:rPr>
          <w:color w:val="auto"/>
          <w:highlight w:val="none"/>
        </w:rP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六、公告期限</w:t>
      </w:r>
      <w:r>
        <w:rPr>
          <w:color w:val="auto"/>
          <w:highlight w:val="none"/>
        </w:rP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自本公告发布之日起5个工作日。</w:t>
      </w:r>
      <w:r>
        <w:rPr>
          <w:color w:val="auto"/>
          <w:highlight w:val="none"/>
        </w:rP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七、其他补充事宜</w:t>
      </w:r>
      <w:r>
        <w:rPr>
          <w:color w:val="auto"/>
          <w:highlight w:val="none"/>
        </w:rP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如在报名中有任何疑问，请拨打电子化政府采购技术支持电话：0523-87633965。</w:t>
      </w:r>
      <w:r>
        <w:rPr>
          <w:color w:val="auto"/>
          <w:highlight w:val="none"/>
        </w:rP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八、对本次招标提出询问，请按以下方式联系。</w:t>
      </w:r>
      <w:r>
        <w:rPr>
          <w:color w:val="auto"/>
          <w:highlight w:val="none"/>
        </w:rPr>
      </w:r>
    </w:p>
    <w:p>
      <w:pPr>
        <w:ind w:firstLine="420"/>
        <w:spacing w:line="440" w:lineRule="exact"/>
        <w:rPr>
          <w:rFonts w:ascii="Arial" w:hAnsi="Arial" w:cs="Arial"/>
          <w:color w:val="auto"/>
          <w:highlight w:val="none"/>
        </w:rPr>
      </w:pPr>
      <w:r>
        <w:rPr>
          <w:rFonts w:ascii="Arial" w:hAnsi="Arial" w:cs="Arial"/>
          <w:color w:val="auto"/>
          <w:highlight w:val="none"/>
        </w:rPr>
        <w:t xml:space="preserve">1.采购人信息</w:t>
      </w:r>
      <w:r>
        <w:rPr>
          <w:color w:val="auto"/>
          <w:highlight w:val="none"/>
        </w:rPr>
      </w:r>
    </w:p>
    <w:p>
      <w:pPr>
        <w:ind w:firstLine="420"/>
        <w:spacing w:line="440" w:lineRule="exact"/>
        <w:rPr>
          <w:rFonts w:ascii="宋体" w:hAnsi="宋体" w:cs="宋体"/>
          <w:color w:val="auto"/>
          <w:highlight w:val="none"/>
        </w:rPr>
      </w:pPr>
      <w:r>
        <w:rPr>
          <w:rFonts w:hint="eastAsia" w:ascii="宋体" w:hAnsi="宋体" w:cs="宋体"/>
          <w:color w:val="auto"/>
          <w:highlight w:val="none"/>
          <w:lang w:val="zh-CN"/>
        </w:rPr>
        <w:t xml:space="preserve">名    称：靖江经济技术开发区管理委员会</w:t>
      </w:r>
      <w:r>
        <w:rPr>
          <w:color w:val="auto"/>
          <w:highlight w:val="none"/>
        </w:rP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靖江市新港大道99号</w:t>
      </w:r>
      <w:r>
        <w:rPr>
          <w:color w:val="auto"/>
          <w:highlight w:val="none"/>
        </w:rPr>
      </w:r>
    </w:p>
    <w:p>
      <w:pPr>
        <w:ind w:firstLine="420"/>
        <w:spacing w:line="440" w:lineRule="exact"/>
        <w:rPr>
          <w:rFonts w:ascii="宋体" w:hAnsi="宋体" w:cs="宋体"/>
          <w:color w:val="auto"/>
          <w:highlight w:val="none"/>
        </w:rPr>
      </w:pPr>
      <w:r>
        <w:rPr>
          <w:rFonts w:hint="eastAsia" w:ascii="宋体" w:hAnsi="宋体" w:cs="宋体"/>
          <w:color w:val="auto"/>
          <w:highlight w:val="none"/>
          <w:lang w:val="zh-CN"/>
        </w:rPr>
        <w:t xml:space="preserve">联 系 人：张先生</w:t>
      </w:r>
      <w:r>
        <w:rPr>
          <w:color w:val="auto"/>
          <w:highlight w:val="none"/>
        </w:rP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zh-CN"/>
        </w:rPr>
        <w:t xml:space="preserve">联系电话：</w:t>
      </w:r>
      <w:r>
        <w:rPr>
          <w:rFonts w:hint="eastAsia" w:ascii="宋体" w:hAnsi="宋体" w:cs="宋体"/>
          <w:color w:val="auto"/>
          <w:highlight w:val="none"/>
          <w:lang w:val="zh-CN" w:eastAsia="zh-CN"/>
        </w:rPr>
        <w:t xml:space="preserve">15161059788</w:t>
      </w:r>
      <w:r>
        <w:rPr>
          <w:color w:val="auto"/>
          <w:highlight w:val="none"/>
        </w:rP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2.采购代理机构信息</w:t>
      </w:r>
      <w:r>
        <w:rPr>
          <w:color w:val="auto"/>
          <w:highlight w:val="none"/>
        </w:rP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名     称：中证房地产评估造价集团有限公司</w:t>
      </w:r>
      <w:r>
        <w:rPr>
          <w:color w:val="auto"/>
          <w:highlight w:val="none"/>
        </w:rP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地     址：靖江市体育中心综合楼三楼西侧</w:t>
      </w:r>
      <w:r>
        <w:rPr>
          <w:color w:val="auto"/>
          <w:highlight w:val="none"/>
        </w:rP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联系方式：0523-84887798</w:t>
      </w:r>
      <w:r>
        <w:rPr>
          <w:color w:val="auto"/>
          <w:highlight w:val="none"/>
        </w:rPr>
      </w:r>
    </w:p>
    <w:p>
      <w:pPr>
        <w:ind w:firstLine="420"/>
        <w:spacing w:line="440" w:lineRule="exact"/>
        <w:rPr>
          <w:color w:val="auto"/>
          <w:highlight w:val="none"/>
        </w:rPr>
      </w:pPr>
      <w:r>
        <w:rPr>
          <w:rFonts w:hint="eastAsia"/>
          <w:color w:val="auto"/>
          <w:highlight w:val="none"/>
        </w:rPr>
        <w:t xml:space="preserve">联 系 人：钟女士</w:t>
      </w:r>
      <w:r>
        <w:rPr>
          <w:color w:val="auto"/>
          <w:highlight w:val="none"/>
        </w:rPr>
      </w:r>
    </w:p>
    <w:p>
      <w:pPr>
        <w:pStyle w:val="1132"/>
        <w:spacing w:line="240" w:lineRule="auto"/>
        <w:rPr>
          <w:rFonts w:ascii="Arial" w:hAnsi="Arial" w:cs="Arial"/>
          <w:color w:val="auto"/>
          <w:highlight w:val="none"/>
        </w:rPr>
      </w:pPr>
      <w:r>
        <w:rPr>
          <w:rFonts w:hint="eastAsia"/>
          <w:b w:val="0"/>
          <w:bCs w:val="0"/>
          <w:color w:val="auto"/>
          <w:sz w:val="22"/>
          <w:szCs w:val="22"/>
          <w:highlight w:val="none"/>
        </w:rPr>
        <w:br w:type="page" w:clear="all"/>
      </w:r>
      <w:bookmarkEnd w:id="3"/>
      <w:r>
        <w:rPr>
          <w:color w:val="auto"/>
          <w:highlight w:val="none"/>
        </w:rPr>
      </w:r>
      <w:bookmarkStart w:id="23" w:name="_Toc12515"/>
      <w:r>
        <w:rPr>
          <w:color w:val="auto"/>
          <w:highlight w:val="none"/>
        </w:rPr>
      </w:r>
      <w:bookmarkStart w:id="24" w:name="_Toc30798"/>
      <w:r>
        <w:rPr>
          <w:rFonts w:ascii="Arial" w:hAnsi="Arial" w:cs="Arial"/>
          <w:color w:val="auto"/>
          <w:highlight w:val="none"/>
        </w:rPr>
        <w:t xml:space="preserve">第二章 供应商须知</w:t>
      </w:r>
      <w:bookmarkEnd w:id="4"/>
      <w:r>
        <w:rPr>
          <w:color w:val="auto"/>
          <w:highlight w:val="none"/>
        </w:rPr>
      </w:r>
      <w:bookmarkEnd w:id="23"/>
      <w:r>
        <w:rPr>
          <w:color w:val="auto"/>
          <w:highlight w:val="none"/>
        </w:rPr>
      </w:r>
      <w:bookmarkEnd w:id="24"/>
      <w:r>
        <w:rPr>
          <w:color w:val="auto"/>
          <w:highlight w:val="none"/>
        </w:rPr>
      </w:r>
      <w:r>
        <w:rPr>
          <w:color w:val="auto"/>
          <w:highlight w:val="none"/>
        </w:rPr>
      </w:r>
    </w:p>
    <w:p>
      <w:pPr>
        <w:pStyle w:val="1132"/>
        <w:spacing w:before="0" w:after="0"/>
        <w:rPr>
          <w:rFonts w:ascii="Arial" w:hAnsi="Arial" w:cs="Arial"/>
          <w:color w:val="auto"/>
          <w:highlight w:val="none"/>
        </w:rPr>
      </w:pPr>
      <w:r>
        <w:rPr>
          <w:color w:val="auto"/>
          <w:highlight w:val="none"/>
        </w:rPr>
      </w:r>
      <w:bookmarkStart w:id="25" w:name="_Toc31687"/>
      <w:r>
        <w:rPr>
          <w:color w:val="auto"/>
          <w:highlight w:val="none"/>
        </w:rPr>
      </w:r>
      <w:bookmarkStart w:id="26" w:name="_Toc16155"/>
      <w:r>
        <w:rPr>
          <w:color w:val="auto"/>
          <w:highlight w:val="none"/>
        </w:rPr>
      </w:r>
      <w:bookmarkStart w:id="27" w:name="_Toc520356143"/>
      <w:r>
        <w:rPr>
          <w:color w:val="auto"/>
          <w:highlight w:val="none"/>
        </w:rPr>
      </w:r>
      <w:bookmarkStart w:id="28" w:name="_Toc89569838"/>
      <w:r>
        <w:rPr>
          <w:rFonts w:ascii="Arial" w:hAnsi="Arial" w:cs="Arial"/>
          <w:color w:val="auto"/>
          <w:highlight w:val="none"/>
        </w:rPr>
        <w:t xml:space="preserve">供应商须知前附表</w:t>
      </w:r>
      <w:bookmarkEnd w:id="25"/>
      <w:r>
        <w:rPr>
          <w:color w:val="auto"/>
          <w:highlight w:val="none"/>
        </w:rPr>
      </w:r>
      <w:bookmarkEnd w:id="26"/>
      <w:r>
        <w:rPr>
          <w:color w:val="auto"/>
          <w:highlight w:val="none"/>
        </w:rPr>
      </w:r>
      <w:r>
        <w:rPr>
          <w:color w:val="auto"/>
          <w:highlight w:val="none"/>
        </w:rPr>
      </w:r>
    </w:p>
    <w:p>
      <w:pPr>
        <w:rPr>
          <w:color w:val="auto"/>
          <w:highlight w:val="none"/>
        </w:rPr>
      </w:pPr>
      <w:r>
        <w:rPr>
          <w:color w:val="auto"/>
          <w:highlight w:val="none"/>
        </w:rPr>
      </w:r>
      <w:r>
        <w:rPr>
          <w:color w:val="auto"/>
          <w:highlight w:val="none"/>
        </w:rPr>
      </w:r>
    </w:p>
    <w:tbl>
      <w:tblPr>
        <w:tblStyle w:val="912"/>
        <w:tblpPr w:horzAnchor="page" w:tblpX="1300" w:vertAnchor="text" w:tblpY="258" w:leftFromText="180" w:topFromText="0" w:rightFromText="180" w:bottomFromText="0"/>
        <w:tblW w:w="919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440" w:lineRule="exact"/>
              <w:rPr>
                <w:rFonts w:ascii="宋体" w:hAnsi="宋体" w:cs="宋体"/>
                <w:b/>
                <w:bCs/>
                <w:color w:val="auto"/>
                <w:sz w:val="22"/>
                <w:highlight w:val="none"/>
              </w:rPr>
            </w:pPr>
            <w:r>
              <w:rPr>
                <w:color w:val="auto"/>
                <w:highlight w:val="none"/>
              </w:rPr>
            </w:r>
            <w:bookmarkStart w:id="29" w:name="_Toc32443"/>
            <w:r>
              <w:rPr>
                <w:rFonts w:hint="eastAsia" w:ascii="宋体" w:hAnsi="宋体" w:cs="宋体"/>
                <w:b/>
                <w:bCs/>
                <w:color w:val="auto"/>
                <w:sz w:val="22"/>
                <w:highlight w:val="none"/>
              </w:rPr>
              <w:t xml:space="preserve">条款号</w:t>
            </w:r>
            <w:r>
              <w:rPr>
                <w:color w:val="auto"/>
                <w:highlight w:val="none"/>
              </w:rPr>
            </w:r>
          </w:p>
        </w:tc>
        <w:tc>
          <w:tcPr>
            <w:tcW w:w="2316" w:type="dxa"/>
            <w:vAlign w:val="center"/>
            <w:textDirection w:val="lrTb"/>
            <w:noWrap w:val="false"/>
          </w:tcPr>
          <w:p>
            <w:pPr>
              <w:jc w:val="center"/>
              <w:spacing w:line="440" w:lineRule="exact"/>
              <w:rPr>
                <w:rFonts w:ascii="宋体" w:hAnsi="宋体" w:cs="宋体"/>
                <w:b/>
                <w:bCs/>
                <w:color w:val="auto"/>
                <w:sz w:val="22"/>
                <w:highlight w:val="none"/>
              </w:rPr>
            </w:pPr>
            <w:r>
              <w:rPr>
                <w:rFonts w:hint="eastAsia" w:ascii="宋体" w:hAnsi="宋体" w:cs="宋体"/>
                <w:b/>
                <w:bCs/>
                <w:color w:val="auto"/>
                <w:sz w:val="22"/>
                <w:highlight w:val="none"/>
              </w:rPr>
              <w:t xml:space="preserve">条款名称</w:t>
            </w:r>
            <w:r>
              <w:rPr>
                <w:color w:val="auto"/>
                <w:highlight w:val="none"/>
              </w:rPr>
            </w:r>
          </w:p>
        </w:tc>
        <w:tc>
          <w:tcPr>
            <w:tcW w:w="5963" w:type="dxa"/>
            <w:vAlign w:val="center"/>
            <w:textDirection w:val="lrTb"/>
            <w:noWrap w:val="false"/>
          </w:tcPr>
          <w:p>
            <w:pPr>
              <w:jc w:val="center"/>
              <w:spacing w:line="440" w:lineRule="exact"/>
              <w:rPr>
                <w:rFonts w:ascii="宋体" w:hAnsi="宋体" w:cs="宋体"/>
                <w:b/>
                <w:bCs/>
                <w:color w:val="auto"/>
                <w:sz w:val="22"/>
                <w:highlight w:val="none"/>
              </w:rPr>
            </w:pPr>
            <w:r>
              <w:rPr>
                <w:rFonts w:hint="eastAsia" w:ascii="宋体" w:hAnsi="宋体" w:cs="宋体"/>
                <w:b/>
                <w:bCs/>
                <w:color w:val="auto"/>
                <w:sz w:val="22"/>
                <w:highlight w:val="none"/>
              </w:rPr>
              <w:t xml:space="preserve">编列内容</w:t>
            </w:r>
            <w:r>
              <w:rPr>
                <w:color w:val="auto"/>
                <w:highlight w:val="none"/>
              </w:rPr>
            </w:r>
          </w:p>
        </w:tc>
      </w:tr>
      <w:tr>
        <w:trPr>
          <w:trHeight w:val="1158"/>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1.2</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采购人</w:t>
            </w:r>
            <w:r>
              <w:rPr>
                <w:color w:val="auto"/>
                <w:highlight w:val="none"/>
              </w:rPr>
            </w:r>
          </w:p>
        </w:tc>
        <w:tc>
          <w:tcPr>
            <w:tcW w:w="5963" w:type="dxa"/>
            <w:vAlign w:val="center"/>
            <w:textDirection w:val="lrTb"/>
            <w:noWrap w:val="false"/>
          </w:tcPr>
          <w:p>
            <w:pPr>
              <w:spacing w:line="440" w:lineRule="exact"/>
              <w:rPr>
                <w:rFonts w:hint="eastAsia" w:ascii="宋体" w:hAnsi="宋体" w:eastAsia="宋体" w:cs="宋体"/>
                <w:color w:val="auto"/>
                <w:sz w:val="22"/>
                <w:highlight w:val="none"/>
              </w:rPr>
            </w:pPr>
            <w:r>
              <w:rPr>
                <w:rFonts w:hint="eastAsia" w:ascii="宋体" w:hAnsi="宋体" w:cs="宋体"/>
                <w:color w:val="auto"/>
                <w:sz w:val="22"/>
                <w:highlight w:val="none"/>
              </w:rPr>
              <w:t xml:space="preserve">采购人：</w:t>
            </w:r>
            <w:r>
              <w:rPr>
                <w:rFonts w:hint="eastAsia" w:ascii="宋体" w:hAnsi="宋体" w:cs="宋体"/>
                <w:color w:val="auto"/>
                <w:sz w:val="22"/>
                <w:highlight w:val="none"/>
                <w:lang w:eastAsia="zh-CN"/>
              </w:rPr>
              <w:t xml:space="preserve">靖江经济技术开发区管理委员会</w:t>
            </w:r>
            <w:r>
              <w:rPr>
                <w:color w:val="auto"/>
                <w:highlight w:val="none"/>
              </w:rP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地  址：</w:t>
            </w:r>
            <w:r>
              <w:rPr>
                <w:rFonts w:hint="eastAsia" w:ascii="宋体" w:hAnsi="宋体" w:cs="宋体"/>
                <w:color w:val="auto"/>
                <w:sz w:val="22"/>
                <w:highlight w:val="none"/>
                <w:lang w:eastAsia="zh-CN"/>
              </w:rPr>
              <w:t xml:space="preserve">靖江市新港大道99号</w:t>
            </w:r>
            <w:r>
              <w:rPr>
                <w:color w:val="auto"/>
                <w:highlight w:val="none"/>
              </w:rP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联系人：</w:t>
            </w:r>
            <w:r>
              <w:rPr>
                <w:rFonts w:hint="eastAsia" w:ascii="宋体" w:hAnsi="宋体" w:cs="宋体"/>
                <w:color w:val="auto"/>
                <w:sz w:val="22"/>
                <w:highlight w:val="none"/>
                <w:lang w:eastAsia="zh-CN"/>
              </w:rPr>
              <w:t xml:space="preserve">张</w:t>
            </w:r>
            <w:r>
              <w:rPr>
                <w:rFonts w:hint="eastAsia" w:ascii="宋体" w:hAnsi="宋体" w:cs="宋体"/>
                <w:color w:val="auto"/>
                <w:sz w:val="22"/>
                <w:highlight w:val="none"/>
              </w:rPr>
              <w:t xml:space="preserve">先生</w:t>
            </w:r>
            <w:r>
              <w:rPr>
                <w:color w:val="auto"/>
                <w:highlight w:val="none"/>
              </w:rPr>
            </w:r>
          </w:p>
          <w:p>
            <w:pPr>
              <w:spacing w:line="440" w:lineRule="exact"/>
              <w:rPr>
                <w:rFonts w:hint="default" w:ascii="宋体" w:hAnsi="宋体" w:eastAsia="宋体" w:cs="宋体"/>
                <w:color w:val="auto"/>
                <w:sz w:val="22"/>
                <w:highlight w:val="none"/>
              </w:rPr>
            </w:pPr>
            <w:r>
              <w:rPr>
                <w:rFonts w:hint="eastAsia" w:ascii="宋体" w:hAnsi="宋体" w:cs="宋体"/>
                <w:color w:val="auto"/>
                <w:sz w:val="22"/>
                <w:highlight w:val="none"/>
              </w:rPr>
              <w:t xml:space="preserve">电  话：</w:t>
            </w:r>
            <w:r>
              <w:rPr>
                <w:rFonts w:hint="eastAsia" w:ascii="宋体" w:hAnsi="宋体" w:cs="宋体"/>
                <w:color w:val="auto"/>
                <w:sz w:val="22"/>
                <w:highlight w:val="none"/>
                <w:lang w:val="en-US" w:eastAsia="zh-CN"/>
              </w:rPr>
              <w:t xml:space="preserve">15161059788</w:t>
            </w:r>
            <w:r>
              <w:rPr>
                <w:color w:val="auto"/>
                <w:highlight w:val="none"/>
              </w:rPr>
            </w:r>
          </w:p>
        </w:tc>
      </w:tr>
      <w:tr>
        <w:trPr>
          <w:trHeight w:val="92"/>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1.1.3</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采购代理机构</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名称：中证房地产评估造价集团有限公司</w:t>
            </w:r>
            <w:r>
              <w:rPr>
                <w:color w:val="auto"/>
                <w:highlight w:val="none"/>
              </w:rP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地址：靖江市体育中心综合楼三楼西侧</w:t>
            </w:r>
            <w:r>
              <w:rPr>
                <w:color w:val="auto"/>
                <w:highlight w:val="none"/>
              </w:rP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联系方式：0523-84887798</w:t>
            </w:r>
            <w:r>
              <w:rPr>
                <w:color w:val="auto"/>
                <w:highlight w:val="none"/>
              </w:rP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联 系 人：钟女士</w:t>
            </w:r>
            <w:r>
              <w:rPr>
                <w:color w:val="auto"/>
                <w:highlight w:val="none"/>
              </w:rP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rPr>
                <w:rFonts w:hint="eastAsia" w:ascii="宋体" w:hAnsi="宋体" w:cs="宋体"/>
                <w:color w:val="auto"/>
                <w:sz w:val="22"/>
                <w:highlight w:val="none"/>
              </w:rPr>
              <w:t xml:space="preserve">4</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项目名称</w:t>
            </w:r>
            <w:r>
              <w:rPr>
                <w:color w:val="auto"/>
                <w:highlight w:val="none"/>
              </w:rPr>
            </w:r>
          </w:p>
        </w:tc>
        <w:tc>
          <w:tcPr>
            <w:tcW w:w="5963" w:type="dxa"/>
            <w:vAlign w:val="center"/>
            <w:textDirection w:val="lrTb"/>
            <w:noWrap w:val="false"/>
          </w:tcPr>
          <w:p>
            <w:pPr>
              <w:spacing w:line="440" w:lineRule="exact"/>
              <w:rPr>
                <w:rFonts w:hint="eastAsia" w:ascii="宋体" w:hAnsi="宋体" w:eastAsia="宋体" w:cs="宋体"/>
                <w:color w:val="auto"/>
                <w:sz w:val="22"/>
                <w:highlight w:val="none"/>
              </w:rPr>
            </w:pPr>
            <w:r>
              <w:rPr>
                <w:rFonts w:hint="eastAsia" w:ascii="宋体" w:hAnsi="宋体" w:cs="宋体"/>
                <w:color w:val="auto"/>
                <w:sz w:val="22"/>
                <w:highlight w:val="none"/>
                <w:lang w:eastAsia="zh-CN"/>
              </w:rPr>
              <w:t xml:space="preserve">开发区本部区域生活污水泵站维保</w:t>
            </w:r>
            <w:r>
              <w:rPr>
                <w:color w:val="auto"/>
                <w:highlight w:val="none"/>
              </w:rP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rPr>
                <w:rFonts w:hint="eastAsia" w:ascii="宋体" w:hAnsi="宋体" w:cs="宋体"/>
                <w:color w:val="auto"/>
                <w:sz w:val="22"/>
                <w:highlight w:val="none"/>
              </w:rPr>
              <w:t xml:space="preserve">5</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项目编号</w:t>
            </w:r>
            <w:r>
              <w:rPr>
                <w:color w:val="auto"/>
                <w:highlight w:val="none"/>
              </w:rPr>
            </w:r>
          </w:p>
        </w:tc>
        <w:tc>
          <w:tcPr>
            <w:tcW w:w="5963" w:type="dxa"/>
            <w:vAlign w:val="center"/>
            <w:textDirection w:val="lrTb"/>
            <w:noWrap w:val="false"/>
          </w:tcPr>
          <w:p>
            <w:pPr>
              <w:spacing w:line="440" w:lineRule="exact"/>
              <w:rPr>
                <w:rFonts w:hint="eastAsia" w:ascii="宋体" w:hAnsi="宋体" w:eastAsia="宋体" w:cs="黑体"/>
                <w:color w:val="auto"/>
                <w:sz w:val="22"/>
                <w:highlight w:val="none"/>
              </w:rPr>
            </w:pPr>
            <w:r>
              <w:rPr>
                <w:rFonts w:hint="eastAsia" w:ascii="宋体" w:hAnsi="宋体" w:cs="黑体"/>
                <w:color w:val="auto"/>
                <w:sz w:val="22"/>
                <w:highlight w:val="none"/>
                <w:lang w:eastAsia="zh-CN"/>
              </w:rPr>
              <w:t xml:space="preserve">JSZC-321282-ZZJT-G2024-0038</w:t>
            </w:r>
            <w:r>
              <w:rPr>
                <w:color w:val="auto"/>
                <w:highlight w:val="none"/>
              </w:rP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1.1.6</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采购预算</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b/>
                <w:bCs/>
                <w:color w:val="auto"/>
                <w:sz w:val="22"/>
                <w:highlight w:val="none"/>
                <w:u w:val="none"/>
                <w:lang w:val="en-US" w:eastAsia="zh-CN"/>
              </w:rPr>
              <w:t xml:space="preserve">3975100.68</w:t>
            </w:r>
            <w:r>
              <w:rPr>
                <w:rFonts w:hint="eastAsia" w:ascii="宋体" w:hAnsi="宋体" w:cs="宋体"/>
                <w:b/>
                <w:bCs/>
                <w:color w:val="auto"/>
                <w:sz w:val="22"/>
                <w:highlight w:val="none"/>
                <w:u w:val="none"/>
              </w:rPr>
              <w:t xml:space="preserve">元；</w:t>
            </w:r>
            <w:r>
              <w:rPr>
                <w:color w:val="auto"/>
                <w:highlight w:val="none"/>
              </w:rP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1.1.7</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最高限价</w:t>
            </w:r>
            <w:r>
              <w:rPr>
                <w:color w:val="auto"/>
                <w:highlight w:val="none"/>
              </w:rPr>
            </w:r>
          </w:p>
        </w:tc>
        <w:tc>
          <w:tcPr>
            <w:tcW w:w="5963" w:type="dxa"/>
            <w:vAlign w:val="center"/>
            <w:textDirection w:val="lrTb"/>
            <w:noWrap w:val="false"/>
          </w:tcPr>
          <w:p>
            <w:pPr>
              <w:spacing w:line="440" w:lineRule="exact"/>
              <w:rPr>
                <w:rFonts w:ascii="宋体" w:hAnsi="宋体" w:cs="宋体"/>
                <w:b/>
                <w:bCs/>
                <w:color w:val="auto"/>
                <w:sz w:val="22"/>
                <w:highlight w:val="none"/>
                <w:u w:val="single"/>
              </w:rPr>
            </w:pPr>
            <w:r>
              <w:rPr>
                <w:rFonts w:hint="eastAsia" w:ascii="宋体" w:hAnsi="宋体" w:cs="宋体"/>
                <w:color w:val="auto"/>
                <w:sz w:val="22"/>
                <w:highlight w:val="none"/>
                <w:u w:val="single"/>
              </w:rPr>
              <w:t xml:space="preserve">同“预算金额”</w:t>
            </w:r>
            <w:r>
              <w:rPr>
                <w:color w:val="auto"/>
                <w:highlight w:val="none"/>
              </w:rP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1.1.8</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标的物所属行业</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u w:val="single"/>
              </w:rPr>
            </w:pPr>
            <w:r>
              <w:rPr>
                <w:rFonts w:hint="eastAsia" w:ascii="宋体" w:hAnsi="宋体" w:cs="宋体"/>
                <w:color w:val="auto"/>
                <w:sz w:val="22"/>
                <w:highlight w:val="none"/>
                <w:u w:val="single"/>
              </w:rPr>
              <w:t xml:space="preserve">请参照《关于印发中小企业划型标准规定的通知》（工信部联企业[2011]300号）文件“其他未列明行业”。</w:t>
            </w:r>
            <w:r>
              <w:rPr>
                <w:color w:val="auto"/>
                <w:highlight w:val="none"/>
              </w:rP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2.1</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服务期</w:t>
            </w:r>
            <w:r>
              <w:rPr>
                <w:color w:val="auto"/>
                <w:highlight w:val="none"/>
              </w:rPr>
            </w:r>
          </w:p>
        </w:tc>
        <w:tc>
          <w:tcPr>
            <w:tcW w:w="596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cs="宋体"/>
                <w:color w:val="auto"/>
                <w:highlight w:val="none"/>
                <w:lang w:eastAsia="zh-CN"/>
              </w:rPr>
              <w:t xml:space="preserve">三年</w:t>
            </w:r>
            <w:r>
              <w:rPr>
                <w:color w:val="auto"/>
                <w:highlight w:val="none"/>
              </w:rP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2.2</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验收要求</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符合招标文件的项目需求。</w:t>
            </w:r>
            <w:r>
              <w:rPr>
                <w:color w:val="auto"/>
                <w:highlight w:val="none"/>
              </w:rPr>
            </w:r>
          </w:p>
        </w:tc>
      </w:tr>
      <w:tr>
        <w:trPr>
          <w:trHeight w:val="715"/>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1.3.2</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落实政府采购政策需满足的资格要求</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见“第一章招标公告”</w:t>
            </w:r>
            <w:r>
              <w:rPr>
                <w:color w:val="auto"/>
                <w:highlight w:val="none"/>
              </w:rPr>
            </w:r>
          </w:p>
        </w:tc>
      </w:tr>
      <w:tr>
        <w:trPr>
          <w:trHeight w:val="398"/>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1.3.3</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特定资格条件</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见“第一章招标公告”</w:t>
            </w:r>
            <w:r>
              <w:rPr>
                <w:color w:val="auto"/>
                <w:highlight w:val="none"/>
              </w:rPr>
            </w:r>
          </w:p>
        </w:tc>
      </w:tr>
      <w:tr>
        <w:trPr>
          <w:trHeight w:val="710"/>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1.3.5</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olor w:val="auto"/>
                <w:highlight w:val="none"/>
              </w:rPr>
              <w:t xml:space="preserve">是否接受联合体投标</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rPr>
                <w:color w:val="auto"/>
                <w:highlight w:val="none"/>
              </w:rPr>
            </w:r>
          </w:p>
          <w:p>
            <w:pPr>
              <w:spacing w:line="440" w:lineRule="exact"/>
              <w:rPr>
                <w:rFonts w:ascii="宋体" w:hAnsi="宋体" w:cs="宋体"/>
                <w:color w:val="auto"/>
                <w:sz w:val="22"/>
                <w:highlight w:val="non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w:t>
            </w:r>
            <w:r>
              <w:rPr>
                <w:color w:val="auto"/>
                <w:highlight w:val="none"/>
              </w:rPr>
            </w:r>
          </w:p>
        </w:tc>
      </w:tr>
      <w:tr>
        <w:trPr>
          <w:trHeight w:val="357"/>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1.4.1</w:t>
            </w:r>
            <w:r>
              <w:rPr>
                <w:color w:val="auto"/>
                <w:highlight w:val="none"/>
              </w:rPr>
            </w:r>
          </w:p>
        </w:tc>
        <w:tc>
          <w:tcPr>
            <w:tcW w:w="2316" w:type="dxa"/>
            <w:vAlign w:val="center"/>
            <w:textDirection w:val="lrTb"/>
            <w:noWrap w:val="false"/>
          </w:tcPr>
          <w:p>
            <w:pPr>
              <w:jc w:val="center"/>
              <w:spacing w:line="440" w:lineRule="exact"/>
              <w:rPr>
                <w:rFonts w:ascii="宋体" w:hAnsi="宋体"/>
                <w:color w:val="auto"/>
                <w:highlight w:val="none"/>
              </w:rPr>
            </w:pPr>
            <w:r>
              <w:rPr>
                <w:rFonts w:hint="eastAsia" w:ascii="宋体" w:hAnsi="宋体" w:cs="宋体"/>
                <w:color w:val="auto"/>
                <w:sz w:val="22"/>
                <w:highlight w:val="none"/>
              </w:rPr>
              <w:t xml:space="preserve">踏勘现场</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rPr>
                <w:color w:val="auto"/>
                <w:highlight w:val="none"/>
              </w:rPr>
            </w:r>
          </w:p>
          <w:p>
            <w:pPr>
              <w:spacing w:line="440" w:lineRule="exact"/>
              <w:rPr>
                <w:rFonts w:ascii="宋体" w:hAnsi="宋体" w:cs="宋体"/>
                <w:color w:val="auto"/>
                <w:sz w:val="22"/>
                <w:highlight w:val="non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否,自行踏勘</w:t>
            </w:r>
            <w:r>
              <w:rPr>
                <w:color w:val="auto"/>
                <w:highlight w:val="none"/>
              </w:rPr>
            </w:r>
          </w:p>
        </w:tc>
      </w:tr>
      <w:tr>
        <w:trPr>
          <w:trHeight w:val="357"/>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.2</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供应商询问提交</w:t>
            </w:r>
            <w:r>
              <w:rPr>
                <w:color w:val="auto"/>
                <w:highlight w:val="none"/>
              </w:rPr>
            </w:r>
          </w:p>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截止时间</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rPr>
            </w:pPr>
            <w:r>
              <w:rPr>
                <w:rFonts w:ascii="宋体" w:hAnsi="宋体" w:cs="宋体"/>
                <w:color w:val="auto"/>
                <w:sz w:val="22"/>
                <w:highlight w:val="none"/>
                <w:u w:val="single"/>
              </w:rPr>
              <w:t xml:space="preserve">20</w:t>
            </w:r>
            <w:r>
              <w:rPr>
                <w:rFonts w:hint="eastAsia" w:ascii="宋体" w:hAnsi="宋体" w:cs="宋体"/>
                <w:color w:val="auto"/>
                <w:sz w:val="22"/>
                <w:highlight w:val="none"/>
                <w:u w:val="single"/>
              </w:rPr>
              <w:t xml:space="preserve">24</w:t>
            </w:r>
            <w:r>
              <w:rPr>
                <w:rFonts w:hint="eastAsia" w:ascii="宋体" w:hAnsi="宋体" w:cs="宋体"/>
                <w:color w:val="auto"/>
                <w:sz w:val="22"/>
                <w:highlight w:val="none"/>
              </w:rPr>
              <w:t xml:space="preserve">年</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月</w:t>
            </w:r>
            <w:r>
              <w:rPr>
                <w:rFonts w:hint="eastAsia" w:ascii="宋体" w:hAnsi="宋体" w:cs="宋体"/>
                <w:color w:val="auto"/>
                <w:sz w:val="22"/>
                <w:highlight w:val="none"/>
                <w:u w:val="single"/>
                <w:lang w:val="en-US" w:eastAsia="zh-CN"/>
              </w:rPr>
              <w:t xml:space="preserve">2</w:t>
            </w:r>
            <w:r>
              <w:rPr>
                <w:rFonts w:hint="eastAsia" w:ascii="宋体" w:hAnsi="宋体" w:cs="宋体"/>
                <w:color w:val="auto"/>
                <w:sz w:val="22"/>
                <w:highlight w:val="none"/>
              </w:rPr>
              <w:t xml:space="preserve">日17:30时</w:t>
            </w:r>
            <w:r>
              <w:rPr>
                <w:color w:val="auto"/>
                <w:highlight w:val="none"/>
              </w:rPr>
            </w:r>
          </w:p>
        </w:tc>
      </w:tr>
      <w:tr>
        <w:trPr>
          <w:trHeight w:val="614"/>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投标有效期</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u w:val="single"/>
              </w:rPr>
            </w:pPr>
            <w:r>
              <w:rPr>
                <w:rFonts w:hint="eastAsia" w:ascii="宋体" w:hAnsi="宋体" w:cs="宋体"/>
                <w:color w:val="auto"/>
                <w:sz w:val="22"/>
                <w:highlight w:val="none"/>
                <w:u w:val="single"/>
                <w:lang w:val="en-US" w:eastAsia="zh-CN"/>
              </w:rPr>
              <w:t xml:space="preserve">60</w:t>
            </w:r>
            <w:r>
              <w:rPr>
                <w:rFonts w:hint="eastAsia" w:ascii="宋体" w:hAnsi="宋体" w:cs="宋体"/>
                <w:color w:val="auto"/>
                <w:sz w:val="22"/>
                <w:highlight w:val="none"/>
                <w:u w:val="single"/>
              </w:rPr>
              <w:t xml:space="preserve"> </w:t>
            </w:r>
            <w:r>
              <w:rPr>
                <w:rFonts w:hint="eastAsia" w:ascii="宋体" w:hAnsi="宋体" w:cs="宋体"/>
                <w:color w:val="auto"/>
                <w:sz w:val="22"/>
                <w:highlight w:val="none"/>
                <w:lang w:val="zh-CN"/>
              </w:rPr>
              <w:t xml:space="preserve">日（从投标截止之日算起）</w:t>
            </w:r>
            <w:r>
              <w:rPr>
                <w:color w:val="auto"/>
                <w:highlight w:val="none"/>
              </w:rPr>
            </w:r>
          </w:p>
        </w:tc>
      </w:tr>
      <w:tr>
        <w:trPr>
          <w:trHeight w:val="244"/>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4.2</w:t>
            </w:r>
            <w:r>
              <w:rPr>
                <w:rFonts w:ascii="宋体" w:hAnsi="宋体" w:cs="宋体"/>
                <w:color w:val="auto"/>
                <w:sz w:val="22"/>
                <w:highlight w:val="none"/>
              </w:rPr>
              <w:t xml:space="preserve">.1</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投标文件提交截止</w:t>
            </w:r>
            <w:r>
              <w:rPr>
                <w:color w:val="auto"/>
                <w:highlight w:val="none"/>
              </w:rPr>
            </w:r>
          </w:p>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时间和地点</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时间：</w:t>
            </w:r>
            <w:r>
              <w:rPr>
                <w:rFonts w:hint="eastAsia" w:ascii="宋体" w:hAnsi="宋体" w:cs="宋体"/>
                <w:color w:val="auto"/>
                <w:sz w:val="22"/>
                <w:highlight w:val="none"/>
                <w:u w:val="single"/>
              </w:rPr>
              <w:t xml:space="preserve"> 见“第一章招标公告”</w:t>
            </w:r>
            <w:r>
              <w:rPr>
                <w:color w:val="auto"/>
                <w:highlight w:val="none"/>
              </w:rPr>
            </w:r>
          </w:p>
          <w:p>
            <w:pPr>
              <w:spacing w:line="440" w:lineRule="exact"/>
              <w:rPr>
                <w:rFonts w:ascii="宋体" w:hAnsi="宋体" w:cs="宋体"/>
                <w:b/>
                <w:color w:val="auto"/>
                <w:sz w:val="22"/>
                <w:highlight w:val="none"/>
              </w:rPr>
            </w:pPr>
            <w:r>
              <w:rPr>
                <w:rFonts w:hint="eastAsia" w:ascii="宋体" w:hAnsi="宋体" w:cs="宋体"/>
                <w:color w:val="auto"/>
                <w:sz w:val="22"/>
                <w:highlight w:val="none"/>
              </w:rPr>
              <w:t xml:space="preserve">地点：</w:t>
            </w:r>
            <w:r>
              <w:rPr>
                <w:rFonts w:hint="eastAsia" w:ascii="宋体" w:hAnsi="宋体" w:cs="宋体"/>
                <w:color w:val="auto"/>
                <w:sz w:val="22"/>
                <w:highlight w:val="none"/>
                <w:u w:val="single"/>
              </w:rPr>
              <w:t xml:space="preserve"> 见“第一章招标公告”</w:t>
            </w:r>
            <w:r>
              <w:rPr>
                <w:color w:val="auto"/>
                <w:highlight w:val="none"/>
              </w:rPr>
            </w:r>
          </w:p>
        </w:tc>
      </w:tr>
      <w:tr>
        <w:trPr>
          <w:trHeight w:val="657"/>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开标时间和地点</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u w:val="single"/>
              </w:rPr>
            </w:pPr>
            <w:r>
              <w:rPr>
                <w:rFonts w:hint="eastAsia" w:ascii="宋体" w:hAnsi="宋体" w:cs="宋体"/>
                <w:color w:val="auto"/>
                <w:sz w:val="22"/>
                <w:highlight w:val="none"/>
              </w:rPr>
              <w:t xml:space="preserve">开标时间：</w:t>
            </w:r>
            <w:r>
              <w:rPr>
                <w:rFonts w:hint="eastAsia" w:ascii="宋体" w:hAnsi="宋体" w:cs="宋体"/>
                <w:color w:val="auto"/>
                <w:sz w:val="22"/>
                <w:highlight w:val="none"/>
                <w:u w:val="single"/>
              </w:rPr>
              <w:t xml:space="preserve">同投标文件提交截止时间</w:t>
            </w:r>
            <w:r>
              <w:rPr>
                <w:color w:val="auto"/>
                <w:highlight w:val="none"/>
              </w:rP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开标地点：</w:t>
            </w:r>
            <w:r>
              <w:rPr>
                <w:rFonts w:hint="eastAsia" w:ascii="宋体" w:hAnsi="宋体" w:cs="宋体"/>
                <w:color w:val="auto"/>
                <w:sz w:val="22"/>
                <w:highlight w:val="none"/>
                <w:u w:val="single"/>
              </w:rPr>
              <w:t xml:space="preserve"> 同投标文件提交地点 </w:t>
            </w:r>
            <w:r>
              <w:rPr>
                <w:color w:val="auto"/>
                <w:highlight w:val="none"/>
              </w:rPr>
            </w:r>
          </w:p>
        </w:tc>
      </w:tr>
      <w:tr>
        <w:trPr>
          <w:trHeight w:val="883"/>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5.3.1</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评标委员会成员</w:t>
            </w:r>
            <w:r>
              <w:rPr>
                <w:color w:val="auto"/>
                <w:highlight w:val="none"/>
              </w:rPr>
            </w:r>
          </w:p>
        </w:tc>
        <w:tc>
          <w:tcPr>
            <w:tcW w:w="5963" w:type="dxa"/>
            <w:vAlign w:val="center"/>
            <w:textDirection w:val="lrTb"/>
            <w:noWrap w:val="false"/>
          </w:tcPr>
          <w:p>
            <w:pPr>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评标委员会人数：</w:t>
            </w:r>
            <w:r>
              <w:rPr>
                <w:rFonts w:hint="eastAsia" w:ascii="宋体" w:hAnsi="宋体" w:cs="宋体"/>
                <w:color w:val="auto"/>
                <w:sz w:val="22"/>
                <w:highlight w:val="none"/>
                <w:u w:val="single"/>
              </w:rPr>
              <w:t xml:space="preserve"> 5 </w:t>
            </w:r>
            <w:r>
              <w:rPr>
                <w:rFonts w:hint="eastAsia" w:ascii="宋体" w:hAnsi="宋体" w:cs="宋体"/>
                <w:color w:val="auto"/>
                <w:sz w:val="22"/>
                <w:highlight w:val="none"/>
              </w:rPr>
              <w:t xml:space="preserve">人；其中：采购人代表</w:t>
            </w:r>
            <w:r>
              <w:rPr>
                <w:rFonts w:hint="eastAsia" w:ascii="宋体" w:hAnsi="宋体" w:cs="宋体"/>
                <w:color w:val="auto"/>
                <w:sz w:val="22"/>
                <w:highlight w:val="none"/>
                <w:u w:val="single"/>
              </w:rPr>
              <w:t xml:space="preserve"> 1 </w:t>
            </w:r>
            <w:r>
              <w:rPr>
                <w:rFonts w:hint="eastAsia" w:ascii="宋体" w:hAnsi="宋体" w:cs="宋体"/>
                <w:color w:val="auto"/>
                <w:sz w:val="22"/>
                <w:highlight w:val="none"/>
              </w:rPr>
              <w:t xml:space="preserve">人，评审专家</w:t>
            </w:r>
            <w:r>
              <w:rPr>
                <w:rFonts w:hint="eastAsia" w:ascii="宋体" w:hAnsi="宋体" w:cs="宋体"/>
                <w:color w:val="auto"/>
                <w:sz w:val="22"/>
                <w:highlight w:val="none"/>
                <w:u w:val="single"/>
              </w:rPr>
              <w:t xml:space="preserve"> 4 </w:t>
            </w:r>
            <w:r>
              <w:rPr>
                <w:rFonts w:hint="eastAsia" w:ascii="宋体" w:hAnsi="宋体" w:cs="宋体"/>
                <w:color w:val="auto"/>
                <w:sz w:val="22"/>
                <w:highlight w:val="none"/>
              </w:rPr>
              <w:t xml:space="preserve">人或全部由评审专家组成。</w:t>
            </w:r>
            <w:r>
              <w:rPr>
                <w:color w:val="auto"/>
                <w:highlight w:val="none"/>
              </w:rPr>
            </w:r>
          </w:p>
        </w:tc>
      </w:tr>
      <w:tr>
        <w:trPr>
          <w:trHeight w:val="698"/>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5.4.2</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评标委员会推荐中标</w:t>
            </w:r>
            <w:r>
              <w:rPr>
                <w:color w:val="auto"/>
                <w:highlight w:val="none"/>
              </w:rPr>
            </w:r>
          </w:p>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候选人的人数</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u w:val="single"/>
              </w:rPr>
              <w:t xml:space="preserve"> 3 </w:t>
            </w:r>
            <w:r>
              <w:rPr>
                <w:rFonts w:hint="eastAsia" w:ascii="宋体" w:hAnsi="宋体" w:cs="宋体"/>
                <w:color w:val="auto"/>
                <w:sz w:val="22"/>
                <w:highlight w:val="none"/>
              </w:rPr>
              <w:t xml:space="preserve">名</w:t>
            </w:r>
            <w:r>
              <w:rPr>
                <w:color w:val="auto"/>
                <w:highlight w:val="none"/>
              </w:rPr>
            </w:r>
          </w:p>
        </w:tc>
      </w:tr>
      <w:tr>
        <w:trPr>
          <w:trHeight w:val="790"/>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6.1.2</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是否委托评标委员会</w:t>
            </w:r>
            <w:r>
              <w:rPr>
                <w:color w:val="auto"/>
                <w:highlight w:val="none"/>
              </w:rPr>
            </w:r>
          </w:p>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直接确定中标人</w:t>
            </w:r>
            <w:r>
              <w:rPr>
                <w:color w:val="auto"/>
                <w:highlight w:val="none"/>
              </w:rPr>
            </w:r>
          </w:p>
        </w:tc>
        <w:tc>
          <w:tcPr>
            <w:tcW w:w="5963"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rPr>
                <w:color w:val="auto"/>
                <w:highlight w:val="none"/>
              </w:rP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w:t>
            </w:r>
            <w:r>
              <w:rPr>
                <w:color w:val="auto"/>
                <w:highlight w:val="none"/>
              </w:rPr>
            </w:r>
          </w:p>
        </w:tc>
      </w:tr>
      <w:tr>
        <w:trPr>
          <w:trHeight w:val="898"/>
        </w:trPr>
        <w:tc>
          <w:tcPr>
            <w:tcW w:w="919" w:type="dxa"/>
            <w:vAlign w:val="center"/>
            <w:textDirection w:val="lrTb"/>
            <w:noWrap w:val="false"/>
          </w:tcPr>
          <w:p>
            <w:pPr>
              <w:jc w:val="center"/>
              <w:spacing w:line="440" w:lineRule="exact"/>
              <w:rPr>
                <w:rFonts w:ascii="宋体" w:hAnsi="宋体" w:cs="宋体"/>
                <w:i/>
                <w:iCs/>
                <w:color w:val="auto"/>
                <w:sz w:val="22"/>
                <w:highlight w:val="none"/>
              </w:rPr>
            </w:pPr>
            <w:r>
              <w:rPr>
                <w:rFonts w:hint="eastAsia" w:ascii="宋体" w:hAnsi="宋体" w:cs="宋体"/>
                <w:i/>
                <w:iCs/>
                <w:color w:val="auto"/>
                <w:sz w:val="22"/>
                <w:highlight w:val="none"/>
              </w:rPr>
              <w:t xml:space="preserve">6.3</w:t>
            </w:r>
            <w:r>
              <w:rPr>
                <w:rFonts w:ascii="宋体" w:hAnsi="宋体" w:cs="宋体"/>
                <w:i/>
                <w:iCs/>
                <w:color w:val="auto"/>
                <w:sz w:val="22"/>
                <w:highlight w:val="none"/>
              </w:rPr>
              <w:t xml:space="preserve">.</w:t>
            </w:r>
            <w:r>
              <w:rPr>
                <w:rFonts w:hint="eastAsia" w:ascii="宋体" w:hAnsi="宋体" w:cs="宋体"/>
                <w:i/>
                <w:iCs/>
                <w:color w:val="auto"/>
                <w:sz w:val="22"/>
                <w:highlight w:val="none"/>
              </w:rPr>
              <w:t xml:space="preserve">1</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履约保证金</w:t>
            </w:r>
            <w:r>
              <w:rPr>
                <w:color w:val="auto"/>
                <w:highlight w:val="none"/>
              </w:rPr>
            </w:r>
          </w:p>
        </w:tc>
        <w:tc>
          <w:tcPr>
            <w:tcW w:w="5963" w:type="dxa"/>
            <w:vAlign w:val="center"/>
            <w:textDirection w:val="lrTb"/>
            <w:noWrap w:val="false"/>
          </w:tcPr>
          <w:p>
            <w:pPr>
              <w:spacing w:line="360" w:lineRule="auto"/>
              <w:rPr>
                <w:rFonts w:ascii="Wingdings" w:hAnsi="Wingdings" w:eastAsia="Wingdings" w:cs="Wingdings"/>
                <w:color w:val="auto"/>
                <w:sz w:val="22"/>
                <w:highlight w:val="none"/>
              </w:rPr>
            </w:pPr>
            <w:r>
              <w:rPr>
                <w:rFonts w:hint="eastAsia" w:ascii="Wingdings" w:hAnsi="Wingdings" w:eastAsia="Wingdings" w:cs="Wingdings"/>
                <w:color w:val="auto"/>
                <w:sz w:val="22"/>
                <w:highlight w:val="none"/>
                <w:lang w:val="zh-CN"/>
              </w:rPr>
              <w:t xml:space="preserve">履约保证金：</w:t>
            </w:r>
            <w:r>
              <w:rPr>
                <w:rFonts w:hint="eastAsia" w:ascii="Wingdings" w:hAnsi="Wingdings" w:eastAsia="Wingdings" w:cs="Wingdings"/>
                <w:color w:val="auto"/>
                <w:sz w:val="22"/>
                <w:highlight w:val="none"/>
                <w:lang w:val="zh-CN" w:eastAsia="zh-CN"/>
              </w:rPr>
              <w:t xml:space="preserve">缴纳形式：</w:t>
            </w:r>
            <w:r>
              <w:rPr>
                <w:color w:val="auto"/>
                <w:highlight w:val="none"/>
              </w:rPr>
            </w:r>
          </w:p>
          <w:p>
            <w:pPr>
              <w:spacing w:line="360" w:lineRule="auto"/>
              <w:rPr>
                <w:rFonts w:hint="eastAsia" w:ascii="宋体" w:hAnsi="宋体" w:cs="宋体"/>
                <w:color w:val="auto"/>
                <w:sz w:val="22"/>
                <w:highlight w:val="none"/>
              </w:rPr>
            </w:pPr>
            <w:r>
              <w:rPr>
                <w:rFonts w:ascii="Wingdings" w:hAnsi="Wingdings" w:eastAsia="Wingdings" w:cs="Wingdings"/>
                <w:color w:val="auto"/>
                <w:sz w:val="22"/>
                <w:highlight w:val="none"/>
              </w:rPr>
              <w:t xml:space="preserve">þ</w:t>
            </w:r>
            <w:r>
              <w:rPr>
                <w:rFonts w:hint="eastAsia" w:ascii="宋体" w:hAnsi="宋体" w:cs="宋体"/>
                <w:color w:val="auto"/>
                <w:sz w:val="22"/>
                <w:highlight w:val="none"/>
                <w:lang w:val="zh-CN"/>
              </w:rPr>
              <w:t xml:space="preserve">银行电汇或网上银行支付 </w:t>
            </w:r>
            <w:r>
              <w:rPr>
                <w:color w:val="auto"/>
                <w:highlight w:val="none"/>
              </w:rPr>
            </w:r>
          </w:p>
          <w:p>
            <w:pPr>
              <w:spacing w:line="360" w:lineRule="auto"/>
              <w:rPr>
                <w:rFonts w:hint="eastAsia" w:ascii="宋体" w:hAnsi="宋体" w:cs="宋体"/>
                <w:color w:val="auto"/>
                <w:sz w:val="22"/>
                <w:highlight w:val="none"/>
              </w:rPr>
            </w:pPr>
            <w:r>
              <w:rPr>
                <w:rFonts w:ascii="Wingdings" w:hAnsi="Wingdings" w:eastAsia="Wingdings" w:cs="Wingdings"/>
                <w:color w:val="auto"/>
                <w:sz w:val="22"/>
                <w:highlight w:val="none"/>
              </w:rPr>
              <w:t xml:space="preserve">þ</w:t>
            </w:r>
            <w:r>
              <w:rPr>
                <w:rFonts w:hint="eastAsia" w:ascii="宋体" w:hAnsi="宋体" w:cs="宋体"/>
                <w:color w:val="auto"/>
                <w:sz w:val="22"/>
                <w:highlight w:val="none"/>
                <w:lang w:val="zh-CN"/>
              </w:rPr>
              <w:t xml:space="preserve">银行保函</w:t>
            </w:r>
            <w:r>
              <w:rPr>
                <w:color w:val="auto"/>
                <w:highlight w:val="none"/>
              </w:rPr>
            </w:r>
          </w:p>
          <w:p>
            <w:pPr>
              <w:spacing w:line="360" w:lineRule="auto"/>
              <w:rPr>
                <w:rFonts w:hint="eastAsia" w:ascii="宋体" w:hAnsi="宋体" w:cs="宋体"/>
                <w:color w:val="auto"/>
                <w:sz w:val="22"/>
                <w:highlight w:val="none"/>
              </w:rPr>
            </w:pPr>
            <w:r>
              <w:rPr>
                <w:rFonts w:ascii="Wingdings" w:hAnsi="Wingdings" w:eastAsia="Wingdings" w:cs="Wingdings"/>
                <w:color w:val="auto"/>
                <w:sz w:val="22"/>
                <w:highlight w:val="none"/>
              </w:rPr>
              <w:t xml:space="preserve">þ</w:t>
            </w:r>
            <w:r>
              <w:rPr>
                <w:rFonts w:hint="eastAsia" w:ascii="宋体" w:hAnsi="宋体" w:cs="宋体"/>
                <w:color w:val="auto"/>
                <w:sz w:val="22"/>
                <w:highlight w:val="none"/>
                <w:lang w:val="zh-CN"/>
              </w:rPr>
              <w:t xml:space="preserve">保证保险</w:t>
            </w:r>
            <w:r>
              <w:rPr>
                <w:color w:val="auto"/>
                <w:highlight w:val="none"/>
              </w:rP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lang w:val="zh-CN"/>
              </w:rPr>
              <w:t xml:space="preserve">履约保证金的金额：中标价的</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lang w:val="zh-CN"/>
              </w:rPr>
              <w:t xml:space="preserve">%，投标人在收到中标通知书后，须在签订合同前向采购人提交足额履约保证金，否则招标人可以取消其中标资格。</w:t>
            </w:r>
            <w:r>
              <w:rPr>
                <w:color w:val="auto"/>
                <w:highlight w:val="none"/>
              </w:rPr>
            </w:r>
          </w:p>
          <w:p>
            <w:pPr>
              <w:spacing w:line="440" w:lineRule="exact"/>
              <w:rPr>
                <w:rFonts w:ascii="宋体" w:hAnsi="宋体" w:cs="宋体"/>
                <w:color w:val="auto"/>
                <w:sz w:val="22"/>
                <w:highlight w:val="none"/>
              </w:rPr>
            </w:pPr>
            <w:r>
              <w:rPr>
                <w:rFonts w:hint="eastAsia" w:ascii="宋体" w:hAnsi="宋体" w:cs="宋体"/>
                <w:color w:val="auto"/>
                <w:sz w:val="22"/>
                <w:highlight w:val="none"/>
                <w:lang w:val="en-US" w:eastAsia="zh-CN"/>
              </w:rPr>
              <w:t xml:space="preserve">履约保证金在项目验收合格后且服务期满后的三十日内退还。</w:t>
            </w:r>
            <w:r>
              <w:rPr>
                <w:color w:val="auto"/>
                <w:highlight w:val="none"/>
              </w:rPr>
            </w:r>
          </w:p>
        </w:tc>
      </w:tr>
      <w:tr>
        <w:trPr>
          <w:trHeight w:val="898"/>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7.2.8</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投诉受理部门</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监督部门：靖江市财政局</w:t>
            </w:r>
            <w:r>
              <w:rPr>
                <w:color w:val="auto"/>
                <w:highlight w:val="none"/>
              </w:rP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地址：靖江市政务服务中心4楼</w:t>
            </w:r>
            <w:r>
              <w:rPr>
                <w:color w:val="auto"/>
                <w:highlight w:val="none"/>
              </w:rP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电话：0523-89182489</w:t>
            </w:r>
            <w:r>
              <w:rPr>
                <w:color w:val="auto"/>
                <w:highlight w:val="none"/>
              </w:rPr>
            </w:r>
          </w:p>
        </w:tc>
      </w:tr>
      <w:tr>
        <w:trPr>
          <w:trHeight w:val="3781"/>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8.1.1</w:t>
            </w:r>
            <w:r>
              <w:rPr>
                <w:color w:val="auto"/>
                <w:highlight w:val="none"/>
              </w:rP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采购人需要补充的其他内容</w:t>
            </w:r>
            <w:r>
              <w:rPr>
                <w:color w:val="auto"/>
                <w:highlight w:val="none"/>
              </w:rP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采购文件中的其他内容与本条款不一致的，以本条款内容为准：</w:t>
            </w:r>
            <w:r>
              <w:rPr>
                <w:color w:val="auto"/>
                <w:highlight w:val="none"/>
              </w:rPr>
            </w:r>
          </w:p>
          <w:p>
            <w:pPr>
              <w:spacing w:line="440" w:lineRule="exact"/>
              <w:rPr>
                <w:rFonts w:hint="eastAsia" w:ascii="宋体" w:hAnsi="宋体" w:cs="宋体"/>
                <w:color w:val="auto"/>
                <w:sz w:val="22"/>
                <w:szCs w:val="22"/>
                <w:highlight w:val="none"/>
                <w14:ligatures w14:val="none"/>
              </w:rPr>
            </w:pPr>
            <w:r>
              <w:rPr>
                <w:rFonts w:hint="eastAsia" w:ascii="宋体" w:hAnsi="宋体" w:cs="宋体"/>
                <w:color w:val="auto"/>
                <w:sz w:val="22"/>
                <w:highlight w:val="none"/>
              </w:rPr>
              <w:t xml:space="preserve">1、中标供应商在公示结束后3日内，须向采购代理机构支付</w:t>
            </w:r>
            <w:r>
              <w:rPr>
                <w:rFonts w:hint="eastAsia" w:ascii="宋体" w:hAnsi="宋体" w:cs="宋体"/>
                <w:color w:val="auto"/>
                <w:sz w:val="22"/>
                <w:szCs w:val="22"/>
                <w:highlight w:val="none"/>
              </w:rPr>
              <w:t xml:space="preserve">中标服务费。</w:t>
            </w:r>
            <w:r>
              <w:rPr>
                <w:color w:val="auto"/>
                <w:highlight w:val="none"/>
              </w:rPr>
            </w:r>
          </w:p>
          <w:p>
            <w:pPr>
              <w:jc w:val="left"/>
              <w:spacing w:line="440" w:lineRule="exac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收取标准参照国家计委计价格【2002】1980号文的服务采购收费标准计算收取。</w:t>
            </w:r>
            <w:r>
              <w:rPr>
                <w:color w:val="auto"/>
                <w:highlight w:val="none"/>
              </w:rPr>
            </w:r>
          </w:p>
          <w:p>
            <w:pPr>
              <w:jc w:val="left"/>
              <w:spacing w:line="44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2、中标单位在领取中标通知书时需提供叁份纸质投标文件（一正</w:t>
            </w:r>
            <w:r>
              <w:rPr>
                <w:rFonts w:hint="eastAsia" w:ascii="宋体" w:hAnsi="宋体" w:cs="宋体"/>
                <w:color w:val="auto"/>
                <w:sz w:val="22"/>
                <w:highlight w:val="none"/>
              </w:rPr>
              <w:t xml:space="preserve">二副）和壹份电子版投标文件（以U盘为载体）；</w:t>
            </w:r>
            <w:r>
              <w:rPr>
                <w:color w:val="auto"/>
                <w:highlight w:val="none"/>
              </w:rP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3、中标单位与采购单位签订合同后，及时向招标代理机构提供合同的扫描件以作备案。</w:t>
            </w:r>
            <w:r>
              <w:rPr>
                <w:color w:val="auto"/>
                <w:highlight w:val="none"/>
              </w:rPr>
            </w:r>
          </w:p>
          <w:p>
            <w:pPr>
              <w:spacing w:line="440" w:lineRule="exact"/>
              <w:rPr>
                <w:rFonts w:ascii="宋体" w:hAnsi="宋体" w:cs="宋体"/>
                <w:color w:val="auto"/>
                <w:sz w:val="22"/>
                <w:highlight w:val="none"/>
              </w:rPr>
            </w:pPr>
            <w:r>
              <w:rPr>
                <w:rFonts w:ascii="宋体" w:hAnsi="宋体" w:cs="宋体"/>
                <w:color w:val="auto"/>
                <w:sz w:val="22"/>
                <w:highlight w:val="none"/>
              </w:rPr>
            </w:r>
            <w:r>
              <w:rPr>
                <w:color w:val="auto"/>
                <w:highlight w:val="none"/>
              </w:rPr>
            </w:r>
          </w:p>
        </w:tc>
      </w:tr>
    </w:tbl>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color w:val="auto"/>
          <w:highlight w:val="none"/>
        </w:rP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color w:val="auto"/>
          <w:highlight w:val="none"/>
        </w:rP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color w:val="auto"/>
          <w:highlight w:val="none"/>
        </w:rP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color w:val="auto"/>
          <w:highlight w:val="none"/>
        </w:rPr>
      </w:r>
    </w:p>
    <w:p>
      <w:pPr>
        <w:jc w:val="center"/>
        <w:spacing w:line="44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二、供应商须知</w:t>
      </w:r>
      <w:r>
        <w:rPr>
          <w:color w:val="auto"/>
          <w:highlight w:val="none"/>
        </w:rPr>
      </w:r>
    </w:p>
    <w:p>
      <w:pPr>
        <w:jc w:val="center"/>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一、总则</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30" w:name="_Toc20394"/>
      <w:r>
        <w:rPr>
          <w:color w:val="auto"/>
          <w:highlight w:val="none"/>
        </w:rPr>
      </w:r>
      <w:bookmarkStart w:id="31" w:name="_Toc29754"/>
      <w:r>
        <w:rPr>
          <w:color w:val="auto"/>
          <w:highlight w:val="none"/>
        </w:rPr>
      </w:r>
      <w:bookmarkStart w:id="32" w:name="_Toc1615"/>
      <w:r>
        <w:rPr>
          <w:color w:val="auto"/>
          <w:highlight w:val="none"/>
        </w:rPr>
      </w:r>
      <w:bookmarkStart w:id="33" w:name="_Toc13986"/>
      <w:r>
        <w:rPr>
          <w:color w:val="auto"/>
          <w:highlight w:val="none"/>
        </w:rPr>
      </w:r>
      <w:bookmarkStart w:id="34" w:name="_Toc387526284"/>
      <w:r>
        <w:rPr>
          <w:color w:val="auto"/>
          <w:highlight w:val="none"/>
        </w:rPr>
      </w:r>
      <w:bookmarkStart w:id="35" w:name="_Toc3640"/>
      <w:r>
        <w:rPr>
          <w:color w:val="auto"/>
          <w:highlight w:val="none"/>
        </w:rPr>
      </w:r>
      <w:bookmarkStart w:id="36" w:name="_Toc3629"/>
      <w:r>
        <w:rPr>
          <w:color w:val="auto"/>
          <w:highlight w:val="none"/>
        </w:rPr>
      </w:r>
      <w:bookmarkStart w:id="37" w:name="_Toc387526376"/>
      <w:r>
        <w:rPr>
          <w:color w:val="auto"/>
          <w:highlight w:val="none"/>
        </w:rPr>
      </w:r>
      <w:bookmarkStart w:id="38" w:name="_Toc5365"/>
      <w:r>
        <w:rPr>
          <w:color w:val="auto"/>
          <w:highlight w:val="none"/>
        </w:rPr>
      </w:r>
      <w:bookmarkStart w:id="39" w:name="_Toc9727"/>
      <w:r>
        <w:rPr>
          <w:color w:val="auto"/>
          <w:highlight w:val="none"/>
        </w:rPr>
      </w:r>
      <w:bookmarkStart w:id="40" w:name="_Toc387526180"/>
      <w:r>
        <w:rPr>
          <w:color w:val="auto"/>
          <w:highlight w:val="none"/>
        </w:rPr>
      </w:r>
      <w:bookmarkStart w:id="41" w:name="_Toc8645"/>
      <w:r>
        <w:rPr>
          <w:rFonts w:hint="eastAsia" w:hAnsi="宋体"/>
          <w:color w:val="auto"/>
          <w:sz w:val="22"/>
          <w:szCs w:val="22"/>
          <w:highlight w:val="none"/>
        </w:rPr>
        <w:t xml:space="preserve">1.1 项目概况</w:t>
      </w:r>
      <w:bookmarkEnd w:id="30"/>
      <w:r>
        <w:rPr>
          <w:color w:val="auto"/>
          <w:highlight w:val="none"/>
        </w:rPr>
      </w:r>
      <w:bookmarkEnd w:id="31"/>
      <w:r>
        <w:rPr>
          <w:color w:val="auto"/>
          <w:highlight w:val="none"/>
        </w:rPr>
      </w:r>
      <w:bookmarkEnd w:id="32"/>
      <w:r>
        <w:rPr>
          <w:color w:val="auto"/>
          <w:highlight w:val="none"/>
        </w:rPr>
      </w:r>
      <w:bookmarkEnd w:id="33"/>
      <w:r>
        <w:rPr>
          <w:color w:val="auto"/>
          <w:highlight w:val="none"/>
        </w:rPr>
      </w:r>
      <w:bookmarkEnd w:id="34"/>
      <w:r>
        <w:rPr>
          <w:color w:val="auto"/>
          <w:highlight w:val="none"/>
        </w:rPr>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highlight w:val="none"/>
        </w:rPr>
      </w:r>
      <w:bookmarkEnd w:id="40"/>
      <w:r>
        <w:rPr>
          <w:color w:val="auto"/>
          <w:highlight w:val="none"/>
        </w:rPr>
      </w:r>
      <w:bookmarkEnd w:id="41"/>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1.1.1 根据《中华人民共和国政府采购法》、《中华人民共和国政府采购法实施条例》等有关法律、法规和规章的规定，本招标项目已具备招标条件，现对本项目进行公开招标采购。</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1.1.2 本采购项目采购人：见供应商须知前附表。</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1.1.3 本采购项目采购代理机构：见供应商须知前附表。</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1.1.4 本采购项目名称：见供应商须知前附表。</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1.1.5 本采购项目编号：见供应商须知前附表。</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1.1.6 本采购项目采购预算：见投标须知前附表。</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1.1.7 本采购项目最高限价：见投标须知前附表。</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1.1.8 本采购项目标的所属行业：见供应商须知前附表。</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42" w:name="_Toc10060"/>
      <w:r>
        <w:rPr>
          <w:color w:val="auto"/>
          <w:highlight w:val="none"/>
        </w:rPr>
      </w:r>
      <w:bookmarkStart w:id="43" w:name="_Toc30088"/>
      <w:r>
        <w:rPr>
          <w:color w:val="auto"/>
          <w:highlight w:val="none"/>
        </w:rPr>
      </w:r>
      <w:bookmarkStart w:id="44" w:name="_Toc28144"/>
      <w:r>
        <w:rPr>
          <w:color w:val="auto"/>
          <w:highlight w:val="none"/>
        </w:rPr>
      </w:r>
      <w:bookmarkStart w:id="45" w:name="_Toc23619"/>
      <w:r>
        <w:rPr>
          <w:color w:val="auto"/>
          <w:highlight w:val="none"/>
        </w:rPr>
      </w:r>
      <w:bookmarkStart w:id="46" w:name="_Toc18827"/>
      <w:r>
        <w:rPr>
          <w:color w:val="auto"/>
          <w:highlight w:val="none"/>
        </w:rPr>
      </w:r>
      <w:bookmarkStart w:id="47" w:name="_Toc12333"/>
      <w:r>
        <w:rPr>
          <w:rFonts w:hint="eastAsia" w:hAnsi="宋体"/>
          <w:color w:val="auto"/>
          <w:sz w:val="22"/>
          <w:szCs w:val="22"/>
          <w:highlight w:val="none"/>
        </w:rPr>
        <w:t xml:space="preserve">1.2 供货期及验收要求</w:t>
      </w:r>
      <w:bookmarkEnd w:id="42"/>
      <w:r>
        <w:rPr>
          <w:color w:val="auto"/>
          <w:highlight w:val="none"/>
        </w:rPr>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bookmarkEnd w:id="47"/>
      <w:r>
        <w:rPr>
          <w:color w:val="auto"/>
          <w:highlight w:val="none"/>
        </w:rPr>
      </w:r>
      <w:r>
        <w:rPr>
          <w:color w:val="auto"/>
          <w:highlight w:val="none"/>
        </w:rPr>
      </w:r>
    </w:p>
    <w:p>
      <w:pPr>
        <w:ind w:left="4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1.2.1服务期：见供应商须知前附表。</w:t>
      </w:r>
      <w:r>
        <w:rPr>
          <w:color w:val="auto"/>
          <w:highlight w:val="none"/>
        </w:rPr>
      </w:r>
    </w:p>
    <w:p>
      <w:pPr>
        <w:ind w:left="4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1.2.2本采购项目的验收要求：见供应商须知前附表。</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48" w:name="_Toc426"/>
      <w:r>
        <w:rPr>
          <w:color w:val="auto"/>
          <w:highlight w:val="none"/>
        </w:rPr>
      </w:r>
      <w:bookmarkStart w:id="49" w:name="_Toc17634"/>
      <w:r>
        <w:rPr>
          <w:color w:val="auto"/>
          <w:highlight w:val="none"/>
        </w:rPr>
      </w:r>
      <w:bookmarkStart w:id="50" w:name="_Toc10223"/>
      <w:r>
        <w:rPr>
          <w:color w:val="auto"/>
          <w:highlight w:val="none"/>
        </w:rPr>
      </w:r>
      <w:bookmarkStart w:id="51" w:name="_Toc28030"/>
      <w:r>
        <w:rPr>
          <w:color w:val="auto"/>
          <w:highlight w:val="none"/>
        </w:rPr>
      </w:r>
      <w:bookmarkStart w:id="52" w:name="_Toc19315"/>
      <w:r>
        <w:rPr>
          <w:color w:val="auto"/>
          <w:highlight w:val="none"/>
        </w:rPr>
      </w:r>
      <w:bookmarkStart w:id="53" w:name="_Toc23392"/>
      <w:r>
        <w:rPr>
          <w:rFonts w:hint="eastAsia" w:hAnsi="宋体"/>
          <w:color w:val="auto"/>
          <w:sz w:val="22"/>
          <w:szCs w:val="22"/>
          <w:highlight w:val="none"/>
        </w:rPr>
        <w:t xml:space="preserve">1.3 供应商的资格条件</w:t>
      </w:r>
      <w:bookmarkEnd w:id="48"/>
      <w:r>
        <w:rPr>
          <w:color w:val="auto"/>
          <w:highlight w:val="none"/>
        </w:rPr>
      </w:r>
      <w:bookmarkEnd w:id="49"/>
      <w:r>
        <w:rPr>
          <w:color w:val="auto"/>
          <w:highlight w:val="none"/>
        </w:rPr>
      </w:r>
      <w:bookmarkEnd w:id="50"/>
      <w:r>
        <w:rPr>
          <w:color w:val="auto"/>
          <w:highlight w:val="none"/>
        </w:rPr>
      </w:r>
      <w:bookmarkEnd w:id="51"/>
      <w:r>
        <w:rPr>
          <w:color w:val="auto"/>
          <w:highlight w:val="none"/>
        </w:rPr>
      </w:r>
      <w:bookmarkEnd w:id="52"/>
      <w:r>
        <w:rPr>
          <w:color w:val="auto"/>
          <w:highlight w:val="none"/>
        </w:rPr>
      </w:r>
      <w:bookmarkEnd w:id="53"/>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1.3.1 供应商应满足《中华人民共和国政府采购法》第二十二条规定；</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1.3.2 落实政府采购政策需满足的资格要求：见供应商须知前附表；</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1.3.3 本项目特定资格条件：见供应商须知前附表。</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1.3.4 投标截止日当日，供应商不得存在下列情形之一：</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（1）单位负责人为同一人或者存在直接控股、管理关系的不同投标人；</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（2）被各级财政主管部门取消采购项目所在地的参加政府采购资格且处于有效期内；</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（3）被责令停业，暂扣或吊销营业执照，或吊销资质证书；</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（4）进入清算程序，或被宣告破产，或其他丧失履约能力的情形；</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（5）在中国政府采购网(www.ccgp.gov.cn)中被列入《政府采购严重违法失信行为记录名单》（以采购人在资格评审阶段的查询结果为准）；</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（6）在“信用中国”网站（http://www.creditchina.gov.cn/）中被列入失信被执行人名单和重大税收违法案件当事人名单（以采购人在资格评审阶段的查询结果为准）；</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（7）法律、法规规定的其他情形。</w:t>
      </w:r>
      <w:r>
        <w:rPr>
          <w:color w:val="auto"/>
          <w:highlight w:val="none"/>
        </w:rPr>
      </w:r>
    </w:p>
    <w:p>
      <w:pPr>
        <w:ind w:firstLine="442"/>
        <w:jc w:val="left"/>
        <w:spacing w:line="360" w:lineRule="auto"/>
        <w:rPr>
          <w:rFonts w:ascii="黑体" w:hAnsi="黑体" w:eastAsia="黑体" w:cs="宋体"/>
          <w:b/>
          <w:color w:val="auto"/>
          <w:sz w:val="22"/>
          <w:highlight w:val="none"/>
        </w:rPr>
      </w:pPr>
      <w:r>
        <w:rPr>
          <w:rFonts w:hint="eastAsia" w:ascii="黑体" w:hAnsi="黑体" w:eastAsia="黑体" w:cs="宋体"/>
          <w:b/>
          <w:color w:val="auto"/>
          <w:sz w:val="22"/>
          <w:highlight w:val="none"/>
        </w:rPr>
        <w:t xml:space="preserve">本项以上评审项采用承诺制。如有虚假，将作为提供虚假证明材料处理。</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1.3.5 本项目是否接受联合体投标：见供应商须知前附表。</w:t>
      </w:r>
      <w:r>
        <w:rPr>
          <w:color w:val="auto"/>
          <w:highlight w:val="none"/>
        </w:rPr>
      </w:r>
    </w:p>
    <w:p>
      <w:pPr>
        <w:pStyle w:val="1132"/>
        <w:ind w:firstLine="442"/>
        <w:jc w:val="left"/>
        <w:spacing w:before="0" w:after="0" w:line="360" w:lineRule="auto"/>
        <w:rPr>
          <w:rFonts w:hAnsi="宋体"/>
          <w:color w:val="auto"/>
          <w:sz w:val="22"/>
          <w:szCs w:val="22"/>
          <w:highlight w:val="none"/>
        </w:rPr>
      </w:pPr>
      <w:r>
        <w:rPr>
          <w:color w:val="auto"/>
          <w:highlight w:val="none"/>
        </w:rPr>
      </w:r>
      <w:bookmarkStart w:id="54" w:name="_Toc27587"/>
      <w:r>
        <w:rPr>
          <w:color w:val="auto"/>
          <w:highlight w:val="none"/>
        </w:rPr>
      </w:r>
      <w:bookmarkStart w:id="55" w:name="_Toc11958"/>
      <w:r>
        <w:rPr>
          <w:color w:val="auto"/>
          <w:highlight w:val="none"/>
        </w:rPr>
      </w:r>
      <w:bookmarkStart w:id="56" w:name="_Toc22948"/>
      <w:r>
        <w:rPr>
          <w:color w:val="auto"/>
          <w:highlight w:val="none"/>
        </w:rPr>
      </w:r>
      <w:bookmarkStart w:id="57" w:name="_Toc3752"/>
      <w:r>
        <w:rPr>
          <w:color w:val="auto"/>
          <w:highlight w:val="none"/>
        </w:rPr>
      </w:r>
      <w:bookmarkStart w:id="58" w:name="_Toc14265"/>
      <w:r>
        <w:rPr>
          <w:color w:val="auto"/>
          <w:highlight w:val="none"/>
        </w:rPr>
      </w:r>
      <w:bookmarkStart w:id="59" w:name="_Toc15127"/>
      <w:r>
        <w:rPr>
          <w:rFonts w:hint="eastAsia" w:hAnsi="宋体"/>
          <w:color w:val="auto"/>
          <w:sz w:val="22"/>
          <w:szCs w:val="22"/>
          <w:highlight w:val="none"/>
        </w:rPr>
        <w:t xml:space="preserve">1.4</w:t>
      </w:r>
      <w:bookmarkEnd w:id="54"/>
      <w:r>
        <w:rPr>
          <w:rFonts w:hint="eastAsia" w:hAnsi="宋体"/>
          <w:color w:val="auto"/>
          <w:sz w:val="22"/>
          <w:szCs w:val="22"/>
          <w:highlight w:val="none"/>
        </w:rPr>
        <w:t xml:space="preserve"> 踏勘现场</w:t>
      </w:r>
      <w:bookmarkEnd w:id="55"/>
      <w:r>
        <w:rPr>
          <w:color w:val="auto"/>
          <w:highlight w:val="none"/>
        </w:rPr>
      </w:r>
      <w:bookmarkEnd w:id="56"/>
      <w:r>
        <w:rPr>
          <w:color w:val="auto"/>
          <w:highlight w:val="none"/>
        </w:rPr>
      </w:r>
      <w:bookmarkEnd w:id="57"/>
      <w:r>
        <w:rPr>
          <w:color w:val="auto"/>
          <w:highlight w:val="none"/>
        </w:rPr>
      </w:r>
      <w:bookmarkEnd w:id="58"/>
      <w:r>
        <w:rPr>
          <w:color w:val="auto"/>
          <w:highlight w:val="none"/>
        </w:rPr>
      </w:r>
      <w:bookmarkEnd w:id="59"/>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1.4.1供应商须知前附表规定组织踏勘现场的，采购人按供应商须知前附表规定的时间、地点组织供应商踏勘项目现场，踏勘现场所发生的费用由供应商自己承担。</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1.4.2 采购人向供应商提供的有关现场的资料和数据，是采购人现有的能使供应商利用的资料，采购人对供应商由此而做出的推论、理解和结论概不负责。</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60" w:name="_Toc2634"/>
      <w:r>
        <w:rPr>
          <w:color w:val="auto"/>
          <w:highlight w:val="none"/>
        </w:rPr>
      </w:r>
      <w:bookmarkStart w:id="61" w:name="_Toc9211"/>
      <w:r>
        <w:rPr>
          <w:color w:val="auto"/>
          <w:highlight w:val="none"/>
        </w:rPr>
      </w:r>
      <w:bookmarkStart w:id="62" w:name="_Toc21664"/>
      <w:r>
        <w:rPr>
          <w:color w:val="auto"/>
          <w:highlight w:val="none"/>
        </w:rPr>
      </w:r>
      <w:bookmarkStart w:id="63" w:name="_Toc4763"/>
      <w:r>
        <w:rPr>
          <w:color w:val="auto"/>
          <w:highlight w:val="none"/>
        </w:rPr>
      </w:r>
      <w:bookmarkStart w:id="64" w:name="_Toc23311"/>
      <w:r>
        <w:rPr>
          <w:color w:val="auto"/>
          <w:highlight w:val="none"/>
        </w:rPr>
      </w:r>
      <w:bookmarkStart w:id="65" w:name="_Toc4932"/>
      <w:r>
        <w:rPr>
          <w:rFonts w:hint="eastAsia" w:hAnsi="宋体"/>
          <w:color w:val="auto"/>
          <w:sz w:val="22"/>
          <w:szCs w:val="22"/>
          <w:highlight w:val="none"/>
        </w:rPr>
        <w:t xml:space="preserve">1.5 投标费用</w:t>
      </w:r>
      <w:bookmarkEnd w:id="60"/>
      <w:r>
        <w:rPr>
          <w:color w:val="auto"/>
          <w:highlight w:val="none"/>
        </w:rPr>
      </w:r>
      <w:bookmarkEnd w:id="61"/>
      <w:r>
        <w:rPr>
          <w:color w:val="auto"/>
          <w:highlight w:val="none"/>
        </w:rPr>
      </w:r>
      <w:bookmarkEnd w:id="62"/>
      <w:r>
        <w:rPr>
          <w:color w:val="auto"/>
          <w:highlight w:val="none"/>
        </w:rPr>
      </w:r>
      <w:bookmarkEnd w:id="63"/>
      <w:r>
        <w:rPr>
          <w:color w:val="auto"/>
          <w:highlight w:val="none"/>
        </w:rPr>
      </w:r>
      <w:bookmarkEnd w:id="64"/>
      <w:r>
        <w:rPr>
          <w:color w:val="auto"/>
          <w:highlight w:val="none"/>
        </w:rPr>
      </w:r>
      <w:bookmarkEnd w:id="65"/>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供应商应自行承担所有与编写、提交投标文件等有关费用。采购人和采购人代理人在任何情况下均无义务和责任承担这些费用。</w:t>
      </w:r>
      <w:r>
        <w:rPr>
          <w:color w:val="auto"/>
          <w:highlight w:val="none"/>
        </w:rPr>
      </w:r>
    </w:p>
    <w:p>
      <w:pPr>
        <w:pStyle w:val="1132"/>
        <w:ind w:firstLine="442"/>
        <w:jc w:val="left"/>
        <w:spacing w:before="160" w:after="0" w:line="360" w:lineRule="auto"/>
        <w:rPr>
          <w:color w:val="auto"/>
          <w:sz w:val="22"/>
          <w:szCs w:val="22"/>
          <w:highlight w:val="none"/>
        </w:rPr>
      </w:pPr>
      <w:r>
        <w:rPr>
          <w:color w:val="auto"/>
          <w:highlight w:val="none"/>
        </w:rPr>
      </w:r>
      <w:bookmarkStart w:id="66" w:name="_Toc11299"/>
      <w:r>
        <w:rPr>
          <w:color w:val="auto"/>
          <w:highlight w:val="none"/>
        </w:rPr>
      </w:r>
      <w:bookmarkStart w:id="67" w:name="_Toc27420"/>
      <w:r>
        <w:rPr>
          <w:color w:val="auto"/>
          <w:highlight w:val="none"/>
        </w:rPr>
      </w:r>
      <w:bookmarkStart w:id="68" w:name="_Toc14340"/>
      <w:r>
        <w:rPr>
          <w:color w:val="auto"/>
          <w:highlight w:val="none"/>
        </w:rPr>
      </w:r>
      <w:bookmarkStart w:id="69" w:name="_Toc6873"/>
      <w:r>
        <w:rPr>
          <w:color w:val="auto"/>
          <w:highlight w:val="none"/>
        </w:rPr>
      </w:r>
      <w:bookmarkStart w:id="70" w:name="_Toc7862"/>
      <w:r>
        <w:rPr>
          <w:color w:val="auto"/>
          <w:highlight w:val="none"/>
        </w:rPr>
      </w:r>
      <w:bookmarkStart w:id="71" w:name="_Toc18522"/>
      <w:r>
        <w:rPr>
          <w:rFonts w:hint="eastAsia" w:hAnsi="宋体"/>
          <w:color w:val="auto"/>
          <w:sz w:val="22"/>
          <w:szCs w:val="22"/>
          <w:highlight w:val="none"/>
        </w:rPr>
        <w:t xml:space="preserve">1.</w:t>
      </w:r>
      <w:r>
        <w:rPr>
          <w:rFonts w:hAnsi="宋体"/>
          <w:color w:val="auto"/>
          <w:sz w:val="22"/>
          <w:szCs w:val="22"/>
          <w:highlight w:val="none"/>
        </w:rPr>
        <w:t xml:space="preserve">6</w:t>
      </w:r>
      <w:bookmarkEnd w:id="66"/>
      <w:r>
        <w:rPr>
          <w:rFonts w:hint="eastAsia" w:hAnsi="宋体"/>
          <w:color w:val="auto"/>
          <w:sz w:val="22"/>
          <w:szCs w:val="22"/>
          <w:highlight w:val="none"/>
        </w:rPr>
        <w:t xml:space="preserve"> 政府采购扶持政策</w:t>
      </w:r>
      <w:bookmarkEnd w:id="67"/>
      <w:r>
        <w:rPr>
          <w:color w:val="auto"/>
          <w:highlight w:val="none"/>
        </w:rPr>
      </w:r>
      <w:bookmarkEnd w:id="68"/>
      <w:r>
        <w:rPr>
          <w:color w:val="auto"/>
          <w:highlight w:val="none"/>
        </w:rPr>
      </w:r>
      <w:bookmarkEnd w:id="69"/>
      <w:r>
        <w:rPr>
          <w:color w:val="auto"/>
          <w:highlight w:val="none"/>
        </w:rPr>
      </w:r>
      <w:bookmarkEnd w:id="70"/>
      <w:r>
        <w:rPr>
          <w:color w:val="auto"/>
          <w:highlight w:val="none"/>
        </w:rPr>
      </w:r>
      <w:bookmarkEnd w:id="71"/>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1.6.1中小企业</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rPr>
          <w:color w:val="auto"/>
          <w:highlight w:val="none"/>
        </w:rPr>
      </w:r>
    </w:p>
    <w:p>
      <w:pPr>
        <w:ind w:firstLine="442"/>
        <w:jc w:val="left"/>
        <w:spacing w:line="360" w:lineRule="auto"/>
        <w:rPr>
          <w:rFonts w:ascii="黑体" w:hAnsi="黑体" w:eastAsia="黑体" w:cs="宋体"/>
          <w:b/>
          <w:color w:val="auto"/>
          <w:sz w:val="22"/>
          <w:highlight w:val="none"/>
        </w:rPr>
      </w:pPr>
      <w:r>
        <w:rPr>
          <w:rFonts w:hint="eastAsia" w:ascii="黑体" w:hAnsi="黑体" w:eastAsia="黑体" w:cs="宋体"/>
          <w:b/>
          <w:color w:val="auto"/>
          <w:sz w:val="22"/>
          <w:highlight w:val="none"/>
        </w:rPr>
        <w:t xml:space="preserve">对于专门面向中小企业采购的项目或者采购包，不再执行价格评审优惠的扶持政策。</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（2）供应商须按招标文件要求提供《中小企业声明函》。否则，评标时不予认可。</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1.6.2 残疾人福利性单位</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（1）按照《关于促进残疾人就业政府采购政策的通知》（财库〔2017〕141号）的规定，符合条件的残疾人福利性单位视同小型、微型企业。</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（2）供应商须按招标文件要求提供《残疾人福利性单位声明函》。否则，评标时不予认可。</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1.6.3 监狱企业</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（1）根据《财政部&lt;司法部关于政府采购支持监狱企业发展有关问题&gt;的通知》（财库〔2014〕68号）的规定，符合条件的监狱企业视同小型、微型企业。</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（2）供应商须提供所投产品生产厂家的由省级以上监狱管理局、戒毒管理局（含新疆生产建设兵团）出具的属于监狱企业的证明文件。否则，评审时不予认可。</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72" w:name="_Toc3693"/>
      <w:r>
        <w:rPr>
          <w:color w:val="auto"/>
          <w:highlight w:val="none"/>
        </w:rPr>
      </w:r>
      <w:bookmarkStart w:id="73" w:name="_Toc7292"/>
      <w:r>
        <w:rPr>
          <w:color w:val="auto"/>
          <w:highlight w:val="none"/>
        </w:rPr>
      </w:r>
      <w:bookmarkStart w:id="74" w:name="_Toc7100"/>
      <w:r>
        <w:rPr>
          <w:color w:val="auto"/>
          <w:highlight w:val="none"/>
        </w:rPr>
      </w:r>
      <w:bookmarkStart w:id="75" w:name="_Toc1291"/>
      <w:r>
        <w:rPr>
          <w:color w:val="auto"/>
          <w:highlight w:val="none"/>
        </w:rPr>
      </w:r>
      <w:bookmarkStart w:id="76" w:name="_Toc11883"/>
      <w:r>
        <w:rPr>
          <w:color w:val="auto"/>
          <w:highlight w:val="none"/>
        </w:rPr>
      </w:r>
      <w:bookmarkStart w:id="77" w:name="_Toc20762"/>
      <w:r>
        <w:rPr>
          <w:rFonts w:hint="eastAsia" w:hAnsi="宋体"/>
          <w:color w:val="auto"/>
          <w:sz w:val="22"/>
          <w:szCs w:val="22"/>
          <w:highlight w:val="none"/>
        </w:rPr>
        <w:t xml:space="preserve">1.7投标语言及计量单位</w:t>
      </w:r>
      <w:bookmarkEnd w:id="72"/>
      <w:r>
        <w:rPr>
          <w:color w:val="auto"/>
          <w:highlight w:val="none"/>
        </w:rPr>
      </w:r>
      <w:bookmarkEnd w:id="73"/>
      <w:r>
        <w:rPr>
          <w:color w:val="auto"/>
          <w:highlight w:val="none"/>
        </w:rPr>
      </w:r>
      <w:bookmarkEnd w:id="74"/>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1.7.2 投标文件中所使用的计量单位，除招标文件有特殊规定外，应使用中华人民共和国法定计量单位。</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78" w:name="_Toc8329"/>
      <w:r>
        <w:rPr>
          <w:color w:val="auto"/>
          <w:highlight w:val="none"/>
        </w:rPr>
      </w:r>
      <w:bookmarkStart w:id="79" w:name="_Toc22148"/>
      <w:r>
        <w:rPr>
          <w:color w:val="auto"/>
          <w:highlight w:val="none"/>
        </w:rPr>
      </w:r>
      <w:bookmarkStart w:id="80" w:name="_Toc29966"/>
      <w:r>
        <w:rPr>
          <w:rFonts w:hint="eastAsia" w:hAnsi="宋体"/>
          <w:color w:val="auto"/>
          <w:sz w:val="22"/>
          <w:szCs w:val="22"/>
          <w:highlight w:val="none"/>
        </w:rPr>
        <w:t xml:space="preserve">1.</w:t>
      </w:r>
      <w:bookmarkEnd w:id="75"/>
      <w:r>
        <w:rPr>
          <w:rFonts w:hint="eastAsia" w:hAnsi="宋体"/>
          <w:color w:val="auto"/>
          <w:sz w:val="22"/>
          <w:szCs w:val="22"/>
          <w:highlight w:val="none"/>
        </w:rPr>
        <w:t xml:space="preserve">8 其他</w:t>
      </w:r>
      <w:bookmarkEnd w:id="76"/>
      <w:r>
        <w:rPr>
          <w:color w:val="auto"/>
          <w:highlight w:val="none"/>
        </w:rPr>
      </w:r>
      <w:bookmarkEnd w:id="77"/>
      <w:r>
        <w:rPr>
          <w:color w:val="auto"/>
          <w:highlight w:val="none"/>
        </w:rPr>
      </w:r>
      <w:bookmarkEnd w:id="78"/>
      <w:r>
        <w:rPr>
          <w:color w:val="auto"/>
          <w:highlight w:val="none"/>
        </w:rPr>
      </w:r>
      <w:bookmarkEnd w:id="79"/>
      <w:r>
        <w:rPr>
          <w:color w:val="auto"/>
          <w:highlight w:val="none"/>
        </w:rPr>
      </w:r>
      <w:bookmarkEnd w:id="80"/>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1.8.1 本项目在中标后直至履行完毕止，中标人不得以任何形式和理由分包或转包。</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1.8.2 参与招标投标活动的各方应对招标文件和投标文件中的商业和技术等秘密保密，违者应对由此造成的后果承担法律责任。</w:t>
      </w:r>
      <w:r>
        <w:rPr>
          <w:color w:val="auto"/>
          <w:highlight w:val="none"/>
        </w:rPr>
      </w:r>
    </w:p>
    <w:p>
      <w:pPr>
        <w:ind w:firstLine="440"/>
        <w:spacing w:line="440" w:lineRule="exact"/>
        <w:rPr>
          <w:rFonts w:ascii="宋体" w:hAnsi="宋体" w:cs="宋体"/>
          <w:color w:val="auto"/>
          <w:sz w:val="22"/>
          <w:highlight w:val="none"/>
        </w:rPr>
      </w:pPr>
      <w:r>
        <w:rPr>
          <w:rFonts w:ascii="宋体" w:hAnsi="宋体" w:cs="宋体"/>
          <w:color w:val="auto"/>
          <w:sz w:val="22"/>
          <w:highlight w:val="none"/>
        </w:rPr>
      </w:r>
      <w:r>
        <w:rPr>
          <w:color w:val="auto"/>
          <w:highlight w:val="none"/>
        </w:rPr>
      </w:r>
    </w:p>
    <w:p>
      <w:pPr>
        <w:ind w:left="785" w:hanging="783"/>
        <w:spacing w:before="120" w:line="40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firstLine="482"/>
        <w:jc w:val="center"/>
        <w:spacing w:line="440" w:lineRule="exact"/>
        <w:rPr>
          <w:rFonts w:ascii="宋体" w:hAnsi="宋体" w:cs="宋体"/>
          <w:b/>
          <w:bCs/>
          <w:color w:val="auto"/>
          <w:sz w:val="24"/>
          <w:highlight w:val="none"/>
        </w:rPr>
      </w:pPr>
      <w:r>
        <w:rPr>
          <w:color w:val="auto"/>
          <w:highlight w:val="none"/>
        </w:rPr>
      </w:r>
      <w:bookmarkStart w:id="81" w:name="_Toc17607"/>
      <w:r>
        <w:rPr>
          <w:rFonts w:hint="eastAsia" w:ascii="宋体" w:hAnsi="宋体" w:cs="宋体"/>
          <w:b/>
          <w:bCs/>
          <w:color w:val="auto"/>
          <w:sz w:val="24"/>
          <w:highlight w:val="none"/>
        </w:rPr>
        <w:t xml:space="preserve">二、招标文件</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82" w:name="_Toc14878"/>
      <w:r>
        <w:rPr>
          <w:color w:val="auto"/>
          <w:highlight w:val="none"/>
        </w:rPr>
      </w:r>
      <w:bookmarkStart w:id="83" w:name="_Toc11905"/>
      <w:r>
        <w:rPr>
          <w:color w:val="auto"/>
          <w:highlight w:val="none"/>
        </w:rPr>
      </w:r>
      <w:bookmarkStart w:id="84" w:name="_Toc20640"/>
      <w:r>
        <w:rPr>
          <w:color w:val="auto"/>
          <w:highlight w:val="none"/>
        </w:rPr>
      </w:r>
      <w:bookmarkStart w:id="85" w:name="_Toc27315"/>
      <w:r>
        <w:rPr>
          <w:color w:val="auto"/>
          <w:highlight w:val="none"/>
        </w:rPr>
      </w:r>
      <w:bookmarkStart w:id="86" w:name="_Toc23238"/>
      <w:r>
        <w:rPr>
          <w:color w:val="auto"/>
          <w:highlight w:val="none"/>
        </w:rPr>
      </w:r>
      <w:bookmarkStart w:id="87" w:name="_Toc17211"/>
      <w:r>
        <w:rPr>
          <w:rFonts w:hint="eastAsia" w:hAnsi="宋体"/>
          <w:color w:val="auto"/>
          <w:sz w:val="22"/>
          <w:szCs w:val="22"/>
          <w:highlight w:val="none"/>
        </w:rPr>
        <w:t xml:space="preserve">2.1 招标文件构成</w:t>
      </w:r>
      <w:bookmarkEnd w:id="82"/>
      <w:r>
        <w:rPr>
          <w:color w:val="auto"/>
          <w:highlight w:val="none"/>
        </w:rPr>
      </w:r>
      <w:bookmarkEnd w:id="83"/>
      <w:r>
        <w:rPr>
          <w:color w:val="auto"/>
          <w:highlight w:val="none"/>
        </w:rPr>
      </w:r>
      <w:bookmarkEnd w:id="84"/>
      <w:r>
        <w:rPr>
          <w:color w:val="auto"/>
          <w:highlight w:val="none"/>
        </w:rPr>
      </w:r>
      <w:bookmarkEnd w:id="85"/>
      <w:r>
        <w:rPr>
          <w:color w:val="auto"/>
          <w:highlight w:val="none"/>
        </w:rPr>
      </w:r>
      <w:bookmarkEnd w:id="86"/>
      <w:r>
        <w:rPr>
          <w:color w:val="auto"/>
          <w:highlight w:val="none"/>
        </w:rPr>
      </w:r>
      <w:bookmarkEnd w:id="87"/>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2.1.1 本招标文件包括（但并不仅限于）：</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第一章 招标公告</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第二章 供应商须知及前附表</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第三章 合同一般条款</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第四章 合同格式</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第五章 采购项目需求</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第六章 评标办法</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第七章 投标文件内容及格式</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2.1.2 对采购文件所作的答疑、澄清、修改，构成招标文件的组成部分。当上述文件相互之间发生矛盾时，以后发出的文件为准。</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88" w:name="_Toc3690"/>
      <w:r>
        <w:rPr>
          <w:color w:val="auto"/>
          <w:highlight w:val="none"/>
        </w:rPr>
      </w:r>
      <w:bookmarkStart w:id="89" w:name="_Toc6601"/>
      <w:r>
        <w:rPr>
          <w:color w:val="auto"/>
          <w:highlight w:val="none"/>
        </w:rPr>
      </w:r>
      <w:bookmarkStart w:id="90" w:name="_Toc26065"/>
      <w:r>
        <w:rPr>
          <w:color w:val="auto"/>
          <w:highlight w:val="none"/>
        </w:rPr>
      </w:r>
      <w:bookmarkStart w:id="91" w:name="_Toc1392"/>
      <w:r>
        <w:rPr>
          <w:color w:val="auto"/>
          <w:highlight w:val="none"/>
        </w:rPr>
      </w:r>
      <w:bookmarkStart w:id="92" w:name="_Toc17142"/>
      <w:r>
        <w:rPr>
          <w:color w:val="auto"/>
          <w:highlight w:val="none"/>
        </w:rPr>
      </w:r>
      <w:bookmarkStart w:id="93" w:name="_Toc19552"/>
      <w:r>
        <w:rPr>
          <w:rFonts w:hint="eastAsia" w:hAnsi="宋体"/>
          <w:color w:val="auto"/>
          <w:sz w:val="22"/>
          <w:szCs w:val="22"/>
          <w:highlight w:val="none"/>
        </w:rPr>
        <w:t xml:space="preserve">2.2 招标文件的澄清</w:t>
      </w:r>
      <w:bookmarkEnd w:id="88"/>
      <w:r>
        <w:rPr>
          <w:color w:val="auto"/>
          <w:highlight w:val="none"/>
        </w:rPr>
      </w:r>
      <w:bookmarkEnd w:id="89"/>
      <w:r>
        <w:rPr>
          <w:color w:val="auto"/>
          <w:highlight w:val="none"/>
        </w:rPr>
      </w:r>
      <w:bookmarkEnd w:id="90"/>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2.2.1 供应商对已依法获取的招标文件发现问题、或产生疑问，应当在投标须知前附表规定的截止时间前，采用书面形式向采购人或采购代理机构提出询问或澄清要求。</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2.2.2 招标文件的澄清将通过”江苏政府采购网（http://www.ccgp-jiangsu.gov.cn/）”公开发布。澄清是构成招标文件的组成部分。未按澄清后的招标文件编制的投标文件有可能被否决。</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2.2.3 如果澄清的内容影响投标文件编制且不能满足供应商编制投标文件时间，采购人将视情况可能适当延长投标截止时间。</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2.2.4 供应商应及时通过”江苏政府采购网（http://www.ccgp-jiangsu.gov.cn/）”及时查询和下载澄清文件，查询和下载如有遗漏，其风险由供应商自行承担。</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94" w:name="_Toc20946"/>
      <w:r>
        <w:rPr>
          <w:color w:val="auto"/>
          <w:highlight w:val="none"/>
        </w:rPr>
      </w:r>
      <w:bookmarkStart w:id="95" w:name="_Toc14496"/>
      <w:r>
        <w:rPr>
          <w:color w:val="auto"/>
          <w:highlight w:val="none"/>
        </w:rPr>
      </w:r>
      <w:bookmarkStart w:id="96" w:name="_Toc9064"/>
      <w:r>
        <w:rPr>
          <w:rFonts w:hint="eastAsia" w:hAnsi="宋体"/>
          <w:color w:val="auto"/>
          <w:sz w:val="22"/>
          <w:szCs w:val="22"/>
          <w:highlight w:val="none"/>
        </w:rPr>
        <w:t xml:space="preserve">2.3 招标文件的修改</w:t>
      </w:r>
      <w:bookmarkEnd w:id="91"/>
      <w:r>
        <w:rPr>
          <w:color w:val="auto"/>
          <w:highlight w:val="none"/>
        </w:rPr>
      </w:r>
      <w:bookmarkEnd w:id="92"/>
      <w:r>
        <w:rPr>
          <w:color w:val="auto"/>
          <w:highlight w:val="none"/>
        </w:rPr>
      </w:r>
      <w:bookmarkEnd w:id="93"/>
      <w:r>
        <w:rPr>
          <w:color w:val="auto"/>
          <w:highlight w:val="none"/>
        </w:rPr>
      </w:r>
      <w:bookmarkEnd w:id="94"/>
      <w:r>
        <w:rPr>
          <w:color w:val="auto"/>
          <w:highlight w:val="none"/>
        </w:rPr>
      </w:r>
      <w:bookmarkEnd w:id="95"/>
      <w:r>
        <w:rPr>
          <w:color w:val="auto"/>
          <w:highlight w:val="none"/>
        </w:rPr>
      </w:r>
      <w:bookmarkEnd w:id="96"/>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2.3.2 如果修改内容影响投标文件编制且不能满足供应商编制投标文件时间，采购人将视情况可能适当延长投标截止时间。</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2.3.3 供应商应及时通过”江苏政府采购网（http://www.ccgp-jiangsu.gov.cn/）”及时查询和下载招标文件的修改，查询和下载如有遗漏，其风险由供应商自行承担。</w:t>
      </w:r>
      <w:bookmarkEnd w:id="81"/>
      <w:r>
        <w:rPr>
          <w:color w:val="auto"/>
          <w:highlight w:val="none"/>
        </w:rPr>
      </w:r>
      <w:r>
        <w:rPr>
          <w:color w:val="auto"/>
          <w:highlight w:val="none"/>
        </w:rPr>
      </w:r>
    </w:p>
    <w:p>
      <w:pPr>
        <w:pStyle w:val="1145"/>
        <w:jc w:val="both"/>
        <w:spacing w:line="400" w:lineRule="exact"/>
        <w:rPr>
          <w:rFonts w:hAnsi="宋体" w:cs="宋体"/>
          <w:color w:val="auto"/>
          <w:highlight w:val="none"/>
        </w:rPr>
      </w:pPr>
      <w:r>
        <w:rPr>
          <w:rFonts w:hAnsi="宋体" w:cs="宋体"/>
          <w:color w:val="auto"/>
          <w:highlight w:val="none"/>
        </w:rPr>
      </w:r>
      <w:r>
        <w:rPr>
          <w:color w:val="auto"/>
          <w:highlight w:val="none"/>
        </w:rPr>
      </w:r>
    </w:p>
    <w:p>
      <w:pPr>
        <w:numPr>
          <w:ilvl w:val="0"/>
          <w:numId w:val="2"/>
        </w:numPr>
        <w:jc w:val="center"/>
        <w:spacing w:line="440" w:lineRule="exact"/>
        <w:rPr>
          <w:rFonts w:ascii="宋体" w:hAnsi="宋体" w:cs="宋体"/>
          <w:b/>
          <w:bCs/>
          <w:color w:val="auto"/>
          <w:sz w:val="24"/>
          <w:highlight w:val="none"/>
        </w:rPr>
      </w:pPr>
      <w:r>
        <w:rPr>
          <w:color w:val="auto"/>
          <w:highlight w:val="none"/>
        </w:rPr>
      </w:r>
      <w:bookmarkStart w:id="97" w:name="_Toc13007"/>
      <w:r>
        <w:rPr>
          <w:rFonts w:hint="eastAsia" w:ascii="宋体" w:hAnsi="宋体" w:cs="宋体"/>
          <w:b/>
          <w:bCs/>
          <w:color w:val="auto"/>
          <w:sz w:val="24"/>
          <w:highlight w:val="none"/>
        </w:rPr>
        <w:t xml:space="preserve">投标文件</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98" w:name="_Toc24877"/>
      <w:r>
        <w:rPr>
          <w:color w:val="auto"/>
          <w:highlight w:val="none"/>
        </w:rPr>
      </w:r>
      <w:bookmarkStart w:id="99" w:name="_Toc6470"/>
      <w:r>
        <w:rPr>
          <w:color w:val="auto"/>
          <w:highlight w:val="none"/>
        </w:rPr>
      </w:r>
      <w:bookmarkStart w:id="100" w:name="_Toc19018"/>
      <w:r>
        <w:rPr>
          <w:color w:val="auto"/>
          <w:highlight w:val="none"/>
        </w:rPr>
      </w:r>
      <w:bookmarkStart w:id="101" w:name="_Toc16697"/>
      <w:r>
        <w:rPr>
          <w:color w:val="auto"/>
          <w:highlight w:val="none"/>
        </w:rPr>
      </w:r>
      <w:bookmarkStart w:id="102" w:name="_Toc23314"/>
      <w:r>
        <w:rPr>
          <w:color w:val="auto"/>
          <w:highlight w:val="none"/>
        </w:rPr>
      </w:r>
      <w:bookmarkStart w:id="103" w:name="_Toc32403"/>
      <w:r>
        <w:rPr>
          <w:rFonts w:hint="eastAsia" w:hAnsi="宋体"/>
          <w:color w:val="auto"/>
          <w:sz w:val="22"/>
          <w:szCs w:val="22"/>
          <w:highlight w:val="none"/>
        </w:rPr>
        <w:t xml:space="preserve">3.1 投标文件的构成</w:t>
      </w:r>
      <w:bookmarkEnd w:id="98"/>
      <w:r>
        <w:rPr>
          <w:color w:val="auto"/>
          <w:highlight w:val="none"/>
        </w:rPr>
      </w:r>
      <w:bookmarkEnd w:id="99"/>
      <w:r>
        <w:rPr>
          <w:color w:val="auto"/>
          <w:highlight w:val="none"/>
        </w:rPr>
      </w:r>
      <w:bookmarkEnd w:id="100"/>
      <w:r>
        <w:rPr>
          <w:color w:val="auto"/>
          <w:highlight w:val="none"/>
        </w:rPr>
      </w:r>
      <w:bookmarkEnd w:id="101"/>
      <w:r>
        <w:rPr>
          <w:color w:val="auto"/>
          <w:highlight w:val="none"/>
        </w:rPr>
      </w:r>
      <w:bookmarkEnd w:id="102"/>
      <w:r>
        <w:rPr>
          <w:color w:val="auto"/>
          <w:highlight w:val="none"/>
        </w:rPr>
      </w:r>
      <w:bookmarkEnd w:id="103"/>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3.1.1 投标文件由下列内容组成：</w:t>
      </w:r>
      <w:r>
        <w:rPr>
          <w:color w:val="auto"/>
          <w:highlight w:val="none"/>
        </w:rPr>
      </w:r>
    </w:p>
    <w:p>
      <w:pPr>
        <w:ind w:firstLine="679"/>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（1）基本目录</w:t>
      </w:r>
      <w:r>
        <w:rPr>
          <w:color w:val="auto"/>
          <w:highlight w:val="none"/>
        </w:rPr>
      </w:r>
    </w:p>
    <w:p>
      <w:pPr>
        <w:ind w:firstLine="679"/>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（2）资格证明文件</w:t>
      </w:r>
      <w:r>
        <w:rPr>
          <w:color w:val="auto"/>
          <w:highlight w:val="none"/>
        </w:rPr>
      </w:r>
    </w:p>
    <w:p>
      <w:pPr>
        <w:ind w:firstLine="679"/>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（3）符合证明文件</w:t>
      </w:r>
      <w:r>
        <w:rPr>
          <w:color w:val="auto"/>
          <w:highlight w:val="none"/>
        </w:rPr>
      </w:r>
    </w:p>
    <w:p>
      <w:pPr>
        <w:ind w:firstLine="679"/>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（4）综合评审评分项</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3.1.2 第七章“投标文件内容及格式”中要求提供相关证明材料的原件扫描件作为附件的，供应商应按要求在投标文件中提供相应材料。否则，不予认可。</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104" w:name="_Toc11397"/>
      <w:r>
        <w:rPr>
          <w:color w:val="auto"/>
          <w:highlight w:val="none"/>
        </w:rPr>
      </w:r>
      <w:bookmarkStart w:id="105" w:name="_Toc23064"/>
      <w:r>
        <w:rPr>
          <w:color w:val="auto"/>
          <w:highlight w:val="none"/>
        </w:rPr>
      </w:r>
      <w:bookmarkStart w:id="106" w:name="_Toc10094"/>
      <w:r>
        <w:rPr>
          <w:color w:val="auto"/>
          <w:highlight w:val="none"/>
        </w:rPr>
      </w:r>
      <w:bookmarkStart w:id="107" w:name="_Toc23922"/>
      <w:r>
        <w:rPr>
          <w:color w:val="auto"/>
          <w:highlight w:val="none"/>
        </w:rPr>
      </w:r>
      <w:bookmarkStart w:id="108" w:name="_Toc25754"/>
      <w:r>
        <w:rPr>
          <w:color w:val="auto"/>
          <w:highlight w:val="none"/>
        </w:rPr>
      </w:r>
      <w:bookmarkStart w:id="109" w:name="_Toc4547"/>
      <w:r>
        <w:rPr>
          <w:rFonts w:hint="eastAsia" w:hAnsi="宋体"/>
          <w:color w:val="auto"/>
          <w:sz w:val="22"/>
          <w:szCs w:val="22"/>
          <w:highlight w:val="none"/>
        </w:rPr>
        <w:t xml:space="preserve">3.2.投标报价</w:t>
      </w:r>
      <w:bookmarkEnd w:id="104"/>
      <w:r>
        <w:rPr>
          <w:color w:val="auto"/>
          <w:highlight w:val="none"/>
        </w:rPr>
      </w:r>
      <w:bookmarkEnd w:id="105"/>
      <w:r>
        <w:rPr>
          <w:color w:val="auto"/>
          <w:highlight w:val="none"/>
        </w:rPr>
      </w:r>
      <w:bookmarkEnd w:id="106"/>
      <w:r>
        <w:rPr>
          <w:color w:val="auto"/>
          <w:highlight w:val="none"/>
        </w:rPr>
      </w:r>
      <w:bookmarkEnd w:id="107"/>
      <w:r>
        <w:rPr>
          <w:color w:val="auto"/>
          <w:highlight w:val="none"/>
        </w:rPr>
      </w:r>
      <w:bookmarkEnd w:id="108"/>
      <w:r>
        <w:rPr>
          <w:color w:val="auto"/>
          <w:highlight w:val="none"/>
        </w:rPr>
      </w:r>
      <w:bookmarkEnd w:id="109"/>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3.2.2 供应商按第七章“投标文件内容及格式”在开标一览表及投标报价明细表中进行投标报价，否则其投标无效。投标报价明细表中不得出现“漏报”或“零”报价，否则其投标无效。</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3.2.4 供应商不得以任何方式或者方法提供报价以外的任何附赠条款，否则其投标无效。</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3.2.5 在合同执行期间，中标人的合同产品单价是固定不变的。以可调单价提交的投标文件将被视为非实质性响应性投标，作为无效投标处理。</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110" w:name="_Toc21868"/>
      <w:r>
        <w:rPr>
          <w:color w:val="auto"/>
          <w:highlight w:val="none"/>
        </w:rPr>
      </w:r>
      <w:bookmarkStart w:id="111" w:name="_Toc27515"/>
      <w:r>
        <w:rPr>
          <w:color w:val="auto"/>
          <w:highlight w:val="none"/>
        </w:rPr>
      </w:r>
      <w:bookmarkStart w:id="112" w:name="_Toc9013"/>
      <w:r>
        <w:rPr>
          <w:color w:val="auto"/>
          <w:highlight w:val="none"/>
        </w:rPr>
      </w:r>
      <w:bookmarkStart w:id="113" w:name="_Toc24184"/>
      <w:r>
        <w:rPr>
          <w:color w:val="auto"/>
          <w:highlight w:val="none"/>
        </w:rPr>
      </w:r>
      <w:bookmarkStart w:id="114" w:name="_Toc15446"/>
      <w:r>
        <w:rPr>
          <w:color w:val="auto"/>
          <w:highlight w:val="none"/>
        </w:rPr>
      </w:r>
      <w:bookmarkStart w:id="115" w:name="_Toc10338"/>
      <w:r>
        <w:rPr>
          <w:color w:val="auto"/>
          <w:highlight w:val="none"/>
        </w:rPr>
      </w:r>
      <w:bookmarkStart w:id="116" w:name="_Toc15276"/>
      <w:r>
        <w:rPr>
          <w:rFonts w:hint="eastAsia" w:hAnsi="宋体"/>
          <w:color w:val="auto"/>
          <w:sz w:val="22"/>
          <w:szCs w:val="22"/>
          <w:highlight w:val="none"/>
        </w:rPr>
        <w:t xml:space="preserve">3.3 投标有效期</w:t>
      </w:r>
      <w:bookmarkEnd w:id="110"/>
      <w:r>
        <w:rPr>
          <w:color w:val="auto"/>
          <w:highlight w:val="none"/>
        </w:rPr>
      </w:r>
      <w:bookmarkEnd w:id="111"/>
      <w:r>
        <w:rPr>
          <w:color w:val="auto"/>
          <w:highlight w:val="none"/>
        </w:rPr>
      </w:r>
      <w:bookmarkEnd w:id="112"/>
      <w:r>
        <w:rPr>
          <w:color w:val="auto"/>
          <w:highlight w:val="none"/>
        </w:rPr>
      </w:r>
      <w:bookmarkEnd w:id="113"/>
      <w:r>
        <w:rPr>
          <w:color w:val="auto"/>
          <w:highlight w:val="none"/>
        </w:rPr>
      </w:r>
      <w:bookmarkEnd w:id="114"/>
      <w:r>
        <w:rPr>
          <w:color w:val="auto"/>
          <w:highlight w:val="none"/>
        </w:rPr>
      </w:r>
      <w:bookmarkEnd w:id="115"/>
      <w:r>
        <w:rPr>
          <w:color w:val="auto"/>
          <w:highlight w:val="none"/>
        </w:rPr>
      </w:r>
      <w:bookmarkEnd w:id="116"/>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3.3.1 在投标须知前附表规定的有效期内，投标文件应保持有效。有效期短于该规定期限的投标，将作为无效投标处理。</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117" w:name="_Toc27782"/>
      <w:r>
        <w:rPr>
          <w:color w:val="auto"/>
          <w:highlight w:val="none"/>
        </w:rPr>
      </w:r>
      <w:bookmarkStart w:id="118" w:name="_Toc12942"/>
      <w:r>
        <w:rPr>
          <w:color w:val="auto"/>
          <w:highlight w:val="none"/>
        </w:rPr>
      </w:r>
      <w:bookmarkStart w:id="119" w:name="_Toc24465"/>
      <w:r>
        <w:rPr>
          <w:rFonts w:hint="eastAsia" w:hAnsi="宋体"/>
          <w:color w:val="auto"/>
          <w:sz w:val="22"/>
          <w:szCs w:val="22"/>
          <w:highlight w:val="none"/>
        </w:rPr>
        <w:t xml:space="preserve">3.4 资格证明资料</w:t>
      </w:r>
      <w:bookmarkEnd w:id="117"/>
      <w:r>
        <w:rPr>
          <w:color w:val="auto"/>
          <w:highlight w:val="none"/>
        </w:rPr>
      </w:r>
      <w:bookmarkEnd w:id="118"/>
      <w:r>
        <w:rPr>
          <w:color w:val="auto"/>
          <w:highlight w:val="none"/>
        </w:rPr>
      </w:r>
      <w:bookmarkEnd w:id="119"/>
      <w:r>
        <w:rPr>
          <w:color w:val="auto"/>
          <w:highlight w:val="none"/>
        </w:rPr>
      </w:r>
      <w:r>
        <w:rPr>
          <w:color w:val="auto"/>
          <w:highlight w:val="none"/>
        </w:rPr>
      </w:r>
    </w:p>
    <w:p>
      <w:pPr>
        <w:pStyle w:val="1132"/>
        <w:ind w:firstLine="442"/>
        <w:spacing w:before="160" w:after="0" w:line="360" w:lineRule="auto"/>
        <w:rPr>
          <w:rFonts w:hAnsi="宋体"/>
          <w:color w:val="auto"/>
          <w:sz w:val="22"/>
          <w:szCs w:val="22"/>
          <w:highlight w:val="none"/>
        </w:rPr>
      </w:pPr>
      <w:r>
        <w:rPr>
          <w:color w:val="auto"/>
          <w:highlight w:val="none"/>
        </w:rPr>
      </w:r>
      <w:bookmarkStart w:id="120" w:name="_Toc29715"/>
      <w:r>
        <w:rPr>
          <w:color w:val="auto"/>
          <w:highlight w:val="none"/>
        </w:rPr>
      </w:r>
      <w:bookmarkStart w:id="121" w:name="_Toc23953"/>
      <w:r>
        <w:rPr>
          <w:color w:val="auto"/>
          <w:highlight w:val="none"/>
        </w:rPr>
      </w:r>
      <w:bookmarkStart w:id="122" w:name="_Toc26649"/>
      <w:r>
        <w:rPr>
          <w:rFonts w:hint="eastAsia" w:hAnsi="宋体"/>
          <w:color w:val="auto"/>
          <w:sz w:val="22"/>
          <w:szCs w:val="22"/>
          <w:highlight w:val="none"/>
        </w:rPr>
        <w:t xml:space="preserve">3.4.1 供应商应按下列规定提供资格证明材料，以证明其满足本项目供应商资格要求：</w:t>
      </w:r>
      <w:bookmarkEnd w:id="120"/>
      <w:r>
        <w:rPr>
          <w:color w:val="auto"/>
          <w:highlight w:val="none"/>
        </w:rPr>
      </w:r>
      <w:bookmarkEnd w:id="121"/>
      <w:r>
        <w:rPr>
          <w:color w:val="auto"/>
          <w:highlight w:val="none"/>
        </w:rPr>
      </w:r>
      <w:bookmarkEnd w:id="122"/>
      <w:r>
        <w:rPr>
          <w:color w:val="auto"/>
          <w:highlight w:val="none"/>
        </w:rPr>
      </w:r>
      <w:r>
        <w:rPr>
          <w:color w:val="auto"/>
          <w:highlight w:val="none"/>
        </w:rP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（1）提供法人或者其他组织的营业执照等证明文件，自然人的身份证明</w:t>
      </w:r>
      <w:r>
        <w:rPr>
          <w:rFonts w:hint="eastAsia" w:ascii="宋体" w:hAnsi="宋体" w:cs="宋体"/>
          <w:color w:val="auto"/>
          <w:sz w:val="22"/>
          <w:highlight w:val="none"/>
          <w:lang w:eastAsia="zh-CN"/>
        </w:rPr>
        <w:t xml:space="preserve">扫描</w:t>
      </w:r>
      <w:r>
        <w:rPr>
          <w:rFonts w:hint="eastAsia" w:ascii="宋体" w:hAnsi="宋体" w:cs="宋体"/>
          <w:color w:val="auto"/>
          <w:sz w:val="22"/>
          <w:highlight w:val="none"/>
        </w:rPr>
        <w:t xml:space="preserve">件；</w:t>
      </w:r>
      <w:r>
        <w:rPr>
          <w:color w:val="auto"/>
          <w:highlight w:val="none"/>
        </w:rPr>
      </w:r>
    </w:p>
    <w:p>
      <w:pPr>
        <w:ind w:firstLine="440"/>
        <w:spacing w:line="360" w:lineRule="auto"/>
        <w:rPr>
          <w:color w:val="auto"/>
          <w:highlight w:val="none"/>
        </w:rPr>
      </w:pPr>
      <w:r>
        <w:rPr>
          <w:rFonts w:hint="eastAsia" w:ascii="宋体" w:hAnsi="宋体" w:cs="宋体"/>
          <w:color w:val="auto"/>
          <w:sz w:val="22"/>
          <w:highlight w:val="none"/>
        </w:rPr>
        <w:t xml:space="preserve">（2）供应商出具的《基本资格条件承诺函书》原件扫描件；</w:t>
      </w:r>
      <w:r>
        <w:rPr>
          <w:color w:val="auto"/>
          <w:highlight w:val="none"/>
        </w:rPr>
      </w:r>
    </w:p>
    <w:p>
      <w:pPr>
        <w:ind w:firstLine="440"/>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w:t>
      </w:r>
      <w:r>
        <w:rPr>
          <w:rFonts w:hint="eastAsia" w:ascii="宋体" w:hAnsi="宋体" w:cs="宋体"/>
          <w:color w:val="auto"/>
          <w:sz w:val="22"/>
          <w:highlight w:val="none"/>
          <w:lang w:val="zh-CN"/>
        </w:rPr>
        <w:t xml:space="preserve">落实政府采购政策需满足的资格要求：本项目</w:t>
      </w:r>
      <w:r>
        <w:rPr>
          <w:rFonts w:hint="eastAsia" w:ascii="宋体" w:hAnsi="宋体" w:cs="宋体"/>
          <w:color w:val="auto"/>
          <w:sz w:val="22"/>
          <w:highlight w:val="none"/>
        </w:rPr>
        <w:t xml:space="preserve">属于专门面向中小企业采购的项目，供应商应为中小微企业、监狱企业、残疾人福利性单位之一。</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声明函或相关证明材料）</w:t>
      </w:r>
      <w:r>
        <w:rPr>
          <w:color w:val="auto"/>
          <w:highlight w:val="none"/>
        </w:rP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供应商不存在招标公告中“申请人的资格要求（三）”中任何情形之一（</w:t>
      </w:r>
      <w:r>
        <w:rPr>
          <w:rFonts w:hint="eastAsia" w:ascii="宋体" w:hAnsi="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《承诺书》）。</w:t>
      </w:r>
      <w:r>
        <w:rPr>
          <w:color w:val="auto"/>
          <w:highlight w:val="none"/>
        </w:rP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color w:val="auto"/>
          <w:highlight w:val="none"/>
        </w:rPr>
      </w:r>
    </w:p>
    <w:p>
      <w:pPr>
        <w:pStyle w:val="1132"/>
        <w:ind w:firstLine="442"/>
        <w:jc w:val="left"/>
        <w:spacing w:before="0" w:after="0" w:line="360" w:lineRule="auto"/>
        <w:rPr>
          <w:rFonts w:hAnsi="宋体"/>
          <w:color w:val="auto"/>
          <w:sz w:val="22"/>
          <w:szCs w:val="22"/>
          <w:highlight w:val="none"/>
        </w:rPr>
      </w:pPr>
      <w:r>
        <w:rPr>
          <w:color w:val="auto"/>
          <w:highlight w:val="none"/>
        </w:rPr>
      </w:r>
      <w:bookmarkStart w:id="123" w:name="_Toc3343"/>
      <w:r>
        <w:rPr>
          <w:color w:val="auto"/>
          <w:highlight w:val="none"/>
        </w:rPr>
      </w:r>
      <w:bookmarkStart w:id="124" w:name="_Toc18105"/>
      <w:r>
        <w:rPr>
          <w:color w:val="auto"/>
          <w:highlight w:val="none"/>
        </w:rPr>
      </w:r>
      <w:bookmarkStart w:id="125" w:name="_Toc29124"/>
      <w:r>
        <w:rPr>
          <w:rFonts w:hint="eastAsia" w:hAnsi="宋体"/>
          <w:color w:val="auto"/>
          <w:sz w:val="22"/>
          <w:szCs w:val="22"/>
          <w:highlight w:val="none"/>
        </w:rPr>
        <w:t xml:space="preserve">3.5 投标文件的编制</w:t>
      </w:r>
      <w:bookmarkEnd w:id="123"/>
      <w:r>
        <w:rPr>
          <w:color w:val="auto"/>
          <w:highlight w:val="none"/>
        </w:rPr>
      </w:r>
      <w:bookmarkEnd w:id="124"/>
      <w:r>
        <w:rPr>
          <w:color w:val="auto"/>
          <w:highlight w:val="none"/>
        </w:rPr>
      </w:r>
      <w:bookmarkEnd w:id="125"/>
      <w:r>
        <w:rPr>
          <w:color w:val="auto"/>
          <w:highlight w:val="none"/>
        </w:rPr>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3.5.1 投标文件应按第七章“投标文件内容及格式”进行编写，如有必要，可以增加附页，作为投标文件的组成部分。</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如果投标文件由委托代理人签署，则供应商须提交授权委托书，授权委托书应按第七章“投标文件格式”的要求出具，并由法定代表人和委托代理人签名或签章。</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如果由供应商的法定代表人亲自签署投标文件，则供应商须提交法定代表人身份证明，身份证明应符合第七章“投标文件内容及格式”的要求。</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投标文件应尽量避免涂改、行间插字或删除。如果出现上述情况，改动之处应由供应商的法定代表人或其授权的代理人签字或签章或盖单位公章。</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3.5.3 </w:t>
      </w:r>
      <w:r>
        <w:rPr>
          <w:rFonts w:hint="eastAsia" w:ascii="宋体" w:hAnsi="宋体" w:cs="宋体"/>
          <w:color w:val="auto"/>
          <w:highlight w:val="none"/>
          <w:lang w:bidi="ar"/>
        </w:rPr>
        <w:t xml:space="preserve">投标人须确保投标文件中扫描件完整、有效、清晰</w:t>
      </w:r>
      <w:r>
        <w:rPr>
          <w:rFonts w:hint="eastAsia" w:ascii="宋体" w:hAnsi="宋体" w:cs="宋体"/>
          <w:color w:val="auto"/>
          <w:sz w:val="22"/>
          <w:highlight w:val="none"/>
        </w:rPr>
        <w:t xml:space="preserve">。</w:t>
      </w:r>
      <w:bookmarkEnd w:id="97"/>
      <w:r>
        <w:rPr>
          <w:color w:val="auto"/>
          <w:highlight w:val="none"/>
        </w:rPr>
      </w:r>
      <w:r>
        <w:rPr>
          <w:color w:val="auto"/>
          <w:highlight w:val="none"/>
        </w:rPr>
      </w:r>
    </w:p>
    <w:p>
      <w:pPr>
        <w:pStyle w:val="1133"/>
        <w:spacing w:line="400" w:lineRule="exact"/>
        <w:rPr>
          <w:rFonts w:ascii="宋体" w:hAnsi="宋体" w:eastAsia="宋体" w:cs="宋体"/>
          <w:color w:val="auto"/>
          <w:sz w:val="22"/>
          <w:szCs w:val="22"/>
          <w:highlight w:val="none"/>
        </w:rPr>
      </w:pPr>
      <w:r>
        <w:rPr>
          <w:color w:val="auto"/>
          <w:highlight w:val="none"/>
        </w:rPr>
      </w:r>
      <w:bookmarkStart w:id="126" w:name="_Toc12903"/>
      <w:r>
        <w:rPr>
          <w:rFonts w:hint="eastAsia" w:ascii="宋体" w:hAnsi="宋体" w:eastAsia="宋体" w:cs="宋体"/>
          <w:color w:val="auto"/>
          <w:sz w:val="22"/>
          <w:szCs w:val="22"/>
          <w:highlight w:val="none"/>
        </w:rPr>
        <w:t xml:space="preserve">四.投标</w:t>
      </w:r>
      <w:bookmarkEnd w:id="126"/>
      <w:r>
        <w:rPr>
          <w:color w:val="auto"/>
          <w:highlight w:val="none"/>
        </w:rPr>
      </w:r>
      <w:r>
        <w:rPr>
          <w:color w:val="auto"/>
          <w:highlight w:val="none"/>
        </w:rPr>
      </w:r>
    </w:p>
    <w:p>
      <w:pPr>
        <w:pStyle w:val="1213"/>
        <w:ind w:firstLine="480"/>
        <w:spacing w:line="400" w:lineRule="exact"/>
        <w:rPr>
          <w:rFonts w:ascii="宋体" w:hAnsi="宋体" w:cs="宋体"/>
          <w:b/>
          <w:bCs/>
          <w:color w:val="auto"/>
          <w:sz w:val="22"/>
          <w:highlight w:val="none"/>
        </w:rPr>
      </w:pPr>
      <w:r>
        <w:rPr>
          <w:color w:val="auto"/>
          <w:highlight w:val="none"/>
        </w:rPr>
      </w:r>
      <w:bookmarkStart w:id="127" w:name="_Toc440"/>
      <w:r>
        <w:rPr>
          <w:rFonts w:hint="eastAsia" w:ascii="宋体" w:hAnsi="宋体" w:cs="宋体"/>
          <w:b/>
          <w:bCs/>
          <w:color w:val="auto"/>
          <w:sz w:val="22"/>
          <w:highlight w:val="none"/>
        </w:rPr>
        <w:t xml:space="preserve">4</w:t>
      </w:r>
      <w:r>
        <w:rPr>
          <w:rFonts w:hint="eastAsia" w:ascii="宋体" w:hAnsi="宋体" w:cs="宋体"/>
          <w:b/>
          <w:bCs/>
          <w:color w:val="auto"/>
          <w:sz w:val="22"/>
          <w:highlight w:val="none"/>
          <w:lang w:val="zh-CN"/>
        </w:rPr>
        <w:t xml:space="preserve">.1投标文件的密封（加密）和标记</w:t>
      </w:r>
      <w:r>
        <w:rPr>
          <w:color w:val="auto"/>
          <w:highlight w:val="none"/>
        </w:rPr>
      </w:r>
    </w:p>
    <w:p>
      <w:pPr>
        <w:pStyle w:val="1213"/>
        <w:ind w:firstLine="480"/>
        <w:spacing w:line="400" w:lineRule="exact"/>
        <w:rPr>
          <w:rFonts w:ascii="宋体" w:hAnsi="宋体" w:cs="宋体"/>
          <w:color w:val="auto"/>
          <w:sz w:val="22"/>
          <w:highlight w:val="none"/>
        </w:rPr>
      </w:pPr>
      <w:r>
        <w:rPr>
          <w:color w:val="auto"/>
          <w:highlight w:val="none"/>
        </w:rPr>
      </w:r>
      <w:bookmarkStart w:id="128" w:name="4.2_首次响应文件的递交"/>
      <w:r>
        <w:rPr>
          <w:color w:val="auto"/>
          <w:highlight w:val="none"/>
        </w:rPr>
      </w:r>
      <w:bookmarkEnd w:id="128"/>
      <w:r>
        <w:rPr>
          <w:rFonts w:hint="eastAsia" w:ascii="宋体" w:hAnsi="宋体" w:cs="宋体"/>
          <w:color w:val="auto"/>
          <w:sz w:val="22"/>
          <w:highlight w:val="none"/>
        </w:rPr>
        <w:t xml:space="preserve">4.1.1</w:t>
      </w:r>
      <w:r>
        <w:rPr>
          <w:rFonts w:hint="eastAsia" w:ascii="宋体" w:hAnsi="宋体" w:cs="宋体"/>
          <w:color w:val="auto"/>
          <w:sz w:val="22"/>
          <w:highlight w:val="none"/>
          <w:lang w:val="zh-CN"/>
        </w:rPr>
        <w:t xml:space="preserve"> 密封（加密）要求：本项目供应商须通过“苏采云”系统提供的政府采购客户端工具（使用“CA数字证书”）对其数据电文形式的投标文件加密。</w:t>
      </w:r>
      <w:r>
        <w:rPr>
          <w:color w:val="auto"/>
          <w:highlight w:val="none"/>
        </w:rPr>
      </w:r>
    </w:p>
    <w:p>
      <w:pPr>
        <w:pStyle w:val="1213"/>
        <w:ind w:firstLine="480"/>
        <w:spacing w:line="400" w:lineRule="exact"/>
        <w:rPr>
          <w:rFonts w:ascii="宋体" w:hAnsi="宋体" w:cs="宋体"/>
          <w:color w:val="auto"/>
          <w:sz w:val="22"/>
          <w:highlight w:val="none"/>
        </w:rPr>
      </w:pPr>
      <w:r>
        <w:rPr>
          <w:rFonts w:hint="eastAsia" w:ascii="宋体" w:hAnsi="宋体" w:cs="宋体"/>
          <w:color w:val="auto"/>
          <w:sz w:val="22"/>
          <w:highlight w:val="none"/>
        </w:rPr>
        <w:t xml:space="preserve">4.1.2</w:t>
      </w:r>
      <w:r>
        <w:rPr>
          <w:rFonts w:hint="eastAsia" w:ascii="宋体" w:hAnsi="宋体" w:cs="宋体"/>
          <w:color w:val="auto"/>
          <w:sz w:val="22"/>
          <w:highlight w:val="none"/>
          <w:lang w:val="zh-CN"/>
        </w:rPr>
        <w:t xml:space="preserve">签署要求：见《</w:t>
      </w:r>
      <w:r>
        <w:rPr>
          <w:rFonts w:hint="eastAsia" w:ascii="宋体" w:hAnsi="宋体" w:cs="宋体"/>
          <w:color w:val="auto"/>
          <w:sz w:val="22"/>
          <w:highlight w:val="none"/>
        </w:rPr>
        <w:t xml:space="preserve">招标</w:t>
      </w:r>
      <w:r>
        <w:rPr>
          <w:rFonts w:hint="eastAsia" w:ascii="宋体" w:hAnsi="宋体" w:cs="宋体"/>
          <w:color w:val="auto"/>
          <w:sz w:val="22"/>
          <w:highlight w:val="none"/>
          <w:lang w:val="zh-CN"/>
        </w:rPr>
        <w:t xml:space="preserve">文件》附件中相关格式要求。</w:t>
      </w:r>
      <w:r>
        <w:rPr>
          <w:color w:val="auto"/>
          <w:highlight w:val="none"/>
        </w:rPr>
      </w:r>
    </w:p>
    <w:p>
      <w:pPr>
        <w:pStyle w:val="1213"/>
        <w:ind w:firstLine="480"/>
        <w:spacing w:line="400" w:lineRule="exact"/>
        <w:rPr>
          <w:rFonts w:ascii="宋体" w:hAnsi="宋体" w:cs="宋体"/>
          <w:color w:val="auto"/>
          <w:sz w:val="22"/>
          <w:highlight w:val="none"/>
        </w:rPr>
      </w:pPr>
      <w:r>
        <w:rPr>
          <w:rFonts w:hint="eastAsia" w:ascii="宋体" w:hAnsi="宋体" w:cs="宋体"/>
          <w:color w:val="auto"/>
          <w:sz w:val="22"/>
          <w:highlight w:val="none"/>
        </w:rPr>
        <w:t xml:space="preserve">4.1.3</w:t>
      </w:r>
      <w:r>
        <w:rPr>
          <w:rFonts w:hint="eastAsia" w:ascii="宋体" w:hAnsi="宋体" w:cs="宋体"/>
          <w:color w:val="auto"/>
          <w:sz w:val="22"/>
          <w:highlight w:val="none"/>
          <w:lang w:val="zh-CN"/>
        </w:rPr>
        <w:t xml:space="preserve"> 盖章要求：见《</w:t>
      </w:r>
      <w:r>
        <w:rPr>
          <w:rFonts w:hint="eastAsia" w:ascii="宋体" w:hAnsi="宋体" w:cs="宋体"/>
          <w:color w:val="auto"/>
          <w:sz w:val="22"/>
          <w:highlight w:val="none"/>
        </w:rPr>
        <w:t xml:space="preserve">招标</w:t>
      </w:r>
      <w:r>
        <w:rPr>
          <w:rFonts w:hint="eastAsia" w:ascii="宋体" w:hAnsi="宋体" w:cs="宋体"/>
          <w:color w:val="auto"/>
          <w:sz w:val="22"/>
          <w:highlight w:val="none"/>
          <w:lang w:val="zh-CN"/>
        </w:rPr>
        <w:t xml:space="preserve">文件》附件中相关格式要求。供应商须通过“苏采云”系统提供的政府采购客户端工具（使用“CA数字证书”）加盖电子签章。</w:t>
      </w:r>
      <w:r>
        <w:rPr>
          <w:color w:val="auto"/>
          <w:highlight w:val="none"/>
        </w:rPr>
      </w:r>
    </w:p>
    <w:p>
      <w:pPr>
        <w:pStyle w:val="1213"/>
        <w:ind w:firstLine="480"/>
        <w:spacing w:line="400" w:lineRule="exact"/>
        <w:rPr>
          <w:rFonts w:ascii="宋体" w:hAnsi="宋体" w:cs="宋体"/>
          <w:color w:val="auto"/>
          <w:sz w:val="22"/>
          <w:highlight w:val="none"/>
        </w:rPr>
      </w:pPr>
      <w:r>
        <w:rPr>
          <w:rFonts w:hint="eastAsia" w:ascii="宋体" w:hAnsi="宋体" w:cs="宋体"/>
          <w:color w:val="auto"/>
          <w:sz w:val="22"/>
          <w:highlight w:val="none"/>
        </w:rPr>
        <w:t xml:space="preserve">4.1.4</w:t>
      </w:r>
      <w:r>
        <w:rPr>
          <w:rFonts w:hint="eastAsia" w:ascii="宋体" w:hAnsi="宋体" w:cs="宋体"/>
          <w:color w:val="auto"/>
          <w:sz w:val="22"/>
          <w:highlight w:val="none"/>
          <w:lang w:val="zh-CN"/>
        </w:rPr>
        <w:t xml:space="preserve"> 特别提醒：</w:t>
      </w:r>
      <w:r>
        <w:rPr>
          <w:rFonts w:hint="eastAsia" w:ascii="宋体" w:hAnsi="宋体" w:cs="宋体"/>
          <w:color w:val="auto"/>
          <w:sz w:val="22"/>
          <w:highlight w:val="none"/>
        </w:rPr>
        <w:t xml:space="preserve">招标</w:t>
      </w:r>
      <w:r>
        <w:rPr>
          <w:rFonts w:hint="eastAsia" w:ascii="宋体" w:hAnsi="宋体" w:cs="宋体"/>
          <w:color w:val="auto"/>
          <w:sz w:val="22"/>
          <w:highlight w:val="none"/>
          <w:lang w:val="zh-CN"/>
        </w:rPr>
        <w:t xml:space="preserve">文件中如需“被授权代表签字或盖章”，供应商可打印成文档，签字或盖章后再扫描上传，最后再电子签章。</w:t>
      </w:r>
      <w:r>
        <w:rPr>
          <w:color w:val="auto"/>
          <w:highlight w:val="none"/>
        </w:rPr>
      </w:r>
    </w:p>
    <w:p>
      <w:pPr>
        <w:pStyle w:val="1213"/>
        <w:ind w:firstLine="480"/>
        <w:spacing w:line="400" w:lineRule="exact"/>
        <w:rPr>
          <w:rFonts w:ascii="宋体" w:hAnsi="宋体" w:cs="宋体"/>
          <w:b/>
          <w:bCs/>
          <w:color w:val="auto"/>
          <w:sz w:val="22"/>
          <w:highlight w:val="none"/>
        </w:rPr>
      </w:pPr>
      <w:r>
        <w:rPr>
          <w:rFonts w:hint="eastAsia" w:ascii="宋体" w:hAnsi="宋体" w:cs="宋体"/>
          <w:b/>
          <w:bCs/>
          <w:color w:val="auto"/>
          <w:sz w:val="22"/>
          <w:highlight w:val="none"/>
        </w:rPr>
        <w:t xml:space="preserve">4.2</w:t>
      </w:r>
      <w:r>
        <w:rPr>
          <w:rFonts w:hint="eastAsia" w:ascii="宋体" w:hAnsi="宋体" w:cs="宋体"/>
          <w:b/>
          <w:bCs/>
          <w:color w:val="auto"/>
          <w:sz w:val="22"/>
          <w:highlight w:val="none"/>
          <w:lang w:val="zh-CN"/>
        </w:rPr>
        <w:t xml:space="preserve">投标文件的递交</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4.2.1本项目通过“苏采云”系统进行电子采购，即供应商投标文件从政府采购客户端工具制作并通过“苏采云”系统提交。</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4.2.4“苏采云”系统使用要求：</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（1）使用谷歌浏览器参与不见面开标及相关环节。</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（2）电脑需提前准备好麦克风、音响，摄像头，提前检查保证能够正常使用。</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（3）操作系统至少win7以上，建议使用win10操作系统。</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（4）通过“苏采云”系统提交政府采购客户端工具导出加密的投标文件（后缀名为zip）。投标文件不得超过350M！ </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注：供应商应当按照《招标文件》的要求编制投标文件，并对其提交的投标文件的真实性、合法性承担法律责任。</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4.2.5逾期上传或未按规定上传的投标文件，采购人不予受理。</w:t>
      </w:r>
      <w:bookmarkEnd w:id="127"/>
      <w:r>
        <w:rPr>
          <w:color w:val="auto"/>
          <w:highlight w:val="none"/>
        </w:rPr>
      </w:r>
      <w:r>
        <w:rPr>
          <w:color w:val="auto"/>
          <w:highlight w:val="none"/>
        </w:rPr>
      </w:r>
    </w:p>
    <w:p>
      <w:pPr>
        <w:pStyle w:val="1134"/>
        <w:ind w:left="900" w:hanging="417"/>
        <w:spacing w:line="400" w:lineRule="exact"/>
        <w:rPr>
          <w:rFonts w:hAnsi="宋体"/>
          <w:color w:val="auto"/>
          <w:sz w:val="22"/>
          <w:szCs w:val="22"/>
          <w:highlight w:val="none"/>
          <w:u w:val="none"/>
        </w:rPr>
      </w:pPr>
      <w:r>
        <w:rPr>
          <w:color w:val="auto"/>
          <w:highlight w:val="none"/>
        </w:rPr>
      </w:r>
      <w:bookmarkStart w:id="129" w:name="_Toc5198"/>
      <w:r>
        <w:rPr>
          <w:rFonts w:hint="eastAsia" w:hAnsi="宋体"/>
          <w:color w:val="auto"/>
          <w:sz w:val="22"/>
          <w:szCs w:val="22"/>
          <w:highlight w:val="none"/>
          <w:u w:val="none"/>
        </w:rPr>
        <w:t xml:space="preserve">4.3 投标文件的修改与撤回</w:t>
      </w:r>
      <w:bookmarkEnd w:id="129"/>
      <w:r>
        <w:rPr>
          <w:color w:val="auto"/>
          <w:highlight w:val="none"/>
        </w:rPr>
      </w:r>
      <w:r>
        <w:rPr>
          <w:color w:val="auto"/>
          <w:highlight w:val="none"/>
        </w:rPr>
      </w:r>
    </w:p>
    <w:p>
      <w:pPr>
        <w:pStyle w:val="1213"/>
        <w:ind w:firstLine="480"/>
        <w:spacing w:line="400" w:lineRule="exact"/>
        <w:rPr>
          <w:rFonts w:ascii="宋体" w:hAnsi="宋体" w:cs="宋体"/>
          <w:color w:val="auto"/>
          <w:sz w:val="22"/>
          <w:highlight w:val="none"/>
        </w:rPr>
      </w:pPr>
      <w:r>
        <w:rPr>
          <w:color w:val="auto"/>
          <w:highlight w:val="none"/>
        </w:rPr>
      </w:r>
      <w:bookmarkStart w:id="130" w:name="_Toc1350"/>
      <w:r>
        <w:rPr>
          <w:rFonts w:hint="eastAsia" w:ascii="宋体" w:hAnsi="宋体" w:cs="宋体"/>
          <w:color w:val="auto"/>
          <w:sz w:val="22"/>
          <w:highlight w:val="none"/>
        </w:rPr>
        <w:t xml:space="preserve">4.3.1</w:t>
      </w:r>
      <w:r>
        <w:rPr>
          <w:rFonts w:hint="eastAsia" w:ascii="宋体" w:hAnsi="宋体" w:cs="宋体"/>
          <w:color w:val="auto"/>
          <w:sz w:val="22"/>
          <w:highlight w:val="none"/>
          <w:lang w:val="zh-CN"/>
        </w:rPr>
        <w:t xml:space="preserve"> 电子投标文件的撤回</w:t>
      </w:r>
      <w:r>
        <w:rPr>
          <w:color w:val="auto"/>
          <w:highlight w:val="none"/>
        </w:rPr>
      </w:r>
    </w:p>
    <w:p>
      <w:pPr>
        <w:pStyle w:val="1213"/>
        <w:ind w:firstLine="480"/>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投标人可在投标截止时间前，撤回其电子投标文件，具体操作方法见《江苏省政府采购管理交易系统（苏采云）供应商操作手册》。</w:t>
      </w:r>
      <w:r>
        <w:rPr>
          <w:color w:val="auto"/>
          <w:highlight w:val="none"/>
        </w:rPr>
      </w:r>
    </w:p>
    <w:p>
      <w:pPr>
        <w:pStyle w:val="1213"/>
        <w:ind w:firstLine="480"/>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在投标截止时间之后，投标人撤回电子投标文件，则认为其不再参与本项目投标活动。</w:t>
      </w:r>
      <w:r>
        <w:rPr>
          <w:color w:val="auto"/>
          <w:highlight w:val="none"/>
        </w:rPr>
      </w:r>
    </w:p>
    <w:p>
      <w:pPr>
        <w:pStyle w:val="1213"/>
        <w:ind w:firstLine="480"/>
        <w:jc w:val="left"/>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4.3.2投标文件的修改</w:t>
      </w:r>
      <w:r>
        <w:rPr>
          <w:color w:val="auto"/>
          <w:highlight w:val="none"/>
        </w:rPr>
      </w:r>
    </w:p>
    <w:p>
      <w:pPr>
        <w:pStyle w:val="1213"/>
        <w:ind w:firstLine="480"/>
        <w:jc w:val="left"/>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投标人可在投标截止时间前，对其电子投标文件进行修改，具体操作方法见《江苏省政府采购管理交易系统（苏采云）供应商操作手册》。</w:t>
      </w:r>
      <w:r>
        <w:rPr>
          <w:color w:val="auto"/>
          <w:highlight w:val="none"/>
        </w:rPr>
      </w:r>
    </w:p>
    <w:p>
      <w:pPr>
        <w:pStyle w:val="1213"/>
        <w:ind w:firstLine="480"/>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 在投标截止时间之后，投标人不得对其电子投标文件作任何修改。</w:t>
      </w:r>
      <w:r>
        <w:rPr>
          <w:color w:val="auto"/>
          <w:highlight w:val="none"/>
        </w:rPr>
      </w:r>
    </w:p>
    <w:p>
      <w:pPr>
        <w:pStyle w:val="1133"/>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五、开标及评标</w:t>
      </w:r>
      <w:bookmarkEnd w:id="130"/>
      <w:r>
        <w:rPr>
          <w:color w:val="auto"/>
          <w:highlight w:val="none"/>
        </w:rPr>
      </w:r>
      <w:r>
        <w:rPr>
          <w:color w:val="auto"/>
          <w:highlight w:val="none"/>
        </w:rPr>
      </w:r>
    </w:p>
    <w:p>
      <w:pPr>
        <w:pStyle w:val="1134"/>
        <w:ind w:left="900" w:hanging="417"/>
        <w:spacing w:line="400" w:lineRule="exact"/>
        <w:rPr>
          <w:rFonts w:hAnsi="宋体"/>
          <w:color w:val="auto"/>
          <w:sz w:val="22"/>
          <w:szCs w:val="22"/>
          <w:highlight w:val="none"/>
          <w:u w:val="none"/>
        </w:rPr>
      </w:pPr>
      <w:r>
        <w:rPr>
          <w:color w:val="auto"/>
          <w:highlight w:val="none"/>
        </w:rPr>
      </w:r>
      <w:bookmarkStart w:id="131" w:name="_Toc22196"/>
      <w:r>
        <w:rPr>
          <w:rFonts w:hint="eastAsia" w:hAnsi="宋体"/>
          <w:color w:val="auto"/>
          <w:sz w:val="22"/>
          <w:szCs w:val="22"/>
          <w:highlight w:val="none"/>
          <w:u w:val="none"/>
        </w:rPr>
        <w:t xml:space="preserve">5.1 开标</w:t>
      </w:r>
      <w:bookmarkEnd w:id="131"/>
      <w:r>
        <w:rPr>
          <w:color w:val="auto"/>
          <w:highlight w:val="none"/>
        </w:rPr>
      </w:r>
      <w:r>
        <w:rPr>
          <w:color w:val="auto"/>
          <w:highlight w:val="none"/>
        </w:rPr>
      </w:r>
    </w:p>
    <w:p>
      <w:pPr>
        <w:ind w:firstLine="440"/>
        <w:spacing w:line="400" w:lineRule="exact"/>
        <w:rPr>
          <w:rFonts w:ascii="宋体" w:hAnsi="宋体" w:cs="宋体"/>
          <w:color w:val="auto"/>
          <w:sz w:val="22"/>
          <w:szCs w:val="22"/>
          <w:highlight w:val="none"/>
        </w:rPr>
      </w:pPr>
      <w:r>
        <w:rPr>
          <w:color w:val="auto"/>
          <w:highlight w:val="none"/>
        </w:rPr>
      </w:r>
      <w:bookmarkStart w:id="132" w:name="_Toc26462"/>
      <w:r>
        <w:rPr>
          <w:rFonts w:hint="eastAsia" w:ascii="宋体" w:hAnsi="宋体" w:cs="宋体"/>
          <w:color w:val="auto"/>
          <w:sz w:val="22"/>
          <w:szCs w:val="22"/>
          <w:highlight w:val="none"/>
        </w:rPr>
        <w:t xml:space="preserve">5.1.1 采购人</w:t>
      </w:r>
      <w:r>
        <w:rPr>
          <w:rFonts w:hint="eastAsia" w:ascii="宋体" w:hAnsi="宋体" w:cs="宋体"/>
          <w:color w:val="auto"/>
          <w:sz w:val="22"/>
          <w:highlight w:val="none"/>
        </w:rPr>
        <w:t xml:space="preserve">或采购代理机构</w:t>
      </w:r>
      <w:r>
        <w:rPr>
          <w:rFonts w:hint="eastAsia" w:ascii="宋体" w:hAnsi="宋体" w:cs="宋体"/>
          <w:color w:val="auto"/>
          <w:sz w:val="22"/>
          <w:szCs w:val="22"/>
          <w:highlight w:val="none"/>
        </w:rPr>
        <w:t xml:space="preserve">在供应商须知前附表规定的开标时间和地点公开开标。供应商不足3家的，不得开标。供应商提交的投标文件原封退还给供应商。</w:t>
      </w:r>
      <w:r>
        <w:rPr>
          <w:color w:val="auto"/>
          <w:highlight w:val="none"/>
        </w:rP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5.1.2 开标由电子招标投标交易平台主持，邀请供应商参加。</w:t>
      </w:r>
      <w:r>
        <w:rPr>
          <w:rFonts w:hint="eastAsia" w:ascii="宋体" w:hAnsi="宋体" w:cs="宋体"/>
          <w:color w:val="auto"/>
          <w:sz w:val="22"/>
          <w:highlight w:val="none"/>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color w:val="auto"/>
          <w:sz w:val="22"/>
          <w:szCs w:val="22"/>
          <w:highlight w:val="none"/>
        </w:rPr>
        <w:t xml:space="preserve">。</w:t>
      </w:r>
      <w:r>
        <w:rPr>
          <w:rFonts w:hint="eastAsia" w:ascii="宋体" w:hAnsi="宋体" w:cs="宋体"/>
          <w:color w:val="auto"/>
          <w:sz w:val="22"/>
          <w:highlight w:val="none"/>
        </w:rPr>
        <w:t xml:space="preserve"> </w:t>
      </w:r>
      <w:r>
        <w:rPr>
          <w:color w:val="auto"/>
          <w:highlight w:val="none"/>
        </w:rPr>
      </w:r>
    </w:p>
    <w:p>
      <w:pPr>
        <w:ind w:firstLine="48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5.1.3 所有投标单位使用 CA 证书在开标时间时，解密各自投标文件，由工作人员操作系统进行开标，供应商不足3家的，不得开标。</w:t>
      </w:r>
      <w:r>
        <w:rPr>
          <w:color w:val="auto"/>
          <w:highlight w:val="none"/>
        </w:rP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5.1.4 供应商原因造成投标文件未解密的，视为撤销其投标文件；因供应商之外的原因造成投标文件未解密的，视为撤回其投标文件。部分投标文件未解密的，其他投标文件的开标可以继续进行。</w:t>
      </w:r>
      <w:r>
        <w:rPr>
          <w:color w:val="auto"/>
          <w:highlight w:val="none"/>
        </w:rPr>
      </w:r>
    </w:p>
    <w:p>
      <w:pPr>
        <w:ind w:firstLine="48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color w:val="auto"/>
          <w:highlight w:val="none"/>
        </w:rPr>
      </w:r>
    </w:p>
    <w:p>
      <w:pPr>
        <w:ind w:firstLine="48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所有供应商解密（或解密时间）结束后，“苏采云”系统生成开标记录并公布，但依法应当保密的除外。</w:t>
      </w:r>
      <w:r>
        <w:rPr>
          <w:color w:val="auto"/>
          <w:highlight w:val="none"/>
        </w:rP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5.1.6开标时，投标文件中“开标一览表”内容与投标文件中相应内容不一致的，以“开标一览表”为准；大写金额与小写金额不一致的，以大写金额为准。</w:t>
      </w:r>
      <w:r>
        <w:rPr>
          <w:color w:val="auto"/>
          <w:highlight w:val="none"/>
        </w:rP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rPr>
          <w:color w:val="auto"/>
          <w:highlight w:val="none"/>
        </w:rPr>
      </w:r>
    </w:p>
    <w:p>
      <w:pPr>
        <w:ind w:firstLine="440"/>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5.2 资格评审</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5.2.1开标结束后，采购人或者采购代理机构依法对投标人的资格进行审查。</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5.2.2采购人或者采购代理机构应当按照第三章“资格审查办法”规定的资格评审标准对投标文件进行资格评审。</w:t>
      </w:r>
      <w:r>
        <w:rPr>
          <w:color w:val="auto"/>
          <w:highlight w:val="none"/>
        </w:rPr>
      </w:r>
    </w:p>
    <w:p>
      <w:pPr>
        <w:ind w:firstLine="440"/>
        <w:spacing w:line="360" w:lineRule="auto"/>
        <w:rPr>
          <w:rFonts w:ascii="宋体" w:hAnsi="宋体" w:cs="宋体"/>
          <w:b/>
          <w:bCs/>
          <w:color w:val="auto"/>
          <w:sz w:val="22"/>
          <w:highlight w:val="none"/>
        </w:rPr>
      </w:pPr>
      <w:r>
        <w:rPr>
          <w:rFonts w:hint="eastAsia" w:ascii="宋体" w:hAnsi="宋体" w:cs="宋体"/>
          <w:color w:val="auto"/>
          <w:sz w:val="22"/>
          <w:highlight w:val="none"/>
        </w:rPr>
        <w:t xml:space="preserve">5.2.3 资格评审结束后，合格投标人不足3家的，不得评标。</w:t>
      </w:r>
      <w:r>
        <w:rPr>
          <w:color w:val="auto"/>
          <w:highlight w:val="none"/>
        </w:rPr>
      </w:r>
    </w:p>
    <w:p>
      <w:pPr>
        <w:ind w:firstLine="440"/>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5.3 组建评标委员会</w:t>
      </w:r>
      <w:bookmarkEnd w:id="132"/>
      <w:r>
        <w:rPr>
          <w:color w:val="auto"/>
          <w:highlight w:val="none"/>
        </w:rPr>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5.3.1 评标委员会由采购人代表和评审专家组成，成员人数见供应商须知前附表。</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5.3.2 评标委员会成员有下列情形之一的，应当回避；已经进入的，应当退出:</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（1）供应商或者供应商主要负责人的近亲属；</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（2）项目主管部门或者行政监督部门的人员；</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（3）与供应商有经济利益关系；</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（4）曾因在招标、评标以及其他与招标投标有关系活动中从事违法行为而受到行政处罚或者刑事处罚的；</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（5）与供应商有其他利害关系与供应商有利害关系。</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5.3.3 特殊情况处置</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（1）评标活动终止</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②发生下列情况之一的，评标委员会应终止评标并按照废标处理：</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a.发生了不可抗力事件；</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b.评标委员会名单泄密或者评标委员成员无法中途更换的；</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c.发生评标信息泄露或者出现非法干预评审、谈判工作的；</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d.监督人员现场发现评标委员会或者成员未按照招标文件规定评审或者存在违反法律法规规定行为，且拒绝改正的。</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出现上述情形的，评标委员会有权予以废标或者建议采购人和采购代理机构封存招标文件和所有投标或投标文件，择期重新组建评标委员会进行评审。</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(2)评标委员会中途更换成员</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①除非发生下列情况之一，评标委员会成员不得中途更换：</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a.因不可抗拒的客观原因，不能到场或者需在评标过程中退出评标活动；</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b.根据法律法规规定，某个或者某几个评标委员会成员需要回避；</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(3)评委争议</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p>
    <w:p>
      <w:pPr>
        <w:ind w:firstLine="442"/>
        <w:spacing w:line="400" w:lineRule="exact"/>
        <w:rPr>
          <w:rFonts w:ascii="宋体" w:hAnsi="宋体" w:cs="宋体"/>
          <w:b/>
          <w:color w:val="auto"/>
          <w:sz w:val="22"/>
          <w:szCs w:val="22"/>
          <w:highlight w:val="none"/>
        </w:rPr>
      </w:pPr>
      <w:r>
        <w:rPr>
          <w:color w:val="auto"/>
          <w:highlight w:val="none"/>
        </w:rPr>
      </w:r>
      <w:bookmarkStart w:id="133" w:name="_Toc1074"/>
      <w:r>
        <w:rPr>
          <w:rFonts w:hint="eastAsia" w:ascii="宋体" w:hAnsi="宋体" w:cs="宋体"/>
          <w:b/>
          <w:color w:val="auto"/>
          <w:sz w:val="22"/>
          <w:szCs w:val="22"/>
          <w:highlight w:val="none"/>
        </w:rPr>
        <w:t xml:space="preserve">5.4 评标</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5.4.1经初审合格的投标文件，评标委员会将根据采购文件确定的评标原则和方法，对其技术部分和商务部分作进一步的评审和比较。</w:t>
      </w:r>
      <w:r>
        <w:rPr>
          <w:color w:val="auto"/>
          <w:highlight w:val="none"/>
        </w:rPr>
      </w:r>
    </w:p>
    <w:p>
      <w:pPr>
        <w:ind w:firstLine="480"/>
        <w:spacing w:before="120" w:line="400" w:lineRule="exact"/>
        <w:rPr>
          <w:rFonts w:ascii="宋体" w:hAnsi="宋体" w:cs="宋体"/>
          <w:color w:val="auto"/>
          <w:sz w:val="22"/>
          <w:highlight w:val="none"/>
        </w:rPr>
      </w:pPr>
      <w:r>
        <w:rPr>
          <w:rFonts w:hint="eastAsia" w:ascii="宋体" w:hAnsi="宋体" w:cs="宋体"/>
          <w:color w:val="auto"/>
          <w:sz w:val="22"/>
          <w:szCs w:val="22"/>
          <w:highlight w:val="none"/>
        </w:rPr>
        <w:t xml:space="preserve">5.4.2 </w:t>
      </w:r>
      <w:r>
        <w:rPr>
          <w:rFonts w:hint="eastAsia" w:ascii="宋体" w:hAnsi="宋体" w:cs="宋体"/>
          <w:color w:val="auto"/>
          <w:sz w:val="22"/>
          <w:highlight w:val="none"/>
        </w:rPr>
        <w:t xml:space="preserve">评标委员会对符合资格的投标人的投标文件，按照第四章“评标办法”规定的评标方法、评审因素、标准和程序对投标文件进行评审。</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5.4.3评标时，评标委员会各成员应当独立对每个供应商的投标文件进行评价，并汇总每个供应商的得分。</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5.4.5供应商应当遵循公平竞争的原则，不得恶意串通，不得妨碍其他供应商的竞争行为，不得损害采购人或者其他供应商的合法权益。</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在评标过程中发现供应商有上述情形的，评标委员会应当认定其投标无效，并书面报告本级财政部门。</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5.4.6有下列情形之一的，视为供应商串通投标，其投标无效：</w:t>
      </w:r>
      <w:r>
        <w:rPr>
          <w:color w:val="auto"/>
          <w:highlight w:val="none"/>
        </w:rPr>
      </w:r>
    </w:p>
    <w:p>
      <w:pPr>
        <w:ind w:firstLine="24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（一）不同供应商的投标文件由同一单位或者个人编制；</w:t>
      </w:r>
      <w:r>
        <w:rPr>
          <w:color w:val="auto"/>
          <w:highlight w:val="none"/>
        </w:rPr>
      </w:r>
    </w:p>
    <w:p>
      <w:pPr>
        <w:ind w:firstLine="24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（二）不同供应商委托同一单位或者个人办理投标事宜；</w:t>
      </w:r>
      <w:r>
        <w:rPr>
          <w:color w:val="auto"/>
          <w:highlight w:val="none"/>
        </w:rPr>
      </w:r>
    </w:p>
    <w:p>
      <w:pPr>
        <w:ind w:firstLine="24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（三）不同供应商的投标文件载明的项目管理成员或者联系人员为同一人；</w:t>
      </w:r>
      <w:r>
        <w:rPr>
          <w:color w:val="auto"/>
          <w:highlight w:val="none"/>
        </w:rPr>
      </w:r>
    </w:p>
    <w:p>
      <w:pPr>
        <w:ind w:firstLine="240"/>
        <w:spacing w:before="120"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（四）不同供应商的投标文件异常一致或者投标报价呈规律性差异；</w:t>
      </w:r>
      <w:r>
        <w:rPr>
          <w:color w:val="auto"/>
          <w:highlight w:val="none"/>
        </w:rPr>
      </w:r>
    </w:p>
    <w:p>
      <w:pPr>
        <w:ind w:firstLine="240"/>
        <w:spacing w:before="120"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（五）不同供应商的投标文件相互混装；</w:t>
      </w:r>
      <w:r>
        <w:rPr>
          <w:color w:val="auto"/>
          <w:highlight w:val="none"/>
        </w:rPr>
      </w:r>
    </w:p>
    <w:p>
      <w:pPr>
        <w:ind w:firstLine="480"/>
        <w:spacing w:before="120"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rPr>
          <w:color w:val="auto"/>
          <w:highlight w:val="none"/>
        </w:rPr>
      </w:r>
    </w:p>
    <w:p>
      <w:pPr>
        <w:ind w:firstLine="440"/>
        <w:spacing w:line="440" w:lineRule="exact"/>
        <w:rPr>
          <w:rFonts w:ascii="宋体" w:hAnsi="宋体" w:cs="宋体"/>
          <w:color w:val="auto"/>
          <w:sz w:val="24"/>
          <w:szCs w:val="24"/>
          <w:highlight w:val="none"/>
        </w:rPr>
      </w:pPr>
      <w:r>
        <w:rPr>
          <w:rFonts w:hint="eastAsia" w:ascii="宋体" w:hAnsi="宋体" w:cs="宋体"/>
          <w:color w:val="auto"/>
          <w:sz w:val="22"/>
          <w:szCs w:val="22"/>
          <w:highlight w:val="none"/>
        </w:rPr>
        <w:t xml:space="preserve">5.4.8</w:t>
      </w:r>
      <w:r>
        <w:rPr>
          <w:rFonts w:hint="eastAsia" w:ascii="宋体" w:hAnsi="宋体" w:cs="宋体"/>
          <w:color w:val="auto"/>
          <w:sz w:val="22"/>
          <w:highlight w:val="none"/>
        </w:rPr>
        <w:t xml:space="preserve">评标完成后，评标委员会根据全体评标成员签字的原始评标记录和评标结果编写评标报告。评标委员会确定的中标候选人名单数量见投标人须知前附表。</w:t>
      </w:r>
      <w:r>
        <w:rPr>
          <w:color w:val="auto"/>
          <w:highlight w:val="none"/>
        </w:rPr>
      </w:r>
    </w:p>
    <w:p>
      <w:pPr>
        <w:pStyle w:val="1134"/>
        <w:ind w:firstLine="482"/>
        <w:spacing w:line="400" w:lineRule="exact"/>
        <w:rPr>
          <w:rFonts w:hAnsi="宋体"/>
          <w:color w:val="auto"/>
          <w:sz w:val="22"/>
          <w:szCs w:val="22"/>
          <w:highlight w:val="none"/>
          <w:u w:val="none"/>
        </w:rPr>
      </w:pPr>
      <w:r>
        <w:rPr>
          <w:rFonts w:hint="eastAsia" w:hAnsi="宋体"/>
          <w:color w:val="auto"/>
          <w:sz w:val="22"/>
          <w:szCs w:val="22"/>
          <w:highlight w:val="none"/>
          <w:u w:val="none"/>
        </w:rPr>
        <w:t xml:space="preserve">5.5 </w:t>
      </w:r>
      <w:bookmarkEnd w:id="133"/>
      <w:r>
        <w:rPr>
          <w:color w:val="auto"/>
          <w:highlight w:val="none"/>
        </w:rPr>
      </w:r>
      <w:bookmarkStart w:id="134" w:name="_Toc9199"/>
      <w:r>
        <w:rPr>
          <w:rFonts w:hint="eastAsia" w:hAnsi="宋体"/>
          <w:color w:val="auto"/>
          <w:sz w:val="22"/>
          <w:szCs w:val="22"/>
          <w:highlight w:val="none"/>
          <w:u w:val="none"/>
        </w:rPr>
        <w:t xml:space="preserve">评标过程及保密原则</w:t>
      </w:r>
      <w:bookmarkEnd w:id="134"/>
      <w:r>
        <w:rPr>
          <w:color w:val="auto"/>
          <w:highlight w:val="none"/>
        </w:rPr>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rPr>
          <w:color w:val="auto"/>
          <w:highlight w:val="none"/>
        </w:rP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5.5.2有关人员对评标情况以及在评标过程中获悉的国家秘密、商业秘密负有保密责任。</w:t>
      </w:r>
      <w:r>
        <w:rPr>
          <w:color w:val="auto"/>
          <w:highlight w:val="none"/>
        </w:rPr>
      </w:r>
    </w:p>
    <w:p>
      <w:pPr>
        <w:pStyle w:val="1133"/>
        <w:spacing w:line="400" w:lineRule="exact"/>
        <w:rPr>
          <w:rFonts w:ascii="宋体" w:hAnsi="宋体" w:eastAsia="宋体" w:cs="宋体"/>
          <w:color w:val="auto"/>
          <w:sz w:val="24"/>
          <w:szCs w:val="24"/>
          <w:highlight w:val="none"/>
        </w:rPr>
      </w:pPr>
      <w:r>
        <w:rPr>
          <w:color w:val="auto"/>
          <w:highlight w:val="none"/>
        </w:rPr>
      </w:r>
      <w:bookmarkStart w:id="135" w:name="_Toc18046"/>
      <w:r>
        <w:rPr>
          <w:rFonts w:hint="eastAsia" w:ascii="宋体" w:hAnsi="宋体" w:eastAsia="宋体" w:cs="宋体"/>
          <w:color w:val="auto"/>
          <w:sz w:val="24"/>
          <w:szCs w:val="24"/>
          <w:highlight w:val="none"/>
        </w:rPr>
        <w:t xml:space="preserve">六、中标</w:t>
      </w:r>
      <w:bookmarkEnd w:id="135"/>
      <w:r>
        <w:rPr>
          <w:rFonts w:hint="eastAsia" w:ascii="宋体" w:hAnsi="宋体" w:eastAsia="宋体" w:cs="宋体"/>
          <w:color w:val="auto"/>
          <w:sz w:val="24"/>
          <w:szCs w:val="24"/>
          <w:highlight w:val="none"/>
        </w:rPr>
        <w:t xml:space="preserve">和合同</w:t>
      </w:r>
      <w:r>
        <w:rPr>
          <w:color w:val="auto"/>
          <w:highlight w:val="none"/>
        </w:rPr>
      </w:r>
    </w:p>
    <w:p>
      <w:pPr>
        <w:pStyle w:val="1132"/>
        <w:ind w:firstLine="442"/>
        <w:jc w:val="left"/>
        <w:spacing w:before="160" w:after="0" w:line="360" w:lineRule="auto"/>
        <w:rPr>
          <w:rFonts w:hAnsi="宋体"/>
          <w:color w:val="auto"/>
          <w:sz w:val="22"/>
          <w:szCs w:val="22"/>
          <w:highlight w:val="none"/>
        </w:rPr>
      </w:pPr>
      <w:r>
        <w:rPr>
          <w:color w:val="auto"/>
          <w:highlight w:val="none"/>
        </w:rPr>
      </w:r>
      <w:bookmarkStart w:id="136" w:name="_Toc6002"/>
      <w:r>
        <w:rPr>
          <w:color w:val="auto"/>
          <w:highlight w:val="none"/>
        </w:rPr>
      </w:r>
      <w:bookmarkStart w:id="137" w:name="_Toc29296"/>
      <w:r>
        <w:rPr>
          <w:color w:val="auto"/>
          <w:highlight w:val="none"/>
        </w:rPr>
      </w:r>
      <w:bookmarkStart w:id="138" w:name="_Toc8297"/>
      <w:r>
        <w:rPr>
          <w:color w:val="auto"/>
          <w:highlight w:val="none"/>
        </w:rPr>
      </w:r>
      <w:bookmarkStart w:id="139" w:name="_Toc28222"/>
      <w:r>
        <w:rPr>
          <w:color w:val="auto"/>
          <w:highlight w:val="none"/>
        </w:rPr>
      </w:r>
      <w:bookmarkStart w:id="140" w:name="_Toc8673"/>
      <w:r>
        <w:rPr>
          <w:color w:val="auto"/>
          <w:highlight w:val="none"/>
        </w:rPr>
      </w:r>
      <w:bookmarkStart w:id="141" w:name="_Toc29521"/>
      <w:r>
        <w:rPr>
          <w:color w:val="auto"/>
          <w:highlight w:val="none"/>
        </w:rPr>
      </w:r>
      <w:bookmarkStart w:id="142" w:name="_Toc30346"/>
      <w:r>
        <w:rPr>
          <w:rFonts w:hint="eastAsia" w:hAnsi="宋体"/>
          <w:color w:val="auto"/>
          <w:sz w:val="22"/>
          <w:szCs w:val="22"/>
          <w:highlight w:val="none"/>
        </w:rPr>
        <w:t xml:space="preserve">6.1 定标</w:t>
      </w:r>
      <w:bookmarkEnd w:id="136"/>
      <w:r>
        <w:rPr>
          <w:color w:val="auto"/>
          <w:highlight w:val="none"/>
        </w:rPr>
      </w:r>
      <w:bookmarkEnd w:id="137"/>
      <w:r>
        <w:rPr>
          <w:color w:val="auto"/>
          <w:highlight w:val="none"/>
        </w:rPr>
      </w:r>
      <w:bookmarkEnd w:id="138"/>
      <w:r>
        <w:rPr>
          <w:color w:val="auto"/>
          <w:highlight w:val="none"/>
        </w:rPr>
      </w:r>
      <w:bookmarkEnd w:id="139"/>
      <w:r>
        <w:rPr>
          <w:color w:val="auto"/>
          <w:highlight w:val="none"/>
        </w:rPr>
      </w:r>
      <w:bookmarkEnd w:id="140"/>
      <w:r>
        <w:rPr>
          <w:color w:val="auto"/>
          <w:highlight w:val="none"/>
        </w:rPr>
      </w:r>
      <w:bookmarkEnd w:id="141"/>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6.1.1采购代理机构应当在评标结束后2个工作日内将评标报告送采购人。</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rPr>
          <w:color w:val="auto"/>
          <w:highlight w:val="none"/>
        </w:rPr>
      </w:r>
    </w:p>
    <w:p>
      <w:pPr>
        <w:pStyle w:val="1132"/>
        <w:ind w:firstLine="442"/>
        <w:jc w:val="left"/>
        <w:spacing w:before="160" w:after="0" w:line="360" w:lineRule="auto"/>
        <w:rPr>
          <w:rFonts w:hAnsi="宋体"/>
          <w:color w:val="auto"/>
          <w:sz w:val="22"/>
          <w:highlight w:val="none"/>
        </w:rPr>
      </w:pPr>
      <w:r>
        <w:rPr>
          <w:color w:val="auto"/>
          <w:highlight w:val="none"/>
        </w:rPr>
      </w:r>
      <w:bookmarkStart w:id="143" w:name="_Toc17359"/>
      <w:r>
        <w:rPr>
          <w:color w:val="auto"/>
          <w:highlight w:val="none"/>
        </w:rPr>
      </w:r>
      <w:bookmarkStart w:id="144" w:name="_Toc8122"/>
      <w:r>
        <w:rPr>
          <w:rFonts w:hint="eastAsia" w:hAnsi="宋体"/>
          <w:color w:val="auto"/>
          <w:sz w:val="22"/>
          <w:highlight w:val="none"/>
        </w:rPr>
        <w:t xml:space="preserve">6.2 中标通知</w:t>
      </w:r>
      <w:bookmarkEnd w:id="143"/>
      <w:r>
        <w:rPr>
          <w:color w:val="auto"/>
          <w:highlight w:val="none"/>
        </w:rPr>
      </w:r>
      <w:bookmarkEnd w:id="144"/>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rPr>
          <w:color w:val="auto"/>
          <w:highlight w:val="none"/>
        </w:rPr>
      </w:r>
    </w:p>
    <w:p>
      <w:pPr>
        <w:pStyle w:val="1132"/>
        <w:ind w:firstLine="442"/>
        <w:jc w:val="left"/>
        <w:spacing w:before="0" w:after="0" w:line="360" w:lineRule="auto"/>
        <w:rPr>
          <w:rFonts w:hAnsi="宋体"/>
          <w:color w:val="auto"/>
          <w:sz w:val="22"/>
          <w:szCs w:val="22"/>
          <w:highlight w:val="none"/>
        </w:rPr>
      </w:pPr>
      <w:r>
        <w:rPr>
          <w:color w:val="auto"/>
          <w:highlight w:val="none"/>
        </w:rPr>
      </w:r>
      <w:bookmarkStart w:id="145" w:name="_Toc1623"/>
      <w:r>
        <w:rPr>
          <w:color w:val="auto"/>
          <w:highlight w:val="none"/>
        </w:rPr>
      </w:r>
      <w:bookmarkStart w:id="146" w:name="_Toc11984"/>
      <w:r>
        <w:rPr>
          <w:color w:val="auto"/>
          <w:highlight w:val="none"/>
        </w:rPr>
      </w:r>
      <w:bookmarkStart w:id="147" w:name="_Toc21641"/>
      <w:r>
        <w:rPr>
          <w:color w:val="auto"/>
          <w:highlight w:val="none"/>
        </w:rPr>
      </w:r>
      <w:bookmarkStart w:id="148" w:name="_Toc11211"/>
      <w:r>
        <w:rPr>
          <w:color w:val="auto"/>
          <w:highlight w:val="none"/>
        </w:rPr>
      </w:r>
      <w:bookmarkStart w:id="149" w:name="_Toc23102"/>
      <w:r>
        <w:rPr>
          <w:color w:val="auto"/>
          <w:highlight w:val="none"/>
        </w:rPr>
      </w:r>
      <w:bookmarkStart w:id="150" w:name="_Toc14447"/>
      <w:r>
        <w:rPr>
          <w:rFonts w:hint="eastAsia" w:hAnsi="宋体"/>
          <w:color w:val="auto"/>
          <w:sz w:val="22"/>
          <w:szCs w:val="22"/>
          <w:highlight w:val="none"/>
        </w:rPr>
        <w:t xml:space="preserve">6.3 </w:t>
      </w:r>
      <w:bookmarkEnd w:id="145"/>
      <w:r>
        <w:rPr>
          <w:color w:val="auto"/>
          <w:highlight w:val="none"/>
        </w:rPr>
      </w:r>
      <w:bookmarkEnd w:id="146"/>
      <w:r>
        <w:rPr>
          <w:color w:val="auto"/>
          <w:highlight w:val="none"/>
        </w:rPr>
      </w:r>
      <w:bookmarkEnd w:id="147"/>
      <w:r>
        <w:rPr>
          <w:rFonts w:hint="eastAsia" w:hAnsi="宋体"/>
          <w:color w:val="auto"/>
          <w:sz w:val="22"/>
          <w:szCs w:val="22"/>
          <w:highlight w:val="none"/>
        </w:rPr>
        <w:t xml:space="preserve">履约保证金</w:t>
      </w:r>
      <w:bookmarkEnd w:id="148"/>
      <w:r>
        <w:rPr>
          <w:color w:val="auto"/>
          <w:highlight w:val="none"/>
        </w:rPr>
      </w:r>
      <w:bookmarkEnd w:id="149"/>
      <w:r>
        <w:rPr>
          <w:color w:val="auto"/>
          <w:highlight w:val="none"/>
        </w:rPr>
      </w:r>
      <w:bookmarkEnd w:id="150"/>
      <w:r>
        <w:rPr>
          <w:color w:val="auto"/>
          <w:highlight w:val="none"/>
        </w:rPr>
      </w:r>
      <w:r>
        <w:rPr>
          <w:color w:val="auto"/>
          <w:highlight w:val="none"/>
        </w:rPr>
      </w:r>
    </w:p>
    <w:p>
      <w:pPr>
        <w:pStyle w:val="993"/>
        <w:numPr>
          <w:ilvl w:val="0"/>
          <w:numId w:val="0"/>
        </w:numPr>
        <w:ind w:right="639" w:firstLine="468"/>
        <w:spacing w:before="59" w:line="288" w:lineRule="auto"/>
        <w:tabs>
          <w:tab w:val="left" w:pos="1480" w:leader="none"/>
        </w:tabs>
        <w:rPr>
          <w:rFonts w:hint="eastAsia" w:ascii="宋体" w:hAnsi="宋体" w:eastAsia="宋体" w:cs="宋体"/>
          <w:color w:val="auto"/>
          <w:sz w:val="22"/>
          <w:szCs w:val="21"/>
          <w:highlight w:val="none"/>
        </w:rPr>
      </w:pPr>
      <w:r>
        <w:rPr>
          <w:color w:val="auto"/>
          <w:highlight w:val="none"/>
        </w:rPr>
      </w:r>
      <w:bookmarkStart w:id="151" w:name="_Toc18390"/>
      <w:r>
        <w:rPr>
          <w:color w:val="auto"/>
          <w:highlight w:val="none"/>
        </w:rPr>
      </w:r>
      <w:bookmarkStart w:id="152" w:name="_Toc10378"/>
      <w:r>
        <w:rPr>
          <w:color w:val="auto"/>
          <w:highlight w:val="none"/>
        </w:rPr>
      </w:r>
      <w:bookmarkStart w:id="153" w:name="_Toc6275"/>
      <w:r>
        <w:rPr>
          <w:rFonts w:hint="eastAsia" w:ascii="宋体" w:hAnsi="宋体" w:eastAsia="宋体" w:cs="宋体"/>
          <w:color w:val="auto"/>
          <w:sz w:val="22"/>
          <w:szCs w:val="21"/>
          <w:highlight w:val="none"/>
          <w:lang w:val="en-US" w:eastAsia="zh-CN" w:bidi="ar-SA"/>
        </w:rPr>
        <w:t xml:space="preserve">6.3.1供应商应按供应商须知前附表规定，向采购人提交履约保证金。</w:t>
      </w:r>
      <w:r>
        <w:rPr>
          <w:color w:val="auto"/>
          <w:highlight w:val="none"/>
        </w:rPr>
      </w:r>
    </w:p>
    <w:p>
      <w:pPr>
        <w:pStyle w:val="993"/>
        <w:numPr>
          <w:ilvl w:val="0"/>
          <w:numId w:val="0"/>
        </w:numPr>
        <w:ind w:right="639" w:firstLine="468"/>
        <w:spacing w:before="59" w:line="288" w:lineRule="auto"/>
        <w:tabs>
          <w:tab w:val="left" w:pos="1480" w:leader="none"/>
        </w:tabs>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6.3.2履约保证金用于补偿采购人因供应商不能完成其合同义务而蒙受的损失。</w:t>
      </w:r>
      <w:r>
        <w:rPr>
          <w:color w:val="auto"/>
          <w:highlight w:val="none"/>
        </w:rPr>
      </w:r>
    </w:p>
    <w:p>
      <w:pPr>
        <w:ind w:firstLine="440"/>
        <w:keepLines w:val="0"/>
        <w:keepNext w:val="0"/>
        <w:pageBreakBefore w:val="0"/>
        <w:spacing w:line="36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6.3.3递交履约保证金的时间：中标后签订合同前。</w:t>
      </w:r>
      <w:r>
        <w:rPr>
          <w:color w:val="auto"/>
          <w:highlight w:val="none"/>
        </w:rPr>
      </w:r>
    </w:p>
    <w:p>
      <w:pPr>
        <w:ind w:firstLine="440"/>
        <w:jc w:val="left"/>
        <w:keepLines w:val="0"/>
        <w:keepNext w:val="0"/>
        <w:pageBreakBefore w:val="0"/>
        <w:spacing w:line="36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6.3.4递交方式：银行电汇或网上银行支付、银行保函、保证保险。银行保函的有效截止期应不少于合同有效期。</w:t>
      </w:r>
      <w:r>
        <w:rPr>
          <w:color w:val="auto"/>
          <w:highlight w:val="none"/>
        </w:rPr>
      </w:r>
    </w:p>
    <w:p>
      <w:pPr>
        <w:ind w:firstLine="440"/>
        <w:keepLines w:val="0"/>
        <w:keepNext w:val="0"/>
        <w:pageBreakBefore w:val="0"/>
        <w:spacing w:line="36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6.3.5履约保证金的有效期：自提交之日起至项目服务期满止。</w:t>
      </w:r>
      <w:r>
        <w:rPr>
          <w:color w:val="auto"/>
          <w:highlight w:val="none"/>
        </w:rPr>
      </w:r>
    </w:p>
    <w:p>
      <w:pPr>
        <w:ind w:firstLine="440"/>
        <w:jc w:val="left"/>
        <w:keepLines w:val="0"/>
        <w:keepNext w:val="0"/>
        <w:pageBreakBefore w:val="0"/>
        <w:spacing w:line="36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6.3.6如果成交供应商在规定的合同签订时间内，没有按照招标文件的规定缴纳履约保证金，且又无正当理由的，将视为放弃中标。</w:t>
      </w:r>
      <w:r>
        <w:rPr>
          <w:color w:val="auto"/>
          <w:highlight w:val="none"/>
        </w:rPr>
      </w:r>
    </w:p>
    <w:p>
      <w:pPr>
        <w:ind w:firstLine="440"/>
        <w:keepLines w:val="0"/>
        <w:keepNext w:val="0"/>
        <w:pageBreakBefore w:val="0"/>
        <w:spacing w:line="36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6.3.7若成交供应商未能履行合同规定的义务，采购人有权从履约保证金中取得补偿。</w:t>
      </w:r>
      <w:r>
        <w:rPr>
          <w:color w:val="auto"/>
          <w:highlight w:val="none"/>
        </w:rPr>
      </w:r>
    </w:p>
    <w:p>
      <w:pPr>
        <w:ind w:firstLine="440"/>
        <w:jc w:val="left"/>
        <w:keepLines w:val="0"/>
        <w:keepNext w:val="0"/>
        <w:pageBreakBefore w:val="0"/>
        <w:spacing w:line="36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6.3.8退还履约保证金的方式：合同履行结束后，采购人应及时退还缴纳的履约保证金，无息退还。</w:t>
      </w:r>
      <w:r>
        <w:rPr>
          <w:color w:val="auto"/>
          <w:highlight w:val="none"/>
        </w:rPr>
      </w:r>
    </w:p>
    <w:p>
      <w:pPr>
        <w:ind w:firstLine="440"/>
        <w:jc w:val="left"/>
        <w:keepLines w:val="0"/>
        <w:keepNext w:val="0"/>
        <w:pageBreakBefore w:val="0"/>
        <w:spacing w:line="36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6.3.9履约保证金退还时间：履约保证金在项目验收合格后且服务期满后的三十日内退还。</w:t>
      </w:r>
      <w:r>
        <w:rPr>
          <w:color w:val="auto"/>
          <w:highlight w:val="none"/>
        </w:rPr>
      </w:r>
    </w:p>
    <w:p>
      <w:pPr>
        <w:ind w:firstLine="440"/>
        <w:jc w:val="left"/>
        <w:keepLines w:val="0"/>
        <w:keepNext w:val="0"/>
        <w:pageBreakBefore w:val="0"/>
        <w:spacing w:line="36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6.3.10履约保证金退还条件：成交供应商按照招标文件、投标文件、合同要求实施该项目并通过采购人的各项履约验收。</w:t>
      </w:r>
      <w:r>
        <w:rPr>
          <w:color w:val="auto"/>
          <w:highlight w:val="none"/>
        </w:rPr>
      </w:r>
    </w:p>
    <w:p>
      <w:pPr>
        <w:pStyle w:val="993"/>
        <w:numPr>
          <w:ilvl w:val="0"/>
          <w:numId w:val="0"/>
        </w:numPr>
        <w:ind w:right="0" w:firstLine="440"/>
        <w:keepLines w:val="0"/>
        <w:keepNext w:val="0"/>
        <w:pageBreakBefore w:val="0"/>
        <w:spacing w:line="288" w:lineRule="auto"/>
        <w:widowControl w:val="off"/>
        <w:tabs>
          <w:tab w:val="left" w:pos="1480" w:leader="none"/>
        </w:tabs>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6.3.11履约保证金不予退还的情形：</w:t>
      </w:r>
      <w:r>
        <w:rPr>
          <w:color w:val="auto"/>
          <w:highlight w:val="none"/>
        </w:rPr>
      </w:r>
    </w:p>
    <w:p>
      <w:pPr>
        <w:pStyle w:val="993"/>
        <w:numPr>
          <w:ilvl w:val="0"/>
          <w:numId w:val="0"/>
        </w:numPr>
        <w:ind w:right="0" w:firstLine="440"/>
        <w:keepLines w:val="0"/>
        <w:keepNext w:val="0"/>
        <w:pageBreakBefore w:val="0"/>
        <w:spacing w:line="288" w:lineRule="auto"/>
        <w:widowControl w:val="off"/>
        <w:tabs>
          <w:tab w:val="left" w:pos="1480" w:leader="none"/>
        </w:tabs>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（1）中标人不履行与采购人订立的合同的；</w:t>
      </w:r>
      <w:r>
        <w:rPr>
          <w:color w:val="auto"/>
          <w:highlight w:val="none"/>
        </w:rPr>
      </w:r>
    </w:p>
    <w:p>
      <w:pPr>
        <w:pStyle w:val="993"/>
        <w:numPr>
          <w:ilvl w:val="0"/>
          <w:numId w:val="0"/>
        </w:numPr>
        <w:ind w:right="0" w:firstLine="440"/>
        <w:keepLines w:val="0"/>
        <w:keepNext w:val="0"/>
        <w:pageBreakBefore w:val="0"/>
        <w:spacing w:line="288" w:lineRule="auto"/>
        <w:widowControl w:val="off"/>
        <w:tabs>
          <w:tab w:val="left" w:pos="1480" w:leader="none"/>
        </w:tabs>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（2）验收不合格的；</w:t>
      </w:r>
      <w:r>
        <w:rPr>
          <w:color w:val="auto"/>
          <w:highlight w:val="none"/>
        </w:rPr>
      </w:r>
    </w:p>
    <w:p>
      <w:pPr>
        <w:pStyle w:val="993"/>
        <w:numPr>
          <w:ilvl w:val="0"/>
          <w:numId w:val="0"/>
        </w:numPr>
        <w:ind w:right="0" w:firstLine="440"/>
        <w:keepLines w:val="0"/>
        <w:keepNext w:val="0"/>
        <w:pageBreakBefore w:val="0"/>
        <w:spacing w:line="288" w:lineRule="auto"/>
        <w:widowControl w:val="off"/>
        <w:tabs>
          <w:tab w:val="left" w:pos="1480" w:leader="none"/>
        </w:tabs>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lang w:val="en-US" w:eastAsia="zh-CN" w:bidi="ar-SA"/>
        </w:rPr>
        <w:t xml:space="preserve">（3）法律法规规定的不予退还履约保证金的情形。</w:t>
      </w:r>
      <w:r>
        <w:rPr>
          <w:color w:val="auto"/>
          <w:highlight w:val="none"/>
        </w:rPr>
      </w:r>
    </w:p>
    <w:p>
      <w:pPr>
        <w:pStyle w:val="1132"/>
        <w:ind w:firstLine="442"/>
        <w:jc w:val="left"/>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2"/>
          <w:szCs w:val="21"/>
          <w:highlight w:val="none"/>
          <w:lang w:val="en-US" w:eastAsia="zh-CN" w:bidi="ar-SA"/>
        </w:rPr>
        <w:t xml:space="preserve">6.3.12逾期退还履约保证金的违约责任：采购人逾期退还履约保证金的，每逾期一日支付成交供应商200元作为违约金。</w:t>
      </w:r>
      <w:r>
        <w:rPr>
          <w:color w:val="auto"/>
          <w:highlight w:val="none"/>
        </w:rPr>
      </w:r>
    </w:p>
    <w:p>
      <w:pPr>
        <w:pStyle w:val="1132"/>
        <w:ind w:firstLine="442"/>
        <w:jc w:val="left"/>
        <w:spacing w:before="0" w:after="0" w:line="360" w:lineRule="auto"/>
        <w:rPr>
          <w:rFonts w:hAnsi="宋体"/>
          <w:color w:val="auto"/>
          <w:sz w:val="22"/>
          <w:szCs w:val="22"/>
          <w:highlight w:val="none"/>
        </w:rPr>
      </w:pPr>
      <w:r>
        <w:rPr>
          <w:rFonts w:hint="eastAsia" w:hAnsi="宋体"/>
          <w:color w:val="auto"/>
          <w:sz w:val="22"/>
          <w:szCs w:val="22"/>
          <w:highlight w:val="none"/>
        </w:rPr>
        <w:t xml:space="preserve">6.4 签订合同</w:t>
      </w:r>
      <w:bookmarkEnd w:id="151"/>
      <w:r>
        <w:rPr>
          <w:color w:val="auto"/>
          <w:highlight w:val="none"/>
        </w:rPr>
      </w:r>
      <w:bookmarkEnd w:id="152"/>
      <w:r>
        <w:rPr>
          <w:color w:val="auto"/>
          <w:highlight w:val="none"/>
        </w:rPr>
      </w:r>
      <w:bookmarkEnd w:id="153"/>
      <w:r>
        <w:rPr>
          <w:color w:val="auto"/>
          <w:highlight w:val="none"/>
        </w:rPr>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6.4.3 中标人拒绝与采购人签订合同的，采购人可以按照评审报告推荐的中标候选人名单排序，确定下一候选人为中标人，也可以重新开展政府采购活动。</w:t>
      </w:r>
      <w:r>
        <w:rPr>
          <w:color w:val="auto"/>
          <w:highlight w:val="none"/>
        </w:rP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6.4.4采购人不得向中标人提出任何不合理的要求，作为签订合同的条件，不得与中标人私下订立背离合同实质性内容的协议。</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42"/>
      <w:r>
        <w:rPr>
          <w:color w:val="auto"/>
          <w:highlight w:val="none"/>
        </w:rPr>
      </w:r>
      <w:r>
        <w:rPr>
          <w:color w:val="auto"/>
          <w:highlight w:val="none"/>
        </w:rPr>
      </w:r>
    </w:p>
    <w:p>
      <w:pPr>
        <w:ind w:firstLine="440"/>
        <w:spacing w:line="360" w:lineRule="auto"/>
        <w:rPr>
          <w:rFonts w:ascii="宋体" w:hAnsi="宋体" w:cs="宋体"/>
          <w:color w:val="auto"/>
          <w:sz w:val="24"/>
          <w:szCs w:val="24"/>
          <w:highlight w:val="none"/>
        </w:rPr>
      </w:pPr>
      <w:r>
        <w:rPr>
          <w:rFonts w:hint="eastAsia" w:ascii="宋体" w:hAnsi="宋体" w:cs="宋体"/>
          <w:color w:val="auto"/>
          <w:sz w:val="22"/>
          <w:highlight w:val="none"/>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54" w:name="_Toc11070752"/>
      <w:r>
        <w:rPr>
          <w:color w:val="auto"/>
          <w:highlight w:val="none"/>
        </w:rPr>
      </w:r>
      <w:bookmarkEnd w:id="154"/>
      <w:r>
        <w:rPr>
          <w:color w:val="auto"/>
          <w:highlight w:val="none"/>
        </w:rPr>
      </w:r>
      <w:r>
        <w:rPr>
          <w:color w:val="auto"/>
          <w:highlight w:val="none"/>
        </w:rPr>
      </w:r>
    </w:p>
    <w:p>
      <w:pPr>
        <w:ind w:firstLine="442"/>
        <w:spacing w:line="360" w:lineRule="auto"/>
        <w:rPr>
          <w:rFonts w:ascii="宋体" w:hAnsi="宋体" w:cs="宋体"/>
          <w:b/>
          <w:bCs/>
          <w:color w:val="auto"/>
          <w:sz w:val="22"/>
          <w:highlight w:val="none"/>
        </w:rPr>
      </w:pPr>
      <w:r>
        <w:rPr>
          <w:color w:val="auto"/>
          <w:highlight w:val="none"/>
        </w:rPr>
      </w:r>
      <w:bookmarkStart w:id="155" w:name="_Toc11070754"/>
      <w:r>
        <w:rPr>
          <w:rFonts w:hint="eastAsia" w:ascii="宋体" w:hAnsi="宋体" w:cs="宋体"/>
          <w:b/>
          <w:bCs/>
          <w:color w:val="auto"/>
          <w:sz w:val="22"/>
          <w:highlight w:val="none"/>
        </w:rPr>
        <w:t xml:space="preserve">6.5 验收</w:t>
      </w:r>
      <w:bookmarkEnd w:id="155"/>
      <w:r>
        <w:rPr>
          <w:color w:val="auto"/>
          <w:highlight w:val="none"/>
        </w:rPr>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33.1采购人有权对供应商提供的服务进行验收。如发现服务的质量与合同不符，采购人有权限根据验收结果要求中标人立即更换或者提出索赔要求。</w:t>
      </w:r>
      <w:r>
        <w:rPr>
          <w:color w:val="auto"/>
          <w:highlight w:val="none"/>
        </w:rP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rPr>
          <w:color w:val="auto"/>
          <w:highlight w:val="none"/>
        </w:rPr>
      </w:r>
    </w:p>
    <w:p>
      <w:pPr>
        <w:ind w:firstLine="440"/>
        <w:spacing w:line="360" w:lineRule="auto"/>
        <w:rPr>
          <w:rFonts w:ascii="宋体" w:hAnsi="宋体" w:cs="宋体"/>
          <w:color w:val="auto"/>
          <w:sz w:val="22"/>
          <w:highlight w:val="none"/>
        </w:rPr>
      </w:pPr>
      <w:r>
        <w:rPr>
          <w:rFonts w:ascii="宋体" w:hAnsi="宋体" w:cs="宋体"/>
          <w:color w:val="auto"/>
          <w:sz w:val="22"/>
          <w:highlight w:val="none"/>
        </w:rPr>
      </w:r>
      <w:r>
        <w:rPr>
          <w:color w:val="auto"/>
          <w:highlight w:val="none"/>
        </w:rPr>
      </w:r>
    </w:p>
    <w:p>
      <w:pPr>
        <w:jc w:val="center"/>
        <w:spacing w:line="440" w:lineRule="exact"/>
        <w:rPr>
          <w:rFonts w:ascii="宋体" w:hAnsi="宋体" w:cs="宋体"/>
          <w:b/>
          <w:bCs/>
          <w:color w:val="auto"/>
          <w:sz w:val="24"/>
          <w:highlight w:val="none"/>
        </w:rPr>
      </w:pPr>
      <w:r>
        <w:rPr>
          <w:color w:val="auto"/>
          <w:highlight w:val="none"/>
        </w:rPr>
      </w:r>
      <w:bookmarkStart w:id="156" w:name="_Toc20773"/>
      <w:r>
        <w:rPr>
          <w:rFonts w:hint="eastAsia" w:ascii="宋体" w:hAnsi="宋体" w:cs="宋体"/>
          <w:b/>
          <w:bCs/>
          <w:color w:val="auto"/>
          <w:sz w:val="24"/>
          <w:highlight w:val="none"/>
        </w:rPr>
        <w:t xml:space="preserve">七、废标、质疑与投诉</w:t>
      </w:r>
      <w:r>
        <w:rPr>
          <w:color w:val="auto"/>
          <w:highlight w:val="none"/>
        </w:rPr>
      </w:r>
    </w:p>
    <w:p>
      <w:pPr>
        <w:pStyle w:val="1132"/>
        <w:ind w:firstLine="442"/>
        <w:jc w:val="left"/>
        <w:spacing w:before="0" w:after="0" w:line="440" w:lineRule="exact"/>
        <w:rPr>
          <w:rFonts w:hAnsi="宋体"/>
          <w:color w:val="auto"/>
          <w:sz w:val="22"/>
          <w:szCs w:val="22"/>
          <w:highlight w:val="none"/>
        </w:rPr>
      </w:pPr>
      <w:r>
        <w:rPr>
          <w:color w:val="auto"/>
          <w:highlight w:val="none"/>
        </w:rPr>
      </w:r>
      <w:bookmarkStart w:id="157" w:name="_Toc22258"/>
      <w:r>
        <w:rPr>
          <w:color w:val="auto"/>
          <w:highlight w:val="none"/>
        </w:rPr>
      </w:r>
      <w:bookmarkStart w:id="158" w:name="_Toc7245"/>
      <w:r>
        <w:rPr>
          <w:color w:val="auto"/>
          <w:highlight w:val="none"/>
        </w:rPr>
      </w:r>
      <w:bookmarkStart w:id="159" w:name="_Toc10664"/>
      <w:r>
        <w:rPr>
          <w:color w:val="auto"/>
          <w:highlight w:val="none"/>
        </w:rPr>
      </w:r>
      <w:bookmarkStart w:id="160" w:name="_Toc28443"/>
      <w:r>
        <w:rPr>
          <w:color w:val="auto"/>
          <w:highlight w:val="none"/>
        </w:rPr>
      </w:r>
      <w:bookmarkStart w:id="161" w:name="_Toc8401"/>
      <w:r>
        <w:rPr>
          <w:color w:val="auto"/>
          <w:highlight w:val="none"/>
        </w:rPr>
      </w:r>
      <w:bookmarkStart w:id="162" w:name="_Toc2774"/>
      <w:r>
        <w:rPr>
          <w:rFonts w:hint="eastAsia" w:hAnsi="宋体"/>
          <w:color w:val="auto"/>
          <w:sz w:val="22"/>
          <w:szCs w:val="22"/>
          <w:highlight w:val="none"/>
        </w:rPr>
        <w:t xml:space="preserve">7.1 采购人宣布废标的权利</w:t>
      </w:r>
      <w:bookmarkEnd w:id="157"/>
      <w:r>
        <w:rPr>
          <w:color w:val="auto"/>
          <w:highlight w:val="none"/>
        </w:rPr>
      </w:r>
      <w:bookmarkEnd w:id="158"/>
      <w:r>
        <w:rPr>
          <w:color w:val="auto"/>
          <w:highlight w:val="none"/>
        </w:rPr>
      </w:r>
      <w:bookmarkEnd w:id="159"/>
      <w:r>
        <w:rPr>
          <w:color w:val="auto"/>
          <w:highlight w:val="none"/>
        </w:rPr>
      </w:r>
      <w:bookmarkEnd w:id="160"/>
      <w:r>
        <w:rPr>
          <w:color w:val="auto"/>
          <w:highlight w:val="none"/>
        </w:rPr>
      </w:r>
      <w:bookmarkEnd w:id="161"/>
      <w:r>
        <w:rPr>
          <w:color w:val="auto"/>
          <w:highlight w:val="none"/>
        </w:rPr>
      </w:r>
      <w:bookmarkEnd w:id="162"/>
      <w:r>
        <w:rPr>
          <w:color w:val="auto"/>
          <w:highlight w:val="none"/>
        </w:rPr>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7.1.1 在招标采购过程中，有下列情况之一时，采购人应当予以废标，并将理由通知所有供应商：</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（1）符合专业条件的供应商或招标文件作实质响应的供应商不足三家的；</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（2）出现影响采购公正的违法、违规行为的；</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（3）供应商的报价均超过了采购预算，采购人不能支付的；</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（4）因重大变故，采购任务取消的。</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废标后，除采购任务取消情形外，招标采购单位应当重新组织招标；需要采取其他采购方式的，应当在采购活动开始前获得财政部门的批准。</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7.1.2 公开招标数额标准以上的采购项目，投标截止后供应商不足3家或者招标文件作实质响应的供应商不足3家的，除采购任务取消情形外，按照以下方式处理：</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（1）招标文件存在不合理条款或者招标程序不符合规定的，采购人、采购代理机构改正后依法重新招标；</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（2）招标文件没有不合理条款、招标程序符合规定，需要采用其他采购方式采购的，采购人应当依法报财政部门批准。</w:t>
      </w:r>
      <w:r>
        <w:rPr>
          <w:color w:val="auto"/>
          <w:highlight w:val="none"/>
        </w:rPr>
      </w:r>
    </w:p>
    <w:p>
      <w:pPr>
        <w:pStyle w:val="1132"/>
        <w:ind w:firstLine="442"/>
        <w:jc w:val="left"/>
        <w:spacing w:before="0" w:after="0" w:line="440" w:lineRule="exact"/>
        <w:rPr>
          <w:rFonts w:hAnsi="宋体"/>
          <w:color w:val="auto"/>
          <w:sz w:val="22"/>
          <w:szCs w:val="22"/>
          <w:highlight w:val="none"/>
        </w:rPr>
      </w:pPr>
      <w:r>
        <w:rPr>
          <w:color w:val="auto"/>
          <w:highlight w:val="none"/>
        </w:rPr>
      </w:r>
      <w:bookmarkStart w:id="163" w:name="_Toc23678"/>
      <w:r>
        <w:rPr>
          <w:color w:val="auto"/>
          <w:highlight w:val="none"/>
        </w:rPr>
      </w:r>
      <w:bookmarkStart w:id="164" w:name="_Toc19707"/>
      <w:r>
        <w:rPr>
          <w:color w:val="auto"/>
          <w:highlight w:val="none"/>
        </w:rPr>
      </w:r>
      <w:bookmarkStart w:id="165" w:name="_Toc26328"/>
      <w:r>
        <w:rPr>
          <w:color w:val="auto"/>
          <w:highlight w:val="none"/>
        </w:rPr>
      </w:r>
      <w:bookmarkStart w:id="166" w:name="_Toc8333"/>
      <w:r>
        <w:rPr>
          <w:color w:val="auto"/>
          <w:highlight w:val="none"/>
        </w:rPr>
      </w:r>
      <w:bookmarkStart w:id="167" w:name="_Toc13516"/>
      <w:r>
        <w:rPr>
          <w:color w:val="auto"/>
          <w:highlight w:val="none"/>
        </w:rPr>
      </w:r>
      <w:bookmarkStart w:id="168" w:name="_Toc30375"/>
      <w:r>
        <w:rPr>
          <w:rFonts w:hint="eastAsia" w:hAnsi="宋体"/>
          <w:color w:val="auto"/>
          <w:sz w:val="22"/>
          <w:szCs w:val="22"/>
          <w:highlight w:val="none"/>
        </w:rPr>
        <w:t xml:space="preserve">7.2 质疑</w:t>
      </w:r>
      <w:bookmarkEnd w:id="163"/>
      <w:r>
        <w:rPr>
          <w:color w:val="auto"/>
          <w:highlight w:val="none"/>
        </w:rPr>
      </w:r>
      <w:bookmarkEnd w:id="164"/>
      <w:r>
        <w:rPr>
          <w:color w:val="auto"/>
          <w:highlight w:val="none"/>
        </w:rPr>
      </w:r>
      <w:bookmarkEnd w:id="165"/>
      <w:r>
        <w:rPr>
          <w:color w:val="auto"/>
          <w:highlight w:val="none"/>
        </w:rPr>
      </w:r>
      <w:bookmarkEnd w:id="166"/>
      <w:r>
        <w:rPr>
          <w:color w:val="auto"/>
          <w:highlight w:val="none"/>
        </w:rPr>
      </w:r>
      <w:bookmarkEnd w:id="167"/>
      <w:r>
        <w:rPr>
          <w:color w:val="auto"/>
          <w:highlight w:val="none"/>
        </w:rPr>
      </w:r>
      <w:bookmarkEnd w:id="168"/>
      <w:r>
        <w:rPr>
          <w:color w:val="auto"/>
          <w:highlight w:val="none"/>
        </w:rPr>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7.2.2 提出质疑的供应商应当是参与本项目采购活动的供应商。</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（1）对采购文件提出质疑的，潜在供应商应当在按规定获取采购文件之日起7个工作日内提出。</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（2）对采购过程提出质疑的，应在各采购程序环节结束之日起7个工作日内提出。</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（3）对中标结果提出质疑的，应当在中标结果公告届满之日起7个工作日内提出。</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7.2.3 供应商提出质疑应当提交质疑函和必要的证明材料。质疑函应当包括下列内容：</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（1）供应商的姓名或者名称、地址、邮编、联系人及联系电话；</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（2）质疑项目的名称、编号；</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（3）具体、明确的质疑事项和与质疑事项相关的请求；</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（4）事实依据；</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（5）必要的法律依据；</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（6）提出质疑的日期。</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7.2.5 除书面形式外，其他任何方式的质疑，采购人或者采购代理机构均不予接收和答复。</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7.2.6 采购人、采购代理机构在收到质疑函后七个工作日内做出答复，并以书面形式通知质疑人和其他有关供应商；但质疑答复的内容不得涉及商业秘密。</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（1）对采购文件提出的质疑，依法通过澄清或者修改可以继续开展采购活动的，澄清或者修改采购文件后继续开展采购活动；否则应当修改采购文件后重新开展采购活动。</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（2）对采购过程、中标结果提出的质疑，合格供应商符合法定数量时，可以从合格的中标候选人中另行确定中标人的，应当依法另行确定中标人；否则应当重新开展采购活动。</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质疑答复导致中标结果改变的，采购人或者采购代理机构应当将有关情况书面报告本级财政部门。</w:t>
      </w:r>
      <w:r>
        <w:rPr>
          <w:color w:val="auto"/>
          <w:highlight w:val="none"/>
        </w:rP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rPr>
          <w:color w:val="auto"/>
          <w:highlight w:val="none"/>
        </w:rPr>
      </w:r>
    </w:p>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八、其他事宜</w:t>
      </w:r>
      <w:r>
        <w:rPr>
          <w:color w:val="auto"/>
          <w:highlight w:val="none"/>
        </w:rPr>
      </w:r>
    </w:p>
    <w:p>
      <w:pPr>
        <w:pStyle w:val="1132"/>
        <w:ind w:firstLine="442"/>
        <w:jc w:val="left"/>
        <w:spacing w:before="0" w:after="0" w:line="440" w:lineRule="exact"/>
        <w:rPr>
          <w:rFonts w:hAnsi="宋体"/>
          <w:color w:val="auto"/>
          <w:sz w:val="22"/>
          <w:szCs w:val="22"/>
          <w:highlight w:val="none"/>
        </w:rPr>
      </w:pPr>
      <w:r>
        <w:rPr>
          <w:color w:val="auto"/>
          <w:highlight w:val="none"/>
        </w:rPr>
      </w:r>
      <w:bookmarkStart w:id="169" w:name="_Toc6452"/>
      <w:r>
        <w:rPr>
          <w:color w:val="auto"/>
          <w:highlight w:val="none"/>
        </w:rPr>
      </w:r>
      <w:bookmarkStart w:id="170" w:name="_Toc10386"/>
      <w:r>
        <w:rPr>
          <w:color w:val="auto"/>
          <w:highlight w:val="none"/>
        </w:rPr>
      </w:r>
      <w:bookmarkStart w:id="171" w:name="_Toc21692"/>
      <w:r>
        <w:rPr>
          <w:color w:val="auto"/>
          <w:highlight w:val="none"/>
        </w:rPr>
      </w:r>
      <w:bookmarkStart w:id="172" w:name="_Toc11001"/>
      <w:r>
        <w:rPr>
          <w:color w:val="auto"/>
          <w:highlight w:val="none"/>
        </w:rPr>
      </w:r>
      <w:bookmarkStart w:id="173" w:name="_Toc25388"/>
      <w:r>
        <w:rPr>
          <w:color w:val="auto"/>
          <w:highlight w:val="none"/>
        </w:rPr>
      </w:r>
      <w:bookmarkStart w:id="174" w:name="_Toc15745"/>
      <w:r>
        <w:rPr>
          <w:rFonts w:hint="eastAsia" w:hAnsi="宋体"/>
          <w:color w:val="auto"/>
          <w:sz w:val="22"/>
          <w:szCs w:val="22"/>
          <w:highlight w:val="none"/>
        </w:rPr>
        <w:t xml:space="preserve">8.1 </w:t>
      </w:r>
      <w:bookmarkEnd w:id="169"/>
      <w:r>
        <w:rPr>
          <w:color w:val="auto"/>
          <w:highlight w:val="none"/>
        </w:rPr>
      </w:r>
      <w:bookmarkEnd w:id="170"/>
      <w:r>
        <w:rPr>
          <w:color w:val="auto"/>
          <w:highlight w:val="none"/>
        </w:rPr>
      </w:r>
      <w:bookmarkEnd w:id="171"/>
      <w:r>
        <w:rPr>
          <w:rFonts w:hint="eastAsia" w:hAnsi="宋体"/>
          <w:color w:val="auto"/>
          <w:sz w:val="22"/>
          <w:szCs w:val="22"/>
          <w:highlight w:val="none"/>
        </w:rPr>
        <w:t xml:space="preserve">需补充的其他内容</w:t>
      </w:r>
      <w:bookmarkEnd w:id="172"/>
      <w:r>
        <w:rPr>
          <w:color w:val="auto"/>
          <w:highlight w:val="none"/>
        </w:rPr>
      </w:r>
      <w:bookmarkEnd w:id="173"/>
      <w:r>
        <w:rPr>
          <w:color w:val="auto"/>
          <w:highlight w:val="none"/>
        </w:rPr>
      </w:r>
      <w:bookmarkEnd w:id="174"/>
      <w:r>
        <w:rPr>
          <w:color w:val="auto"/>
          <w:highlight w:val="none"/>
        </w:rPr>
      </w:r>
      <w:r>
        <w:rPr>
          <w:color w:val="auto"/>
          <w:highlight w:val="none"/>
        </w:rPr>
      </w:r>
    </w:p>
    <w:p>
      <w:pPr>
        <w:ind w:firstLine="440"/>
        <w:spacing w:line="440" w:lineRule="exact"/>
        <w:rPr>
          <w:rFonts w:ascii="宋体" w:hAnsi="宋体" w:cs="宋体"/>
          <w:color w:val="auto"/>
          <w:sz w:val="22"/>
          <w:highlight w:val="none"/>
        </w:rPr>
      </w:pPr>
      <w:r>
        <w:rPr>
          <w:rFonts w:hint="eastAsia" w:ascii="宋体" w:hAnsi="宋体" w:cs="宋体"/>
          <w:color w:val="auto"/>
          <w:sz w:val="22"/>
          <w:highlight w:val="none"/>
        </w:rPr>
        <w:t xml:space="preserve">8.1.1 采购人需要补充的其他内容：见供应商须知前附表。</w:t>
      </w:r>
      <w:r>
        <w:rPr>
          <w:color w:val="auto"/>
          <w:highlight w:val="none"/>
        </w:rP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8.1.2 </w:t>
      </w:r>
      <w:r>
        <w:rPr>
          <w:rFonts w:hint="eastAsia" w:ascii="宋体" w:hAnsi="宋体" w:cs="宋体"/>
          <w:color w:val="auto"/>
          <w:sz w:val="22"/>
          <w:highlight w:val="none"/>
        </w:rPr>
        <w:t xml:space="preserve">其他未尽事宜按照《中华人民共和国政府采购法》及相关法律、法规、规章的有关规定执行</w:t>
      </w:r>
      <w:r>
        <w:rPr>
          <w:rFonts w:hint="eastAsia" w:ascii="宋体" w:hAnsi="宋体" w:cs="宋体"/>
          <w:color w:val="auto"/>
          <w:highlight w:val="none"/>
        </w:rPr>
        <w:t xml:space="preserve">。</w:t>
      </w:r>
      <w:bookmarkEnd w:id="27"/>
      <w:r>
        <w:rPr>
          <w:color w:val="auto"/>
          <w:highlight w:val="none"/>
        </w:rPr>
      </w:r>
      <w:bookmarkEnd w:id="28"/>
      <w:r>
        <w:rPr>
          <w:color w:val="auto"/>
          <w:highlight w:val="none"/>
        </w:rPr>
      </w:r>
      <w:bookmarkEnd w:id="29"/>
      <w:r>
        <w:rPr>
          <w:color w:val="auto"/>
          <w:highlight w:val="none"/>
        </w:rPr>
      </w:r>
      <w:bookmarkEnd w:id="156"/>
      <w:r>
        <w:rPr>
          <w:color w:val="auto"/>
          <w:highlight w:val="none"/>
        </w:rPr>
      </w:r>
      <w:r>
        <w:rPr>
          <w:color w:val="auto"/>
          <w:highlight w:val="none"/>
        </w:rPr>
      </w:r>
    </w:p>
    <w:p>
      <w:pPr>
        <w:ind w:firstLine="480"/>
        <w:spacing w:before="120" w:line="440" w:lineRule="exact"/>
        <w:rPr>
          <w:rFonts w:ascii="Arial" w:hAnsi="Arial" w:cs="Arial"/>
          <w:color w:val="auto"/>
          <w:sz w:val="24"/>
          <w:szCs w:val="24"/>
          <w:highlight w:val="none"/>
        </w:rPr>
      </w:pPr>
      <w:r>
        <w:rPr>
          <w:color w:val="auto"/>
          <w:highlight w:val="none"/>
        </w:rPr>
      </w:r>
      <w:bookmarkStart w:id="175" w:name="_Toc3344"/>
      <w:r>
        <w:rPr>
          <w:color w:val="auto"/>
          <w:highlight w:val="none"/>
        </w:rPr>
      </w:r>
      <w:bookmarkStart w:id="176" w:name="_Toc89569875"/>
      <w:r>
        <w:rPr>
          <w:color w:val="auto"/>
          <w:highlight w:val="none"/>
        </w:rPr>
      </w:r>
      <w:r>
        <w:rPr>
          <w:color w:val="auto"/>
          <w:highlight w:val="none"/>
        </w:rPr>
      </w:r>
    </w:p>
    <w:p>
      <w:pPr>
        <w:pStyle w:val="1132"/>
        <w:spacing w:line="240" w:lineRule="auto"/>
        <w:rPr>
          <w:rFonts w:ascii="Arial" w:hAnsi="Arial" w:cs="Arial"/>
          <w:b w:val="0"/>
          <w:bCs w:val="0"/>
          <w:color w:val="auto"/>
          <w:sz w:val="28"/>
          <w:szCs w:val="28"/>
          <w:highlight w:val="none"/>
        </w:rPr>
      </w:pPr>
      <w:r>
        <w:rPr>
          <w:rFonts w:ascii="Arial" w:hAnsi="Arial" w:cs="Arial"/>
          <w:color w:val="auto"/>
          <w:sz w:val="28"/>
          <w:szCs w:val="28"/>
          <w:highlight w:val="none"/>
        </w:rPr>
        <w:br w:type="page" w:clear="all"/>
      </w:r>
      <w:bookmarkStart w:id="177" w:name="_Toc27729"/>
      <w:r>
        <w:rPr>
          <w:rFonts w:ascii="Arial" w:hAnsi="Arial" w:cs="Arial"/>
          <w:color w:val="auto"/>
          <w:sz w:val="28"/>
          <w:szCs w:val="28"/>
          <w:highlight w:val="none"/>
        </w:rPr>
        <w:t xml:space="preserve">第三章 合同一般条款</w:t>
      </w:r>
      <w:bookmarkEnd w:id="175"/>
      <w:r>
        <w:rPr>
          <w:color w:val="auto"/>
          <w:highlight w:val="none"/>
        </w:rPr>
      </w:r>
      <w:bookmarkEnd w:id="176"/>
      <w:r>
        <w:rPr>
          <w:color w:val="auto"/>
          <w:highlight w:val="none"/>
        </w:rPr>
      </w:r>
      <w:bookmarkEnd w:id="177"/>
      <w:r>
        <w:rPr>
          <w:color w:val="auto"/>
          <w:highlight w:val="none"/>
        </w:rPr>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1．定义</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本合同下列术语应解释为：</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1.1 合同要素</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(a)“合同”系指买卖双方签署的、合同格式中载明的买卖双方所达成的协议， 包括所有的附件、附录和上述文件所提到的构成合同的所有文件。</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(b)“合同价”系指根据合同规定供应商在正确地完全履行合同义务后采购人应支付给供应商的价格。</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(c) “合同条款”系指本合同条款。</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(d) “技术要求”指的是招标文件中的技术要求。</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1.2 实体</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(a)“采购人”系指购买货物和服务的单位或其指定的采购代理。</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(b)“供应商”系指提供本合同项下货物和服务的公司或实体。</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(c) “最终用户” 系指授权采购人采购合同项下货物和服务的使用单位。</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(d)“项目现场代表”由采购人任命的代表，负责执行采购人在项目现场的合同义务。</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 事项</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(b) “知识产权”指本合同涉及的任何及所有的著作权、商标权、专利权和其它智力成果的和专有的权利和利益。</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1.5 地点和时间</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(a) “项目现场”指的是货物交付和安装或服务具体的场所。</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(b) “天”指日历天数。</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(c) “周”指按中国习惯开始的连续七天</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(d) “年”指连续的12个月。</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(e) “保证期“是指自合同验收合格之日起一定时间内，供应商保证所供货物的适当和稳定运行，并负责消除存在的任何缺陷。</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2．保险</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供应商对本合同下提供的货物应对其在存放及交货过程中的丢失或损坏进行全面保险, 还应对其在项目现场进行技术服务的人员进行必要的保险。</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3．价格</w:t>
      </w:r>
      <w:r>
        <w:rPr>
          <w:color w:val="auto"/>
          <w:highlight w:val="none"/>
        </w:rPr>
      </w:r>
    </w:p>
    <w:p>
      <w:pPr>
        <w:ind w:firstLine="440"/>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供应商在本合同项下履行服务收取的价格在合同格式中给出。 </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4．误期赔偿费</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5．违约终止合同</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在采购人对供应商违约而采取的任何补救措施不受影响的情况下，采购人可向供应商发出书面违约通知书，提出终止部分或全部合同：</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(l) 如果供应商未能在合同规定的限期或采购人根据合同条款的规定同意延长的限期内提供部分或全部服务； </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(2) 如果供应商未能履行合同规定的其它任何义务；</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(3) 如果采购人认为供应商在本合同的竞争和实施过程中有腐败和欺诈行为。为此目的，定义下述条件：</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(i)“腐败行为”是指提供、给予、接受或索取任何有价值的物品来影响公共官员在采购过程或合同实施过程中的行为；</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(ii)“欺诈行为”是指为了影响采购过程或合同实施过程而谎报事实，损害采购人的利益。</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6．不可抗力</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7. 因破产而终止合同</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8．因采购人的便利而终止合同</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9．争端的解决</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合同实施或与合同有关的一切争端应通过双方友好协商解决。如果友好协商开始后60天还不能解决：</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9.1 国内贸易合同履行过程中如有争议，双方应先友好协商，经协商不成的，则向有管辖权的人民法院提起诉讼。</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 国外贸易合同履行过程中如有争议，应提交仲裁。</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9.2.1 仲裁应由中国国际经济贸易仲裁委员会按其仲裁规则和程序在中国境内进行。</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9.2.2 仲裁裁决应为最终裁决，对双方均具有约束力。</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9.2.3 仲裁费除仲裁机关另有裁决外均应由败诉方负担。</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9.2.4 在仲裁期间，除正在进行仲裁的部分外，本合同其它部分应继续执行。</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10. 合同语言</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除非双方另行同意，本合同语言为中文。双方交换的与合同有关的信件和其他文件应用合同语言书写。</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11．适用法律</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本合同应按照中华人民共和国的现行法律进行解释。</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12．通知</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12.1 本合同一方给对方的通知应用书面形式要对方经书面确认。</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12.2 通知以送到日期或通知书的生效日期为生效日期，两者中以晚的一个日期为准。</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13．税费</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13.1 中国政府根据现行税法对供应商征收的与本合同有关的一切税费均应由供应商负担。</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13.2 中国政府根据现行税法对采购人征收的与本合同有关的一切税费均应由采购人负担（合同中已规定由供应商支付的税费除外）。</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13.3 在中国境外发生的与本合同执行有关的一切税费均应由供应商负担。</w:t>
      </w:r>
      <w:r>
        <w:rPr>
          <w:color w:val="auto"/>
          <w:highlight w:val="none"/>
        </w:rP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14．合同生效及其他</w:t>
      </w:r>
      <w:r>
        <w:rPr>
          <w:color w:val="auto"/>
          <w:highlight w:val="none"/>
        </w:rP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本合同一式五份，以中文书写。</w:t>
      </w:r>
      <w:r>
        <w:rPr>
          <w:color w:val="auto"/>
          <w:highlight w:val="none"/>
        </w:rPr>
      </w:r>
    </w:p>
    <w:p>
      <w:pPr>
        <w:pStyle w:val="1132"/>
        <w:spacing w:line="240" w:lineRule="auto"/>
        <w:rPr>
          <w:rFonts w:hAnsi="宋体"/>
          <w:b w:val="0"/>
          <w:bCs w:val="0"/>
          <w:color w:val="auto"/>
          <w:sz w:val="22"/>
          <w:szCs w:val="22"/>
          <w:highlight w:val="none"/>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color w:val="auto"/>
          <w:sz w:val="22"/>
          <w:szCs w:val="22"/>
          <w:highlight w:val="none"/>
        </w:rPr>
      </w:r>
      <w:r>
        <w:rPr>
          <w:color w:val="auto"/>
          <w:highlight w:val="none"/>
        </w:rPr>
      </w:r>
    </w:p>
    <w:p>
      <w:pPr>
        <w:pStyle w:val="1132"/>
        <w:spacing w:line="240" w:lineRule="auto"/>
        <w:rPr>
          <w:rFonts w:ascii="Arial" w:hAnsi="Arial" w:cs="Arial"/>
          <w:color w:val="auto"/>
          <w:sz w:val="28"/>
          <w:szCs w:val="28"/>
          <w:highlight w:val="none"/>
        </w:rPr>
      </w:pPr>
      <w:r>
        <w:rPr>
          <w:color w:val="auto"/>
          <w:highlight w:val="none"/>
        </w:rPr>
      </w:r>
      <w:bookmarkStart w:id="178" w:name="_Toc24708"/>
      <w:r>
        <w:rPr>
          <w:rFonts w:hint="eastAsia" w:ascii="Arial" w:hAnsi="Arial" w:cs="Arial"/>
          <w:color w:val="auto"/>
          <w:sz w:val="28"/>
          <w:szCs w:val="28"/>
          <w:highlight w:val="none"/>
        </w:rPr>
        <w:t xml:space="preserve">第四章 合同格式</w:t>
      </w:r>
      <w:bookmarkEnd w:id="178"/>
      <w:r>
        <w:rPr>
          <w:color w:val="auto"/>
          <w:highlight w:val="none"/>
        </w:rPr>
      </w:r>
      <w:r>
        <w:rPr>
          <w:color w:val="auto"/>
          <w:highlight w:val="none"/>
        </w:rPr>
      </w:r>
    </w:p>
    <w:p>
      <w:pPr>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p>
    <w:p>
      <w:pPr>
        <w:jc w:val="center"/>
        <w:spacing w:line="360" w:lineRule="auto"/>
        <w:rPr>
          <w:rFonts w:ascii="宋体" w:hAnsi="宋体" w:cs="宋体"/>
          <w:b/>
          <w:bCs/>
          <w:color w:val="auto"/>
          <w:sz w:val="22"/>
          <w:szCs w:val="22"/>
          <w:highlight w:val="none"/>
          <w:u w:val="single"/>
        </w:rPr>
      </w:pPr>
      <w:r>
        <w:rPr>
          <w:rFonts w:ascii="宋体" w:hAnsi="宋体" w:cs="宋体"/>
          <w:b/>
          <w:bCs/>
          <w:color w:val="auto"/>
          <w:sz w:val="22"/>
          <w:szCs w:val="22"/>
          <w:highlight w:val="none"/>
          <w:u w:val="single"/>
        </w:rPr>
      </w:r>
      <w:r>
        <w:rPr>
          <w:color w:val="auto"/>
          <w:highlight w:val="none"/>
        </w:rPr>
      </w:r>
    </w:p>
    <w:p>
      <w:pPr>
        <w:jc w:val="center"/>
        <w:spacing w:line="360" w:lineRule="auto"/>
        <w:rPr>
          <w:rFonts w:ascii="宋体" w:hAnsi="宋体" w:cs="宋体"/>
          <w:b/>
          <w:bCs/>
          <w:color w:val="auto"/>
          <w:sz w:val="22"/>
          <w:szCs w:val="22"/>
          <w:highlight w:val="none"/>
          <w:u w:val="single"/>
        </w:rPr>
      </w:pPr>
      <w:r>
        <w:rPr>
          <w:rFonts w:ascii="宋体" w:hAnsi="宋体" w:cs="宋体"/>
          <w:b/>
          <w:bCs/>
          <w:color w:val="auto"/>
          <w:sz w:val="22"/>
          <w:szCs w:val="22"/>
          <w:highlight w:val="none"/>
          <w:u w:val="single"/>
        </w:rPr>
      </w:r>
      <w:r>
        <w:rPr>
          <w:color w:val="auto"/>
          <w:highlight w:val="none"/>
        </w:rPr>
      </w:r>
    </w:p>
    <w:p>
      <w:pPr>
        <w:jc w:val="center"/>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 xml:space="preserve">                                   </w:t>
      </w:r>
      <w:r>
        <w:rPr>
          <w:rFonts w:hint="eastAsia" w:ascii="宋体" w:hAnsi="宋体" w:cs="宋体"/>
          <w:b/>
          <w:bCs/>
          <w:color w:val="auto"/>
          <w:sz w:val="22"/>
          <w:szCs w:val="22"/>
          <w:highlight w:val="none"/>
        </w:rPr>
        <w:t xml:space="preserve">采购项目</w:t>
      </w:r>
      <w:r>
        <w:rPr>
          <w:color w:val="auto"/>
          <w:highlight w:val="none"/>
        </w:rPr>
      </w:r>
    </w:p>
    <w:p>
      <w:pPr>
        <w:ind w:firstLine="2425"/>
        <w:spacing w:line="360" w:lineRule="auto"/>
        <w:rPr>
          <w:rFonts w:ascii="宋体" w:hAnsi="宋体" w:cs="宋体"/>
          <w:b/>
          <w:bCs/>
          <w:color w:val="auto"/>
          <w:sz w:val="22"/>
          <w:szCs w:val="22"/>
          <w:highlight w:val="none"/>
          <w:u w:val="single"/>
        </w:rPr>
      </w:pPr>
      <w:r>
        <w:rPr>
          <w:rFonts w:hint="eastAsia" w:ascii="宋体" w:hAnsi="宋体" w:cs="宋体"/>
          <w:b/>
          <w:bCs/>
          <w:color w:val="auto"/>
          <w:sz w:val="22"/>
          <w:szCs w:val="22"/>
          <w:highlight w:val="none"/>
        </w:rPr>
        <w:t xml:space="preserve">项目编号：</w:t>
      </w:r>
      <w:r>
        <w:rPr>
          <w:rFonts w:hint="eastAsia" w:ascii="宋体" w:hAnsi="宋体" w:cs="宋体"/>
          <w:b/>
          <w:bCs/>
          <w:color w:val="auto"/>
          <w:sz w:val="22"/>
          <w:szCs w:val="22"/>
          <w:highlight w:val="none"/>
          <w:u w:val="single"/>
        </w:rPr>
        <w:t xml:space="preserve">                    </w:t>
      </w:r>
      <w:r>
        <w:rPr>
          <w:color w:val="auto"/>
          <w:highlight w:val="none"/>
        </w:rPr>
      </w:r>
    </w:p>
    <w:p>
      <w:pPr>
        <w:jc w:val="cente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p>
    <w:p>
      <w:pPr>
        <w:jc w:val="cente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p>
    <w:p>
      <w:pPr>
        <w:jc w:val="cente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p>
    <w:p>
      <w:pPr>
        <w:ind w:firstLine="1414"/>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合同号：</w:t>
      </w:r>
      <w:r>
        <w:rPr>
          <w:color w:val="auto"/>
          <w:highlight w:val="none"/>
        </w:rPr>
      </w:r>
    </w:p>
    <w:p>
      <w:pPr>
        <w:ind w:firstLine="1414"/>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p>
    <w:p>
      <w:pPr>
        <w:ind w:firstLine="1414"/>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项目名称： </w:t>
      </w:r>
      <w:r>
        <w:rPr>
          <w:color w:val="auto"/>
          <w:highlight w:val="none"/>
        </w:rPr>
      </w:r>
    </w:p>
    <w:p>
      <w:pPr>
        <w:ind w:firstLine="1414"/>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p>
    <w:p>
      <w:pPr>
        <w:ind w:firstLine="1414"/>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p>
    <w:p>
      <w:pPr>
        <w:ind w:firstLine="1414"/>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采购人： </w:t>
      </w:r>
      <w:r>
        <w:rPr>
          <w:color w:val="auto"/>
          <w:highlight w:val="none"/>
        </w:rPr>
      </w:r>
    </w:p>
    <w:p>
      <w:pPr>
        <w:ind w:firstLine="1414"/>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p>
    <w:p>
      <w:pPr>
        <w:ind w:firstLine="1414"/>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供应商： </w:t>
      </w:r>
      <w:r>
        <w:rPr>
          <w:color w:val="auto"/>
          <w:highlight w:val="none"/>
        </w:rPr>
      </w:r>
    </w:p>
    <w:p>
      <w:pPr>
        <w:ind w:firstLine="1414"/>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p>
    <w:p>
      <w:pPr>
        <w:ind w:firstLine="1414"/>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签署日期：       年  月  日</w:t>
      </w:r>
      <w:r>
        <w:rPr>
          <w:color w:val="auto"/>
          <w:highlight w:val="none"/>
        </w:rPr>
      </w:r>
    </w:p>
    <w:p>
      <w:pPr>
        <w:pStyle w:val="1132"/>
        <w:spacing w:line="240" w:lineRule="auto"/>
        <w:rPr>
          <w:rFonts w:hAnsi="宋体"/>
          <w:color w:val="auto"/>
          <w:sz w:val="22"/>
          <w:szCs w:val="22"/>
          <w:highlight w:val="none"/>
        </w:rPr>
      </w:pPr>
      <w:r>
        <w:rPr>
          <w:rFonts w:hint="eastAsia" w:hAnsi="宋体"/>
          <w:b w:val="0"/>
          <w:bCs w:val="0"/>
          <w:color w:val="auto"/>
          <w:sz w:val="22"/>
          <w:szCs w:val="22"/>
          <w:highlight w:val="none"/>
        </w:rPr>
        <w:br w:type="page" w:clear="all"/>
      </w:r>
      <w:bookmarkStart w:id="179" w:name="_Toc24443"/>
      <w:r>
        <w:rPr>
          <w:rFonts w:hint="eastAsia" w:hAnsi="宋体"/>
          <w:color w:val="auto"/>
          <w:sz w:val="22"/>
          <w:szCs w:val="22"/>
          <w:highlight w:val="none"/>
        </w:rPr>
        <w:t xml:space="preserve">合同协议书</w:t>
      </w:r>
      <w:bookmarkEnd w:id="179"/>
      <w:r>
        <w:rPr>
          <w:color w:val="auto"/>
          <w:highlight w:val="none"/>
        </w:rPr>
      </w:r>
      <w:r>
        <w:rPr>
          <w:color w:val="auto"/>
          <w:highlight w:val="none"/>
        </w:rPr>
      </w: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rPr>
          <w:color w:val="auto"/>
          <w:highlight w:val="none"/>
        </w:rPr>
      </w:r>
    </w:p>
    <w:p>
      <w:pPr>
        <w:jc w:val="center"/>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                                              合同号：</w:t>
      </w:r>
      <w:r>
        <w:rPr>
          <w:color w:val="auto"/>
          <w:highlight w:val="none"/>
        </w:rPr>
      </w:r>
    </w:p>
    <w:p>
      <w:pPr>
        <w:spacing w:line="440" w:lineRule="exact"/>
        <w:rPr>
          <w:rFonts w:ascii="宋体" w:hAnsi="宋体" w:cs="宋体"/>
          <w:color w:val="auto"/>
          <w:sz w:val="22"/>
          <w:szCs w:val="22"/>
          <w:highlight w:val="none"/>
        </w:rPr>
      </w:pPr>
      <w:r>
        <w:rPr>
          <w:rFonts w:ascii="宋体" w:hAnsi="宋体" w:cs="宋体"/>
          <w:color w:val="auto"/>
          <w:sz w:val="22"/>
          <w:szCs w:val="22"/>
          <w:highlight w:val="none"/>
        </w:rPr>
      </w:r>
      <w:r>
        <w:rPr>
          <w:color w:val="auto"/>
          <w:highlight w:val="none"/>
        </w:rPr>
      </w:r>
    </w:p>
    <w:p>
      <w:pPr>
        <w:spacing w:line="440" w:lineRule="exact"/>
        <w:rPr>
          <w:rFonts w:ascii="宋体" w:hAnsi="宋体" w:cs="宋体"/>
          <w:color w:val="auto"/>
          <w:sz w:val="22"/>
          <w:szCs w:val="22"/>
          <w:highlight w:val="none"/>
          <w:u w:val="single"/>
        </w:rPr>
      </w:pPr>
      <w:r>
        <w:rPr>
          <w:rFonts w:hint="eastAsia" w:ascii="宋体" w:hAnsi="宋体" w:cs="宋体"/>
          <w:color w:val="auto"/>
          <w:sz w:val="22"/>
          <w:szCs w:val="22"/>
          <w:highlight w:val="none"/>
        </w:rPr>
        <w:t xml:space="preserve">甲方（采购人）：</w:t>
      </w:r>
      <w:r>
        <w:rPr>
          <w:rFonts w:hint="eastAsia" w:ascii="宋体" w:hAnsi="宋体" w:cs="宋体"/>
          <w:color w:val="auto"/>
          <w:sz w:val="22"/>
          <w:szCs w:val="22"/>
          <w:highlight w:val="none"/>
          <w:u w:val="single"/>
        </w:rPr>
        <w:t xml:space="preserve">                                                      </w:t>
      </w:r>
      <w:r>
        <w:rPr>
          <w:color w:val="auto"/>
          <w:highlight w:val="none"/>
        </w:rPr>
      </w:r>
    </w:p>
    <w:p>
      <w:pPr>
        <w:spacing w:line="440" w:lineRule="exact"/>
        <w:rPr>
          <w:rFonts w:ascii="宋体" w:hAnsi="宋体" w:cs="宋体"/>
          <w:color w:val="auto"/>
          <w:sz w:val="22"/>
          <w:szCs w:val="22"/>
          <w:highlight w:val="none"/>
          <w:u w:val="single"/>
        </w:rPr>
      </w:pPr>
      <w:r>
        <w:rPr>
          <w:rFonts w:hint="eastAsia" w:ascii="宋体" w:hAnsi="宋体" w:cs="宋体"/>
          <w:color w:val="auto"/>
          <w:sz w:val="22"/>
          <w:szCs w:val="22"/>
          <w:highlight w:val="none"/>
        </w:rPr>
        <w:t xml:space="preserve">乙方（供应商）：</w:t>
      </w:r>
      <w:r>
        <w:rPr>
          <w:rFonts w:hint="eastAsia" w:ascii="宋体" w:hAnsi="宋体" w:cs="宋体"/>
          <w:color w:val="auto"/>
          <w:sz w:val="22"/>
          <w:szCs w:val="22"/>
          <w:highlight w:val="none"/>
          <w:u w:val="single"/>
        </w:rPr>
        <w:t xml:space="preserve">                                                      </w:t>
      </w:r>
      <w:r>
        <w:rPr>
          <w:color w:val="auto"/>
          <w:highlight w:val="none"/>
        </w:rP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依据《中华人民共和国民法典》、《中华人民共和国政府采购法》与项目行业有关的法律法规，以及</w:t>
      </w:r>
      <w:r>
        <w:rPr>
          <w:rFonts w:hint="eastAsia" w:ascii="宋体" w:hAnsi="宋体" w:cs="宋体"/>
          <w:color w:val="auto"/>
          <w:sz w:val="22"/>
          <w:szCs w:val="22"/>
          <w:highlight w:val="none"/>
          <w:lang w:val="en-US" w:eastAsia="zh-CN"/>
        </w:rPr>
        <w:t xml:space="preserve">开发区本部区域生活污水泵站维保</w:t>
      </w:r>
      <w:r>
        <w:rPr>
          <w:rFonts w:hint="eastAsia" w:ascii="宋体" w:hAnsi="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JSZC-321282-ZZJT-G2024-0038</w:t>
      </w:r>
      <w:r>
        <w:rPr>
          <w:rFonts w:hint="eastAsia" w:ascii="宋体" w:hAnsi="宋体" w:cs="宋体"/>
          <w:color w:val="auto"/>
          <w:sz w:val="22"/>
          <w:szCs w:val="22"/>
          <w:highlight w:val="none"/>
        </w:rPr>
        <w:t xml:space="preserve">）的《招标文件》，乙方的《投标文件》和《中标通知书》，甲、乙双方同意签订本合同。详细技术说明及其他有关合同项目的特定信息由合同附件予以说明，合同附件及本项目的《招标文件》、《投标文件》、《中标通知书》等均为本合同的组成部分。</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一、</w:t>
      </w:r>
      <w:r>
        <w:rPr>
          <w:rFonts w:hint="eastAsia" w:ascii="宋体" w:hAnsi="宋体" w:cs="宋体"/>
          <w:color w:val="auto"/>
          <w:sz w:val="22"/>
          <w:szCs w:val="22"/>
          <w:highlight w:val="none"/>
        </w:rPr>
        <w:t xml:space="preserve">项目基本情况</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靖江经济技术开发区污水提升泵站共6个泵站（1#、2#、6#、9#、11#、新时代船厂泵站）项目。1#泵站接入新港污水处理厂西厂区</w:t>
      </w:r>
      <w:r>
        <w:rPr>
          <w:rFonts w:hint="eastAsia" w:ascii="宋体" w:hAnsi="宋体" w:cs="宋体"/>
          <w:color w:val="auto"/>
          <w:sz w:val="22"/>
          <w:szCs w:val="22"/>
          <w:highlight w:val="none"/>
        </w:rPr>
        <w:t xml:space="preserve">，设计规模3万吨/天（土建规模），设备按近期设计规模1万吨/天进行配置；2#泵站接入新港污水处理厂西厂区，设计规模2万吨/天（土建规模），设备按近期设计规模0.75万吨/天进行配置；6#泵站接入新港污水处理厂东厂区，设计规模1.5万吨/天（土建规模），设备按近期设计规模0.6万吨/天进行配置；9#泵站设计规模1.2万吨/天（土建规模），设备按近期设计规模0.6万吨/天进行配置；11#泵站设计规模0.6万吨/天，设备按0.6万吨/天进行配置；新世纪船厂泵站设计规模0.9万吨/天，设备按0.6万吨/天进行配置。</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二、</w:t>
      </w:r>
      <w:r>
        <w:rPr>
          <w:rFonts w:hint="eastAsia" w:ascii="宋体" w:hAnsi="宋体" w:cs="宋体"/>
          <w:color w:val="auto"/>
          <w:sz w:val="22"/>
          <w:szCs w:val="22"/>
          <w:highlight w:val="none"/>
        </w:rPr>
        <w:t xml:space="preserve">合同期限</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该维保项目服务期限为三年，自   年  月  日起至    年  月  日止。</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三、</w:t>
      </w:r>
      <w:r>
        <w:rPr>
          <w:rFonts w:hint="eastAsia" w:ascii="宋体" w:hAnsi="宋体" w:cs="宋体"/>
          <w:color w:val="auto"/>
          <w:sz w:val="22"/>
          <w:szCs w:val="22"/>
          <w:highlight w:val="none"/>
        </w:rPr>
        <w:t xml:space="preserve">服务内容与质量标准</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1、为了规范污水治理行为，加强政府监管力度，保障社会公共利益和公共安全。</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2、靖江经济技术开发区泵站将收集的污水输送到新港污水处理厂进行处理，让污水厂进水水量持续稳定、进水水质控制在设计处理能力范围内，从而保障污水厂出水水质长期稳定达标。</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3、维持提升泵站的正常运行，完善设备管理制度，对泵站设备规范化、标准化、专业化的管理，及时的维修、保养、排除故障，延长设备的使用寿命。</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4、保障泵站值班人员人身安全，建立安全生产制度，对值班人员进行安全培训管理。</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四、</w:t>
      </w:r>
      <w:r>
        <w:rPr>
          <w:rFonts w:hint="eastAsia" w:ascii="宋体" w:hAnsi="宋体" w:cs="宋体"/>
          <w:color w:val="auto"/>
          <w:sz w:val="22"/>
          <w:szCs w:val="22"/>
          <w:highlight w:val="none"/>
        </w:rPr>
        <w:t xml:space="preserve">服务费用及支付方式</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1、技术服务费用为人民币</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元（大写：人民币</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），含税。</w:t>
      </w:r>
      <w:r>
        <w:rPr>
          <w:color w:val="auto"/>
          <w:highlight w:val="none"/>
        </w:rPr>
      </w:r>
    </w:p>
    <w:p>
      <w:pPr>
        <w:ind w:left="877" w:hanging="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2、服务费支付方式：合同生效后【】天内甲方预付合同总价的</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0%，计人民币</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元（大写：人民币</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）；剩余费用由甲方按季支付，每季度服务费为</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元。每季度结束后的</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天内，由乙方开具合法有效的等额增值税发票给甲方，甲方收到发票后</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日内向乙方支付上一季度的技术服务费。</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五、</w:t>
      </w:r>
      <w:r>
        <w:rPr>
          <w:rFonts w:hint="eastAsia" w:ascii="宋体" w:hAnsi="宋体" w:cs="宋体"/>
          <w:color w:val="auto"/>
          <w:sz w:val="22"/>
          <w:szCs w:val="22"/>
          <w:highlight w:val="none"/>
        </w:rPr>
        <w:t xml:space="preserve">知识产权</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乙方应保证所提供的服务或其任何一部分均不会侵犯任何第三方的专利权、商标权或著作权。</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六、</w:t>
      </w:r>
      <w:r>
        <w:rPr>
          <w:rFonts w:hint="eastAsia" w:ascii="宋体" w:hAnsi="宋体" w:cs="宋体"/>
          <w:color w:val="auto"/>
          <w:sz w:val="22"/>
          <w:szCs w:val="22"/>
          <w:highlight w:val="none"/>
        </w:rPr>
        <w:t xml:space="preserve">无产权瑕疵条款</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乙方保证所提供的技术服务的知识产权完全属于乙方且无任何抵押、查封等权利瑕疵。如有权利瑕疵的，视为乙方违约。乙方应负担由此而产生的一切损失。</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七、</w:t>
      </w:r>
      <w:r>
        <w:rPr>
          <w:rFonts w:hint="eastAsia" w:ascii="宋体" w:hAnsi="宋体" w:cs="宋体"/>
          <w:color w:val="auto"/>
          <w:sz w:val="22"/>
          <w:szCs w:val="22"/>
          <w:highlight w:val="none"/>
        </w:rPr>
        <w:t xml:space="preserve">履约保证金</w:t>
      </w:r>
      <w:r>
        <w:rPr>
          <w:color w:val="auto"/>
          <w:highlight w:val="none"/>
        </w:rP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1、乙方交纳人民币XX元作为本合同的履约保证金。</w:t>
      </w:r>
      <w:r>
        <w:rPr>
          <w:color w:val="auto"/>
          <w:highlight w:val="none"/>
        </w:rP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2、履约保证金作为违约金的一部分及用于补偿甲方因乙方不能履行合同义务而蒙受的损失。</w:t>
      </w:r>
      <w:r>
        <w:rPr>
          <w:color w:val="auto"/>
          <w:highlight w:val="none"/>
        </w:rP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3、履约保证金的缴纳形式：</w:t>
      </w:r>
      <w:r>
        <w:rPr>
          <w:rFonts w:hint="eastAsia" w:ascii="宋体" w:hAnsi="宋体" w:cs="宋体"/>
          <w:color w:val="auto"/>
          <w:sz w:val="22"/>
          <w:highlight w:val="none"/>
          <w:lang w:val="zh-CN"/>
        </w:rPr>
        <w:t xml:space="preserve">银行电汇或网上银行支付、银行保函、保证保险。</w:t>
      </w:r>
      <w:r>
        <w:rPr>
          <w:color w:val="auto"/>
          <w:highlight w:val="none"/>
        </w:rP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、合同履行结束后，甲方应及时退还交纳的履约保证金。</w:t>
      </w:r>
      <w:r>
        <w:rPr>
          <w:color w:val="auto"/>
          <w:highlight w:val="none"/>
        </w:rP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、履约保证金退还方式：</w:t>
      </w:r>
      <w:r>
        <w:rPr>
          <w:color w:val="auto"/>
          <w:highlight w:val="none"/>
        </w:rP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、履约保证金退还时间：</w:t>
      </w:r>
      <w:r>
        <w:rPr>
          <w:color w:val="auto"/>
          <w:highlight w:val="none"/>
        </w:rP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lang w:eastAsia="zh-CN"/>
        </w:rPr>
        <w:t xml:space="preserve">、履约保证金退还条件：</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lang w:eastAsia="zh-CN"/>
        </w:rPr>
        <w:t xml:space="preserve">、履约保证金不予退还的情形：</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八、</w:t>
      </w:r>
      <w:r>
        <w:rPr>
          <w:rFonts w:hint="eastAsia" w:ascii="宋体" w:hAnsi="宋体" w:cs="宋体"/>
          <w:color w:val="auto"/>
          <w:sz w:val="22"/>
          <w:szCs w:val="22"/>
          <w:highlight w:val="none"/>
        </w:rPr>
        <w:t xml:space="preserve">甲方的权利和义务</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1、甲方有权对合同规定范围内乙方的服务行为进行监督和检查，拥有监管权。甲方认为不合理的部分应及时乙方沟通，协商解决。</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2、甲方向乙方提供完整的项目设计和施工的图纸、技术说明书、设备资料等。</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3、甲方指派专人负责联系和协调设计、施工、安装、设备供应商等单位配合乙方服务工作。</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4、若因现场的设备设施、工艺设计、自动控制系统、施工安装、进水水质等非乙方原因造成影响污水治理设施正常运行的，由甲方负责协调解决，发生的相关费用由甲方自行负担，不计入本次技术服务费用。</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5、电费、大修费用以及两千元以上的维护维修支出费用由甲方支付。</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6、国家法律、法规所规定由甲方承担的其它责任。</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九、</w:t>
      </w:r>
      <w:r>
        <w:rPr>
          <w:rFonts w:hint="eastAsia" w:ascii="宋体" w:hAnsi="宋体" w:cs="宋体"/>
          <w:color w:val="auto"/>
          <w:sz w:val="22"/>
          <w:szCs w:val="22"/>
          <w:highlight w:val="none"/>
        </w:rPr>
        <w:t xml:space="preserve">乙方的权利和义务</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乙方应按照本合同的规定，在双方确认的服务范围内，为甲方提供运行服务建议。</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乙方组建运行队伍，保障泵站的设施设备正常运行。若出现非乙方原因产生的安全事故或设施设备损坏的情况，乙方不承担相应的责任。</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3、及时向甲方通告本项目服务范围内有关服务的重大事项，及时配合处理投诉。</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4、配合接受项目行业管理部门及政府有关部门的指导，接受甲方的监督。</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5、国家法律、法规所规定由乙方承担的其它责任。</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十、</w:t>
      </w:r>
      <w:r>
        <w:rPr>
          <w:rFonts w:hint="eastAsia" w:ascii="宋体" w:hAnsi="宋体" w:cs="宋体"/>
          <w:color w:val="auto"/>
          <w:sz w:val="22"/>
          <w:szCs w:val="22"/>
          <w:highlight w:val="none"/>
        </w:rPr>
        <w:t xml:space="preserve">违约责任</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1、甲乙双方必须遵守本合同并执行合同中的各项规定，保证本合同的正常履行。</w:t>
      </w:r>
      <w:r>
        <w:rPr>
          <w:color w:val="auto"/>
          <w:highlight w:val="none"/>
        </w:rP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2、若甲方要求延长服务期的，经乙方书面同意，双方继续按照本合同条款执行。</w:t>
      </w:r>
      <w:r>
        <w:rPr>
          <w:color w:val="auto"/>
          <w:highlight w:val="none"/>
        </w:rPr>
      </w:r>
    </w:p>
    <w:p>
      <w:pP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    3、如因乙方工作人员在履职过程中的疏忽、失职、过错或过失原因给甲方造成损失或侵害，包括但不限于甲方本身的财产损失、由此而导致的甲方对任何第三方的法律责任等，乙方对此均应承担全部的赔偿责任。</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4、如因甲方工作人员在履职过程中的疏忽、失职、过错或过失原因给乙方造成损失或侵害，包括但不限于乙方本身的财产损失、由此而导致的乙方对任何第三方的法律责任等，甲方对此均应承担全部的赔偿责任。</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5、甲方未能按照合同约定支付任意一笔技术服务费的，每逾期一日，应按照该笔欠付服务费的1%向乙方支付逾期付款违约金；逾期付款超过【30】天的，乙方有权单方解除合同。</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十一、</w:t>
      </w:r>
      <w:r>
        <w:rPr>
          <w:rFonts w:hint="eastAsia" w:ascii="宋体" w:hAnsi="宋体" w:cs="宋体"/>
          <w:color w:val="auto"/>
          <w:sz w:val="22"/>
          <w:szCs w:val="22"/>
          <w:highlight w:val="none"/>
        </w:rPr>
        <w:t xml:space="preserve">不可抗力事件处理</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1、在合同服务期内，任何一方因不可抗力事件导致不能履行合同，则合同履行期可延长，其延长期与不可抗力影响期相同。</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2、不可抗力事件发生后，应立即通知对方，并寄送有关权威机构出具的证明。</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3、不可抗力事件延续30天以上，双方应通过友好协商，确定是否继续履行合同。</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color w:val="auto"/>
          <w:highlight w:val="none"/>
        </w:rPr>
      </w:r>
      <w:bookmarkStart w:id="180" w:name="_Toc251768867"/>
      <w:r>
        <w:rPr>
          <w:color w:val="auto"/>
          <w:highlight w:val="none"/>
        </w:rPr>
      </w:r>
      <w:bookmarkStart w:id="181" w:name="_Toc211854454"/>
      <w:r>
        <w:rPr>
          <w:color w:val="auto"/>
          <w:highlight w:val="none"/>
        </w:rPr>
      </w:r>
      <w:bookmarkStart w:id="182" w:name="_Toc241833908"/>
      <w:r>
        <w:rPr>
          <w:color w:val="auto"/>
          <w:highlight w:val="none"/>
        </w:rPr>
      </w:r>
      <w:bookmarkStart w:id="183" w:name="_Toc185395254"/>
      <w:r>
        <w:rPr>
          <w:color w:val="auto"/>
          <w:highlight w:val="none"/>
        </w:rPr>
      </w:r>
      <w:bookmarkStart w:id="184" w:name="_Toc247334846"/>
      <w:r>
        <w:rPr>
          <w:color w:val="auto"/>
          <w:highlight w:val="none"/>
        </w:rPr>
      </w:r>
      <w:bookmarkStart w:id="185" w:name="_Toc211911353"/>
      <w:r>
        <w:rPr>
          <w:color w:val="auto"/>
          <w:highlight w:val="none"/>
        </w:rPr>
      </w:r>
      <w:bookmarkStart w:id="186" w:name="_Toc239568423"/>
      <w:r>
        <w:rPr>
          <w:color w:val="auto"/>
          <w:highlight w:val="none"/>
        </w:rPr>
      </w:r>
      <w:bookmarkStart w:id="187" w:name="_Toc237145411"/>
      <w:r>
        <w:rPr>
          <w:color w:val="auto"/>
          <w:highlight w:val="none"/>
        </w:rPr>
      </w:r>
      <w:bookmarkStart w:id="188" w:name="_Toc286993792"/>
      <w:r>
        <w:rPr>
          <w:color w:val="auto"/>
          <w:highlight w:val="none"/>
        </w:rPr>
      </w:r>
      <w:bookmarkStart w:id="189" w:name="_Toc225670756"/>
      <w:r>
        <w:rPr>
          <w:color w:val="auto"/>
          <w:highlight w:val="none"/>
        </w:rPr>
      </w:r>
      <w:bookmarkStart w:id="190" w:name="_Toc212019599"/>
      <w:r>
        <w:rPr>
          <w:color w:val="auto"/>
          <w:highlight w:val="none"/>
        </w:rPr>
      </w:r>
      <w:bookmarkStart w:id="191" w:name="_Toc225654649"/>
      <w:r>
        <w:rPr>
          <w:color w:val="auto"/>
          <w:highlight w:val="none"/>
        </w:rPr>
      </w:r>
      <w:bookmarkStart w:id="192" w:name="_Toc238984980"/>
      <w:r>
        <w:rPr>
          <w:color w:val="auto"/>
          <w:highlight w:val="none"/>
        </w:rPr>
      </w:r>
      <w:bookmarkStart w:id="193" w:name="_Toc225244857"/>
      <w:r>
        <w:rPr>
          <w:color w:val="auto"/>
          <w:highlight w:val="none"/>
        </w:rPr>
      </w:r>
      <w:bookmarkStart w:id="194" w:name="_Toc232492933"/>
      <w:r>
        <w:rPr>
          <w:color w:val="auto"/>
          <w:highlight w:val="none"/>
        </w:rPr>
      </w:r>
      <w:bookmarkStart w:id="195" w:name="_Toc239233919"/>
      <w:r>
        <w:rPr>
          <w:rFonts w:hint="eastAsia" w:ascii="宋体" w:hAnsi="宋体" w:cs="宋体"/>
          <w:color w:val="auto"/>
          <w:sz w:val="22"/>
          <w:szCs w:val="22"/>
          <w:highlight w:val="none"/>
          <w:lang w:val="en-US" w:eastAsia="zh-CN"/>
        </w:rPr>
        <w:t xml:space="preserve">十二、</w:t>
      </w:r>
      <w:r>
        <w:rPr>
          <w:rFonts w:hint="eastAsia" w:ascii="宋体" w:hAnsi="宋体" w:cs="宋体"/>
          <w:color w:val="auto"/>
          <w:sz w:val="22"/>
          <w:szCs w:val="22"/>
          <w:highlight w:val="none"/>
        </w:rPr>
        <w:t xml:space="preserve">解决合同纠纷的方式</w:t>
      </w:r>
      <w:bookmarkEnd w:id="180"/>
      <w:r>
        <w:rPr>
          <w:color w:val="auto"/>
          <w:highlight w:val="none"/>
        </w:rPr>
      </w:r>
      <w:bookmarkEnd w:id="181"/>
      <w:r>
        <w:rPr>
          <w:color w:val="auto"/>
          <w:highlight w:val="none"/>
        </w:rPr>
      </w:r>
      <w:bookmarkEnd w:id="182"/>
      <w:r>
        <w:rPr>
          <w:color w:val="auto"/>
          <w:highlight w:val="none"/>
        </w:rPr>
      </w:r>
      <w:bookmarkEnd w:id="183"/>
      <w:r>
        <w:rPr>
          <w:color w:val="auto"/>
          <w:highlight w:val="none"/>
        </w:rPr>
      </w:r>
      <w:bookmarkEnd w:id="184"/>
      <w:r>
        <w:rPr>
          <w:color w:val="auto"/>
          <w:highlight w:val="none"/>
        </w:rPr>
      </w:r>
      <w:bookmarkEnd w:id="185"/>
      <w:r>
        <w:rPr>
          <w:color w:val="auto"/>
          <w:highlight w:val="none"/>
        </w:rPr>
      </w:r>
      <w:bookmarkEnd w:id="186"/>
      <w:r>
        <w:rPr>
          <w:color w:val="auto"/>
          <w:highlight w:val="none"/>
        </w:rPr>
      </w:r>
      <w:bookmarkEnd w:id="187"/>
      <w:r>
        <w:rPr>
          <w:color w:val="auto"/>
          <w:highlight w:val="none"/>
        </w:rPr>
      </w:r>
      <w:bookmarkEnd w:id="188"/>
      <w:r>
        <w:rPr>
          <w:color w:val="auto"/>
          <w:highlight w:val="none"/>
        </w:rPr>
      </w:r>
      <w:bookmarkEnd w:id="189"/>
      <w:r>
        <w:rPr>
          <w:color w:val="auto"/>
          <w:highlight w:val="none"/>
        </w:rPr>
      </w:r>
      <w:bookmarkEnd w:id="190"/>
      <w:r>
        <w:rPr>
          <w:color w:val="auto"/>
          <w:highlight w:val="none"/>
        </w:rPr>
      </w:r>
      <w:bookmarkEnd w:id="191"/>
      <w:r>
        <w:rPr>
          <w:color w:val="auto"/>
          <w:highlight w:val="none"/>
        </w:rPr>
      </w:r>
      <w:bookmarkEnd w:id="192"/>
      <w:r>
        <w:rPr>
          <w:color w:val="auto"/>
          <w:highlight w:val="none"/>
        </w:rPr>
      </w:r>
      <w:bookmarkEnd w:id="193"/>
      <w:r>
        <w:rPr>
          <w:color w:val="auto"/>
          <w:highlight w:val="none"/>
        </w:rPr>
      </w:r>
      <w:bookmarkEnd w:id="194"/>
      <w:r>
        <w:rPr>
          <w:color w:val="auto"/>
          <w:highlight w:val="none"/>
        </w:rPr>
      </w:r>
      <w:bookmarkEnd w:id="195"/>
      <w:r>
        <w:rPr>
          <w:color w:val="auto"/>
          <w:highlight w:val="none"/>
        </w:rPr>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1、在执行本合同中发生的或与本合同有关的争端，双方应通过友好协商解决；协商不成，应提交泰州仲裁委员会仲裁。</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2、仲裁裁决应为最终决定，并对双方具有约束力。</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3、除另有裁决外，仲裁费应由败诉方负担。 </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4、在仲裁期间，除正在进行仲裁部分外，合同其他部分继续执行。  </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color w:val="auto"/>
          <w:highlight w:val="none"/>
        </w:rPr>
      </w:r>
      <w:bookmarkStart w:id="196" w:name="_Toc282696231"/>
      <w:r>
        <w:rPr>
          <w:color w:val="auto"/>
          <w:highlight w:val="none"/>
        </w:rPr>
      </w:r>
      <w:bookmarkStart w:id="197" w:name="_Toc225244858"/>
      <w:r>
        <w:rPr>
          <w:color w:val="auto"/>
          <w:highlight w:val="none"/>
        </w:rPr>
      </w:r>
      <w:bookmarkStart w:id="198" w:name="_Toc239568424"/>
      <w:r>
        <w:rPr>
          <w:color w:val="auto"/>
          <w:highlight w:val="none"/>
        </w:rPr>
      </w:r>
      <w:bookmarkStart w:id="199" w:name="_Toc286993793"/>
      <w:r>
        <w:rPr>
          <w:color w:val="auto"/>
          <w:highlight w:val="none"/>
        </w:rPr>
      </w:r>
      <w:bookmarkStart w:id="200" w:name="_Toc247334847"/>
      <w:r>
        <w:rPr>
          <w:color w:val="auto"/>
          <w:highlight w:val="none"/>
        </w:rPr>
      </w:r>
      <w:bookmarkStart w:id="201" w:name="_Toc283019219"/>
      <w:r>
        <w:rPr>
          <w:color w:val="auto"/>
          <w:highlight w:val="none"/>
        </w:rPr>
      </w:r>
      <w:bookmarkStart w:id="202" w:name="_Toc238984981"/>
      <w:r>
        <w:rPr>
          <w:color w:val="auto"/>
          <w:highlight w:val="none"/>
        </w:rPr>
      </w:r>
      <w:bookmarkStart w:id="203" w:name="_Toc212019600"/>
      <w:r>
        <w:rPr>
          <w:color w:val="auto"/>
          <w:highlight w:val="none"/>
        </w:rPr>
      </w:r>
      <w:bookmarkStart w:id="204" w:name="_Toc237145412"/>
      <w:r>
        <w:rPr>
          <w:color w:val="auto"/>
          <w:highlight w:val="none"/>
        </w:rPr>
      </w:r>
      <w:bookmarkStart w:id="205" w:name="_Toc239233920"/>
      <w:r>
        <w:rPr>
          <w:color w:val="auto"/>
          <w:highlight w:val="none"/>
        </w:rPr>
      </w:r>
      <w:bookmarkStart w:id="206" w:name="_Toc251768868"/>
      <w:r>
        <w:rPr>
          <w:color w:val="auto"/>
          <w:highlight w:val="none"/>
        </w:rPr>
      </w:r>
      <w:bookmarkStart w:id="207" w:name="_Toc241833909"/>
      <w:r>
        <w:rPr>
          <w:color w:val="auto"/>
          <w:highlight w:val="none"/>
        </w:rPr>
      </w:r>
      <w:bookmarkStart w:id="208" w:name="_Toc225654650"/>
      <w:r>
        <w:rPr>
          <w:color w:val="auto"/>
          <w:highlight w:val="none"/>
        </w:rPr>
      </w:r>
      <w:bookmarkStart w:id="209" w:name="_Toc211854455"/>
      <w:r>
        <w:rPr>
          <w:color w:val="auto"/>
          <w:highlight w:val="none"/>
        </w:rPr>
      </w:r>
      <w:bookmarkStart w:id="210" w:name="_Toc185395255"/>
      <w:r>
        <w:rPr>
          <w:color w:val="auto"/>
          <w:highlight w:val="none"/>
        </w:rPr>
      </w:r>
      <w:bookmarkStart w:id="211" w:name="_Toc232492934"/>
      <w:r>
        <w:rPr>
          <w:color w:val="auto"/>
          <w:highlight w:val="none"/>
        </w:rPr>
      </w:r>
      <w:bookmarkStart w:id="212" w:name="_Toc211911354"/>
      <w:r>
        <w:rPr>
          <w:color w:val="auto"/>
          <w:highlight w:val="none"/>
        </w:rPr>
      </w:r>
      <w:bookmarkStart w:id="213" w:name="_Toc225670757"/>
      <w:r>
        <w:rPr>
          <w:rFonts w:hint="eastAsia" w:ascii="宋体" w:hAnsi="宋体" w:cs="宋体"/>
          <w:color w:val="auto"/>
          <w:sz w:val="22"/>
          <w:szCs w:val="22"/>
          <w:highlight w:val="none"/>
          <w:lang w:val="en-US" w:eastAsia="zh-CN"/>
        </w:rPr>
        <w:t xml:space="preserve">十三、</w:t>
      </w:r>
      <w:r>
        <w:rPr>
          <w:rFonts w:hint="eastAsia" w:ascii="宋体" w:hAnsi="宋体" w:cs="宋体"/>
          <w:color w:val="auto"/>
          <w:sz w:val="22"/>
          <w:szCs w:val="22"/>
          <w:highlight w:val="none"/>
        </w:rPr>
        <w:t xml:space="preserve">合同</w:t>
      </w:r>
      <w:bookmarkEnd w:id="196"/>
      <w:r>
        <w:rPr>
          <w:color w:val="auto"/>
          <w:highlight w:val="none"/>
        </w:rPr>
      </w:r>
      <w:bookmarkEnd w:id="197"/>
      <w:r>
        <w:rPr>
          <w:color w:val="auto"/>
          <w:highlight w:val="none"/>
        </w:rPr>
      </w:r>
      <w:bookmarkEnd w:id="198"/>
      <w:r>
        <w:rPr>
          <w:color w:val="auto"/>
          <w:highlight w:val="none"/>
        </w:rPr>
      </w:r>
      <w:bookmarkEnd w:id="199"/>
      <w:r>
        <w:rPr>
          <w:color w:val="auto"/>
          <w:highlight w:val="none"/>
        </w:rPr>
      </w:r>
      <w:bookmarkEnd w:id="200"/>
      <w:r>
        <w:rPr>
          <w:color w:val="auto"/>
          <w:highlight w:val="none"/>
        </w:rPr>
      </w:r>
      <w:bookmarkEnd w:id="201"/>
      <w:r>
        <w:rPr>
          <w:color w:val="auto"/>
          <w:highlight w:val="none"/>
        </w:rPr>
      </w:r>
      <w:bookmarkEnd w:id="202"/>
      <w:r>
        <w:rPr>
          <w:color w:val="auto"/>
          <w:highlight w:val="none"/>
        </w:rPr>
      </w:r>
      <w:bookmarkEnd w:id="203"/>
      <w:r>
        <w:rPr>
          <w:color w:val="auto"/>
          <w:highlight w:val="none"/>
        </w:rPr>
      </w:r>
      <w:bookmarkEnd w:id="204"/>
      <w:r>
        <w:rPr>
          <w:color w:val="auto"/>
          <w:highlight w:val="none"/>
        </w:rPr>
      </w:r>
      <w:bookmarkEnd w:id="205"/>
      <w:r>
        <w:rPr>
          <w:color w:val="auto"/>
          <w:highlight w:val="none"/>
        </w:rPr>
      </w:r>
      <w:bookmarkEnd w:id="206"/>
      <w:r>
        <w:rPr>
          <w:color w:val="auto"/>
          <w:highlight w:val="none"/>
        </w:rPr>
      </w:r>
      <w:bookmarkEnd w:id="207"/>
      <w:r>
        <w:rPr>
          <w:color w:val="auto"/>
          <w:highlight w:val="none"/>
        </w:rPr>
      </w:r>
      <w:bookmarkEnd w:id="208"/>
      <w:r>
        <w:rPr>
          <w:color w:val="auto"/>
          <w:highlight w:val="none"/>
        </w:rPr>
      </w:r>
      <w:bookmarkEnd w:id="209"/>
      <w:r>
        <w:rPr>
          <w:color w:val="auto"/>
          <w:highlight w:val="none"/>
        </w:rPr>
      </w:r>
      <w:bookmarkEnd w:id="210"/>
      <w:r>
        <w:rPr>
          <w:color w:val="auto"/>
          <w:highlight w:val="none"/>
        </w:rPr>
      </w:r>
      <w:bookmarkEnd w:id="211"/>
      <w:r>
        <w:rPr>
          <w:color w:val="auto"/>
          <w:highlight w:val="none"/>
        </w:rPr>
      </w:r>
      <w:bookmarkEnd w:id="212"/>
      <w:r>
        <w:rPr>
          <w:color w:val="auto"/>
          <w:highlight w:val="none"/>
        </w:rPr>
      </w:r>
      <w:bookmarkEnd w:id="213"/>
      <w:r>
        <w:rPr>
          <w:rFonts w:hint="eastAsia" w:ascii="宋体" w:hAnsi="宋体" w:cs="宋体"/>
          <w:color w:val="auto"/>
          <w:sz w:val="22"/>
          <w:szCs w:val="22"/>
          <w:highlight w:val="none"/>
        </w:rPr>
        <w:t xml:space="preserve">生效及其他</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1、合同经双方法定代表人或授权代表签字并加盖单位公章后生效。</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2、合同执行中涉及采购资金和采购内容修改或补充的，须经政府采购监管部门审批，并签书面补充协议报政府采购监督管理部门备案，方可作为主合同不可分割的一部分。</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3、本合同一式4份，甲方2份，乙方2份，具有同等法律效力。</w:t>
      </w:r>
      <w:r>
        <w:rPr>
          <w:color w:val="auto"/>
          <w:highlight w:val="none"/>
        </w:rPr>
      </w:r>
    </w:p>
    <w:p>
      <w:pPr>
        <w:ind w:firstLine="440"/>
        <w:keepLines w:val="0"/>
        <w:keepNext w:val="0"/>
        <w:pageBreakBefore w:val="0"/>
        <w:spacing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4、本合同未尽事宜，双方协商解决。</w:t>
      </w:r>
      <w:r>
        <w:rPr>
          <w:color w:val="auto"/>
          <w:highlight w:val="none"/>
        </w:rPr>
      </w:r>
    </w:p>
    <w:p>
      <w:pPr>
        <w:spacing w:line="360" w:lineRule="auto"/>
        <w:rPr>
          <w:rFonts w:ascii="宋体" w:hAnsi="宋体" w:cs="宋体"/>
          <w:color w:val="auto"/>
          <w:sz w:val="22"/>
          <w:szCs w:val="22"/>
          <w:highlight w:val="none"/>
        </w:rPr>
      </w:pPr>
      <w:r>
        <w:rPr>
          <w:rFonts w:ascii="宋体" w:hAnsi="宋体" w:cs="宋体"/>
          <w:color w:val="auto"/>
          <w:sz w:val="22"/>
          <w:szCs w:val="22"/>
          <w:highlight w:val="none"/>
        </w:rPr>
      </w:r>
      <w:r>
        <w:rPr>
          <w:color w:val="auto"/>
          <w:highlight w:val="none"/>
        </w:rP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甲方：   （盖章）   </w:t>
      </w:r>
      <w:r>
        <w:rPr>
          <w:rFonts w:hint="eastAsia" w:ascii="宋体" w:hAnsi="宋体" w:cs="宋体"/>
          <w:color w:val="auto"/>
          <w:sz w:val="22"/>
          <w:szCs w:val="22"/>
          <w:highlight w:val="none"/>
        </w:rPr>
        <w:tab/>
      </w:r>
      <w:r>
        <w:rPr>
          <w:rFonts w:hint="eastAsia" w:ascii="宋体" w:hAnsi="宋体" w:cs="宋体"/>
          <w:color w:val="auto"/>
          <w:sz w:val="22"/>
          <w:szCs w:val="22"/>
          <w:highlight w:val="none"/>
        </w:rPr>
        <w:tab/>
      </w:r>
      <w:r>
        <w:rPr>
          <w:rFonts w:hint="eastAsia" w:ascii="宋体" w:hAnsi="宋体" w:cs="宋体"/>
          <w:color w:val="auto"/>
          <w:sz w:val="22"/>
          <w:szCs w:val="22"/>
          <w:highlight w:val="none"/>
        </w:rPr>
        <w:tab/>
      </w:r>
      <w:r>
        <w:rPr>
          <w:rFonts w:hint="eastAsia" w:ascii="宋体" w:hAnsi="宋体" w:cs="宋体"/>
          <w:color w:val="auto"/>
          <w:sz w:val="22"/>
          <w:szCs w:val="22"/>
          <w:highlight w:val="none"/>
        </w:rPr>
        <w:t xml:space="preserve">                乙方：   （盖章）</w:t>
      </w:r>
      <w:r>
        <w:rPr>
          <w:color w:val="auto"/>
          <w:highlight w:val="none"/>
        </w:rP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法定代表人（授权代表）：                      法定代表人（授权代表）：</w:t>
      </w:r>
      <w:r>
        <w:rPr>
          <w:color w:val="auto"/>
          <w:highlight w:val="none"/>
        </w:rP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地    址：                                    地    址：</w:t>
      </w:r>
      <w:r>
        <w:rPr>
          <w:color w:val="auto"/>
          <w:highlight w:val="none"/>
        </w:rP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开户银行：                                    开户银行：</w:t>
      </w:r>
      <w:r>
        <w:rPr>
          <w:color w:val="auto"/>
          <w:highlight w:val="none"/>
        </w:rP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账号：                                        账号：</w:t>
      </w:r>
      <w:r>
        <w:rPr>
          <w:color w:val="auto"/>
          <w:highlight w:val="none"/>
        </w:rP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电    话：                                    电    话：</w:t>
      </w:r>
      <w:r>
        <w:rPr>
          <w:color w:val="auto"/>
          <w:highlight w:val="none"/>
        </w:rP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传    真：                                    传    真：</w:t>
      </w:r>
      <w:r>
        <w:rPr>
          <w:color w:val="auto"/>
          <w:highlight w:val="none"/>
        </w:rP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签约日期：XX年XX月XX日 </w:t>
      </w:r>
      <w:r>
        <w:rPr>
          <w:rFonts w:hint="eastAsia" w:ascii="宋体" w:hAnsi="宋体" w:cs="宋体"/>
          <w:color w:val="auto"/>
          <w:sz w:val="22"/>
          <w:szCs w:val="22"/>
          <w:highlight w:val="none"/>
        </w:rPr>
        <w:tab/>
      </w:r>
      <w:r>
        <w:rPr>
          <w:rFonts w:hint="eastAsia" w:ascii="宋体" w:hAnsi="宋体" w:cs="宋体"/>
          <w:color w:val="auto"/>
          <w:sz w:val="22"/>
          <w:szCs w:val="22"/>
          <w:highlight w:val="none"/>
        </w:rPr>
        <w:tab/>
      </w:r>
      <w:r>
        <w:rPr>
          <w:rFonts w:hint="eastAsia" w:ascii="宋体" w:hAnsi="宋体" w:cs="宋体"/>
          <w:color w:val="auto"/>
          <w:sz w:val="22"/>
          <w:szCs w:val="22"/>
          <w:highlight w:val="none"/>
        </w:rPr>
        <w:tab/>
      </w:r>
      <w:r>
        <w:rPr>
          <w:rFonts w:hint="eastAsia" w:ascii="宋体" w:hAnsi="宋体" w:cs="宋体"/>
          <w:color w:val="auto"/>
          <w:sz w:val="22"/>
          <w:szCs w:val="22"/>
          <w:highlight w:val="none"/>
        </w:rPr>
        <w:t xml:space="preserve">            签约日期：XX年XX月XX日</w:t>
      </w:r>
      <w:r>
        <w:rPr>
          <w:color w:val="auto"/>
          <w:highlight w:val="none"/>
        </w:rPr>
      </w:r>
    </w:p>
    <w:p>
      <w:pPr>
        <w:spacing w:line="440" w:lineRule="exact"/>
        <w:rPr>
          <w:rFonts w:ascii="宋体" w:hAnsi="宋体" w:cs="宋体"/>
          <w:color w:val="auto"/>
          <w:sz w:val="22"/>
          <w:szCs w:val="22"/>
          <w:highlight w:val="none"/>
        </w:rPr>
      </w:pPr>
      <w:r>
        <w:rPr>
          <w:rFonts w:ascii="宋体" w:hAnsi="宋体" w:cs="宋体"/>
          <w:color w:val="auto"/>
          <w:sz w:val="22"/>
          <w:szCs w:val="22"/>
          <w:highlight w:val="none"/>
        </w:rPr>
      </w:r>
      <w:r>
        <w:rPr>
          <w:color w:val="auto"/>
          <w:highlight w:val="none"/>
        </w:rPr>
      </w:r>
    </w:p>
    <w:p>
      <w:pPr>
        <w:spacing w:line="440" w:lineRule="exact"/>
        <w:rPr>
          <w:rFonts w:ascii="宋体" w:hAnsi="宋体" w:cs="宋体"/>
          <w:color w:val="auto"/>
          <w:sz w:val="22"/>
          <w:szCs w:val="22"/>
          <w:highlight w:val="none"/>
        </w:rPr>
      </w:pPr>
      <w:r>
        <w:rPr>
          <w:rFonts w:ascii="宋体" w:hAnsi="宋体" w:cs="宋体"/>
          <w:color w:val="auto"/>
          <w:sz w:val="22"/>
          <w:szCs w:val="22"/>
          <w:highlight w:val="none"/>
        </w:rPr>
      </w:r>
      <w:r>
        <w:rPr>
          <w:color w:val="auto"/>
          <w:highlight w:val="none"/>
        </w:rPr>
      </w:r>
    </w:p>
    <w:p>
      <w:pPr>
        <w:spacing w:line="440" w:lineRule="exact"/>
        <w:rPr>
          <w:rFonts w:ascii="宋体" w:hAnsi="宋体" w:cs="宋体"/>
          <w:color w:val="auto"/>
          <w:sz w:val="22"/>
          <w:szCs w:val="22"/>
          <w:highlight w:val="none"/>
        </w:rPr>
      </w:pPr>
      <w:r>
        <w:rPr>
          <w:rFonts w:ascii="宋体" w:hAnsi="宋体" w:cs="宋体"/>
          <w:color w:val="auto"/>
          <w:sz w:val="22"/>
          <w:szCs w:val="22"/>
          <w:highlight w:val="none"/>
        </w:rPr>
      </w:r>
      <w:r>
        <w:rPr>
          <w:color w:val="auto"/>
          <w:highlight w:val="none"/>
        </w:rPr>
      </w:r>
    </w:p>
    <w:p>
      <w:pPr>
        <w:rPr>
          <w:rStyle w:val="1142"/>
          <w:color w:val="auto"/>
          <w:highlight w:val="none"/>
        </w:rPr>
      </w:pPr>
      <w:r>
        <w:rPr>
          <w:color w:val="auto"/>
          <w:highlight w:val="none"/>
        </w:rPr>
      </w:r>
      <w:bookmarkStart w:id="214" w:name="_Toc28819"/>
      <w:r>
        <w:rPr>
          <w:rStyle w:val="1142"/>
          <w:rFonts w:hint="eastAsia"/>
          <w:color w:val="auto"/>
          <w:highlight w:val="none"/>
        </w:rPr>
        <w:br w:type="page" w:clear="all"/>
      </w:r>
      <w:r>
        <w:rPr>
          <w:color w:val="auto"/>
          <w:highlight w:val="none"/>
        </w:rPr>
      </w:r>
    </w:p>
    <w:p>
      <w:pPr>
        <w:numPr>
          <w:ilvl w:val="0"/>
          <w:numId w:val="4"/>
        </w:numPr>
        <w:jc w:val="center"/>
        <w:rPr>
          <w:rStyle w:val="1142"/>
          <w:color w:val="auto"/>
          <w:highlight w:val="none"/>
        </w:rPr>
        <w:outlineLvl w:val="0"/>
      </w:pPr>
      <w:r>
        <w:rPr>
          <w:rStyle w:val="1142"/>
          <w:color w:val="auto"/>
          <w:highlight w:val="none"/>
        </w:rPr>
        <w:t xml:space="preserve">项目需求</w:t>
      </w:r>
      <w:bookmarkEnd w:id="214"/>
      <w:r>
        <w:rPr>
          <w:color w:val="auto"/>
          <w:highlight w:val="none"/>
        </w:rPr>
      </w:r>
      <w:r>
        <w:rPr>
          <w:color w:val="auto"/>
          <w:highlight w:val="none"/>
        </w:rPr>
      </w:r>
    </w:p>
    <w:p>
      <w:pPr>
        <w:pStyle w:val="913"/>
        <w:ind w:firstLine="0"/>
        <w:rPr>
          <w:color w:val="auto"/>
          <w:highlight w:val="none"/>
        </w:rPr>
      </w:pPr>
      <w:r>
        <w:rPr>
          <w:color w:val="auto"/>
          <w:highlight w:val="none"/>
        </w:rPr>
      </w:r>
      <w:r>
        <w:rPr>
          <w:color w:val="auto"/>
          <w:highlight w:val="none"/>
        </w:rPr>
      </w:r>
    </w:p>
    <w:p>
      <w:pPr>
        <w:pStyle w:val="913"/>
        <w:ind w:firstLine="0"/>
        <w:rPr>
          <w:color w:val="auto"/>
          <w:highlight w:val="none"/>
        </w:rPr>
      </w:pPr>
      <w:r>
        <w:rPr>
          <w:color w:val="auto"/>
          <w:highlight w:val="none"/>
        </w:rPr>
      </w:r>
      <w:r>
        <w:rPr>
          <w:color w:val="auto"/>
          <w:highlight w:val="none"/>
        </w:rPr>
      </w:r>
    </w:p>
    <w:p>
      <w:pPr>
        <w:ind w:firstLine="442"/>
        <w:keepLines w:val="0"/>
        <w:keepNext w:val="0"/>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cs="宋体"/>
          <w:b/>
          <w:bCs/>
          <w:color w:val="auto"/>
          <w:sz w:val="22"/>
          <w:szCs w:val="22"/>
          <w:highlight w:val="none"/>
        </w:rPr>
        <w:t xml:space="preserve">一、项目名称</w:t>
      </w:r>
      <w:r>
        <w:rPr>
          <w:rFonts w:hint="eastAsia" w:ascii="宋体" w:hAnsi="宋体" w:cs="宋体"/>
          <w:b w:val="0"/>
          <w:bCs w:val="0"/>
          <w:color w:val="auto"/>
          <w:sz w:val="22"/>
          <w:szCs w:val="22"/>
          <w:highlight w:val="none"/>
        </w:rPr>
        <w:t xml:space="preserve">：</w:t>
      </w:r>
      <w:r>
        <w:rPr>
          <w:rFonts w:hint="eastAsia" w:ascii="宋体" w:hAnsi="宋体" w:cs="宋体"/>
          <w:b w:val="0"/>
          <w:bCs w:val="0"/>
          <w:color w:val="auto"/>
          <w:sz w:val="22"/>
          <w:szCs w:val="22"/>
          <w:highlight w:val="none"/>
          <w:lang w:val="en-US" w:eastAsia="zh-CN"/>
        </w:rPr>
        <w:t xml:space="preserve">开发区本部区域生活污水泵站维保</w:t>
      </w:r>
      <w:r>
        <w:rPr>
          <w:color w:val="auto"/>
          <w:highlight w:val="none"/>
        </w:rPr>
      </w:r>
    </w:p>
    <w:p>
      <w:pPr>
        <w:ind w:firstLine="442"/>
        <w:keepLines w:val="0"/>
        <w:keepNext w:val="0"/>
        <w:pageBreakBefore w:val="0"/>
        <w:spacing w:line="360" w:lineRule="auto"/>
        <w:widowControl w:val="off"/>
        <w:rPr>
          <w:rFonts w:ascii="宋体" w:hAnsi="宋体" w:cs="宋体"/>
          <w:b w:val="0"/>
          <w:bCs w:val="0"/>
          <w:color w:val="auto"/>
          <w:sz w:val="22"/>
          <w:szCs w:val="22"/>
          <w:highlight w:val="none"/>
        </w:rPr>
      </w:pPr>
      <w:r>
        <w:rPr>
          <w:rFonts w:hint="eastAsia" w:ascii="宋体" w:hAnsi="宋体" w:cs="宋体"/>
          <w:b/>
          <w:bCs/>
          <w:color w:val="auto"/>
          <w:sz w:val="22"/>
          <w:szCs w:val="22"/>
          <w:highlight w:val="none"/>
        </w:rPr>
        <w:t xml:space="preserve">二、采购预算</w:t>
      </w:r>
      <w:r>
        <w:rPr>
          <w:rFonts w:hint="eastAsia" w:ascii="宋体" w:hAnsi="宋体" w:cs="宋体"/>
          <w:b w:val="0"/>
          <w:bCs w:val="0"/>
          <w:color w:val="auto"/>
          <w:sz w:val="22"/>
          <w:szCs w:val="22"/>
          <w:highlight w:val="none"/>
        </w:rPr>
        <w:t xml:space="preserve">：</w:t>
      </w:r>
      <w:r>
        <w:rPr>
          <w:rFonts w:hint="eastAsia" w:ascii="宋体" w:hAnsi="宋体" w:cs="宋体"/>
          <w:b w:val="0"/>
          <w:bCs w:val="0"/>
          <w:color w:val="auto"/>
          <w:sz w:val="22"/>
          <w:szCs w:val="22"/>
          <w:highlight w:val="none"/>
          <w:lang w:val="en-US" w:eastAsia="zh-CN"/>
        </w:rPr>
        <w:t xml:space="preserve">3975100.68</w:t>
      </w:r>
      <w:r>
        <w:rPr>
          <w:rFonts w:hint="eastAsia" w:ascii="宋体" w:hAnsi="宋体" w:cs="宋体"/>
          <w:b w:val="0"/>
          <w:bCs w:val="0"/>
          <w:color w:val="auto"/>
          <w:sz w:val="22"/>
          <w:szCs w:val="22"/>
          <w:highlight w:val="none"/>
        </w:rPr>
        <w:t xml:space="preserve">元；</w:t>
      </w:r>
      <w:r>
        <w:rPr>
          <w:color w:val="auto"/>
          <w:highlight w:val="none"/>
        </w:rPr>
      </w:r>
    </w:p>
    <w:p>
      <w:pPr>
        <w:ind w:firstLine="442"/>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bCs/>
          <w:color w:val="auto"/>
          <w:sz w:val="22"/>
          <w:szCs w:val="22"/>
          <w:highlight w:val="none"/>
          <w:lang w:eastAsia="zh-CN"/>
        </w:rPr>
        <w:t xml:space="preserve">三</w:t>
      </w:r>
      <w:r>
        <w:rPr>
          <w:rFonts w:hint="eastAsia" w:ascii="宋体" w:hAnsi="宋体" w:cs="宋体"/>
          <w:b/>
          <w:bCs/>
          <w:color w:val="auto"/>
          <w:sz w:val="22"/>
          <w:szCs w:val="22"/>
          <w:highlight w:val="none"/>
        </w:rPr>
        <w:t xml:space="preserve">、服务期</w:t>
      </w:r>
      <w:r>
        <w:rPr>
          <w:rFonts w:hint="eastAsia" w:ascii="宋体" w:hAnsi="宋体" w:cs="宋体"/>
          <w:b w:val="0"/>
          <w:bCs w:val="0"/>
          <w:color w:val="auto"/>
          <w:sz w:val="22"/>
          <w:szCs w:val="22"/>
          <w:highlight w:val="none"/>
        </w:rPr>
        <w:t xml:space="preserve">：</w:t>
      </w:r>
      <w:r>
        <w:rPr>
          <w:rFonts w:hint="eastAsia" w:ascii="宋体" w:hAnsi="宋体" w:cs="宋体"/>
          <w:b w:val="0"/>
          <w:bCs w:val="0"/>
          <w:color w:val="auto"/>
          <w:sz w:val="22"/>
          <w:szCs w:val="22"/>
          <w:highlight w:val="none"/>
          <w:lang w:val="en-US" w:eastAsia="zh-CN"/>
        </w:rPr>
        <w:t xml:space="preserve">三年</w:t>
      </w:r>
      <w:r>
        <w:rPr>
          <w:color w:val="auto"/>
          <w:highlight w:val="none"/>
        </w:rPr>
      </w:r>
    </w:p>
    <w:p>
      <w:pPr>
        <w:pStyle w:val="913"/>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四、项目基本概况</w:t>
      </w:r>
      <w:r>
        <w:rPr>
          <w:color w:val="auto"/>
          <w:highlight w:val="none"/>
        </w:rPr>
      </w:r>
    </w:p>
    <w:p>
      <w:pPr>
        <w:pStyle w:val="913"/>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靖江经济技术开发区污水提升泵站共6个泵站（1#、2#、6#、9#、11#、新时代船厂泵站）</w:t>
      </w:r>
      <w:r>
        <w:rPr>
          <w:rFonts w:hint="eastAsia" w:ascii="宋体" w:hAnsi="宋体" w:cs="宋体"/>
          <w:b w:val="0"/>
          <w:bCs w:val="0"/>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lang w:val="en-US" w:eastAsia="zh-CN"/>
        </w:rPr>
        <w:t xml:space="preserve">1#泵站接入新港污水处理厂西厂区</w:t>
      </w:r>
      <w:r>
        <w:rPr>
          <w:rFonts w:hint="eastAsia" w:ascii="宋体" w:hAnsi="宋体" w:eastAsia="宋体" w:cs="宋体"/>
          <w:b w:val="0"/>
          <w:bCs w:val="0"/>
          <w:color w:val="auto"/>
          <w:sz w:val="22"/>
          <w:szCs w:val="22"/>
          <w:highlight w:val="none"/>
          <w:lang w:val="en-US" w:eastAsia="zh-CN"/>
        </w:rPr>
        <w:t xml:space="preserve">，设计规模3万吨/天（土建规模），设备按近期设计规模1万吨/天进行配置；2#泵站接入新港污水处理厂西厂区，设计规模2万吨/天（土建规模），设备按近期设计规模0.75万吨/天进行配置；6#泵站接入新港污水处理厂东厂区，设计规模1.5万吨/天（土建规模），设备按近期设计规模0.6万吨/天进行配置；9#泵站设计规模1.2万吨/天（土建规模），设备按近期设计规模0.6万吨/天进行配置；11#泵站设计规模0.6万吨/天，设备按0.6万吨/天进行配置；新世纪船厂泵站设计规模0.9万吨/天，设备按0.6万吨/天进行配置。</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1.为了规范污水治理行为，加强政府监管力度，保障社会公共利益和公共安全。</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2.靖江经济技术开发区泵站将收集的污水提升到新港污水处理厂进行处理，为让污水厂进水水量持续稳定、进水水质控制在设计处理能力范围内，从而保障污水厂出水水质长期稳定达标。</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3.为维持提升泵站的正常运行，完善设备管理制度，对泵站设备规范化、标准化、专业化的管理，及时的维修、保养、排除故障，延长设备的使用寿命。</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4.泵站集水池污水厌氧分解产出大量有毒气体，如H2S、SO2、CO等。为保障泵站值班人员人身安全，建立安全生产制度，对值班人员进行安全培训管理。</w:t>
      </w:r>
      <w:r>
        <w:rPr>
          <w:color w:val="auto"/>
          <w:highlight w:val="none"/>
        </w:rPr>
      </w:r>
    </w:p>
    <w:p>
      <w:pPr>
        <w:ind w:firstLine="442"/>
        <w:keepLines w:val="0"/>
        <w:keepNext w:val="0"/>
        <w:pageBreakBefore w:val="0"/>
        <w:spacing w:line="360" w:lineRule="auto"/>
        <w:widowControl w:val="off"/>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rPr>
        <w:t xml:space="preserve">五</w:t>
      </w:r>
      <w:r>
        <w:rPr>
          <w:rFonts w:hint="eastAsia" w:ascii="宋体" w:hAnsi="宋体" w:cs="宋体"/>
          <w:b/>
          <w:bCs/>
          <w:color w:val="auto"/>
          <w:sz w:val="22"/>
          <w:szCs w:val="22"/>
          <w:highlight w:val="none"/>
        </w:rPr>
        <w:t xml:space="preserve">、</w:t>
      </w:r>
      <w:bookmarkStart w:id="215" w:name="_Toc28991"/>
      <w:r>
        <w:rPr>
          <w:color w:val="auto"/>
          <w:highlight w:val="none"/>
        </w:rPr>
      </w:r>
      <w:bookmarkStart w:id="216" w:name="_Toc23002"/>
      <w:r>
        <w:rPr>
          <w:rFonts w:hint="eastAsia" w:ascii="宋体" w:hAnsi="宋体" w:cs="宋体"/>
          <w:b/>
          <w:bCs/>
          <w:color w:val="auto"/>
          <w:sz w:val="22"/>
          <w:szCs w:val="22"/>
          <w:highlight w:val="none"/>
          <w:lang w:eastAsia="zh-CN"/>
        </w:rPr>
        <w:t xml:space="preserve">服务</w:t>
      </w:r>
      <w:r>
        <w:rPr>
          <w:rFonts w:hint="eastAsia" w:ascii="宋体" w:hAnsi="宋体" w:cs="宋体"/>
          <w:b/>
          <w:bCs/>
          <w:color w:val="auto"/>
          <w:sz w:val="22"/>
          <w:szCs w:val="22"/>
          <w:highlight w:val="none"/>
        </w:rPr>
        <w:t xml:space="preserve">需求</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生活污水泵站维保要求按照《城镇排水管渠与泵站运行维护安全技术规程》中排水泵站一般规定执行，具体如下</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1.排水泵站的运行、维护应符合现行国家标准《恶臭污染物排放标准》GB14554、《声环境质量标准》GB3096 和《用电安全导则》GB/T13869 及其他相关标准规定。 </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2.排水泵站运行维护前必须先对有毒、有害、易燃易爆气体进行检测与防护。 </w:t>
      </w:r>
      <w:r>
        <w:rPr>
          <w:color w:val="auto"/>
          <w:highlight w:val="none"/>
        </w:rPr>
      </w:r>
    </w:p>
    <w:p>
      <w:pPr>
        <w:pStyle w:val="913"/>
        <w:ind w:left="437" w:firstLine="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3.水泵维修后，流量不应低于原设计流量的 90%；机组效率不应低于原机组效率的90%；4.排水泵站内应配备相应的易损零配件。 </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5.排水泵站设施、机电设备和管配件等表面应清洁、无锈蚀。气液临界部位应加强检查并进行防腐蚀处理。除锈、防腐蚀处理维护周期。 </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6.起重设备、压力容器、电气安全用具、安全防护用具、易燃、易爆、有毒气体监测 </w:t>
      </w:r>
      <w:r>
        <w:rPr>
          <w:color w:val="auto"/>
          <w:highlight w:val="none"/>
        </w:rPr>
      </w:r>
    </w:p>
    <w:p>
      <w:pPr>
        <w:pStyle w:val="913"/>
        <w:ind w:left="0" w:firstLine="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等特种设备及装置必须定期检测，合格后方可使用。 </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7.排水泵站建筑物应保持完好，出现损坏应立即修复，宜 3 年检查维护一次。 </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8.运行和维护人员应做好泵站的环境卫生和绿化养护工作。 </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9.排水泵站机电设备及管路应安装相应的标识。 </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10.运行和维护人员位应做好运行与维护记录、安全用具检验保养记录，相关记录应 </w:t>
      </w:r>
      <w:r>
        <w:rPr>
          <w:color w:val="auto"/>
          <w:highlight w:val="none"/>
        </w:rPr>
      </w:r>
    </w:p>
    <w:p>
      <w:pPr>
        <w:pStyle w:val="913"/>
        <w:ind w:left="0" w:firstLine="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定期纳入档案管理。 </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11.排水泵站在正式移交接管前，应先通过竣工验收和试运行验收，并按规定办理接 </w:t>
      </w:r>
      <w:r>
        <w:rPr>
          <w:color w:val="auto"/>
          <w:highlight w:val="none"/>
        </w:rPr>
      </w:r>
    </w:p>
    <w:p>
      <w:pPr>
        <w:pStyle w:val="913"/>
        <w:ind w:left="0" w:firstLine="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管手续。 </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12.排水管理单位应建立、健全运行和维护人员、设备设施管理制度、安全生产和检 </w:t>
      </w:r>
      <w:r>
        <w:rPr>
          <w:color w:val="auto"/>
          <w:highlight w:val="none"/>
        </w:rPr>
      </w:r>
    </w:p>
    <w:p>
      <w:pPr>
        <w:pStyle w:val="913"/>
        <w:ind w:left="0" w:firstLine="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查制度等各种管理制度。</w:t>
      </w:r>
      <w:r>
        <w:rPr>
          <w:color w:val="auto"/>
          <w:highlight w:val="none"/>
        </w:rPr>
      </w:r>
    </w:p>
    <w:p>
      <w:pPr>
        <w:pStyle w:val="913"/>
        <w:ind w:left="0" w:firstLine="442"/>
        <w:keepLines w:val="0"/>
        <w:keepNext w:val="0"/>
        <w:pageBreakBefore w:val="0"/>
        <w:spacing w:line="360" w:lineRule="auto"/>
        <w:widowControl w:val="off"/>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rPr>
        <w:t xml:space="preserve">六</w:t>
      </w:r>
      <w:r>
        <w:rPr>
          <w:rFonts w:hint="eastAsia" w:ascii="宋体" w:hAnsi="宋体" w:cs="宋体"/>
          <w:b/>
          <w:bCs/>
          <w:color w:val="auto"/>
          <w:sz w:val="22"/>
          <w:szCs w:val="22"/>
          <w:highlight w:val="none"/>
        </w:rPr>
        <w:t xml:space="preserve">、报价要求</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1.服务费用报价采用固定总价报价的方式。</w:t>
      </w:r>
      <w:r>
        <w:rPr>
          <w:color w:val="auto"/>
          <w:highlight w:val="none"/>
        </w:rPr>
      </w:r>
    </w:p>
    <w:p>
      <w:pPr>
        <w:pStyle w:val="913"/>
        <w:ind w:firstLine="440"/>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2.服务费用主要包括（但不限于）：服务酬金（包含人员工资、社会福利费、公司管理费、利润、外勤等特殊津贴费等）、交通费、食宿费、通讯费、各种资料的编制、打印、复印和传递费、办公设备和用品费、本项目的采购代理服务费、不可预见费、在执行本项目服务任务的过程中所发生的额外的其它所有费用等一切费用。</w:t>
      </w:r>
      <w:r>
        <w:rPr>
          <w:color w:val="auto"/>
          <w:highlight w:val="none"/>
        </w:rPr>
      </w:r>
    </w:p>
    <w:p>
      <w:pPr>
        <w:pStyle w:val="913"/>
        <w:ind w:firstLine="442"/>
        <w:keepLines w:val="0"/>
        <w:keepNext w:val="0"/>
        <w:pageBreakBefore w:val="0"/>
        <w:spacing w:line="360" w:lineRule="auto"/>
        <w:widowControl w:val="off"/>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rPr>
        <w:t xml:space="preserve">七</w:t>
      </w:r>
      <w:r>
        <w:rPr>
          <w:rFonts w:hint="eastAsia" w:ascii="宋体" w:hAnsi="宋体" w:cs="宋体"/>
          <w:b/>
          <w:bCs/>
          <w:color w:val="auto"/>
          <w:sz w:val="22"/>
          <w:szCs w:val="22"/>
          <w:highlight w:val="none"/>
        </w:rPr>
        <w:t xml:space="preserve">、</w:t>
      </w:r>
      <w:r>
        <w:rPr>
          <w:rFonts w:hint="eastAsia" w:ascii="宋体" w:hAnsi="宋体" w:cs="宋体"/>
          <w:b/>
          <w:bCs/>
          <w:color w:val="auto"/>
          <w:sz w:val="22"/>
          <w:szCs w:val="22"/>
          <w:highlight w:val="none"/>
          <w:lang w:eastAsia="zh-CN"/>
        </w:rPr>
        <w:t xml:space="preserve">付款</w:t>
      </w:r>
      <w:r>
        <w:rPr>
          <w:rFonts w:hint="eastAsia" w:ascii="宋体" w:hAnsi="宋体" w:cs="宋体"/>
          <w:b/>
          <w:bCs/>
          <w:color w:val="auto"/>
          <w:sz w:val="22"/>
          <w:szCs w:val="22"/>
          <w:highlight w:val="none"/>
        </w:rPr>
        <w:t xml:space="preserve">方式</w:t>
      </w:r>
      <w:r>
        <w:rPr>
          <w:color w:val="auto"/>
          <w:highlight w:val="none"/>
        </w:rPr>
      </w:r>
    </w:p>
    <w:p>
      <w:pPr>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cs="宋体"/>
          <w:color w:val="auto"/>
          <w:sz w:val="22"/>
          <w:szCs w:val="22"/>
          <w:highlight w:val="none"/>
          <w:lang w:val="en-US" w:eastAsia="zh-CN"/>
        </w:rPr>
        <w:t xml:space="preserve">1.签订合同后预付10%，后期</w:t>
      </w:r>
      <w:r>
        <w:rPr>
          <w:rFonts w:hint="eastAsia" w:ascii="宋体" w:hAnsi="宋体" w:eastAsia="宋体" w:cs="宋体"/>
          <w:b w:val="0"/>
          <w:bCs w:val="0"/>
          <w:color w:val="auto"/>
          <w:sz w:val="22"/>
          <w:szCs w:val="22"/>
          <w:highlight w:val="none"/>
          <w:lang w:val="zh-CN" w:eastAsia="zh-CN" w:bidi="ar-SA"/>
        </w:rPr>
        <w:t xml:space="preserve">按季度</w:t>
      </w:r>
      <w:r>
        <w:rPr>
          <w:rFonts w:hint="eastAsia" w:ascii="宋体" w:hAnsi="宋体" w:cs="宋体"/>
          <w:b w:val="0"/>
          <w:bCs w:val="0"/>
          <w:color w:val="auto"/>
          <w:sz w:val="22"/>
          <w:szCs w:val="22"/>
          <w:highlight w:val="none"/>
          <w:lang w:val="zh-CN" w:eastAsia="zh-CN" w:bidi="ar-SA"/>
        </w:rPr>
        <w:t xml:space="preserve">进行</w:t>
      </w:r>
      <w:r>
        <w:rPr>
          <w:rFonts w:hint="eastAsia" w:ascii="宋体" w:hAnsi="宋体" w:eastAsia="宋体" w:cs="宋体"/>
          <w:b w:val="0"/>
          <w:bCs w:val="0"/>
          <w:color w:val="auto"/>
          <w:sz w:val="22"/>
          <w:szCs w:val="22"/>
          <w:highlight w:val="none"/>
          <w:lang w:val="zh-CN" w:eastAsia="zh-CN" w:bidi="ar-SA"/>
        </w:rPr>
        <w:t xml:space="preserve">付款</w:t>
      </w:r>
      <w:r>
        <w:rPr>
          <w:rFonts w:hint="eastAsia" w:ascii="宋体" w:hAnsi="宋体" w:cs="宋体"/>
          <w:b w:val="0"/>
          <w:bCs w:val="0"/>
          <w:color w:val="auto"/>
          <w:sz w:val="22"/>
          <w:szCs w:val="22"/>
          <w:highlight w:val="none"/>
          <w:lang w:val="zh-CN" w:eastAsia="zh-CN" w:bidi="ar-SA"/>
        </w:rPr>
        <w:t xml:space="preserve">。</w:t>
      </w:r>
      <w:r>
        <w:rPr>
          <w:color w:val="auto"/>
          <w:highlight w:val="none"/>
        </w:rPr>
      </w:r>
    </w:p>
    <w:p>
      <w:pPr>
        <w:ind w:firstLine="440"/>
        <w:keepLines w:val="0"/>
        <w:keepNext w:val="0"/>
        <w:pageBreakBefore w:val="0"/>
        <w:spacing w:line="360" w:lineRule="auto"/>
        <w:widowControl w:val="off"/>
        <w:rPr>
          <w:rStyle w:val="1142"/>
          <w:rFonts w:ascii="Arial" w:hAnsi="Arial" w:cs="Arial"/>
          <w:color w:val="auto"/>
          <w:highlight w:val="none"/>
        </w:rPr>
      </w:pPr>
      <w:r>
        <w:rPr>
          <w:rFonts w:hint="eastAsia" w:ascii="宋体" w:hAnsi="宋体" w:cs="宋体"/>
          <w:color w:val="auto"/>
          <w:sz w:val="22"/>
          <w:szCs w:val="22"/>
          <w:highlight w:val="none"/>
        </w:rPr>
        <w:t xml:space="preserve">2.在签订合同时，中标人明确表示无需预付款或者主动要求降低预付款比例的，采购人可不适用预付规定。</w:t>
      </w:r>
      <w:r>
        <w:rPr>
          <w:rStyle w:val="1142"/>
          <w:rFonts w:ascii="Arial" w:hAnsi="Arial" w:cs="Arial"/>
          <w:color w:val="auto"/>
          <w:highlight w:val="none"/>
        </w:rPr>
        <w:br w:type="page" w:clear="all"/>
      </w:r>
      <w:r>
        <w:rPr>
          <w:color w:val="auto"/>
          <w:highlight w:val="none"/>
        </w:rPr>
      </w:r>
    </w:p>
    <w:p>
      <w:pPr>
        <w:pStyle w:val="1161"/>
        <w:jc w:val="center"/>
        <w:spacing w:line="440" w:lineRule="exact"/>
        <w:rPr>
          <w:rStyle w:val="1142"/>
          <w:rFonts w:ascii="Arial" w:hAnsi="Arial" w:cs="Arial"/>
          <w:color w:val="auto"/>
          <w:highlight w:val="none"/>
        </w:rPr>
      </w:pPr>
      <w:r>
        <w:rPr>
          <w:rStyle w:val="1142"/>
          <w:rFonts w:ascii="Arial" w:hAnsi="Arial" w:cs="Arial"/>
          <w:color w:val="auto"/>
          <w:highlight w:val="none"/>
        </w:rPr>
        <w:t xml:space="preserve">第六章 评标办法</w:t>
      </w:r>
      <w:bookmarkEnd w:id="215"/>
      <w:r>
        <w:rPr>
          <w:color w:val="auto"/>
          <w:highlight w:val="none"/>
        </w:rPr>
      </w:r>
      <w:bookmarkEnd w:id="216"/>
      <w:r>
        <w:rPr>
          <w:color w:val="auto"/>
          <w:highlight w:val="none"/>
        </w:rPr>
      </w:r>
      <w:r>
        <w:rPr>
          <w:color w:val="auto"/>
          <w:highlight w:val="none"/>
        </w:rPr>
      </w:r>
    </w:p>
    <w:p>
      <w:pPr>
        <w:ind w:firstLine="4779"/>
        <w:spacing w:line="400" w:lineRule="exact"/>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p>
    <w:p>
      <w:pPr>
        <w:jc w:val="center"/>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评审办法前附表</w:t>
      </w:r>
      <w:r>
        <w:rPr>
          <w:color w:val="auto"/>
          <w:highlight w:val="none"/>
        </w:rPr>
      </w:r>
    </w:p>
    <w:tbl>
      <w:tblPr>
        <w:tblStyle w:val="912"/>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6960"/>
      </w:tblGrid>
      <w:tr>
        <w:trPr>
          <w:trHeight w:val="507"/>
        </w:trPr>
        <w:tc>
          <w:tcPr>
            <w:gridSpan w:val="2"/>
            <w:tcW w:w="1617" w:type="dxa"/>
            <w:textDirection w:val="lrTb"/>
            <w:noWrap w:val="false"/>
          </w:tcPr>
          <w:p>
            <w:pPr>
              <w:pStyle w:val="1212"/>
              <w:ind w:left="484"/>
              <w:spacing w:before="152" w:line="440" w:lineRule="exact"/>
              <w:rPr>
                <w:rFonts w:ascii="宋体" w:hAnsi="宋体" w:eastAsia="宋体" w:cs="宋体"/>
                <w:b/>
                <w:color w:val="auto"/>
                <w:sz w:val="22"/>
                <w:highlight w:val="none"/>
              </w:rPr>
            </w:pPr>
            <w:r>
              <w:rPr>
                <w:rFonts w:hint="eastAsia" w:ascii="宋体" w:hAnsi="宋体" w:eastAsia="宋体" w:cs="宋体"/>
                <w:b/>
                <w:color w:val="auto"/>
                <w:sz w:val="22"/>
                <w:highlight w:val="none"/>
              </w:rPr>
              <w:t xml:space="preserve">条款号</w:t>
            </w:r>
            <w:r>
              <w:rPr>
                <w:color w:val="auto"/>
                <w:highlight w:val="none"/>
              </w:rPr>
            </w:r>
          </w:p>
        </w:tc>
        <w:tc>
          <w:tcPr>
            <w:tcW w:w="7140" w:type="dxa"/>
            <w:textDirection w:val="lrTb"/>
            <w:noWrap w:val="false"/>
          </w:tcPr>
          <w:p>
            <w:pPr>
              <w:pStyle w:val="1212"/>
              <w:ind w:right="2573"/>
              <w:jc w:val="center"/>
              <w:spacing w:before="152" w:line="440" w:lineRule="exact"/>
              <w:rPr>
                <w:rFonts w:ascii="宋体" w:hAnsi="宋体" w:eastAsia="宋体" w:cs="宋体"/>
                <w:b/>
                <w:color w:val="auto"/>
                <w:sz w:val="22"/>
                <w:highlight w:val="none"/>
              </w:rPr>
            </w:pPr>
            <w:r>
              <w:rPr>
                <w:rFonts w:hint="eastAsia" w:ascii="宋体" w:hAnsi="宋体" w:eastAsia="宋体" w:cs="宋体"/>
                <w:b/>
                <w:color w:val="auto"/>
                <w:sz w:val="22"/>
                <w:highlight w:val="none"/>
              </w:rPr>
              <w:t xml:space="preserve">                     评审因素与评审标准</w:t>
            </w:r>
            <w:r>
              <w:rPr>
                <w:color w:val="auto"/>
                <w:highlight w:val="none"/>
              </w:rPr>
            </w:r>
          </w:p>
        </w:tc>
      </w:tr>
      <w:tr>
        <w:trPr>
          <w:trHeight w:val="3681"/>
        </w:trPr>
        <w:tc>
          <w:tcPr>
            <w:tcW w:w="844" w:type="dxa"/>
            <w:textDirection w:val="lrTb"/>
            <w:noWrap w:val="false"/>
          </w:tcPr>
          <w:p>
            <w:pPr>
              <w:pStyle w:val="1212"/>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ind w:left="142" w:right="114"/>
              <w:jc w:val="center"/>
              <w:spacing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2.1.1</w:t>
            </w:r>
            <w:r>
              <w:rPr>
                <w:color w:val="auto"/>
                <w:highlight w:val="none"/>
              </w:rPr>
            </w:r>
          </w:p>
        </w:tc>
        <w:tc>
          <w:tcPr>
            <w:tcW w:w="750" w:type="dxa"/>
            <w:textDirection w:val="lrTb"/>
            <w:noWrap w:val="false"/>
          </w:tcPr>
          <w:p>
            <w:pPr>
              <w:pStyle w:val="1212"/>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ind w:left="219" w:right="304"/>
              <w:spacing w:before="1"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资格性检查标准</w:t>
            </w:r>
            <w:r>
              <w:rPr>
                <w:color w:val="auto"/>
                <w:highlight w:val="none"/>
              </w:rPr>
            </w:r>
          </w:p>
        </w:tc>
        <w:tc>
          <w:tcPr>
            <w:tcW w:w="7140" w:type="dxa"/>
            <w:textDirection w:val="lrTb"/>
            <w:noWrap w:val="false"/>
          </w:tcPr>
          <w:p>
            <w:pPr>
              <w:pStyle w:val="1254"/>
              <w:ind w:left="1"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（1）具有独立承担民事责任的能力：</w:t>
            </w:r>
            <w:r>
              <w:rPr>
                <w:rFonts w:hint="eastAsia" w:ascii="宋体" w:hAnsi="宋体" w:eastAsia="宋体" w:cs="宋体"/>
                <w:color w:val="auto"/>
                <w:sz w:val="22"/>
                <w:highlight w:val="none"/>
              </w:rPr>
              <w:t xml:space="preserve">提供法人或者其他组织的营业执照等证明文件，自然人的身份证明</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highlight w:val="none"/>
              </w:rPr>
              <w:t xml:space="preserve">件；</w:t>
            </w:r>
            <w:r>
              <w:rPr>
                <w:color w:val="auto"/>
                <w:highlight w:val="none"/>
              </w:rPr>
            </w:r>
          </w:p>
          <w:p>
            <w:pPr>
              <w:pStyle w:val="1254"/>
              <w:ind w:left="1" w:right="98"/>
              <w:spacing w:line="440" w:lineRule="exact"/>
              <w:tabs>
                <w:tab w:val="left" w:pos="331" w:leader="none"/>
              </w:tabs>
              <w:rPr>
                <w:rFonts w:hint="eastAsia" w:ascii="宋体" w:hAnsi="宋体" w:cs="宋体"/>
                <w:color w:val="auto"/>
                <w:sz w:val="22"/>
                <w:highlight w:val="none"/>
              </w:rPr>
            </w:pPr>
            <w:r>
              <w:rPr>
                <w:rFonts w:hint="eastAsia" w:ascii="宋体" w:hAnsi="宋体" w:cs="宋体"/>
                <w:color w:val="auto"/>
                <w:sz w:val="22"/>
                <w:highlight w:val="none"/>
              </w:rPr>
              <w:t xml:space="preserve">（2）具有《政府采购法》第二十二条第（二）、（三）、（四）、（五）项规定的基本资格条件：按投标文件格式要求提供了《基本资格条件承诺书》原件扫描件；</w:t>
            </w:r>
            <w:r>
              <w:rPr>
                <w:color w:val="auto"/>
                <w:highlight w:val="none"/>
              </w:rP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zh-CN"/>
              </w:rPr>
              <w:t xml:space="preserve">落实政府采购政策需满足的资格要求：本项目</w:t>
            </w:r>
            <w:r>
              <w:rPr>
                <w:rFonts w:hint="eastAsia" w:ascii="宋体" w:hAnsi="宋体" w:cs="宋体"/>
                <w:color w:val="auto"/>
                <w:sz w:val="22"/>
                <w:highlight w:val="none"/>
              </w:rPr>
              <w:t xml:space="preserve">属于专门面向中小企业采购的项目，供应商应为中小微企业、监狱企业、残疾人福利性单位之一。</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声明函或相关证明材料）</w:t>
            </w:r>
            <w:r>
              <w:rPr>
                <w:color w:val="auto"/>
                <w:highlight w:val="none"/>
              </w:rPr>
            </w:r>
          </w:p>
          <w:p>
            <w:pPr>
              <w:pStyle w:val="1254"/>
              <w:ind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）未组成联合体投标：本项目供应商单独投标，未组成联合体；</w:t>
            </w:r>
            <w:r>
              <w:rPr>
                <w:color w:val="auto"/>
                <w:highlight w:val="none"/>
              </w:rPr>
            </w:r>
          </w:p>
          <w:p>
            <w:pPr>
              <w:pStyle w:val="1254"/>
              <w:ind w:left="1"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供应商不存在招标公告中“申请人的资格要求（三）”中任何情形之一（</w:t>
            </w:r>
            <w:r>
              <w:rPr>
                <w:rFonts w:hint="eastAsia" w:ascii="宋体" w:hAnsi="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《承诺书》）</w:t>
            </w:r>
            <w:r>
              <w:rPr>
                <w:rFonts w:hint="eastAsia" w:ascii="宋体" w:hAnsi="宋体" w:cs="宋体"/>
                <w:color w:val="auto"/>
                <w:sz w:val="22"/>
                <w:highlight w:val="none"/>
              </w:rPr>
              <w:t xml:space="preserve">。</w:t>
            </w:r>
            <w:r>
              <w:rPr>
                <w:color w:val="auto"/>
                <w:highlight w:val="none"/>
              </w:rPr>
            </w:r>
          </w:p>
        </w:tc>
      </w:tr>
      <w:tr>
        <w:trPr>
          <w:trHeight w:val="5627"/>
        </w:trPr>
        <w:tc>
          <w:tcPr>
            <w:tcW w:w="844" w:type="dxa"/>
            <w:textDirection w:val="lrTb"/>
            <w:noWrap w:val="false"/>
          </w:tcPr>
          <w:p>
            <w:pPr>
              <w:pStyle w:val="1212"/>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ind w:left="142" w:right="114"/>
              <w:jc w:val="center"/>
              <w:spacing w:before="166"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2.1.2</w:t>
            </w:r>
            <w:r>
              <w:rPr>
                <w:color w:val="auto"/>
                <w:highlight w:val="none"/>
              </w:rPr>
            </w:r>
          </w:p>
        </w:tc>
        <w:tc>
          <w:tcPr>
            <w:tcW w:w="750" w:type="dxa"/>
            <w:textDirection w:val="lrTb"/>
            <w:noWrap w:val="false"/>
          </w:tcPr>
          <w:p>
            <w:pPr>
              <w:pStyle w:val="1212"/>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p>
          <w:p>
            <w:pPr>
              <w:pStyle w:val="1212"/>
              <w:ind w:left="219" w:right="304"/>
              <w:spacing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符合性检查标准</w:t>
            </w:r>
            <w:r>
              <w:rPr>
                <w:color w:val="auto"/>
                <w:highlight w:val="none"/>
              </w:rPr>
            </w:r>
          </w:p>
        </w:tc>
        <w:tc>
          <w:tcPr>
            <w:tcW w:w="7140" w:type="dxa"/>
            <w:textDirection w:val="lrTb"/>
            <w:noWrap w:val="false"/>
          </w:tcPr>
          <w:p>
            <w:pPr>
              <w:numPr>
                <w:ilvl w:val="0"/>
                <w:numId w:val="5"/>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投标文件组成齐全，内容、格式按招标文件的规定，字迹清晰可辩：</w:t>
            </w:r>
            <w:r>
              <w:rPr>
                <w:color w:val="auto"/>
                <w:highlight w:val="none"/>
              </w:rPr>
            </w:r>
          </w:p>
          <w:p>
            <w:pPr>
              <w:numPr>
                <w:ilvl w:val="0"/>
                <w:numId w:val="6"/>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投标文件组成齐全完整，内容均按规定填写；</w:t>
            </w:r>
            <w:r>
              <w:rPr>
                <w:color w:val="auto"/>
                <w:highlight w:val="none"/>
              </w:rPr>
            </w:r>
          </w:p>
          <w:p>
            <w:pPr>
              <w:numPr>
                <w:ilvl w:val="0"/>
                <w:numId w:val="6"/>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投标文件未因关键信息模糊而造成评标委员会无法判定是否实质性响应。</w:t>
            </w:r>
            <w:r>
              <w:rPr>
                <w:color w:val="auto"/>
                <w:highlight w:val="none"/>
              </w:rP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投标文件中单位和个人电子签章齐全，符合招标文件规定；</w:t>
            </w:r>
            <w:r>
              <w:rPr>
                <w:color w:val="auto"/>
                <w:highlight w:val="none"/>
              </w:rP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投标报价为唯一报价，且未提交选择性报价；</w:t>
            </w:r>
            <w:r>
              <w:rPr>
                <w:color w:val="auto"/>
                <w:highlight w:val="none"/>
              </w:rP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投标人未提交可调价格的投标报价；</w:t>
            </w:r>
            <w:r>
              <w:rPr>
                <w:color w:val="auto"/>
                <w:highlight w:val="none"/>
              </w:rP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投标报价未超过预算价（最高限价）；</w:t>
            </w:r>
            <w:r>
              <w:rPr>
                <w:color w:val="auto"/>
                <w:highlight w:val="none"/>
              </w:rP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商务条款响应表</w:t>
            </w:r>
            <w:r>
              <w:rPr>
                <w:rFonts w:hint="eastAsia" w:ascii="宋体" w:hAnsi="宋体" w:cs="宋体"/>
                <w:color w:val="auto"/>
                <w:sz w:val="22"/>
                <w:szCs w:val="22"/>
                <w:highlight w:val="none"/>
                <w:lang w:eastAsia="zh-CN"/>
              </w:rPr>
              <w:t xml:space="preserve">、服务应答表</w:t>
            </w:r>
            <w:r>
              <w:rPr>
                <w:rFonts w:hint="eastAsia" w:ascii="宋体" w:hAnsi="宋体" w:cs="宋体"/>
                <w:color w:val="auto"/>
                <w:sz w:val="22"/>
                <w:szCs w:val="22"/>
                <w:highlight w:val="none"/>
              </w:rPr>
              <w:t xml:space="preserve">中未出现负偏离；</w:t>
            </w:r>
            <w:r>
              <w:rPr>
                <w:color w:val="auto"/>
                <w:highlight w:val="none"/>
              </w:rP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供应商未以任何方式或者方法提供报价以外的任何附赠条款；</w:t>
            </w:r>
            <w:r>
              <w:rPr>
                <w:color w:val="auto"/>
                <w:highlight w:val="none"/>
              </w:rPr>
            </w:r>
          </w:p>
          <w:p>
            <w:pPr>
              <w:pStyle w:val="1212"/>
              <w:ind w:left="14" w:right="96"/>
              <w:spacing w:line="440" w:lineRule="exact"/>
              <w:tabs>
                <w:tab w:val="left" w:pos="645" w:leader="none"/>
              </w:tabs>
              <w:rPr>
                <w:rFonts w:ascii="宋体" w:hAnsi="宋体" w:eastAsia="宋体" w:cs="宋体"/>
                <w:color w:val="auto"/>
                <w:sz w:val="22"/>
                <w:highlight w:val="none"/>
              </w:rPr>
            </w:pPr>
            <w:r>
              <w:rPr>
                <w:rFonts w:hint="eastAsia" w:ascii="宋体" w:hAnsi="宋体" w:eastAsia="宋体" w:cs="宋体"/>
                <w:color w:val="auto"/>
                <w:sz w:val="22"/>
                <w:highlight w:val="none"/>
              </w:rPr>
              <w:t xml:space="preserve">（8）投标文件未附有采购人不能接受的条件。</w:t>
            </w:r>
            <w:r>
              <w:rPr>
                <w:color w:val="auto"/>
                <w:highlight w:val="none"/>
              </w:rPr>
            </w:r>
          </w:p>
        </w:tc>
      </w:tr>
    </w:tbl>
    <w:p>
      <w:pPr>
        <w:ind w:firstLine="440"/>
        <w:spacing w:line="400" w:lineRule="exact"/>
        <w:rPr>
          <w:rFonts w:ascii="宋体" w:hAnsi="宋体" w:cs="宋体"/>
          <w:color w:val="auto"/>
          <w:sz w:val="22"/>
          <w:szCs w:val="20"/>
          <w:highlight w:val="none"/>
        </w:rPr>
      </w:pPr>
      <w:r>
        <w:rPr>
          <w:color w:val="auto"/>
          <w:highlight w:val="none"/>
        </w:rPr>
      </w:r>
      <w:bookmarkStart w:id="217" w:name="_Toc217446099"/>
      <w:r>
        <w:rPr>
          <w:rFonts w:hint="eastAsia" w:ascii="宋体" w:hAnsi="宋体" w:cs="宋体"/>
          <w:color w:val="auto"/>
          <w:sz w:val="22"/>
          <w:szCs w:val="20"/>
          <w:highlight w:val="none"/>
        </w:rPr>
        <w:br w:type="page" w:clear="all"/>
      </w:r>
      <w:r>
        <w:rPr>
          <w:color w:val="auto"/>
          <w:highlight w:val="none"/>
        </w:rPr>
      </w:r>
    </w:p>
    <w:p>
      <w:pPr>
        <w:ind w:firstLine="440"/>
        <w:jc w:val="center"/>
        <w:spacing w:line="400" w:lineRule="exact"/>
        <w:rPr>
          <w:rFonts w:hAnsi="宋体"/>
          <w:color w:val="auto"/>
          <w:sz w:val="22"/>
          <w:szCs w:val="22"/>
          <w:highlight w:val="none"/>
        </w:rPr>
      </w:pPr>
      <w:r>
        <w:rPr>
          <w:rFonts w:hint="eastAsia" w:ascii="宋体" w:hAnsi="宋体" w:cs="宋体"/>
          <w:b/>
          <w:bCs/>
          <w:color w:val="auto"/>
          <w:sz w:val="28"/>
          <w:szCs w:val="28"/>
          <w:highlight w:val="none"/>
        </w:rPr>
        <w:t xml:space="preserve">评分因素以及分值</w:t>
      </w:r>
      <w:bookmarkStart w:id="218" w:name="_Toc4791"/>
      <w:r>
        <w:rPr>
          <w:color w:val="auto"/>
          <w:highlight w:val="none"/>
        </w:rPr>
      </w:r>
      <w:bookmarkStart w:id="219" w:name="_Toc234382664"/>
      <w:r>
        <w:rPr>
          <w:color w:val="auto"/>
          <w:highlight w:val="none"/>
        </w:rPr>
      </w:r>
      <w:bookmarkStart w:id="220" w:name="_Toc31120"/>
      <w:r>
        <w:rPr>
          <w:color w:val="auto"/>
          <w:highlight w:val="none"/>
        </w:rPr>
      </w:r>
      <w:bookmarkStart w:id="221" w:name="_Toc24287"/>
      <w:r>
        <w:rPr>
          <w:color w:val="auto"/>
          <w:highlight w:val="none"/>
        </w:rPr>
      </w:r>
      <w:bookmarkStart w:id="222" w:name="_Toc657"/>
      <w:r>
        <w:rPr>
          <w:color w:val="auto"/>
          <w:highlight w:val="none"/>
        </w:rPr>
      </w:r>
      <w:bookmarkStart w:id="223" w:name="_Toc28292"/>
      <w:r>
        <w:rPr>
          <w:color w:val="auto"/>
          <w:highlight w:val="none"/>
        </w:rPr>
      </w:r>
      <w:bookmarkStart w:id="224" w:name="_Toc217446060"/>
      <w:r>
        <w:rPr>
          <w:color w:val="auto"/>
          <w:highlight w:val="none"/>
        </w:rPr>
      </w:r>
      <w:bookmarkStart w:id="225" w:name="_Toc30145"/>
      <w:r>
        <w:rPr>
          <w:color w:val="auto"/>
          <w:highlight w:val="none"/>
        </w:rPr>
      </w:r>
      <w:r>
        <w:rPr>
          <w:color w:val="auto"/>
          <w:highlight w:val="none"/>
        </w:rPr>
      </w:r>
    </w:p>
    <w:tbl>
      <w:tblPr>
        <w:tblStyle w:val="912"/>
        <w:tblpPr w:horzAnchor="page" w:tblpX="1485" w:vertAnchor="text" w:tblpY="367" w:leftFromText="180" w:topFromText="0" w:rightFromText="180" w:bottomFromText="0"/>
        <w:tblW w:w="91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5"/>
        <w:gridCol w:w="7598"/>
      </w:tblGrid>
      <w:tr>
        <w:trPr>
          <w:trHeight w:val="567"/>
        </w:trPr>
        <w:tc>
          <w:tcPr>
            <w:tcW w:w="1545" w:type="dxa"/>
            <w:vAlign w:val="center"/>
            <w:textDirection w:val="lrTb"/>
            <w:noWrap w:val="false"/>
          </w:tcPr>
          <w:p>
            <w:pPr>
              <w:spacing w:line="400" w:lineRule="exact"/>
              <w:rPr>
                <w:rFonts w:ascii="Arial" w:hAnsi="Arial" w:cs="Arial"/>
                <w:color w:val="auto"/>
                <w:sz w:val="24"/>
                <w:highlight w:val="none"/>
              </w:rPr>
            </w:pPr>
            <w:r>
              <w:rPr>
                <w:color w:val="auto"/>
                <w:highlight w:val="none"/>
              </w:rPr>
            </w:r>
            <w:bookmarkStart w:id="226" w:name="_Hlk107912590"/>
            <w:r>
              <w:rPr>
                <w:rFonts w:hint="eastAsia" w:ascii="Arial" w:hAnsi="Arial" w:cs="Arial"/>
                <w:b/>
                <w:bCs/>
                <w:color w:val="auto"/>
                <w:sz w:val="24"/>
                <w:highlight w:val="none"/>
              </w:rPr>
              <w:t xml:space="preserve">评审因素</w:t>
            </w:r>
            <w:r>
              <w:rPr>
                <w:color w:val="auto"/>
                <w:highlight w:val="none"/>
              </w:rPr>
            </w:r>
          </w:p>
        </w:tc>
        <w:tc>
          <w:tcPr>
            <w:tcW w:w="7598" w:type="dxa"/>
            <w:vAlign w:val="center"/>
            <w:textDirection w:val="lrTb"/>
            <w:noWrap w:val="false"/>
          </w:tcPr>
          <w:p>
            <w:pPr>
              <w:ind w:firstLine="482"/>
              <w:jc w:val="center"/>
              <w:spacing w:line="400" w:lineRule="exact"/>
              <w:rPr>
                <w:rFonts w:ascii="Arial" w:hAnsi="Arial" w:cs="Arial"/>
                <w:color w:val="auto"/>
                <w:sz w:val="24"/>
                <w:highlight w:val="none"/>
              </w:rPr>
            </w:pPr>
            <w:r>
              <w:rPr>
                <w:rFonts w:hint="eastAsia" w:ascii="Arial" w:hAnsi="Arial" w:cs="Arial"/>
                <w:b/>
                <w:bCs/>
                <w:color w:val="auto"/>
                <w:sz w:val="24"/>
                <w:highlight w:val="none"/>
              </w:rPr>
              <w:t xml:space="preserve">评审标准</w:t>
            </w:r>
            <w:r>
              <w:rPr>
                <w:color w:val="auto"/>
                <w:highlight w:val="none"/>
              </w:rPr>
            </w:r>
          </w:p>
        </w:tc>
      </w:tr>
      <w:tr>
        <w:trPr>
          <w:trHeight w:val="941"/>
        </w:trPr>
        <w:tc>
          <w:tcPr>
            <w:tcW w:w="1545" w:type="dxa"/>
            <w:vAlign w:val="center"/>
            <w:textDirection w:val="lrTb"/>
            <w:noWrap w:val="false"/>
          </w:tcPr>
          <w:p>
            <w:pPr>
              <w:jc w:val="center"/>
              <w:keepLines w:val="0"/>
              <w:keepNext w:val="0"/>
              <w:pageBreakBefore w:val="0"/>
              <w:spacing w:line="240" w:lineRule="auto"/>
              <w:widowControl w:val="off"/>
              <w:rPr>
                <w:rFonts w:ascii="宋体" w:hAnsi="宋体"/>
                <w:color w:val="auto"/>
                <w:szCs w:val="21"/>
                <w:highlight w:val="none"/>
              </w:rPr>
            </w:pPr>
            <w:r>
              <w:rPr>
                <w:rFonts w:hint="eastAsia" w:ascii="宋体" w:hAnsi="宋体"/>
                <w:color w:val="auto"/>
                <w:szCs w:val="21"/>
                <w:highlight w:val="none"/>
              </w:rPr>
              <w:t xml:space="preserve">报价</w:t>
            </w:r>
            <w:r>
              <w:rPr>
                <w:color w:val="auto"/>
                <w:highlight w:val="none"/>
              </w:rPr>
            </w:r>
          </w:p>
          <w:p>
            <w:pPr>
              <w:jc w:val="center"/>
              <w:keepLines w:val="0"/>
              <w:keepNext w:val="0"/>
              <w:pageBreakBefore w:val="0"/>
              <w:spacing w:line="240" w:lineRule="auto"/>
              <w:widowControl w:val="off"/>
              <w:rPr>
                <w:rFonts w:ascii="Arial" w:hAnsi="Arial" w:cs="Arial"/>
                <w:color w:val="auto"/>
                <w:sz w:val="24"/>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分）</w:t>
            </w:r>
            <w:r>
              <w:rPr>
                <w:color w:val="auto"/>
                <w:highlight w:val="none"/>
              </w:rPr>
            </w:r>
          </w:p>
        </w:tc>
        <w:tc>
          <w:tcPr>
            <w:tcW w:w="7598" w:type="dxa"/>
            <w:vAlign w:val="center"/>
            <w:textDirection w:val="lrTb"/>
            <w:noWrap w:val="false"/>
          </w:tcPr>
          <w:p>
            <w:pPr>
              <w:keepLines w:val="0"/>
              <w:keepNext w:val="0"/>
              <w:pageBreakBefore w:val="0"/>
              <w:spacing w:line="240" w:lineRule="auto"/>
              <w:widowControl w:val="off"/>
              <w:rPr>
                <w:rFonts w:hint="eastAsia" w:ascii="Arial" w:hAnsi="Arial" w:eastAsia="宋体" w:cs="Arial"/>
                <w:color w:val="auto"/>
                <w:sz w:val="24"/>
                <w:highlight w:val="none"/>
              </w:rPr>
            </w:pPr>
            <w:r>
              <w:rPr>
                <w:rFonts w:hint="eastAsia" w:ascii="宋体" w:hAnsi="宋体" w:eastAsia="宋体"/>
                <w:color w:val="auto"/>
                <w:szCs w:val="21"/>
                <w:highlight w:val="none"/>
              </w:rPr>
              <w:t xml:space="preserve">价格分采用低价优先法计算，即满足招标文件要求且投标价格最低的投标报价为评标基准价，其价格分为满分</w:t>
            </w:r>
            <w:r>
              <w:rPr>
                <w:rFonts w:hint="eastAsia" w:ascii="宋体" w:hAnsi="宋体"/>
                <w:color w:val="auto"/>
                <w:szCs w:val="21"/>
                <w:highlight w:val="none"/>
                <w:lang w:val="en-US" w:eastAsia="zh-CN"/>
              </w:rPr>
              <w:t xml:space="preserve">15</w:t>
            </w:r>
            <w:r>
              <w:rPr>
                <w:rFonts w:hint="eastAsia" w:ascii="宋体" w:hAnsi="宋体" w:eastAsia="宋体"/>
                <w:color w:val="auto"/>
                <w:szCs w:val="21"/>
                <w:highlight w:val="none"/>
              </w:rPr>
              <w:t xml:space="preserve">分。其他投标人的价格分按照下列公式计算，保留小数点后2位：投标报价得分=（评标基准价／投标报价）×</w:t>
            </w:r>
            <w:r>
              <w:rPr>
                <w:rFonts w:hint="eastAsia" w:ascii="宋体" w:hAnsi="宋体"/>
                <w:color w:val="auto"/>
                <w:szCs w:val="21"/>
                <w:highlight w:val="none"/>
                <w:lang w:val="en-US" w:eastAsia="zh-CN"/>
              </w:rPr>
              <w:t xml:space="preserve">15</w:t>
            </w:r>
            <w:r>
              <w:rPr>
                <w:rFonts w:hint="eastAsia" w:ascii="宋体" w:hAnsi="宋体" w:eastAsia="宋体"/>
                <w:color w:val="auto"/>
                <w:szCs w:val="21"/>
                <w:highlight w:val="none"/>
              </w:rPr>
              <w:t xml:space="preserve">。</w:t>
            </w:r>
            <w:r>
              <w:rPr>
                <w:color w:val="auto"/>
                <w:highlight w:val="none"/>
              </w:rPr>
            </w:r>
          </w:p>
        </w:tc>
      </w:tr>
      <w:tr>
        <w:trPr>
          <w:trHeight w:val="967"/>
        </w:trPr>
        <w:tc>
          <w:tcPr>
            <w:tcW w:w="1545" w:type="dxa"/>
            <w:vAlign w:val="center"/>
            <w:textDirection w:val="lrTb"/>
            <w:noWrap w:val="false"/>
          </w:tcPr>
          <w:p>
            <w:pPr>
              <w:jc w:val="cente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业绩</w:t>
            </w:r>
            <w:r>
              <w:rPr>
                <w:color w:val="auto"/>
                <w:highlight w:val="none"/>
              </w:rPr>
            </w:r>
          </w:p>
          <w:p>
            <w:pPr>
              <w:jc w:val="center"/>
              <w:keepLines w:val="0"/>
              <w:keepNext w:val="0"/>
              <w:pageBreakBefore w:val="0"/>
              <w:spacing w:line="240" w:lineRule="auto"/>
              <w:widowControl w:val="off"/>
              <w:rPr>
                <w:rFonts w:ascii="Arial" w:hAnsi="Arial" w:cs="Arial"/>
                <w:color w:val="auto"/>
                <w:sz w:val="24"/>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12</w:t>
            </w:r>
            <w:r>
              <w:rPr>
                <w:rFonts w:hint="eastAsia" w:ascii="宋体" w:hAnsi="宋体"/>
                <w:color w:val="auto"/>
                <w:szCs w:val="21"/>
                <w:highlight w:val="none"/>
              </w:rPr>
              <w:t xml:space="preserve">分）</w:t>
            </w:r>
            <w:r>
              <w:rPr>
                <w:color w:val="auto"/>
                <w:highlight w:val="none"/>
              </w:rPr>
            </w:r>
          </w:p>
        </w:tc>
        <w:tc>
          <w:tcPr>
            <w:tcW w:w="7598" w:type="dxa"/>
            <w:vAlign w:val="center"/>
            <w:textDirection w:val="lrTb"/>
            <w:noWrap w:val="false"/>
          </w:tcPr>
          <w:p>
            <w:pPr>
              <w:keepLines w:val="0"/>
              <w:keepNext w:val="0"/>
              <w:pageBreakBefore w:val="0"/>
              <w:spacing w:line="240" w:lineRule="auto"/>
              <w:widowControl w:val="off"/>
              <w:rPr>
                <w:rFonts w:ascii="Arial" w:hAnsi="Arial" w:cs="Arial"/>
                <w:color w:val="auto"/>
                <w:sz w:val="24"/>
                <w:highlight w:val="none"/>
              </w:rPr>
            </w:pPr>
            <w:r>
              <w:rPr>
                <w:rFonts w:hint="eastAsia" w:ascii="宋体" w:hAnsi="宋体"/>
                <w:color w:val="auto"/>
                <w:szCs w:val="21"/>
                <w:highlight w:val="none"/>
              </w:rPr>
              <w:t xml:space="preserve">自20</w:t>
            </w:r>
            <w:r>
              <w:rPr>
                <w:rFonts w:hint="eastAsia" w:ascii="宋体" w:hAnsi="宋体"/>
                <w:color w:val="auto"/>
                <w:szCs w:val="21"/>
                <w:highlight w:val="none"/>
                <w:lang w:val="en-US" w:eastAsia="zh-CN"/>
              </w:rPr>
              <w:t xml:space="preserve">20</w:t>
            </w:r>
            <w:r>
              <w:rPr>
                <w:rFonts w:hint="eastAsia" w:ascii="宋体" w:hAnsi="宋体"/>
                <w:color w:val="auto"/>
                <w:szCs w:val="21"/>
                <w:highlight w:val="none"/>
              </w:rPr>
              <w:t xml:space="preserve">年1月1日以来</w:t>
            </w:r>
            <w:r>
              <w:rPr>
                <w:rFonts w:hint="eastAsia" w:ascii="宋体" w:hAnsi="宋体"/>
                <w:color w:val="auto"/>
                <w:szCs w:val="21"/>
                <w:highlight w:val="none"/>
                <w:lang w:eastAsia="zh-CN"/>
              </w:rPr>
              <w:t xml:space="preserve">（以合同签订时间为准）</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投标人承担过类似维保项目业绩的，有一个得3分，最高得12分。（提供业绩合同原件扫描件并加盖CA电子签章</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未提供或提供不全不得分。）</w:t>
            </w:r>
            <w:r>
              <w:rPr>
                <w:color w:val="auto"/>
                <w:highlight w:val="none"/>
              </w:rPr>
            </w:r>
          </w:p>
        </w:tc>
      </w:tr>
      <w:tr>
        <w:trPr>
          <w:trHeight w:val="777"/>
        </w:trPr>
        <w:tc>
          <w:tcPr>
            <w:tcW w:w="1545" w:type="dxa"/>
            <w:vAlign w:val="center"/>
            <w:textDirection w:val="lrTb"/>
            <w:noWrap w:val="false"/>
          </w:tcPr>
          <w:p>
            <w:pPr>
              <w:jc w:val="center"/>
              <w:keepLines w:val="0"/>
              <w:keepNext w:val="0"/>
              <w:pageBreakBefore w:val="0"/>
              <w:spacing w:line="240" w:lineRule="auto"/>
              <w:widowControl w:val="off"/>
              <w:rPr>
                <w:rFonts w:hint="eastAsia" w:ascii="Arial" w:hAnsi="Arial" w:cs="Arial"/>
                <w:color w:val="auto"/>
                <w:sz w:val="24"/>
                <w:highlight w:val="none"/>
              </w:rPr>
            </w:pPr>
            <w:r>
              <w:rPr>
                <w:rFonts w:hint="eastAsia" w:ascii="宋体" w:hAnsi="宋体"/>
                <w:color w:val="auto"/>
                <w:szCs w:val="21"/>
                <w:highlight w:val="none"/>
                <w:lang w:val="en-US" w:eastAsia="zh-CN"/>
              </w:rPr>
              <w:t xml:space="preserve">人员       </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20分</w:t>
            </w:r>
            <w:r>
              <w:rPr>
                <w:rFonts w:hint="eastAsia" w:ascii="宋体" w:hAnsi="宋体"/>
                <w:color w:val="auto"/>
                <w:szCs w:val="21"/>
                <w:highlight w:val="none"/>
                <w:lang w:eastAsia="zh-CN"/>
              </w:rPr>
              <w:t xml:space="preserve">）</w:t>
            </w:r>
            <w:r>
              <w:rPr>
                <w:color w:val="auto"/>
                <w:highlight w:val="none"/>
              </w:rPr>
            </w:r>
          </w:p>
        </w:tc>
        <w:tc>
          <w:tcPr>
            <w:tcW w:w="7598" w:type="dxa"/>
            <w:vAlign w:val="center"/>
            <w:textDirection w:val="lrTb"/>
            <w:noWrap w:val="false"/>
          </w:tcPr>
          <w:p>
            <w:pPr>
              <w:numPr>
                <w:ilvl w:val="0"/>
                <w:numId w:val="8"/>
              </w:numPr>
              <w:keepLines w:val="0"/>
              <w:keepNext w:val="0"/>
              <w:pageBreakBefore w:val="0"/>
              <w:spacing w:line="240" w:lineRule="auto"/>
              <w:widowControl w:val="off"/>
              <w:rPr>
                <w:rFonts w:hint="eastAsia" w:ascii="宋体" w:hAnsi="宋体"/>
                <w:color w:val="auto"/>
                <w:szCs w:val="21"/>
                <w:highlight w:val="none"/>
              </w:rPr>
            </w:pPr>
            <w:r>
              <w:rPr>
                <w:color w:val="auto"/>
                <w:highlight w:val="none"/>
              </w:rPr>
            </w:r>
            <w:bookmarkStart w:id="299" w:name="_GoBack"/>
            <w:r>
              <w:rPr>
                <w:rFonts w:hint="eastAsia" w:ascii="宋体" w:hAnsi="宋体"/>
                <w:color w:val="auto"/>
                <w:szCs w:val="21"/>
                <w:highlight w:val="none"/>
                <w:lang w:val="en-US" w:eastAsia="zh-CN"/>
              </w:rPr>
              <w:t xml:space="preserve">项目组成员具有工程师及以上职称的，每提供一个得2分，最高得10分；</w:t>
            </w:r>
            <w:r>
              <w:rPr>
                <w:color w:val="auto"/>
                <w:highlight w:val="none"/>
              </w:rPr>
            </w:r>
          </w:p>
          <w:p>
            <w:pPr>
              <w:numPr>
                <w:ilvl w:val="0"/>
                <w:numId w:val="0"/>
              </w:numPr>
              <w:keepLines w:val="0"/>
              <w:keepNext w:val="0"/>
              <w:pageBreakBefore w:val="0"/>
              <w:spacing w:line="240" w:lineRule="auto"/>
              <w:widowControl w:val="off"/>
              <w:rPr>
                <w:rFonts w:hint="eastAsia" w:ascii="Arial" w:hAnsi="Arial" w:eastAsia="宋体" w:cs="Arial"/>
                <w:color w:val="auto"/>
                <w:sz w:val="24"/>
                <w:highlight w:val="none"/>
              </w:rPr>
            </w:pPr>
            <w:r>
              <w:rPr>
                <w:rFonts w:hint="eastAsia" w:ascii="宋体" w:hAnsi="宋体"/>
                <w:color w:val="auto"/>
                <w:szCs w:val="21"/>
                <w:highlight w:val="none"/>
                <w:lang w:val="en-US" w:eastAsia="zh-CN"/>
              </w:rPr>
              <w:t xml:space="preserve">2、项目组成员具有特种作业证的，每提供一个得2分，最高得10分；本项最高得20分。（提供相关证书原件扫描件、投标供应商为其缴纳的近三个月（2024年3月至2024年5月）的社保证明材料原件扫描件并加盖CA电子签章，未提供或提供不全不得分。）</w:t>
            </w:r>
            <w:bookmarkEnd w:id="299"/>
            <w:r>
              <w:rPr>
                <w:color w:val="auto"/>
                <w:highlight w:val="none"/>
              </w:rPr>
            </w:r>
            <w:r>
              <w:rPr>
                <w:color w:val="auto"/>
                <w:highlight w:val="none"/>
              </w:rPr>
            </w:r>
          </w:p>
        </w:tc>
      </w:tr>
      <w:tr>
        <w:trPr>
          <w:trHeight w:val="567"/>
        </w:trPr>
        <w:tc>
          <w:tcPr>
            <w:tcW w:w="1545" w:type="dxa"/>
            <w:vAlign w:val="center"/>
            <w:vMerge w:val="restart"/>
            <w:textDirection w:val="lrTb"/>
            <w:noWrap w:val="false"/>
          </w:tcPr>
          <w:p>
            <w:pPr>
              <w:jc w:val="center"/>
              <w:keepLines w:val="0"/>
              <w:keepNext w:val="0"/>
              <w:pageBreakBefore w:val="0"/>
              <w:spacing w:line="240" w:lineRule="auto"/>
              <w:widowControl w:val="off"/>
              <w:rPr>
                <w:rFonts w:hint="default" w:ascii="Arial" w:hAnsi="Arial" w:eastAsia="宋体" w:cs="Arial"/>
                <w:color w:val="auto"/>
                <w:sz w:val="24"/>
                <w:highlight w:val="none"/>
              </w:rPr>
            </w:pPr>
            <w:r>
              <w:rPr>
                <w:rFonts w:hint="eastAsia" w:ascii="宋体" w:hAnsi="宋体"/>
                <w:color w:val="auto"/>
                <w:szCs w:val="21"/>
                <w:highlight w:val="none"/>
                <w:lang w:eastAsia="zh-CN"/>
              </w:rPr>
              <w:t xml:space="preserve">实施方案</w:t>
            </w: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53分）</w:t>
            </w:r>
            <w:r>
              <w:rPr>
                <w:color w:val="auto"/>
                <w:highlight w:val="none"/>
              </w:rPr>
            </w:r>
          </w:p>
        </w:tc>
        <w:tc>
          <w:tcPr>
            <w:tcW w:w="7598" w:type="dxa"/>
            <w:vAlign w:val="top"/>
            <w:textDirection w:val="lrTb"/>
            <w:noWrap w:val="false"/>
          </w:tcPr>
          <w:p>
            <w:pP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1、接收与调试方案（12分）</w:t>
            </w:r>
            <w:r>
              <w:rPr>
                <w:color w:val="auto"/>
                <w:highlight w:val="none"/>
              </w:rPr>
            </w:r>
          </w:p>
          <w:p>
            <w:pP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投标单位对本项目污水处理设施的实际情况，提供有针对性的接收与调试方案：方案内容全面、具体、科学调试方案合理、针对性强的，得12分；方案内容较全面、具体、针对性一般的，得9分；方案内容简单、概况详细说明的，得5分；其他不得分。</w:t>
            </w:r>
            <w:r>
              <w:rPr>
                <w:color w:val="auto"/>
                <w:highlight w:val="none"/>
              </w:rPr>
            </w:r>
          </w:p>
        </w:tc>
      </w:tr>
      <w:tr>
        <w:trPr>
          <w:trHeight w:val="444"/>
        </w:trPr>
        <w:tc>
          <w:tcPr>
            <w:tcW w:w="154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r>
            <w:r/>
          </w:p>
        </w:tc>
        <w:tc>
          <w:tcPr>
            <w:tcW w:w="7598" w:type="dxa"/>
            <w:vAlign w:val="top"/>
            <w:textDirection w:val="lrTb"/>
            <w:noWrap w:val="false"/>
          </w:tcPr>
          <w:p>
            <w:pP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2、对项目设施的日常运行管理与维护方案（12分）</w:t>
            </w:r>
            <w:r>
              <w:rPr>
                <w:color w:val="auto"/>
                <w:highlight w:val="none"/>
              </w:rPr>
            </w:r>
          </w:p>
          <w:p>
            <w:pP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投标单位根据污水处理站技术工艺的特点并结合其他试剂情况，编制运营期内对污水处理站项目设施的日常运行管理方案；</w:t>
            </w:r>
            <w:r>
              <w:rPr>
                <w:color w:val="auto"/>
                <w:highlight w:val="none"/>
              </w:rPr>
            </w:r>
          </w:p>
          <w:p>
            <w:pP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方案完整，可行性和专业性强得12分；方案较完整，可行性和专业性较强得9分；方案完整性和可行性一般得5分；无方案不得分。</w:t>
            </w:r>
            <w:r>
              <w:rPr>
                <w:color w:val="auto"/>
                <w:highlight w:val="none"/>
              </w:rPr>
            </w:r>
          </w:p>
        </w:tc>
      </w:tr>
      <w:tr>
        <w:trPr>
          <w:trHeight w:val="567"/>
        </w:trPr>
        <w:tc>
          <w:tcPr>
            <w:tcW w:w="154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r>
            <w:r/>
          </w:p>
        </w:tc>
        <w:tc>
          <w:tcPr>
            <w:tcW w:w="7598" w:type="dxa"/>
            <w:vAlign w:val="top"/>
            <w:textDirection w:val="lrTb"/>
            <w:noWrap w:val="false"/>
          </w:tcPr>
          <w:p>
            <w:pP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3、运营期内各类突发事件的应急方案。（10分）</w:t>
            </w:r>
            <w:r>
              <w:rPr>
                <w:color w:val="auto"/>
                <w:highlight w:val="none"/>
              </w:rPr>
            </w:r>
          </w:p>
          <w:p>
            <w:pP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包括：如何建立应对和处理突发事件如战争、自然灾害、疫情等的应急快速反应机制等方面的考虑；方案全面、具体、科学合理、可操作性强的，得10分；方案较全面、具体、科学合理、可操作性一般的，得7分；方案不够详实、具体、科学合理、可操作性差的，得3分；其他不得分。</w:t>
            </w:r>
            <w:r>
              <w:rPr>
                <w:color w:val="auto"/>
                <w:highlight w:val="none"/>
              </w:rPr>
            </w:r>
          </w:p>
        </w:tc>
      </w:tr>
      <w:tr>
        <w:trPr>
          <w:trHeight w:val="883"/>
        </w:trPr>
        <w:tc>
          <w:tcPr>
            <w:tcW w:w="154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r>
            <w:bookmarkEnd w:id="226"/>
            <w:r/>
            <w:r/>
          </w:p>
        </w:tc>
        <w:tc>
          <w:tcPr>
            <w:tcW w:w="7598" w:type="dxa"/>
            <w:vAlign w:val="top"/>
            <w:textDirection w:val="lrTb"/>
            <w:noWrap w:val="false"/>
          </w:tcPr>
          <w:p>
            <w:pP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4、运营期内设备及系统检修、技术档案建立。（10分）</w:t>
            </w:r>
            <w:r>
              <w:rPr>
                <w:color w:val="auto"/>
                <w:highlight w:val="none"/>
              </w:rPr>
            </w:r>
          </w:p>
          <w:p>
            <w:pP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检修方案完善可行得10分；检修方案较为完善可行得7分；检修方案有一定可行性得3分；系统检修方案较差或无不得分。</w:t>
            </w:r>
            <w:r>
              <w:rPr>
                <w:color w:val="auto"/>
                <w:highlight w:val="none"/>
              </w:rPr>
            </w:r>
          </w:p>
        </w:tc>
      </w:tr>
      <w:tr>
        <w:trPr>
          <w:trHeight w:val="1173"/>
        </w:trPr>
        <w:tc>
          <w:tcPr>
            <w:tcW w:w="154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r>
            <w:r/>
          </w:p>
        </w:tc>
        <w:tc>
          <w:tcPr>
            <w:tcW w:w="7598" w:type="dxa"/>
            <w:vAlign w:val="top"/>
            <w:textDirection w:val="lrTb"/>
            <w:noWrap w:val="false"/>
          </w:tcPr>
          <w:p>
            <w:pP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5、运营期满时项目设施无偿移交给采购方的移交方案：（9分）</w:t>
            </w:r>
            <w:r>
              <w:rPr>
                <w:color w:val="auto"/>
                <w:highlight w:val="none"/>
              </w:rPr>
            </w:r>
          </w:p>
          <w:p>
            <w:pPr>
              <w:keepLines w:val="0"/>
              <w:keepNext w:val="0"/>
              <w:pageBreakBefore w:val="0"/>
              <w:spacing w:line="24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投标单位应根据本项目污水处理站工艺特点和其他实际情况编制初步的项目移交方案，含：移交时间、程序以及移交内容安排，对移交时设施运行状态指标的保证性承诺和移交后的保证措施，费用等；方案完整，可行性和专业性强得9分；方案较完整，可行性和专业性较强得6分；方案完整性和可行性一般得3分；无方案不得分。</w:t>
            </w:r>
            <w:r>
              <w:rPr>
                <w:color w:val="auto"/>
                <w:highlight w:val="none"/>
              </w:rPr>
            </w:r>
          </w:p>
        </w:tc>
      </w:tr>
    </w:tbl>
    <w:p>
      <w:pPr>
        <w:pStyle w:val="1132"/>
        <w:jc w:val="left"/>
        <w:spacing w:before="0" w:after="0" w:line="440" w:lineRule="exact"/>
        <w:rPr>
          <w:rFonts w:hAnsi="宋体"/>
          <w:color w:val="auto"/>
          <w:sz w:val="22"/>
          <w:szCs w:val="22"/>
          <w:highlight w:val="none"/>
        </w:rPr>
      </w:pPr>
      <w:r>
        <w:rPr>
          <w:rFonts w:hAnsi="宋体"/>
          <w:color w:val="auto"/>
          <w:sz w:val="22"/>
          <w:szCs w:val="22"/>
          <w:highlight w:val="none"/>
        </w:rPr>
      </w:r>
      <w:r>
        <w:rPr>
          <w:color w:val="auto"/>
          <w:highlight w:val="none"/>
        </w:rPr>
      </w:r>
    </w:p>
    <w:p>
      <w:pPr>
        <w:rPr>
          <w:rFonts w:hAnsi="宋体"/>
          <w:color w:val="auto"/>
          <w:sz w:val="22"/>
          <w:szCs w:val="22"/>
          <w:highlight w:val="none"/>
        </w:rPr>
      </w:pPr>
      <w:r>
        <w:rPr>
          <w:rFonts w:hAnsi="宋体"/>
          <w:color w:val="auto"/>
          <w:sz w:val="22"/>
          <w:szCs w:val="22"/>
          <w:highlight w:val="none"/>
        </w:rPr>
      </w:r>
      <w:r>
        <w:rPr>
          <w:color w:val="auto"/>
          <w:highlight w:val="none"/>
        </w:rPr>
      </w:r>
    </w:p>
    <w:p>
      <w:pPr>
        <w:pStyle w:val="918"/>
        <w:rPr>
          <w:rFonts w:hAnsi="宋体"/>
          <w:color w:val="auto"/>
          <w:sz w:val="22"/>
          <w:szCs w:val="22"/>
          <w:highlight w:val="none"/>
        </w:rPr>
      </w:pPr>
      <w:r>
        <w:rPr>
          <w:rFonts w:hAnsi="宋体"/>
          <w:color w:val="auto"/>
          <w:sz w:val="22"/>
          <w:szCs w:val="22"/>
          <w:highlight w:val="none"/>
        </w:rPr>
      </w:r>
      <w:r>
        <w:rPr>
          <w:color w:val="auto"/>
          <w:highlight w:val="none"/>
        </w:rPr>
      </w:r>
    </w:p>
    <w:p>
      <w:pPr>
        <w:pStyle w:val="918"/>
        <w:rPr>
          <w:rFonts w:hAnsi="宋体"/>
          <w:color w:val="auto"/>
          <w:sz w:val="22"/>
          <w:szCs w:val="22"/>
          <w:highlight w:val="none"/>
        </w:rPr>
      </w:pPr>
      <w:r>
        <w:rPr>
          <w:rFonts w:hAnsi="宋体"/>
          <w:color w:val="auto"/>
          <w:sz w:val="22"/>
          <w:szCs w:val="22"/>
          <w:highlight w:val="none"/>
        </w:rPr>
      </w:r>
      <w:r>
        <w:rPr>
          <w:color w:val="auto"/>
          <w:highlight w:val="none"/>
        </w:rPr>
      </w:r>
    </w:p>
    <w:p>
      <w:pPr>
        <w:pStyle w:val="1132"/>
        <w:jc w:val="left"/>
        <w:spacing w:before="0" w:after="0" w:line="440" w:lineRule="exact"/>
        <w:rPr>
          <w:rFonts w:hAnsi="宋体"/>
          <w:color w:val="auto"/>
          <w:sz w:val="22"/>
          <w:szCs w:val="22"/>
          <w:highlight w:val="none"/>
        </w:rPr>
      </w:pPr>
      <w:r>
        <w:rPr>
          <w:rFonts w:hAnsi="宋体"/>
          <w:color w:val="auto"/>
          <w:sz w:val="22"/>
          <w:szCs w:val="22"/>
          <w:highlight w:val="none"/>
        </w:rPr>
      </w:r>
      <w:r>
        <w:rPr>
          <w:color w:val="auto"/>
          <w:highlight w:val="none"/>
        </w:rPr>
      </w:r>
    </w:p>
    <w:p>
      <w:pPr>
        <w:pStyle w:val="1132"/>
        <w:jc w:val="left"/>
        <w:spacing w:before="0" w:after="0" w:line="440" w:lineRule="exact"/>
        <w:rPr>
          <w:rFonts w:hAnsi="宋体"/>
          <w:color w:val="auto"/>
          <w:sz w:val="22"/>
          <w:szCs w:val="22"/>
          <w:highlight w:val="none"/>
        </w:rPr>
      </w:pPr>
      <w:r>
        <w:rPr>
          <w:rFonts w:hAnsi="宋体"/>
          <w:color w:val="auto"/>
          <w:sz w:val="22"/>
          <w:szCs w:val="22"/>
          <w:highlight w:val="none"/>
        </w:rPr>
        <w:t xml:space="preserve">1. 评标方法</w:t>
      </w:r>
      <w:bookmarkEnd w:id="218"/>
      <w:r>
        <w:rPr>
          <w:color w:val="auto"/>
          <w:highlight w:val="none"/>
        </w:rPr>
      </w:r>
      <w:bookmarkEnd w:id="219"/>
      <w:r>
        <w:rPr>
          <w:color w:val="auto"/>
          <w:highlight w:val="none"/>
        </w:rPr>
      </w:r>
      <w:bookmarkEnd w:id="220"/>
      <w:r>
        <w:rPr>
          <w:color w:val="auto"/>
          <w:highlight w:val="none"/>
        </w:rPr>
      </w:r>
      <w:bookmarkEnd w:id="221"/>
      <w:r>
        <w:rPr>
          <w:color w:val="auto"/>
          <w:highlight w:val="none"/>
        </w:rPr>
      </w:r>
      <w:bookmarkEnd w:id="222"/>
      <w:r>
        <w:rPr>
          <w:color w:val="auto"/>
          <w:highlight w:val="none"/>
        </w:rPr>
      </w:r>
      <w:bookmarkEnd w:id="223"/>
      <w:r>
        <w:rPr>
          <w:color w:val="auto"/>
          <w:highlight w:val="none"/>
        </w:rPr>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rPr>
          <w:color w:val="auto"/>
          <w:highlight w:val="none"/>
        </w:rPr>
      </w:r>
    </w:p>
    <w:p>
      <w:pPr>
        <w:pStyle w:val="1132"/>
        <w:jc w:val="left"/>
        <w:spacing w:before="0" w:after="0" w:line="440" w:lineRule="exact"/>
        <w:rPr>
          <w:rFonts w:hAnsi="宋体"/>
          <w:color w:val="auto"/>
          <w:sz w:val="22"/>
          <w:szCs w:val="22"/>
          <w:highlight w:val="none"/>
        </w:rPr>
      </w:pPr>
      <w:r>
        <w:rPr>
          <w:color w:val="auto"/>
          <w:highlight w:val="none"/>
        </w:rPr>
      </w:r>
      <w:bookmarkStart w:id="227" w:name="_Toc3856"/>
      <w:r>
        <w:rPr>
          <w:color w:val="auto"/>
          <w:highlight w:val="none"/>
        </w:rPr>
      </w:r>
      <w:bookmarkStart w:id="228" w:name="_Toc1971"/>
      <w:r>
        <w:rPr>
          <w:color w:val="auto"/>
          <w:highlight w:val="none"/>
        </w:rPr>
      </w:r>
      <w:bookmarkStart w:id="229" w:name="_Toc2712"/>
      <w:r>
        <w:rPr>
          <w:color w:val="auto"/>
          <w:highlight w:val="none"/>
        </w:rPr>
      </w:r>
      <w:bookmarkStart w:id="230" w:name="_Toc16894"/>
      <w:r>
        <w:rPr>
          <w:color w:val="auto"/>
          <w:highlight w:val="none"/>
        </w:rPr>
      </w:r>
      <w:bookmarkStart w:id="231" w:name="_Toc234382665"/>
      <w:r>
        <w:rPr>
          <w:color w:val="auto"/>
          <w:highlight w:val="none"/>
        </w:rPr>
      </w:r>
      <w:bookmarkStart w:id="232" w:name="_Toc8611"/>
      <w:r>
        <w:rPr>
          <w:rFonts w:hAnsi="宋体"/>
          <w:color w:val="auto"/>
          <w:sz w:val="22"/>
          <w:szCs w:val="22"/>
          <w:highlight w:val="none"/>
        </w:rPr>
        <w:t xml:space="preserve">2. 评审标准</w:t>
      </w:r>
      <w:bookmarkEnd w:id="227"/>
      <w:r>
        <w:rPr>
          <w:color w:val="auto"/>
          <w:highlight w:val="none"/>
        </w:rPr>
      </w:r>
      <w:bookmarkEnd w:id="228"/>
      <w:r>
        <w:rPr>
          <w:color w:val="auto"/>
          <w:highlight w:val="none"/>
        </w:rPr>
      </w:r>
      <w:bookmarkEnd w:id="229"/>
      <w:r>
        <w:rPr>
          <w:color w:val="auto"/>
          <w:highlight w:val="none"/>
        </w:rPr>
      </w:r>
      <w:bookmarkEnd w:id="230"/>
      <w:r>
        <w:rPr>
          <w:color w:val="auto"/>
          <w:highlight w:val="none"/>
        </w:rPr>
      </w:r>
      <w:bookmarkEnd w:id="231"/>
      <w:r>
        <w:rPr>
          <w:color w:val="auto"/>
          <w:highlight w:val="none"/>
        </w:rPr>
      </w:r>
      <w:bookmarkEnd w:id="232"/>
      <w:r>
        <w:rPr>
          <w:color w:val="auto"/>
          <w:highlight w:val="none"/>
        </w:rPr>
      </w:r>
      <w:r>
        <w:rPr>
          <w:color w:val="auto"/>
          <w:highlight w:val="none"/>
        </w:rPr>
      </w:r>
    </w:p>
    <w:p>
      <w:pPr>
        <w:pStyle w:val="1132"/>
        <w:jc w:val="left"/>
        <w:spacing w:before="0" w:after="0" w:line="440" w:lineRule="exact"/>
        <w:rPr>
          <w:rFonts w:hAnsi="宋体"/>
          <w:color w:val="auto"/>
          <w:sz w:val="22"/>
          <w:szCs w:val="22"/>
          <w:highlight w:val="none"/>
        </w:rPr>
      </w:pPr>
      <w:r>
        <w:rPr>
          <w:color w:val="auto"/>
          <w:highlight w:val="none"/>
        </w:rPr>
      </w:r>
      <w:bookmarkStart w:id="233" w:name="_Toc234382666"/>
      <w:r>
        <w:rPr>
          <w:color w:val="auto"/>
          <w:highlight w:val="none"/>
        </w:rPr>
      </w:r>
      <w:bookmarkStart w:id="234" w:name="_Toc9878"/>
      <w:r>
        <w:rPr>
          <w:color w:val="auto"/>
          <w:highlight w:val="none"/>
        </w:rPr>
      </w:r>
      <w:bookmarkStart w:id="235" w:name="_Toc6889"/>
      <w:r>
        <w:rPr>
          <w:color w:val="auto"/>
          <w:highlight w:val="none"/>
        </w:rPr>
      </w:r>
      <w:bookmarkStart w:id="236" w:name="_Toc14163"/>
      <w:r>
        <w:rPr>
          <w:color w:val="auto"/>
          <w:highlight w:val="none"/>
        </w:rPr>
      </w:r>
      <w:bookmarkStart w:id="237" w:name="_Toc10908"/>
      <w:r>
        <w:rPr>
          <w:color w:val="auto"/>
          <w:highlight w:val="none"/>
        </w:rPr>
      </w:r>
      <w:bookmarkStart w:id="238" w:name="_Toc3536"/>
      <w:r>
        <w:rPr>
          <w:rFonts w:hAnsi="宋体"/>
          <w:color w:val="auto"/>
          <w:sz w:val="22"/>
          <w:szCs w:val="22"/>
          <w:highlight w:val="none"/>
        </w:rPr>
        <w:t xml:space="preserve">2.</w:t>
      </w:r>
      <w:bookmarkEnd w:id="233"/>
      <w:r>
        <w:rPr>
          <w:color w:val="auto"/>
          <w:highlight w:val="none"/>
        </w:rPr>
      </w:r>
      <w:bookmarkEnd w:id="234"/>
      <w:r>
        <w:rPr>
          <w:rFonts w:hint="eastAsia" w:hAnsi="宋体"/>
          <w:color w:val="auto"/>
          <w:sz w:val="22"/>
          <w:szCs w:val="22"/>
          <w:highlight w:val="none"/>
        </w:rPr>
        <w:t xml:space="preserve">2 资格评审标准</w:t>
      </w:r>
      <w:bookmarkEnd w:id="235"/>
      <w:r>
        <w:rPr>
          <w:color w:val="auto"/>
          <w:highlight w:val="none"/>
        </w:rPr>
      </w:r>
      <w:bookmarkEnd w:id="236"/>
      <w:r>
        <w:rPr>
          <w:color w:val="auto"/>
          <w:highlight w:val="none"/>
        </w:rPr>
      </w:r>
      <w:r>
        <w:rPr>
          <w:color w:val="auto"/>
          <w:highlight w:val="none"/>
        </w:rPr>
      </w:r>
    </w:p>
    <w:p>
      <w:pPr>
        <w:pStyle w:val="1132"/>
        <w:ind w:firstLine="440"/>
        <w:jc w:val="left"/>
        <w:spacing w:before="0" w:after="0" w:line="440" w:lineRule="exact"/>
        <w:rPr>
          <w:rFonts w:hAnsi="宋体"/>
          <w:b w:val="0"/>
          <w:bCs w:val="0"/>
          <w:color w:val="auto"/>
          <w:sz w:val="22"/>
          <w:szCs w:val="22"/>
          <w:highlight w:val="none"/>
        </w:rPr>
      </w:pPr>
      <w:r>
        <w:rPr>
          <w:color w:val="auto"/>
          <w:highlight w:val="none"/>
        </w:rPr>
      </w:r>
      <w:bookmarkStart w:id="239" w:name="_Toc19264"/>
      <w:r>
        <w:rPr>
          <w:color w:val="auto"/>
          <w:highlight w:val="none"/>
        </w:rPr>
      </w:r>
      <w:bookmarkStart w:id="240" w:name="_Toc5344"/>
      <w:r>
        <w:rPr>
          <w:rFonts w:hint="eastAsia" w:hAnsi="宋体"/>
          <w:b w:val="0"/>
          <w:bCs w:val="0"/>
          <w:color w:val="auto"/>
          <w:sz w:val="22"/>
          <w:szCs w:val="22"/>
          <w:highlight w:val="none"/>
        </w:rPr>
        <w:t xml:space="preserve">2.2.1资格评审标准：</w:t>
      </w:r>
      <w:r>
        <w:rPr>
          <w:rFonts w:hAnsi="宋体"/>
          <w:b w:val="0"/>
          <w:bCs w:val="0"/>
          <w:color w:val="auto"/>
          <w:sz w:val="22"/>
          <w:highlight w:val="none"/>
        </w:rPr>
        <w:t xml:space="preserve">见评标办法前附表</w:t>
      </w:r>
      <w:r>
        <w:rPr>
          <w:rFonts w:hint="eastAsia" w:hAnsi="宋体"/>
          <w:b w:val="0"/>
          <w:bCs w:val="0"/>
          <w:color w:val="auto"/>
          <w:sz w:val="22"/>
          <w:highlight w:val="none"/>
        </w:rPr>
        <w:t xml:space="preserve">。</w:t>
      </w:r>
      <w:bookmarkEnd w:id="239"/>
      <w:r>
        <w:rPr>
          <w:color w:val="auto"/>
          <w:highlight w:val="none"/>
        </w:rPr>
      </w:r>
      <w:bookmarkEnd w:id="240"/>
      <w:r>
        <w:rPr>
          <w:color w:val="auto"/>
          <w:highlight w:val="none"/>
        </w:rPr>
      </w:r>
      <w:r>
        <w:rPr>
          <w:color w:val="auto"/>
          <w:highlight w:val="none"/>
        </w:rPr>
      </w:r>
    </w:p>
    <w:p>
      <w:pPr>
        <w:pStyle w:val="1132"/>
        <w:jc w:val="left"/>
        <w:spacing w:before="0" w:after="0" w:line="440" w:lineRule="exact"/>
        <w:rPr>
          <w:rFonts w:hAnsi="宋体"/>
          <w:color w:val="auto"/>
          <w:sz w:val="22"/>
          <w:szCs w:val="22"/>
          <w:highlight w:val="none"/>
        </w:rPr>
      </w:pPr>
      <w:r>
        <w:rPr>
          <w:color w:val="auto"/>
          <w:highlight w:val="none"/>
        </w:rPr>
      </w:r>
      <w:bookmarkStart w:id="241" w:name="_Toc13998"/>
      <w:r>
        <w:rPr>
          <w:color w:val="auto"/>
          <w:highlight w:val="none"/>
        </w:rPr>
      </w:r>
      <w:bookmarkStart w:id="242" w:name="_Toc21442"/>
      <w:r>
        <w:rPr>
          <w:rFonts w:hint="eastAsia" w:hAnsi="宋体"/>
          <w:color w:val="auto"/>
          <w:sz w:val="22"/>
          <w:szCs w:val="22"/>
          <w:highlight w:val="none"/>
        </w:rPr>
        <w:t xml:space="preserve">2.3 符合性评审标准</w:t>
      </w:r>
      <w:bookmarkEnd w:id="237"/>
      <w:r>
        <w:rPr>
          <w:color w:val="auto"/>
          <w:highlight w:val="none"/>
        </w:rPr>
      </w:r>
      <w:bookmarkEnd w:id="238"/>
      <w:r>
        <w:rPr>
          <w:color w:val="auto"/>
          <w:highlight w:val="none"/>
        </w:rPr>
      </w:r>
      <w:bookmarkEnd w:id="241"/>
      <w:r>
        <w:rPr>
          <w:color w:val="auto"/>
          <w:highlight w:val="none"/>
        </w:rPr>
      </w:r>
      <w:bookmarkEnd w:id="242"/>
      <w:r>
        <w:rPr>
          <w:color w:val="auto"/>
          <w:highlight w:val="none"/>
        </w:rPr>
      </w:r>
      <w:r>
        <w:rPr>
          <w:color w:val="auto"/>
          <w:highlight w:val="none"/>
        </w:rP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rPr>
        <w:t xml:space="preserve">3</w:t>
      </w:r>
      <w:r>
        <w:rPr>
          <w:rFonts w:ascii="宋体" w:hAnsi="宋体"/>
          <w:color w:val="auto"/>
          <w:sz w:val="22"/>
          <w:highlight w:val="none"/>
        </w:rPr>
        <w:t xml:space="preserve">.</w:t>
      </w:r>
      <w:r>
        <w:rPr>
          <w:rFonts w:hint="eastAsia" w:ascii="宋体" w:hAnsi="宋体"/>
          <w:color w:val="auto"/>
          <w:sz w:val="22"/>
          <w:highlight w:val="none"/>
        </w:rPr>
        <w:t xml:space="preserve">1符合性检查标准：</w:t>
      </w:r>
      <w:r>
        <w:rPr>
          <w:rFonts w:ascii="宋体" w:hAnsi="宋体"/>
          <w:color w:val="auto"/>
          <w:sz w:val="22"/>
          <w:highlight w:val="none"/>
        </w:rPr>
        <w:t xml:space="preserve">见评标办法前附表。</w:t>
      </w:r>
      <w:r>
        <w:rPr>
          <w:color w:val="auto"/>
          <w:highlight w:val="none"/>
        </w:rPr>
      </w:r>
    </w:p>
    <w:p>
      <w:pPr>
        <w:pStyle w:val="1132"/>
        <w:jc w:val="left"/>
        <w:spacing w:before="0" w:after="0" w:line="440" w:lineRule="exact"/>
        <w:rPr>
          <w:rFonts w:hAnsi="宋体"/>
          <w:color w:val="auto"/>
          <w:sz w:val="22"/>
          <w:szCs w:val="22"/>
          <w:highlight w:val="none"/>
        </w:rPr>
      </w:pPr>
      <w:r>
        <w:rPr>
          <w:color w:val="auto"/>
          <w:highlight w:val="none"/>
        </w:rPr>
      </w:r>
      <w:bookmarkStart w:id="243" w:name="_Toc29235"/>
      <w:r>
        <w:rPr>
          <w:color w:val="auto"/>
          <w:highlight w:val="none"/>
        </w:rPr>
      </w:r>
      <w:bookmarkStart w:id="244" w:name="_Toc5456"/>
      <w:r>
        <w:rPr>
          <w:color w:val="auto"/>
          <w:highlight w:val="none"/>
        </w:rPr>
      </w:r>
      <w:bookmarkStart w:id="245" w:name="_Toc12497"/>
      <w:r>
        <w:rPr>
          <w:color w:val="auto"/>
          <w:highlight w:val="none"/>
        </w:rPr>
      </w:r>
      <w:bookmarkStart w:id="246" w:name="_Toc28188"/>
      <w:r>
        <w:rPr>
          <w:color w:val="auto"/>
          <w:highlight w:val="none"/>
        </w:rPr>
      </w:r>
      <w:bookmarkStart w:id="247" w:name="_Toc23546"/>
      <w:r>
        <w:rPr>
          <w:color w:val="auto"/>
          <w:highlight w:val="none"/>
        </w:rPr>
      </w:r>
      <w:bookmarkStart w:id="248" w:name="_Toc234382667"/>
      <w:r>
        <w:rPr>
          <w:rFonts w:hAnsi="宋体"/>
          <w:color w:val="auto"/>
          <w:sz w:val="22"/>
          <w:szCs w:val="22"/>
          <w:highlight w:val="none"/>
        </w:rPr>
        <w:t xml:space="preserve">2.</w:t>
      </w:r>
      <w:r>
        <w:rPr>
          <w:rFonts w:hint="eastAsia" w:hAnsi="宋体"/>
          <w:color w:val="auto"/>
          <w:sz w:val="22"/>
          <w:szCs w:val="22"/>
          <w:highlight w:val="none"/>
        </w:rPr>
        <w:t xml:space="preserve">4</w:t>
      </w:r>
      <w:r>
        <w:rPr>
          <w:rFonts w:hAnsi="宋体"/>
          <w:color w:val="auto"/>
          <w:sz w:val="22"/>
          <w:szCs w:val="22"/>
          <w:highlight w:val="none"/>
        </w:rPr>
        <w:t xml:space="preserve"> 分值构成与评分标准</w:t>
      </w:r>
      <w:bookmarkEnd w:id="243"/>
      <w:r>
        <w:rPr>
          <w:color w:val="auto"/>
          <w:highlight w:val="none"/>
        </w:rPr>
      </w:r>
      <w:bookmarkEnd w:id="244"/>
      <w:r>
        <w:rPr>
          <w:color w:val="auto"/>
          <w:highlight w:val="none"/>
        </w:rPr>
      </w:r>
      <w:bookmarkEnd w:id="245"/>
      <w:r>
        <w:rPr>
          <w:color w:val="auto"/>
          <w:highlight w:val="none"/>
        </w:rPr>
      </w:r>
      <w:bookmarkEnd w:id="246"/>
      <w:r>
        <w:rPr>
          <w:color w:val="auto"/>
          <w:highlight w:val="none"/>
        </w:rPr>
      </w:r>
      <w:bookmarkEnd w:id="247"/>
      <w:r>
        <w:rPr>
          <w:color w:val="auto"/>
          <w:highlight w:val="none"/>
        </w:rPr>
      </w:r>
      <w:bookmarkEnd w:id="248"/>
      <w:r>
        <w:rPr>
          <w:color w:val="auto"/>
          <w:highlight w:val="none"/>
        </w:rPr>
      </w:r>
      <w:r>
        <w:rPr>
          <w:color w:val="auto"/>
          <w:highlight w:val="none"/>
        </w:rP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rPr>
        <w:t xml:space="preserve">4</w:t>
      </w:r>
      <w:r>
        <w:rPr>
          <w:rFonts w:ascii="宋体" w:hAnsi="宋体"/>
          <w:color w:val="auto"/>
          <w:sz w:val="22"/>
          <w:highlight w:val="none"/>
        </w:rPr>
        <w:t xml:space="preserve">.1 分值构成</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rPr>
          <w:color w:val="auto"/>
          <w:highlight w:val="none"/>
        </w:rP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rPr>
        <w:t xml:space="preserve">4</w:t>
      </w:r>
      <w:r>
        <w:rPr>
          <w:rFonts w:ascii="宋体" w:hAnsi="宋体"/>
          <w:color w:val="auto"/>
          <w:sz w:val="22"/>
          <w:highlight w:val="none"/>
        </w:rPr>
        <w:t xml:space="preserve">.</w:t>
      </w:r>
      <w:r>
        <w:rPr>
          <w:rFonts w:hint="eastAsia" w:ascii="宋体" w:hAnsi="宋体"/>
          <w:color w:val="auto"/>
          <w:sz w:val="22"/>
          <w:highlight w:val="none"/>
        </w:rPr>
        <w:t xml:space="preserve">2 </w:t>
      </w:r>
      <w:r>
        <w:rPr>
          <w:rFonts w:ascii="宋体" w:hAnsi="宋体"/>
          <w:color w:val="auto"/>
          <w:sz w:val="22"/>
          <w:highlight w:val="none"/>
        </w:rPr>
        <w:t xml:space="preserve">评分标准</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rPr>
          <w:color w:val="auto"/>
          <w:highlight w:val="none"/>
        </w:rPr>
      </w:r>
    </w:p>
    <w:p>
      <w:pPr>
        <w:pStyle w:val="1132"/>
        <w:jc w:val="left"/>
        <w:spacing w:before="0" w:after="0" w:line="440" w:lineRule="exact"/>
        <w:rPr>
          <w:rFonts w:hAnsi="宋体"/>
          <w:color w:val="auto"/>
          <w:sz w:val="22"/>
          <w:szCs w:val="22"/>
          <w:highlight w:val="none"/>
        </w:rPr>
      </w:pPr>
      <w:r>
        <w:rPr>
          <w:color w:val="auto"/>
          <w:highlight w:val="none"/>
        </w:rPr>
      </w:r>
      <w:bookmarkStart w:id="249" w:name="_Toc16925"/>
      <w:r>
        <w:rPr>
          <w:color w:val="auto"/>
          <w:highlight w:val="none"/>
        </w:rPr>
      </w:r>
      <w:bookmarkStart w:id="250" w:name="_Toc24010"/>
      <w:r>
        <w:rPr>
          <w:color w:val="auto"/>
          <w:highlight w:val="none"/>
        </w:rPr>
      </w:r>
      <w:bookmarkStart w:id="251" w:name="_Toc8953"/>
      <w:r>
        <w:rPr>
          <w:color w:val="auto"/>
          <w:highlight w:val="none"/>
        </w:rPr>
      </w:r>
      <w:bookmarkStart w:id="252" w:name="_Toc23497"/>
      <w:r>
        <w:rPr>
          <w:color w:val="auto"/>
          <w:highlight w:val="none"/>
        </w:rPr>
      </w:r>
      <w:bookmarkStart w:id="253" w:name="_Toc234382668"/>
      <w:r>
        <w:rPr>
          <w:color w:val="auto"/>
          <w:highlight w:val="none"/>
        </w:rPr>
      </w:r>
      <w:bookmarkStart w:id="254" w:name="_Toc14071"/>
      <w:r>
        <w:rPr>
          <w:rFonts w:hAnsi="宋体"/>
          <w:color w:val="auto"/>
          <w:sz w:val="22"/>
          <w:szCs w:val="22"/>
          <w:highlight w:val="none"/>
        </w:rPr>
        <w:t xml:space="preserve">3. 评标程序</w:t>
      </w:r>
      <w:bookmarkEnd w:id="249"/>
      <w:r>
        <w:rPr>
          <w:color w:val="auto"/>
          <w:highlight w:val="none"/>
        </w:rPr>
      </w:r>
      <w:bookmarkEnd w:id="250"/>
      <w:r>
        <w:rPr>
          <w:color w:val="auto"/>
          <w:highlight w:val="none"/>
        </w:rPr>
      </w:r>
      <w:bookmarkEnd w:id="251"/>
      <w:r>
        <w:rPr>
          <w:color w:val="auto"/>
          <w:highlight w:val="none"/>
        </w:rPr>
      </w:r>
      <w:bookmarkEnd w:id="252"/>
      <w:r>
        <w:rPr>
          <w:color w:val="auto"/>
          <w:highlight w:val="none"/>
        </w:rPr>
      </w:r>
      <w:bookmarkEnd w:id="253"/>
      <w:r>
        <w:rPr>
          <w:color w:val="auto"/>
          <w:highlight w:val="none"/>
        </w:rPr>
      </w:r>
      <w:bookmarkEnd w:id="254"/>
      <w:r>
        <w:rPr>
          <w:color w:val="auto"/>
          <w:highlight w:val="none"/>
        </w:rPr>
      </w:r>
      <w:r>
        <w:rPr>
          <w:color w:val="auto"/>
          <w:highlight w:val="none"/>
        </w:rPr>
      </w:r>
    </w:p>
    <w:p>
      <w:pPr>
        <w:pStyle w:val="1132"/>
        <w:jc w:val="left"/>
        <w:spacing w:before="0" w:after="0" w:line="440" w:lineRule="exact"/>
        <w:rPr>
          <w:rFonts w:hAnsi="宋体"/>
          <w:color w:val="auto"/>
          <w:sz w:val="22"/>
          <w:szCs w:val="22"/>
          <w:highlight w:val="none"/>
        </w:rPr>
      </w:pPr>
      <w:r>
        <w:rPr>
          <w:color w:val="auto"/>
          <w:highlight w:val="none"/>
        </w:rPr>
      </w:r>
      <w:bookmarkStart w:id="255" w:name="_Toc234382669"/>
      <w:r>
        <w:rPr>
          <w:color w:val="auto"/>
          <w:highlight w:val="none"/>
        </w:rPr>
      </w:r>
      <w:bookmarkStart w:id="256" w:name="_Toc6644"/>
      <w:r>
        <w:rPr>
          <w:color w:val="auto"/>
          <w:highlight w:val="none"/>
        </w:rPr>
      </w:r>
      <w:bookmarkStart w:id="257" w:name="_Toc28246"/>
      <w:r>
        <w:rPr>
          <w:color w:val="auto"/>
          <w:highlight w:val="none"/>
        </w:rPr>
      </w:r>
      <w:bookmarkStart w:id="258" w:name="_Toc9836"/>
      <w:r>
        <w:rPr>
          <w:color w:val="auto"/>
          <w:highlight w:val="none"/>
        </w:rPr>
      </w:r>
      <w:bookmarkStart w:id="259" w:name="_Toc19783"/>
      <w:r>
        <w:rPr>
          <w:color w:val="auto"/>
          <w:highlight w:val="none"/>
        </w:rPr>
      </w:r>
      <w:bookmarkStart w:id="260" w:name="_Toc24795"/>
      <w:r>
        <w:rPr>
          <w:rFonts w:hAnsi="宋体"/>
          <w:color w:val="auto"/>
          <w:sz w:val="22"/>
          <w:szCs w:val="22"/>
          <w:highlight w:val="none"/>
        </w:rPr>
        <w:t xml:space="preserve">3.1 </w:t>
      </w:r>
      <w:bookmarkEnd w:id="255"/>
      <w:r>
        <w:rPr>
          <w:rFonts w:hint="eastAsia" w:hAnsi="宋体"/>
          <w:color w:val="auto"/>
          <w:sz w:val="22"/>
          <w:szCs w:val="22"/>
          <w:highlight w:val="none"/>
        </w:rPr>
        <w:t xml:space="preserve">符合性评审</w:t>
      </w:r>
      <w:bookmarkEnd w:id="256"/>
      <w:r>
        <w:rPr>
          <w:color w:val="auto"/>
          <w:highlight w:val="none"/>
        </w:rPr>
      </w:r>
      <w:bookmarkEnd w:id="257"/>
      <w:r>
        <w:rPr>
          <w:color w:val="auto"/>
          <w:highlight w:val="none"/>
        </w:rPr>
      </w:r>
      <w:bookmarkEnd w:id="258"/>
      <w:r>
        <w:rPr>
          <w:color w:val="auto"/>
          <w:highlight w:val="none"/>
        </w:rPr>
      </w:r>
      <w:bookmarkEnd w:id="259"/>
      <w:r>
        <w:rPr>
          <w:color w:val="auto"/>
          <w:highlight w:val="none"/>
        </w:rPr>
      </w:r>
      <w:bookmarkEnd w:id="260"/>
      <w:r>
        <w:rPr>
          <w:color w:val="auto"/>
          <w:highlight w:val="none"/>
        </w:rPr>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3.1.1</w:t>
      </w:r>
      <w:r>
        <w:rPr>
          <w:rFonts w:ascii="宋体" w:hAnsi="宋体"/>
          <w:color w:val="auto"/>
          <w:sz w:val="22"/>
          <w:highlight w:val="none"/>
        </w:rPr>
        <w:t xml:space="preserve">评标委员会依据本章规定的评审标准对投标文件进行</w:t>
      </w:r>
      <w:r>
        <w:rPr>
          <w:rFonts w:hint="eastAsia" w:ascii="宋体" w:hAnsi="宋体"/>
          <w:color w:val="auto"/>
          <w:sz w:val="22"/>
          <w:highlight w:val="none"/>
        </w:rPr>
        <w:t xml:space="preserve">符合性检查</w:t>
      </w:r>
      <w:r>
        <w:rPr>
          <w:rFonts w:ascii="宋体" w:hAnsi="宋体"/>
          <w:color w:val="auto"/>
          <w:sz w:val="22"/>
          <w:highlight w:val="none"/>
        </w:rPr>
        <w:t xml:space="preserve">。有一项不符合评审标准的，作</w:t>
      </w:r>
      <w:r>
        <w:rPr>
          <w:rFonts w:hint="eastAsia" w:ascii="宋体" w:hAnsi="宋体"/>
          <w:color w:val="auto"/>
          <w:sz w:val="22"/>
          <w:highlight w:val="none"/>
        </w:rPr>
        <w:t xml:space="preserve">无效投标文件</w:t>
      </w:r>
      <w:r>
        <w:rPr>
          <w:rFonts w:ascii="宋体" w:hAnsi="宋体"/>
          <w:color w:val="auto"/>
          <w:sz w:val="22"/>
          <w:highlight w:val="none"/>
        </w:rPr>
        <w:t xml:space="preserve">处理</w:t>
      </w:r>
      <w:r>
        <w:rPr>
          <w:rFonts w:hint="eastAsia" w:ascii="宋体" w:hAnsi="宋体"/>
          <w:color w:val="auto"/>
          <w:sz w:val="22"/>
          <w:highlight w:val="none"/>
        </w:rPr>
        <w:t xml:space="preserve">。</w:t>
      </w:r>
      <w:r>
        <w:rPr>
          <w:color w:val="auto"/>
          <w:highlight w:val="none"/>
        </w:rP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1</w:t>
      </w:r>
      <w:r>
        <w:rPr>
          <w:rFonts w:ascii="宋体" w:hAnsi="宋体"/>
          <w:color w:val="auto"/>
          <w:sz w:val="22"/>
          <w:highlight w:val="none"/>
        </w:rPr>
        <w:t xml:space="preserve">.2 </w:t>
      </w:r>
      <w:r>
        <w:rPr>
          <w:rFonts w:hint="eastAsia" w:ascii="宋体" w:hAnsi="宋体"/>
          <w:color w:val="auto"/>
          <w:sz w:val="22"/>
          <w:highlight w:val="none"/>
        </w:rPr>
        <w:t xml:space="preserve">投标文件报价出现前后不一致的，除招标文件另有规定外，按照下列规定修正：</w:t>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（1）投标文件中开标一览表内容与投标文件中相应内容不一致的，以开标一览表为准；</w:t>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（2）大写金额和小写金额不一致的，以大写金额为准；</w:t>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（3）单价金额小数点或者百分比有明显错位的，以开标一览表的总价为准，并修改单价；</w:t>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（4）总价金额与按单价汇总金额不一致的，以单价金额计算结果为准。</w:t>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color w:val="auto"/>
          <w:highlight w:val="none"/>
        </w:rPr>
      </w:r>
    </w:p>
    <w:p>
      <w:pPr>
        <w:pStyle w:val="1132"/>
        <w:jc w:val="left"/>
        <w:spacing w:before="0" w:after="0" w:line="440" w:lineRule="exact"/>
        <w:rPr>
          <w:rFonts w:hAnsi="宋体"/>
          <w:color w:val="auto"/>
          <w:sz w:val="22"/>
          <w:szCs w:val="22"/>
          <w:highlight w:val="none"/>
        </w:rPr>
      </w:pPr>
      <w:r>
        <w:rPr>
          <w:color w:val="auto"/>
          <w:highlight w:val="none"/>
        </w:rPr>
      </w:r>
      <w:bookmarkStart w:id="261" w:name="_Toc234382670"/>
      <w:r>
        <w:rPr>
          <w:color w:val="auto"/>
          <w:highlight w:val="none"/>
        </w:rPr>
      </w:r>
      <w:bookmarkStart w:id="262" w:name="_Toc10483"/>
      <w:r>
        <w:rPr>
          <w:color w:val="auto"/>
          <w:highlight w:val="none"/>
        </w:rPr>
      </w:r>
      <w:bookmarkStart w:id="263" w:name="_Toc3943"/>
      <w:r>
        <w:rPr>
          <w:color w:val="auto"/>
          <w:highlight w:val="none"/>
        </w:rPr>
      </w:r>
      <w:bookmarkStart w:id="264" w:name="_Toc15550"/>
      <w:r>
        <w:rPr>
          <w:color w:val="auto"/>
          <w:highlight w:val="none"/>
        </w:rPr>
      </w:r>
      <w:bookmarkStart w:id="265" w:name="_Toc32688"/>
      <w:r>
        <w:rPr>
          <w:color w:val="auto"/>
          <w:highlight w:val="none"/>
        </w:rPr>
      </w:r>
      <w:bookmarkStart w:id="266" w:name="_Toc26769"/>
      <w:r>
        <w:rPr>
          <w:rFonts w:hAnsi="宋体"/>
          <w:color w:val="auto"/>
          <w:sz w:val="22"/>
          <w:szCs w:val="22"/>
          <w:highlight w:val="none"/>
        </w:rPr>
        <w:t xml:space="preserve">3.</w:t>
      </w:r>
      <w:bookmarkEnd w:id="261"/>
      <w:r>
        <w:rPr>
          <w:color w:val="auto"/>
          <w:highlight w:val="none"/>
        </w:rPr>
      </w:r>
      <w:bookmarkEnd w:id="262"/>
      <w:r>
        <w:rPr>
          <w:rFonts w:hint="eastAsia" w:hAnsi="宋体"/>
          <w:color w:val="auto"/>
          <w:sz w:val="22"/>
          <w:szCs w:val="22"/>
          <w:highlight w:val="none"/>
        </w:rPr>
        <w:t xml:space="preserve">2 比较和评价</w:t>
      </w:r>
      <w:bookmarkEnd w:id="263"/>
      <w:r>
        <w:rPr>
          <w:color w:val="auto"/>
          <w:highlight w:val="none"/>
        </w:rPr>
      </w:r>
      <w:bookmarkEnd w:id="264"/>
      <w:r>
        <w:rPr>
          <w:color w:val="auto"/>
          <w:highlight w:val="none"/>
        </w:rPr>
      </w:r>
      <w:bookmarkEnd w:id="265"/>
      <w:r>
        <w:rPr>
          <w:color w:val="auto"/>
          <w:highlight w:val="none"/>
        </w:rPr>
      </w:r>
      <w:bookmarkEnd w:id="266"/>
      <w:r>
        <w:rPr>
          <w:color w:val="auto"/>
          <w:highlight w:val="none"/>
        </w:rPr>
      </w:r>
      <w:r>
        <w:rPr>
          <w:color w:val="auto"/>
          <w:highlight w:val="none"/>
        </w:rP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.1 评标委员会</w:t>
      </w:r>
      <w:r>
        <w:rPr>
          <w:rFonts w:hint="eastAsia" w:ascii="宋体" w:hAnsi="宋体"/>
          <w:color w:val="auto"/>
          <w:sz w:val="22"/>
          <w:highlight w:val="none"/>
        </w:rPr>
        <w:t xml:space="preserve">各成员</w:t>
      </w:r>
      <w:r>
        <w:rPr>
          <w:rFonts w:ascii="宋体" w:hAnsi="宋体"/>
          <w:color w:val="auto"/>
          <w:sz w:val="22"/>
          <w:highlight w:val="none"/>
        </w:rPr>
        <w:t xml:space="preserve">按本章规定的量化因素和分值，独立</w:t>
      </w:r>
      <w:r>
        <w:rPr>
          <w:rFonts w:hint="eastAsia" w:ascii="宋体" w:hAnsi="宋体"/>
          <w:color w:val="auto"/>
          <w:sz w:val="22"/>
          <w:highlight w:val="none"/>
        </w:rPr>
        <w:t xml:space="preserve">对符合性评审合格的每个供应商的投标文件进行评价，并汇总每个供应商的得分。</w:t>
      </w:r>
      <w:r>
        <w:rPr>
          <w:color w:val="auto"/>
          <w:highlight w:val="none"/>
        </w:rP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.2 各供应商</w:t>
      </w:r>
      <w:r>
        <w:rPr>
          <w:rFonts w:hint="eastAsia" w:ascii="宋体" w:hAnsi="宋体"/>
          <w:color w:val="auto"/>
          <w:sz w:val="22"/>
          <w:highlight w:val="none"/>
        </w:rPr>
        <w:t xml:space="preserve">得分取评标委员会各成员独立评分的平均值。</w:t>
      </w:r>
      <w:r>
        <w:rPr>
          <w:rFonts w:ascii="宋体" w:hAnsi="宋体"/>
          <w:color w:val="auto"/>
          <w:sz w:val="22"/>
          <w:highlight w:val="none"/>
        </w:rPr>
        <w:t xml:space="preserve">分值计算保留小数点后两位，小数点后第三位“四舍五入”。</w:t>
      </w:r>
      <w:r>
        <w:rPr>
          <w:color w:val="auto"/>
          <w:highlight w:val="none"/>
        </w:rP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.3 </w:t>
      </w:r>
      <w:r>
        <w:rPr>
          <w:rFonts w:hint="eastAsia" w:ascii="宋体" w:hAnsi="宋体"/>
          <w:color w:val="auto"/>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rPr>
          <w:color w:val="auto"/>
          <w:highlight w:val="none"/>
        </w:rPr>
      </w:r>
    </w:p>
    <w:p>
      <w:pPr>
        <w:pStyle w:val="1132"/>
        <w:jc w:val="left"/>
        <w:spacing w:before="0" w:after="0" w:line="440" w:lineRule="exact"/>
        <w:rPr>
          <w:rFonts w:hAnsi="宋体"/>
          <w:color w:val="auto"/>
          <w:sz w:val="22"/>
          <w:szCs w:val="22"/>
          <w:highlight w:val="none"/>
        </w:rPr>
      </w:pPr>
      <w:r>
        <w:rPr>
          <w:color w:val="auto"/>
          <w:highlight w:val="none"/>
        </w:rPr>
      </w:r>
      <w:bookmarkStart w:id="267" w:name="_Toc22453"/>
      <w:r>
        <w:rPr>
          <w:color w:val="auto"/>
          <w:highlight w:val="none"/>
        </w:rPr>
      </w:r>
      <w:bookmarkStart w:id="268" w:name="_Toc4375"/>
      <w:r>
        <w:rPr>
          <w:color w:val="auto"/>
          <w:highlight w:val="none"/>
        </w:rPr>
      </w:r>
      <w:bookmarkStart w:id="269" w:name="_Toc234382671"/>
      <w:r>
        <w:rPr>
          <w:color w:val="auto"/>
          <w:highlight w:val="none"/>
        </w:rPr>
      </w:r>
      <w:bookmarkStart w:id="270" w:name="_Toc18697"/>
      <w:r>
        <w:rPr>
          <w:color w:val="auto"/>
          <w:highlight w:val="none"/>
        </w:rPr>
      </w:r>
      <w:bookmarkStart w:id="271" w:name="_Toc19739"/>
      <w:r>
        <w:rPr>
          <w:color w:val="auto"/>
          <w:highlight w:val="none"/>
        </w:rPr>
      </w:r>
      <w:bookmarkStart w:id="272" w:name="_Toc30764"/>
      <w:r>
        <w:rPr>
          <w:rFonts w:hAnsi="宋体"/>
          <w:color w:val="auto"/>
          <w:sz w:val="22"/>
          <w:szCs w:val="22"/>
          <w:highlight w:val="none"/>
        </w:rPr>
        <w:t xml:space="preserve">3.</w:t>
      </w:r>
      <w:r>
        <w:rPr>
          <w:rFonts w:hint="eastAsia" w:hAnsi="宋体"/>
          <w:color w:val="auto"/>
          <w:sz w:val="22"/>
          <w:szCs w:val="22"/>
          <w:highlight w:val="none"/>
        </w:rPr>
        <w:t xml:space="preserve">3</w:t>
      </w:r>
      <w:r>
        <w:rPr>
          <w:rFonts w:hAnsi="宋体"/>
          <w:color w:val="auto"/>
          <w:sz w:val="22"/>
          <w:szCs w:val="22"/>
          <w:highlight w:val="none"/>
        </w:rPr>
        <w:t xml:space="preserve"> 澄清和补正</w:t>
      </w:r>
      <w:bookmarkEnd w:id="267"/>
      <w:r>
        <w:rPr>
          <w:color w:val="auto"/>
          <w:highlight w:val="none"/>
        </w:rPr>
      </w:r>
      <w:bookmarkEnd w:id="268"/>
      <w:r>
        <w:rPr>
          <w:color w:val="auto"/>
          <w:highlight w:val="none"/>
        </w:rPr>
      </w:r>
      <w:bookmarkEnd w:id="269"/>
      <w:r>
        <w:rPr>
          <w:color w:val="auto"/>
          <w:highlight w:val="none"/>
        </w:rPr>
      </w:r>
      <w:bookmarkEnd w:id="270"/>
      <w:r>
        <w:rPr>
          <w:color w:val="auto"/>
          <w:highlight w:val="none"/>
        </w:rPr>
      </w:r>
      <w:bookmarkEnd w:id="271"/>
      <w:r>
        <w:rPr>
          <w:color w:val="auto"/>
          <w:highlight w:val="none"/>
        </w:rPr>
      </w:r>
      <w:bookmarkEnd w:id="272"/>
      <w:r>
        <w:rPr>
          <w:color w:val="auto"/>
          <w:highlight w:val="none"/>
        </w:rPr>
      </w:r>
      <w:r>
        <w:rPr>
          <w:color w:val="auto"/>
          <w:highlight w:val="none"/>
        </w:rP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3</w:t>
      </w:r>
      <w:r>
        <w:rPr>
          <w:rFonts w:ascii="宋体" w:hAnsi="宋体"/>
          <w:color w:val="auto"/>
          <w:sz w:val="22"/>
          <w:highlight w:val="none"/>
        </w:rPr>
        <w:t xml:space="preserve">.1 </w:t>
      </w:r>
      <w:r>
        <w:rPr>
          <w:rFonts w:hint="eastAsia" w:ascii="宋体" w:hAnsi="宋体"/>
          <w:color w:val="auto"/>
          <w:sz w:val="22"/>
          <w:highlight w:val="none"/>
        </w:rPr>
        <w:t xml:space="preserve">对投标文件中含义不明确、同类问题表述不一致或者有明显文字和算术错误的内容，评标委员会</w:t>
      </w:r>
      <w:r>
        <w:rPr>
          <w:rFonts w:hint="eastAsia" w:ascii="宋体" w:hAnsi="宋体" w:cs="宋体"/>
          <w:color w:val="auto"/>
          <w:sz w:val="22"/>
          <w:szCs w:val="22"/>
          <w:highlight w:val="none"/>
        </w:rPr>
        <w:t xml:space="preserve">通过“苏采云”系统</w:t>
      </w:r>
      <w:r>
        <w:rPr>
          <w:rFonts w:hint="eastAsia" w:ascii="宋体" w:hAnsi="宋体"/>
          <w:color w:val="auto"/>
          <w:sz w:val="22"/>
          <w:highlight w:val="none"/>
        </w:rPr>
        <w:t xml:space="preserve">要求供应商作出必要的澄清、说明或者纠正。</w:t>
      </w:r>
      <w:r>
        <w:rPr>
          <w:rFonts w:hint="eastAsia" w:ascii="宋体" w:hAnsi="宋体" w:cs="宋体"/>
          <w:color w:val="auto"/>
          <w:sz w:val="22"/>
          <w:szCs w:val="22"/>
          <w:highlight w:val="none"/>
        </w:rPr>
        <w:t xml:space="preserve">在评标期间，请供应商保持在线。</w:t>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3.3.2</w:t>
      </w:r>
      <w:r>
        <w:rPr>
          <w:rFonts w:hint="eastAsia" w:ascii="宋体" w:hAnsi="宋体" w:cs="宋体"/>
          <w:color w:val="auto"/>
          <w:sz w:val="22"/>
          <w:szCs w:val="22"/>
          <w:highlight w:val="none"/>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auto"/>
          <w:sz w:val="22"/>
          <w:highlight w:val="none"/>
        </w:rPr>
        <w:t xml:space="preserve">。</w:t>
      </w:r>
      <w:r>
        <w:rPr>
          <w:color w:val="auto"/>
          <w:highlight w:val="none"/>
        </w:rPr>
      </w:r>
    </w:p>
    <w:p>
      <w:pPr>
        <w:ind w:firstLine="440"/>
        <w:spacing w:line="440" w:lineRule="exact"/>
        <w:rPr>
          <w:rFonts w:ascii="宋体" w:hAnsi="宋体" w:cs="宋体"/>
          <w:color w:val="auto"/>
          <w:sz w:val="22"/>
          <w:szCs w:val="22"/>
          <w:highlight w:val="none"/>
        </w:rPr>
      </w:pPr>
      <w:r>
        <w:rPr>
          <w:rFonts w:hint="eastAsia" w:ascii="宋体" w:hAnsi="宋体" w:cs="宋体"/>
          <w:b/>
          <w:bCs/>
          <w:color w:val="auto"/>
          <w:sz w:val="22"/>
          <w:szCs w:val="22"/>
          <w:highlight w:val="none"/>
        </w:rPr>
        <w:t xml:space="preserve">特别说明：</w:t>
      </w:r>
      <w:r>
        <w:rPr>
          <w:rFonts w:hint="eastAsia" w:ascii="宋体" w:hAnsi="宋体" w:cs="宋体"/>
          <w:color w:val="auto"/>
          <w:sz w:val="22"/>
          <w:szCs w:val="22"/>
          <w:highlight w:val="none"/>
        </w:rPr>
        <w:t xml:space="preserve">“苏采云”系统通过“江苏省政府采购一体化不见面开标大厅”提醒供应商。供应商自行查看，供应商因自身原因不及时查看导致没收到信息，“苏采云”系统不承担任何责任。</w:t>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3.3.3 </w:t>
      </w:r>
      <w:r>
        <w:rPr>
          <w:rFonts w:ascii="宋体" w:hAnsi="宋体"/>
          <w:color w:val="auto"/>
          <w:sz w:val="22"/>
          <w:highlight w:val="none"/>
        </w:rPr>
        <w:t xml:space="preserve">评标委员会不接受</w:t>
      </w:r>
      <w:r>
        <w:rPr>
          <w:rFonts w:hint="eastAsia" w:ascii="宋体" w:hAnsi="宋体"/>
          <w:color w:val="auto"/>
          <w:sz w:val="22"/>
          <w:highlight w:val="none"/>
        </w:rPr>
        <w:t xml:space="preserve">供应商</w:t>
      </w:r>
      <w:r>
        <w:rPr>
          <w:rFonts w:ascii="宋体" w:hAnsi="宋体"/>
          <w:color w:val="auto"/>
          <w:sz w:val="22"/>
          <w:highlight w:val="none"/>
        </w:rPr>
        <w:t xml:space="preserve">主动提出的澄清、说明或补正。</w:t>
      </w:r>
      <w:r>
        <w:rPr>
          <w:color w:val="auto"/>
          <w:highlight w:val="none"/>
        </w:rP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3.3.4 凡超出招标文件规定的或给采购人带来未曾要求的利益的变化、偏差或其他因素在评标时不予考虑。</w:t>
      </w:r>
      <w:r>
        <w:rPr>
          <w:color w:val="auto"/>
          <w:highlight w:val="none"/>
        </w:rPr>
      </w:r>
    </w:p>
    <w:p>
      <w:pPr>
        <w:pStyle w:val="1132"/>
        <w:jc w:val="left"/>
        <w:spacing w:before="0" w:after="0" w:line="440" w:lineRule="exact"/>
        <w:rPr>
          <w:rFonts w:hAnsi="宋体"/>
          <w:color w:val="auto"/>
          <w:sz w:val="22"/>
          <w:highlight w:val="none"/>
        </w:rPr>
      </w:pPr>
      <w:r>
        <w:rPr>
          <w:color w:val="auto"/>
          <w:highlight w:val="none"/>
        </w:rPr>
      </w:r>
      <w:bookmarkStart w:id="273" w:name="_Toc15871"/>
      <w:r>
        <w:rPr>
          <w:color w:val="auto"/>
          <w:highlight w:val="none"/>
        </w:rPr>
      </w:r>
      <w:bookmarkStart w:id="274" w:name="_Toc5764"/>
      <w:r>
        <w:rPr>
          <w:rFonts w:hint="eastAsia" w:hAnsi="宋体"/>
          <w:color w:val="auto"/>
          <w:sz w:val="22"/>
          <w:highlight w:val="none"/>
        </w:rPr>
        <w:t xml:space="preserve">3.4 违法违规情形</w:t>
      </w:r>
      <w:bookmarkEnd w:id="273"/>
      <w:r>
        <w:rPr>
          <w:color w:val="auto"/>
          <w:highlight w:val="none"/>
        </w:rPr>
      </w:r>
      <w:bookmarkEnd w:id="274"/>
      <w:r>
        <w:rPr>
          <w:color w:val="auto"/>
          <w:highlight w:val="none"/>
        </w:rPr>
      </w:r>
      <w:r>
        <w:rPr>
          <w:color w:val="auto"/>
          <w:highlight w:val="none"/>
        </w:rP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3.4.1有下列情形之一的，属于供应商相互串通投标，其投标无效：</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（1）供应商之间协商投标报价等投标文件的实质性内容；</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（2）供应商之间约定中标人；</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（3）供应商之间约定部分供应商放弃投标或者中标，其投标无效：</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（4）属于同一集团、协会、商会等组织成员的供应商按照该组织要求协同投标；</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（5）供应商之间为谋取中标或者排斥特定供应商而采取的其他联合行动。</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3.4.2 有下列情形之一的，视为供应商相互串通投标：</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（1）不同供应商的投标文件由同一单位或者个人编制；</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（2）不同供应商委托同一单位或者个人办理投标事宜；</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（3）不同供应商的投标文件载明的项目管理成员或者联系人员为同一人；</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（4）不同供应商的投标文件异常一致或者投标报价呈规律性差异；</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（5）不同供应商的投标文件相互混装；</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（6）不同供应商的投标保证金从同一单位或者个人的账户转出。</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3.4.3 供应商有下列情形之一的，属于供应商弄虚作假的行为，其投标无效：</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（1）使用伪造、变造的许可证件；</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（2）提供虚假的财务状况或者业绩；</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（3）提供虚假的项目负责人或者主要技术人员简历、劳动关系证明；</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（4）提供虚假的信用状况；</w:t>
      </w:r>
      <w:r>
        <w:rPr>
          <w:color w:val="auto"/>
          <w:highlight w:val="none"/>
        </w:rP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（5）其他弄虚作假的行为。</w:t>
      </w:r>
      <w:r>
        <w:rPr>
          <w:color w:val="auto"/>
          <w:highlight w:val="none"/>
        </w:rPr>
      </w:r>
    </w:p>
    <w:p>
      <w:pPr>
        <w:pStyle w:val="1132"/>
        <w:jc w:val="left"/>
        <w:spacing w:before="0" w:after="0" w:line="440" w:lineRule="exact"/>
        <w:rPr>
          <w:rFonts w:hAnsi="宋体"/>
          <w:color w:val="auto"/>
          <w:sz w:val="22"/>
          <w:szCs w:val="22"/>
          <w:highlight w:val="none"/>
        </w:rPr>
      </w:pPr>
      <w:r>
        <w:rPr>
          <w:color w:val="auto"/>
          <w:highlight w:val="none"/>
        </w:rPr>
      </w:r>
      <w:bookmarkStart w:id="275" w:name="_Toc17117"/>
      <w:r>
        <w:rPr>
          <w:color w:val="auto"/>
          <w:highlight w:val="none"/>
        </w:rPr>
      </w:r>
      <w:bookmarkStart w:id="276" w:name="_Toc8282"/>
      <w:r>
        <w:rPr>
          <w:color w:val="auto"/>
          <w:highlight w:val="none"/>
        </w:rPr>
      </w:r>
      <w:bookmarkStart w:id="277" w:name="_Toc15663"/>
      <w:r>
        <w:rPr>
          <w:color w:val="auto"/>
          <w:highlight w:val="none"/>
        </w:rPr>
      </w:r>
      <w:bookmarkStart w:id="278" w:name="_Toc17896"/>
      <w:r>
        <w:rPr>
          <w:rFonts w:hint="eastAsia" w:hAnsi="宋体"/>
          <w:color w:val="auto"/>
          <w:sz w:val="22"/>
          <w:szCs w:val="22"/>
          <w:highlight w:val="none"/>
        </w:rPr>
        <w:t xml:space="preserve">3.5 评标结果</w:t>
      </w:r>
      <w:bookmarkEnd w:id="275"/>
      <w:r>
        <w:rPr>
          <w:color w:val="auto"/>
          <w:highlight w:val="none"/>
        </w:rPr>
      </w:r>
      <w:bookmarkEnd w:id="276"/>
      <w:r>
        <w:rPr>
          <w:color w:val="auto"/>
          <w:highlight w:val="none"/>
        </w:rPr>
      </w:r>
      <w:bookmarkEnd w:id="277"/>
      <w:r>
        <w:rPr>
          <w:color w:val="auto"/>
          <w:highlight w:val="none"/>
        </w:rPr>
      </w:r>
      <w:bookmarkEnd w:id="278"/>
      <w:r>
        <w:rPr>
          <w:color w:val="auto"/>
          <w:highlight w:val="none"/>
        </w:rPr>
      </w:r>
      <w:r>
        <w:rPr>
          <w:color w:val="auto"/>
          <w:highlight w:val="none"/>
        </w:rPr>
      </w:r>
    </w:p>
    <w:p>
      <w:pPr>
        <w:ind w:firstLine="440"/>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5</w:t>
      </w:r>
      <w:r>
        <w:rPr>
          <w:rFonts w:ascii="宋体" w:hAnsi="宋体"/>
          <w:color w:val="auto"/>
          <w:sz w:val="22"/>
          <w:highlight w:val="none"/>
        </w:rPr>
        <w:t xml:space="preserve">.1 评标委员会按照得分由高到低的顺序推荐中标候选</w:t>
      </w:r>
      <w:r>
        <w:rPr>
          <w:rFonts w:hint="eastAsia" w:ascii="宋体" w:hAnsi="宋体"/>
          <w:color w:val="auto"/>
          <w:sz w:val="22"/>
          <w:highlight w:val="none"/>
        </w:rPr>
        <w:t xml:space="preserve">人，并标明排序。</w:t>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3.5.3 评标委员会完成评标后，应当向采购人提交评标报告。</w:t>
      </w:r>
      <w:bookmarkEnd w:id="217"/>
      <w:r>
        <w:rPr>
          <w:color w:val="auto"/>
          <w:highlight w:val="none"/>
        </w:rPr>
      </w:r>
      <w:bookmarkEnd w:id="224"/>
      <w:r>
        <w:rPr>
          <w:color w:val="auto"/>
          <w:highlight w:val="none"/>
        </w:rPr>
      </w:r>
      <w:bookmarkEnd w:id="225"/>
      <w:r>
        <w:rPr>
          <w:color w:val="auto"/>
          <w:highlight w:val="none"/>
        </w:rPr>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color w:val="auto"/>
          <w:highlight w:val="none"/>
        </w:rP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声明：当出现损害国家和采购人利益情况时，采购人、本公司有选择或拒绝任何供应商的权利，并对所采取的行为不主动说明原因。</w:t>
      </w:r>
      <w:r>
        <w:rPr>
          <w:color w:val="auto"/>
          <w:highlight w:val="none"/>
        </w:rPr>
      </w:r>
    </w:p>
    <w:p>
      <w:pPr>
        <w:pStyle w:val="1132"/>
        <w:spacing w:line="240" w:lineRule="auto"/>
        <w:rPr>
          <w:rFonts w:ascii="Arial" w:hAnsi="Arial" w:cs="Arial"/>
          <w:color w:val="auto"/>
          <w:highlight w:val="none"/>
        </w:rPr>
      </w:pPr>
      <w:r>
        <w:rPr>
          <w:color w:val="auto"/>
          <w:highlight w:val="none"/>
        </w:rPr>
      </w:r>
      <w:bookmarkStart w:id="279" w:name="_Toc3443"/>
      <w:r>
        <w:rPr>
          <w:color w:val="auto"/>
          <w:highlight w:val="none"/>
        </w:rPr>
      </w:r>
      <w:bookmarkStart w:id="280" w:name="_Toc89569910"/>
      <w:r>
        <w:rPr>
          <w:rFonts w:ascii="Arial" w:hAnsi="Arial" w:cs="Arial"/>
          <w:color w:val="auto"/>
          <w:sz w:val="24"/>
          <w:szCs w:val="24"/>
          <w:highlight w:val="none"/>
        </w:rPr>
        <w:br w:type="page" w:clear="all"/>
      </w:r>
      <w:bookmarkStart w:id="281" w:name="_Toc12083"/>
      <w:r>
        <w:rPr>
          <w:rFonts w:ascii="Arial" w:hAnsi="Arial" w:cs="Arial"/>
          <w:color w:val="auto"/>
          <w:highlight w:val="none"/>
        </w:rPr>
        <w:t xml:space="preserve">第七章 投标文件内容及格式</w:t>
      </w:r>
      <w:bookmarkEnd w:id="279"/>
      <w:r>
        <w:rPr>
          <w:color w:val="auto"/>
          <w:highlight w:val="none"/>
        </w:rPr>
      </w:r>
      <w:bookmarkEnd w:id="280"/>
      <w:r>
        <w:rPr>
          <w:color w:val="auto"/>
          <w:highlight w:val="none"/>
        </w:rPr>
      </w:r>
      <w:bookmarkEnd w:id="281"/>
      <w:r>
        <w:rPr>
          <w:color w:val="auto"/>
          <w:highlight w:val="none"/>
        </w:rPr>
      </w:r>
      <w:r>
        <w:rPr>
          <w:color w:val="auto"/>
          <w:highlight w:val="none"/>
        </w:rPr>
      </w:r>
    </w:p>
    <w:p>
      <w:pPr>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p>
    <w:p>
      <w:pPr>
        <w:spacing w:line="440" w:lineRule="exact"/>
        <w:rPr>
          <w:rFonts w:ascii="Arial" w:hAnsi="Arial" w:cs="Arial"/>
          <w:color w:val="auto"/>
          <w:highlight w:val="none"/>
        </w:rPr>
      </w:pPr>
      <w:r>
        <w:rPr>
          <w:rFonts w:ascii="Arial" w:hAnsi="Arial" w:cs="Arial"/>
          <w:color w:val="auto"/>
          <w:highlight w:val="none"/>
        </w:rPr>
        <w:t xml:space="preserve"> </w:t>
      </w:r>
      <w:r>
        <w:rPr>
          <w:color w:val="auto"/>
          <w:highlight w:val="none"/>
        </w:rPr>
      </w:r>
    </w:p>
    <w:p>
      <w:pPr>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p>
    <w:p>
      <w:pPr>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p>
    <w:p>
      <w:pPr>
        <w:rPr>
          <w:rFonts w:ascii="Arial" w:hAnsi="Arial" w:cs="Arial"/>
          <w:color w:val="auto"/>
          <w:highlight w:val="none"/>
        </w:rPr>
      </w:pPr>
      <w:r>
        <w:rPr>
          <w:rFonts w:ascii="Arial" w:hAnsi="Arial" w:cs="Arial"/>
          <w:color w:val="auto"/>
          <w:highlight w:val="none"/>
        </w:rPr>
      </w:r>
      <w:r>
        <w:rPr>
          <w:color w:val="auto"/>
          <w:highlight w:val="none"/>
        </w:rP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p>
    <w:p>
      <w:pPr>
        <w:pStyle w:val="1133"/>
        <w:rPr>
          <w:b w:val="0"/>
          <w:bCs w:val="0"/>
          <w:color w:val="auto"/>
          <w:sz w:val="32"/>
          <w:szCs w:val="32"/>
          <w:highlight w:val="none"/>
        </w:rPr>
      </w:pPr>
      <w:r>
        <w:rPr>
          <w:color w:val="auto"/>
          <w:highlight w:val="none"/>
        </w:rPr>
      </w:r>
      <w:bookmarkStart w:id="282" w:name="_Toc480942349"/>
      <w:r>
        <w:rPr>
          <w:color w:val="auto"/>
          <w:highlight w:val="none"/>
        </w:rPr>
      </w:r>
      <w:bookmarkStart w:id="283" w:name="_Ref467988698"/>
      <w:r>
        <w:rPr>
          <w:color w:val="auto"/>
          <w:highlight w:val="none"/>
        </w:rPr>
      </w:r>
      <w:bookmarkStart w:id="284" w:name="_Toc520356217"/>
      <w:r>
        <w:rPr>
          <w:color w:val="auto"/>
          <w:highlight w:val="none"/>
        </w:rPr>
      </w:r>
      <w:bookmarkStart w:id="285" w:name="_Toc89569911"/>
      <w:r>
        <w:rPr>
          <w:color w:val="auto"/>
          <w:sz w:val="24"/>
          <w:szCs w:val="24"/>
          <w:highlight w:val="none"/>
        </w:rPr>
        <w:br w:type="page" w:clear="all"/>
      </w:r>
      <w:r>
        <w:rPr>
          <w:b w:val="0"/>
          <w:bCs w:val="0"/>
          <w:color w:val="auto"/>
          <w:sz w:val="32"/>
          <w:szCs w:val="32"/>
          <w:highlight w:val="none"/>
        </w:rPr>
        <w:t xml:space="preserve"> </w:t>
      </w:r>
      <w:bookmarkStart w:id="286" w:name="_Toc6276"/>
      <w:r>
        <w:rPr>
          <w:color w:val="auto"/>
          <w:highlight w:val="none"/>
        </w:rPr>
      </w:r>
      <w:bookmarkStart w:id="287" w:name="_Toc27433"/>
      <w:r>
        <w:rPr>
          <w:rFonts w:hint="eastAsia"/>
          <w:b w:val="0"/>
          <w:bCs w:val="0"/>
          <w:color w:val="auto"/>
          <w:sz w:val="32"/>
          <w:szCs w:val="32"/>
          <w:highlight w:val="none"/>
        </w:rPr>
        <w:t xml:space="preserve">一、基本目录</w:t>
      </w:r>
      <w:r>
        <w:rPr>
          <w:color w:val="auto"/>
          <w:highlight w:val="none"/>
        </w:rPr>
      </w:r>
    </w:p>
    <w:p>
      <w:pPr>
        <w:pStyle w:val="1133"/>
        <w:rPr>
          <w:b w:val="0"/>
          <w:bCs w:val="0"/>
          <w:color w:val="auto"/>
          <w:sz w:val="32"/>
          <w:szCs w:val="32"/>
          <w:highlight w:val="none"/>
        </w:rPr>
      </w:pPr>
      <w:r>
        <w:rPr>
          <w:rFonts w:hint="eastAsia"/>
          <w:b w:val="0"/>
          <w:bCs w:val="0"/>
          <w:color w:val="auto"/>
          <w:sz w:val="32"/>
          <w:szCs w:val="32"/>
          <w:highlight w:val="none"/>
        </w:rPr>
        <w:t xml:space="preserve">（一）开标一览表</w:t>
      </w:r>
      <w:r>
        <w:rPr>
          <w:color w:val="auto"/>
          <w:highlight w:val="none"/>
        </w:rPr>
      </w:r>
    </w:p>
    <w:p>
      <w:pPr>
        <w:pStyle w:val="1133"/>
        <w:jc w:val="left"/>
        <w:rPr>
          <w:rFonts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rPr>
        <w:t xml:space="preserve">项目名称：</w:t>
      </w:r>
      <w:r>
        <w:rPr>
          <w:rFonts w:hint="eastAsia" w:ascii="宋体" w:hAnsi="宋体" w:eastAsia="宋体" w:cs="宋体"/>
          <w:b w:val="0"/>
          <w:bCs w:val="0"/>
          <w:color w:val="auto"/>
          <w:sz w:val="24"/>
          <w:szCs w:val="21"/>
          <w:highlight w:val="none"/>
          <w:u w:val="single"/>
        </w:rPr>
        <w:t xml:space="preserve">         </w:t>
      </w:r>
      <w:r>
        <w:rPr>
          <w:color w:val="auto"/>
          <w:highlight w:val="none"/>
        </w:rPr>
      </w:r>
    </w:p>
    <w:p>
      <w:pPr>
        <w:pStyle w:val="1133"/>
        <w:jc w:val="left"/>
        <w:rPr>
          <w:rFonts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rPr>
        <w:t xml:space="preserve">项目编号：</w:t>
      </w:r>
      <w:r>
        <w:rPr>
          <w:rFonts w:hint="eastAsia" w:ascii="宋体" w:hAnsi="宋体" w:eastAsia="宋体" w:cs="宋体"/>
          <w:b w:val="0"/>
          <w:bCs w:val="0"/>
          <w:color w:val="auto"/>
          <w:sz w:val="24"/>
          <w:szCs w:val="21"/>
          <w:highlight w:val="none"/>
          <w:u w:val="single"/>
        </w:rPr>
        <w:t xml:space="preserve">         </w:t>
      </w:r>
      <w:r>
        <w:rPr>
          <w:color w:val="auto"/>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p>
    <w:tbl>
      <w:tblPr>
        <w:tblStyle w:val="91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rPr>
                <w:color w:val="auto"/>
                <w:highlight w:val="none"/>
              </w:rPr>
            </w:r>
          </w:p>
        </w:tc>
        <w:tc>
          <w:tcPr>
            <w:tcW w:w="210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项目内容</w:t>
            </w:r>
            <w:r>
              <w:rPr>
                <w:color w:val="auto"/>
                <w:highlight w:val="none"/>
              </w:rPr>
            </w:r>
          </w:p>
        </w:tc>
        <w:tc>
          <w:tcPr>
            <w:tcW w:w="237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投标报价（元）</w:t>
            </w:r>
            <w:r>
              <w:rPr>
                <w:color w:val="auto"/>
                <w:highlight w:val="none"/>
              </w:rPr>
            </w:r>
          </w:p>
        </w:tc>
      </w:tr>
      <w:tr>
        <w:trPr>
          <w:cantSplit/>
          <w:jc w:val="center"/>
          <w:trHeight w:val="923"/>
        </w:trPr>
        <w:tc>
          <w:tcPr>
            <w:tcW w:w="442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W w:w="210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详见投标文件  </w:t>
            </w:r>
            <w:r>
              <w:rPr>
                <w:color w:val="auto"/>
                <w:highlight w:val="none"/>
              </w:rPr>
            </w:r>
          </w:p>
        </w:tc>
        <w:tc>
          <w:tcPr>
            <w:tcW w:w="237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p>
        </w:tc>
      </w:tr>
      <w:tr>
        <w:trPr>
          <w:cantSplit/>
          <w:jc w:val="center"/>
          <w:trHeight w:val="901"/>
        </w:trPr>
        <w:tc>
          <w:tcPr>
            <w:tcW w:w="442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投标报价（大写）：</w:t>
            </w:r>
            <w:r>
              <w:rPr>
                <w:color w:val="auto"/>
                <w:highlight w:val="none"/>
              </w:rPr>
            </w:r>
          </w:p>
        </w:tc>
        <w:tc>
          <w:tcPr>
            <w:gridSpan w:val="2"/>
            <w:tcW w:w="4486" w:type="dxa"/>
            <w:vAlign w:val="center"/>
            <w:textDirection w:val="lrTb"/>
            <w:noWrap w:val="false"/>
          </w:tcPr>
          <w:p>
            <w:pPr>
              <w:rPr>
                <w:rFonts w:ascii="宋体" w:hAnsi="宋体" w:cs="宋体"/>
                <w:color w:val="auto"/>
                <w:sz w:val="24"/>
                <w:highlight w:val="none"/>
                <w:u w:val="single"/>
              </w:rPr>
            </w:pPr>
            <w:r>
              <w:rPr>
                <w:rFonts w:ascii="宋体" w:hAnsi="宋体" w:cs="宋体"/>
                <w:color w:val="auto"/>
                <w:sz w:val="24"/>
                <w:highlight w:val="none"/>
                <w:u w:val="single"/>
              </w:rPr>
            </w:r>
            <w:r>
              <w:rPr>
                <w:color w:val="auto"/>
                <w:highlight w:val="none"/>
              </w:rPr>
            </w:r>
          </w:p>
        </w:tc>
      </w:tr>
    </w:tbl>
    <w:p>
      <w:pPr>
        <w:rPr>
          <w:rFonts w:ascii="宋体" w:hAnsi="宋体" w:cs="宋体"/>
          <w:color w:val="auto"/>
          <w:sz w:val="24"/>
          <w:highlight w:val="none"/>
        </w:rPr>
      </w:pPr>
      <w:r>
        <w:rPr>
          <w:rFonts w:ascii="宋体" w:hAnsi="宋体" w:cs="宋体"/>
          <w:color w:val="auto"/>
          <w:sz w:val="24"/>
          <w:highlight w:val="none"/>
        </w:rPr>
      </w:r>
      <w:r>
        <w:rPr>
          <w:color w:val="auto"/>
          <w:highlight w:val="none"/>
        </w:rP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p>
    <w:p>
      <w:pPr>
        <w:ind w:firstLine="3000"/>
        <w:jc w:val="right"/>
        <w:spacing w:line="30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color w:val="auto"/>
          <w:spacing w:val="-1"/>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color w:val="auto"/>
          <w:sz w:val="24"/>
          <w:szCs w:val="24"/>
          <w:highlight w:val="none"/>
        </w:rPr>
        <w:t xml:space="preserve">）</w:t>
      </w:r>
      <w:r>
        <w:rPr>
          <w:color w:val="auto"/>
          <w:highlight w:val="none"/>
        </w:rPr>
      </w:r>
    </w:p>
    <w:p>
      <w:pPr>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p>
    <w:p>
      <w:pPr>
        <w:ind w:firstLine="312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rPr>
          <w:color w:val="auto"/>
          <w:highlight w:val="none"/>
        </w:rPr>
      </w:r>
    </w:p>
    <w:p>
      <w:pPr>
        <w:pStyle w:val="1149"/>
        <w:spacing w:line="312" w:lineRule="auto"/>
        <w:rPr>
          <w:color w:val="auto"/>
          <w:highlight w:val="none"/>
        </w:rPr>
      </w:pPr>
      <w:r>
        <w:rPr>
          <w:color w:val="auto"/>
          <w:highlight w:val="none"/>
        </w:rPr>
      </w:r>
      <w:r>
        <w:rPr>
          <w:color w:val="auto"/>
          <w:highlight w:val="none"/>
        </w:rPr>
      </w:r>
    </w:p>
    <w:p>
      <w:pPr>
        <w:pStyle w:val="1149"/>
        <w:spacing w:before="10" w:line="312" w:lineRule="auto"/>
        <w:rPr>
          <w:color w:val="auto"/>
          <w:highlight w:val="none"/>
        </w:rPr>
      </w:pPr>
      <w:r>
        <w:rPr>
          <w:color w:val="auto"/>
          <w:highlight w:val="none"/>
        </w:rPr>
      </w:r>
      <w:r>
        <w:rPr>
          <w:color w:val="auto"/>
          <w:highlight w:val="none"/>
        </w:rPr>
      </w:r>
    </w:p>
    <w:p>
      <w:pPr>
        <w:pStyle w:val="913"/>
        <w:rPr>
          <w:rFonts w:hint="eastAsia" w:eastAsia="宋体"/>
          <w:b/>
          <w:bCs/>
          <w:color w:val="auto"/>
          <w:sz w:val="22"/>
          <w:szCs w:val="21"/>
          <w:highlight w:val="none"/>
        </w:rPr>
      </w:pPr>
      <w:r>
        <w:rPr>
          <w:rFonts w:hint="eastAsia"/>
          <w:b/>
          <w:bCs/>
          <w:color w:val="auto"/>
          <w:sz w:val="28"/>
          <w:szCs w:val="28"/>
          <w:highlight w:val="none"/>
          <w:lang w:eastAsia="zh-CN"/>
        </w:rPr>
        <w:t xml:space="preserve">注：根据苏采云系统格式内容填写，投标报价应填写三年的总报价。</w:t>
      </w:r>
      <w:r>
        <w:rPr>
          <w:color w:val="auto"/>
          <w:highlight w:val="none"/>
        </w:rPr>
      </w:r>
    </w:p>
    <w:p>
      <w:pPr>
        <w:ind w:right="264"/>
        <w:jc w:val="center"/>
        <w:spacing w:before="54" w:line="312" w:lineRule="auto"/>
        <w:rPr>
          <w:b/>
          <w:color w:val="auto"/>
          <w:sz w:val="24"/>
          <w:szCs w:val="24"/>
          <w:highlight w:val="none"/>
        </w:rPr>
      </w:pPr>
      <w:r>
        <w:rPr>
          <w:b/>
          <w:color w:val="auto"/>
          <w:sz w:val="24"/>
          <w:szCs w:val="24"/>
          <w:highlight w:val="none"/>
        </w:rPr>
      </w:r>
      <w:r>
        <w:rPr>
          <w:color w:val="auto"/>
          <w:highlight w:val="none"/>
        </w:rPr>
      </w:r>
    </w:p>
    <w:p>
      <w:pPr>
        <w:ind w:right="264"/>
        <w:jc w:val="center"/>
        <w:spacing w:before="54" w:line="312" w:lineRule="auto"/>
        <w:rPr>
          <w:b/>
          <w:color w:val="auto"/>
          <w:sz w:val="24"/>
          <w:szCs w:val="24"/>
          <w:highlight w:val="none"/>
        </w:rPr>
      </w:pPr>
      <w:r>
        <w:rPr>
          <w:b/>
          <w:color w:val="auto"/>
          <w:sz w:val="24"/>
          <w:szCs w:val="24"/>
          <w:highlight w:val="none"/>
        </w:rPr>
      </w:r>
      <w:r>
        <w:rPr>
          <w:color w:val="auto"/>
          <w:highlight w:val="none"/>
        </w:rPr>
      </w:r>
    </w:p>
    <w:p>
      <w:pPr>
        <w:ind w:right="264"/>
        <w:jc w:val="center"/>
        <w:spacing w:before="54" w:line="312" w:lineRule="auto"/>
        <w:rPr>
          <w:b/>
          <w:color w:val="auto"/>
          <w:sz w:val="24"/>
          <w:szCs w:val="24"/>
          <w:highlight w:val="none"/>
        </w:rPr>
      </w:pPr>
      <w:r>
        <w:rPr>
          <w:b/>
          <w:color w:val="auto"/>
          <w:sz w:val="24"/>
          <w:szCs w:val="24"/>
          <w:highlight w:val="none"/>
        </w:rPr>
      </w:r>
      <w:r>
        <w:rPr>
          <w:color w:val="auto"/>
          <w:highlight w:val="none"/>
        </w:rPr>
      </w:r>
    </w:p>
    <w:p>
      <w:pPr>
        <w:rPr>
          <w:color w:val="auto"/>
          <w:sz w:val="32"/>
          <w:szCs w:val="32"/>
          <w:highlight w:val="none"/>
        </w:rPr>
      </w:pPr>
      <w:r>
        <w:rPr>
          <w:color w:val="auto"/>
          <w:sz w:val="32"/>
          <w:szCs w:val="32"/>
          <w:highlight w:val="none"/>
        </w:rPr>
      </w:r>
      <w:r>
        <w:rPr>
          <w:color w:val="auto"/>
          <w:highlight w:val="none"/>
        </w:rPr>
      </w:r>
    </w:p>
    <w:p>
      <w:pPr>
        <w:ind w:right="264"/>
        <w:jc w:val="center"/>
        <w:spacing w:before="54" w:line="312" w:lineRule="auto"/>
        <w:rPr>
          <w:color w:val="auto"/>
          <w:sz w:val="32"/>
          <w:szCs w:val="32"/>
          <w:highlight w:val="none"/>
        </w:rPr>
      </w:pPr>
      <w:r>
        <w:rPr>
          <w:color w:val="auto"/>
          <w:sz w:val="32"/>
          <w:szCs w:val="32"/>
          <w:highlight w:val="none"/>
        </w:rPr>
        <w:t xml:space="preserve"> </w:t>
      </w:r>
      <w:r>
        <w:rPr>
          <w:color w:val="auto"/>
          <w:highlight w:val="none"/>
        </w:rPr>
      </w:r>
    </w:p>
    <w:p>
      <w:pPr>
        <w:rPr>
          <w:color w:val="auto"/>
          <w:sz w:val="32"/>
          <w:szCs w:val="32"/>
          <w:highlight w:val="none"/>
        </w:rPr>
      </w:pPr>
      <w:r>
        <w:rPr>
          <w:color w:val="auto"/>
          <w:sz w:val="32"/>
          <w:szCs w:val="32"/>
          <w:highlight w:val="none"/>
        </w:rPr>
        <w:br w:type="page" w:clear="all"/>
      </w:r>
      <w:r>
        <w:rPr>
          <w:color w:val="auto"/>
          <w:highlight w:val="none"/>
        </w:rPr>
      </w:r>
    </w:p>
    <w:p>
      <w:pPr>
        <w:ind w:right="264"/>
        <w:jc w:val="center"/>
        <w:spacing w:before="54" w:line="312" w:lineRule="auto"/>
        <w:rPr>
          <w:b/>
          <w:color w:val="auto"/>
          <w:sz w:val="28"/>
          <w:szCs w:val="28"/>
          <w:highlight w:val="none"/>
        </w:rPr>
      </w:pPr>
      <w:r>
        <w:rPr>
          <w:rFonts w:hint="eastAsia"/>
          <w:color w:val="auto"/>
          <w:sz w:val="32"/>
          <w:szCs w:val="32"/>
          <w:highlight w:val="none"/>
        </w:rPr>
        <w:t xml:space="preserve">（二）</w:t>
      </w:r>
      <w:r>
        <w:rPr>
          <w:rFonts w:hint="eastAsia"/>
          <w:b/>
          <w:bCs/>
          <w:color w:val="auto"/>
          <w:sz w:val="28"/>
          <w:szCs w:val="28"/>
          <w:highlight w:val="none"/>
        </w:rPr>
        <w:t xml:space="preserve">法定代表人身份证明或</w:t>
      </w:r>
      <w:r>
        <w:rPr>
          <w:rFonts w:hint="eastAsia"/>
          <w:b/>
          <w:color w:val="auto"/>
          <w:sz w:val="28"/>
          <w:szCs w:val="28"/>
          <w:highlight w:val="none"/>
        </w:rPr>
        <w:t xml:space="preserve">法定代表人</w:t>
      </w:r>
      <w:r>
        <w:rPr>
          <w:b/>
          <w:color w:val="auto"/>
          <w:sz w:val="28"/>
          <w:szCs w:val="28"/>
          <w:highlight w:val="none"/>
        </w:rPr>
        <w:t xml:space="preserve">授权委托书</w:t>
      </w:r>
      <w:r>
        <w:rPr>
          <w:color w:val="auto"/>
          <w:highlight w:val="none"/>
        </w:rPr>
      </w:r>
    </w:p>
    <w:p>
      <w:pPr>
        <w:pStyle w:val="1149"/>
        <w:spacing w:line="312" w:lineRule="auto"/>
        <w:rPr>
          <w:b/>
          <w:color w:val="auto"/>
          <w:highlight w:val="none"/>
        </w:rPr>
      </w:pPr>
      <w:r>
        <w:rPr>
          <w:b/>
          <w:color w:val="auto"/>
          <w:highlight w:val="none"/>
        </w:rPr>
      </w:r>
      <w:r>
        <w:rPr>
          <w:color w:val="auto"/>
          <w:highlight w:val="none"/>
        </w:rPr>
      </w:r>
    </w:p>
    <w:p>
      <w:pPr>
        <w:ind w:left="380" w:right="569" w:firstLine="482"/>
        <w:spacing w:before="217" w:line="312" w:lineRule="auto"/>
        <w:tabs>
          <w:tab w:val="left" w:pos="2410" w:leader="none"/>
          <w:tab w:val="left" w:pos="2669" w:leader="none"/>
          <w:tab w:val="left" w:pos="4015" w:leader="none"/>
          <w:tab w:val="left" w:pos="6090" w:leader="none"/>
        </w:tabs>
        <w:rPr>
          <w:color w:val="auto"/>
          <w:sz w:val="24"/>
          <w:szCs w:val="24"/>
          <w:highlight w:val="none"/>
        </w:rPr>
      </w:pPr>
      <w:r>
        <w:rPr>
          <w:color w:val="auto"/>
          <w:sz w:val="24"/>
          <w:szCs w:val="24"/>
          <w:highlight w:val="none"/>
        </w:rPr>
        <w:t xml:space="preserve">本人</w:t>
      </w:r>
      <w:r>
        <w:rPr>
          <w:color w:val="auto"/>
          <w:sz w:val="24"/>
          <w:szCs w:val="24"/>
          <w:highlight w:val="none"/>
          <w:u w:val="single"/>
        </w:rPr>
        <w:tab/>
      </w:r>
      <w:r>
        <w:rPr>
          <w:color w:val="auto"/>
          <w:sz w:val="24"/>
          <w:szCs w:val="24"/>
          <w:highlight w:val="none"/>
          <w:u w:val="single"/>
        </w:rPr>
        <w:tab/>
      </w:r>
      <w:r>
        <w:rPr>
          <w:color w:val="auto"/>
          <w:sz w:val="24"/>
          <w:szCs w:val="24"/>
          <w:highlight w:val="none"/>
        </w:rPr>
        <w:t xml:space="preserve">（法定代</w:t>
      </w:r>
      <w:r>
        <w:rPr>
          <w:color w:val="auto"/>
          <w:spacing w:val="4"/>
          <w:sz w:val="24"/>
          <w:szCs w:val="24"/>
          <w:highlight w:val="none"/>
        </w:rPr>
        <w:t xml:space="preserve">表</w:t>
      </w:r>
      <w:r>
        <w:rPr>
          <w:color w:val="auto"/>
          <w:sz w:val="24"/>
          <w:szCs w:val="24"/>
          <w:highlight w:val="none"/>
        </w:rPr>
        <w:t xml:space="preserve">人姓名）系</w:t>
      </w:r>
      <w:r>
        <w:rPr>
          <w:color w:val="auto"/>
          <w:sz w:val="24"/>
          <w:szCs w:val="24"/>
          <w:highlight w:val="none"/>
          <w:u w:val="single"/>
        </w:rPr>
        <w:tab/>
      </w:r>
      <w:r>
        <w:rPr>
          <w:color w:val="auto"/>
          <w:sz w:val="24"/>
          <w:szCs w:val="24"/>
          <w:highlight w:val="none"/>
        </w:rPr>
        <w:t xml:space="preserve">（供应</w:t>
      </w:r>
      <w:r>
        <w:rPr>
          <w:color w:val="auto"/>
          <w:spacing w:val="4"/>
          <w:sz w:val="24"/>
          <w:szCs w:val="24"/>
          <w:highlight w:val="none"/>
        </w:rPr>
        <w:t xml:space="preserve">商</w:t>
      </w:r>
      <w:r>
        <w:rPr>
          <w:color w:val="auto"/>
          <w:sz w:val="24"/>
          <w:szCs w:val="24"/>
          <w:highlight w:val="none"/>
        </w:rPr>
        <w:t xml:space="preserve">名称）</w:t>
      </w:r>
      <w:r>
        <w:rPr>
          <w:color w:val="auto"/>
          <w:spacing w:val="4"/>
          <w:sz w:val="24"/>
          <w:szCs w:val="24"/>
          <w:highlight w:val="none"/>
        </w:rPr>
        <w:t xml:space="preserve">的</w:t>
      </w:r>
      <w:r>
        <w:rPr>
          <w:color w:val="auto"/>
          <w:sz w:val="24"/>
          <w:szCs w:val="24"/>
          <w:highlight w:val="none"/>
        </w:rPr>
        <w:t xml:space="preserve">法定代表人，现委托</w:t>
      </w:r>
      <w:r>
        <w:rPr>
          <w:color w:val="auto"/>
          <w:sz w:val="24"/>
          <w:szCs w:val="24"/>
          <w:highlight w:val="none"/>
          <w:u w:val="single"/>
        </w:rPr>
        <w:tab/>
      </w:r>
      <w:r>
        <w:rPr>
          <w:color w:val="auto"/>
          <w:sz w:val="24"/>
          <w:szCs w:val="24"/>
          <w:highlight w:val="none"/>
        </w:rPr>
        <w:t xml:space="preserve">（姓名）为我方代理人。代理人根据授权，以我方名义签署、澄清、说明、补正</w:t>
      </w:r>
      <w:r>
        <w:rPr>
          <w:color w:val="auto"/>
          <w:spacing w:val="-10"/>
          <w:sz w:val="24"/>
          <w:szCs w:val="24"/>
          <w:highlight w:val="none"/>
        </w:rPr>
        <w:t xml:space="preserve">、</w:t>
      </w:r>
      <w:r>
        <w:rPr>
          <w:color w:val="auto"/>
          <w:sz w:val="24"/>
          <w:szCs w:val="24"/>
          <w:highlight w:val="none"/>
        </w:rPr>
        <w:t xml:space="preserve">递交</w:t>
      </w:r>
      <w:r>
        <w:rPr>
          <w:color w:val="auto"/>
          <w:spacing w:val="-8"/>
          <w:sz w:val="24"/>
          <w:szCs w:val="24"/>
          <w:highlight w:val="none"/>
        </w:rPr>
        <w:t xml:space="preserve">、</w:t>
      </w:r>
      <w:r>
        <w:rPr>
          <w:color w:val="auto"/>
          <w:sz w:val="24"/>
          <w:szCs w:val="24"/>
          <w:highlight w:val="none"/>
        </w:rPr>
        <w:t xml:space="preserve">撤回</w:t>
      </w:r>
      <w:r>
        <w:rPr>
          <w:color w:val="auto"/>
          <w:spacing w:val="-10"/>
          <w:sz w:val="24"/>
          <w:szCs w:val="24"/>
          <w:highlight w:val="none"/>
        </w:rPr>
        <w:t xml:space="preserve">、</w:t>
      </w:r>
      <w:r>
        <w:rPr>
          <w:color w:val="auto"/>
          <w:sz w:val="24"/>
          <w:szCs w:val="24"/>
          <w:highlight w:val="none"/>
        </w:rPr>
        <w:t xml:space="preserve">修改</w:t>
      </w:r>
      <w:r>
        <w:rPr>
          <w:rFonts w:hint="eastAsia"/>
          <w:color w:val="auto"/>
          <w:sz w:val="24"/>
          <w:szCs w:val="24"/>
          <w:highlight w:val="none"/>
        </w:rPr>
        <w:t xml:space="preserve"> </w:t>
      </w:r>
      <w:r>
        <w:rPr>
          <w:color w:val="auto"/>
          <w:sz w:val="24"/>
          <w:szCs w:val="24"/>
          <w:highlight w:val="none"/>
          <w:u w:val="single"/>
        </w:rPr>
        <w:tab/>
      </w:r>
      <w:r>
        <w:rPr>
          <w:color w:val="auto"/>
          <w:sz w:val="24"/>
          <w:szCs w:val="24"/>
          <w:highlight w:val="none"/>
        </w:rPr>
        <w:t xml:space="preserve">（项目名称</w:t>
      </w:r>
      <w:r>
        <w:rPr>
          <w:color w:val="auto"/>
          <w:spacing w:val="-8"/>
          <w:sz w:val="24"/>
          <w:szCs w:val="24"/>
          <w:highlight w:val="none"/>
        </w:rPr>
        <w:t xml:space="preserve">）</w:t>
      </w:r>
      <w:r>
        <w:rPr>
          <w:color w:val="auto"/>
          <w:sz w:val="24"/>
          <w:szCs w:val="24"/>
          <w:highlight w:val="none"/>
        </w:rPr>
        <w:t xml:space="preserve">响应文件</w:t>
      </w:r>
      <w:r>
        <w:rPr>
          <w:color w:val="auto"/>
          <w:spacing w:val="-8"/>
          <w:sz w:val="24"/>
          <w:szCs w:val="24"/>
          <w:highlight w:val="none"/>
        </w:rPr>
        <w:t xml:space="preserve">、</w:t>
      </w:r>
      <w:r>
        <w:rPr>
          <w:color w:val="auto"/>
          <w:sz w:val="24"/>
          <w:szCs w:val="24"/>
          <w:highlight w:val="none"/>
        </w:rPr>
        <w:t xml:space="preserve">参加磋商</w:t>
      </w:r>
      <w:r>
        <w:rPr>
          <w:color w:val="auto"/>
          <w:spacing w:val="-10"/>
          <w:sz w:val="24"/>
          <w:szCs w:val="24"/>
          <w:highlight w:val="none"/>
        </w:rPr>
        <w:t xml:space="preserve">、</w:t>
      </w:r>
      <w:r>
        <w:rPr>
          <w:color w:val="auto"/>
          <w:sz w:val="24"/>
          <w:szCs w:val="24"/>
          <w:highlight w:val="none"/>
        </w:rPr>
        <w:t xml:space="preserve">签订合同和处理有关事宜，其法律后果由我方承担。</w:t>
      </w:r>
      <w:r>
        <w:rPr>
          <w:color w:val="auto"/>
          <w:highlight w:val="none"/>
        </w:rPr>
      </w:r>
    </w:p>
    <w:p>
      <w:pPr>
        <w:pStyle w:val="983"/>
        <w:ind w:firstLine="480"/>
        <w:rPr>
          <w:color w:val="auto"/>
          <w:highlight w:val="none"/>
          <w:u w:val="single"/>
        </w:rPr>
      </w:pPr>
      <w:r>
        <w:rPr>
          <w:rFonts w:ascii="Times New Roman" w:hAnsi="Times New Roman" w:eastAsia="宋体" w:cs="Times New Roman"/>
          <w:color w:val="auto"/>
          <w:sz w:val="24"/>
          <w:szCs w:val="24"/>
          <w:highlight w:val="none"/>
        </w:rPr>
        <w:t xml:space="preserve">委托期限：</w:t>
      </w:r>
      <w:r>
        <w:rPr>
          <w:rFonts w:ascii="Times New Roman" w:hAnsi="Times New Roman" w:eastAsia="宋体" w:cs="Times New Roman"/>
          <w:color w:val="auto"/>
          <w:sz w:val="24"/>
          <w:szCs w:val="24"/>
          <w:highlight w:val="none"/>
          <w:u w:val="single"/>
        </w:rPr>
        <w:t xml:space="preserve"> 自本委托书签署之日起至投标有效期</w:t>
      </w:r>
      <w:r>
        <w:rPr>
          <w:rFonts w:hint="eastAsia" w:ascii="Times New Roman" w:hAnsi="Times New Roman" w:eastAsia="宋体" w:cs="Times New Roman"/>
          <w:color w:val="auto"/>
          <w:sz w:val="24"/>
          <w:szCs w:val="24"/>
          <w:highlight w:val="none"/>
          <w:u w:val="single"/>
        </w:rPr>
        <w:t xml:space="preserve">期满。</w:t>
      </w:r>
      <w:r>
        <w:rPr>
          <w:color w:val="auto"/>
          <w:highlight w:val="none"/>
        </w:rPr>
      </w:r>
    </w:p>
    <w:p>
      <w:pPr>
        <w:pStyle w:val="983"/>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代理人无</w:t>
      </w:r>
      <w:r>
        <w:rPr>
          <w:rFonts w:ascii="Times New Roman" w:hAnsi="Times New Roman" w:eastAsia="宋体" w:cs="Times New Roman"/>
          <w:color w:val="auto"/>
          <w:sz w:val="24"/>
          <w:szCs w:val="24"/>
          <w:highlight w:val="none"/>
        </w:rPr>
        <w:t xml:space="preserve">转委托权</w:t>
      </w:r>
      <w:r>
        <w:rPr>
          <w:color w:val="auto"/>
          <w:highlight w:val="none"/>
        </w:rPr>
      </w:r>
    </w:p>
    <w:p>
      <w:pPr>
        <w:ind w:left="862" w:right="3552"/>
        <w:spacing w:line="312" w:lineRule="auto"/>
        <w:rPr>
          <w:color w:val="auto"/>
          <w:sz w:val="24"/>
          <w:szCs w:val="24"/>
          <w:highlight w:val="none"/>
        </w:rPr>
      </w:pPr>
      <w:r>
        <w:rPr>
          <w:color w:val="auto"/>
          <w:sz w:val="24"/>
          <w:szCs w:val="24"/>
          <w:highlight w:val="none"/>
        </w:rPr>
      </w:r>
      <w:r>
        <w:rPr>
          <w:color w:val="auto"/>
          <w:highlight w:val="none"/>
        </w:rPr>
      </w:r>
    </w:p>
    <w:p>
      <w:pPr>
        <w:ind w:left="862"/>
        <w:spacing w:line="312" w:lineRule="auto"/>
        <w:rPr>
          <w:color w:val="auto"/>
          <w:sz w:val="24"/>
          <w:szCs w:val="24"/>
          <w:highlight w:val="none"/>
        </w:rPr>
      </w:pPr>
      <w:r>
        <w:rPr>
          <w:color w:val="auto"/>
          <w:sz w:val="24"/>
          <w:szCs w:val="24"/>
          <w:highlight w:val="none"/>
        </w:rPr>
        <w:t xml:space="preserve">附：法定代表人身份证扫描件及委托代理人身份证扫描件。</w:t>
      </w:r>
      <w:r>
        <w:rPr>
          <w:color w:val="auto"/>
          <w:highlight w:val="none"/>
        </w:rPr>
      </w:r>
    </w:p>
    <w:p>
      <w:pPr>
        <w:pStyle w:val="1149"/>
        <w:spacing w:before="5" w:line="312" w:lineRule="auto"/>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983"/>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983"/>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1149"/>
        <w:spacing w:before="8" w:line="312" w:lineRule="auto"/>
        <w:rPr>
          <w:color w:val="auto"/>
          <w:highlight w:val="none"/>
        </w:rPr>
      </w:pPr>
      <w:r>
        <w:rPr>
          <w:color w:val="auto"/>
          <w:highlight w:val="none"/>
        </w:rPr>
      </w:r>
      <w:r>
        <w:rPr>
          <w:color w:val="auto"/>
          <w:highlight w:val="none"/>
        </w:rPr>
      </w:r>
    </w:p>
    <w:p>
      <w:pPr>
        <w:pStyle w:val="1149"/>
        <w:ind w:right="639"/>
        <w:jc w:val="right"/>
        <w:spacing w:before="77" w:line="312" w:lineRule="auto"/>
        <w:tabs>
          <w:tab w:val="clear" w:pos="567" w:leader="none"/>
          <w:tab w:val="left" w:pos="3959" w:leader="none"/>
        </w:tabs>
        <w:rPr>
          <w:color w:val="auto"/>
          <w:highlight w:val="none"/>
        </w:rPr>
      </w:pPr>
      <w:r>
        <w:rPr>
          <w:color w:val="auto"/>
          <w:highlight w:val="none"/>
        </w:rPr>
        <w:t xml:space="preserve">供</w:t>
      </w:r>
      <w:r>
        <w:rPr>
          <w:color w:val="auto"/>
          <w:spacing w:val="-3"/>
          <w:highlight w:val="none"/>
        </w:rPr>
        <w:t xml:space="preserve">应</w:t>
      </w:r>
      <w:r>
        <w:rPr>
          <w:color w:val="auto"/>
          <w:highlight w:val="none"/>
        </w:rPr>
        <w:t xml:space="preserve">商</w:t>
      </w:r>
      <w:r>
        <w:rPr>
          <w:color w:val="auto"/>
          <w:spacing w:val="-3"/>
          <w:highlight w:val="none"/>
        </w:rPr>
        <w:t xml:space="preserve">：</w:t>
      </w:r>
      <w:r>
        <w:rPr>
          <w:rFonts w:hint="eastAsia"/>
          <w:color w:val="auto"/>
          <w:spacing w:val="-3"/>
          <w:highlight w:val="none"/>
          <w:u w:val="single"/>
        </w:rPr>
        <w:t xml:space="preserve">              </w:t>
      </w:r>
      <w:r>
        <w:rPr>
          <w:color w:val="auto"/>
          <w:spacing w:val="-1"/>
          <w:highlight w:val="none"/>
        </w:rPr>
        <w:t xml:space="preserve">（</w:t>
      </w:r>
      <w:r>
        <w:rPr>
          <w:rFonts w:hint="eastAsia" w:ascii="Times New Roman" w:hAnsi="Times New Roman"/>
          <w:color w:val="auto"/>
          <w:highlight w:val="none"/>
        </w:rPr>
        <w:t xml:space="preserve">加盖</w:t>
      </w:r>
      <w:r>
        <w:rPr>
          <w:rFonts w:ascii="Times New Roman" w:hAnsi="Times New Roman"/>
          <w:color w:val="auto"/>
          <w:highlight w:val="none"/>
        </w:rPr>
        <w:t xml:space="preserve">CA</w:t>
      </w:r>
      <w:r>
        <w:rPr>
          <w:rFonts w:hint="eastAsia" w:ascii="Times New Roman" w:hAnsi="Times New Roman"/>
          <w:color w:val="auto"/>
          <w:highlight w:val="none"/>
        </w:rPr>
        <w:t xml:space="preserve">电子公章</w:t>
      </w:r>
      <w:r>
        <w:rPr>
          <w:color w:val="auto"/>
          <w:highlight w:val="none"/>
        </w:rPr>
        <w:t xml:space="preserve">）</w:t>
      </w:r>
      <w:r>
        <w:rPr>
          <w:color w:val="auto"/>
          <w:highlight w:val="none"/>
        </w:rPr>
      </w:r>
    </w:p>
    <w:p>
      <w:pPr>
        <w:pStyle w:val="1149"/>
        <w:spacing w:line="312" w:lineRule="auto"/>
        <w:rPr>
          <w:color w:val="auto"/>
          <w:highlight w:val="none"/>
        </w:rPr>
      </w:pPr>
      <w:r>
        <w:rPr>
          <w:color w:val="auto"/>
          <w:highlight w:val="none"/>
        </w:rPr>
      </w:r>
      <w:r>
        <w:rPr>
          <w:color w:val="auto"/>
          <w:highlight w:val="none"/>
        </w:rPr>
      </w:r>
    </w:p>
    <w:p>
      <w:pPr>
        <w:pStyle w:val="1149"/>
        <w:ind w:right="639"/>
        <w:jc w:val="right"/>
        <w:spacing w:before="1" w:line="312" w:lineRule="auto"/>
        <w:tabs>
          <w:tab w:val="clear" w:pos="567" w:leader="none"/>
          <w:tab w:val="left" w:pos="3299" w:leader="none"/>
        </w:tabs>
        <w:rPr>
          <w:color w:val="auto"/>
          <w:highlight w:val="none"/>
        </w:rPr>
      </w:pPr>
      <w:r>
        <w:rPr>
          <w:color w:val="auto"/>
          <w:highlight w:val="none"/>
        </w:rPr>
        <w:t xml:space="preserve">法</w:t>
      </w:r>
      <w:r>
        <w:rPr>
          <w:color w:val="auto"/>
          <w:spacing w:val="-3"/>
          <w:highlight w:val="none"/>
        </w:rPr>
        <w:t xml:space="preserve">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highlight w:val="none"/>
          <w:u w:val="single"/>
        </w:rPr>
        <w:tab/>
      </w:r>
      <w:r>
        <w:rPr>
          <w:color w:val="auto"/>
          <w:spacing w:val="-1"/>
          <w:highlight w:val="none"/>
        </w:rPr>
        <w:t xml:space="preserve">（</w:t>
      </w:r>
      <w:r>
        <w:rPr>
          <w:color w:val="auto"/>
          <w:spacing w:val="-3"/>
          <w:highlight w:val="none"/>
        </w:rPr>
        <w:t xml:space="preserve">电子签章或签字</w:t>
      </w:r>
      <w:r>
        <w:rPr>
          <w:color w:val="auto"/>
          <w:highlight w:val="none"/>
        </w:rPr>
        <w:t xml:space="preserve">）</w:t>
      </w:r>
      <w:r>
        <w:rPr>
          <w:color w:val="auto"/>
          <w:highlight w:val="none"/>
        </w:rPr>
      </w:r>
    </w:p>
    <w:p>
      <w:pPr>
        <w:pStyle w:val="1149"/>
        <w:spacing w:line="312" w:lineRule="auto"/>
        <w:rPr>
          <w:color w:val="auto"/>
          <w:highlight w:val="none"/>
        </w:rPr>
      </w:pPr>
      <w:r>
        <w:rPr>
          <w:color w:val="auto"/>
          <w:highlight w:val="none"/>
        </w:rPr>
      </w:r>
      <w:r>
        <w:rPr>
          <w:color w:val="auto"/>
          <w:highlight w:val="none"/>
        </w:rPr>
      </w:r>
    </w:p>
    <w:p>
      <w:pPr>
        <w:pStyle w:val="1149"/>
        <w:ind w:right="639"/>
        <w:jc w:val="right"/>
        <w:spacing w:line="312" w:lineRule="auto"/>
        <w:tabs>
          <w:tab w:val="clear" w:pos="567" w:leader="none"/>
          <w:tab w:val="left" w:pos="3299" w:leader="none"/>
        </w:tabs>
        <w:rPr>
          <w:color w:val="auto"/>
          <w:highlight w:val="none"/>
        </w:rPr>
      </w:pPr>
      <w:r>
        <w:rPr>
          <w:color w:val="auto"/>
          <w:highlight w:val="none"/>
        </w:rPr>
        <w:t xml:space="preserve">授</w:t>
      </w:r>
      <w:r>
        <w:rPr>
          <w:color w:val="auto"/>
          <w:spacing w:val="-3"/>
          <w:highlight w:val="none"/>
        </w:rPr>
        <w:t xml:space="preserve">权</w:t>
      </w:r>
      <w:r>
        <w:rPr>
          <w:color w:val="auto"/>
          <w:highlight w:val="none"/>
        </w:rPr>
        <w:t xml:space="preserve">委</w:t>
      </w:r>
      <w:r>
        <w:rPr>
          <w:color w:val="auto"/>
          <w:spacing w:val="-3"/>
          <w:highlight w:val="none"/>
        </w:rPr>
        <w:t xml:space="preserve">托</w:t>
      </w:r>
      <w:r>
        <w:rPr>
          <w:color w:val="auto"/>
          <w:highlight w:val="none"/>
        </w:rPr>
        <w:t xml:space="preserve">人：</w:t>
      </w:r>
      <w:r>
        <w:rPr>
          <w:color w:val="auto"/>
          <w:highlight w:val="none"/>
          <w:u w:val="single"/>
        </w:rPr>
        <w:tab/>
      </w:r>
      <w:r>
        <w:rPr>
          <w:color w:val="auto"/>
          <w:spacing w:val="-1"/>
          <w:highlight w:val="none"/>
        </w:rPr>
        <w:t xml:space="preserve">（</w:t>
      </w:r>
      <w:r>
        <w:rPr>
          <w:color w:val="auto"/>
          <w:spacing w:val="-3"/>
          <w:highlight w:val="none"/>
        </w:rPr>
        <w:t xml:space="preserve">电子签章或签字</w:t>
      </w:r>
      <w:r>
        <w:rPr>
          <w:color w:val="auto"/>
          <w:highlight w:val="none"/>
        </w:rPr>
        <w:t xml:space="preserve">）</w:t>
      </w:r>
      <w:r>
        <w:rPr>
          <w:color w:val="auto"/>
          <w:highlight w:val="none"/>
        </w:rPr>
      </w:r>
    </w:p>
    <w:p>
      <w:pPr>
        <w:pStyle w:val="1149"/>
        <w:spacing w:line="312" w:lineRule="auto"/>
        <w:rPr>
          <w:color w:val="auto"/>
          <w:highlight w:val="none"/>
        </w:rPr>
      </w:pPr>
      <w:r>
        <w:rPr>
          <w:color w:val="auto"/>
          <w:highlight w:val="none"/>
        </w:rPr>
      </w:r>
      <w:r>
        <w:rPr>
          <w:color w:val="auto"/>
          <w:highlight w:val="none"/>
        </w:rPr>
      </w:r>
    </w:p>
    <w:p>
      <w:pPr>
        <w:pStyle w:val="1149"/>
        <w:ind w:right="640"/>
        <w:jc w:val="right"/>
        <w:spacing w:line="312" w:lineRule="auto"/>
        <w:tabs>
          <w:tab w:val="clear" w:pos="567" w:leader="none"/>
          <w:tab w:val="left" w:pos="770" w:leader="none"/>
          <w:tab w:val="left" w:pos="1430" w:leader="none"/>
        </w:tabs>
        <w:rPr>
          <w:color w:val="auto"/>
          <w:highlight w:val="none"/>
        </w:rPr>
      </w:pPr>
      <w:r>
        <w:rPr>
          <w:color w:val="auto"/>
          <w:highlight w:val="none"/>
        </w:rPr>
        <w:t xml:space="preserve">年</w:t>
      </w:r>
      <w:r>
        <w:rPr>
          <w:color w:val="auto"/>
          <w:highlight w:val="none"/>
        </w:rPr>
        <w:tab/>
      </w:r>
      <w:r>
        <w:rPr>
          <w:color w:val="auto"/>
          <w:highlight w:val="none"/>
        </w:rPr>
        <w:t xml:space="preserve">月</w:t>
      </w:r>
      <w:r>
        <w:rPr>
          <w:color w:val="auto"/>
          <w:highlight w:val="none"/>
        </w:rPr>
        <w:tab/>
      </w:r>
      <w:r>
        <w:rPr>
          <w:color w:val="auto"/>
          <w:highlight w:val="none"/>
        </w:rPr>
        <w:t xml:space="preserve">日</w:t>
      </w:r>
      <w:r>
        <w:rPr>
          <w:color w:val="auto"/>
          <w:highlight w:val="none"/>
        </w:rPr>
      </w:r>
    </w:p>
    <w:p>
      <w:pPr>
        <w:pStyle w:val="1133"/>
        <w:rPr>
          <w:b w:val="0"/>
          <w:bCs w:val="0"/>
          <w:color w:val="auto"/>
          <w:sz w:val="32"/>
          <w:szCs w:val="32"/>
          <w:highlight w:val="none"/>
        </w:rPr>
      </w:pPr>
      <w:r>
        <w:rPr>
          <w:b w:val="0"/>
          <w:bCs w:val="0"/>
          <w:color w:val="auto"/>
          <w:sz w:val="32"/>
          <w:szCs w:val="32"/>
          <w:highlight w:val="none"/>
        </w:rPr>
        <w:t xml:space="preserve"> </w:t>
      </w:r>
      <w:bookmarkEnd w:id="282"/>
      <w:r>
        <w:rPr>
          <w:color w:val="auto"/>
          <w:highlight w:val="none"/>
        </w:rPr>
      </w:r>
      <w:bookmarkEnd w:id="283"/>
      <w:r>
        <w:rPr>
          <w:color w:val="auto"/>
          <w:highlight w:val="none"/>
        </w:rPr>
      </w:r>
      <w:r>
        <w:rPr>
          <w:color w:val="auto"/>
          <w:highlight w:val="none"/>
        </w:rPr>
      </w:r>
    </w:p>
    <w:p>
      <w:pPr>
        <w:rPr>
          <w:color w:val="auto"/>
          <w:sz w:val="32"/>
          <w:szCs w:val="32"/>
          <w:highlight w:val="none"/>
        </w:rPr>
      </w:pPr>
      <w:r>
        <w:rPr>
          <w:color w:val="auto"/>
          <w:sz w:val="32"/>
          <w:szCs w:val="32"/>
          <w:highlight w:val="none"/>
        </w:rPr>
        <w:br w:type="page" w:clear="all"/>
      </w:r>
      <w:r>
        <w:rPr>
          <w:color w:val="auto"/>
          <w:highlight w:val="none"/>
        </w:rPr>
      </w:r>
    </w:p>
    <w:p>
      <w:pPr>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b/>
          <w:color w:val="auto"/>
          <w:sz w:val="28"/>
          <w:szCs w:val="28"/>
          <w:highlight w:val="none"/>
        </w:rPr>
        <w:t xml:space="preserve">（三）</w:t>
      </w:r>
      <w:r>
        <w:rPr>
          <w:rFonts w:ascii="黑体" w:hAnsi="黑体" w:eastAsia="黑体" w:cs="黑体"/>
          <w:b/>
          <w:color w:val="auto"/>
          <w:sz w:val="30"/>
          <w:highlight w:val="none"/>
        </w:rPr>
        <w:t xml:space="preserve">投标人基本情况表</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bl>
      <w:tblPr>
        <w:tblStyle w:val="9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2"/>
        <w:gridCol w:w="895"/>
        <w:gridCol w:w="1134"/>
        <w:gridCol w:w="1353"/>
        <w:gridCol w:w="206"/>
        <w:gridCol w:w="1219"/>
        <w:gridCol w:w="441"/>
        <w:gridCol w:w="527"/>
        <w:gridCol w:w="1998"/>
      </w:tblGrid>
      <w:tr>
        <w:trPr>
          <w:trHeight w:val="462"/>
        </w:trPr>
        <w:tc>
          <w:tcPr>
            <w:tcBorders>
              <w:top w:val="single" w:color="000000" w:sz="1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投标人名称</w:t>
            </w:r>
            <w:r>
              <w:rPr>
                <w:color w:val="auto"/>
                <w:highlight w:val="none"/>
              </w:rPr>
            </w:r>
          </w:p>
        </w:tc>
        <w:tc>
          <w:tcPr>
            <w:gridSpan w:val="8"/>
            <w:tcBorders>
              <w:top w:val="single" w:color="000000" w:sz="18"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注册地址</w:t>
            </w:r>
            <w:r>
              <w:rPr>
                <w:color w:val="auto"/>
                <w:highlight w:val="none"/>
              </w:rPr>
            </w:r>
          </w:p>
        </w:tc>
        <w:tc>
          <w:tcPr>
            <w:gridSpan w:val="4"/>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365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3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rPr>
                <w:color w:val="auto"/>
                <w:highlight w:val="none"/>
              </w:rP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联系方式</w:t>
            </w:r>
            <w:r>
              <w:rPr>
                <w:color w:val="auto"/>
                <w:highlight w:val="none"/>
              </w:rP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w:t>
            </w:r>
            <w:r>
              <w:rPr>
                <w:color w:val="auto"/>
                <w:highlight w:val="none"/>
              </w:rP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传真</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网址</w:t>
            </w:r>
            <w:r>
              <w:rPr>
                <w:color w:val="auto"/>
                <w:highlight w:val="none"/>
              </w:rP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组织结构</w:t>
            </w:r>
            <w:r>
              <w:rPr>
                <w:color w:val="auto"/>
                <w:highlight w:val="none"/>
              </w:rPr>
            </w:r>
          </w:p>
        </w:tc>
        <w:tc>
          <w:tcPr>
            <w:gridSpan w:val="8"/>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rPr>
                <w:color w:val="auto"/>
                <w:highlight w:val="none"/>
              </w:rP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姓名</w:t>
            </w:r>
            <w:r>
              <w:rPr>
                <w:color w:val="auto"/>
                <w:highlight w:val="none"/>
              </w:rP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技术职称</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w:t>
            </w:r>
            <w:r>
              <w:rPr>
                <w:color w:val="auto"/>
                <w:highlight w:val="none"/>
              </w:rP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技术负责人</w:t>
            </w:r>
            <w:r>
              <w:rPr>
                <w:color w:val="auto"/>
                <w:highlight w:val="none"/>
              </w:rP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姓名</w:t>
            </w:r>
            <w:r>
              <w:rPr>
                <w:color w:val="auto"/>
                <w:highlight w:val="none"/>
              </w:rP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技术职称</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w:t>
            </w:r>
            <w:r>
              <w:rPr>
                <w:color w:val="auto"/>
                <w:highlight w:val="none"/>
              </w:rP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成立时间</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gridSpan w:val="6"/>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员工总人数：</w:t>
            </w:r>
            <w:r>
              <w:rPr>
                <w:color w:val="auto"/>
                <w:highlight w:val="none"/>
              </w:rP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企业资质等级</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w:t>
            </w:r>
            <w:r>
              <w:rPr>
                <w:color w:val="auto"/>
                <w:highlight w:val="none"/>
              </w:rP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项目经理</w:t>
            </w:r>
            <w:r>
              <w:rPr>
                <w:color w:val="auto"/>
                <w:highlight w:val="none"/>
              </w:rP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营业执照号</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color w:val="auto"/>
                <w:highlight w:val="none"/>
              </w:rPr>
            </w:pP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高级职称人员</w:t>
            </w:r>
            <w:r>
              <w:rPr>
                <w:color w:val="auto"/>
                <w:highlight w:val="none"/>
              </w:rP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注册资金</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color w:val="auto"/>
                <w:highlight w:val="none"/>
              </w:rPr>
            </w:pP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中级职称人员</w:t>
            </w:r>
            <w:r>
              <w:rPr>
                <w:color w:val="auto"/>
                <w:highlight w:val="none"/>
              </w:rP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color w:val="auto"/>
                <w:highlight w:val="none"/>
              </w:rPr>
            </w:pP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初级职称人员</w:t>
            </w:r>
            <w:r>
              <w:rPr>
                <w:color w:val="auto"/>
                <w:highlight w:val="none"/>
              </w:rP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账号</w:t>
            </w:r>
            <w:r>
              <w:rPr>
                <w:color w:val="auto"/>
                <w:highlight w:val="none"/>
              </w:rP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color w:val="auto"/>
                <w:highlight w:val="none"/>
              </w:rPr>
            </w:pP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技工</w:t>
            </w:r>
            <w:r>
              <w:rPr>
                <w:color w:val="auto"/>
                <w:highlight w:val="none"/>
              </w:rP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p>
        </w:tc>
      </w:tr>
      <w:tr>
        <w:trPr>
          <w:trHeight w:val="2442"/>
        </w:trPr>
        <w:tc>
          <w:tcPr>
            <w:tcBorders>
              <w:top w:val="single" w:color="000000" w:sz="2"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经营范围</w:t>
            </w:r>
            <w:r>
              <w:rPr>
                <w:color w:val="auto"/>
                <w:highlight w:val="none"/>
              </w:rPr>
            </w:r>
          </w:p>
        </w:tc>
        <w:tc>
          <w:tcPr>
            <w:gridSpan w:val="8"/>
            <w:tcBorders>
              <w:top w:val="single" w:color="000000" w:sz="2"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备注</w:t>
            </w:r>
            <w:r>
              <w:rPr>
                <w:color w:val="auto"/>
                <w:highlight w:val="none"/>
              </w:rP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投标日期：</w:t>
      </w:r>
      <w:r>
        <w:rPr>
          <w:rFonts w:ascii="Arial" w:hAnsi="Arial" w:eastAsia="Arial" w:cs="Arial"/>
          <w:color w:val="auto"/>
          <w:sz w:val="24"/>
          <w:highlight w:val="none"/>
          <w:u w:val="single"/>
        </w:rPr>
        <w:t xml:space="preserve">                </w:t>
      </w:r>
      <w:r>
        <w:rPr>
          <w:color w:val="auto"/>
          <w:highlight w:val="none"/>
        </w:rP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p>
    <w:p>
      <w:pPr>
        <w:ind w:right="264"/>
        <w:jc w:val="center"/>
        <w:spacing w:before="54" w:line="312" w:lineRule="auto"/>
        <w:rPr>
          <w:b/>
          <w:bCs/>
          <w:color w:val="auto"/>
          <w:sz w:val="28"/>
          <w:szCs w:val="28"/>
          <w:highlight w:val="none"/>
        </w:rPr>
      </w:pPr>
      <w:r>
        <w:rPr>
          <w:rFonts w:hint="eastAsia"/>
          <w:b/>
          <w:color w:val="auto"/>
          <w:sz w:val="28"/>
          <w:szCs w:val="28"/>
          <w:highlight w:val="none"/>
        </w:rPr>
        <w:t xml:space="preserve">二、资格证明文件</w:t>
      </w:r>
      <w:r>
        <w:rPr>
          <w:color w:val="auto"/>
          <w:highlight w:val="none"/>
        </w:rP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（一）独立承担民事行为的能力证明</w:t>
      </w:r>
      <w:r>
        <w:rPr>
          <w:color w:val="auto"/>
          <w:highlight w:val="none"/>
        </w:rPr>
      </w:r>
    </w:p>
    <w:p>
      <w:pPr>
        <w:pStyle w:val="1149"/>
        <w:spacing w:line="360" w:lineRule="auto"/>
        <w:rPr>
          <w:b/>
          <w:bCs/>
          <w:color w:val="auto"/>
          <w:sz w:val="28"/>
          <w:szCs w:val="28"/>
          <w:highlight w:val="none"/>
        </w:rPr>
      </w:pPr>
      <w:r>
        <w:rPr>
          <w:b/>
          <w:bCs/>
          <w:color w:val="auto"/>
          <w:sz w:val="28"/>
          <w:szCs w:val="28"/>
          <w:highlight w:val="none"/>
        </w:rPr>
      </w:r>
      <w:r>
        <w:rPr>
          <w:color w:val="auto"/>
          <w:highlight w:val="none"/>
        </w:rP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149"/>
              <w:jc w:val="center"/>
              <w:spacing w:line="360" w:lineRule="auto"/>
              <w:rPr>
                <w:b/>
                <w:bCs/>
                <w:color w:val="auto"/>
                <w:szCs w:val="28"/>
                <w:highlight w:val="none"/>
              </w:rPr>
            </w:pPr>
            <w:r>
              <w:rPr>
                <w:rFonts w:hint="eastAsia"/>
                <w:b/>
                <w:bCs/>
                <w:color w:val="auto"/>
                <w:szCs w:val="21"/>
                <w:highlight w:val="none"/>
              </w:rPr>
              <w:t xml:space="preserve">提供法人或者其他组织的营业执照等证明文件，自然人的身份证明。</w:t>
            </w:r>
            <w:r>
              <w:rPr>
                <w:color w:val="auto"/>
                <w:highlight w:val="none"/>
              </w:rPr>
            </w:r>
          </w:p>
        </w:tc>
      </w:tr>
    </w:tbl>
    <w:p>
      <w:pPr>
        <w:pStyle w:val="1149"/>
        <w:spacing w:line="360" w:lineRule="auto"/>
        <w:rPr>
          <w:b/>
          <w:bCs/>
          <w:color w:val="auto"/>
          <w:sz w:val="28"/>
          <w:szCs w:val="28"/>
          <w:highlight w:val="none"/>
        </w:rPr>
      </w:pPr>
      <w:r>
        <w:rPr>
          <w:b/>
          <w:bCs/>
          <w:color w:val="auto"/>
          <w:sz w:val="28"/>
          <w:szCs w:val="28"/>
          <w:highlight w:val="none"/>
        </w:rPr>
      </w:r>
      <w:r>
        <w:rPr>
          <w:color w:val="auto"/>
          <w:highlight w:val="none"/>
        </w:rPr>
      </w:r>
    </w:p>
    <w:p>
      <w:pPr>
        <w:rPr>
          <w:color w:val="auto"/>
          <w:sz w:val="32"/>
          <w:szCs w:val="32"/>
          <w:highlight w:val="none"/>
        </w:rPr>
      </w:pPr>
      <w:r>
        <w:rPr>
          <w:color w:val="auto"/>
          <w:sz w:val="32"/>
          <w:szCs w:val="32"/>
          <w:highlight w:val="none"/>
        </w:rPr>
        <w:br w:type="page" w:clear="all"/>
      </w:r>
      <w:r>
        <w:rPr>
          <w:color w:val="auto"/>
          <w:highlight w:val="none"/>
        </w:rPr>
      </w:r>
    </w:p>
    <w:p>
      <w:pPr>
        <w:ind w:right="264"/>
        <w:jc w:val="center"/>
        <w:spacing w:before="54" w:line="312" w:lineRule="auto"/>
        <w:rPr>
          <w:b/>
          <w:bCs/>
          <w:color w:val="auto"/>
          <w:sz w:val="28"/>
          <w:szCs w:val="28"/>
          <w:highlight w:val="none"/>
        </w:rPr>
      </w:pPr>
      <w:r>
        <w:rPr>
          <w:rFonts w:hint="eastAsia"/>
          <w:b/>
          <w:color w:val="auto"/>
          <w:sz w:val="28"/>
          <w:szCs w:val="28"/>
          <w:highlight w:val="none"/>
        </w:rPr>
        <w:t xml:space="preserve">（二）资格条件承诺书</w:t>
      </w:r>
      <w:r>
        <w:rPr>
          <w:color w:val="auto"/>
          <w:highlight w:val="none"/>
        </w:rP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rPr>
          <w:color w:val="auto"/>
          <w:highlight w:val="none"/>
        </w:rPr>
      </w:r>
    </w:p>
    <w:p>
      <w:pPr>
        <w:ind w:left="440"/>
        <w:spacing w:line="360" w:lineRule="auto"/>
        <w:rPr>
          <w:color w:val="auto"/>
          <w:sz w:val="24"/>
          <w:szCs w:val="24"/>
          <w:highlight w:val="none"/>
        </w:rPr>
      </w:pPr>
      <w:r>
        <w:rPr>
          <w:color w:val="auto"/>
          <w:sz w:val="24"/>
          <w:szCs w:val="24"/>
          <w:highlight w:val="none"/>
        </w:rPr>
      </w:r>
      <w:r>
        <w:rPr>
          <w:color w:val="auto"/>
          <w:highlight w:val="none"/>
        </w:rPr>
      </w:r>
    </w:p>
    <w:p>
      <w:pPr>
        <w:ind w:left="440"/>
        <w:spacing w:line="360" w:lineRule="auto"/>
        <w:rPr>
          <w:color w:val="auto"/>
          <w:sz w:val="24"/>
          <w:szCs w:val="24"/>
          <w:highlight w:val="none"/>
        </w:rPr>
      </w:pPr>
      <w:r>
        <w:rPr>
          <w:color w:val="auto"/>
          <w:sz w:val="24"/>
          <w:szCs w:val="24"/>
          <w:highlight w:val="none"/>
        </w:rPr>
      </w:r>
      <w:r>
        <w:rPr>
          <w:color w:val="auto"/>
          <w:highlight w:val="none"/>
        </w:rPr>
      </w:r>
    </w:p>
    <w:p>
      <w:pPr>
        <w:ind w:left="440"/>
        <w:spacing w:line="360" w:lineRule="auto"/>
        <w:rPr>
          <w:color w:val="auto"/>
          <w:sz w:val="24"/>
          <w:szCs w:val="24"/>
          <w:highlight w:val="none"/>
        </w:rPr>
      </w:pPr>
      <w:r>
        <w:rPr>
          <w:color w:val="auto"/>
          <w:sz w:val="24"/>
          <w:szCs w:val="24"/>
          <w:highlight w:val="none"/>
        </w:rPr>
      </w:r>
      <w:r>
        <w:rPr>
          <w:color w:val="auto"/>
          <w:highlight w:val="none"/>
        </w:rPr>
      </w:r>
    </w:p>
    <w:p>
      <w:pPr>
        <w:ind w:firstLine="480"/>
        <w:jc w:val="right"/>
        <w:spacing w:line="400" w:lineRule="atLeast"/>
        <w:rPr>
          <w:rFonts w:ascii="Arial" w:hAnsi="Arial" w:eastAsia="Arial" w:cs="Arial"/>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供应商名称（加盖</w:t>
      </w:r>
      <w:r>
        <w:rPr>
          <w:color w:val="auto"/>
          <w:sz w:val="24"/>
          <w:szCs w:val="24"/>
          <w:highlight w:val="none"/>
        </w:rPr>
        <w:t xml:space="preserve">CA</w:t>
      </w:r>
      <w:r>
        <w:rPr>
          <w:rFonts w:hint="eastAsia"/>
          <w:color w:val="auto"/>
          <w:sz w:val="24"/>
          <w:szCs w:val="24"/>
          <w:highlight w:val="none"/>
        </w:rPr>
        <w:t xml:space="preserve">电子公章）：</w:t>
      </w:r>
      <w:r>
        <w:rPr>
          <w:rFonts w:ascii="Arial" w:hAnsi="Arial" w:eastAsia="Arial" w:cs="Arial"/>
          <w:color w:val="auto"/>
          <w:sz w:val="24"/>
          <w:highlight w:val="none"/>
          <w:u w:val="single"/>
        </w:rPr>
        <w:t xml:space="preserve">           </w:t>
      </w:r>
      <w:r>
        <w:rPr>
          <w:color w:val="auto"/>
          <w:highlight w:val="none"/>
        </w:rP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法定代表人（</w:t>
      </w:r>
      <w:r>
        <w:rPr>
          <w:rFonts w:ascii="宋体" w:hAnsi="宋体"/>
          <w:color w:val="auto"/>
          <w:spacing w:val="20"/>
          <w:sz w:val="24"/>
          <w:szCs w:val="24"/>
          <w:highlight w:val="none"/>
        </w:rPr>
        <w:t xml:space="preserve">签字</w:t>
      </w:r>
      <w:r>
        <w:rPr>
          <w:rFonts w:ascii="宋体" w:hAnsi="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80"/>
        <w:spacing w:line="400" w:lineRule="atLeast"/>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r>
      <w:r>
        <w:rPr>
          <w:color w:val="auto"/>
          <w:highlight w:val="none"/>
        </w:rPr>
      </w:r>
    </w:p>
    <w:p>
      <w:pPr>
        <w:pStyle w:val="1213"/>
        <w:ind w:firstLine="5280"/>
        <w:rPr>
          <w:rFonts w:ascii="宋体" w:hAnsi="宋体"/>
          <w:b/>
          <w:bCs/>
          <w:color w:val="auto"/>
          <w:sz w:val="24"/>
          <w:szCs w:val="24"/>
          <w:highlight w:val="none"/>
        </w:rPr>
      </w:pPr>
      <w:r>
        <w:rPr>
          <w:rFonts w:ascii="宋体" w:hAnsi="宋体"/>
          <w:color w:val="auto"/>
          <w:sz w:val="24"/>
          <w:szCs w:val="24"/>
          <w:highlight w:val="none"/>
        </w:rPr>
        <w:t xml:space="preserve">日 期：      年   月   日</w:t>
      </w:r>
      <w:r>
        <w:rPr>
          <w:color w:val="auto"/>
          <w:highlight w:val="none"/>
        </w:rPr>
      </w:r>
    </w:p>
    <w:p>
      <w:pPr>
        <w:ind w:left="440"/>
        <w:spacing w:line="360" w:lineRule="auto"/>
        <w:rPr>
          <w:color w:val="auto"/>
          <w:highlight w:val="none"/>
        </w:rPr>
      </w:pPr>
      <w:r>
        <w:rPr>
          <w:color w:val="auto"/>
          <w:highlight w:val="none"/>
        </w:rPr>
      </w:r>
      <w:r>
        <w:rPr>
          <w:color w:val="auto"/>
          <w:highlight w:val="none"/>
        </w:rPr>
      </w:r>
    </w:p>
    <w:p>
      <w:pPr>
        <w:ind w:left="440"/>
        <w:spacing w:line="360" w:lineRule="auto"/>
        <w:rPr>
          <w:color w:val="auto"/>
          <w:highlight w:val="none"/>
        </w:rPr>
      </w:pPr>
      <w:r>
        <w:rPr>
          <w:color w:val="auto"/>
          <w:highlight w:val="none"/>
        </w:rPr>
      </w:r>
      <w:r>
        <w:rPr>
          <w:color w:val="auto"/>
          <w:highlight w:val="none"/>
        </w:rPr>
      </w:r>
    </w:p>
    <w:p>
      <w:pPr>
        <w:ind w:left="440"/>
        <w:spacing w:line="360" w:lineRule="auto"/>
        <w:rPr>
          <w:color w:val="auto"/>
          <w:highlight w:val="none"/>
        </w:rPr>
      </w:pPr>
      <w:r>
        <w:rPr>
          <w:color w:val="auto"/>
          <w:highlight w:val="none"/>
        </w:rPr>
      </w:r>
      <w:r>
        <w:rPr>
          <w:color w:val="auto"/>
          <w:highlight w:val="none"/>
        </w:rPr>
      </w:r>
    </w:p>
    <w:p>
      <w:pPr>
        <w:ind w:left="440"/>
        <w:spacing w:line="360" w:lineRule="auto"/>
        <w:rPr>
          <w:color w:val="auto"/>
          <w:highlight w:val="none"/>
        </w:rPr>
      </w:pPr>
      <w:r>
        <w:rPr>
          <w:color w:val="auto"/>
          <w:highlight w:val="none"/>
        </w:rPr>
      </w:r>
      <w:r>
        <w:rPr>
          <w:color w:val="auto"/>
          <w:highlight w:val="none"/>
        </w:rPr>
      </w:r>
    </w:p>
    <w:p>
      <w:pPr>
        <w:ind w:left="440"/>
        <w:spacing w:line="360" w:lineRule="auto"/>
        <w:rPr>
          <w:color w:val="auto"/>
          <w:highlight w:val="none"/>
        </w:rPr>
      </w:pPr>
      <w:r>
        <w:rPr>
          <w:color w:val="auto"/>
          <w:highlight w:val="none"/>
        </w:rPr>
      </w:r>
      <w:r>
        <w:rPr>
          <w:color w:val="auto"/>
          <w:highlight w:val="none"/>
        </w:rPr>
      </w:r>
    </w:p>
    <w:p>
      <w:pPr>
        <w:ind w:left="440"/>
        <w:spacing w:line="360" w:lineRule="auto"/>
        <w:rPr>
          <w:color w:val="auto"/>
          <w:highlight w:val="none"/>
        </w:rPr>
      </w:pPr>
      <w:r>
        <w:rPr>
          <w:color w:val="auto"/>
          <w:highlight w:val="none"/>
        </w:rPr>
      </w:r>
      <w:r>
        <w:rPr>
          <w:color w:val="auto"/>
          <w:highlight w:val="none"/>
        </w:rPr>
      </w:r>
    </w:p>
    <w:p>
      <w:pPr>
        <w:ind w:left="440"/>
        <w:spacing w:line="360" w:lineRule="auto"/>
        <w:rPr>
          <w:color w:val="auto"/>
          <w:highlight w:val="none"/>
        </w:rPr>
      </w:pPr>
      <w:r>
        <w:rPr>
          <w:color w:val="auto"/>
          <w:highlight w:val="none"/>
        </w:rPr>
      </w:r>
      <w:r>
        <w:rPr>
          <w:color w:val="auto"/>
          <w:highlight w:val="none"/>
        </w:rPr>
      </w:r>
    </w:p>
    <w:p>
      <w:pPr>
        <w:ind w:right="264"/>
        <w:jc w:val="center"/>
        <w:spacing w:before="54" w:line="312" w:lineRule="auto"/>
        <w:rPr>
          <w:b/>
          <w:bCs/>
          <w:color w:val="auto"/>
          <w:sz w:val="28"/>
          <w:szCs w:val="28"/>
          <w:highlight w:val="none"/>
        </w:rPr>
      </w:pPr>
      <w:r>
        <w:rPr>
          <w:b/>
          <w:bCs/>
          <w:color w:val="auto"/>
          <w:sz w:val="28"/>
          <w:szCs w:val="28"/>
          <w:highlight w:val="none"/>
        </w:rPr>
        <w:br w:type="page" w:clear="all"/>
      </w:r>
      <w:r>
        <w:rPr>
          <w:b/>
          <w:color w:val="auto"/>
          <w:sz w:val="28"/>
          <w:szCs w:val="28"/>
          <w:highlight w:val="none"/>
        </w:rPr>
        <w:t xml:space="preserve">（</w:t>
      </w:r>
      <w:r>
        <w:rPr>
          <w:rFonts w:hint="eastAsia"/>
          <w:b/>
          <w:color w:val="auto"/>
          <w:sz w:val="28"/>
          <w:szCs w:val="28"/>
          <w:highlight w:val="none"/>
        </w:rPr>
        <w:t xml:space="preserve">三</w:t>
      </w:r>
      <w:r>
        <w:rPr>
          <w:b/>
          <w:color w:val="auto"/>
          <w:sz w:val="28"/>
          <w:szCs w:val="28"/>
          <w:highlight w:val="none"/>
        </w:rPr>
        <w:t xml:space="preserve">）</w:t>
      </w:r>
      <w:r>
        <w:rPr>
          <w:rFonts w:hint="eastAsia"/>
          <w:b/>
          <w:color w:val="auto"/>
          <w:sz w:val="28"/>
          <w:szCs w:val="28"/>
          <w:highlight w:val="none"/>
        </w:rPr>
        <w:t xml:space="preserve">承诺书</w:t>
      </w:r>
      <w:r>
        <w:rPr>
          <w:color w:val="auto"/>
          <w:highlight w:val="none"/>
        </w:rP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rPr>
          <w:color w:val="auto"/>
          <w:highlight w:val="none"/>
        </w:rP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rPr>
          <w:color w:val="auto"/>
          <w:highlight w:val="none"/>
        </w:rPr>
      </w:r>
    </w:p>
    <w:p>
      <w:pPr>
        <w:ind w:firstLine="480"/>
        <w:spacing w:line="360" w:lineRule="auto"/>
        <w:rPr>
          <w:color w:val="auto"/>
          <w:sz w:val="24"/>
          <w:highlight w:val="none"/>
        </w:rPr>
      </w:pPr>
      <w:r>
        <w:rPr>
          <w:rFonts w:hint="eastAsia"/>
          <w:color w:val="auto"/>
          <w:sz w:val="24"/>
          <w:highlight w:val="none"/>
        </w:rPr>
        <w:t xml:space="preserve">1.为本项目提供整体设计、规范编制或者项目管理、监理、检测等服务的供应商；</w:t>
      </w:r>
      <w:r>
        <w:rPr>
          <w:color w:val="auto"/>
          <w:highlight w:val="none"/>
        </w:rPr>
      </w:r>
    </w:p>
    <w:p>
      <w:pPr>
        <w:ind w:firstLine="480"/>
        <w:spacing w:line="360" w:lineRule="auto"/>
        <w:rPr>
          <w:color w:val="auto"/>
          <w:sz w:val="24"/>
          <w:highlight w:val="none"/>
        </w:rPr>
      </w:pPr>
      <w:r>
        <w:rPr>
          <w:rFonts w:hint="eastAsia"/>
          <w:color w:val="auto"/>
          <w:sz w:val="24"/>
          <w:highlight w:val="none"/>
        </w:rPr>
        <w:t xml:space="preserve">2.单位负责人为同一人或者存在直接控股、管理关系的不同供应商；</w:t>
      </w:r>
      <w:r>
        <w:rPr>
          <w:color w:val="auto"/>
          <w:highlight w:val="none"/>
        </w:rPr>
      </w:r>
    </w:p>
    <w:p>
      <w:pPr>
        <w:ind w:firstLine="480"/>
        <w:spacing w:line="360" w:lineRule="auto"/>
        <w:rPr>
          <w:color w:val="auto"/>
          <w:sz w:val="24"/>
          <w:highlight w:val="none"/>
        </w:rPr>
      </w:pPr>
      <w:r>
        <w:rPr>
          <w:rFonts w:hint="eastAsia"/>
          <w:color w:val="auto"/>
          <w:sz w:val="24"/>
          <w:highlight w:val="none"/>
        </w:rPr>
        <w:t xml:space="preserve">3.在“信用中国”网站（www.creditchina.gov.cn）中被列入失信惩戒对象、重大税收违法案件当事人名单；</w:t>
      </w:r>
      <w:r>
        <w:rPr>
          <w:color w:val="auto"/>
          <w:highlight w:val="none"/>
        </w:rPr>
      </w:r>
    </w:p>
    <w:p>
      <w:pPr>
        <w:ind w:firstLine="480"/>
        <w:spacing w:line="360" w:lineRule="auto"/>
        <w:rPr>
          <w:color w:val="auto"/>
          <w:sz w:val="24"/>
          <w:highlight w:val="none"/>
        </w:rPr>
      </w:pPr>
      <w:r>
        <w:rPr>
          <w:rFonts w:hint="eastAsia"/>
          <w:color w:val="auto"/>
          <w:sz w:val="24"/>
          <w:highlight w:val="none"/>
        </w:rPr>
        <w:t xml:space="preserve">4.在“中国政府采购网”（www.ccgp.gov.cn）中被列入政府采购严重违法失信行为记录名单。</w:t>
      </w:r>
      <w:r>
        <w:rPr>
          <w:color w:val="auto"/>
          <w:highlight w:val="none"/>
        </w:rPr>
      </w:r>
    </w:p>
    <w:p>
      <w:pPr>
        <w:ind w:firstLine="480"/>
        <w:spacing w:line="360" w:lineRule="auto"/>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rPr>
          <w:color w:val="auto"/>
          <w:highlight w:val="none"/>
        </w:rPr>
      </w:r>
    </w:p>
    <w:p>
      <w:pPr>
        <w:spacing w:line="360" w:lineRule="auto"/>
        <w:rPr>
          <w:color w:val="auto"/>
          <w:sz w:val="24"/>
          <w:highlight w:val="none"/>
        </w:rPr>
      </w:pPr>
      <w:r>
        <w:rPr>
          <w:color w:val="auto"/>
          <w:sz w:val="24"/>
          <w:highlight w:val="none"/>
        </w:rPr>
      </w:r>
      <w:r>
        <w:rPr>
          <w:color w:val="auto"/>
          <w:highlight w:val="none"/>
        </w:rPr>
      </w:r>
    </w:p>
    <w:p>
      <w:pPr>
        <w:spacing w:line="360" w:lineRule="auto"/>
        <w:rPr>
          <w:color w:val="auto"/>
          <w:sz w:val="24"/>
          <w:highlight w:val="none"/>
        </w:rPr>
      </w:pPr>
      <w:r>
        <w:rPr>
          <w:color w:val="auto"/>
          <w:sz w:val="24"/>
          <w:highlight w:val="none"/>
        </w:rPr>
      </w:r>
      <w:r>
        <w:rPr>
          <w:color w:val="auto"/>
          <w:highlight w:val="none"/>
        </w:rPr>
      </w:r>
    </w:p>
    <w:p>
      <w:pPr>
        <w:spacing w:line="360" w:lineRule="auto"/>
        <w:rPr>
          <w:color w:val="auto"/>
          <w:sz w:val="24"/>
          <w:highlight w:val="none"/>
        </w:rPr>
      </w:pPr>
      <w:r>
        <w:rPr>
          <w:color w:val="auto"/>
          <w:sz w:val="24"/>
          <w:highlight w:val="none"/>
        </w:rPr>
      </w:r>
      <w:r>
        <w:rPr>
          <w:color w:val="auto"/>
          <w:highlight w:val="none"/>
        </w:rPr>
      </w:r>
    </w:p>
    <w:p>
      <w:pPr>
        <w:pStyle w:val="1149"/>
        <w:spacing w:line="360" w:lineRule="auto"/>
        <w:rPr>
          <w:color w:val="auto"/>
          <w:sz w:val="21"/>
          <w:highlight w:val="none"/>
        </w:rPr>
      </w:pPr>
      <w:r>
        <w:rPr>
          <w:color w:val="auto"/>
          <w:sz w:val="21"/>
          <w:highlight w:val="none"/>
        </w:rPr>
      </w:r>
      <w:r>
        <w:rPr>
          <w:color w:val="auto"/>
          <w:highlight w:val="none"/>
        </w:rPr>
      </w:r>
    </w:p>
    <w:p>
      <w:pPr>
        <w:spacing w:line="360" w:lineRule="auto"/>
        <w:rPr>
          <w:color w:val="auto"/>
          <w:sz w:val="24"/>
          <w:highlight w:val="none"/>
        </w:rPr>
      </w:pPr>
      <w:r>
        <w:rPr>
          <w:color w:val="auto"/>
          <w:sz w:val="24"/>
          <w:highlight w:val="none"/>
        </w:rPr>
      </w:r>
      <w:r>
        <w:rPr>
          <w:color w:val="auto"/>
          <w:highlight w:val="none"/>
        </w:rPr>
      </w:r>
    </w:p>
    <w:p>
      <w:pPr>
        <w:spacing w:line="360" w:lineRule="auto"/>
        <w:rPr>
          <w:color w:val="auto"/>
          <w:sz w:val="24"/>
          <w:highlight w:val="none"/>
        </w:rPr>
      </w:pPr>
      <w:r>
        <w:rPr>
          <w:color w:val="auto"/>
          <w:sz w:val="24"/>
          <w:highlight w:val="none"/>
        </w:rPr>
      </w:r>
      <w:r>
        <w:rPr>
          <w:color w:val="auto"/>
          <w:highlight w:val="none"/>
        </w:rPr>
      </w:r>
    </w:p>
    <w:p>
      <w:pPr>
        <w:ind w:firstLine="5040"/>
        <w:rPr>
          <w:color w:val="auto"/>
          <w:sz w:val="24"/>
          <w:highlight w:val="none"/>
        </w:rPr>
      </w:pPr>
      <w:r>
        <w:rPr>
          <w:rFonts w:hint="eastAsia"/>
          <w:color w:val="auto"/>
          <w:sz w:val="24"/>
          <w:highlight w:val="none"/>
        </w:rPr>
        <w:t xml:space="preserve">供应商名称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color w:val="auto"/>
          <w:sz w:val="24"/>
          <w:highlight w:val="none"/>
        </w:rPr>
        <w:t xml:space="preserve">）：</w:t>
      </w:r>
      <w:r>
        <w:rPr>
          <w:color w:val="auto"/>
          <w:highlight w:val="none"/>
        </w:rPr>
      </w:r>
    </w:p>
    <w:p>
      <w:pPr>
        <w:pStyle w:val="1213"/>
        <w:spacing w:line="360" w:lineRule="auto"/>
        <w:rPr>
          <w:rFonts w:ascii="宋体" w:hAnsi="宋体"/>
          <w:color w:val="auto"/>
          <w:sz w:val="24"/>
          <w:highlight w:val="none"/>
        </w:rPr>
      </w:pPr>
      <w:r>
        <w:rPr>
          <w:rFonts w:ascii="宋体" w:hAnsi="宋体"/>
          <w:color w:val="auto"/>
          <w:sz w:val="24"/>
          <w:highlight w:val="none"/>
        </w:rPr>
      </w:r>
      <w:r>
        <w:rPr>
          <w:color w:val="auto"/>
          <w:highlight w:val="none"/>
        </w:rPr>
      </w:r>
    </w:p>
    <w:p>
      <w:pPr>
        <w:pStyle w:val="1213"/>
        <w:ind w:firstLine="5040"/>
        <w:spacing w:line="360" w:lineRule="auto"/>
        <w:rPr>
          <w:rFonts w:ascii="宋体" w:hAnsi="宋体"/>
          <w:color w:val="auto"/>
          <w:sz w:val="24"/>
          <w:highlight w:val="none"/>
        </w:rPr>
      </w:pPr>
      <w:r>
        <w:rPr>
          <w:rFonts w:ascii="宋体" w:hAnsi="宋体"/>
          <w:color w:val="auto"/>
          <w:sz w:val="24"/>
          <w:highlight w:val="none"/>
        </w:rPr>
        <w:t xml:space="preserve">法定代表人（</w:t>
      </w:r>
      <w:r>
        <w:rPr>
          <w:rFonts w:ascii="宋体" w:hAnsi="宋体"/>
          <w:color w:val="auto"/>
          <w:spacing w:val="20"/>
          <w:sz w:val="24"/>
          <w:highlight w:val="none"/>
        </w:rPr>
        <w:t xml:space="preserve">签字</w:t>
      </w:r>
      <w:r>
        <w:rPr>
          <w:rFonts w:ascii="宋体" w:hAnsi="宋体"/>
          <w:color w:val="auto"/>
          <w:sz w:val="24"/>
          <w:highlight w:val="none"/>
        </w:rPr>
        <w:t xml:space="preserve">）：</w:t>
      </w:r>
      <w:r>
        <w:rPr>
          <w:color w:val="auto"/>
          <w:highlight w:val="none"/>
        </w:rPr>
      </w:r>
    </w:p>
    <w:p>
      <w:pPr>
        <w:pStyle w:val="1213"/>
        <w:rPr>
          <w:rFonts w:ascii="宋体" w:hAnsi="宋体"/>
          <w:color w:val="auto"/>
          <w:sz w:val="24"/>
          <w:highlight w:val="none"/>
        </w:rPr>
      </w:pPr>
      <w:r>
        <w:rPr>
          <w:rFonts w:ascii="宋体" w:hAnsi="宋体"/>
          <w:color w:val="auto"/>
          <w:sz w:val="24"/>
          <w:highlight w:val="none"/>
        </w:rPr>
      </w:r>
      <w:r>
        <w:rPr>
          <w:color w:val="auto"/>
          <w:highlight w:val="none"/>
        </w:rPr>
      </w:r>
    </w:p>
    <w:p>
      <w:pPr>
        <w:pStyle w:val="1213"/>
        <w:ind w:firstLine="5040"/>
        <w:rPr>
          <w:rFonts w:ascii="宋体" w:hAnsi="宋体"/>
          <w:b/>
          <w:bCs/>
          <w:color w:val="auto"/>
          <w:sz w:val="24"/>
          <w:highlight w:val="none"/>
        </w:rPr>
      </w:pPr>
      <w:r>
        <w:rPr>
          <w:rFonts w:ascii="宋体" w:hAnsi="宋体"/>
          <w:color w:val="auto"/>
          <w:sz w:val="24"/>
          <w:highlight w:val="none"/>
        </w:rPr>
        <w:t xml:space="preserve">日 期：      年   月   日</w:t>
      </w:r>
      <w:r>
        <w:rPr>
          <w:color w:val="auto"/>
          <w:highlight w:val="none"/>
        </w:rPr>
      </w:r>
    </w:p>
    <w:p>
      <w:pPr>
        <w:pStyle w:val="1149"/>
        <w:spacing w:line="360" w:lineRule="auto"/>
        <w:rPr>
          <w:color w:val="auto"/>
          <w:sz w:val="21"/>
          <w:highlight w:val="none"/>
        </w:rPr>
      </w:pPr>
      <w:r>
        <w:rPr>
          <w:color w:val="auto"/>
          <w:sz w:val="21"/>
          <w:highlight w:val="none"/>
        </w:rPr>
      </w:r>
      <w:r>
        <w:rPr>
          <w:color w:val="auto"/>
          <w:highlight w:val="none"/>
        </w:rPr>
      </w:r>
    </w:p>
    <w:p>
      <w:pPr>
        <w:pStyle w:val="1149"/>
        <w:spacing w:line="360" w:lineRule="auto"/>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ind w:right="264"/>
        <w:jc w:val="center"/>
        <w:spacing w:before="54" w:line="312"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（四）</w:t>
      </w:r>
      <w:r>
        <w:rPr>
          <w:rFonts w:hint="eastAsia" w:ascii="宋体" w:hAnsi="宋体" w:eastAsia="宋体" w:cs="宋体"/>
          <w:b/>
          <w:bCs/>
          <w:color w:val="auto"/>
          <w:sz w:val="32"/>
          <w:szCs w:val="32"/>
          <w:highlight w:val="none"/>
          <w:lang w:val="zh-CN" w:eastAsia="zh-CN" w:bidi="ar-SA"/>
        </w:rPr>
        <w:t xml:space="preserve">落实政府采购政策需满足的资格</w:t>
      </w:r>
      <w:r>
        <w:rPr>
          <w:color w:val="auto"/>
          <w:highlight w:val="none"/>
        </w:rPr>
      </w:r>
    </w:p>
    <w:p>
      <w:pPr>
        <w:jc w:val="center"/>
        <w:spacing w:after="320" w:line="360" w:lineRule="auto"/>
        <w:rPr>
          <w:b/>
          <w:bCs/>
          <w:color w:val="auto"/>
          <w:sz w:val="28"/>
          <w:szCs w:val="28"/>
          <w:highlight w:val="none"/>
        </w:rPr>
      </w:pPr>
      <w:r>
        <w:rPr>
          <w:rFonts w:hint="eastAsia"/>
          <w:b/>
          <w:bCs/>
          <w:color w:val="auto"/>
          <w:sz w:val="28"/>
          <w:szCs w:val="28"/>
          <w:highlight w:val="none"/>
          <w:lang w:val="en-US" w:eastAsia="zh-CN"/>
        </w:rPr>
        <w:t xml:space="preserve">1.</w:t>
      </w:r>
      <w:r>
        <w:rPr>
          <w:rFonts w:hint="eastAsia"/>
          <w:b/>
          <w:bCs/>
          <w:color w:val="auto"/>
          <w:sz w:val="28"/>
          <w:szCs w:val="28"/>
          <w:highlight w:val="none"/>
        </w:rPr>
        <w:t xml:space="preserve">中小企业声明函（服务）</w:t>
      </w:r>
      <w:r>
        <w:rPr>
          <w:color w:val="auto"/>
          <w:highlight w:val="none"/>
        </w:rPr>
      </w:r>
    </w:p>
    <w:p>
      <w:pPr>
        <w:ind w:firstLine="442"/>
        <w:spacing w:line="560" w:lineRule="exact"/>
        <w:rPr>
          <w:color w:val="auto"/>
          <w:sz w:val="24"/>
          <w:szCs w:val="24"/>
          <w:highlight w:val="none"/>
        </w:rPr>
      </w:pPr>
      <w:r>
        <w:rPr>
          <w:rFonts w:hint="eastAsia"/>
          <w:color w:val="auto"/>
          <w:sz w:val="24"/>
          <w:szCs w:val="24"/>
          <w:highlight w:val="none"/>
        </w:rPr>
        <w:t xml:space="preserve">本公司郑重声明，根据《政府采购促进中小企业发展管理办法》（财库﹝2020﹞46 号）的规定，本公司参加</w:t>
      </w:r>
      <w:r>
        <w:rPr>
          <w:rFonts w:hint="eastAsia"/>
          <w:color w:val="auto"/>
          <w:sz w:val="24"/>
          <w:szCs w:val="24"/>
          <w:highlight w:val="none"/>
          <w:u w:val="single"/>
        </w:rPr>
        <w:t xml:space="preserve"> （采购人名称）</w:t>
      </w:r>
      <w:r>
        <w:rPr>
          <w:rFonts w:hint="eastAsia"/>
          <w:color w:val="auto"/>
          <w:sz w:val="24"/>
          <w:szCs w:val="24"/>
          <w:highlight w:val="none"/>
        </w:rPr>
        <w:t xml:space="preserve">的</w:t>
      </w:r>
      <w:r>
        <w:rPr>
          <w:rFonts w:hint="eastAsia"/>
          <w:color w:val="auto"/>
          <w:sz w:val="24"/>
          <w:szCs w:val="24"/>
          <w:highlight w:val="none"/>
          <w:u w:val="single"/>
        </w:rPr>
        <w:t xml:space="preserve">   （项目名称）    </w:t>
      </w:r>
      <w:r>
        <w:rPr>
          <w:rFonts w:hint="eastAsia"/>
          <w:color w:val="auto"/>
          <w:sz w:val="24"/>
          <w:szCs w:val="24"/>
          <w:highlight w:val="none"/>
        </w:rPr>
        <w:t xml:space="preserve">采购活动，服务全部由符合政策要求的中小企业承接。相关企业的具体情况如下：</w:t>
      </w:r>
      <w:r>
        <w:rPr>
          <w:color w:val="auto"/>
          <w:highlight w:val="none"/>
        </w:rPr>
      </w:r>
    </w:p>
    <w:p>
      <w:pPr>
        <w:ind w:firstLine="442"/>
        <w:spacing w:line="560" w:lineRule="exact"/>
        <w:rPr>
          <w:color w:val="auto"/>
          <w:sz w:val="24"/>
          <w:szCs w:val="24"/>
          <w:highlight w:val="none"/>
        </w:rPr>
      </w:pP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，属于</w:t>
      </w:r>
      <w:r>
        <w:rPr>
          <w:rFonts w:hint="eastAsia"/>
          <w:color w:val="auto"/>
          <w:sz w:val="24"/>
          <w:szCs w:val="24"/>
          <w:highlight w:val="none"/>
          <w:u w:val="single"/>
        </w:rPr>
        <w:t xml:space="preserve"> 其他未列明行业  </w:t>
      </w:r>
      <w:r>
        <w:rPr>
          <w:rFonts w:hint="eastAsia"/>
          <w:color w:val="auto"/>
          <w:sz w:val="24"/>
          <w:szCs w:val="24"/>
          <w:highlight w:val="none"/>
        </w:rPr>
        <w:t xml:space="preserve">；承接企业为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万元，属于</w:t>
      </w:r>
      <w:r>
        <w:rPr>
          <w:rFonts w:hint="eastAsia"/>
          <w:color w:val="auto"/>
          <w:sz w:val="24"/>
          <w:szCs w:val="24"/>
          <w:highlight w:val="none"/>
          <w:u w:val="single"/>
        </w:rPr>
        <w:t xml:space="preserve">（中型企业、小型企业、微型企业）</w:t>
      </w:r>
      <w:r>
        <w:rPr>
          <w:rFonts w:hint="eastAsia"/>
          <w:color w:val="auto"/>
          <w:sz w:val="24"/>
          <w:szCs w:val="24"/>
          <w:highlight w:val="none"/>
        </w:rPr>
        <w:t xml:space="preserve">。</w:t>
      </w:r>
      <w:r>
        <w:rPr>
          <w:color w:val="auto"/>
          <w:highlight w:val="none"/>
        </w:rPr>
      </w:r>
    </w:p>
    <w:p>
      <w:pPr>
        <w:ind w:firstLine="442"/>
        <w:spacing w:line="560" w:lineRule="exact"/>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rPr>
        <w:t xml:space="preserve">本企业对上述声明内容的真实性负责。如有虚假，将依法承担相应责任。 </w:t>
      </w:r>
      <w:r>
        <w:rPr>
          <w:color w:val="auto"/>
          <w:highlight w:val="none"/>
        </w:rPr>
      </w:r>
    </w:p>
    <w:p>
      <w:pPr>
        <w:ind w:firstLine="482"/>
        <w:spacing w:line="360" w:lineRule="auto"/>
        <w:rPr>
          <w:b/>
          <w:bCs/>
          <w:color w:val="auto"/>
          <w:sz w:val="24"/>
          <w:szCs w:val="24"/>
          <w:highlight w:val="none"/>
        </w:rPr>
      </w:pPr>
      <w:r>
        <w:rPr>
          <w:b/>
          <w:bCs/>
          <w:color w:val="auto"/>
          <w:sz w:val="24"/>
          <w:szCs w:val="24"/>
          <w:highlight w:val="none"/>
        </w:rPr>
      </w:r>
      <w:r>
        <w:rPr>
          <w:color w:val="auto"/>
          <w:highlight w:val="none"/>
        </w:rPr>
      </w:r>
    </w:p>
    <w:p>
      <w:pPr>
        <w:ind w:firstLine="482"/>
        <w:spacing w:line="360" w:lineRule="auto"/>
        <w:rPr>
          <w:b/>
          <w:bCs/>
          <w:color w:val="auto"/>
          <w:sz w:val="24"/>
          <w:szCs w:val="24"/>
          <w:highlight w:val="none"/>
        </w:rPr>
      </w:pPr>
      <w:r>
        <w:rPr>
          <w:b/>
          <w:bCs/>
          <w:color w:val="auto"/>
          <w:sz w:val="24"/>
          <w:szCs w:val="24"/>
          <w:highlight w:val="none"/>
        </w:rPr>
      </w:r>
      <w:r>
        <w:rPr>
          <w:color w:val="auto"/>
          <w:highlight w:val="none"/>
        </w:rPr>
      </w:r>
    </w:p>
    <w:p>
      <w:pPr>
        <w:ind w:firstLine="480"/>
        <w:spacing w:line="360" w:lineRule="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从业人员、营业收入、资产总额填报上一年度数据，无上一年度数据的新成立企业可不填报。</w:t>
      </w:r>
      <w:r>
        <w:rPr>
          <w:color w:val="auto"/>
          <w:highlight w:val="none"/>
        </w:rPr>
      </w:r>
    </w:p>
    <w:p>
      <w:pPr>
        <w:ind w:firstLine="480"/>
        <w:spacing w:after="240" w:line="360" w:lineRule="auto"/>
        <w:rPr>
          <w:color w:val="auto"/>
          <w:sz w:val="24"/>
          <w:szCs w:val="24"/>
          <w:highlight w:val="none"/>
        </w:rPr>
      </w:pPr>
      <w:r>
        <w:rPr>
          <w:color w:val="auto"/>
          <w:sz w:val="24"/>
          <w:szCs w:val="24"/>
          <w:highlight w:val="none"/>
        </w:rPr>
        <w:t xml:space="preserve">2.未提交或未按该格式提交的中小企业声明函按资格条件不符合处理。</w:t>
      </w:r>
      <w:r>
        <w:rPr>
          <w:color w:val="auto"/>
          <w:highlight w:val="none"/>
        </w:rP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p>
    <w:p>
      <w:pPr>
        <w:jc w:val="right"/>
        <w:spacing w:line="360" w:lineRule="auto"/>
        <w:rPr>
          <w:color w:val="auto"/>
          <w:highlight w:val="none"/>
        </w:rPr>
      </w:pPr>
      <w:r>
        <w:rPr>
          <w:color w:val="auto"/>
          <w:highlight w:val="none"/>
        </w:rPr>
      </w:r>
      <w:r>
        <w:rPr>
          <w:color w:val="auto"/>
          <w:highlight w:val="none"/>
        </w:rPr>
      </w:r>
    </w:p>
    <w:p>
      <w:pPr>
        <w:jc w:val="right"/>
        <w:spacing w:line="360" w:lineRule="auto"/>
        <w:rPr>
          <w:color w:val="auto"/>
          <w:highlight w:val="none"/>
        </w:rPr>
      </w:pPr>
      <w:r>
        <w:rPr>
          <w:rFonts w:hint="eastAsia"/>
          <w:bCs/>
          <w:color w:val="auto"/>
          <w:highlight w:val="none"/>
        </w:rPr>
        <w:t xml:space="preserve"> </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rPr>
          <w:color w:val="auto"/>
          <w:highlight w:val="none"/>
        </w:rPr>
      </w:r>
    </w:p>
    <w:p>
      <w:pPr>
        <w:pStyle w:val="1149"/>
        <w:spacing w:line="360" w:lineRule="auto"/>
        <w:rPr>
          <w:bCs/>
          <w:color w:val="auto"/>
          <w:highlight w:val="none"/>
        </w:rPr>
      </w:pPr>
      <w:r>
        <w:rPr>
          <w:bCs/>
          <w:color w:val="auto"/>
          <w:highlight w:val="none"/>
        </w:rPr>
      </w:r>
      <w:r>
        <w:rPr>
          <w:color w:val="auto"/>
          <w:highlight w:val="none"/>
        </w:rPr>
      </w:r>
    </w:p>
    <w:p>
      <w:pPr>
        <w:pStyle w:val="1149"/>
        <w:spacing w:line="360" w:lineRule="auto"/>
        <w:rPr>
          <w:bCs/>
          <w:color w:val="auto"/>
          <w:highlight w:val="none"/>
        </w:rPr>
      </w:pPr>
      <w:r>
        <w:rPr>
          <w:bCs/>
          <w:color w:val="auto"/>
          <w:highlight w:val="none"/>
        </w:rPr>
      </w:r>
      <w:r>
        <w:rPr>
          <w:color w:val="auto"/>
          <w:highlight w:val="none"/>
        </w:rPr>
      </w:r>
    </w:p>
    <w:p>
      <w:pPr>
        <w:spacing w:after="240" w:line="360" w:lineRule="auto"/>
        <w:rPr>
          <w:b/>
          <w:bCs/>
          <w:color w:val="auto"/>
          <w:sz w:val="28"/>
          <w:szCs w:val="28"/>
          <w:highlight w:val="none"/>
        </w:rPr>
      </w:pPr>
      <w:r>
        <w:rPr>
          <w:b/>
          <w:bCs/>
          <w:color w:val="auto"/>
          <w:sz w:val="28"/>
          <w:szCs w:val="28"/>
          <w:highlight w:val="none"/>
        </w:rPr>
      </w:r>
      <w:r>
        <w:rPr>
          <w:color w:val="auto"/>
          <w:highlight w:val="none"/>
        </w:rPr>
      </w:r>
    </w:p>
    <w:p>
      <w:pPr>
        <w:spacing w:after="240" w:line="360" w:lineRule="auto"/>
        <w:rPr>
          <w:b/>
          <w:bCs/>
          <w:color w:val="auto"/>
          <w:sz w:val="28"/>
          <w:szCs w:val="28"/>
          <w:highlight w:val="none"/>
        </w:rPr>
      </w:pPr>
      <w:r>
        <w:rPr>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474345</wp:posOffset>
                </wp:positionV>
                <wp:extent cx="4740910"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4740909"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0.0pt,37.4pt" to="373.3pt,37.4pt" filled="f" strokecolor="#000000"/>
            </w:pict>
          </mc:Fallback>
        </mc:AlternateContent>
      </w:r>
      <w:r>
        <w:rPr>
          <w:color w:val="auto"/>
          <w:highlight w:val="none"/>
        </w:rPr>
      </w:r>
    </w:p>
    <w:p>
      <w:pPr>
        <w:pStyle w:val="1256"/>
        <w:rPr>
          <w:color w:val="auto"/>
          <w:highlight w:val="none"/>
        </w:rPr>
      </w:pPr>
      <w:r>
        <w:rPr>
          <w:color w:val="auto"/>
          <w:highlight w:val="none"/>
        </w:rPr>
        <w:t xml:space="preserve"> </w:t>
      </w:r>
      <w:r>
        <w:rPr>
          <w:rFonts w:hint="eastAsia"/>
          <w:color w:val="auto"/>
          <w:highlight w:val="none"/>
        </w:rPr>
        <w:t xml:space="preserve"> </w:t>
      </w:r>
      <w:r>
        <w:rPr>
          <w:color w:val="auto"/>
          <w:highlight w:val="none"/>
        </w:rPr>
      </w:r>
    </w:p>
    <w:p>
      <w:pPr>
        <w:pStyle w:val="1256"/>
        <w:rPr>
          <w:color w:val="auto"/>
          <w:highlight w:val="none"/>
        </w:rPr>
      </w:pPr>
      <w:r>
        <w:rPr>
          <w:rFonts w:hint="eastAsia"/>
          <w:color w:val="auto"/>
          <w:highlight w:val="none"/>
        </w:rPr>
        <w:t xml:space="preserve">从业人员、营业收入、资产总额填报上一年度数据，无上一年度数据的新成立企业可不填报。</w:t>
      </w:r>
      <w:r>
        <w:rPr>
          <w:color w:val="auto"/>
          <w:highlight w:val="none"/>
        </w:rPr>
      </w:r>
    </w:p>
    <w:p>
      <w:pPr>
        <w:jc w:val="center"/>
        <w:spacing w:after="240" w:line="360" w:lineRule="auto"/>
        <w:rPr>
          <w:b/>
          <w:bCs/>
          <w:color w:val="auto"/>
          <w:sz w:val="28"/>
          <w:szCs w:val="28"/>
          <w:highlight w:val="none"/>
        </w:rPr>
      </w:pPr>
      <w:r>
        <w:rPr>
          <w:b/>
          <w:bCs/>
          <w:color w:val="auto"/>
          <w:sz w:val="28"/>
          <w:szCs w:val="28"/>
          <w:highlight w:val="none"/>
        </w:rPr>
        <w:br w:type="page" w:clear="all"/>
      </w:r>
      <w:r>
        <w:rPr>
          <w:rFonts w:hint="eastAsia"/>
          <w:b/>
          <w:bCs/>
          <w:color w:val="auto"/>
          <w:sz w:val="28"/>
          <w:szCs w:val="28"/>
          <w:highlight w:val="none"/>
          <w:lang w:val="en-US" w:eastAsia="zh-CN"/>
        </w:rPr>
        <w:t xml:space="preserve">2.</w:t>
      </w:r>
      <w:r>
        <w:rPr>
          <w:rFonts w:hint="eastAsia"/>
          <w:b/>
          <w:bCs/>
          <w:color w:val="auto"/>
          <w:sz w:val="28"/>
          <w:szCs w:val="28"/>
          <w:highlight w:val="none"/>
        </w:rPr>
        <w:t xml:space="preserve">残疾人福利性单位声明函</w:t>
      </w:r>
      <w:r>
        <w:rPr>
          <w:color w:val="auto"/>
          <w:highlight w:val="none"/>
        </w:rP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rPr>
          <w:color w:val="auto"/>
          <w:highlight w:val="none"/>
        </w:rP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rPr>
          <w:color w:val="auto"/>
          <w:highlight w:val="none"/>
        </w:rPr>
      </w:r>
    </w:p>
    <w:p>
      <w:pPr>
        <w:ind w:firstLine="440"/>
        <w:spacing w:line="360" w:lineRule="auto"/>
        <w:rPr>
          <w:color w:val="auto"/>
          <w:highlight w:val="none"/>
          <w:shd w:val="clear" w:color="auto" w:fill="ffffff"/>
        </w:rPr>
      </w:pPr>
      <w:r>
        <w:rPr>
          <w:color w:val="auto"/>
          <w:highlight w:val="none"/>
          <w:shd w:val="clear" w:color="auto" w:fill="ffffff"/>
        </w:rPr>
      </w:r>
      <w:r>
        <w:rPr>
          <w:color w:val="auto"/>
          <w:highlight w:val="none"/>
        </w:rPr>
      </w:r>
    </w:p>
    <w:p>
      <w:pPr>
        <w:pStyle w:val="1149"/>
        <w:spacing w:line="360" w:lineRule="auto"/>
        <w:rPr>
          <w:color w:val="auto"/>
          <w:highlight w:val="none"/>
        </w:rPr>
      </w:pPr>
      <w:r>
        <w:rPr>
          <w:color w:val="auto"/>
          <w:highlight w:val="none"/>
        </w:rPr>
      </w:r>
      <w:r>
        <w:rPr>
          <w:color w:val="auto"/>
          <w:highlight w:val="none"/>
        </w:rPr>
      </w:r>
    </w:p>
    <w:p>
      <w:pPr>
        <w:ind w:firstLine="440"/>
        <w:spacing w:line="360" w:lineRule="auto"/>
        <w:rPr>
          <w:color w:val="auto"/>
          <w:highlight w:val="none"/>
          <w:shd w:val="clear" w:color="auto" w:fill="ffffff"/>
        </w:rPr>
      </w:pPr>
      <w:r>
        <w:rPr>
          <w:color w:val="auto"/>
          <w:highlight w:val="none"/>
          <w:shd w:val="clear" w:color="auto" w:fill="ffffff"/>
        </w:rPr>
      </w:r>
      <w:r>
        <w:rPr>
          <w:color w:val="auto"/>
          <w:highlight w:val="none"/>
        </w:rP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p>
    <w:p>
      <w:pPr>
        <w:jc w:val="right"/>
        <w:spacing w:line="360" w:lineRule="auto"/>
        <w:rPr>
          <w:bCs/>
          <w:color w:val="auto"/>
          <w:sz w:val="24"/>
          <w:highlight w:val="none"/>
        </w:rPr>
      </w:pPr>
      <w:r>
        <w:rPr>
          <w:bCs/>
          <w:color w:val="auto"/>
          <w:sz w:val="24"/>
          <w:highlight w:val="none"/>
        </w:rPr>
      </w:r>
      <w:r>
        <w:rPr>
          <w:color w:val="auto"/>
          <w:highlight w:val="none"/>
        </w:rP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rPr>
          <w:color w:val="auto"/>
          <w:highlight w:val="none"/>
        </w:rPr>
      </w:r>
    </w:p>
    <w:p>
      <w:pPr>
        <w:jc w:val="right"/>
        <w:spacing w:line="360" w:lineRule="auto"/>
        <w:rPr>
          <w:color w:val="auto"/>
          <w:sz w:val="24"/>
          <w:highlight w:val="none"/>
        </w:rPr>
      </w:pPr>
      <w:r>
        <w:rPr>
          <w:color w:val="auto"/>
          <w:sz w:val="24"/>
          <w:highlight w:val="none"/>
        </w:rPr>
      </w:r>
      <w:r>
        <w:rPr>
          <w:color w:val="auto"/>
          <w:highlight w:val="none"/>
        </w:rPr>
      </w:r>
    </w:p>
    <w:p>
      <w:pPr>
        <w:jc w:val="right"/>
        <w:spacing w:line="360" w:lineRule="auto"/>
        <w:rPr>
          <w:color w:val="auto"/>
          <w:highlight w:val="none"/>
        </w:rPr>
      </w:pPr>
      <w:r>
        <w:rPr>
          <w:color w:val="auto"/>
          <w:highlight w:val="none"/>
        </w:rPr>
      </w:r>
      <w:r>
        <w:rPr>
          <w:color w:val="auto"/>
          <w:highlight w:val="none"/>
        </w:rPr>
      </w:r>
    </w:p>
    <w:p>
      <w:pPr>
        <w:jc w:val="right"/>
        <w:spacing w:line="360" w:lineRule="auto"/>
        <w:rPr>
          <w:color w:val="auto"/>
          <w:highlight w:val="none"/>
        </w:rPr>
      </w:pPr>
      <w:r>
        <w:rPr>
          <w:color w:val="auto"/>
          <w:highlight w:val="none"/>
        </w:rPr>
      </w:r>
      <w:r>
        <w:rPr>
          <w:color w:val="auto"/>
          <w:highlight w:val="none"/>
        </w:rPr>
      </w:r>
    </w:p>
    <w:p>
      <w:pPr>
        <w:jc w:val="right"/>
        <w:spacing w:line="360" w:lineRule="auto"/>
        <w:rPr>
          <w:color w:val="auto"/>
          <w:highlight w:val="none"/>
        </w:rPr>
      </w:pPr>
      <w:r>
        <w:rPr>
          <w:color w:val="auto"/>
          <w:highlight w:val="none"/>
        </w:rPr>
      </w:r>
      <w:r>
        <w:rPr>
          <w:color w:val="auto"/>
          <w:highlight w:val="none"/>
        </w:rPr>
      </w:r>
    </w:p>
    <w:p>
      <w:pPr>
        <w:jc w:val="right"/>
        <w:spacing w:line="360" w:lineRule="auto"/>
        <w:rPr>
          <w:color w:val="auto"/>
          <w:highlight w:val="none"/>
        </w:rPr>
      </w:pPr>
      <w:r>
        <w:rPr>
          <w:color w:val="auto"/>
          <w:highlight w:val="none"/>
        </w:rPr>
      </w:r>
      <w:r>
        <w:rPr>
          <w:color w:val="auto"/>
          <w:highlight w:val="none"/>
        </w:rPr>
      </w:r>
    </w:p>
    <w:p>
      <w:pPr>
        <w:jc w:val="right"/>
        <w:spacing w:line="360" w:lineRule="auto"/>
        <w:rPr>
          <w:color w:val="auto"/>
          <w:highlight w:val="none"/>
        </w:rPr>
      </w:pPr>
      <w:r>
        <w:rPr>
          <w:color w:val="auto"/>
          <w:highlight w:val="none"/>
        </w:rPr>
      </w:r>
      <w:r>
        <w:rPr>
          <w:color w:val="auto"/>
          <w:highlight w:val="none"/>
        </w:rPr>
      </w:r>
    </w:p>
    <w:p>
      <w:pPr>
        <w:jc w:val="right"/>
        <w:spacing w:line="360" w:lineRule="auto"/>
        <w:rPr>
          <w:color w:val="auto"/>
          <w:highlight w:val="none"/>
        </w:rPr>
      </w:pPr>
      <w:r>
        <w:rPr>
          <w:color w:val="auto"/>
          <w:highlight w:val="none"/>
        </w:rPr>
      </w:r>
      <w:r>
        <w:rPr>
          <w:color w:val="auto"/>
          <w:highlight w:val="none"/>
        </w:rPr>
      </w:r>
    </w:p>
    <w:p>
      <w:pPr>
        <w:jc w:val="right"/>
        <w:spacing w:line="360" w:lineRule="auto"/>
        <w:rPr>
          <w:color w:val="auto"/>
          <w:highlight w:val="none"/>
        </w:rPr>
      </w:pPr>
      <w:r>
        <w:rPr>
          <w:color w:val="auto"/>
          <w:highlight w:val="none"/>
        </w:rPr>
      </w:r>
      <w:r>
        <w:rPr>
          <w:color w:val="auto"/>
          <w:highlight w:val="none"/>
        </w:rPr>
      </w:r>
    </w:p>
    <w:p>
      <w:pPr>
        <w:pStyle w:val="1213"/>
        <w:jc w:val="center"/>
        <w:spacing w:line="360" w:lineRule="exact"/>
        <w:rPr>
          <w:rFonts w:ascii="宋体" w:hAnsi="宋体"/>
          <w:b/>
          <w:color w:val="auto"/>
          <w:sz w:val="28"/>
          <w:szCs w:val="28"/>
          <w:highlight w:val="none"/>
        </w:rPr>
        <w:outlineLvl w:val="1"/>
      </w:pPr>
      <w:r>
        <w:rPr>
          <w:rFonts w:ascii="宋体" w:hAnsi="宋体"/>
          <w:b/>
          <w:bCs/>
          <w:color w:val="auto"/>
          <w:sz w:val="28"/>
          <w:szCs w:val="28"/>
          <w:highlight w:val="none"/>
        </w:rPr>
        <w:br w:type="page" w:clear="all"/>
      </w:r>
      <w:r>
        <w:rPr>
          <w:rFonts w:hint="eastAsia"/>
          <w:b/>
          <w:bCs/>
          <w:color w:val="auto"/>
          <w:sz w:val="28"/>
          <w:szCs w:val="28"/>
          <w:highlight w:val="none"/>
          <w:lang w:val="en-US" w:eastAsia="zh-CN"/>
        </w:rPr>
        <w:t xml:space="preserve">3.</w:t>
      </w:r>
      <w:r>
        <w:rPr>
          <w:rFonts w:hint="eastAsia"/>
          <w:b/>
          <w:bCs/>
          <w:color w:val="auto"/>
          <w:sz w:val="28"/>
          <w:szCs w:val="28"/>
          <w:highlight w:val="none"/>
        </w:rPr>
        <w:t xml:space="preserve">监狱企业证明</w:t>
      </w:r>
      <w:r>
        <w:rPr>
          <w:color w:val="auto"/>
          <w:highlight w:val="none"/>
        </w:rPr>
      </w:r>
    </w:p>
    <w:p>
      <w:pPr>
        <w:pStyle w:val="1213"/>
        <w:ind w:firstLine="480"/>
        <w:spacing w:line="500" w:lineRule="exact"/>
        <w:rPr>
          <w:rFonts w:ascii="宋体" w:hAnsi="宋体"/>
          <w:bCs/>
          <w:color w:val="auto"/>
          <w:sz w:val="24"/>
          <w:highlight w:val="none"/>
        </w:rPr>
      </w:pPr>
      <w:r>
        <w:rPr>
          <w:rFonts w:ascii="宋体" w:hAnsi="宋体"/>
          <w:bCs/>
          <w:color w:val="auto"/>
          <w:sz w:val="24"/>
          <w:highlight w:val="none"/>
        </w:rPr>
      </w:r>
      <w:r>
        <w:rPr>
          <w:color w:val="auto"/>
          <w:highlight w:val="none"/>
        </w:rP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77"/>
              <w:jc w:val="center"/>
              <w:spacing w:before="0" w:beforeAutospacing="0" w:after="0" w:afterAutospacing="0"/>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rPr>
                <w:color w:val="auto"/>
                <w:highlight w:val="none"/>
              </w:rPr>
            </w:r>
          </w:p>
        </w:tc>
      </w:tr>
    </w:tbl>
    <w:p>
      <w:pPr>
        <w:rPr>
          <w:color w:val="auto"/>
          <w:highlight w:val="none"/>
        </w:rPr>
      </w:pPr>
      <w:r>
        <w:rPr>
          <w:color w:val="auto"/>
          <w:highlight w:val="none"/>
        </w:rPr>
      </w:r>
      <w:r>
        <w:rPr>
          <w:color w:val="auto"/>
          <w:highlight w:val="none"/>
        </w:rPr>
      </w:r>
    </w:p>
    <w:p>
      <w:pPr>
        <w:pStyle w:val="982"/>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1149"/>
        <w:spacing w:line="360" w:lineRule="auto"/>
        <w:rPr>
          <w:color w:val="auto"/>
          <w:highlight w:val="none"/>
        </w:rPr>
      </w:pPr>
      <w:r>
        <w:rPr>
          <w:color w:val="auto"/>
          <w:highlight w:val="none"/>
        </w:rPr>
      </w:r>
      <w:r>
        <w:rPr>
          <w:color w:val="auto"/>
          <w:highlight w:val="none"/>
        </w:rPr>
      </w:r>
    </w:p>
    <w:p>
      <w:pPr>
        <w:pStyle w:val="1149"/>
        <w:spacing w:line="360" w:lineRule="auto"/>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numPr>
          <w:ilvl w:val="0"/>
          <w:numId w:val="0"/>
        </w:numPr>
        <w:jc w:val="both"/>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r>
      <w:r>
        <w:rPr>
          <w:color w:val="auto"/>
          <w:highlight w:val="none"/>
        </w:rPr>
      </w:r>
    </w:p>
    <w:p>
      <w:pPr>
        <w:ind w:right="264"/>
        <w:jc w:val="center"/>
        <w:spacing w:before="54" w:line="312" w:lineRule="auto"/>
        <w:rPr>
          <w:rFonts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t xml:space="preserve">三、符合证明文件</w:t>
      </w:r>
      <w:r>
        <w:rPr>
          <w:color w:val="auto"/>
          <w:highlight w:val="none"/>
        </w:rPr>
      </w:r>
    </w:p>
    <w:p>
      <w:pPr>
        <w:pStyle w:val="903"/>
        <w:jc w:val="center"/>
        <w:spacing w:line="400" w:lineRule="exact"/>
        <w:rPr>
          <w:rFonts w:ascii="宋体" w:hAnsi="宋体"/>
          <w:color w:val="auto"/>
          <w:szCs w:val="28"/>
          <w:highlight w:val="none"/>
        </w:rPr>
      </w:pPr>
      <w:r>
        <w:rPr>
          <w:rFonts w:hint="eastAsia"/>
          <w:b/>
          <w:bCs/>
          <w:color w:val="auto"/>
          <w:sz w:val="32"/>
          <w:szCs w:val="32"/>
          <w:highlight w:val="none"/>
        </w:rPr>
        <w:t xml:space="preserve">（一）</w:t>
      </w:r>
      <w:bookmarkStart w:id="288" w:name="_Toc4145"/>
      <w:r>
        <w:rPr>
          <w:rFonts w:hint="eastAsia" w:ascii="宋体" w:hAnsi="宋体"/>
          <w:color w:val="auto"/>
          <w:szCs w:val="28"/>
          <w:highlight w:val="none"/>
        </w:rPr>
        <w:t xml:space="preserve">分项报价明细表</w:t>
      </w:r>
      <w:bookmarkEnd w:id="288"/>
      <w:r>
        <w:rPr>
          <w:color w:val="auto"/>
          <w:highlight w:val="none"/>
        </w:rPr>
      </w:r>
      <w:r>
        <w:rPr>
          <w:color w:val="auto"/>
          <w:highlight w:val="none"/>
        </w:rPr>
      </w:r>
    </w:p>
    <w:p>
      <w:pPr>
        <w:spacing w:line="400" w:lineRule="exact"/>
        <w:rPr>
          <w:rFonts w:ascii="宋体" w:hAnsi="宋体"/>
          <w:color w:val="auto"/>
          <w:sz w:val="28"/>
          <w:highlight w:val="none"/>
        </w:rPr>
      </w:pPr>
      <w:r>
        <w:rPr>
          <w:rFonts w:ascii="宋体" w:hAnsi="宋体"/>
          <w:color w:val="auto"/>
          <w:sz w:val="28"/>
          <w:highlight w:val="none"/>
        </w:rPr>
      </w:r>
      <w:r>
        <w:rPr>
          <w:color w:val="auto"/>
          <w:highlight w:val="none"/>
        </w:rPr>
      </w:r>
    </w:p>
    <w:p>
      <w:pPr>
        <w:pStyle w:val="915"/>
        <w:ind w:firstLine="484"/>
        <w:spacing w:line="360" w:lineRule="auto"/>
        <w:tabs>
          <w:tab w:val="left" w:pos="7020" w:leader="none"/>
        </w:tabs>
        <w:rPr>
          <w:rFonts w:hAnsi="宋体"/>
          <w:color w:val="auto"/>
          <w:highlight w:val="none"/>
        </w:rPr>
      </w:pPr>
      <w:r>
        <w:rPr>
          <w:rFonts w:hint="eastAsia" w:hAnsi="宋体"/>
          <w:color w:val="auto"/>
          <w:highlight w:val="none"/>
        </w:rPr>
        <w:t xml:space="preserve">项目名称：</w:t>
      </w:r>
      <w:r>
        <w:rPr>
          <w:rFonts w:hint="eastAsia" w:hAnsi="宋体"/>
          <w:color w:val="auto"/>
          <w:highlight w:val="none"/>
        </w:rPr>
        <w:tab/>
      </w:r>
      <w:r>
        <w:rPr>
          <w:color w:val="auto"/>
          <w:highlight w:val="none"/>
        </w:rPr>
      </w:r>
    </w:p>
    <w:p>
      <w:pPr>
        <w:pStyle w:val="915"/>
        <w:ind w:firstLine="484"/>
        <w:spacing w:line="360" w:lineRule="auto"/>
        <w:tabs>
          <w:tab w:val="left" w:pos="7560" w:leader="none"/>
        </w:tabs>
        <w:rPr>
          <w:rFonts w:hAnsi="宋体"/>
          <w:color w:val="auto"/>
          <w:highlight w:val="none"/>
        </w:rPr>
      </w:pPr>
      <w:r>
        <w:rPr>
          <w:rFonts w:hint="eastAsia" w:hAnsi="宋体"/>
          <w:color w:val="auto"/>
          <w:highlight w:val="none"/>
        </w:rPr>
        <w:t xml:space="preserve">招标编号： </w:t>
      </w:r>
      <w:r>
        <w:rPr>
          <w:color w:val="auto"/>
          <w:highlight w:val="none"/>
        </w:rP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4190"/>
        <w:gridCol w:w="3556"/>
      </w:tblGrid>
      <w:tr>
        <w:trPr>
          <w:jc w:val="center"/>
        </w:trPr>
        <w:tc>
          <w:tcPr>
            <w:tcW w:w="958" w:type="dxa"/>
            <w:vAlign w:val="center"/>
            <w:textDirection w:val="lrTb"/>
            <w:noWrap w:val="false"/>
          </w:tcPr>
          <w:p>
            <w:pPr>
              <w:pStyle w:val="922"/>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 序号</w:t>
            </w:r>
            <w:r>
              <w:rPr>
                <w:color w:val="auto"/>
                <w:highlight w:val="none"/>
              </w:rPr>
            </w:r>
          </w:p>
        </w:tc>
        <w:tc>
          <w:tcPr>
            <w:tcW w:w="4190" w:type="dxa"/>
            <w:vAlign w:val="center"/>
            <w:textDirection w:val="lrTb"/>
            <w:noWrap w:val="false"/>
          </w:tcPr>
          <w:p>
            <w:pPr>
              <w:pStyle w:val="922"/>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名称</w:t>
            </w:r>
            <w:r>
              <w:rPr>
                <w:color w:val="auto"/>
                <w:highlight w:val="none"/>
              </w:rPr>
            </w:r>
          </w:p>
        </w:tc>
        <w:tc>
          <w:tcPr>
            <w:tcW w:w="3556" w:type="dxa"/>
            <w:vAlign w:val="center"/>
            <w:textDirection w:val="lrTb"/>
            <w:noWrap w:val="false"/>
          </w:tcPr>
          <w:p>
            <w:pPr>
              <w:pStyle w:val="922"/>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单项价格（单位：元）</w:t>
            </w:r>
            <w:r>
              <w:rPr>
                <w:color w:val="auto"/>
                <w:highlight w:val="none"/>
              </w:rPr>
            </w:r>
          </w:p>
        </w:tc>
      </w:tr>
      <w:tr>
        <w:trPr>
          <w:jc w:val="center"/>
        </w:trPr>
        <w:tc>
          <w:tcPr>
            <w:tcW w:w="95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rPr>
                <w:color w:val="auto"/>
                <w:highlight w:val="none"/>
              </w:rPr>
            </w:r>
          </w:p>
        </w:tc>
        <w:tc>
          <w:tcPr>
            <w:tcW w:w="4190"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3556"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r>
      <w:tr>
        <w:trPr>
          <w:jc w:val="center"/>
        </w:trPr>
        <w:tc>
          <w:tcPr>
            <w:tcW w:w="95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rPr>
                <w:color w:val="auto"/>
                <w:highlight w:val="none"/>
              </w:rPr>
            </w:r>
          </w:p>
        </w:tc>
        <w:tc>
          <w:tcPr>
            <w:tcW w:w="4190"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3556"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r>
      <w:tr>
        <w:trPr>
          <w:jc w:val="center"/>
        </w:trPr>
        <w:tc>
          <w:tcPr>
            <w:tcW w:w="95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rPr>
                <w:color w:val="auto"/>
                <w:highlight w:val="none"/>
              </w:rPr>
            </w:r>
          </w:p>
        </w:tc>
        <w:tc>
          <w:tcPr>
            <w:tcW w:w="4190"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3556"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r>
      <w:tr>
        <w:trPr>
          <w:jc w:val="center"/>
          <w:trHeight w:val="390"/>
        </w:trPr>
        <w:tc>
          <w:tcPr>
            <w:tcW w:w="958"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t xml:space="preserve">…</w:t>
            </w:r>
            <w:r>
              <w:rPr>
                <w:color w:val="auto"/>
                <w:highlight w:val="none"/>
              </w:rPr>
            </w:r>
          </w:p>
        </w:tc>
        <w:tc>
          <w:tcPr>
            <w:tcW w:w="4190"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3556"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r>
      <w:tr>
        <w:trPr>
          <w:jc w:val="center"/>
        </w:trPr>
        <w:tc>
          <w:tcPr>
            <w:tcW w:w="958"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4190"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3556"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r>
      <w:tr>
        <w:trPr>
          <w:jc w:val="center"/>
        </w:trPr>
        <w:tc>
          <w:tcPr>
            <w:tcW w:w="958"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4190"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3556"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r>
      <w:tr>
        <w:trPr>
          <w:jc w:val="center"/>
        </w:trPr>
        <w:tc>
          <w:tcPr>
            <w:tcW w:w="958"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4190"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3556"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r>
      <w:tr>
        <w:trPr>
          <w:jc w:val="center"/>
        </w:trPr>
        <w:tc>
          <w:tcPr>
            <w:tcW w:w="958"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4190"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3556"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r>
      <w:tr>
        <w:trPr>
          <w:jc w:val="center"/>
        </w:trPr>
        <w:tc>
          <w:tcPr>
            <w:tcW w:w="958"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4190"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3556"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r>
      <w:tr>
        <w:trPr>
          <w:jc w:val="center"/>
        </w:trPr>
        <w:tc>
          <w:tcPr>
            <w:tcW w:w="958"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4190"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3556"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r>
      <w:tr>
        <w:trPr>
          <w:jc w:val="center"/>
        </w:trPr>
        <w:tc>
          <w:tcPr>
            <w:tcW w:w="958"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4190"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c>
          <w:tcPr>
            <w:tcW w:w="3556"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r>
      <w:tr>
        <w:trPr>
          <w:jc w:val="center"/>
        </w:trPr>
        <w:tc>
          <w:tcPr>
            <w:gridSpan w:val="2"/>
            <w:tcW w:w="5148" w:type="dxa"/>
            <w:vAlign w:val="center"/>
            <w:textDirection w:val="lrTb"/>
            <w:noWrap w:val="false"/>
          </w:tcPr>
          <w:p>
            <w:pPr>
              <w:pStyle w:val="922"/>
              <w:jc w:val="cente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总    价(元)</w:t>
            </w:r>
            <w:r>
              <w:rPr>
                <w:color w:val="auto"/>
                <w:highlight w:val="none"/>
              </w:rPr>
            </w:r>
          </w:p>
        </w:tc>
        <w:tc>
          <w:tcPr>
            <w:tcW w:w="3556" w:type="dxa"/>
            <w:vAlign w:val="center"/>
            <w:textDirection w:val="lrTb"/>
            <w:noWrap w:val="false"/>
          </w:tcPr>
          <w:p>
            <w:pPr>
              <w:pStyle w:val="922"/>
              <w:jc w:val="center"/>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tc>
      </w:tr>
    </w:tbl>
    <w:p>
      <w:pPr>
        <w:ind w:left="840" w:hanging="840"/>
        <w:spacing w:line="400" w:lineRule="exact"/>
        <w:rPr>
          <w:rFonts w:ascii="宋体" w:hAnsi="宋体"/>
          <w:bCs/>
          <w:color w:val="auto"/>
          <w:sz w:val="24"/>
          <w:highlight w:val="none"/>
        </w:rPr>
      </w:pPr>
      <w:r>
        <w:rPr>
          <w:rFonts w:hint="eastAsia"/>
          <w:color w:val="auto"/>
          <w:sz w:val="24"/>
          <w:highlight w:val="none"/>
        </w:rPr>
        <w:t xml:space="preserve">注：1、投标人必须按“</w:t>
      </w:r>
      <w:r>
        <w:rPr>
          <w:rFonts w:hint="eastAsia"/>
          <w:bCs/>
          <w:color w:val="auto"/>
          <w:sz w:val="24"/>
          <w:highlight w:val="none"/>
        </w:rPr>
        <w:t xml:space="preserve">分项报价明细表”的格式</w:t>
      </w:r>
      <w:r>
        <w:rPr>
          <w:rFonts w:hint="eastAsia"/>
          <w:color w:val="auto"/>
          <w:sz w:val="24"/>
          <w:highlight w:val="none"/>
        </w:rPr>
        <w:t xml:space="preserve">详细报出投标总价的各个组成部分的报价。</w:t>
      </w:r>
      <w:r>
        <w:rPr>
          <w:color w:val="auto"/>
          <w:highlight w:val="none"/>
        </w:rPr>
      </w:r>
    </w:p>
    <w:p>
      <w:pPr>
        <w:jc w:val="left"/>
        <w:spacing w:line="400" w:lineRule="exact"/>
        <w:rPr>
          <w:rFonts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 2、</w:t>
      </w:r>
      <w:r>
        <w:rPr>
          <w:rFonts w:hint="eastAsia"/>
          <w:color w:val="auto"/>
          <w:sz w:val="24"/>
          <w:highlight w:val="none"/>
        </w:rPr>
        <w:t xml:space="preserve">“</w:t>
      </w:r>
      <w:r>
        <w:rPr>
          <w:rFonts w:hint="eastAsia"/>
          <w:bCs/>
          <w:color w:val="auto"/>
          <w:sz w:val="24"/>
          <w:highlight w:val="none"/>
        </w:rPr>
        <w:t xml:space="preserve">分项报价明细表”各分项报价合计应当与“开标一览表”报价合计相等。</w:t>
      </w:r>
      <w:r>
        <w:rPr>
          <w:color w:val="auto"/>
          <w:highlight w:val="none"/>
        </w:rPr>
      </w:r>
    </w:p>
    <w:p>
      <w:pPr>
        <w:jc w:val="left"/>
        <w:spacing w:line="400" w:lineRule="exact"/>
        <w:rPr>
          <w:rFonts w:ascii="宋体" w:hAnsi="宋体"/>
          <w:b/>
          <w:bCs/>
          <w:color w:val="auto"/>
          <w:sz w:val="24"/>
          <w:highlight w:val="none"/>
        </w:rPr>
      </w:pPr>
      <w:r>
        <w:rPr>
          <w:rFonts w:ascii="宋体" w:hAnsi="宋体"/>
          <w:b/>
          <w:bCs/>
          <w:color w:val="auto"/>
          <w:sz w:val="24"/>
          <w:highlight w:val="none"/>
        </w:rPr>
      </w:r>
      <w:r>
        <w:rPr>
          <w:color w:val="auto"/>
          <w:highlight w:val="none"/>
        </w:rPr>
      </w:r>
    </w:p>
    <w:p>
      <w:pPr>
        <w:ind w:firstLine="560"/>
        <w:jc w:val="left"/>
        <w:spacing w:line="400" w:lineRule="exact"/>
        <w:rPr>
          <w:rFonts w:ascii="宋体" w:hAnsi="宋体"/>
          <w:color w:val="auto"/>
          <w:sz w:val="28"/>
          <w:highlight w:val="none"/>
        </w:rPr>
      </w:pPr>
      <w:r>
        <w:rPr>
          <w:rFonts w:ascii="宋体" w:hAnsi="宋体"/>
          <w:color w:val="auto"/>
          <w:sz w:val="28"/>
          <w:highlight w:val="none"/>
        </w:rPr>
      </w:r>
      <w:r>
        <w:rPr>
          <w:color w:val="auto"/>
          <w:highlight w:val="none"/>
        </w:rP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80"/>
        <w:jc w:val="left"/>
        <w:spacing w:line="400" w:lineRule="exact"/>
        <w:rPr>
          <w:rFonts w:ascii="宋体" w:hAnsi="宋体"/>
          <w:color w:val="auto"/>
          <w:sz w:val="24"/>
          <w:highlight w:val="none"/>
          <w:u w:val="single"/>
        </w:rPr>
      </w:pPr>
      <w:r>
        <w:rPr>
          <w:rFonts w:hint="eastAsia" w:ascii="宋体" w:hAnsi="宋体"/>
          <w:color w:val="auto"/>
          <w:sz w:val="24"/>
          <w:highlight w:val="none"/>
        </w:rPr>
        <w:t xml:space="preserve">投标日期：</w:t>
      </w:r>
      <w:r>
        <w:rPr>
          <w:rFonts w:hint="eastAsia" w:ascii="宋体" w:hAnsi="宋体"/>
          <w:color w:val="auto"/>
          <w:sz w:val="24"/>
          <w:highlight w:val="none"/>
          <w:u w:val="single"/>
        </w:rPr>
        <w:t xml:space="preserve">                </w:t>
      </w:r>
      <w:r>
        <w:rPr>
          <w:color w:val="auto"/>
          <w:highlight w:val="none"/>
        </w:rPr>
      </w:r>
    </w:p>
    <w:p>
      <w:pPr>
        <w:ind w:firstLine="480"/>
        <w:jc w:val="left"/>
        <w:spacing w:line="400" w:lineRule="exact"/>
        <w:rPr>
          <w:rFonts w:ascii="宋体" w:hAnsi="宋体"/>
          <w:color w:val="auto"/>
          <w:sz w:val="24"/>
          <w:highlight w:val="none"/>
          <w:u w:val="single"/>
        </w:rPr>
      </w:pPr>
      <w:r>
        <w:rPr>
          <w:rFonts w:ascii="宋体" w:hAnsi="宋体"/>
          <w:color w:val="auto"/>
          <w:sz w:val="24"/>
          <w:highlight w:val="none"/>
          <w:u w:val="single"/>
        </w:rPr>
      </w:r>
      <w:r>
        <w:rPr>
          <w:color w:val="auto"/>
          <w:highlight w:val="none"/>
        </w:rPr>
      </w:r>
    </w:p>
    <w:p>
      <w:pPr>
        <w:ind w:firstLine="480"/>
        <w:jc w:val="left"/>
        <w:spacing w:line="400" w:lineRule="exact"/>
        <w:rPr>
          <w:rFonts w:ascii="宋体" w:hAnsi="宋体"/>
          <w:color w:val="auto"/>
          <w:sz w:val="24"/>
          <w:highlight w:val="none"/>
          <w:u w:val="single"/>
        </w:rPr>
        <w:sectPr>
          <w:footnotePr/>
          <w:endnotePr/>
          <w:type w:val="nextPage"/>
          <w:pgSz w:w="11907" w:h="16840" w:orient="portrait"/>
          <w:pgMar w:top="1440" w:right="1474" w:bottom="1440" w:left="1474" w:header="851" w:footer="992" w:gutter="0"/>
          <w:cols w:num="1" w:sep="0" w:space="720" w:equalWidth="1"/>
          <w:docGrid w:linePitch="360"/>
        </w:sectPr>
      </w:pPr>
      <w:r>
        <w:rPr>
          <w:rFonts w:ascii="宋体" w:hAnsi="宋体"/>
          <w:color w:val="auto"/>
          <w:sz w:val="24"/>
          <w:highlight w:val="none"/>
          <w:u w:val="single"/>
        </w:rPr>
      </w:r>
      <w:r>
        <w:rPr>
          <w:color w:val="auto"/>
          <w:highlight w:val="none"/>
        </w:rPr>
      </w:r>
    </w:p>
    <w:p>
      <w:pPr>
        <w:pStyle w:val="1133"/>
        <w:rPr>
          <w:color w:val="auto"/>
          <w:sz w:val="32"/>
          <w:szCs w:val="32"/>
          <w:highlight w:val="none"/>
        </w:rPr>
      </w:pPr>
      <w:r>
        <w:rPr>
          <w:rFonts w:hint="eastAsia"/>
          <w:color w:val="auto"/>
          <w:sz w:val="32"/>
          <w:szCs w:val="32"/>
          <w:highlight w:val="none"/>
        </w:rPr>
        <w:t xml:space="preserve">（二）</w:t>
      </w:r>
      <w:r>
        <w:rPr>
          <w:color w:val="auto"/>
          <w:sz w:val="32"/>
          <w:szCs w:val="32"/>
          <w:highlight w:val="none"/>
        </w:rPr>
        <w:t xml:space="preserve">投标函</w:t>
      </w:r>
      <w:bookmarkEnd w:id="284"/>
      <w:r>
        <w:rPr>
          <w:color w:val="auto"/>
          <w:highlight w:val="none"/>
        </w:rPr>
      </w:r>
      <w:bookmarkEnd w:id="285"/>
      <w:r>
        <w:rPr>
          <w:color w:val="auto"/>
          <w:highlight w:val="none"/>
        </w:rPr>
      </w:r>
      <w:bookmarkEnd w:id="286"/>
      <w:r>
        <w:rPr>
          <w:color w:val="auto"/>
          <w:highlight w:val="none"/>
        </w:rPr>
      </w:r>
      <w:bookmarkEnd w:id="287"/>
      <w:r>
        <w:rPr>
          <w:color w:val="auto"/>
          <w:highlight w:val="none"/>
        </w:rPr>
      </w:r>
      <w:r>
        <w:rPr>
          <w:color w:val="auto"/>
          <w:highlight w:val="none"/>
        </w:rPr>
      </w:r>
    </w:p>
    <w:p>
      <w:pPr>
        <w:spacing w:before="12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p>
    <w:p>
      <w:pPr>
        <w:spacing w:before="120"/>
        <w:tabs>
          <w:tab w:val="left" w:pos="5580" w:leader="none"/>
        </w:tabs>
        <w:rPr>
          <w:rFonts w:ascii="Arial" w:hAnsi="Arial" w:cs="Arial"/>
          <w:color w:val="auto"/>
          <w:sz w:val="24"/>
          <w:szCs w:val="24"/>
          <w:highlight w:val="none"/>
          <w:u w:val="single"/>
        </w:rPr>
      </w:pPr>
      <w:r>
        <w:rPr>
          <w:rFonts w:ascii="Arial" w:hAnsi="Arial" w:cs="Arial"/>
          <w:color w:val="auto"/>
          <w:sz w:val="24"/>
          <w:szCs w:val="24"/>
          <w:highlight w:val="none"/>
        </w:rPr>
        <w:t xml:space="preserve">致：</w:t>
      </w:r>
      <w:r>
        <w:rPr>
          <w:rFonts w:ascii="Arial" w:hAnsi="Arial" w:cs="Arial"/>
          <w:color w:val="auto"/>
          <w:sz w:val="24"/>
          <w:szCs w:val="24"/>
          <w:highlight w:val="none"/>
          <w:u w:val="single"/>
        </w:rPr>
        <w:t xml:space="preserve">  代理机构名称  </w:t>
      </w:r>
      <w:r>
        <w:rPr>
          <w:color w:val="auto"/>
          <w:highlight w:val="none"/>
        </w:rPr>
      </w:r>
    </w:p>
    <w:p>
      <w:pPr>
        <w:pStyle w:val="1158"/>
        <w:ind w:firstLine="48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p>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t xml:space="preserve">我方全面研究了 “</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”项目招标文件（招标编号），决定参加贵单位组织的本项目投标。我方授权</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（姓名、职务）代表我方                        （投标单位的名称）全权处理本项目投标的有关事宜。</w:t>
      </w:r>
      <w:r>
        <w:rPr>
          <w:color w:val="auto"/>
          <w:highlight w:val="none"/>
        </w:rPr>
      </w:r>
    </w:p>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t xml:space="preserve">1、我方自愿按照招标文件规定的各项要求向采购人提供所需服务，总投标价为人民币</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万元（大写：</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w:t>
      </w:r>
      <w:r>
        <w:rPr>
          <w:color w:val="auto"/>
          <w:highlight w:val="none"/>
        </w:rPr>
      </w:r>
    </w:p>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t xml:space="preserve">2、一旦我方中标，我方将严格履行合同规定的责任和义务，保证于合同签字生效后</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日内完成应尽义务，并交付采购人验收、使用。</w:t>
      </w:r>
      <w:r>
        <w:rPr>
          <w:color w:val="auto"/>
          <w:highlight w:val="none"/>
        </w:rPr>
      </w:r>
    </w:p>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t xml:space="preserve">3、我方为本项目提交的</w:t>
      </w:r>
      <w:r>
        <w:rPr>
          <w:rFonts w:hint="eastAsia" w:ascii="Arial" w:hAnsi="Arial" w:eastAsia="宋体" w:cs="Arial"/>
          <w:bCs/>
          <w:color w:val="auto"/>
          <w:highlight w:val="none"/>
        </w:rPr>
        <w:t xml:space="preserve">电子</w:t>
      </w:r>
      <w:r>
        <w:rPr>
          <w:rFonts w:ascii="Arial" w:hAnsi="Arial" w:eastAsia="宋体" w:cs="Arial"/>
          <w:bCs/>
          <w:color w:val="auto"/>
          <w:highlight w:val="none"/>
        </w:rPr>
        <w:t xml:space="preserve">投标文件</w:t>
      </w:r>
      <w:r>
        <w:rPr>
          <w:rFonts w:hint="eastAsia" w:ascii="Arial" w:hAnsi="Arial" w:eastAsia="宋体" w:cs="Arial"/>
          <w:bCs/>
          <w:color w:val="auto"/>
          <w:highlight w:val="none"/>
        </w:rPr>
        <w:t xml:space="preserve">1</w:t>
      </w:r>
      <w:r>
        <w:rPr>
          <w:rFonts w:ascii="Arial" w:hAnsi="Arial" w:eastAsia="宋体" w:cs="Arial"/>
          <w:bCs/>
          <w:color w:val="auto"/>
          <w:highlight w:val="none"/>
        </w:rPr>
        <w:t xml:space="preserve">份。</w:t>
      </w:r>
      <w:r>
        <w:rPr>
          <w:color w:val="auto"/>
          <w:highlight w:val="none"/>
        </w:rPr>
      </w:r>
    </w:p>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t xml:space="preserve">4、我方愿意提供贵公司可能另外要求的，与投标有关的文件资料，并保证我方已提供和将要提供的文件资料是真实、准确的。</w:t>
      </w:r>
      <w:r>
        <w:rPr>
          <w:color w:val="auto"/>
          <w:highlight w:val="none"/>
        </w:rPr>
      </w:r>
    </w:p>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t xml:space="preserve">5、我方完全理解采购人不一定将合同授予最低报价的投标人的行为。</w:t>
      </w:r>
      <w:r>
        <w:rPr>
          <w:color w:val="auto"/>
          <w:highlight w:val="none"/>
        </w:rPr>
      </w:r>
    </w:p>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p>
    <w:p>
      <w:pPr>
        <w:pStyle w:val="1162"/>
        <w:spacing w:line="400" w:lineRule="exact"/>
        <w:rPr>
          <w:rFonts w:ascii="Arial" w:hAnsi="Arial" w:eastAsia="宋体" w:cs="Arial"/>
          <w:bCs/>
          <w:color w:val="auto"/>
          <w:highlight w:val="none"/>
          <w:u w:val="single"/>
        </w:rPr>
      </w:pPr>
      <w:r>
        <w:rPr>
          <w:rFonts w:ascii="Arial" w:hAnsi="Arial" w:eastAsia="宋体" w:cs="Arial"/>
          <w:bCs/>
          <w:color w:val="auto"/>
          <w:highlight w:val="none"/>
        </w:rPr>
        <w:t xml:space="preserve">法定代表人或授权代表（签字</w:t>
      </w:r>
      <w:r>
        <w:rPr>
          <w:rFonts w:hint="eastAsia" w:ascii="Arial" w:hAnsi="Arial" w:eastAsia="宋体" w:cs="Arial"/>
          <w:bCs/>
          <w:color w:val="auto"/>
          <w:highlight w:val="none"/>
        </w:rPr>
        <w:t xml:space="preserve">或电子签章</w:t>
      </w:r>
      <w:r>
        <w:rPr>
          <w:rFonts w:ascii="Arial" w:hAnsi="Arial" w:eastAsia="宋体" w:cs="Arial"/>
          <w:bCs/>
          <w:color w:val="auto"/>
          <w:highlight w:val="none"/>
        </w:rPr>
        <w:t xml:space="preserve">）：</w:t>
      </w:r>
      <w:r>
        <w:rPr>
          <w:rFonts w:ascii="Arial" w:hAnsi="Arial" w:eastAsia="宋体" w:cs="Arial"/>
          <w:bCs/>
          <w:color w:val="auto"/>
          <w:highlight w:val="none"/>
          <w:u w:val="single"/>
        </w:rPr>
        <w:t xml:space="preserve">                   </w:t>
      </w:r>
      <w:r>
        <w:rPr>
          <w:color w:val="auto"/>
          <w:highlight w:val="none"/>
        </w:rPr>
      </w:r>
    </w:p>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t xml:space="preserve">通讯地址：</w:t>
      </w:r>
      <w:r>
        <w:rPr>
          <w:rFonts w:ascii="Arial" w:hAnsi="Arial" w:eastAsia="宋体" w:cs="Arial"/>
          <w:bCs/>
          <w:color w:val="auto"/>
          <w:highlight w:val="none"/>
          <w:u w:val="single"/>
        </w:rPr>
        <w:t xml:space="preserve">                   </w:t>
      </w:r>
      <w:r>
        <w:rPr>
          <w:color w:val="auto"/>
          <w:highlight w:val="none"/>
        </w:rPr>
      </w:r>
    </w:p>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t xml:space="preserve">邮政编码：</w:t>
      </w:r>
      <w:r>
        <w:rPr>
          <w:rFonts w:ascii="Arial" w:hAnsi="Arial" w:eastAsia="宋体" w:cs="Arial"/>
          <w:bCs/>
          <w:color w:val="auto"/>
          <w:highlight w:val="none"/>
          <w:u w:val="single"/>
        </w:rPr>
        <w:t xml:space="preserve">                   </w:t>
      </w:r>
      <w:r>
        <w:rPr>
          <w:color w:val="auto"/>
          <w:highlight w:val="none"/>
        </w:rPr>
      </w:r>
    </w:p>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t xml:space="preserve">联系电话：</w:t>
      </w:r>
      <w:r>
        <w:rPr>
          <w:rFonts w:ascii="Arial" w:hAnsi="Arial" w:eastAsia="宋体" w:cs="Arial"/>
          <w:bCs/>
          <w:color w:val="auto"/>
          <w:highlight w:val="none"/>
          <w:u w:val="single"/>
        </w:rPr>
        <w:t xml:space="preserve">                   </w:t>
      </w:r>
      <w:r>
        <w:rPr>
          <w:color w:val="auto"/>
          <w:highlight w:val="none"/>
        </w:rPr>
      </w:r>
    </w:p>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t xml:space="preserve">传    真：</w:t>
      </w:r>
      <w:r>
        <w:rPr>
          <w:rFonts w:ascii="Arial" w:hAnsi="Arial" w:eastAsia="宋体" w:cs="Arial"/>
          <w:bCs/>
          <w:color w:val="auto"/>
          <w:highlight w:val="none"/>
          <w:u w:val="single"/>
        </w:rPr>
        <w:t xml:space="preserve">                   </w:t>
      </w:r>
      <w:r>
        <w:rPr>
          <w:color w:val="auto"/>
          <w:highlight w:val="none"/>
        </w:rPr>
      </w:r>
    </w:p>
    <w:p>
      <w:pPr>
        <w:pStyle w:val="1162"/>
        <w:spacing w:line="400" w:lineRule="exact"/>
        <w:rPr>
          <w:rFonts w:ascii="Arial" w:hAnsi="Arial" w:eastAsia="宋体" w:cs="Arial"/>
          <w:color w:val="auto"/>
          <w:highlight w:val="none"/>
          <w:u w:val="single"/>
        </w:rPr>
        <w:sectPr>
          <w:footerReference w:type="default" r:id="rId15"/>
          <w:footerReference w:type="first" r:id="rId16"/>
          <w:footnotePr/>
          <w:endnotePr/>
          <w:type w:val="nextPage"/>
          <w:pgSz w:w="11907" w:h="16840" w:orient="portrait"/>
          <w:pgMar w:top="1418" w:right="1418" w:bottom="1418" w:left="1418" w:header="851" w:footer="851" w:gutter="0"/>
          <w:cols w:num="1" w:sep="0" w:space="1701" w:equalWidth="1"/>
          <w:docGrid w:linePitch="360"/>
          <w:titlePg/>
        </w:sectPr>
      </w:pPr>
      <w:r>
        <w:rPr>
          <w:rFonts w:ascii="Arial" w:hAnsi="Arial" w:eastAsia="宋体" w:cs="Arial"/>
          <w:bCs/>
          <w:color w:val="auto"/>
          <w:highlight w:val="none"/>
        </w:rPr>
        <w:t xml:space="preserve">日    期：</w:t>
      </w:r>
      <w:r>
        <w:rPr>
          <w:rFonts w:ascii="Arial" w:hAnsi="Arial" w:eastAsia="宋体" w:cs="Arial"/>
          <w:bCs/>
          <w:color w:val="auto"/>
          <w:highlight w:val="none"/>
          <w:u w:val="single"/>
        </w:rPr>
        <w:t xml:space="preserve">                   </w:t>
      </w:r>
      <w:r>
        <w:rPr>
          <w:color w:val="auto"/>
          <w:highlight w:val="none"/>
        </w:rPr>
      </w:r>
    </w:p>
    <w:p>
      <w:pPr>
        <w:pStyle w:val="903"/>
        <w:jc w:val="center"/>
        <w:spacing w:line="400" w:lineRule="exact"/>
        <w:rPr>
          <w:rFonts w:eastAsia="黑体"/>
          <w:b/>
          <w:bCs/>
          <w:color w:val="auto"/>
          <w:sz w:val="32"/>
          <w:szCs w:val="32"/>
          <w:highlight w:val="none"/>
        </w:rPr>
      </w:pPr>
      <w:r>
        <w:rPr>
          <w:color w:val="auto"/>
          <w:highlight w:val="none"/>
        </w:rPr>
      </w:r>
      <w:bookmarkStart w:id="289" w:name="_Toc217446087"/>
      <w:r>
        <w:rPr>
          <w:color w:val="auto"/>
          <w:highlight w:val="none"/>
        </w:rPr>
      </w:r>
      <w:bookmarkStart w:id="290" w:name="_Toc14505"/>
      <w:r>
        <w:rPr>
          <w:color w:val="auto"/>
          <w:highlight w:val="none"/>
        </w:rPr>
      </w:r>
      <w:bookmarkStart w:id="291" w:name="_Toc595"/>
      <w:r>
        <w:rPr>
          <w:rFonts w:hint="eastAsia" w:eastAsia="黑体"/>
          <w:b/>
          <w:bCs/>
          <w:color w:val="auto"/>
          <w:sz w:val="32"/>
          <w:szCs w:val="32"/>
          <w:highlight w:val="none"/>
        </w:rPr>
        <w:t xml:space="preserve">（三） </w:t>
      </w:r>
      <w:bookmarkEnd w:id="289"/>
      <w:r>
        <w:rPr>
          <w:color w:val="auto"/>
          <w:highlight w:val="none"/>
        </w:rPr>
      </w:r>
      <w:bookmarkStart w:id="292" w:name="_Toc217446088"/>
      <w:r>
        <w:rPr>
          <w:rFonts w:hint="eastAsia" w:eastAsia="黑体"/>
          <w:b/>
          <w:bCs/>
          <w:color w:val="auto"/>
          <w:sz w:val="32"/>
          <w:szCs w:val="32"/>
          <w:highlight w:val="none"/>
        </w:rPr>
        <w:t xml:space="preserve">商务应答表</w:t>
      </w:r>
      <w:r>
        <w:rPr>
          <w:color w:val="auto"/>
          <w:highlight w:val="none"/>
        </w:rPr>
      </w:r>
    </w:p>
    <w:p>
      <w:pPr>
        <w:pStyle w:val="928"/>
        <w:spacing w:line="400" w:lineRule="exact"/>
        <w:tabs>
          <w:tab w:val="clear" w:pos="7143" w:leader="none"/>
          <w:tab w:val="clear" w:pos="14287" w:leader="none"/>
        </w:tabs>
        <w:rPr>
          <w:rFonts w:ascii="宋体" w:hAnsi="宋体"/>
          <w:color w:val="auto"/>
          <w:sz w:val="24"/>
          <w:szCs w:val="24"/>
          <w:highlight w:val="none"/>
        </w:rPr>
      </w:pPr>
      <w:r>
        <w:rPr>
          <w:rFonts w:hint="eastAsia" w:ascii="宋体" w:hAnsi="宋体"/>
          <w:color w:val="auto"/>
          <w:sz w:val="24"/>
          <w:szCs w:val="24"/>
          <w:highlight w:val="none"/>
        </w:rPr>
        <w:t xml:space="preserve">招标编号：                                            </w:t>
      </w:r>
      <w:r>
        <w:rPr>
          <w:color w:val="auto"/>
          <w:highlight w:val="none"/>
        </w:rPr>
      </w:r>
    </w:p>
    <w:tbl>
      <w:tblPr>
        <w:tblStyle w:val="91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958"/>
        <w:gridCol w:w="2060"/>
        <w:gridCol w:w="4970"/>
      </w:tblGrid>
      <w:tr>
        <w:trPr>
          <w:trHeight w:val="944"/>
        </w:trPr>
        <w:tc>
          <w:tcPr>
            <w:tcW w:w="958" w:type="dxa"/>
            <w:vAlign w:val="center"/>
            <w:textDirection w:val="lrTb"/>
            <w:noWrap w:val="false"/>
          </w:tcPr>
          <w:p>
            <w:pPr>
              <w:spacing w:line="400" w:lineRule="exact"/>
              <w:rPr>
                <w:rFonts w:ascii="宋体" w:hAnsi="宋体"/>
                <w:color w:val="auto"/>
                <w:sz w:val="28"/>
                <w:highlight w:val="none"/>
              </w:rPr>
            </w:pPr>
            <w:r>
              <w:rPr>
                <w:rFonts w:hint="eastAsia" w:ascii="宋体" w:hAnsi="宋体"/>
                <w:color w:val="auto"/>
                <w:sz w:val="28"/>
                <w:highlight w:val="none"/>
              </w:rPr>
              <w:t xml:space="preserve">序号</w:t>
            </w:r>
            <w:r>
              <w:rPr>
                <w:color w:val="auto"/>
                <w:highlight w:val="none"/>
              </w:rPr>
            </w:r>
          </w:p>
        </w:tc>
        <w:tc>
          <w:tcPr>
            <w:tcW w:w="958" w:type="dxa"/>
            <w:vAlign w:val="center"/>
            <w:textDirection w:val="lrTb"/>
            <w:noWrap w:val="false"/>
          </w:tcPr>
          <w:p>
            <w:pPr>
              <w:spacing w:line="400" w:lineRule="exact"/>
              <w:rPr>
                <w:rFonts w:ascii="宋体" w:hAnsi="宋体"/>
                <w:color w:val="auto"/>
                <w:sz w:val="28"/>
                <w:highlight w:val="none"/>
              </w:rPr>
            </w:pPr>
            <w:r>
              <w:rPr>
                <w:rFonts w:hint="eastAsia" w:ascii="宋体" w:hAnsi="宋体"/>
                <w:color w:val="auto"/>
                <w:sz w:val="28"/>
                <w:highlight w:val="none"/>
              </w:rPr>
              <w:t xml:space="preserve">包号</w:t>
            </w:r>
            <w:r>
              <w:rPr>
                <w:color w:val="auto"/>
                <w:highlight w:val="none"/>
              </w:rPr>
            </w:r>
          </w:p>
        </w:tc>
        <w:tc>
          <w:tcPr>
            <w:tcW w:w="2060" w:type="dxa"/>
            <w:vAlign w:val="center"/>
            <w:textDirection w:val="lrTb"/>
            <w:noWrap w:val="false"/>
          </w:tcPr>
          <w:p>
            <w:pPr>
              <w:jc w:val="center"/>
              <w:spacing w:line="400" w:lineRule="exact"/>
              <w:rPr>
                <w:rFonts w:ascii="宋体" w:hAnsi="宋体"/>
                <w:color w:val="auto"/>
                <w:sz w:val="28"/>
                <w:highlight w:val="none"/>
              </w:rPr>
            </w:pPr>
            <w:r>
              <w:rPr>
                <w:rFonts w:hint="eastAsia" w:ascii="宋体" w:hAnsi="宋体"/>
                <w:color w:val="auto"/>
                <w:sz w:val="28"/>
                <w:highlight w:val="none"/>
              </w:rPr>
              <w:t xml:space="preserve">招标要求</w:t>
            </w:r>
            <w:r>
              <w:rPr>
                <w:color w:val="auto"/>
                <w:highlight w:val="none"/>
              </w:rPr>
            </w:r>
          </w:p>
        </w:tc>
        <w:tc>
          <w:tcPr>
            <w:tcW w:w="4970" w:type="dxa"/>
            <w:vAlign w:val="center"/>
            <w:textDirection w:val="lrTb"/>
            <w:noWrap w:val="false"/>
          </w:tcPr>
          <w:p>
            <w:pPr>
              <w:jc w:val="center"/>
              <w:spacing w:line="400" w:lineRule="exact"/>
              <w:rPr>
                <w:rFonts w:ascii="宋体" w:hAnsi="宋体"/>
                <w:color w:val="auto"/>
                <w:sz w:val="28"/>
                <w:highlight w:val="none"/>
              </w:rPr>
            </w:pPr>
            <w:r>
              <w:rPr>
                <w:rFonts w:hint="eastAsia" w:ascii="宋体" w:hAnsi="宋体"/>
                <w:color w:val="auto"/>
                <w:sz w:val="28"/>
                <w:highlight w:val="none"/>
              </w:rPr>
              <w:t xml:space="preserve">投标应答</w:t>
            </w:r>
            <w:r>
              <w:rPr>
                <w:color w:val="auto"/>
                <w:highlight w:val="none"/>
              </w:rPr>
            </w:r>
          </w:p>
        </w:tc>
      </w:tr>
      <w:tr>
        <w:trPr>
          <w:trHeight w:val="995"/>
        </w:trPr>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c>
          <w:tcPr>
            <w:tcW w:w="2060" w:type="dxa"/>
            <w:textDirection w:val="lrTb"/>
            <w:noWrap w:val="false"/>
          </w:tcPr>
          <w:p>
            <w:pPr>
              <w:jc w:val="center"/>
              <w:spacing w:line="400" w:lineRule="exact"/>
              <w:rPr>
                <w:rFonts w:ascii="宋体" w:hAnsi="宋体"/>
                <w:color w:val="auto"/>
                <w:sz w:val="28"/>
                <w:highlight w:val="none"/>
              </w:rPr>
            </w:pPr>
            <w:r>
              <w:rPr>
                <w:rFonts w:hint="eastAsia" w:ascii="宋体" w:hAnsi="宋体"/>
                <w:color w:val="auto"/>
                <w:sz w:val="28"/>
                <w:highlight w:val="none"/>
              </w:rPr>
              <w:t xml:space="preserve">服务期</w:t>
            </w:r>
            <w:r>
              <w:rPr>
                <w:color w:val="auto"/>
                <w:highlight w:val="none"/>
              </w:rPr>
            </w:r>
          </w:p>
        </w:tc>
        <w:tc>
          <w:tcPr>
            <w:tcW w:w="4970" w:type="dxa"/>
            <w:textDirection w:val="lrTb"/>
            <w:noWrap w:val="false"/>
          </w:tcPr>
          <w:p>
            <w:pPr>
              <w:ind w:left="422" w:hanging="422"/>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r>
      <w:tr>
        <w:trPr>
          <w:trHeight w:val="995"/>
        </w:trPr>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c>
          <w:tcPr>
            <w:tcW w:w="2060" w:type="dxa"/>
            <w:textDirection w:val="lrTb"/>
            <w:noWrap w:val="false"/>
          </w:tcPr>
          <w:p>
            <w:pPr>
              <w:jc w:val="center"/>
              <w:spacing w:line="400" w:lineRule="exact"/>
              <w:rPr>
                <w:rFonts w:ascii="宋体" w:hAnsi="宋体"/>
                <w:color w:val="auto"/>
                <w:sz w:val="28"/>
                <w:highlight w:val="none"/>
              </w:rPr>
            </w:pPr>
            <w:r>
              <w:rPr>
                <w:rFonts w:hint="eastAsia" w:ascii="宋体" w:hAnsi="宋体"/>
                <w:color w:val="auto"/>
                <w:sz w:val="28"/>
                <w:highlight w:val="none"/>
              </w:rPr>
              <w:t xml:space="preserve">付款方式</w:t>
            </w:r>
            <w:r>
              <w:rPr>
                <w:color w:val="auto"/>
                <w:highlight w:val="none"/>
              </w:rPr>
            </w:r>
          </w:p>
        </w:tc>
        <w:tc>
          <w:tcPr>
            <w:tcW w:w="497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r>
      <w:tr>
        <w:trPr>
          <w:trHeight w:val="995"/>
        </w:trPr>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c>
          <w:tcPr>
            <w:tcW w:w="2060" w:type="dxa"/>
            <w:textDirection w:val="lrTb"/>
            <w:noWrap w:val="false"/>
          </w:tcPr>
          <w:p>
            <w:pPr>
              <w:jc w:val="center"/>
              <w:spacing w:line="400" w:lineRule="exact"/>
              <w:rPr>
                <w:rFonts w:ascii="宋体" w:hAnsi="宋体"/>
                <w:color w:val="auto"/>
                <w:sz w:val="32"/>
                <w:highlight w:val="none"/>
              </w:rPr>
            </w:pPr>
            <w:r>
              <w:rPr>
                <w:rFonts w:hint="eastAsia" w:ascii="宋体" w:hAnsi="宋体"/>
                <w:color w:val="auto"/>
                <w:sz w:val="32"/>
                <w:highlight w:val="none"/>
              </w:rPr>
              <w:t xml:space="preserve">.......</w:t>
            </w:r>
            <w:r>
              <w:rPr>
                <w:color w:val="auto"/>
                <w:highlight w:val="none"/>
              </w:rPr>
            </w:r>
          </w:p>
        </w:tc>
        <w:tc>
          <w:tcPr>
            <w:tcW w:w="497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r>
      <w:tr>
        <w:trPr>
          <w:trHeight w:val="995"/>
        </w:trPr>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c>
          <w:tcPr>
            <w:tcW w:w="958"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c>
          <w:tcPr>
            <w:tcW w:w="206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c>
          <w:tcPr>
            <w:tcW w:w="497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p>
        </w:tc>
      </w:tr>
    </w:tbl>
    <w:p>
      <w:pPr>
        <w:ind w:left="600" w:hanging="480"/>
        <w:spacing w:line="400" w:lineRule="exact"/>
        <w:rPr>
          <w:rFonts w:ascii="宋体" w:hAnsi="宋体"/>
          <w:color w:val="auto"/>
          <w:sz w:val="24"/>
          <w:highlight w:val="none"/>
        </w:rPr>
      </w:pPr>
      <w:r>
        <w:rPr>
          <w:rFonts w:hint="eastAsia" w:ascii="宋体" w:hAnsi="宋体"/>
          <w:color w:val="auto"/>
          <w:sz w:val="24"/>
          <w:highlight w:val="none"/>
        </w:rPr>
        <w:t xml:space="preserve">注：供应商必须据实填写，不得虚假应答，否则将取消其投标或中标资格。</w:t>
      </w:r>
      <w:r>
        <w:rPr>
          <w:color w:val="auto"/>
          <w:highlight w:val="none"/>
        </w:rPr>
      </w:r>
    </w:p>
    <w:p>
      <w:pPr>
        <w:ind w:firstLine="490"/>
        <w:jc w:val="left"/>
        <w:spacing w:line="400" w:lineRule="exact"/>
        <w:rPr>
          <w:rFonts w:ascii="宋体" w:hAnsi="宋体"/>
          <w:bCs/>
          <w:color w:val="auto"/>
          <w:sz w:val="28"/>
          <w:szCs w:val="28"/>
          <w:highlight w:val="none"/>
        </w:rPr>
      </w:pPr>
      <w:r>
        <w:rPr>
          <w:rFonts w:ascii="宋体" w:hAnsi="宋体"/>
          <w:bCs/>
          <w:color w:val="auto"/>
          <w:sz w:val="28"/>
          <w:szCs w:val="28"/>
          <w:highlight w:val="none"/>
        </w:rPr>
      </w:r>
      <w:r>
        <w:rPr>
          <w:color w:val="auto"/>
          <w:highlight w:val="none"/>
        </w:rP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80"/>
        <w:jc w:val="left"/>
        <w:spacing w:line="400" w:lineRule="exact"/>
        <w:rPr>
          <w:rFonts w:ascii="宋体" w:hAnsi="宋体"/>
          <w:color w:val="auto"/>
          <w:sz w:val="24"/>
          <w:highlight w:val="none"/>
          <w:u w:val="single"/>
        </w:rPr>
      </w:pPr>
      <w:r>
        <w:rPr>
          <w:rFonts w:hint="eastAsia" w:ascii="宋体" w:hAnsi="宋体"/>
          <w:color w:val="auto"/>
          <w:sz w:val="24"/>
          <w:highlight w:val="none"/>
        </w:rPr>
        <w:t xml:space="preserve">投标日期：</w:t>
      </w:r>
      <w:r>
        <w:rPr>
          <w:rFonts w:hint="eastAsia" w:ascii="宋体" w:hAnsi="宋体"/>
          <w:color w:val="auto"/>
          <w:sz w:val="24"/>
          <w:highlight w:val="none"/>
          <w:u w:val="single"/>
        </w:rPr>
        <w:t xml:space="preserve">                </w:t>
      </w:r>
      <w:r>
        <w:rPr>
          <w:color w:val="auto"/>
          <w:highlight w:val="none"/>
        </w:rPr>
      </w:r>
    </w:p>
    <w:p>
      <w:pPr>
        <w:rPr>
          <w:color w:val="auto"/>
          <w:highlight w:val="none"/>
        </w:rPr>
      </w:pPr>
      <w:r>
        <w:rPr>
          <w:color w:val="auto"/>
          <w:highlight w:val="none"/>
        </w:rPr>
      </w:r>
      <w:r>
        <w:rPr>
          <w:color w:val="auto"/>
          <w:highlight w:val="none"/>
        </w:rPr>
      </w:r>
    </w:p>
    <w:p>
      <w:pPr>
        <w:rPr>
          <w:rFonts w:ascii="Arial" w:hAnsi="Arial" w:cs="Arial"/>
          <w:b/>
          <w:bCs/>
          <w:color w:val="auto"/>
          <w:sz w:val="32"/>
          <w:szCs w:val="32"/>
          <w:highlight w:val="none"/>
        </w:rPr>
      </w:pPr>
      <w:r>
        <w:rPr>
          <w:rFonts w:hint="eastAsia" w:ascii="Arial" w:hAnsi="Arial" w:cs="Arial"/>
          <w:b/>
          <w:bCs/>
          <w:color w:val="auto"/>
          <w:sz w:val="32"/>
          <w:szCs w:val="32"/>
          <w:highlight w:val="none"/>
        </w:rPr>
        <w:br w:type="page" w:clear="all"/>
      </w:r>
      <w:r>
        <w:rPr>
          <w:color w:val="auto"/>
          <w:highlight w:val="none"/>
        </w:rPr>
      </w:r>
    </w:p>
    <w:p>
      <w:pPr>
        <w:pStyle w:val="1133"/>
        <w:spacing w:line="400" w:lineRule="exact"/>
        <w:rPr>
          <w:rFonts w:eastAsia="宋体"/>
          <w:color w:val="auto"/>
          <w:sz w:val="32"/>
          <w:szCs w:val="32"/>
          <w:highlight w:val="none"/>
        </w:rPr>
      </w:pPr>
      <w:r>
        <w:rPr>
          <w:rFonts w:hint="eastAsia" w:eastAsia="宋体"/>
          <w:color w:val="auto"/>
          <w:sz w:val="32"/>
          <w:szCs w:val="32"/>
          <w:highlight w:val="none"/>
        </w:rPr>
        <w:t xml:space="preserve">（四）服务应答表</w:t>
      </w:r>
      <w:r>
        <w:rPr>
          <w:color w:val="auto"/>
          <w:highlight w:val="none"/>
        </w:rPr>
      </w:r>
    </w:p>
    <w:p>
      <w:pPr>
        <w:pStyle w:val="1207"/>
        <w:rPr>
          <w:rFonts w:ascii="宋体" w:hAnsi="宋体" w:cs="宋体"/>
          <w:color w:val="auto"/>
          <w:highlight w:val="none"/>
        </w:rPr>
      </w:pPr>
      <w:r>
        <w:rPr>
          <w:rFonts w:ascii="宋体" w:hAnsi="宋体" w:cs="宋体"/>
          <w:color w:val="auto"/>
          <w:highlight w:val="none"/>
        </w:rPr>
      </w:r>
      <w:r>
        <w:rPr>
          <w:color w:val="auto"/>
          <w:highlight w:val="none"/>
        </w:rPr>
      </w:r>
    </w:p>
    <w:p>
      <w:pPr>
        <w:pStyle w:val="1207"/>
        <w:rPr>
          <w:rFonts w:ascii="宋体" w:hAnsi="宋体" w:cs="宋体"/>
          <w:color w:val="auto"/>
          <w:highlight w:val="none"/>
        </w:rPr>
      </w:pPr>
      <w:r>
        <w:rPr>
          <w:rFonts w:hint="eastAsia" w:ascii="宋体" w:hAnsi="宋体" w:cs="宋体"/>
          <w:color w:val="auto"/>
          <w:highlight w:val="none"/>
        </w:rPr>
        <w:t xml:space="preserve">项目名称：                                          </w:t>
      </w:r>
      <w:r>
        <w:rPr>
          <w:color w:val="auto"/>
          <w:highlight w:val="none"/>
        </w:rPr>
      </w:r>
    </w:p>
    <w:p>
      <w:pPr>
        <w:pStyle w:val="1207"/>
        <w:rPr>
          <w:rFonts w:ascii="宋体" w:hAnsi="宋体" w:cs="宋体"/>
          <w:color w:val="auto"/>
          <w:highlight w:val="none"/>
        </w:rPr>
      </w:pPr>
      <w:r>
        <w:rPr>
          <w:rFonts w:hint="eastAsia" w:ascii="宋体" w:hAnsi="宋体" w:cs="宋体"/>
          <w:color w:val="auto"/>
          <w:highlight w:val="none"/>
        </w:rPr>
        <w:t xml:space="preserve">项目编号： </w:t>
      </w:r>
      <w:r>
        <w:rPr>
          <w:color w:val="auto"/>
          <w:highlight w:val="none"/>
        </w:rPr>
      </w:r>
    </w:p>
    <w:p>
      <w:pPr>
        <w:pStyle w:val="1133"/>
        <w:spacing w:line="400" w:lineRule="exact"/>
        <w:rPr>
          <w:bCs w:val="0"/>
          <w:color w:val="auto"/>
          <w:szCs w:val="28"/>
          <w:highlight w:val="none"/>
        </w:rPr>
      </w:pPr>
      <w:r>
        <w:rPr>
          <w:bCs w:val="0"/>
          <w:color w:val="auto"/>
          <w:szCs w:val="28"/>
          <w:highlight w:val="none"/>
        </w:rPr>
      </w:r>
      <w:r>
        <w:rPr>
          <w:color w:val="auto"/>
          <w:highlight w:val="none"/>
        </w:rPr>
      </w:r>
    </w:p>
    <w:tbl>
      <w:tblPr>
        <w:tblStyle w:val="912"/>
        <w:tblW w:w="0" w:type="auto"/>
        <w:tblInd w:w="-105" w:type="dxa"/>
        <w:tblLayout w:type="fixed"/>
        <w:tblCellMar>
          <w:left w:w="15" w:type="dxa"/>
          <w:top w:w="15" w:type="dxa"/>
          <w:right w:w="15" w:type="dxa"/>
          <w:bottom w:w="0" w:type="dxa"/>
        </w:tblCellMar>
        <w:tblLook w:val="04A0" w:firstRow="1" w:lastRow="0" w:firstColumn="1" w:lastColumn="0" w:noHBand="0" w:noVBand="1"/>
      </w:tblPr>
      <w:tblGrid>
        <w:gridCol w:w="964"/>
        <w:gridCol w:w="3025"/>
        <w:gridCol w:w="3149"/>
        <w:gridCol w:w="179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2"/>
              <w:ind w:firstLine="0"/>
              <w:jc w:val="center"/>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序号</w:t>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2"/>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采购需求</w:t>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2"/>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响应情况</w:t>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2"/>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偏离情况</w:t>
            </w:r>
            <w:r>
              <w:rPr>
                <w:color w:val="auto"/>
                <w:highlight w:val="none"/>
              </w:rPr>
            </w:r>
          </w:p>
        </w:tc>
      </w:tr>
      <w:tr>
        <w:trPr>
          <w:cantSplit/>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2"/>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1</w:t>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2"/>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　</w:t>
            </w:r>
            <w:r>
              <w:rPr>
                <w:color w:val="auto"/>
                <w:highlight w:val="none"/>
              </w:rPr>
            </w:r>
          </w:p>
          <w:p>
            <w:pPr>
              <w:pStyle w:val="1162"/>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　</w:t>
            </w:r>
            <w:r>
              <w:rPr>
                <w:color w:val="auto"/>
                <w:highlight w:val="none"/>
              </w:rP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2"/>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2</w:t>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2"/>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3</w:t>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62"/>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4</w:t>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62"/>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p>
        </w:tc>
      </w:tr>
    </w:tbl>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p>
    <w:p>
      <w:pPr>
        <w:ind w:left="840" w:hanging="840"/>
        <w:spacing w:line="400" w:lineRule="exact"/>
        <w:rPr>
          <w:rFonts w:ascii="Arial" w:hAnsi="Arial" w:cs="Arial"/>
          <w:color w:val="auto"/>
          <w:sz w:val="24"/>
          <w:highlight w:val="none"/>
        </w:rPr>
      </w:pPr>
      <w:r>
        <w:rPr>
          <w:rFonts w:hint="eastAsia" w:ascii="Arial" w:hAnsi="Arial" w:cs="Arial"/>
          <w:color w:val="auto"/>
          <w:sz w:val="24"/>
          <w:highlight w:val="none"/>
        </w:rPr>
        <w:t xml:space="preserve">注：1. 供应商必须把招标项目的全部服务内容事项列入此表。</w:t>
      </w:r>
      <w:r>
        <w:rPr>
          <w:color w:val="auto"/>
          <w:highlight w:val="none"/>
        </w:rPr>
      </w:r>
    </w:p>
    <w:p>
      <w:pPr>
        <w:ind w:left="839" w:hanging="360"/>
        <w:spacing w:line="400" w:lineRule="exact"/>
        <w:rPr>
          <w:rFonts w:ascii="Arial" w:hAnsi="Arial" w:cs="Arial"/>
          <w:color w:val="auto"/>
          <w:sz w:val="24"/>
          <w:highlight w:val="none"/>
        </w:rPr>
      </w:pPr>
      <w:r>
        <w:rPr>
          <w:rFonts w:hint="eastAsia" w:ascii="Arial" w:hAnsi="Arial" w:cs="Arial"/>
          <w:color w:val="auto"/>
          <w:sz w:val="24"/>
          <w:highlight w:val="none"/>
        </w:rPr>
        <w:t xml:space="preserve">2．按照招标项目服务要求的顺序对应填写。</w:t>
      </w:r>
      <w:r>
        <w:rPr>
          <w:color w:val="auto"/>
          <w:highlight w:val="none"/>
        </w:rPr>
      </w:r>
    </w:p>
    <w:p>
      <w:pPr>
        <w:ind w:left="839" w:hanging="360"/>
        <w:spacing w:line="400" w:lineRule="exact"/>
        <w:rPr>
          <w:rFonts w:ascii="Arial" w:hAnsi="Arial" w:cs="Arial"/>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Arial" w:hAnsi="Arial" w:cs="Arial"/>
          <w:color w:val="auto"/>
          <w:sz w:val="24"/>
          <w:highlight w:val="none"/>
        </w:rPr>
        <w:t xml:space="preserve">3．供应商必须据实填写，不得虚假填写，否则将取消其投标或中标资格。</w:t>
      </w:r>
      <w:r>
        <w:rPr>
          <w:color w:val="auto"/>
          <w:highlight w:val="none"/>
        </w:rPr>
      </w:r>
    </w:p>
    <w:p>
      <w:pPr>
        <w:pStyle w:val="1134"/>
        <w:jc w:val="center"/>
        <w:rPr>
          <w:rFonts w:ascii="Arial" w:hAnsi="Arial" w:cs="Arial"/>
          <w:color w:val="auto"/>
          <w:sz w:val="32"/>
          <w:szCs w:val="32"/>
          <w:highlight w:val="none"/>
          <w:u w:val="none"/>
        </w:rPr>
      </w:pPr>
      <w:r>
        <w:rPr>
          <w:rFonts w:hint="eastAsia" w:ascii="Arial" w:hAnsi="Arial" w:cs="Arial"/>
          <w:color w:val="auto"/>
          <w:sz w:val="32"/>
          <w:szCs w:val="32"/>
          <w:highlight w:val="none"/>
          <w:u w:val="none"/>
        </w:rPr>
        <w:t xml:space="preserve">（五）</w:t>
      </w:r>
      <w:r>
        <w:rPr>
          <w:rFonts w:ascii="Arial" w:hAnsi="Arial" w:cs="Arial"/>
          <w:color w:val="auto"/>
          <w:sz w:val="32"/>
          <w:szCs w:val="32"/>
          <w:highlight w:val="none"/>
          <w:u w:val="none"/>
        </w:rPr>
        <w:t xml:space="preserve">政府采购诚信承诺书</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r>
      <w:r>
        <w:rPr>
          <w:color w:val="auto"/>
          <w:highlight w:val="none"/>
        </w:rPr>
      </w:r>
    </w:p>
    <w:p>
      <w:pPr>
        <w:spacing w:line="360" w:lineRule="auto"/>
        <w:rPr>
          <w:rFonts w:ascii="Arial" w:hAnsi="Arial" w:cs="Arial"/>
          <w:color w:val="auto"/>
          <w:highlight w:val="none"/>
        </w:rPr>
      </w:pPr>
      <w:r>
        <w:rPr>
          <w:rFonts w:ascii="Arial" w:hAnsi="Arial" w:cs="Arial"/>
          <w:color w:val="auto"/>
          <w:highlight w:val="none"/>
        </w:rPr>
        <w:t xml:space="preserve">（采购人）：</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我公司（供应商名称）已详细阅读了项目（项目编号：）招标文件，自愿参加本次投标，现就有关事项做出郑重承诺如下：</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1、所提供的一切资料都是真实、准确、完整的；</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2、不以他人名义投标或以其他方式弄虚作假，骗取中标；</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3、不与其他供应商相互串通投标；</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4、不向采购人或评标委员会行贿以牟取中标；</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5、在领取招标文件、缴纳保证金后，准时参加开标；</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6、在以往的招标采购活动中，无重大违法、违规的不良记录；或虽有不良记录，但已超过处理期限；</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7、未被地市级及以上行政主管部门做出取消投标资格的处罚且该处罚在有效期内的；</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8、本单位一旦中标，将严格按照投标文件所承诺的报价、质量、工期、投标方案等内容组织实施；</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9、本单位一旦中标，将按规定及时与采购人签订合同；</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10、本单位保证中标后不转包，若有分包须征得采购人同意；</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11、本承诺书将成为本单位投标文件的一部分，与投标文件具有同等的法律效力。</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r>
      <w:r>
        <w:rPr>
          <w:color w:val="auto"/>
          <w:highlight w:val="none"/>
        </w:rP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cs="Arial"/>
          <w:color w:val="auto"/>
          <w:highlight w:val="none"/>
        </w:rPr>
        <w:t xml:space="preserve">                      </w:t>
      </w: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20"/>
        <w:spacing w:line="360" w:lineRule="auto"/>
        <w:rPr>
          <w:rFonts w:ascii="Arial" w:hAnsi="Arial" w:cs="Arial"/>
          <w:color w:val="auto"/>
          <w:highlight w:val="none"/>
        </w:rPr>
      </w:pPr>
      <w:r>
        <w:rPr>
          <w:rFonts w:ascii="Arial" w:hAnsi="Arial" w:cs="Arial"/>
          <w:color w:val="auto"/>
          <w:highlight w:val="none"/>
        </w:rPr>
      </w:r>
      <w:r>
        <w:rPr>
          <w:color w:val="auto"/>
          <w:highlight w:val="none"/>
        </w:rPr>
      </w:r>
    </w:p>
    <w:p>
      <w:pPr>
        <w:ind w:firstLine="420"/>
        <w:jc w:val="right"/>
        <w:spacing w:line="360" w:lineRule="auto"/>
        <w:rPr>
          <w:rFonts w:ascii="Arial" w:hAnsi="Arial" w:cs="Arial"/>
          <w:color w:val="auto"/>
          <w:highlight w:val="none"/>
        </w:rPr>
      </w:pPr>
      <w:r>
        <w:rPr>
          <w:rFonts w:ascii="Arial" w:hAnsi="Arial" w:cs="Arial"/>
          <w:color w:val="auto"/>
          <w:highlight w:val="none"/>
        </w:rPr>
        <w:t xml:space="preserve">                       年   月   日</w:t>
      </w:r>
      <w:r>
        <w:rPr>
          <w:color w:val="auto"/>
          <w:highlight w:val="none"/>
        </w:rPr>
      </w:r>
    </w:p>
    <w:p>
      <w:pPr>
        <w:ind w:firstLine="420"/>
        <w:spacing w:line="360" w:lineRule="auto"/>
        <w:rPr>
          <w:rFonts w:ascii="Arial" w:hAnsi="Arial" w:cs="Arial"/>
          <w:color w:val="auto"/>
          <w:highlight w:val="none"/>
        </w:rPr>
        <w:sectPr>
          <w:headerReference w:type="default" r:id="rId10"/>
          <w:footerReference w:type="default" r:id="rId17"/>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auto"/>
          <w:highlight w:val="none"/>
        </w:rPr>
      </w:r>
      <w:r>
        <w:rPr>
          <w:color w:val="auto"/>
          <w:highlight w:val="none"/>
        </w:rPr>
      </w:r>
    </w:p>
    <w:p>
      <w:pPr>
        <w:jc w:val="center"/>
        <w:spacing w:before="120" w:line="360" w:lineRule="auto"/>
        <w:tabs>
          <w:tab w:val="left" w:pos="5580" w:leader="none"/>
        </w:tabs>
        <w:rPr>
          <w:rFonts w:ascii="Arial" w:hAnsi="Arial" w:cs="Arial"/>
          <w:b/>
          <w:bCs/>
          <w:color w:val="auto"/>
          <w:sz w:val="32"/>
          <w:szCs w:val="32"/>
          <w:highlight w:val="none"/>
        </w:rPr>
      </w:pPr>
      <w:r>
        <w:rPr>
          <w:rFonts w:hint="eastAsia" w:ascii="Arial" w:hAnsi="Arial" w:cs="Arial"/>
          <w:b/>
          <w:bCs/>
          <w:color w:val="auto"/>
          <w:sz w:val="32"/>
          <w:szCs w:val="32"/>
          <w:highlight w:val="none"/>
        </w:rPr>
        <w:t xml:space="preserve">（六）</w:t>
      </w:r>
      <w:r>
        <w:rPr>
          <w:rFonts w:ascii="Arial" w:hAnsi="Arial" w:cs="Arial"/>
          <w:b/>
          <w:bCs/>
          <w:color w:val="auto"/>
          <w:sz w:val="32"/>
          <w:szCs w:val="32"/>
          <w:highlight w:val="none"/>
        </w:rPr>
        <w:t xml:space="preserve">供应商廉洁自律承诺书</w:t>
      </w:r>
      <w:r>
        <w:rPr>
          <w:color w:val="auto"/>
          <w:highlight w:val="none"/>
        </w:rPr>
      </w:r>
    </w:p>
    <w:p>
      <w:pPr>
        <w:rPr>
          <w:rFonts w:ascii="Arial" w:hAnsi="Arial" w:cs="Arial"/>
          <w:color w:val="auto"/>
          <w:sz w:val="28"/>
          <w:szCs w:val="28"/>
          <w:highlight w:val="none"/>
        </w:rPr>
      </w:pPr>
      <w:r>
        <w:rPr>
          <w:rFonts w:ascii="Arial" w:hAnsi="Arial" w:cs="Arial"/>
          <w:color w:val="auto"/>
          <w:sz w:val="28"/>
          <w:szCs w:val="28"/>
          <w:highlight w:val="none"/>
        </w:rPr>
        <w:t xml:space="preserve">靖江市政府采购供应商廉洁自律承诺书</w:t>
      </w:r>
      <w:r>
        <w:rPr>
          <w:color w:val="auto"/>
          <w:highlight w:val="none"/>
        </w:rPr>
      </w:r>
    </w:p>
    <w:p>
      <w:pPr>
        <w:pStyle w:val="1162"/>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政府采购是实行公开、公平、公正的阳光工程，给予了每个供应商平等竞争的机会。作为参与此次政府招标活动的单位,我公司现郑重做出以下承诺：</w:t>
      </w:r>
      <w:r>
        <w:rPr>
          <w:color w:val="auto"/>
          <w:highlight w:val="none"/>
        </w:rPr>
      </w:r>
    </w:p>
    <w:p>
      <w:pPr>
        <w:ind w:firstLine="420"/>
        <w:spacing w:line="520" w:lineRule="exact"/>
        <w:rPr>
          <w:rFonts w:ascii="Arial" w:hAnsi="Arial" w:cs="Arial"/>
          <w:color w:val="auto"/>
          <w:highlight w:val="none"/>
        </w:rPr>
      </w:pPr>
      <w:r>
        <w:rPr>
          <w:rFonts w:ascii="Arial" w:hAnsi="Arial" w:cs="Arial"/>
          <w:color w:val="auto"/>
          <w:highlight w:val="none"/>
        </w:rPr>
        <w:t xml:space="preserve">一、遵守《中华人民共和国政府采购法》及省、市有关政府招标的各项法律、法规和制度。</w:t>
      </w:r>
      <w:r>
        <w:rPr>
          <w:color w:val="auto"/>
          <w:highlight w:val="none"/>
        </w:rPr>
      </w:r>
    </w:p>
    <w:p>
      <w:pPr>
        <w:ind w:firstLine="420"/>
        <w:spacing w:line="520" w:lineRule="exact"/>
        <w:rPr>
          <w:rFonts w:ascii="Arial" w:hAnsi="Arial" w:cs="Arial"/>
          <w:color w:val="auto"/>
          <w:highlight w:val="none"/>
        </w:rPr>
      </w:pPr>
      <w:r>
        <w:rPr>
          <w:rFonts w:ascii="Arial" w:hAnsi="Arial" w:cs="Arial"/>
          <w:color w:val="auto"/>
          <w:highlight w:val="none"/>
        </w:rPr>
        <w:t xml:space="preserve">二、客观真实反映自身情况，按规定接受政府采购供应商资格审查, 不提供虚假材料，不夸大自身技术和提供服务的能力。</w:t>
      </w:r>
      <w:r>
        <w:rPr>
          <w:color w:val="auto"/>
          <w:highlight w:val="none"/>
        </w:rPr>
      </w:r>
    </w:p>
    <w:p>
      <w:pPr>
        <w:ind w:firstLine="420"/>
        <w:spacing w:line="520" w:lineRule="exact"/>
        <w:rPr>
          <w:rFonts w:ascii="Arial" w:hAnsi="Arial" w:cs="Arial"/>
          <w:color w:val="auto"/>
          <w:highlight w:val="none"/>
        </w:rPr>
      </w:pPr>
      <w:r>
        <w:rPr>
          <w:rFonts w:ascii="Arial" w:hAnsi="Arial" w:cs="Arial"/>
          <w:color w:val="auto"/>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color w:val="auto"/>
          <w:highlight w:val="none"/>
        </w:rPr>
      </w:r>
    </w:p>
    <w:p>
      <w:pPr>
        <w:ind w:firstLine="420"/>
        <w:spacing w:line="520" w:lineRule="exact"/>
        <w:rPr>
          <w:rFonts w:ascii="Arial" w:hAnsi="Arial" w:cs="Arial"/>
          <w:color w:val="auto"/>
          <w:highlight w:val="none"/>
        </w:rPr>
      </w:pPr>
      <w:r>
        <w:rPr>
          <w:rFonts w:ascii="Arial" w:hAnsi="Arial" w:cs="Arial"/>
          <w:color w:val="auto"/>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color w:val="auto"/>
          <w:highlight w:val="none"/>
        </w:rPr>
      </w:r>
    </w:p>
    <w:p>
      <w:pPr>
        <w:ind w:left="-67" w:firstLine="420"/>
        <w:spacing w:line="520" w:lineRule="exact"/>
        <w:rPr>
          <w:rFonts w:ascii="Arial" w:hAnsi="Arial" w:cs="Arial"/>
          <w:color w:val="auto"/>
          <w:highlight w:val="none"/>
        </w:rPr>
      </w:pPr>
      <w:r>
        <w:rPr>
          <w:rFonts w:ascii="Arial" w:hAnsi="Arial" w:cs="Arial"/>
          <w:color w:val="auto"/>
          <w:highlight w:val="none"/>
        </w:rPr>
        <w:t xml:space="preserve">五、自觉接受政府采购监督管理部门及其他相关部门的监督检查。</w:t>
      </w:r>
      <w:r>
        <w:rPr>
          <w:color w:val="auto"/>
          <w:highlight w:val="none"/>
        </w:rPr>
      </w:r>
    </w:p>
    <w:p>
      <w:pPr>
        <w:pStyle w:val="1162"/>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如违反以上承诺，我公司愿承担一切法律责任，并接受政府采购监督管理部门及其他相关部门依法作出的处罚。 </w:t>
      </w:r>
      <w:r>
        <w:rPr>
          <w:color w:val="auto"/>
          <w:highlight w:val="none"/>
        </w:rPr>
      </w:r>
    </w:p>
    <w:p>
      <w:pPr>
        <w:pStyle w:val="1162"/>
        <w:ind w:firstLine="42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rPr>
          <w:color w:val="auto"/>
          <w:highlight w:val="none"/>
        </w:rPr>
      </w:r>
    </w:p>
    <w:p>
      <w:pPr>
        <w:spacing w:line="360" w:lineRule="auto"/>
        <w:rPr>
          <w:rFonts w:ascii="Arial" w:hAnsi="Arial" w:cs="Arial"/>
          <w:color w:val="auto"/>
          <w:highlight w:val="none"/>
        </w:rPr>
      </w:pPr>
      <w:r>
        <w:rPr>
          <w:rFonts w:ascii="Arial" w:hAnsi="Arial" w:cs="Arial"/>
          <w:color w:val="auto"/>
          <w:highlight w:val="none"/>
        </w:rPr>
      </w:r>
      <w:r>
        <w:rPr>
          <w:color w:val="auto"/>
          <w:highlight w:val="none"/>
        </w:rP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20</w:t>
      </w:r>
      <w:r>
        <w:rPr>
          <w:rFonts w:hint="eastAsia" w:ascii="Arial" w:hAnsi="Arial" w:cs="Arial"/>
          <w:color w:val="auto"/>
          <w:highlight w:val="none"/>
        </w:rPr>
        <w:t xml:space="preserve">24</w:t>
      </w:r>
      <w:r>
        <w:rPr>
          <w:rFonts w:ascii="Arial" w:hAnsi="Arial" w:cs="Arial"/>
          <w:color w:val="auto"/>
          <w:highlight w:val="none"/>
        </w:rPr>
        <w:t xml:space="preserve">年  月  日</w:t>
      </w:r>
      <w:bookmarkEnd w:id="290"/>
      <w:r>
        <w:rPr>
          <w:color w:val="auto"/>
          <w:highlight w:val="none"/>
        </w:rPr>
      </w:r>
      <w:bookmarkEnd w:id="291"/>
      <w:r>
        <w:rPr>
          <w:color w:val="auto"/>
          <w:highlight w:val="none"/>
        </w:rPr>
      </w:r>
      <w:r>
        <w:rPr>
          <w:color w:val="auto"/>
          <w:highlight w:val="none"/>
        </w:rPr>
      </w:r>
    </w:p>
    <w:p>
      <w:pPr>
        <w:pStyle w:val="983"/>
        <w:rPr>
          <w:color w:val="auto"/>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none"/>
        </w:rPr>
      </w:r>
      <w:r>
        <w:rPr>
          <w:color w:val="auto"/>
          <w:highlight w:val="none"/>
        </w:rPr>
      </w:r>
    </w:p>
    <w:p>
      <w:pPr>
        <w:ind w:right="264"/>
        <w:jc w:val="center"/>
        <w:spacing w:before="54" w:line="312" w:lineRule="auto"/>
        <w:rPr>
          <w:b/>
          <w:color w:val="auto"/>
          <w:sz w:val="28"/>
          <w:szCs w:val="28"/>
          <w:highlight w:val="none"/>
        </w:rPr>
      </w:pPr>
      <w:r>
        <w:rPr>
          <w:color w:val="auto"/>
          <w:highlight w:val="none"/>
        </w:rPr>
      </w:r>
      <w:bookmarkStart w:id="293" w:name="_Toc89569915"/>
      <w:r>
        <w:rPr>
          <w:color w:val="auto"/>
          <w:highlight w:val="none"/>
        </w:rPr>
      </w:r>
      <w:bookmarkStart w:id="294" w:name="_Toc13613"/>
      <w:r>
        <w:rPr>
          <w:color w:val="auto"/>
          <w:highlight w:val="none"/>
        </w:rPr>
      </w:r>
      <w:bookmarkStart w:id="295" w:name="_Toc8902"/>
      <w:r>
        <w:rPr>
          <w:rFonts w:hint="eastAsia"/>
          <w:b/>
          <w:color w:val="auto"/>
          <w:sz w:val="28"/>
          <w:szCs w:val="28"/>
          <w:highlight w:val="none"/>
        </w:rPr>
        <w:t xml:space="preserve">四、综合评审评分项</w:t>
      </w:r>
      <w:r>
        <w:rPr>
          <w:color w:val="auto"/>
          <w:highlight w:val="none"/>
        </w:rPr>
      </w:r>
    </w:p>
    <w:p>
      <w:pPr>
        <w:jc w:val="center"/>
        <w:spacing w:line="520" w:lineRule="exact"/>
        <w:rPr>
          <w:rFonts w:ascii="宋体" w:hAnsi="宋体" w:cs="宋体"/>
          <w:b/>
          <w:bCs/>
          <w:color w:val="auto"/>
          <w:sz w:val="28"/>
          <w:szCs w:val="28"/>
          <w:highlight w:val="none"/>
        </w:rPr>
      </w:pPr>
      <w:r>
        <w:rPr>
          <w:rFonts w:hint="eastAsia" w:ascii="Arial" w:hAnsi="Arial" w:eastAsia="黑体" w:cs="Arial"/>
          <w:b/>
          <w:bCs/>
          <w:color w:val="auto"/>
          <w:sz w:val="30"/>
          <w:szCs w:val="28"/>
          <w:highlight w:val="none"/>
        </w:rPr>
        <w:t xml:space="preserve">（一）</w:t>
      </w:r>
      <w:r>
        <w:rPr>
          <w:rFonts w:ascii="Arial" w:hAnsi="Arial" w:eastAsia="黑体" w:cs="Arial"/>
          <w:b/>
          <w:bCs/>
          <w:color w:val="auto"/>
          <w:sz w:val="30"/>
          <w:szCs w:val="28"/>
          <w:highlight w:val="none"/>
        </w:rPr>
        <w:t xml:space="preserve"> </w:t>
      </w:r>
      <w:r>
        <w:rPr>
          <w:rFonts w:hint="eastAsia" w:ascii="宋体" w:hAnsi="宋体" w:cs="宋体"/>
          <w:b/>
          <w:bCs/>
          <w:color w:val="auto"/>
          <w:sz w:val="28"/>
          <w:szCs w:val="28"/>
          <w:highlight w:val="none"/>
        </w:rPr>
        <w:t xml:space="preserve">类似业绩一览表</w:t>
      </w:r>
      <w:r>
        <w:rPr>
          <w:color w:val="auto"/>
          <w:highlight w:val="none"/>
        </w:rPr>
      </w:r>
    </w:p>
    <w:p>
      <w:pPr>
        <w:spacing w:line="440" w:lineRule="exact"/>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序号</w:t>
            </w:r>
            <w:r>
              <w:rPr>
                <w:color w:val="auto"/>
                <w:highlight w:val="none"/>
              </w:rPr>
            </w:r>
          </w:p>
        </w:tc>
        <w:tc>
          <w:tcPr>
            <w:tcW w:w="2247"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合同名称</w:t>
            </w:r>
            <w:r>
              <w:rPr>
                <w:color w:val="auto"/>
                <w:highlight w:val="none"/>
              </w:rPr>
            </w:r>
          </w:p>
        </w:tc>
        <w:tc>
          <w:tcPr>
            <w:tcW w:w="2087"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采购单位</w:t>
            </w:r>
            <w:r>
              <w:rPr>
                <w:color w:val="auto"/>
                <w:highlight w:val="none"/>
              </w:rPr>
            </w:r>
          </w:p>
        </w:tc>
        <w:tc>
          <w:tcPr>
            <w:tcW w:w="2142"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合同签署日</w:t>
            </w:r>
            <w:r>
              <w:rPr>
                <w:color w:val="auto"/>
                <w:highlight w:val="none"/>
              </w:rPr>
            </w:r>
          </w:p>
        </w:tc>
        <w:tc>
          <w:tcPr>
            <w:tcW w:w="2142"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合同金额</w:t>
            </w:r>
            <w:r>
              <w:rPr>
                <w:color w:val="auto"/>
                <w:highlight w:val="none"/>
              </w:rP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w:t>
            </w:r>
            <w:r>
              <w:rPr>
                <w:color w:val="auto"/>
                <w:highlight w:val="none"/>
              </w:rP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2</w:t>
            </w:r>
            <w:r>
              <w:rPr>
                <w:color w:val="auto"/>
                <w:highlight w:val="none"/>
              </w:rP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3</w:t>
            </w:r>
            <w:r>
              <w:rPr>
                <w:color w:val="auto"/>
                <w:highlight w:val="none"/>
              </w:rP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4</w:t>
            </w:r>
            <w:r>
              <w:rPr>
                <w:color w:val="auto"/>
                <w:highlight w:val="none"/>
              </w:rP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5</w:t>
            </w:r>
            <w:r>
              <w:rPr>
                <w:color w:val="auto"/>
                <w:highlight w:val="none"/>
              </w:rP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6</w:t>
            </w:r>
            <w:r>
              <w:rPr>
                <w:color w:val="auto"/>
                <w:highlight w:val="none"/>
              </w:rP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7</w:t>
            </w:r>
            <w:r>
              <w:rPr>
                <w:color w:val="auto"/>
                <w:highlight w:val="none"/>
              </w:rP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8</w:t>
            </w:r>
            <w:r>
              <w:rPr>
                <w:color w:val="auto"/>
                <w:highlight w:val="none"/>
              </w:rP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p>
        </w:tc>
      </w:tr>
    </w:tbl>
    <w:p>
      <w:pP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p>
    <w:p>
      <w:pPr>
        <w:jc w:val="left"/>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p>
    <w:p>
      <w:pPr>
        <w:pStyle w:val="913"/>
        <w:ind w:firstLine="562"/>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p>
    <w:p>
      <w:pPr>
        <w:pStyle w:val="913"/>
        <w:ind w:firstLine="562"/>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Arial"/>
          <w:color w:val="auto"/>
          <w:sz w:val="24"/>
          <w:highlight w:val="none"/>
        </w:rPr>
        <w:t xml:space="preserve">                  </w:t>
      </w:r>
      <w:bookmarkEnd w:id="293"/>
      <w:r>
        <w:rPr>
          <w:color w:val="auto"/>
          <w:highlight w:val="none"/>
        </w:rPr>
      </w:r>
      <w:bookmarkEnd w:id="294"/>
      <w:r>
        <w:rPr>
          <w:color w:val="auto"/>
          <w:highlight w:val="none"/>
        </w:rPr>
      </w:r>
      <w:bookmarkEnd w:id="295"/>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20</w:t>
      </w:r>
      <w:r>
        <w:rPr>
          <w:rFonts w:hint="eastAsia" w:ascii="Arial" w:hAnsi="Arial" w:cs="Arial"/>
          <w:color w:val="auto"/>
          <w:highlight w:val="none"/>
        </w:rPr>
        <w:t xml:space="preserve">24</w:t>
      </w:r>
      <w:r>
        <w:rPr>
          <w:rFonts w:ascii="Arial" w:hAnsi="Arial" w:cs="Arial"/>
          <w:color w:val="auto"/>
          <w:highlight w:val="none"/>
        </w:rPr>
        <w:t xml:space="preserve">年  月  日</w:t>
      </w:r>
      <w:r>
        <w:rPr>
          <w:color w:val="auto"/>
          <w:highlight w:val="none"/>
        </w:rPr>
      </w:r>
    </w:p>
    <w:p>
      <w:pPr>
        <w:pStyle w:val="983"/>
        <w:rPr>
          <w:color w:val="auto"/>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none"/>
        </w:rPr>
      </w:r>
      <w:r>
        <w:rPr>
          <w:color w:val="auto"/>
          <w:highlight w:val="none"/>
        </w:rPr>
      </w:r>
    </w:p>
    <w:p>
      <w:pPr>
        <w:jc w:val="center"/>
        <w:spacing w:line="520" w:lineRule="exact"/>
        <w:rPr>
          <w:rFonts w:ascii="宋体" w:hAnsi="宋体" w:cs="宋体"/>
          <w:b/>
          <w:bCs/>
          <w:color w:val="auto"/>
          <w:sz w:val="28"/>
          <w:szCs w:val="28"/>
          <w:highlight w:val="none"/>
        </w:rPr>
      </w:pPr>
      <w:r>
        <w:rPr>
          <w:color w:val="auto"/>
          <w:highlight w:val="none"/>
        </w:rPr>
      </w:r>
      <w:bookmarkStart w:id="296" w:name="_Toc13229"/>
      <w:r>
        <w:rPr>
          <w:rFonts w:hint="eastAsia" w:ascii="宋体" w:hAnsi="宋体" w:cs="宋体"/>
          <w:b/>
          <w:bCs/>
          <w:color w:val="auto"/>
          <w:sz w:val="28"/>
          <w:szCs w:val="28"/>
          <w:highlight w:val="none"/>
        </w:rPr>
        <w:t xml:space="preserve">（二）人员配置一览表</w:t>
      </w:r>
      <w:r>
        <w:rPr>
          <w:color w:val="auto"/>
          <w:highlight w:val="none"/>
        </w:rPr>
      </w:r>
    </w:p>
    <w:p>
      <w:pPr>
        <w:pStyle w:val="983"/>
        <w:rPr>
          <w:color w:val="auto"/>
          <w:highlight w:val="none"/>
        </w:rPr>
      </w:pPr>
      <w:r>
        <w:rPr>
          <w:color w:val="auto"/>
          <w:highlight w:val="none"/>
        </w:rPr>
      </w:r>
      <w:r>
        <w:rPr>
          <w:color w:val="auto"/>
          <w:highlight w:val="none"/>
        </w:rP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jc w:val="center"/>
          <w:trHeight w:val="851"/>
        </w:trPr>
        <w:tc>
          <w:tcPr>
            <w:tcW w:w="610"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序号</w:t>
            </w:r>
            <w:r>
              <w:rPr>
                <w:color w:val="auto"/>
                <w:highlight w:val="none"/>
              </w:rPr>
            </w:r>
          </w:p>
        </w:tc>
        <w:tc>
          <w:tcPr>
            <w:tcW w:w="1341"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项目组所任职务</w:t>
            </w:r>
            <w:r>
              <w:rPr>
                <w:color w:val="auto"/>
                <w:highlight w:val="none"/>
              </w:rPr>
            </w:r>
          </w:p>
        </w:tc>
        <w:tc>
          <w:tcPr>
            <w:tcW w:w="885"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姓名</w:t>
            </w:r>
            <w:r>
              <w:rPr>
                <w:color w:val="auto"/>
                <w:highlight w:val="none"/>
              </w:rPr>
            </w:r>
          </w:p>
        </w:tc>
        <w:tc>
          <w:tcPr>
            <w:tcW w:w="750"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性别</w:t>
            </w:r>
            <w:r>
              <w:rPr>
                <w:color w:val="auto"/>
                <w:highlight w:val="none"/>
              </w:rPr>
            </w:r>
          </w:p>
        </w:tc>
        <w:tc>
          <w:tcPr>
            <w:tcW w:w="796"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年龄</w:t>
            </w:r>
            <w:r>
              <w:rPr>
                <w:color w:val="auto"/>
                <w:highlight w:val="none"/>
              </w:rPr>
            </w:r>
          </w:p>
        </w:tc>
        <w:tc>
          <w:tcPr>
            <w:tcW w:w="753"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职称</w:t>
            </w:r>
            <w:r>
              <w:rPr>
                <w:color w:val="auto"/>
                <w:highlight w:val="none"/>
              </w:rPr>
            </w:r>
          </w:p>
        </w:tc>
        <w:tc>
          <w:tcPr>
            <w:tcW w:w="1381"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专业/资格</w:t>
            </w:r>
            <w:r>
              <w:rPr>
                <w:color w:val="auto"/>
                <w:highlight w:val="none"/>
              </w:rPr>
            </w:r>
          </w:p>
        </w:tc>
        <w:tc>
          <w:tcPr>
            <w:tcW w:w="1243"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从事本工作时间</w:t>
            </w:r>
            <w:r>
              <w:rPr>
                <w:color w:val="auto"/>
                <w:highlight w:val="none"/>
              </w:rPr>
            </w:r>
          </w:p>
        </w:tc>
        <w:tc>
          <w:tcPr>
            <w:tcW w:w="1490"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典型业务</w:t>
            </w:r>
            <w:r>
              <w:rPr>
                <w:color w:val="auto"/>
                <w:highlight w:val="none"/>
              </w:rPr>
            </w:r>
          </w:p>
          <w:p>
            <w:pPr>
              <w:pStyle w:val="1163"/>
              <w:jc w:val="center"/>
              <w:spacing w:line="276" w:lineRule="auto"/>
              <w:rPr>
                <w:color w:val="auto"/>
                <w:sz w:val="24"/>
                <w:szCs w:val="24"/>
                <w:highlight w:val="none"/>
              </w:rPr>
            </w:pPr>
            <w:r>
              <w:rPr>
                <w:rFonts w:hint="eastAsia"/>
                <w:color w:val="auto"/>
                <w:sz w:val="24"/>
                <w:szCs w:val="24"/>
                <w:highlight w:val="none"/>
              </w:rPr>
              <w:t xml:space="preserve">与技术专长</w:t>
            </w:r>
            <w:r>
              <w:rPr>
                <w:color w:val="auto"/>
                <w:highlight w:val="none"/>
              </w:rPr>
            </w:r>
          </w:p>
        </w:tc>
      </w:tr>
      <w:tr>
        <w:trPr>
          <w:jc w:val="center"/>
          <w:trHeight w:val="567"/>
        </w:trPr>
        <w:tc>
          <w:tcPr>
            <w:tcW w:w="610"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1</w:t>
            </w:r>
            <w:r>
              <w:rPr>
                <w:color w:val="auto"/>
                <w:highlight w:val="none"/>
              </w:rPr>
            </w:r>
          </w:p>
        </w:tc>
        <w:tc>
          <w:tcPr>
            <w:tcW w:w="134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885"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96"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38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24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49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r>
      <w:tr>
        <w:trPr>
          <w:jc w:val="center"/>
          <w:trHeight w:val="567"/>
        </w:trPr>
        <w:tc>
          <w:tcPr>
            <w:tcW w:w="610"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2</w:t>
            </w:r>
            <w:r>
              <w:rPr>
                <w:color w:val="auto"/>
                <w:highlight w:val="none"/>
              </w:rPr>
            </w:r>
          </w:p>
        </w:tc>
        <w:tc>
          <w:tcPr>
            <w:tcW w:w="134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885"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96"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38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24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49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r>
      <w:tr>
        <w:trPr>
          <w:jc w:val="center"/>
          <w:trHeight w:val="567"/>
        </w:trPr>
        <w:tc>
          <w:tcPr>
            <w:tcW w:w="610"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3</w:t>
            </w:r>
            <w:r>
              <w:rPr>
                <w:color w:val="auto"/>
                <w:highlight w:val="none"/>
              </w:rPr>
            </w:r>
          </w:p>
        </w:tc>
        <w:tc>
          <w:tcPr>
            <w:tcW w:w="134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885"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96"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38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24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49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r>
      <w:tr>
        <w:trPr>
          <w:jc w:val="center"/>
          <w:trHeight w:val="567"/>
        </w:trPr>
        <w:tc>
          <w:tcPr>
            <w:tcW w:w="610"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4</w:t>
            </w:r>
            <w:r>
              <w:rPr>
                <w:color w:val="auto"/>
                <w:highlight w:val="none"/>
              </w:rPr>
            </w:r>
          </w:p>
        </w:tc>
        <w:tc>
          <w:tcPr>
            <w:tcW w:w="134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885"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96"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38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24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49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r>
      <w:tr>
        <w:trPr>
          <w:jc w:val="center"/>
          <w:trHeight w:val="567"/>
        </w:trPr>
        <w:tc>
          <w:tcPr>
            <w:tcW w:w="610"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5</w:t>
            </w:r>
            <w:r>
              <w:rPr>
                <w:color w:val="auto"/>
                <w:highlight w:val="none"/>
              </w:rPr>
            </w:r>
          </w:p>
        </w:tc>
        <w:tc>
          <w:tcPr>
            <w:tcW w:w="134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885"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96"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38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24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49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r>
      <w:tr>
        <w:trPr>
          <w:jc w:val="center"/>
          <w:trHeight w:val="567"/>
        </w:trPr>
        <w:tc>
          <w:tcPr>
            <w:tcW w:w="610"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6</w:t>
            </w:r>
            <w:r>
              <w:rPr>
                <w:color w:val="auto"/>
                <w:highlight w:val="none"/>
              </w:rPr>
            </w:r>
          </w:p>
        </w:tc>
        <w:tc>
          <w:tcPr>
            <w:tcW w:w="134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885"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96"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38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24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49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r>
      <w:tr>
        <w:trPr>
          <w:jc w:val="center"/>
          <w:trHeight w:val="567"/>
        </w:trPr>
        <w:tc>
          <w:tcPr>
            <w:tcW w:w="610" w:type="dxa"/>
            <w:vAlign w:val="center"/>
            <w:textDirection w:val="lrTb"/>
            <w:noWrap w:val="false"/>
          </w:tcPr>
          <w:p>
            <w:pPr>
              <w:pStyle w:val="1163"/>
              <w:jc w:val="center"/>
              <w:spacing w:line="276" w:lineRule="auto"/>
              <w:rPr>
                <w:color w:val="auto"/>
                <w:sz w:val="24"/>
                <w:szCs w:val="24"/>
                <w:highlight w:val="none"/>
              </w:rPr>
            </w:pPr>
            <w:r>
              <w:rPr>
                <w:rFonts w:hint="eastAsia"/>
                <w:color w:val="auto"/>
                <w:sz w:val="24"/>
                <w:szCs w:val="24"/>
                <w:highlight w:val="none"/>
              </w:rPr>
              <w:t xml:space="preserve">…</w:t>
            </w:r>
            <w:r>
              <w:rPr>
                <w:color w:val="auto"/>
                <w:highlight w:val="none"/>
              </w:rPr>
            </w:r>
          </w:p>
        </w:tc>
        <w:tc>
          <w:tcPr>
            <w:tcW w:w="134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885"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96"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75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381"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243"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c>
          <w:tcPr>
            <w:tcW w:w="1490" w:type="dxa"/>
            <w:vAlign w:val="center"/>
            <w:textDirection w:val="lrTb"/>
            <w:noWrap w:val="false"/>
          </w:tcPr>
          <w:p>
            <w:pPr>
              <w:pStyle w:val="1163"/>
              <w:jc w:val="center"/>
              <w:spacing w:line="276" w:lineRule="auto"/>
              <w:rPr>
                <w:color w:val="auto"/>
                <w:sz w:val="24"/>
                <w:szCs w:val="24"/>
                <w:highlight w:val="none"/>
              </w:rPr>
            </w:pPr>
            <w:r>
              <w:rPr>
                <w:color w:val="auto"/>
                <w:sz w:val="24"/>
                <w:szCs w:val="24"/>
                <w:highlight w:val="none"/>
              </w:rPr>
            </w:r>
            <w:r>
              <w:rPr>
                <w:color w:val="auto"/>
                <w:highlight w:val="none"/>
              </w:rPr>
            </w:r>
          </w:p>
        </w:tc>
      </w:tr>
    </w:tbl>
    <w:p>
      <w:pPr>
        <w:spacing w:line="400" w:lineRule="exact"/>
        <w:rPr>
          <w:rFonts w:ascii="宋体" w:hAnsi="宋体" w:cs="宋体"/>
          <w:color w:val="auto"/>
          <w:highlight w:val="none"/>
          <w:shd w:val="clear" w:color="auto" w:fill="ffffff"/>
        </w:rPr>
      </w:pPr>
      <w:r>
        <w:rPr>
          <w:rFonts w:ascii="宋体" w:hAnsi="宋体" w:cs="宋体"/>
          <w:color w:val="auto"/>
          <w:highlight w:val="none"/>
          <w:shd w:val="clear" w:color="auto" w:fill="ffffff"/>
        </w:rPr>
      </w:r>
      <w:r>
        <w:rPr>
          <w:color w:val="auto"/>
          <w:highlight w:val="none"/>
        </w:rPr>
      </w:r>
    </w:p>
    <w:p>
      <w:pPr>
        <w:spacing w:line="400" w:lineRule="exact"/>
        <w:rPr>
          <w:rFonts w:hAnsi="宋体"/>
          <w:color w:val="auto"/>
          <w:highlight w:val="none"/>
        </w:rPr>
      </w:pPr>
      <w:r>
        <w:rPr>
          <w:rFonts w:hAnsi="宋体"/>
          <w:color w:val="auto"/>
          <w:highlight w:val="none"/>
        </w:rPr>
        <w:t xml:space="preserve">注：请</w:t>
      </w:r>
      <w:r>
        <w:rPr>
          <w:rFonts w:hint="eastAsia" w:hAnsi="宋体"/>
          <w:color w:val="auto"/>
          <w:highlight w:val="none"/>
        </w:rPr>
        <w:t xml:space="preserve">按照服务的岗位详细提供，</w:t>
      </w:r>
      <w:r>
        <w:rPr>
          <w:rFonts w:hAnsi="宋体"/>
          <w:color w:val="auto"/>
          <w:highlight w:val="none"/>
        </w:rPr>
        <w:t xml:space="preserve">按以上格式填写后投标。</w:t>
      </w:r>
      <w:r>
        <w:rPr>
          <w:rFonts w:hint="eastAsia" w:hAnsi="宋体"/>
          <w:color w:val="auto"/>
          <w:highlight w:val="none"/>
        </w:rPr>
        <w:t xml:space="preserve">附人员相关证明材料扫描件。</w:t>
      </w:r>
      <w:r>
        <w:rPr>
          <w:color w:val="auto"/>
          <w:highlight w:val="none"/>
        </w:rPr>
      </w:r>
    </w:p>
    <w:p>
      <w:pPr>
        <w:spacing w:line="400" w:lineRule="exact"/>
        <w:rPr>
          <w:rFonts w:ascii="宋体" w:hAnsi="宋体" w:cs="宋体"/>
          <w:color w:val="auto"/>
          <w:highlight w:val="none"/>
          <w:shd w:val="clear" w:color="auto" w:fill="ffffff"/>
        </w:rPr>
      </w:pPr>
      <w:r>
        <w:rPr>
          <w:rFonts w:ascii="宋体" w:hAnsi="宋体" w:cs="宋体"/>
          <w:color w:val="auto"/>
          <w:highlight w:val="none"/>
          <w:shd w:val="clear" w:color="auto" w:fill="ffffff"/>
        </w:rPr>
      </w:r>
      <w:r>
        <w:rPr>
          <w:color w:val="auto"/>
          <w:highlight w:val="none"/>
        </w:rPr>
      </w:r>
    </w:p>
    <w:p>
      <w:pPr>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投标人名称（加盖CA电子公章）：            </w:t>
      </w:r>
      <w:r>
        <w:rPr>
          <w:color w:val="auto"/>
          <w:highlight w:val="none"/>
        </w:rPr>
      </w:r>
    </w:p>
    <w:p>
      <w:pPr>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法定代表人或授权代表（签字或签章）：            </w:t>
      </w:r>
      <w:r>
        <w:rPr>
          <w:color w:val="auto"/>
          <w:highlight w:val="none"/>
        </w:rPr>
      </w:r>
    </w:p>
    <w:p>
      <w:pPr>
        <w:spacing w:line="520" w:lineRule="exact"/>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2024年  月  日</w:t>
      </w:r>
      <w:bookmarkEnd w:id="296"/>
      <w:r>
        <w:rPr>
          <w:color w:val="auto"/>
          <w:highlight w:val="none"/>
        </w:rPr>
      </w:r>
      <w:r>
        <w:rPr>
          <w:color w:val="auto"/>
          <w:highlight w:val="none"/>
        </w:rPr>
      </w:r>
    </w:p>
    <w:p>
      <w:pPr>
        <w:pStyle w:val="913"/>
        <w:ind w:firstLine="440"/>
        <w:rPr>
          <w:rFonts w:ascii="宋体" w:hAnsi="宋体" w:cs="宋体"/>
          <w:color w:val="auto"/>
          <w:sz w:val="22"/>
          <w:szCs w:val="22"/>
          <w:highlight w:val="none"/>
          <w:shd w:val="clear" w:color="auto" w:fill="ffffff"/>
        </w:rPr>
      </w:pPr>
      <w:r>
        <w:rPr>
          <w:rFonts w:ascii="宋体" w:hAnsi="宋体" w:cs="宋体"/>
          <w:color w:val="auto"/>
          <w:sz w:val="22"/>
          <w:szCs w:val="22"/>
          <w:highlight w:val="none"/>
          <w:shd w:val="clear" w:color="auto" w:fill="ffffff"/>
        </w:rPr>
      </w:r>
      <w:r>
        <w:rPr>
          <w:color w:val="auto"/>
          <w:highlight w:val="none"/>
        </w:rP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u w:val="single"/>
        </w:rPr>
      </w:r>
      <w:r>
        <w:rPr>
          <w:color w:val="auto"/>
          <w:highlight w:val="none"/>
        </w:rP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p>
    <w:p>
      <w:pPr>
        <w:ind w:left="1054" w:hanging="738"/>
        <w:jc w:val="center"/>
        <w:spacing w:line="400" w:lineRule="exact"/>
        <w:rPr>
          <w:rFonts w:ascii="Arial" w:hAnsi="Arial" w:eastAsia="黑体" w:cs="Arial"/>
          <w:b/>
          <w:bCs/>
          <w:color w:val="auto"/>
          <w:sz w:val="30"/>
          <w:szCs w:val="28"/>
          <w:highlight w:val="none"/>
        </w:rPr>
      </w:pPr>
      <w:r>
        <w:rPr>
          <w:color w:val="auto"/>
          <w:sz w:val="24"/>
          <w:highlight w:val="none"/>
        </w:rPr>
        <w:br w:type="page" w:clear="all"/>
      </w:r>
      <w:bookmarkStart w:id="297" w:name="_Toc15028"/>
      <w:r>
        <w:rPr>
          <w:color w:val="auto"/>
          <w:highlight w:val="none"/>
        </w:rPr>
      </w:r>
      <w:bookmarkStart w:id="298" w:name="_Toc667"/>
      <w:r>
        <w:rPr>
          <w:rFonts w:hint="eastAsia" w:ascii="Arial" w:hAnsi="Arial" w:eastAsia="黑体" w:cs="Arial"/>
          <w:b/>
          <w:bCs/>
          <w:color w:val="auto"/>
          <w:sz w:val="30"/>
          <w:szCs w:val="28"/>
          <w:highlight w:val="none"/>
        </w:rPr>
        <w:t xml:space="preserve">（三）</w:t>
      </w:r>
      <w:bookmarkEnd w:id="297"/>
      <w:r>
        <w:rPr>
          <w:color w:val="auto"/>
          <w:highlight w:val="none"/>
        </w:rPr>
      </w:r>
      <w:bookmarkEnd w:id="298"/>
      <w:r>
        <w:rPr>
          <w:rFonts w:hint="eastAsia" w:ascii="Arial" w:hAnsi="Arial" w:eastAsia="黑体" w:cs="Arial"/>
          <w:b/>
          <w:bCs/>
          <w:color w:val="auto"/>
          <w:sz w:val="30"/>
          <w:szCs w:val="28"/>
          <w:highlight w:val="none"/>
        </w:rPr>
        <w:t xml:space="preserve">服务方案</w:t>
      </w:r>
      <w:bookmarkEnd w:id="292"/>
      <w:r>
        <w:rPr>
          <w:color w:val="auto"/>
          <w:highlight w:val="none"/>
        </w:rPr>
      </w:r>
      <w:r>
        <w:rPr>
          <w:color w:val="auto"/>
          <w:highlight w:val="none"/>
        </w:rPr>
      </w:r>
    </w:p>
    <w:p>
      <w:pPr>
        <w:rPr>
          <w:color w:val="auto"/>
          <w:highlight w:val="none"/>
        </w:rPr>
      </w:pPr>
      <w:r>
        <w:rPr>
          <w:color w:val="auto"/>
          <w:highlight w:val="none"/>
        </w:rPr>
      </w:r>
      <w:r>
        <w:rPr>
          <w:color w:val="auto"/>
          <w:highlight w:val="none"/>
        </w:rPr>
      </w:r>
    </w:p>
    <w:sectPr>
      <w:headerReference w:type="default" r:id="rId11"/>
      <w:footerReference w:type="default" r:id="rId18"/>
      <w:footerReference w:type="first" r:id="rId19"/>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Tahoma">
    <w:panose1 w:val="020B0604030504040204"/>
  </w:font>
  <w:font w:name="楷体_GB2312">
    <w:panose1 w:val="02010609060101010101"/>
  </w:font>
  <w:font w:name="Symbol">
    <w:panose1 w:val="05050102010706020507"/>
  </w:font>
  <w:font w:name="楷体">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rPr>
        <w:rStyle w:val="1184"/>
      </w:rPr>
    </w:pPr>
    <w:r/>
    <w:r/>
  </w:p>
  <w:p>
    <w:pPr>
      <w:pStyle w:val="1164"/>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7000" cy="301625"/>
              <wp:effectExtent l="6350" t="6350" r="6350" b="635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27207" cy="301572"/>
                      </a:xfrm>
                      <a:prstGeom prst="rect">
                        <a:avLst/>
                      </a:prstGeom>
                      <a:noFill/>
                      <a:ln>
                        <a:noFill/>
                      </a:ln>
                    </wps:spPr>
                    <wps:txbx>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0.0pt;height:23.8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rPr>
        <w:rStyle w:val="118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64"/>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center"/>
      <w:rPr>
        <w:rFonts w:ascii="仿宋_GB2312" w:eastAsia="仿宋_GB2312"/>
        <w:sz w:val="24"/>
        <w:szCs w:val="24"/>
      </w:rPr>
    </w:pPr>
    <w:r>
      <w:rPr>
        <w:sz w:val="24"/>
        <w:szCs w:val="24"/>
      </w:rPr>
      <w:fldChar w:fldCharType="begin"/>
    </w:r>
    <w:r>
      <w:rPr>
        <w:rStyle w:val="1184"/>
        <w:sz w:val="24"/>
        <w:szCs w:val="24"/>
      </w:rPr>
      <w:instrText xml:space="preserve"> PAGE </w:instrText>
    </w:r>
    <w:r>
      <w:rPr>
        <w:sz w:val="24"/>
        <w:szCs w:val="24"/>
      </w:rPr>
      <w:fldChar w:fldCharType="separate"/>
    </w:r>
    <w:r>
      <w:rPr>
        <w:rStyle w:val="1184"/>
        <w:sz w:val="24"/>
        <w:szCs w:val="24"/>
      </w:rPr>
      <w:t xml:space="preserve">44</w:t>
    </w:r>
    <w:r>
      <w:rPr>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rPr>
        <w:rStyle w:val="1184"/>
      </w:rPr>
      <w:framePr w:wrap="around" w:vAnchor="text" w:hAnchor="margin" w:xAlign="right" w:y="1"/>
    </w:pPr>
    <w:r/>
    <w:r/>
  </w:p>
  <w:p>
    <w:pPr>
      <w:pStyle w:val="1164"/>
      <w:ind w:right="360"/>
      <w:jc w:val="center"/>
      <w:rPr>
        <w:sz w:val="24"/>
        <w:szCs w:val="24"/>
      </w:rPr>
    </w:pPr>
    <w:r>
      <w:rPr>
        <w:sz w:val="24"/>
        <w:szCs w:val="24"/>
      </w:rPr>
      <w:fldChar w:fldCharType="begin"/>
    </w:r>
    <w:r>
      <w:rPr>
        <w:rStyle w:val="1184"/>
        <w:sz w:val="24"/>
        <w:szCs w:val="24"/>
      </w:rPr>
      <w:instrText xml:space="preserve"> PAGE </w:instrText>
    </w:r>
    <w:r>
      <w:rPr>
        <w:sz w:val="24"/>
        <w:szCs w:val="24"/>
      </w:rPr>
      <w:fldChar w:fldCharType="separate"/>
    </w:r>
    <w:r>
      <w:rPr>
        <w:rStyle w:val="1184"/>
        <w:sz w:val="24"/>
        <w:szCs w:val="24"/>
      </w:rPr>
      <w:t xml:space="preserve">45</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64"/>
                            <w:tabs>
                              <w:tab w:val="clear" w:pos="4153" w:leader="none"/>
                              <w:tab w:val="clear" w:pos="8306" w:leader="none"/>
                            </w:tabs>
                            <w:rPr>
                              <w:rStyle w:val="1184"/>
                            </w:rPr>
                          </w:pPr>
                          <w:r>
                            <w:fldChar w:fldCharType="begin"/>
                          </w:r>
                          <w:r>
                            <w:rPr>
                              <w:rStyle w:val="1184"/>
                            </w:rPr>
                            <w:instrText xml:space="preserve">PAGE  </w:instrText>
                          </w:r>
                          <w:r>
                            <w:fldChar w:fldCharType="separate"/>
                          </w:r>
                          <w:r>
                            <w:rPr>
                              <w:rStyle w:val="1184"/>
                            </w:rPr>
                            <w:t xml:space="preserve">60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4"/>
                      <w:tabs>
                        <w:tab w:val="clear" w:pos="4153" w:leader="none"/>
                        <w:tab w:val="clear" w:pos="8306" w:leader="none"/>
                      </w:tabs>
                      <w:rPr>
                        <w:rStyle w:val="1184"/>
                      </w:rPr>
                    </w:pPr>
                    <w:r>
                      <w:fldChar w:fldCharType="begin"/>
                    </w:r>
                    <w:r>
                      <w:rPr>
                        <w:rStyle w:val="1184"/>
                      </w:rPr>
                      <w:instrText xml:space="preserve">PAGE  </w:instrText>
                    </w:r>
                    <w:r>
                      <w:fldChar w:fldCharType="separate"/>
                    </w:r>
                    <w:r>
                      <w:rPr>
                        <w:rStyle w:val="1184"/>
                      </w:rP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64"/>
                            <w:tabs>
                              <w:tab w:val="clear" w:pos="4153" w:leader="none"/>
                              <w:tab w:val="clear" w:pos="8306" w:leader="none"/>
                            </w:tabs>
                            <w:rPr>
                              <w:rStyle w:val="1184"/>
                            </w:rPr>
                          </w:pPr>
                          <w:r>
                            <w:fldChar w:fldCharType="begin"/>
                          </w:r>
                          <w:r>
                            <w:rPr>
                              <w:rStyle w:val="1184"/>
                            </w:rPr>
                            <w:instrText xml:space="preserve">PAGE  </w:instrText>
                          </w:r>
                          <w:r>
                            <w:fldChar w:fldCharType="separate"/>
                          </w:r>
                          <w:r>
                            <w:rPr>
                              <w:rStyle w:val="1184"/>
                            </w:rPr>
                            <w:t xml:space="preserve">60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64"/>
                      <w:tabs>
                        <w:tab w:val="clear" w:pos="4153" w:leader="none"/>
                        <w:tab w:val="clear" w:pos="8306" w:leader="none"/>
                      </w:tabs>
                      <w:rPr>
                        <w:rStyle w:val="1184"/>
                      </w:rPr>
                    </w:pPr>
                    <w:r>
                      <w:fldChar w:fldCharType="begin"/>
                    </w:r>
                    <w:r>
                      <w:rPr>
                        <w:rStyle w:val="1184"/>
                      </w:rPr>
                      <w:instrText xml:space="preserve">PAGE  </w:instrText>
                    </w:r>
                    <w:r>
                      <w:fldChar w:fldCharType="separate"/>
                    </w:r>
                    <w:r>
                      <w:rPr>
                        <w:rStyle w:val="1184"/>
                      </w:rPr>
                      <w:t xml:space="preserve">60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rPr>
        <w:rStyle w:val="1184"/>
      </w:rPr>
      <w:framePr w:wrap="around" w:vAnchor="text" w:hAnchor="margin" w:xAlign="right" w:y="1"/>
    </w:pPr>
    <w:r/>
    <w:r/>
  </w:p>
  <w:p>
    <w:pPr>
      <w:pStyle w:val="1164"/>
      <w:ind w:right="360"/>
      <w:jc w:val="center"/>
    </w:pPr>
    <w:r>
      <w:fldChar w:fldCharType="begin"/>
    </w:r>
    <w:r>
      <w:rPr>
        <w:rStyle w:val="1184"/>
      </w:rPr>
      <w:instrText xml:space="preserve"> PAGE </w:instrText>
    </w:r>
    <w:r>
      <w:fldChar w:fldCharType="separate"/>
    </w:r>
    <w:r>
      <w:rPr>
        <w:rStyle w:val="1184"/>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left"/>
      <w:rPr>
        <w:rFonts w:ascii="宋体" w:hAnsi="宋体" w:cs="宋体"/>
        <w:sz w:val="21"/>
        <w:szCs w:val="21"/>
      </w:rPr>
    </w:pPr>
    <w:r>
      <w:rPr>
        <w:rFonts w:hint="eastAsia" w:ascii="宋体" w:hAnsi="宋体" w:cs="宋体"/>
        <w:sz w:val="21"/>
        <w:szCs w:val="21"/>
        <w:lang w:eastAsia="zh-CN"/>
      </w:rPr>
      <w:t xml:space="preserve">JSZC-321282-ZZJT-G2024-0038</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35"/>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b/>
        <w:sz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7"/>
  </w:num>
  <w:num w:numId="4">
    <w:abstractNumId w:val="4"/>
  </w:num>
  <w:num w:numId="5">
    <w:abstractNumId w:val="6"/>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1" w:default="1">
    <w:name w:val="Normal"/>
    <w:next w:val="91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02">
    <w:name w:val="Heading 1"/>
    <w:basedOn w:val="901"/>
    <w:next w:val="901"/>
    <w:link w:val="1142"/>
    <w:uiPriority w:val="9"/>
    <w:qFormat/>
    <w:pPr>
      <w:keepLines/>
      <w:keepNext/>
      <w:spacing w:before="480" w:after="200"/>
      <w:outlineLvl w:val="0"/>
    </w:pPr>
    <w:rPr>
      <w:rFonts w:ascii="Arial" w:hAnsi="Arial" w:eastAsia="Arial" w:cs="Arial"/>
      <w:sz w:val="40"/>
      <w:szCs w:val="40"/>
    </w:rPr>
  </w:style>
  <w:style w:type="paragraph" w:styleId="903">
    <w:name w:val="Heading 2"/>
    <w:basedOn w:val="901"/>
    <w:next w:val="901"/>
    <w:link w:val="985"/>
    <w:uiPriority w:val="9"/>
    <w:unhideWhenUsed/>
    <w:qFormat/>
    <w:pPr>
      <w:keepLines/>
      <w:keepNext/>
      <w:spacing w:before="360" w:after="200"/>
      <w:outlineLvl w:val="1"/>
    </w:pPr>
    <w:rPr>
      <w:rFonts w:ascii="Arial" w:hAnsi="Arial" w:eastAsia="Arial" w:cs="Arial"/>
      <w:sz w:val="34"/>
    </w:rPr>
  </w:style>
  <w:style w:type="paragraph" w:styleId="904">
    <w:name w:val="Heading 3"/>
    <w:basedOn w:val="901"/>
    <w:next w:val="901"/>
    <w:link w:val="986"/>
    <w:uiPriority w:val="9"/>
    <w:unhideWhenUsed/>
    <w:qFormat/>
    <w:pPr>
      <w:keepLines/>
      <w:keepNext/>
      <w:spacing w:before="320" w:after="200"/>
      <w:outlineLvl w:val="2"/>
    </w:pPr>
    <w:rPr>
      <w:rFonts w:ascii="Arial" w:hAnsi="Arial" w:eastAsia="Arial" w:cs="Arial"/>
      <w:sz w:val="30"/>
      <w:szCs w:val="30"/>
    </w:rPr>
  </w:style>
  <w:style w:type="paragraph" w:styleId="905">
    <w:name w:val="Heading 4"/>
    <w:basedOn w:val="901"/>
    <w:next w:val="901"/>
    <w:link w:val="987"/>
    <w:uiPriority w:val="9"/>
    <w:unhideWhenUsed/>
    <w:qFormat/>
    <w:pPr>
      <w:keepLines/>
      <w:keepNext/>
      <w:spacing w:before="320" w:after="200"/>
      <w:outlineLvl w:val="3"/>
    </w:pPr>
    <w:rPr>
      <w:rFonts w:ascii="Arial" w:hAnsi="Arial" w:eastAsia="Arial" w:cs="Arial"/>
      <w:b/>
      <w:bCs/>
      <w:sz w:val="26"/>
      <w:szCs w:val="26"/>
    </w:rPr>
  </w:style>
  <w:style w:type="paragraph" w:styleId="906">
    <w:name w:val="Heading 5"/>
    <w:basedOn w:val="901"/>
    <w:next w:val="901"/>
    <w:link w:val="988"/>
    <w:uiPriority w:val="9"/>
    <w:unhideWhenUsed/>
    <w:qFormat/>
    <w:pPr>
      <w:keepLines/>
      <w:keepNext/>
      <w:spacing w:before="320" w:after="200"/>
      <w:outlineLvl w:val="4"/>
    </w:pPr>
    <w:rPr>
      <w:rFonts w:ascii="Arial" w:hAnsi="Arial" w:eastAsia="Arial" w:cs="Arial"/>
      <w:b/>
      <w:bCs/>
      <w:sz w:val="24"/>
      <w:szCs w:val="24"/>
    </w:rPr>
  </w:style>
  <w:style w:type="paragraph" w:styleId="907">
    <w:name w:val="Heading 6"/>
    <w:basedOn w:val="901"/>
    <w:next w:val="901"/>
    <w:link w:val="989"/>
    <w:uiPriority w:val="9"/>
    <w:unhideWhenUsed/>
    <w:qFormat/>
    <w:pPr>
      <w:keepLines/>
      <w:keepNext/>
      <w:spacing w:before="320" w:after="200"/>
      <w:outlineLvl w:val="5"/>
    </w:pPr>
    <w:rPr>
      <w:rFonts w:ascii="Arial" w:hAnsi="Arial" w:eastAsia="Arial" w:cs="Arial"/>
      <w:b/>
      <w:bCs/>
      <w:sz w:val="22"/>
      <w:szCs w:val="22"/>
    </w:rPr>
  </w:style>
  <w:style w:type="paragraph" w:styleId="908">
    <w:name w:val="Heading 7"/>
    <w:basedOn w:val="901"/>
    <w:next w:val="901"/>
    <w:link w:val="990"/>
    <w:uiPriority w:val="9"/>
    <w:unhideWhenUsed/>
    <w:qFormat/>
    <w:pPr>
      <w:keepLines/>
      <w:keepNext/>
      <w:spacing w:before="320" w:after="200"/>
      <w:outlineLvl w:val="6"/>
    </w:pPr>
    <w:rPr>
      <w:rFonts w:ascii="Arial" w:hAnsi="Arial" w:eastAsia="Arial" w:cs="Arial"/>
      <w:b/>
      <w:bCs/>
      <w:i/>
      <w:iCs/>
      <w:sz w:val="22"/>
      <w:szCs w:val="22"/>
    </w:rPr>
  </w:style>
  <w:style w:type="paragraph" w:styleId="909">
    <w:name w:val="Heading 8"/>
    <w:basedOn w:val="901"/>
    <w:next w:val="901"/>
    <w:link w:val="991"/>
    <w:uiPriority w:val="9"/>
    <w:unhideWhenUsed/>
    <w:qFormat/>
    <w:pPr>
      <w:keepLines/>
      <w:keepNext/>
      <w:spacing w:before="320" w:after="200"/>
      <w:outlineLvl w:val="7"/>
    </w:pPr>
    <w:rPr>
      <w:rFonts w:ascii="Arial" w:hAnsi="Arial" w:eastAsia="Arial" w:cs="Arial"/>
      <w:i/>
      <w:iCs/>
      <w:sz w:val="22"/>
      <w:szCs w:val="22"/>
    </w:rPr>
  </w:style>
  <w:style w:type="paragraph" w:styleId="910">
    <w:name w:val="Heading 9"/>
    <w:basedOn w:val="901"/>
    <w:next w:val="901"/>
    <w:link w:val="992"/>
    <w:uiPriority w:val="9"/>
    <w:unhideWhenUsed/>
    <w:qFormat/>
    <w:pPr>
      <w:keepLines/>
      <w:keepNext/>
      <w:spacing w:before="320" w:after="200"/>
      <w:outlineLvl w:val="8"/>
    </w:pPr>
    <w:rPr>
      <w:rFonts w:ascii="Arial" w:hAnsi="Arial" w:eastAsia="Arial" w:cs="Arial"/>
      <w:i/>
      <w:iCs/>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customStyle="1">
    <w:name w:val="首行缩进"/>
    <w:basedOn w:val="901"/>
    <w:uiPriority w:val="0"/>
    <w:qFormat/>
    <w:pPr>
      <w:ind w:firstLine="480"/>
    </w:pPr>
    <w:rPr>
      <w:szCs w:val="20"/>
      <w:lang w:val="zh-CN"/>
    </w:rPr>
  </w:style>
  <w:style w:type="paragraph" w:styleId="914">
    <w:name w:val="toc 7"/>
    <w:basedOn w:val="901"/>
    <w:next w:val="901"/>
    <w:uiPriority w:val="39"/>
    <w:unhideWhenUsed/>
    <w:qFormat/>
    <w:pPr>
      <w:ind w:left="1701"/>
      <w:spacing w:after="57"/>
    </w:pPr>
  </w:style>
  <w:style w:type="paragraph" w:styleId="915">
    <w:name w:val="Normal Indent"/>
    <w:basedOn w:val="901"/>
    <w:uiPriority w:val="0"/>
    <w:qFormat/>
    <w:pPr>
      <w:ind w:firstLine="420"/>
      <w:jc w:val="left"/>
    </w:pPr>
    <w:rPr>
      <w:rFonts w:ascii="宋体"/>
      <w:sz w:val="24"/>
      <w:szCs w:val="24"/>
    </w:rPr>
  </w:style>
  <w:style w:type="paragraph" w:styleId="916">
    <w:name w:val="Caption"/>
    <w:basedOn w:val="901"/>
    <w:next w:val="9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7">
    <w:name w:val="annotation text"/>
    <w:basedOn w:val="901"/>
    <w:uiPriority w:val="99"/>
    <w:semiHidden/>
    <w:unhideWhenUsed/>
    <w:qFormat/>
    <w:pPr>
      <w:jc w:val="left"/>
    </w:pPr>
  </w:style>
  <w:style w:type="paragraph" w:styleId="918">
    <w:name w:val="Body Text"/>
    <w:basedOn w:val="901"/>
    <w:uiPriority w:val="0"/>
    <w:qFormat/>
    <w:pPr>
      <w:spacing w:after="120"/>
    </w:pPr>
    <w:rPr>
      <w:sz w:val="20"/>
      <w:szCs w:val="24"/>
    </w:rPr>
  </w:style>
  <w:style w:type="paragraph" w:styleId="919">
    <w:name w:val="Body Text Indent"/>
    <w:basedOn w:val="901"/>
    <w:uiPriority w:val="0"/>
    <w:qFormat/>
    <w:pPr>
      <w:ind w:firstLine="600"/>
    </w:pPr>
    <w:rPr>
      <w:rFonts w:eastAsia="仿宋_GB2312"/>
      <w:sz w:val="28"/>
      <w:szCs w:val="24"/>
    </w:rPr>
  </w:style>
  <w:style w:type="paragraph" w:styleId="920">
    <w:name w:val="toc 5"/>
    <w:basedOn w:val="901"/>
    <w:next w:val="901"/>
    <w:uiPriority w:val="39"/>
    <w:unhideWhenUsed/>
    <w:qFormat/>
    <w:pPr>
      <w:ind w:left="1134"/>
      <w:spacing w:after="57"/>
    </w:pPr>
  </w:style>
  <w:style w:type="paragraph" w:styleId="921">
    <w:name w:val="toc 3"/>
    <w:basedOn w:val="901"/>
    <w:next w:val="901"/>
    <w:uiPriority w:val="39"/>
    <w:unhideWhenUsed/>
    <w:qFormat/>
    <w:pPr>
      <w:ind w:left="567"/>
      <w:spacing w:after="57"/>
    </w:pPr>
  </w:style>
  <w:style w:type="paragraph" w:styleId="922">
    <w:name w:val="Plain Text"/>
    <w:basedOn w:val="901"/>
    <w:next w:val="915"/>
    <w:uiPriority w:val="0"/>
    <w:qFormat/>
    <w:rPr>
      <w:rFonts w:ascii="宋体" w:hAnsi="Courier New"/>
    </w:rPr>
  </w:style>
  <w:style w:type="paragraph" w:styleId="923">
    <w:name w:val="toc 8"/>
    <w:basedOn w:val="901"/>
    <w:next w:val="901"/>
    <w:uiPriority w:val="39"/>
    <w:unhideWhenUsed/>
    <w:qFormat/>
    <w:pPr>
      <w:ind w:left="1984"/>
      <w:spacing w:after="57"/>
    </w:pPr>
  </w:style>
  <w:style w:type="paragraph" w:styleId="924">
    <w:name w:val="Date"/>
    <w:basedOn w:val="901"/>
    <w:next w:val="901"/>
    <w:uiPriority w:val="0"/>
    <w:qFormat/>
  </w:style>
  <w:style w:type="paragraph" w:styleId="925">
    <w:name w:val="endnote text"/>
    <w:basedOn w:val="901"/>
    <w:link w:val="1130"/>
    <w:uiPriority w:val="99"/>
    <w:semiHidden/>
    <w:unhideWhenUsed/>
    <w:qFormat/>
    <w:rPr>
      <w:sz w:val="20"/>
    </w:rPr>
  </w:style>
  <w:style w:type="paragraph" w:styleId="926">
    <w:name w:val="Footer"/>
    <w:basedOn w:val="901"/>
    <w:link w:val="1003"/>
    <w:uiPriority w:val="99"/>
    <w:unhideWhenUsed/>
    <w:qFormat/>
    <w:pPr>
      <w:tabs>
        <w:tab w:val="center" w:pos="7143" w:leader="none"/>
        <w:tab w:val="right" w:pos="14287" w:leader="none"/>
      </w:tabs>
    </w:pPr>
  </w:style>
  <w:style w:type="paragraph" w:styleId="927">
    <w:name w:val="envelope return"/>
    <w:basedOn w:val="901"/>
    <w:uiPriority w:val="99"/>
    <w:unhideWhenUsed/>
    <w:qFormat/>
    <w:rPr>
      <w:rFonts w:ascii="Arial" w:hAnsi="Arial"/>
      <w:szCs w:val="24"/>
    </w:rPr>
  </w:style>
  <w:style w:type="paragraph" w:styleId="928">
    <w:name w:val="Header"/>
    <w:basedOn w:val="901"/>
    <w:link w:val="1001"/>
    <w:uiPriority w:val="99"/>
    <w:unhideWhenUsed/>
    <w:qFormat/>
    <w:pPr>
      <w:tabs>
        <w:tab w:val="center" w:pos="7143" w:leader="none"/>
        <w:tab w:val="right" w:pos="14287" w:leader="none"/>
      </w:tabs>
    </w:pPr>
  </w:style>
  <w:style w:type="paragraph" w:styleId="929">
    <w:name w:val="toc 1"/>
    <w:basedOn w:val="901"/>
    <w:next w:val="901"/>
    <w:uiPriority w:val="39"/>
    <w:unhideWhenUsed/>
    <w:qFormat/>
    <w:pPr>
      <w:spacing w:after="57"/>
    </w:pPr>
  </w:style>
  <w:style w:type="paragraph" w:styleId="930">
    <w:name w:val="toc 4"/>
    <w:basedOn w:val="901"/>
    <w:next w:val="901"/>
    <w:uiPriority w:val="39"/>
    <w:unhideWhenUsed/>
    <w:qFormat/>
    <w:pPr>
      <w:ind w:left="850"/>
      <w:spacing w:after="57"/>
    </w:pPr>
  </w:style>
  <w:style w:type="paragraph" w:styleId="931">
    <w:name w:val="Subtitle"/>
    <w:basedOn w:val="901"/>
    <w:next w:val="901"/>
    <w:link w:val="996"/>
    <w:uiPriority w:val="11"/>
    <w:qFormat/>
    <w:pPr>
      <w:spacing w:before="200" w:after="200"/>
    </w:pPr>
    <w:rPr>
      <w:sz w:val="24"/>
      <w:szCs w:val="24"/>
    </w:rPr>
  </w:style>
  <w:style w:type="paragraph" w:styleId="932">
    <w:name w:val="footnote text"/>
    <w:basedOn w:val="901"/>
    <w:link w:val="1129"/>
    <w:uiPriority w:val="99"/>
    <w:semiHidden/>
    <w:unhideWhenUsed/>
    <w:qFormat/>
    <w:pPr>
      <w:spacing w:after="40"/>
    </w:pPr>
    <w:rPr>
      <w:sz w:val="18"/>
    </w:rPr>
  </w:style>
  <w:style w:type="paragraph" w:styleId="933">
    <w:name w:val="toc 6"/>
    <w:basedOn w:val="901"/>
    <w:next w:val="901"/>
    <w:uiPriority w:val="39"/>
    <w:unhideWhenUsed/>
    <w:qFormat/>
    <w:pPr>
      <w:ind w:left="1417"/>
      <w:spacing w:after="57"/>
    </w:pPr>
  </w:style>
  <w:style w:type="paragraph" w:styleId="934">
    <w:name w:val="table of figures"/>
    <w:basedOn w:val="901"/>
    <w:next w:val="901"/>
    <w:uiPriority w:val="99"/>
    <w:unhideWhenUsed/>
    <w:qFormat/>
  </w:style>
  <w:style w:type="paragraph" w:styleId="935">
    <w:name w:val="toc 2"/>
    <w:basedOn w:val="901"/>
    <w:next w:val="901"/>
    <w:uiPriority w:val="39"/>
    <w:unhideWhenUsed/>
    <w:qFormat/>
    <w:pPr>
      <w:ind w:left="283"/>
      <w:spacing w:after="57"/>
    </w:pPr>
  </w:style>
  <w:style w:type="paragraph" w:styleId="936">
    <w:name w:val="toc 9"/>
    <w:basedOn w:val="901"/>
    <w:next w:val="901"/>
    <w:uiPriority w:val="39"/>
    <w:unhideWhenUsed/>
    <w:qFormat/>
    <w:pPr>
      <w:ind w:left="2268"/>
      <w:spacing w:after="57"/>
    </w:pPr>
  </w:style>
  <w:style w:type="paragraph" w:styleId="937">
    <w:name w:val="Title"/>
    <w:basedOn w:val="901"/>
    <w:next w:val="901"/>
    <w:link w:val="995"/>
    <w:uiPriority w:val="10"/>
    <w:qFormat/>
    <w:pPr>
      <w:contextualSpacing/>
      <w:spacing w:before="300" w:after="200"/>
    </w:pPr>
    <w:rPr>
      <w:sz w:val="48"/>
      <w:szCs w:val="48"/>
    </w:rPr>
  </w:style>
  <w:style w:type="paragraph" w:styleId="938">
    <w:name w:val="Body Text First Indent 2"/>
    <w:basedOn w:val="919"/>
    <w:uiPriority w:val="99"/>
    <w:unhideWhenUsed/>
    <w:qFormat/>
    <w:pPr>
      <w:ind w:firstLine="420"/>
    </w:pPr>
  </w:style>
  <w:style w:type="table" w:styleId="9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0">
    <w:name w:val="endnote reference"/>
    <w:uiPriority w:val="99"/>
    <w:semiHidden/>
    <w:unhideWhenUsed/>
    <w:qFormat/>
    <w:rPr>
      <w:vertAlign w:val="superscript"/>
    </w:rPr>
  </w:style>
  <w:style w:type="character" w:styleId="941">
    <w:name w:val="page number"/>
    <w:uiPriority w:val="0"/>
    <w:qFormat/>
  </w:style>
  <w:style w:type="character" w:styleId="942">
    <w:name w:val="Emphasis"/>
    <w:basedOn w:val="911"/>
    <w:uiPriority w:val="20"/>
    <w:qFormat/>
    <w:rPr>
      <w:i/>
    </w:rPr>
  </w:style>
  <w:style w:type="character" w:styleId="943">
    <w:name w:val="Hyperlink"/>
    <w:basedOn w:val="911"/>
    <w:uiPriority w:val="99"/>
    <w:unhideWhenUsed/>
    <w:qFormat/>
    <w:rPr>
      <w:color w:val="0000ff" w:themeColor="hyperlink"/>
      <w:u w:val="single"/>
      <w14:textFill>
        <w14:solidFill>
          <w14:schemeClr w14:val="hlink"/>
        </w14:solidFill>
      </w14:textFill>
    </w:rPr>
  </w:style>
  <w:style w:type="character" w:styleId="944">
    <w:name w:val="footnote reference"/>
    <w:uiPriority w:val="99"/>
    <w:unhideWhenUsed/>
    <w:qFormat/>
    <w:rPr>
      <w:vertAlign w:val="superscript"/>
    </w:rPr>
  </w:style>
  <w:style w:type="paragraph" w:styleId="945" w:customStyle="1">
    <w:name w:val="段"/>
    <w:next w:val="90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46" w:customStyle="1">
    <w:name w:val="Heading 2 Char"/>
    <w:basedOn w:val="911"/>
    <w:uiPriority w:val="9"/>
    <w:qFormat/>
    <w:rPr>
      <w:rFonts w:ascii="Arial" w:hAnsi="Arial" w:eastAsia="Arial" w:cs="Arial"/>
      <w:sz w:val="34"/>
    </w:rPr>
  </w:style>
  <w:style w:type="character" w:styleId="947" w:customStyle="1">
    <w:name w:val="Heading 3 Char"/>
    <w:basedOn w:val="911"/>
    <w:uiPriority w:val="9"/>
    <w:qFormat/>
    <w:rPr>
      <w:rFonts w:ascii="Arial" w:hAnsi="Arial" w:eastAsia="Arial" w:cs="Arial"/>
      <w:sz w:val="30"/>
      <w:szCs w:val="30"/>
    </w:rPr>
  </w:style>
  <w:style w:type="character" w:styleId="948" w:customStyle="1">
    <w:name w:val="Heading 4 Char"/>
    <w:basedOn w:val="911"/>
    <w:uiPriority w:val="9"/>
    <w:qFormat/>
    <w:rPr>
      <w:rFonts w:ascii="Arial" w:hAnsi="Arial" w:eastAsia="Arial" w:cs="Arial"/>
      <w:b/>
      <w:bCs/>
      <w:sz w:val="26"/>
      <w:szCs w:val="26"/>
    </w:rPr>
  </w:style>
  <w:style w:type="character" w:styleId="949" w:customStyle="1">
    <w:name w:val="Heading 5 Char"/>
    <w:basedOn w:val="911"/>
    <w:uiPriority w:val="9"/>
    <w:qFormat/>
    <w:rPr>
      <w:rFonts w:ascii="Arial" w:hAnsi="Arial" w:eastAsia="Arial" w:cs="Arial"/>
      <w:b/>
      <w:bCs/>
      <w:sz w:val="24"/>
      <w:szCs w:val="24"/>
    </w:rPr>
  </w:style>
  <w:style w:type="character" w:styleId="950" w:customStyle="1">
    <w:name w:val="Heading 6 Char"/>
    <w:basedOn w:val="911"/>
    <w:uiPriority w:val="9"/>
    <w:qFormat/>
    <w:rPr>
      <w:rFonts w:ascii="Arial" w:hAnsi="Arial" w:eastAsia="Arial" w:cs="Arial"/>
      <w:b/>
      <w:bCs/>
      <w:sz w:val="22"/>
      <w:szCs w:val="22"/>
    </w:rPr>
  </w:style>
  <w:style w:type="character" w:styleId="951" w:customStyle="1">
    <w:name w:val="Heading 7 Char"/>
    <w:basedOn w:val="911"/>
    <w:uiPriority w:val="9"/>
    <w:qFormat/>
    <w:rPr>
      <w:rFonts w:ascii="Arial" w:hAnsi="Arial" w:eastAsia="Arial" w:cs="Arial"/>
      <w:b/>
      <w:bCs/>
      <w:i/>
      <w:iCs/>
      <w:sz w:val="22"/>
      <w:szCs w:val="22"/>
    </w:rPr>
  </w:style>
  <w:style w:type="character" w:styleId="952" w:customStyle="1">
    <w:name w:val="Heading 8 Char"/>
    <w:basedOn w:val="911"/>
    <w:uiPriority w:val="9"/>
    <w:qFormat/>
    <w:rPr>
      <w:rFonts w:ascii="Arial" w:hAnsi="Arial" w:eastAsia="Arial" w:cs="Arial"/>
      <w:i/>
      <w:iCs/>
      <w:sz w:val="22"/>
      <w:szCs w:val="22"/>
    </w:rPr>
  </w:style>
  <w:style w:type="character" w:styleId="953" w:customStyle="1">
    <w:name w:val="Heading 9 Char"/>
    <w:basedOn w:val="911"/>
    <w:uiPriority w:val="9"/>
    <w:qFormat/>
    <w:rPr>
      <w:rFonts w:ascii="Arial" w:hAnsi="Arial" w:eastAsia="Arial" w:cs="Arial"/>
      <w:i/>
      <w:iCs/>
      <w:sz w:val="21"/>
      <w:szCs w:val="21"/>
    </w:rPr>
  </w:style>
  <w:style w:type="character" w:styleId="954" w:customStyle="1">
    <w:name w:val="Title Char"/>
    <w:basedOn w:val="911"/>
    <w:uiPriority w:val="10"/>
    <w:qFormat/>
    <w:rPr>
      <w:sz w:val="48"/>
      <w:szCs w:val="48"/>
    </w:rPr>
  </w:style>
  <w:style w:type="character" w:styleId="955" w:customStyle="1">
    <w:name w:val="Subtitle Char"/>
    <w:basedOn w:val="911"/>
    <w:uiPriority w:val="11"/>
    <w:qFormat/>
    <w:rPr>
      <w:sz w:val="24"/>
      <w:szCs w:val="24"/>
    </w:rPr>
  </w:style>
  <w:style w:type="character" w:styleId="956" w:customStyle="1">
    <w:name w:val="Quote Char"/>
    <w:uiPriority w:val="29"/>
    <w:qFormat/>
    <w:rPr>
      <w:i/>
    </w:rPr>
  </w:style>
  <w:style w:type="character" w:styleId="957" w:customStyle="1">
    <w:name w:val="Intense Quote Char"/>
    <w:uiPriority w:val="30"/>
    <w:qFormat/>
    <w:rPr>
      <w:i/>
    </w:rPr>
  </w:style>
  <w:style w:type="character" w:styleId="958" w:customStyle="1">
    <w:name w:val="Header Char"/>
    <w:basedOn w:val="911"/>
    <w:uiPriority w:val="99"/>
    <w:qFormat/>
  </w:style>
  <w:style w:type="character" w:styleId="959" w:customStyle="1">
    <w:name w:val="Caption Char"/>
    <w:uiPriority w:val="99"/>
    <w:qFormat/>
  </w:style>
  <w:style w:type="table" w:styleId="960" w:customStyle="1">
    <w:name w:val="Plain Table 1"/>
    <w:basedOn w:val="9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2"/>
    <w:basedOn w:val="9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3"/>
    <w:basedOn w:val="9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Plain Table 4"/>
    <w:basedOn w:val="9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Plain Table 5"/>
    <w:basedOn w:val="9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Grid Table 1 Light"/>
    <w:basedOn w:val="9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2"/>
    <w:basedOn w:val="9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3"/>
    <w:basedOn w:val="9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w:basedOn w:val="9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5 Dark"/>
    <w:basedOn w:val="9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6 Colorful"/>
    <w:basedOn w:val="9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7 Colorful"/>
    <w:basedOn w:val="9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1 Light"/>
    <w:basedOn w:val="9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2"/>
    <w:basedOn w:val="9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List Table 3"/>
    <w:basedOn w:val="9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w:basedOn w:val="9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5 Dark"/>
    <w:basedOn w:val="9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9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7 Colorful"/>
    <w:basedOn w:val="9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9" w:customStyle="1">
    <w:name w:val="Footnote Text Char"/>
    <w:uiPriority w:val="99"/>
    <w:qFormat/>
    <w:rPr>
      <w:sz w:val="18"/>
    </w:rPr>
  </w:style>
  <w:style w:type="character" w:styleId="980" w:customStyle="1">
    <w:name w:val="Endnote Text Char"/>
    <w:uiPriority w:val="99"/>
    <w:qFormat/>
    <w:rPr>
      <w:sz w:val="20"/>
    </w:rPr>
  </w:style>
  <w:style w:type="paragraph" w:styleId="981" w:customStyle="1">
    <w:name w:val="TOC Heading"/>
    <w:uiPriority w:val="39"/>
    <w:unhideWhenUsed/>
    <w:qFormat/>
    <w:rPr>
      <w:rFonts w:hint="default" w:ascii="Times New Roman" w:hAnsi="Times New Roman" w:eastAsia="宋体" w:cs="Times New Roman"/>
    </w:rPr>
  </w:style>
  <w:style w:type="paragraph" w:styleId="982" w:customStyle="1">
    <w:name w:val="正文（缩进）"/>
    <w:basedOn w:val="901"/>
    <w:uiPriority w:val="0"/>
    <w:qFormat/>
    <w:pPr>
      <w:ind w:firstLine="200"/>
      <w:spacing w:line="360" w:lineRule="auto"/>
    </w:pPr>
    <w:rPr>
      <w:rFonts w:ascii="宋体" w:hAnsi="宋体"/>
      <w:szCs w:val="28"/>
    </w:rPr>
  </w:style>
  <w:style w:type="paragraph" w:styleId="983" w:customStyle="1">
    <w:name w:val="目录 111"/>
    <w:basedOn w:val="901"/>
    <w:next w:val="901"/>
    <w:uiPriority w:val="39"/>
    <w:qFormat/>
    <w:pPr>
      <w:tabs>
        <w:tab w:val="right" w:pos="9061" w:leader="dot"/>
      </w:tabs>
    </w:pPr>
    <w:rPr>
      <w:rFonts w:ascii="仿宋_GB2312" w:hAnsi="宋体" w:eastAsia="仿宋_GB2312" w:cs="仿宋_GB2312"/>
      <w:color w:val="000000"/>
    </w:rPr>
  </w:style>
  <w:style w:type="character" w:styleId="984" w:customStyle="1">
    <w:name w:val="Heading 1 Char"/>
    <w:uiPriority w:val="9"/>
    <w:qFormat/>
    <w:rPr>
      <w:rFonts w:ascii="Arial" w:hAnsi="Arial" w:eastAsia="Arial" w:cs="Arial"/>
      <w:sz w:val="40"/>
      <w:szCs w:val="40"/>
    </w:rPr>
  </w:style>
  <w:style w:type="character" w:styleId="985" w:customStyle="1">
    <w:name w:val="标题 2 字符"/>
    <w:link w:val="903"/>
    <w:uiPriority w:val="9"/>
    <w:qFormat/>
    <w:rPr>
      <w:rFonts w:ascii="Arial" w:hAnsi="Arial" w:eastAsia="Arial" w:cs="Arial"/>
      <w:sz w:val="34"/>
    </w:rPr>
  </w:style>
  <w:style w:type="character" w:styleId="986" w:customStyle="1">
    <w:name w:val="标题 3 字符"/>
    <w:link w:val="904"/>
    <w:uiPriority w:val="9"/>
    <w:qFormat/>
    <w:rPr>
      <w:rFonts w:ascii="Arial" w:hAnsi="Arial" w:eastAsia="Arial" w:cs="Arial"/>
      <w:sz w:val="30"/>
      <w:szCs w:val="30"/>
    </w:rPr>
  </w:style>
  <w:style w:type="character" w:styleId="987" w:customStyle="1">
    <w:name w:val="标题 4 字符"/>
    <w:link w:val="905"/>
    <w:uiPriority w:val="9"/>
    <w:qFormat/>
    <w:rPr>
      <w:rFonts w:ascii="Arial" w:hAnsi="Arial" w:eastAsia="Arial" w:cs="Arial"/>
      <w:b/>
      <w:bCs/>
      <w:sz w:val="26"/>
      <w:szCs w:val="26"/>
    </w:rPr>
  </w:style>
  <w:style w:type="character" w:styleId="988" w:customStyle="1">
    <w:name w:val="标题 5 字符"/>
    <w:link w:val="906"/>
    <w:uiPriority w:val="9"/>
    <w:qFormat/>
    <w:rPr>
      <w:rFonts w:ascii="Arial" w:hAnsi="Arial" w:eastAsia="Arial" w:cs="Arial"/>
      <w:b/>
      <w:bCs/>
      <w:sz w:val="24"/>
      <w:szCs w:val="24"/>
    </w:rPr>
  </w:style>
  <w:style w:type="character" w:styleId="989" w:customStyle="1">
    <w:name w:val="标题 6 字符"/>
    <w:link w:val="907"/>
    <w:uiPriority w:val="9"/>
    <w:qFormat/>
    <w:rPr>
      <w:rFonts w:ascii="Arial" w:hAnsi="Arial" w:eastAsia="Arial" w:cs="Arial"/>
      <w:b/>
      <w:bCs/>
      <w:sz w:val="22"/>
      <w:szCs w:val="22"/>
    </w:rPr>
  </w:style>
  <w:style w:type="character" w:styleId="990" w:customStyle="1">
    <w:name w:val="标题 7 字符"/>
    <w:link w:val="908"/>
    <w:uiPriority w:val="9"/>
    <w:qFormat/>
    <w:rPr>
      <w:rFonts w:ascii="Arial" w:hAnsi="Arial" w:eastAsia="Arial" w:cs="Arial"/>
      <w:b/>
      <w:bCs/>
      <w:i/>
      <w:iCs/>
      <w:sz w:val="22"/>
      <w:szCs w:val="22"/>
    </w:rPr>
  </w:style>
  <w:style w:type="character" w:styleId="991" w:customStyle="1">
    <w:name w:val="标题 8 字符"/>
    <w:link w:val="909"/>
    <w:uiPriority w:val="9"/>
    <w:qFormat/>
    <w:rPr>
      <w:rFonts w:ascii="Arial" w:hAnsi="Arial" w:eastAsia="Arial" w:cs="Arial"/>
      <w:i/>
      <w:iCs/>
      <w:sz w:val="22"/>
      <w:szCs w:val="22"/>
    </w:rPr>
  </w:style>
  <w:style w:type="character" w:styleId="992" w:customStyle="1">
    <w:name w:val="标题 9 字符"/>
    <w:link w:val="910"/>
    <w:uiPriority w:val="9"/>
    <w:qFormat/>
    <w:rPr>
      <w:rFonts w:ascii="Arial" w:hAnsi="Arial" w:eastAsia="Arial" w:cs="Arial"/>
      <w:i/>
      <w:iCs/>
      <w:sz w:val="21"/>
      <w:szCs w:val="21"/>
    </w:rPr>
  </w:style>
  <w:style w:type="paragraph" w:styleId="993">
    <w:name w:val="List Paragraph"/>
    <w:basedOn w:val="901"/>
    <w:uiPriority w:val="34"/>
    <w:qFormat/>
    <w:pPr>
      <w:contextualSpacing/>
      <w:ind w:left="720"/>
    </w:pPr>
  </w:style>
  <w:style w:type="paragraph" w:styleId="994">
    <w:name w:val="No Spacing"/>
    <w:uiPriority w:val="1"/>
    <w:qFormat/>
    <w:rPr>
      <w:rFonts w:hint="default" w:ascii="Times New Roman" w:hAnsi="Times New Roman" w:eastAsia="宋体" w:cs="Times New Roman"/>
      <w:lang w:val="en-US" w:eastAsia="zh-CN" w:bidi="ar-SA"/>
    </w:rPr>
  </w:style>
  <w:style w:type="character" w:styleId="995" w:customStyle="1">
    <w:name w:val="标题 字符"/>
    <w:link w:val="937"/>
    <w:uiPriority w:val="10"/>
    <w:qFormat/>
    <w:rPr>
      <w:sz w:val="48"/>
      <w:szCs w:val="48"/>
    </w:rPr>
  </w:style>
  <w:style w:type="character" w:styleId="996" w:customStyle="1">
    <w:name w:val="副标题 字符1"/>
    <w:link w:val="931"/>
    <w:uiPriority w:val="11"/>
    <w:qFormat/>
    <w:rPr>
      <w:sz w:val="24"/>
      <w:szCs w:val="24"/>
    </w:rPr>
  </w:style>
  <w:style w:type="paragraph" w:styleId="997">
    <w:name w:val="Quote"/>
    <w:basedOn w:val="901"/>
    <w:next w:val="901"/>
    <w:link w:val="998"/>
    <w:uiPriority w:val="29"/>
    <w:qFormat/>
    <w:pPr>
      <w:ind w:left="720" w:right="720"/>
    </w:pPr>
    <w:rPr>
      <w:i/>
    </w:rPr>
  </w:style>
  <w:style w:type="character" w:styleId="998" w:customStyle="1">
    <w:name w:val="引用 字符"/>
    <w:link w:val="997"/>
    <w:uiPriority w:val="29"/>
    <w:qFormat/>
    <w:rPr>
      <w:i/>
    </w:rPr>
  </w:style>
  <w:style w:type="paragraph" w:styleId="999">
    <w:name w:val="Intense Quote"/>
    <w:basedOn w:val="901"/>
    <w:next w:val="901"/>
    <w:link w:val="10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customStyle="1">
    <w:name w:val="明显引用 字符"/>
    <w:link w:val="999"/>
    <w:uiPriority w:val="30"/>
    <w:qFormat/>
    <w:rPr>
      <w:i/>
    </w:rPr>
  </w:style>
  <w:style w:type="character" w:styleId="1001" w:customStyle="1">
    <w:name w:val="页眉 字符1"/>
    <w:link w:val="928"/>
    <w:uiPriority w:val="99"/>
    <w:qFormat/>
  </w:style>
  <w:style w:type="character" w:styleId="1002" w:customStyle="1">
    <w:name w:val="Footer Char"/>
    <w:uiPriority w:val="99"/>
    <w:qFormat/>
  </w:style>
  <w:style w:type="character" w:styleId="1003" w:customStyle="1">
    <w:name w:val="页脚 字符1"/>
    <w:link w:val="926"/>
    <w:uiPriority w:val="99"/>
    <w:qFormat/>
  </w:style>
  <w:style w:type="table" w:styleId="10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9" w:customStyle="1">
    <w:name w:val="脚注文本 字符"/>
    <w:link w:val="932"/>
    <w:uiPriority w:val="99"/>
    <w:qFormat/>
    <w:rPr>
      <w:sz w:val="18"/>
    </w:rPr>
  </w:style>
  <w:style w:type="character" w:styleId="1130" w:customStyle="1">
    <w:name w:val="尾注文本 字符"/>
    <w:link w:val="925"/>
    <w:uiPriority w:val="99"/>
    <w:qFormat/>
    <w:rPr>
      <w:sz w:val="20"/>
    </w:rPr>
  </w:style>
  <w:style w:type="paragraph" w:styleId="1131" w:customStyle="1">
    <w:name w:val="TOC 标题1"/>
    <w:uiPriority w:val="39"/>
    <w:unhideWhenUsed/>
    <w:qFormat/>
    <w:rPr>
      <w:rFonts w:hint="default" w:ascii="Times New Roman" w:hAnsi="Times New Roman" w:eastAsia="宋体" w:cs="Times New Roman"/>
      <w:lang w:val="en-US" w:eastAsia="zh-CN" w:bidi="ar-SA"/>
    </w:rPr>
  </w:style>
  <w:style w:type="paragraph" w:styleId="1132" w:customStyle="1">
    <w:name w:val="标题 11"/>
    <w:basedOn w:val="901"/>
    <w:next w:val="901"/>
    <w:uiPriority w:val="0"/>
    <w:qFormat/>
    <w:pPr>
      <w:jc w:val="center"/>
      <w:keepLines/>
      <w:keepNext/>
      <w:spacing w:before="240" w:after="120" w:line="300" w:lineRule="auto"/>
      <w:outlineLvl w:val="0"/>
    </w:pPr>
    <w:rPr>
      <w:rFonts w:ascii="宋体" w:cs="宋体"/>
      <w:b/>
      <w:bCs/>
      <w:sz w:val="32"/>
      <w:szCs w:val="32"/>
    </w:rPr>
  </w:style>
  <w:style w:type="paragraph" w:styleId="1133" w:customStyle="1">
    <w:name w:val="标题 211"/>
    <w:basedOn w:val="901"/>
    <w:next w:val="901"/>
    <w:uiPriority w:val="0"/>
    <w:qFormat/>
    <w:pPr>
      <w:jc w:val="center"/>
      <w:keepLines/>
      <w:keepNext/>
      <w:spacing w:before="120" w:line="300" w:lineRule="auto"/>
      <w:outlineLvl w:val="1"/>
    </w:pPr>
    <w:rPr>
      <w:rFonts w:ascii="Arial" w:hAnsi="Arial" w:eastAsia="黑体" w:cs="Arial"/>
      <w:b/>
      <w:bCs/>
      <w:sz w:val="30"/>
      <w:szCs w:val="30"/>
    </w:rPr>
  </w:style>
  <w:style w:type="paragraph" w:styleId="1134" w:customStyle="1">
    <w:name w:val="标题 31"/>
    <w:basedOn w:val="901"/>
    <w:next w:val="901"/>
    <w:uiPriority w:val="0"/>
    <w:qFormat/>
    <w:pPr>
      <w:jc w:val="left"/>
      <w:keepLines/>
      <w:keepNext/>
      <w:spacing w:before="360" w:after="120"/>
      <w:outlineLvl w:val="2"/>
    </w:pPr>
    <w:rPr>
      <w:rFonts w:ascii="宋体" w:cs="宋体"/>
      <w:b/>
      <w:bCs/>
      <w:sz w:val="24"/>
      <w:szCs w:val="24"/>
      <w:u w:val="single"/>
    </w:rPr>
  </w:style>
  <w:style w:type="paragraph" w:styleId="1135" w:customStyle="1">
    <w:name w:val="标题 41"/>
    <w:basedOn w:val="901"/>
    <w:next w:val="901"/>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36" w:customStyle="1">
    <w:name w:val="标题 61"/>
    <w:basedOn w:val="901"/>
    <w:next w:val="901"/>
    <w:uiPriority w:val="0"/>
    <w:qFormat/>
    <w:pPr>
      <w:keepLines/>
      <w:keepNext/>
      <w:spacing w:before="240" w:after="64" w:line="320" w:lineRule="auto"/>
      <w:outlineLvl w:val="5"/>
    </w:pPr>
    <w:rPr>
      <w:rFonts w:ascii="Arial" w:hAnsi="Arial" w:eastAsia="黑体" w:cs="Arial"/>
      <w:b/>
      <w:bCs/>
      <w:sz w:val="24"/>
      <w:szCs w:val="24"/>
    </w:rPr>
  </w:style>
  <w:style w:type="paragraph" w:styleId="1137" w:customStyle="1">
    <w:name w:val="标题 71"/>
    <w:basedOn w:val="901"/>
    <w:next w:val="901"/>
    <w:uiPriority w:val="0"/>
    <w:qFormat/>
    <w:pPr>
      <w:keepLines/>
      <w:keepNext/>
      <w:spacing w:before="240" w:after="64" w:line="320" w:lineRule="auto"/>
      <w:outlineLvl w:val="6"/>
    </w:pPr>
    <w:rPr>
      <w:b/>
      <w:bCs/>
      <w:sz w:val="24"/>
      <w:szCs w:val="24"/>
    </w:rPr>
  </w:style>
  <w:style w:type="paragraph" w:styleId="1138" w:customStyle="1">
    <w:name w:val="标题 81"/>
    <w:basedOn w:val="901"/>
    <w:next w:val="901"/>
    <w:uiPriority w:val="0"/>
    <w:qFormat/>
    <w:pPr>
      <w:keepLines/>
      <w:keepNext/>
      <w:spacing w:before="240" w:after="64" w:line="320" w:lineRule="auto"/>
      <w:outlineLvl w:val="7"/>
    </w:pPr>
    <w:rPr>
      <w:rFonts w:ascii="Arial" w:hAnsi="Arial" w:eastAsia="黑体" w:cs="Arial"/>
      <w:sz w:val="24"/>
      <w:szCs w:val="24"/>
    </w:rPr>
  </w:style>
  <w:style w:type="paragraph" w:styleId="1139" w:customStyle="1">
    <w:name w:val="标题 91"/>
    <w:basedOn w:val="901"/>
    <w:next w:val="901"/>
    <w:uiPriority w:val="0"/>
    <w:qFormat/>
    <w:pPr>
      <w:keepLines/>
      <w:keepNext/>
      <w:spacing w:before="240" w:after="64" w:line="320" w:lineRule="auto"/>
      <w:outlineLvl w:val="8"/>
    </w:pPr>
    <w:rPr>
      <w:rFonts w:ascii="Arial" w:hAnsi="Arial" w:eastAsia="黑体" w:cs="Arial"/>
    </w:rPr>
  </w:style>
  <w:style w:type="character" w:styleId="1140" w:customStyle="1">
    <w:name w:val="默认段落字体1"/>
    <w:uiPriority w:val="0"/>
    <w:semiHidden/>
    <w:qFormat/>
  </w:style>
  <w:style w:type="table" w:styleId="1141"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42" w:customStyle="1">
    <w:name w:val="标题 1 字符"/>
    <w:link w:val="902"/>
    <w:uiPriority w:val="0"/>
    <w:qFormat/>
    <w:rPr>
      <w:rFonts w:ascii="宋体" w:cs="宋体"/>
      <w:b/>
      <w:bCs/>
      <w:sz w:val="32"/>
      <w:szCs w:val="32"/>
    </w:rPr>
  </w:style>
  <w:style w:type="paragraph" w:styleId="1143" w:customStyle="1">
    <w:name w:val="目录 71"/>
    <w:basedOn w:val="901"/>
    <w:next w:val="901"/>
    <w:uiPriority w:val="39"/>
    <w:qFormat/>
    <w:pPr>
      <w:ind w:left="2520"/>
    </w:pPr>
  </w:style>
  <w:style w:type="paragraph" w:styleId="1144" w:customStyle="1">
    <w:name w:val="注释标题1"/>
    <w:basedOn w:val="901"/>
    <w:next w:val="901"/>
    <w:uiPriority w:val="0"/>
    <w:qFormat/>
    <w:rPr>
      <w:rFonts w:ascii="Verdana" w:hAnsi="Verdana"/>
      <w:szCs w:val="20"/>
    </w:rPr>
  </w:style>
  <w:style w:type="paragraph" w:styleId="1145" w:customStyle="1">
    <w:name w:val="正文缩进1"/>
    <w:basedOn w:val="901"/>
    <w:link w:val="1146"/>
    <w:uiPriority w:val="0"/>
    <w:qFormat/>
    <w:pPr>
      <w:ind w:firstLine="420"/>
      <w:jc w:val="left"/>
    </w:pPr>
    <w:rPr>
      <w:rFonts w:ascii="宋体"/>
      <w:sz w:val="24"/>
      <w:szCs w:val="24"/>
    </w:rPr>
  </w:style>
  <w:style w:type="character" w:styleId="1146" w:customStyle="1">
    <w:name w:val="正文缩进 字符"/>
    <w:link w:val="1145"/>
    <w:uiPriority w:val="0"/>
    <w:qFormat/>
    <w:rPr>
      <w:rFonts w:ascii="宋体" w:cs="宋体"/>
      <w:sz w:val="24"/>
      <w:szCs w:val="24"/>
    </w:rPr>
  </w:style>
  <w:style w:type="paragraph" w:styleId="1147" w:customStyle="1">
    <w:name w:val="引文目录标题1"/>
    <w:basedOn w:val="901"/>
    <w:next w:val="901"/>
    <w:uiPriority w:val="0"/>
    <w:qFormat/>
    <w:pPr>
      <w:spacing w:before="120"/>
    </w:pPr>
    <w:rPr>
      <w:rFonts w:ascii="Arial" w:hAnsi="Arial"/>
      <w:sz w:val="24"/>
    </w:rPr>
  </w:style>
  <w:style w:type="paragraph" w:styleId="1148" w:customStyle="1">
    <w:name w:val="批注文字1"/>
    <w:basedOn w:val="901"/>
    <w:uiPriority w:val="0"/>
    <w:semiHidden/>
    <w:qFormat/>
    <w:pPr>
      <w:jc w:val="left"/>
    </w:pPr>
  </w:style>
  <w:style w:type="paragraph" w:styleId="1149" w:customStyle="1">
    <w:name w:val="正文文本1"/>
    <w:basedOn w:val="901"/>
    <w:link w:val="1150"/>
    <w:uiPriority w:val="0"/>
    <w:qFormat/>
    <w:pPr>
      <w:spacing w:before="120" w:line="22" w:lineRule="atLeast"/>
      <w:tabs>
        <w:tab w:val="left" w:pos="567" w:leader="none"/>
      </w:tabs>
    </w:pPr>
    <w:rPr>
      <w:rFonts w:ascii="宋体" w:hAnsi="宋体" w:cs="宋体"/>
      <w:sz w:val="24"/>
      <w:szCs w:val="24"/>
    </w:rPr>
  </w:style>
  <w:style w:type="character" w:styleId="1150" w:customStyle="1">
    <w:name w:val="正文文本 字符"/>
    <w:link w:val="1149"/>
    <w:uiPriority w:val="0"/>
    <w:qFormat/>
    <w:rPr>
      <w:sz w:val="21"/>
      <w:szCs w:val="24"/>
    </w:rPr>
  </w:style>
  <w:style w:type="paragraph" w:styleId="1151" w:customStyle="1">
    <w:name w:val="正文文本缩进1"/>
    <w:basedOn w:val="901"/>
    <w:link w:val="1153"/>
    <w:uiPriority w:val="0"/>
    <w:qFormat/>
    <w:pPr>
      <w:ind w:left="420"/>
      <w:spacing w:after="120"/>
    </w:pPr>
  </w:style>
  <w:style w:type="paragraph" w:styleId="1152" w:customStyle="1">
    <w:name w:val="寄信人地址1"/>
    <w:basedOn w:val="901"/>
    <w:uiPriority w:val="99"/>
    <w:unhideWhenUsed/>
    <w:qFormat/>
    <w:rPr>
      <w:rFonts w:ascii="Arial" w:hAnsi="Arial"/>
    </w:rPr>
  </w:style>
  <w:style w:type="character" w:styleId="1153" w:customStyle="1">
    <w:name w:val="正文文本缩进 字符"/>
    <w:link w:val="1151"/>
    <w:uiPriority w:val="0"/>
    <w:qFormat/>
    <w:rPr>
      <w:sz w:val="21"/>
      <w:szCs w:val="21"/>
    </w:rPr>
  </w:style>
  <w:style w:type="paragraph" w:styleId="1154" w:customStyle="1">
    <w:name w:val="文本块1"/>
    <w:basedOn w:val="901"/>
    <w:uiPriority w:val="0"/>
    <w:qFormat/>
    <w:pPr>
      <w:ind w:left="1440" w:right="1440"/>
      <w:spacing w:after="120"/>
    </w:pPr>
  </w:style>
  <w:style w:type="paragraph" w:styleId="1155" w:customStyle="1">
    <w:name w:val="索引 41"/>
    <w:basedOn w:val="901"/>
    <w:next w:val="901"/>
    <w:uiPriority w:val="99"/>
    <w:unhideWhenUsed/>
    <w:qFormat/>
    <w:pPr>
      <w:ind w:left="600"/>
    </w:pPr>
  </w:style>
  <w:style w:type="paragraph" w:styleId="1156" w:customStyle="1">
    <w:name w:val="目录 51"/>
    <w:basedOn w:val="901"/>
    <w:next w:val="901"/>
    <w:uiPriority w:val="39"/>
    <w:qFormat/>
    <w:pPr>
      <w:ind w:left="1680"/>
    </w:pPr>
  </w:style>
  <w:style w:type="paragraph" w:styleId="1157" w:customStyle="1">
    <w:name w:val="目录 31"/>
    <w:basedOn w:val="901"/>
    <w:next w:val="901"/>
    <w:uiPriority w:val="39"/>
    <w:qFormat/>
    <w:pPr>
      <w:ind w:left="840"/>
    </w:pPr>
  </w:style>
  <w:style w:type="paragraph" w:styleId="1158" w:customStyle="1">
    <w:name w:val="纯文本1"/>
    <w:basedOn w:val="901"/>
    <w:next w:val="901"/>
    <w:link w:val="1159"/>
    <w:uiPriority w:val="0"/>
    <w:qFormat/>
    <w:rPr>
      <w:rFonts w:ascii="宋体" w:hAnsi="Courier New"/>
    </w:rPr>
  </w:style>
  <w:style w:type="character" w:styleId="1159" w:customStyle="1">
    <w:name w:val="纯文本 字符"/>
    <w:link w:val="1158"/>
    <w:uiPriority w:val="0"/>
    <w:qFormat/>
    <w:rPr>
      <w:rFonts w:ascii="宋体" w:hAnsi="Courier New" w:cs="宋体"/>
      <w:sz w:val="21"/>
      <w:szCs w:val="21"/>
    </w:rPr>
  </w:style>
  <w:style w:type="paragraph" w:styleId="1160" w:customStyle="1">
    <w:name w:val="目录 81"/>
    <w:basedOn w:val="901"/>
    <w:next w:val="901"/>
    <w:uiPriority w:val="39"/>
    <w:qFormat/>
    <w:pPr>
      <w:ind w:left="2940"/>
    </w:pPr>
  </w:style>
  <w:style w:type="paragraph" w:styleId="1161" w:customStyle="1">
    <w:name w:val="日期1"/>
    <w:basedOn w:val="901"/>
    <w:next w:val="901"/>
    <w:uiPriority w:val="0"/>
    <w:qFormat/>
  </w:style>
  <w:style w:type="paragraph" w:styleId="1162" w:customStyle="1">
    <w:name w:val="正文文本缩进 21"/>
    <w:basedOn w:val="901"/>
    <w:uiPriority w:val="0"/>
    <w:qFormat/>
    <w:pPr>
      <w:ind w:firstLine="480"/>
    </w:pPr>
    <w:rPr>
      <w:rFonts w:ascii="仿宋_GB2312" w:eastAsia="仿宋_GB2312" w:cs="仿宋_GB2312"/>
      <w:sz w:val="24"/>
      <w:szCs w:val="24"/>
    </w:rPr>
  </w:style>
  <w:style w:type="paragraph" w:styleId="1163" w:customStyle="1">
    <w:name w:val="批注框文本1"/>
    <w:basedOn w:val="901"/>
    <w:uiPriority w:val="0"/>
    <w:semiHidden/>
    <w:qFormat/>
    <w:rPr>
      <w:sz w:val="18"/>
      <w:szCs w:val="18"/>
    </w:rPr>
  </w:style>
  <w:style w:type="paragraph" w:styleId="1164" w:customStyle="1">
    <w:name w:val="页脚1"/>
    <w:basedOn w:val="901"/>
    <w:link w:val="1165"/>
    <w:uiPriority w:val="99"/>
    <w:qFormat/>
    <w:pPr>
      <w:jc w:val="left"/>
      <w:tabs>
        <w:tab w:val="center" w:pos="4153" w:leader="none"/>
        <w:tab w:val="right" w:pos="8306" w:leader="none"/>
      </w:tabs>
    </w:pPr>
    <w:rPr>
      <w:rFonts w:ascii="宋体"/>
      <w:sz w:val="18"/>
      <w:szCs w:val="18"/>
    </w:rPr>
  </w:style>
  <w:style w:type="character" w:styleId="1165" w:customStyle="1">
    <w:name w:val="页脚 字符"/>
    <w:link w:val="1164"/>
    <w:uiPriority w:val="99"/>
    <w:qFormat/>
    <w:rPr>
      <w:rFonts w:ascii="宋体" w:cs="宋体"/>
      <w:sz w:val="18"/>
      <w:szCs w:val="18"/>
    </w:rPr>
  </w:style>
  <w:style w:type="paragraph" w:styleId="1166" w:customStyle="1">
    <w:name w:val="页眉1"/>
    <w:basedOn w:val="901"/>
    <w:link w:val="1167"/>
    <w:uiPriority w:val="0"/>
    <w:qFormat/>
    <w:pPr>
      <w:jc w:val="center"/>
      <w:tabs>
        <w:tab w:val="center" w:pos="4153" w:leader="none"/>
        <w:tab w:val="right" w:pos="8306" w:leader="none"/>
      </w:tabs>
      <w:pBdr>
        <w:bottom w:val="single" w:color="000000" w:sz="6" w:space="1"/>
      </w:pBdr>
    </w:pPr>
    <w:rPr>
      <w:sz w:val="18"/>
      <w:szCs w:val="18"/>
    </w:rPr>
  </w:style>
  <w:style w:type="character" w:styleId="1167" w:customStyle="1">
    <w:name w:val="页眉 字符"/>
    <w:link w:val="1166"/>
    <w:uiPriority w:val="0"/>
    <w:qFormat/>
    <w:rPr>
      <w:sz w:val="18"/>
      <w:szCs w:val="18"/>
    </w:rPr>
  </w:style>
  <w:style w:type="paragraph" w:styleId="1168" w:customStyle="1">
    <w:name w:val="目录 41"/>
    <w:basedOn w:val="901"/>
    <w:next w:val="901"/>
    <w:uiPriority w:val="39"/>
    <w:qFormat/>
    <w:pPr>
      <w:ind w:left="1260"/>
    </w:pPr>
  </w:style>
  <w:style w:type="paragraph" w:styleId="1169" w:customStyle="1">
    <w:name w:val="副标题1"/>
    <w:basedOn w:val="901"/>
    <w:next w:val="901"/>
    <w:link w:val="1170"/>
    <w:uiPriority w:val="0"/>
    <w:qFormat/>
    <w:pPr>
      <w:jc w:val="center"/>
      <w:spacing w:before="240" w:after="60" w:line="312" w:lineRule="auto"/>
      <w:outlineLvl w:val="1"/>
    </w:pPr>
    <w:rPr>
      <w:rFonts w:ascii="Cambria" w:hAnsi="Cambria"/>
      <w:b/>
      <w:bCs/>
      <w:sz w:val="32"/>
      <w:szCs w:val="32"/>
    </w:rPr>
  </w:style>
  <w:style w:type="character" w:styleId="1170" w:customStyle="1">
    <w:name w:val="副标题 字符"/>
    <w:link w:val="1169"/>
    <w:uiPriority w:val="0"/>
    <w:qFormat/>
    <w:rPr>
      <w:rFonts w:ascii="Cambria" w:hAnsi="Cambria" w:cs="Times New Roman"/>
      <w:b/>
      <w:bCs/>
      <w:sz w:val="32"/>
      <w:szCs w:val="32"/>
    </w:rPr>
  </w:style>
  <w:style w:type="paragraph" w:styleId="1171" w:customStyle="1">
    <w:name w:val="目录 61"/>
    <w:basedOn w:val="901"/>
    <w:next w:val="901"/>
    <w:uiPriority w:val="39"/>
    <w:qFormat/>
    <w:pPr>
      <w:ind w:left="2100"/>
    </w:pPr>
  </w:style>
  <w:style w:type="paragraph" w:styleId="1172" w:customStyle="1">
    <w:name w:val="正文文本缩进 31"/>
    <w:basedOn w:val="901"/>
    <w:uiPriority w:val="0"/>
    <w:qFormat/>
    <w:pPr>
      <w:ind w:left="720" w:firstLine="480"/>
      <w:jc w:val="left"/>
      <w:spacing w:before="120" w:line="22" w:lineRule="atLeast"/>
    </w:pPr>
    <w:rPr>
      <w:rFonts w:ascii="宋体" w:cs="宋体"/>
      <w:sz w:val="24"/>
      <w:szCs w:val="24"/>
    </w:rPr>
  </w:style>
  <w:style w:type="paragraph" w:styleId="1173" w:customStyle="1">
    <w:name w:val="目录 21"/>
    <w:basedOn w:val="901"/>
    <w:next w:val="901"/>
    <w:uiPriority w:val="39"/>
    <w:qFormat/>
    <w:pPr>
      <w:spacing w:before="120" w:line="360" w:lineRule="auto"/>
    </w:pPr>
    <w:rPr>
      <w:rFonts w:ascii="仿宋_GB2312" w:hAnsi="宋体" w:eastAsia="仿宋_GB2312" w:cs="仿宋_GB2312"/>
      <w:b/>
      <w:bCs/>
      <w:sz w:val="24"/>
      <w:szCs w:val="24"/>
    </w:rPr>
  </w:style>
  <w:style w:type="paragraph" w:styleId="1174" w:customStyle="1">
    <w:name w:val="目录 91"/>
    <w:basedOn w:val="901"/>
    <w:next w:val="901"/>
    <w:uiPriority w:val="39"/>
    <w:qFormat/>
    <w:pPr>
      <w:ind w:left="3360"/>
    </w:pPr>
  </w:style>
  <w:style w:type="paragraph" w:styleId="1175" w:customStyle="1">
    <w:name w:val="正文文本 211"/>
    <w:basedOn w:val="901"/>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76" w:customStyle="1">
    <w:name w:val="HTML 预设格式1"/>
    <w:basedOn w:val="9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77" w:customStyle="1">
    <w:name w:val="普通(网站)11"/>
    <w:basedOn w:val="901"/>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78" w:customStyle="1">
    <w:name w:val="索引 11"/>
    <w:basedOn w:val="901"/>
    <w:next w:val="901"/>
    <w:uiPriority w:val="0"/>
    <w:semiHidden/>
    <w:qFormat/>
  </w:style>
  <w:style w:type="paragraph" w:styleId="1179" w:customStyle="1">
    <w:name w:val="标题11"/>
    <w:basedOn w:val="901"/>
    <w:next w:val="901"/>
    <w:uiPriority w:val="0"/>
    <w:qFormat/>
    <w:pPr>
      <w:jc w:val="center"/>
      <w:spacing w:before="240" w:after="60"/>
      <w:outlineLvl w:val="0"/>
    </w:pPr>
    <w:rPr>
      <w:rFonts w:ascii="Arial" w:hAnsi="Arial" w:cs="Arial"/>
      <w:b/>
      <w:bCs/>
      <w:sz w:val="32"/>
      <w:szCs w:val="32"/>
    </w:rPr>
  </w:style>
  <w:style w:type="paragraph" w:styleId="1180" w:customStyle="1">
    <w:name w:val="正文首行缩进1"/>
    <w:basedOn w:val="1149"/>
    <w:next w:val="901"/>
    <w:uiPriority w:val="99"/>
    <w:qFormat/>
    <w:pPr>
      <w:ind w:firstLine="420"/>
    </w:pPr>
    <w:rPr>
      <w:szCs w:val="20"/>
    </w:rPr>
  </w:style>
  <w:style w:type="paragraph" w:styleId="1181" w:customStyle="1">
    <w:name w:val="正文首行缩进 21"/>
    <w:basedOn w:val="1151"/>
    <w:next w:val="901"/>
    <w:uiPriority w:val="6"/>
    <w:qFormat/>
    <w:pPr>
      <w:ind w:firstLine="420"/>
    </w:pPr>
  </w:style>
  <w:style w:type="table" w:styleId="1182" w:customStyle="1">
    <w:name w:val="网格型1"/>
    <w:basedOn w:val="1141"/>
    <w:uiPriority w:val="0"/>
    <w:qFormat/>
    <w:tblPr>
      <w:tblCellMar>
        <w:left w:w="0" w:type="dxa"/>
        <w:top w:w="0" w:type="dxa"/>
        <w:right w:w="0" w:type="dxa"/>
        <w:bottom w:w="0" w:type="dxa"/>
      </w:tblCellMar>
    </w:tblPr>
  </w:style>
  <w:style w:type="character" w:styleId="1183" w:customStyle="1">
    <w:name w:val="要点1"/>
    <w:uiPriority w:val="0"/>
    <w:qFormat/>
    <w:rPr>
      <w:b/>
      <w:bCs/>
    </w:rPr>
  </w:style>
  <w:style w:type="character" w:styleId="1184" w:customStyle="1">
    <w:name w:val="页码1"/>
    <w:uiPriority w:val="0"/>
    <w:qFormat/>
  </w:style>
  <w:style w:type="character" w:styleId="1185" w:customStyle="1">
    <w:name w:val="已访问的超链接1"/>
    <w:uiPriority w:val="0"/>
    <w:qFormat/>
    <w:rPr>
      <w:color w:val="333333"/>
      <w:u w:val="none"/>
    </w:rPr>
  </w:style>
  <w:style w:type="character" w:styleId="1186" w:customStyle="1">
    <w:name w:val="强调1"/>
    <w:uiPriority w:val="0"/>
    <w:qFormat/>
  </w:style>
  <w:style w:type="character" w:styleId="1187" w:customStyle="1">
    <w:name w:val="超链接1"/>
    <w:basedOn w:val="1140"/>
    <w:uiPriority w:val="99"/>
    <w:qFormat/>
    <w:rPr>
      <w:color w:val="333333"/>
      <w:u w:val="none"/>
    </w:rPr>
  </w:style>
  <w:style w:type="character" w:styleId="1188" w:customStyle="1">
    <w:name w:val="批注引用1"/>
    <w:uiPriority w:val="0"/>
    <w:semiHidden/>
    <w:qFormat/>
    <w:rPr>
      <w:sz w:val="21"/>
      <w:szCs w:val="21"/>
    </w:rPr>
  </w:style>
  <w:style w:type="paragraph" w:styleId="1189" w:customStyle="1">
    <w:name w:val="标题 21"/>
    <w:basedOn w:val="901"/>
    <w:next w:val="901"/>
    <w:uiPriority w:val="0"/>
    <w:qFormat/>
    <w:pPr>
      <w:keepLines/>
      <w:keepNext/>
      <w:spacing w:before="260" w:after="260" w:line="416" w:lineRule="auto"/>
      <w:outlineLvl w:val="1"/>
    </w:pPr>
    <w:rPr>
      <w:rFonts w:ascii="Arial" w:hAnsi="Arial" w:eastAsia="黑体"/>
      <w:b/>
      <w:bCs/>
      <w:sz w:val="32"/>
      <w:szCs w:val="32"/>
    </w:rPr>
  </w:style>
  <w:style w:type="paragraph" w:styleId="1190"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191" w:customStyle="1">
    <w:name w:val="标题二、"/>
    <w:basedOn w:val="901"/>
    <w:uiPriority w:val="99"/>
    <w:qFormat/>
    <w:pPr>
      <w:ind w:firstLine="200"/>
      <w:spacing w:line="360" w:lineRule="auto"/>
      <w:outlineLvl w:val="2"/>
    </w:pPr>
    <w:rPr>
      <w:rFonts w:ascii="宋体" w:hAnsi="宋体"/>
      <w:b/>
    </w:rPr>
  </w:style>
  <w:style w:type="paragraph" w:styleId="1192" w:customStyle="1">
    <w:name w:val="Style1"/>
    <w:basedOn w:val="901"/>
    <w:uiPriority w:val="0"/>
    <w:qFormat/>
    <w:pPr>
      <w:spacing w:after="120"/>
      <w:widowControl/>
      <w:tabs>
        <w:tab w:val="left" w:pos="-720" w:leader="none"/>
      </w:tabs>
    </w:pPr>
    <w:rPr>
      <w:spacing w:val="-3"/>
      <w:sz w:val="24"/>
      <w:szCs w:val="20"/>
      <w:lang w:val="en-AU" w:eastAsia="en-US"/>
    </w:rPr>
  </w:style>
  <w:style w:type="paragraph" w:styleId="1193" w:customStyle="1">
    <w:name w:val="Char Char Char Char Char Char Char Char Char"/>
    <w:basedOn w:val="901"/>
    <w:next w:val="1194"/>
    <w:uiPriority w:val="0"/>
    <w:qFormat/>
    <w:pPr>
      <w:ind w:left="360" w:firstLine="5784"/>
    </w:pPr>
  </w:style>
  <w:style w:type="paragraph" w:styleId="1194" w:customStyle="1">
    <w:name w:val="正文文本 21"/>
    <w:basedOn w:val="901"/>
    <w:next w:val="1195"/>
    <w:uiPriority w:val="0"/>
    <w:qFormat/>
    <w:pPr>
      <w:ind w:left="720" w:firstLine="5680"/>
      <w:widowControl/>
    </w:pPr>
  </w:style>
  <w:style w:type="paragraph" w:styleId="1195" w:customStyle="1">
    <w:name w:val="默认段落字体 Para Char Char Char Char Char Char Char"/>
    <w:basedOn w:val="901"/>
    <w:next w:val="1196"/>
    <w:uiPriority w:val="0"/>
    <w:qFormat/>
    <w:pPr>
      <w:ind w:firstLine="200"/>
    </w:pPr>
    <w:rPr>
      <w:rFonts w:cs="Arial"/>
    </w:rPr>
  </w:style>
  <w:style w:type="paragraph" w:styleId="1196" w:customStyle="1">
    <w:name w:val="样式 首行缩进:  2 字符"/>
    <w:basedOn w:val="901"/>
    <w:next w:val="1197"/>
    <w:uiPriority w:val="0"/>
    <w:qFormat/>
    <w:pPr>
      <w:ind w:left="480" w:firstLine="5856"/>
      <w:spacing w:line="360" w:lineRule="auto"/>
    </w:pPr>
  </w:style>
  <w:style w:type="paragraph" w:styleId="1197" w:customStyle="1">
    <w:name w:val="样式 段后: 0.25 行"/>
    <w:basedOn w:val="901"/>
    <w:next w:val="1198"/>
    <w:uiPriority w:val="0"/>
    <w:qFormat/>
    <w:pPr>
      <w:ind w:left="420" w:firstLine="5796"/>
      <w:spacing w:line="300" w:lineRule="auto"/>
      <w:widowControl/>
    </w:pPr>
  </w:style>
  <w:style w:type="paragraph" w:styleId="1198" w:customStyle="1">
    <w:name w:val="正文 New New New New New New New New New New New New New New"/>
    <w:next w:val="1174"/>
    <w:uiPriority w:val="0"/>
    <w:qFormat/>
    <w:pPr>
      <w:ind w:firstLine="2048"/>
      <w:jc w:val="both"/>
      <w:widowControl w:val="off"/>
    </w:pPr>
    <w:rPr>
      <w:rFonts w:hint="default" w:ascii="Calibri" w:hAnsi="Calibri" w:eastAsia="宋体" w:cs="Times New Roman"/>
      <w:lang w:val="en-US" w:eastAsia="zh-CN" w:bidi="ar-SA"/>
    </w:rPr>
  </w:style>
  <w:style w:type="character" w:styleId="1199" w:customStyle="1">
    <w:name w:val="font51"/>
    <w:uiPriority w:val="0"/>
    <w:qFormat/>
    <w:rPr>
      <w:rFonts w:hint="eastAsia" w:ascii="宋体" w:hAnsi="宋体" w:eastAsia="宋体" w:cs="宋体"/>
      <w:color w:val="000000"/>
      <w:sz w:val="20"/>
      <w:szCs w:val="20"/>
      <w:u w:val="none"/>
    </w:rPr>
  </w:style>
  <w:style w:type="character" w:styleId="1200" w:customStyle="1">
    <w:name w:val="current"/>
    <w:uiPriority w:val="0"/>
    <w:qFormat/>
    <w:rPr>
      <w:b/>
      <w:color w:val="99210b"/>
    </w:rPr>
  </w:style>
  <w:style w:type="character" w:styleId="1201" w:customStyle="1">
    <w:name w:val="hr6"/>
    <w:uiPriority w:val="0"/>
    <w:qFormat/>
  </w:style>
  <w:style w:type="character" w:styleId="1202" w:customStyle="1">
    <w:name w:val="Char"/>
    <w:uiPriority w:val="0"/>
    <w:qFormat/>
    <w:rPr>
      <w:rFonts w:ascii="宋体" w:hAnsi="Courier New" w:eastAsia="宋体" w:cs="宋体"/>
      <w:sz w:val="21"/>
      <w:szCs w:val="21"/>
      <w:lang w:val="en-US" w:eastAsia="zh-CN"/>
    </w:rPr>
  </w:style>
  <w:style w:type="character" w:styleId="1203" w:customStyle="1">
    <w:name w:val="font21"/>
    <w:uiPriority w:val="0"/>
    <w:qFormat/>
    <w:rPr>
      <w:rFonts w:hint="eastAsia" w:ascii="宋体" w:hAnsi="宋体" w:eastAsia="宋体" w:cs="宋体"/>
      <w:color w:val="000000"/>
      <w:sz w:val="21"/>
      <w:szCs w:val="21"/>
      <w:u w:val="none"/>
    </w:rPr>
  </w:style>
  <w:style w:type="character" w:styleId="1204" w:customStyle="1">
    <w:name w:val="font11"/>
    <w:uiPriority w:val="0"/>
    <w:qFormat/>
    <w:rPr>
      <w:rFonts w:hint="eastAsia" w:ascii="楷体" w:hAnsi="楷体" w:eastAsia="楷体" w:cs="楷体"/>
      <w:color w:val="000000"/>
      <w:sz w:val="24"/>
      <w:szCs w:val="24"/>
      <w:u w:val="none"/>
    </w:rPr>
  </w:style>
  <w:style w:type="character" w:styleId="1205" w:customStyle="1">
    <w:name w:val="bz"/>
    <w:uiPriority w:val="0"/>
    <w:qFormat/>
  </w:style>
  <w:style w:type="character" w:styleId="1206" w:customStyle="1">
    <w:name w:val="font41"/>
    <w:uiPriority w:val="0"/>
    <w:qFormat/>
    <w:rPr>
      <w:rFonts w:ascii="楷体_GB2312" w:eastAsia="楷体_GB2312" w:cs="楷体_GB2312"/>
      <w:color w:val="000000"/>
      <w:sz w:val="24"/>
      <w:szCs w:val="24"/>
      <w:u w:val="none"/>
    </w:rPr>
  </w:style>
  <w:style w:type="paragraph" w:styleId="1207" w:customStyle="1">
    <w:name w:val="表格"/>
    <w:basedOn w:val="901"/>
    <w:uiPriority w:val="0"/>
    <w:qFormat/>
    <w:pPr>
      <w:spacing w:line="400" w:lineRule="exact"/>
    </w:pPr>
    <w:rPr>
      <w:sz w:val="24"/>
      <w:szCs w:val="24"/>
    </w:rPr>
  </w:style>
  <w:style w:type="paragraph" w:styleId="1208" w:customStyle="1">
    <w:name w:val="Char Char Char Char"/>
    <w:basedOn w:val="901"/>
    <w:uiPriority w:val="0"/>
    <w:qFormat/>
    <w:pPr>
      <w:spacing w:after="160" w:line="240" w:lineRule="exact"/>
    </w:pPr>
  </w:style>
  <w:style w:type="paragraph" w:styleId="1209" w:customStyle="1">
    <w:name w:val="无间隔1"/>
    <w:uiPriority w:val="0"/>
    <w:qFormat/>
    <w:pPr>
      <w:jc w:val="both"/>
      <w:widowControl w:val="off"/>
    </w:pPr>
    <w:rPr>
      <w:rFonts w:hint="default" w:ascii="Calibri" w:hAnsi="Calibri" w:eastAsia="宋体" w:cs="Times New Roman"/>
      <w:lang w:val="en-US" w:eastAsia="zh-CN" w:bidi="ar-SA"/>
    </w:rPr>
  </w:style>
  <w:style w:type="paragraph" w:styleId="1210" w:customStyle="1">
    <w:name w:val="附录标题3"/>
    <w:basedOn w:val="901"/>
    <w:next w:val="1145"/>
    <w:uiPriority w:val="0"/>
    <w:qFormat/>
    <w:pPr>
      <w:tabs>
        <w:tab w:val="left" w:pos="1080" w:leader="none"/>
      </w:tabs>
      <w:outlineLvl w:val="0"/>
    </w:pPr>
    <w:rPr>
      <w:rFonts w:ascii="Arial" w:hAnsi="Arial" w:cs="Arial"/>
      <w:sz w:val="24"/>
      <w:szCs w:val="24"/>
    </w:rPr>
  </w:style>
  <w:style w:type="paragraph" w:styleId="1211" w:customStyle="1">
    <w:name w:val="样式"/>
    <w:basedOn w:val="901"/>
    <w:next w:val="1158"/>
    <w:uiPriority w:val="0"/>
    <w:qFormat/>
    <w:rPr>
      <w:rFonts w:ascii="宋体" w:hAnsi="Courier New" w:cs="宋体"/>
    </w:rPr>
  </w:style>
  <w:style w:type="paragraph" w:styleId="1212" w:customStyle="1">
    <w:name w:val="Table Paragraph"/>
    <w:basedOn w:val="1213"/>
    <w:uiPriority w:val="1"/>
    <w:qFormat/>
    <w:rPr>
      <w:rFonts w:ascii="微软雅黑" w:hAnsi="微软雅黑" w:eastAsia="微软雅黑" w:cs="微软雅黑"/>
    </w:rPr>
  </w:style>
  <w:style w:type="paragraph" w:styleId="1213" w:customStyle="1">
    <w:name w:val="正文11"/>
    <w:next w:val="12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4" w:customStyle="1">
    <w:name w:val="目录 11"/>
    <w:basedOn w:val="1213"/>
    <w:next w:val="1213"/>
    <w:uiPriority w:val="0"/>
    <w:qFormat/>
    <w:pPr>
      <w:spacing w:line="360" w:lineRule="auto"/>
      <w:tabs>
        <w:tab w:val="right" w:pos="9060" w:leader="dot"/>
      </w:tabs>
    </w:pPr>
    <w:rPr>
      <w:sz w:val="24"/>
      <w:szCs w:val="24"/>
    </w:rPr>
  </w:style>
  <w:style w:type="paragraph" w:styleId="1215" w:customStyle="1">
    <w:name w:val="纯文本3"/>
    <w:basedOn w:val="901"/>
    <w:uiPriority w:val="0"/>
    <w:qFormat/>
    <w:rPr>
      <w:rFonts w:hint="eastAsia" w:ascii="宋体" w:hAnsi="Courier New" w:eastAsia="楷体_GB2312"/>
      <w:sz w:val="28"/>
      <w:szCs w:val="20"/>
    </w:rPr>
  </w:style>
  <w:style w:type="paragraph" w:styleId="1216" w:customStyle="1">
    <w:name w:val="列出段落1"/>
    <w:basedOn w:val="901"/>
    <w:uiPriority w:val="99"/>
    <w:qFormat/>
    <w:pPr>
      <w:ind w:firstLine="420"/>
    </w:pPr>
    <w:rPr>
      <w:rFonts w:ascii="Calibri" w:hAnsi="Calibri" w:cs="黑体"/>
      <w:szCs w:val="22"/>
    </w:rPr>
  </w:style>
  <w:style w:type="paragraph" w:styleId="1217" w:customStyle="1">
    <w:name w:val="标题1"/>
    <w:basedOn w:val="1179"/>
    <w:uiPriority w:val="0"/>
    <w:qFormat/>
    <w:pPr>
      <w:spacing w:after="240"/>
    </w:pPr>
    <w:rPr>
      <w:spacing w:val="2"/>
      <w:sz w:val="44"/>
      <w:szCs w:val="44"/>
    </w:rPr>
  </w:style>
  <w:style w:type="paragraph" w:styleId="1218" w:customStyle="1">
    <w:name w:val="WPSOffice手动目录 1"/>
    <w:uiPriority w:val="0"/>
    <w:qFormat/>
    <w:rPr>
      <w:rFonts w:hint="default" w:ascii="Times New Roman" w:hAnsi="Times New Roman" w:eastAsia="宋体" w:cs="Times New Roman"/>
      <w:lang w:val="en-US" w:eastAsia="zh-CN" w:bidi="ar-SA"/>
    </w:rPr>
  </w:style>
  <w:style w:type="paragraph" w:styleId="1219" w:customStyle="1">
    <w:name w:val="Char1"/>
    <w:basedOn w:val="901"/>
    <w:uiPriority w:val="0"/>
    <w:qFormat/>
    <w:rPr>
      <w:rFonts w:ascii="Tahoma" w:hAnsi="Tahoma"/>
      <w:sz w:val="24"/>
      <w:szCs w:val="20"/>
    </w:rPr>
  </w:style>
  <w:style w:type="paragraph" w:styleId="1220" w:customStyle="1">
    <w:name w:val="TOC 标题2"/>
    <w:basedOn w:val="1132"/>
    <w:next w:val="901"/>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21" w:customStyle="1">
    <w:name w:val="列表段落1"/>
    <w:basedOn w:val="901"/>
    <w:uiPriority w:val="0"/>
    <w:qFormat/>
    <w:pPr>
      <w:ind w:firstLine="420"/>
    </w:pPr>
    <w:rPr>
      <w:sz w:val="18"/>
      <w:szCs w:val="18"/>
    </w:rPr>
  </w:style>
  <w:style w:type="paragraph" w:styleId="122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2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24" w:customStyle="1">
    <w:name w:val="ca-01"/>
    <w:uiPriority w:val="0"/>
    <w:qFormat/>
    <w:rPr>
      <w:rFonts w:ascii="宋体" w:hAnsi="宋体"/>
      <w:bCs/>
      <w:sz w:val="24"/>
      <w:szCs w:val="21"/>
    </w:rPr>
  </w:style>
  <w:style w:type="character" w:styleId="1225" w:customStyle="1">
    <w:name w:val="font191"/>
    <w:uiPriority w:val="0"/>
    <w:qFormat/>
    <w:rPr>
      <w:rFonts w:hint="eastAsia" w:ascii="宋体" w:hAnsi="宋体" w:eastAsia="宋体" w:cs="宋体"/>
      <w:b/>
      <w:bCs/>
      <w:color w:val="000000"/>
      <w:sz w:val="22"/>
      <w:szCs w:val="22"/>
      <w:u w:val="none"/>
    </w:rPr>
  </w:style>
  <w:style w:type="character" w:styleId="1226" w:customStyle="1">
    <w:name w:val="font181"/>
    <w:uiPriority w:val="0"/>
    <w:qFormat/>
    <w:rPr>
      <w:rFonts w:hint="eastAsia" w:ascii="宋体" w:hAnsi="宋体" w:eastAsia="宋体" w:cs="宋体"/>
      <w:color w:val="000000"/>
      <w:sz w:val="18"/>
      <w:szCs w:val="18"/>
      <w:u w:val="none"/>
    </w:rPr>
  </w:style>
  <w:style w:type="character" w:styleId="1227" w:customStyle="1">
    <w:name w:val="font12"/>
    <w:uiPriority w:val="0"/>
    <w:qFormat/>
    <w:rPr>
      <w:rFonts w:ascii="Arial" w:hAnsi="Arial" w:cs="Arial"/>
      <w:color w:val="000000"/>
      <w:sz w:val="18"/>
      <w:szCs w:val="18"/>
      <w:u w:val="none"/>
    </w:rPr>
  </w:style>
  <w:style w:type="character" w:styleId="1228" w:customStyle="1">
    <w:name w:val="font01"/>
    <w:basedOn w:val="1140"/>
    <w:uiPriority w:val="0"/>
    <w:qFormat/>
    <w:rPr>
      <w:rFonts w:ascii="Arial" w:hAnsi="Arial" w:cs="Arial"/>
      <w:color w:val="000000"/>
      <w:sz w:val="22"/>
      <w:szCs w:val="22"/>
      <w:u w:val="none"/>
    </w:rPr>
  </w:style>
  <w:style w:type="character" w:styleId="1229" w:customStyle="1">
    <w:name w:val="font201"/>
    <w:uiPriority w:val="0"/>
    <w:qFormat/>
    <w:rPr>
      <w:rFonts w:hint="eastAsia" w:ascii="宋体" w:hAnsi="宋体" w:eastAsia="宋体" w:cs="宋体"/>
      <w:color w:val="000000"/>
      <w:sz w:val="18"/>
      <w:szCs w:val="18"/>
      <w:u w:val="none"/>
    </w:rPr>
  </w:style>
  <w:style w:type="character" w:styleId="1230" w:customStyle="1">
    <w:name w:val="font91"/>
    <w:uiPriority w:val="0"/>
    <w:qFormat/>
    <w:rPr>
      <w:rFonts w:ascii="Arial" w:hAnsi="Arial" w:cs="Arial"/>
      <w:color w:val="000000"/>
      <w:sz w:val="18"/>
      <w:szCs w:val="18"/>
      <w:u w:val="none"/>
    </w:rPr>
  </w:style>
  <w:style w:type="character" w:styleId="1231" w:customStyle="1">
    <w:name w:val="font101"/>
    <w:uiPriority w:val="0"/>
    <w:qFormat/>
    <w:rPr>
      <w:rFonts w:ascii="Arial" w:hAnsi="Arial" w:cs="Arial"/>
      <w:color w:val="000000"/>
      <w:sz w:val="18"/>
      <w:szCs w:val="18"/>
      <w:u w:val="none"/>
    </w:rPr>
  </w:style>
  <w:style w:type="character" w:styleId="1232" w:customStyle="1">
    <w:name w:val="font212"/>
    <w:uiPriority w:val="0"/>
    <w:qFormat/>
    <w:rPr>
      <w:rFonts w:hint="eastAsia" w:ascii="宋体" w:hAnsi="宋体" w:eastAsia="宋体" w:cs="宋体"/>
      <w:color w:val="000000"/>
      <w:sz w:val="20"/>
      <w:szCs w:val="20"/>
      <w:u w:val="none"/>
    </w:rPr>
  </w:style>
  <w:style w:type="character" w:styleId="1233" w:customStyle="1">
    <w:name w:val="font131"/>
    <w:uiPriority w:val="0"/>
    <w:qFormat/>
    <w:rPr>
      <w:rFonts w:ascii="Arial" w:hAnsi="Arial" w:cs="Arial"/>
      <w:color w:val="000000"/>
      <w:sz w:val="20"/>
      <w:szCs w:val="20"/>
      <w:u w:val="none"/>
    </w:rPr>
  </w:style>
  <w:style w:type="character" w:styleId="1234" w:customStyle="1">
    <w:name w:val="font141"/>
    <w:uiPriority w:val="0"/>
    <w:qFormat/>
    <w:rPr>
      <w:rFonts w:hint="eastAsia" w:ascii="宋体" w:hAnsi="宋体" w:eastAsia="宋体" w:cs="宋体"/>
      <w:color w:val="000000"/>
      <w:sz w:val="18"/>
      <w:szCs w:val="18"/>
      <w:u w:val="none"/>
    </w:rPr>
  </w:style>
  <w:style w:type="character" w:styleId="1235" w:customStyle="1">
    <w:name w:val="font111"/>
    <w:uiPriority w:val="0"/>
    <w:qFormat/>
    <w:rPr>
      <w:rFonts w:ascii="Arial" w:hAnsi="Arial" w:cs="Arial"/>
      <w:color w:val="000000"/>
      <w:sz w:val="20"/>
      <w:szCs w:val="20"/>
      <w:u w:val="none"/>
    </w:rPr>
  </w:style>
  <w:style w:type="character" w:styleId="1236" w:customStyle="1">
    <w:name w:val="font151"/>
    <w:uiPriority w:val="0"/>
    <w:qFormat/>
    <w:rPr>
      <w:rFonts w:hint="eastAsia" w:ascii="宋体" w:hAnsi="宋体" w:eastAsia="宋体" w:cs="宋体"/>
      <w:color w:val="000000"/>
      <w:sz w:val="20"/>
      <w:szCs w:val="20"/>
      <w:u w:val="none"/>
    </w:rPr>
  </w:style>
  <w:style w:type="paragraph" w:styleId="1237" w:customStyle="1">
    <w:name w:val="纯文本2"/>
    <w:basedOn w:val="901"/>
    <w:uiPriority w:val="0"/>
    <w:qFormat/>
    <w:rPr>
      <w:rFonts w:hint="eastAsia" w:ascii="宋体" w:hAnsi="Courier New" w:eastAsia="楷体_GB2312"/>
      <w:sz w:val="28"/>
      <w:szCs w:val="20"/>
    </w:rPr>
  </w:style>
  <w:style w:type="character" w:styleId="1238" w:customStyle="1">
    <w:name w:val="font61"/>
    <w:uiPriority w:val="0"/>
    <w:qFormat/>
    <w:rPr>
      <w:rFonts w:ascii="Arial" w:hAnsi="Arial" w:cs="Arial"/>
      <w:color w:val="000000"/>
      <w:sz w:val="20"/>
      <w:szCs w:val="20"/>
      <w:u w:val="none"/>
    </w:rPr>
  </w:style>
  <w:style w:type="character" w:styleId="1239" w:customStyle="1">
    <w:name w:val="font161"/>
    <w:uiPriority w:val="0"/>
    <w:qFormat/>
    <w:rPr>
      <w:rFonts w:hint="eastAsia" w:ascii="宋体" w:hAnsi="宋体" w:eastAsia="宋体" w:cs="宋体"/>
      <w:color w:val="000000"/>
      <w:sz w:val="22"/>
      <w:szCs w:val="22"/>
      <w:u w:val="none"/>
    </w:rPr>
  </w:style>
  <w:style w:type="character" w:styleId="1240" w:customStyle="1">
    <w:name w:val="font121"/>
    <w:uiPriority w:val="0"/>
    <w:qFormat/>
    <w:rPr>
      <w:rFonts w:hint="eastAsia" w:ascii="宋体" w:hAnsi="宋体" w:eastAsia="宋体" w:cs="宋体"/>
      <w:color w:val="000000"/>
      <w:sz w:val="20"/>
      <w:szCs w:val="20"/>
      <w:u w:val="none"/>
    </w:rPr>
  </w:style>
  <w:style w:type="character" w:styleId="1241" w:customStyle="1">
    <w:name w:val="font112"/>
    <w:uiPriority w:val="0"/>
    <w:qFormat/>
    <w:rPr>
      <w:rFonts w:ascii="Arial" w:hAnsi="Arial" w:cs="Arial"/>
      <w:color w:val="000000"/>
      <w:sz w:val="20"/>
      <w:szCs w:val="20"/>
      <w:u w:val="none"/>
    </w:rPr>
  </w:style>
  <w:style w:type="character" w:styleId="1242" w:customStyle="1">
    <w:name w:val="font31"/>
    <w:uiPriority w:val="0"/>
    <w:qFormat/>
    <w:rPr>
      <w:rFonts w:ascii="Arial" w:hAnsi="Arial" w:cs="Arial"/>
      <w:color w:val="000000"/>
      <w:sz w:val="22"/>
      <w:szCs w:val="22"/>
      <w:u w:val="none"/>
    </w:rPr>
  </w:style>
  <w:style w:type="character" w:styleId="1243" w:customStyle="1">
    <w:name w:val="font221"/>
    <w:uiPriority w:val="0"/>
    <w:qFormat/>
    <w:rPr>
      <w:rFonts w:hint="eastAsia" w:ascii="宋体" w:hAnsi="宋体" w:eastAsia="宋体" w:cs="宋体"/>
      <w:color w:val="000000"/>
      <w:sz w:val="20"/>
      <w:szCs w:val="20"/>
      <w:u w:val="none"/>
    </w:rPr>
  </w:style>
  <w:style w:type="character" w:styleId="1244" w:customStyle="1">
    <w:name w:val="font231"/>
    <w:uiPriority w:val="0"/>
    <w:qFormat/>
    <w:rPr>
      <w:rFonts w:hint="eastAsia" w:ascii="宋体" w:hAnsi="宋体" w:eastAsia="宋体" w:cs="宋体"/>
      <w:color w:val="000000"/>
      <w:sz w:val="22"/>
      <w:szCs w:val="22"/>
      <w:u w:val="none"/>
    </w:rPr>
  </w:style>
  <w:style w:type="character" w:styleId="1245" w:customStyle="1">
    <w:name w:val="font71"/>
    <w:uiPriority w:val="0"/>
    <w:qFormat/>
    <w:rPr>
      <w:rFonts w:ascii="Arial" w:hAnsi="Arial" w:cs="Arial"/>
      <w:color w:val="000000"/>
      <w:sz w:val="22"/>
      <w:szCs w:val="22"/>
      <w:u w:val="none"/>
    </w:rPr>
  </w:style>
  <w:style w:type="character" w:styleId="1246" w:customStyle="1">
    <w:name w:val="font241"/>
    <w:uiPriority w:val="0"/>
    <w:qFormat/>
    <w:rPr>
      <w:rFonts w:hint="eastAsia" w:ascii="宋体" w:hAnsi="宋体" w:eastAsia="宋体" w:cs="宋体"/>
      <w:b/>
      <w:bCs/>
      <w:color w:val="000000"/>
      <w:sz w:val="32"/>
      <w:szCs w:val="32"/>
      <w:u w:val="none"/>
    </w:rPr>
  </w:style>
  <w:style w:type="character" w:styleId="1247" w:customStyle="1">
    <w:name w:val="font251"/>
    <w:uiPriority w:val="0"/>
    <w:qFormat/>
    <w:rPr>
      <w:rFonts w:hint="eastAsia" w:ascii="宋体" w:hAnsi="宋体" w:eastAsia="宋体" w:cs="宋体"/>
      <w:color w:val="000000"/>
      <w:sz w:val="20"/>
      <w:szCs w:val="20"/>
      <w:u w:val="none"/>
    </w:rPr>
  </w:style>
  <w:style w:type="character" w:styleId="1248" w:customStyle="1">
    <w:name w:val="font261"/>
    <w:uiPriority w:val="0"/>
    <w:qFormat/>
    <w:rPr>
      <w:rFonts w:hint="eastAsia" w:ascii="宋体" w:hAnsi="宋体" w:eastAsia="宋体" w:cs="宋体"/>
      <w:color w:val="000000"/>
      <w:sz w:val="22"/>
      <w:szCs w:val="22"/>
      <w:u w:val="none"/>
    </w:rPr>
  </w:style>
  <w:style w:type="character" w:styleId="1249" w:customStyle="1">
    <w:name w:val="font232"/>
    <w:uiPriority w:val="0"/>
    <w:qFormat/>
    <w:rPr>
      <w:rFonts w:hint="eastAsia" w:ascii="宋体" w:hAnsi="宋体" w:eastAsia="宋体" w:cs="宋体"/>
      <w:b/>
      <w:bCs/>
      <w:color w:val="000000"/>
      <w:sz w:val="32"/>
      <w:szCs w:val="32"/>
      <w:u w:val="none"/>
    </w:rPr>
  </w:style>
  <w:style w:type="paragraph" w:styleId="1250" w:customStyle="1">
    <w:name w:val="p19"/>
    <w:basedOn w:val="901"/>
    <w:uiPriority w:val="0"/>
    <w:qFormat/>
    <w:pPr>
      <w:widowControl/>
    </w:pPr>
  </w:style>
  <w:style w:type="table" w:styleId="1251" w:customStyle="1">
    <w:name w:val="Table Normal"/>
    <w:uiPriority w:val="0"/>
    <w:unhideWhenUsed/>
    <w:qFormat/>
    <w:tblPr>
      <w:tblCellMar>
        <w:left w:w="0" w:type="dxa"/>
        <w:top w:w="0" w:type="dxa"/>
        <w:right w:w="0" w:type="dxa"/>
        <w:bottom w:w="0" w:type="dxa"/>
      </w:tblCellMar>
    </w:tblPr>
  </w:style>
  <w:style w:type="paragraph" w:styleId="1252"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53" w:customStyle="1">
    <w:name w:val="NormalCharacter1"/>
    <w:uiPriority w:val="0"/>
    <w:semiHidden/>
    <w:qFormat/>
  </w:style>
  <w:style w:type="paragraph" w:styleId="1254" w:customStyle="1">
    <w:name w:val="普通(网站)1"/>
    <w:basedOn w:val="1213"/>
    <w:uiPriority w:val="0"/>
    <w:qFormat/>
    <w:rPr>
      <w:sz w:val="24"/>
    </w:rPr>
  </w:style>
  <w:style w:type="paragraph" w:styleId="1255" w:customStyle="1">
    <w:name w:val="标题 51"/>
    <w:basedOn w:val="1213"/>
    <w:next w:val="1213"/>
    <w:uiPriority w:val="0"/>
    <w:qFormat/>
    <w:pPr>
      <w:ind w:left="40"/>
      <w:spacing w:before="10"/>
      <w:outlineLvl w:val="4"/>
    </w:pPr>
    <w:rPr>
      <w:rFonts w:ascii="楷体" w:hAnsi="楷体" w:eastAsia="楷体"/>
      <w:sz w:val="24"/>
      <w:szCs w:val="24"/>
    </w:rPr>
  </w:style>
  <w:style w:type="paragraph" w:styleId="1256" w:customStyle="1">
    <w:name w:val="脚注文本1"/>
    <w:basedOn w:val="901"/>
    <w:uiPriority w:val="99"/>
    <w:unhideWhenUsed/>
    <w:qFormat/>
    <w:pPr>
      <w:spacing w:after="40"/>
    </w:pPr>
    <w:rPr>
      <w:sz w:val="18"/>
    </w:rPr>
  </w:style>
  <w:style w:type="character" w:styleId="1257" w:customStyle="1">
    <w:name w:val="font81"/>
    <w:basedOn w:val="911"/>
    <w:uiPriority w:val="0"/>
    <w:qFormat/>
    <w:rPr>
      <w:rFonts w:hint="default" w:ascii="Times New Roman" w:hAnsi="Times New Roman" w:cs="Times New Roman"/>
      <w:b/>
      <w:bCs/>
      <w:color w:val="000000"/>
      <w:sz w:val="24"/>
      <w:szCs w:val="24"/>
      <w:u w:val="none"/>
    </w:rPr>
  </w:style>
  <w:style w:type="paragraph" w:styleId="1258" w:customStyle="1">
    <w:name w:val="正文文本缩进11"/>
    <w:basedOn w:val="901"/>
    <w:next w:val="1259"/>
    <w:uiPriority w:val="0"/>
    <w:unhideWhenUsed/>
    <w:qFormat/>
    <w:pPr>
      <w:ind w:left="420"/>
      <w:spacing w:after="120"/>
    </w:pPr>
  </w:style>
  <w:style w:type="paragraph" w:styleId="1259" w:customStyle="1">
    <w:name w:val="寄信人地址11"/>
    <w:basedOn w:val="901"/>
    <w:uiPriority w:val="99"/>
    <w:unhideWhenUsed/>
    <w:qFormat/>
    <w:rPr>
      <w:rFonts w:ascii="Arial" w:hAnsi="Arial"/>
    </w:rPr>
  </w:style>
  <w:style w:type="paragraph" w:styleId="1260" w:customStyle="1">
    <w:name w:val="纯文本12"/>
    <w:basedOn w:val="901"/>
    <w:uiPriority w:val="0"/>
    <w:qFormat/>
    <w:rPr>
      <w:rFonts w:ascii="宋体" w:hAnsi="Courier New"/>
      <w:sz w:val="24"/>
      <w:szCs w:val="20"/>
    </w:rPr>
  </w:style>
  <w:style w:type="paragraph" w:styleId="1261" w:customStyle="1">
    <w:name w:val="Other|1"/>
    <w:basedOn w:val="901"/>
    <w:uiPriority w:val="0"/>
    <w:qFormat/>
    <w:pPr>
      <w:spacing w:line="310" w:lineRule="exact"/>
    </w:pPr>
    <w:rPr>
      <w:rFonts w:ascii="宋体" w:hAnsi="宋体" w:cs="宋体"/>
      <w:sz w:val="20"/>
      <w:szCs w:val="20"/>
      <w:lang w:val="zh-TW" w:eastAsia="zh-TW" w:bidi="zh-TW"/>
    </w:rPr>
  </w:style>
  <w:style w:type="numbering" w:styleId="12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蔡佳伟</cp:lastModifiedBy>
  <cp:revision>24</cp:revision>
  <dcterms:created xsi:type="dcterms:W3CDTF">2022-07-21T10:36:00Z</dcterms:created>
  <dcterms:modified xsi:type="dcterms:W3CDTF">2024-06-19T06:26:02Z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8D96A62061A24C6DB78D285958015639_13</vt:lpwstr>
  </property>
</Properties>
</file>