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F7621">
      <w:pPr>
        <w:pStyle w:val="61"/>
        <w:pageBreakBefore w:val="0"/>
        <w:kinsoku/>
        <w:wordWrap/>
        <w:overflowPunct/>
        <w:topLinePunct w:val="0"/>
        <w:bidi w:val="0"/>
        <w:rPr>
          <w:rFonts w:hint="default" w:ascii="Times New Roman" w:hAnsi="Times New Roman" w:eastAsia="宋体" w:cs="Times New Roman"/>
          <w:highlight w:val="none"/>
        </w:rPr>
      </w:pPr>
    </w:p>
    <w:p w14:paraId="00B7CF17">
      <w:pPr>
        <w:pStyle w:val="61"/>
        <w:pageBreakBefore w:val="0"/>
        <w:kinsoku/>
        <w:wordWrap/>
        <w:overflowPunct/>
        <w:topLinePunct w:val="0"/>
        <w:bidi w:val="0"/>
        <w:rPr>
          <w:rFonts w:hint="default" w:ascii="Times New Roman" w:hAnsi="Times New Roman" w:eastAsia="宋体" w:cs="Times New Roman"/>
          <w:b/>
          <w:spacing w:val="-20"/>
          <w:sz w:val="48"/>
          <w:szCs w:val="48"/>
          <w:highlight w:val="none"/>
        </w:rPr>
      </w:pPr>
    </w:p>
    <w:p w14:paraId="26905CBB">
      <w:pPr>
        <w:pStyle w:val="61"/>
        <w:pageBreakBefore w:val="0"/>
        <w:kinsoku/>
        <w:wordWrap/>
        <w:overflowPunct/>
        <w:topLinePunct w:val="0"/>
        <w:bidi w:val="0"/>
        <w:rPr>
          <w:rFonts w:hint="default" w:ascii="Times New Roman" w:hAnsi="Times New Roman" w:eastAsia="宋体" w:cs="Times New Roman"/>
          <w:b/>
          <w:spacing w:val="-20"/>
          <w:sz w:val="48"/>
          <w:szCs w:val="48"/>
          <w:highlight w:val="none"/>
        </w:rPr>
      </w:pPr>
    </w:p>
    <w:p w14:paraId="7DAEF709">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b/>
          <w:sz w:val="52"/>
          <w:szCs w:val="52"/>
          <w:highlight w:val="none"/>
        </w:rPr>
      </w:pPr>
      <w:r>
        <w:rPr>
          <w:rFonts w:hint="default" w:ascii="Times New Roman" w:hAnsi="Times New Roman" w:eastAsia="宋体" w:cs="Times New Roman"/>
          <w:b/>
          <w:sz w:val="52"/>
          <w:szCs w:val="52"/>
          <w:highlight w:val="none"/>
        </w:rPr>
        <w:t>2026年度省控（质控、农村及边界）空气站、省级大气多参数站、质控实验室及走航方舱等运维及质控</w:t>
      </w:r>
    </w:p>
    <w:p w14:paraId="3D2DE674">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b/>
          <w:sz w:val="52"/>
          <w:szCs w:val="52"/>
          <w:highlight w:val="none"/>
        </w:rPr>
        <w:t>服务项目</w:t>
      </w:r>
    </w:p>
    <w:p w14:paraId="24EEC500">
      <w:pPr>
        <w:pStyle w:val="19"/>
        <w:pageBreakBefore w:val="0"/>
        <w:kinsoku/>
        <w:wordWrap/>
        <w:overflowPunct/>
        <w:topLinePunct w:val="0"/>
        <w:bidi w:val="0"/>
        <w:rPr>
          <w:rFonts w:hint="default" w:ascii="Times New Roman" w:hAnsi="Times New Roman" w:eastAsia="宋体" w:cs="Times New Roman"/>
          <w:highlight w:val="none"/>
        </w:rPr>
      </w:pPr>
    </w:p>
    <w:p w14:paraId="2AD10338">
      <w:pPr>
        <w:pageBreakBefore w:val="0"/>
        <w:kinsoku/>
        <w:wordWrap/>
        <w:overflowPunct/>
        <w:topLinePunct w:val="0"/>
        <w:bidi w:val="0"/>
        <w:rPr>
          <w:rFonts w:hint="default" w:ascii="Times New Roman" w:hAnsi="Times New Roman" w:eastAsia="宋体" w:cs="Times New Roman"/>
          <w:highlight w:val="none"/>
        </w:rPr>
      </w:pPr>
    </w:p>
    <w:p w14:paraId="77084C7D">
      <w:pPr>
        <w:pStyle w:val="43"/>
        <w:pageBreakBefore w:val="0"/>
        <w:kinsoku/>
        <w:wordWrap/>
        <w:overflowPunct/>
        <w:topLinePunct w:val="0"/>
        <w:bidi w:val="0"/>
        <w:rPr>
          <w:rFonts w:hint="default" w:ascii="Times New Roman" w:hAnsi="Times New Roman" w:eastAsia="宋体" w:cs="Times New Roman"/>
          <w:highlight w:val="none"/>
        </w:rPr>
      </w:pPr>
    </w:p>
    <w:p w14:paraId="146B6028">
      <w:pPr>
        <w:pageBreakBefore w:val="0"/>
        <w:widowControl/>
        <w:kinsoku/>
        <w:wordWrap/>
        <w:overflowPunct/>
        <w:topLinePunct w:val="0"/>
        <w:bidi w:val="0"/>
        <w:spacing w:line="360" w:lineRule="auto"/>
        <w:rPr>
          <w:rFonts w:hint="default" w:ascii="Times New Roman" w:hAnsi="Times New Roman" w:eastAsia="宋体" w:cs="Times New Roman"/>
          <w:b/>
          <w:sz w:val="72"/>
          <w:szCs w:val="72"/>
          <w:highlight w:val="none"/>
        </w:rPr>
      </w:pPr>
    </w:p>
    <w:p w14:paraId="7654A509">
      <w:pPr>
        <w:pageBreakBefore w:val="0"/>
        <w:widowControl/>
        <w:kinsoku/>
        <w:wordWrap/>
        <w:overflowPunct/>
        <w:topLinePunct w:val="0"/>
        <w:bidi w:val="0"/>
        <w:spacing w:line="360" w:lineRule="auto"/>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招标文件</w:t>
      </w:r>
    </w:p>
    <w:p w14:paraId="284C478D">
      <w:pPr>
        <w:pageBreakBefore w:val="0"/>
        <w:widowControl/>
        <w:kinsoku/>
        <w:wordWrap/>
        <w:overflowPunct/>
        <w:topLinePunct w:val="0"/>
        <w:bidi w:val="0"/>
        <w:spacing w:line="360" w:lineRule="auto"/>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项目编号：JSZC-320000-JCEC-G2025-0574</w:t>
      </w:r>
    </w:p>
    <w:p w14:paraId="6D433924">
      <w:pPr>
        <w:pageBreakBefore w:val="0"/>
        <w:widowControl/>
        <w:kinsoku/>
        <w:wordWrap/>
        <w:overflowPunct/>
        <w:topLinePunct w:val="0"/>
        <w:bidi w:val="0"/>
        <w:spacing w:line="360" w:lineRule="auto"/>
        <w:rPr>
          <w:rFonts w:hint="default" w:ascii="Times New Roman" w:hAnsi="Times New Roman" w:eastAsia="宋体" w:cs="Times New Roman"/>
          <w:b/>
          <w:sz w:val="72"/>
          <w:szCs w:val="72"/>
          <w:highlight w:val="none"/>
        </w:rPr>
      </w:pPr>
    </w:p>
    <w:p w14:paraId="46F4000E">
      <w:pPr>
        <w:pStyle w:val="19"/>
        <w:pageBreakBefore w:val="0"/>
        <w:kinsoku/>
        <w:wordWrap/>
        <w:overflowPunct/>
        <w:topLinePunct w:val="0"/>
        <w:bidi w:val="0"/>
        <w:jc w:val="both"/>
        <w:rPr>
          <w:rFonts w:hint="default" w:ascii="Times New Roman" w:hAnsi="Times New Roman" w:eastAsia="宋体" w:cs="Times New Roman"/>
          <w:highlight w:val="none"/>
        </w:rPr>
      </w:pPr>
    </w:p>
    <w:p w14:paraId="067C5007">
      <w:pPr>
        <w:pageBreakBefore w:val="0"/>
        <w:kinsoku/>
        <w:wordWrap/>
        <w:overflowPunct/>
        <w:topLinePunct w:val="0"/>
        <w:bidi w:val="0"/>
        <w:rPr>
          <w:rFonts w:hint="default" w:ascii="Times New Roman" w:hAnsi="Times New Roman" w:eastAsia="宋体" w:cs="Times New Roman"/>
          <w:highlight w:val="none"/>
        </w:rPr>
      </w:pPr>
    </w:p>
    <w:p w14:paraId="19B2FB2B">
      <w:pPr>
        <w:pageBreakBefore w:val="0"/>
        <w:widowControl/>
        <w:kinsoku/>
        <w:wordWrap/>
        <w:overflowPunct/>
        <w:topLinePunct w:val="0"/>
        <w:bidi w:val="0"/>
        <w:spacing w:line="360" w:lineRule="auto"/>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采购人：江苏省环境监测中心</w:t>
      </w:r>
    </w:p>
    <w:p w14:paraId="025A718C">
      <w:pPr>
        <w:pageBreakBefore w:val="0"/>
        <w:widowControl/>
        <w:kinsoku/>
        <w:wordWrap/>
        <w:overflowPunct/>
        <w:topLinePunct w:val="0"/>
        <w:bidi w:val="0"/>
        <w:spacing w:line="360" w:lineRule="auto"/>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采购代理机构：江苏省设备成套股份有限公司</w:t>
      </w:r>
    </w:p>
    <w:p w14:paraId="62C2C1ED">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2025年12月</w:t>
      </w:r>
    </w:p>
    <w:p w14:paraId="64969889">
      <w:pPr>
        <w:pStyle w:val="316"/>
        <w:pageBreakBefore w:val="0"/>
        <w:kinsoku/>
        <w:wordWrap/>
        <w:overflowPunct/>
        <w:topLinePunct w:val="0"/>
        <w:bidi w:val="0"/>
        <w:spacing w:before="0" w:after="0"/>
        <w:jc w:val="center"/>
        <w:rPr>
          <w:rFonts w:hint="default" w:ascii="Times New Roman" w:hAnsi="Times New Roman" w:eastAsia="宋体" w:cs="Times New Roman"/>
          <w:color w:val="auto"/>
          <w:sz w:val="36"/>
          <w:szCs w:val="36"/>
          <w:highlight w:val="none"/>
          <w:lang w:val="zh-CN"/>
        </w:rPr>
        <w:sectPr>
          <w:footerReference r:id="rId3" w:type="default"/>
          <w:endnotePr>
            <w:numFmt w:val="decimal"/>
          </w:endnotePr>
          <w:pgSz w:w="11906" w:h="16838"/>
          <w:pgMar w:top="1440" w:right="1803" w:bottom="1440" w:left="1803" w:header="227" w:footer="720" w:gutter="0"/>
          <w:cols w:space="0" w:num="1"/>
          <w:docGrid w:linePitch="360" w:charSpace="0"/>
        </w:sectPr>
      </w:pPr>
    </w:p>
    <w:p w14:paraId="00669EC8">
      <w:pPr>
        <w:pStyle w:val="316"/>
        <w:pageBreakBefore w:val="0"/>
        <w:kinsoku/>
        <w:wordWrap/>
        <w:overflowPunct/>
        <w:topLinePunct w:val="0"/>
        <w:bidi w:val="0"/>
        <w:spacing w:before="0" w:after="0"/>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lang w:val="zh-CN"/>
        </w:rPr>
        <w:t>目录</w:t>
      </w:r>
    </w:p>
    <w:p w14:paraId="7BE61E6B">
      <w:pPr>
        <w:pStyle w:val="32"/>
        <w:pageBreakBefore w:val="0"/>
        <w:tabs>
          <w:tab w:val="right" w:leader="dot" w:pos="8296"/>
        </w:tabs>
        <w:kinsoku/>
        <w:wordWrap/>
        <w:overflowPunct/>
        <w:topLinePunct w:val="0"/>
        <w:bidi w:val="0"/>
        <w:jc w:val="center"/>
        <w:rPr>
          <w:rFonts w:hint="default" w:ascii="Times New Roman" w:hAnsi="Times New Roman" w:eastAsia="宋体" w:cs="Times New Roman"/>
          <w:sz w:val="28"/>
          <w:szCs w:val="28"/>
          <w:highlight w:val="none"/>
        </w:rPr>
      </w:pPr>
    </w:p>
    <w:p w14:paraId="4629DED1">
      <w:pPr>
        <w:pStyle w:val="32"/>
        <w:pageBreakBefore w:val="0"/>
        <w:tabs>
          <w:tab w:val="right" w:leader="dot" w:pos="8400"/>
        </w:tabs>
        <w:kinsoku/>
        <w:wordWrap/>
        <w:overflowPunct/>
        <w:topLinePunct w:val="0"/>
        <w:bidi w:val="0"/>
        <w:spacing w:line="480" w:lineRule="auto"/>
        <w:jc w:val="left"/>
        <w:rPr>
          <w:rFonts w:hint="default" w:ascii="Times New Roman" w:hAnsi="Times New Roman" w:eastAsia="宋体" w:cs="Times New Roman"/>
          <w:sz w:val="24"/>
          <w:highlight w:val="none"/>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TOC \o "1-1" \h \u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"_Toc25148"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4"/>
          <w:highlight w:val="none"/>
        </w:rPr>
        <w:t>第一章 招标公告</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fldChar w:fldCharType="begin"/>
      </w:r>
      <w:r>
        <w:rPr>
          <w:rFonts w:hint="default" w:ascii="Times New Roman" w:hAnsi="Times New Roman" w:eastAsia="宋体" w:cs="Times New Roman"/>
          <w:sz w:val="24"/>
          <w:highlight w:val="none"/>
        </w:rPr>
        <w:instrText xml:space="preserve"> PAGEREF _Toc25148 \h </w:instrText>
      </w:r>
      <w:r>
        <w:rPr>
          <w:rFonts w:hint="default" w:ascii="Times New Roman" w:hAnsi="Times New Roman" w:eastAsia="宋体" w:cs="Times New Roman"/>
          <w:sz w:val="24"/>
          <w:highlight w:val="none"/>
        </w:rPr>
        <w:fldChar w:fldCharType="separate"/>
      </w:r>
      <w:r>
        <w:rPr>
          <w:rFonts w:hint="default" w:ascii="Times New Roman" w:hAnsi="Times New Roman" w:eastAsia="宋体" w:cs="Times New Roman"/>
          <w:sz w:val="24"/>
          <w:highlight w:val="none"/>
        </w:rPr>
        <w:t>1</w:t>
      </w:r>
      <w:r>
        <w:rPr>
          <w:rFonts w:hint="default" w:ascii="Times New Roman" w:hAnsi="Times New Roman" w:eastAsia="宋体" w:cs="Times New Roman"/>
          <w:sz w:val="24"/>
          <w:highlight w:val="none"/>
        </w:rPr>
        <w:fldChar w:fldCharType="end"/>
      </w:r>
      <w:r>
        <w:rPr>
          <w:rFonts w:hint="default" w:ascii="Times New Roman" w:hAnsi="Times New Roman" w:eastAsia="宋体" w:cs="Times New Roman"/>
          <w:sz w:val="24"/>
          <w:highlight w:val="none"/>
        </w:rPr>
        <w:fldChar w:fldCharType="end"/>
      </w:r>
    </w:p>
    <w:p w14:paraId="4F55C806">
      <w:pPr>
        <w:pStyle w:val="32"/>
        <w:pageBreakBefore w:val="0"/>
        <w:tabs>
          <w:tab w:val="right" w:leader="dot" w:pos="8400"/>
        </w:tabs>
        <w:kinsoku/>
        <w:wordWrap/>
        <w:overflowPunct/>
        <w:topLinePunct w:val="0"/>
        <w:bidi w:val="0"/>
        <w:spacing w:line="480" w:lineRule="auto"/>
        <w:jc w:val="left"/>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"_Toc20001"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4"/>
          <w:highlight w:val="none"/>
        </w:rPr>
        <w:t>第二章 投标人须知</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fldChar w:fldCharType="begin"/>
      </w:r>
      <w:r>
        <w:rPr>
          <w:rFonts w:hint="default" w:ascii="Times New Roman" w:hAnsi="Times New Roman" w:eastAsia="宋体" w:cs="Times New Roman"/>
          <w:sz w:val="24"/>
          <w:highlight w:val="none"/>
        </w:rPr>
        <w:instrText xml:space="preserve"> PAGEREF _Toc20001 \h </w:instrText>
      </w:r>
      <w:r>
        <w:rPr>
          <w:rFonts w:hint="default" w:ascii="Times New Roman" w:hAnsi="Times New Roman" w:eastAsia="宋体" w:cs="Times New Roman"/>
          <w:sz w:val="24"/>
          <w:highlight w:val="none"/>
        </w:rPr>
        <w:fldChar w:fldCharType="separate"/>
      </w:r>
      <w:r>
        <w:rPr>
          <w:rFonts w:hint="default" w:ascii="Times New Roman" w:hAnsi="Times New Roman" w:eastAsia="宋体" w:cs="Times New Roman"/>
          <w:sz w:val="24"/>
          <w:highlight w:val="none"/>
        </w:rPr>
        <w:t>1</w:t>
      </w:r>
      <w:r>
        <w:rPr>
          <w:rFonts w:hint="default" w:ascii="Times New Roman" w:hAnsi="Times New Roman" w:eastAsia="宋体" w:cs="Times New Roman"/>
          <w:sz w:val="24"/>
          <w:highlight w:val="none"/>
        </w:rPr>
        <w:fldChar w:fldCharType="end"/>
      </w:r>
      <w:r>
        <w:rPr>
          <w:rFonts w:hint="default" w:ascii="Times New Roman" w:hAnsi="Times New Roman" w:eastAsia="宋体" w:cs="Times New Roman"/>
          <w:sz w:val="24"/>
          <w:highlight w:val="none"/>
        </w:rPr>
        <w:fldChar w:fldCharType="end"/>
      </w:r>
    </w:p>
    <w:p w14:paraId="28E76EB0">
      <w:pPr>
        <w:pStyle w:val="32"/>
        <w:pageBreakBefore w:val="0"/>
        <w:tabs>
          <w:tab w:val="right" w:leader="dot" w:pos="8400"/>
        </w:tabs>
        <w:kinsoku/>
        <w:wordWrap/>
        <w:overflowPunct/>
        <w:topLinePunct w:val="0"/>
        <w:bidi w:val="0"/>
        <w:spacing w:line="480" w:lineRule="auto"/>
        <w:jc w:val="left"/>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"_Toc15057"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4"/>
          <w:highlight w:val="none"/>
        </w:rPr>
        <w:t>第三章 评标标准</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fldChar w:fldCharType="begin"/>
      </w:r>
      <w:r>
        <w:rPr>
          <w:rFonts w:hint="default" w:ascii="Times New Roman" w:hAnsi="Times New Roman" w:eastAsia="宋体" w:cs="Times New Roman"/>
          <w:sz w:val="24"/>
          <w:highlight w:val="none"/>
        </w:rPr>
        <w:instrText xml:space="preserve"> PAGEREF _Toc15057 \h </w:instrText>
      </w:r>
      <w:r>
        <w:rPr>
          <w:rFonts w:hint="default" w:ascii="Times New Roman" w:hAnsi="Times New Roman" w:eastAsia="宋体" w:cs="Times New Roman"/>
          <w:sz w:val="24"/>
          <w:highlight w:val="none"/>
        </w:rPr>
        <w:fldChar w:fldCharType="separate"/>
      </w:r>
      <w:r>
        <w:rPr>
          <w:rFonts w:hint="default" w:ascii="Times New Roman" w:hAnsi="Times New Roman" w:eastAsia="宋体" w:cs="Times New Roman"/>
          <w:sz w:val="24"/>
          <w:highlight w:val="none"/>
        </w:rPr>
        <w:t>23</w:t>
      </w:r>
      <w:r>
        <w:rPr>
          <w:rFonts w:hint="default" w:ascii="Times New Roman" w:hAnsi="Times New Roman" w:eastAsia="宋体" w:cs="Times New Roman"/>
          <w:sz w:val="24"/>
          <w:highlight w:val="none"/>
        </w:rPr>
        <w:fldChar w:fldCharType="end"/>
      </w:r>
      <w:r>
        <w:rPr>
          <w:rFonts w:hint="default" w:ascii="Times New Roman" w:hAnsi="Times New Roman" w:eastAsia="宋体" w:cs="Times New Roman"/>
          <w:sz w:val="24"/>
          <w:highlight w:val="none"/>
        </w:rPr>
        <w:fldChar w:fldCharType="end"/>
      </w:r>
    </w:p>
    <w:p w14:paraId="518E2DFA">
      <w:pPr>
        <w:pStyle w:val="32"/>
        <w:pageBreakBefore w:val="0"/>
        <w:tabs>
          <w:tab w:val="right" w:leader="dot" w:pos="8400"/>
        </w:tabs>
        <w:kinsoku/>
        <w:wordWrap/>
        <w:overflowPunct/>
        <w:topLinePunct w:val="0"/>
        <w:bidi w:val="0"/>
        <w:spacing w:line="480" w:lineRule="auto"/>
        <w:jc w:val="left"/>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"_Toc31507"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4"/>
          <w:highlight w:val="none"/>
        </w:rPr>
        <w:t>第四章 采购需求</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fldChar w:fldCharType="begin"/>
      </w:r>
      <w:r>
        <w:rPr>
          <w:rFonts w:hint="default" w:ascii="Times New Roman" w:hAnsi="Times New Roman" w:eastAsia="宋体" w:cs="Times New Roman"/>
          <w:sz w:val="24"/>
          <w:highlight w:val="none"/>
        </w:rPr>
        <w:instrText xml:space="preserve"> PAGEREF _Toc31507 \h </w:instrText>
      </w:r>
      <w:r>
        <w:rPr>
          <w:rFonts w:hint="default" w:ascii="Times New Roman" w:hAnsi="Times New Roman" w:eastAsia="宋体" w:cs="Times New Roman"/>
          <w:sz w:val="24"/>
          <w:highlight w:val="none"/>
        </w:rPr>
        <w:fldChar w:fldCharType="separate"/>
      </w:r>
      <w:r>
        <w:rPr>
          <w:rFonts w:hint="default" w:ascii="Times New Roman" w:hAnsi="Times New Roman" w:eastAsia="宋体" w:cs="Times New Roman"/>
          <w:sz w:val="24"/>
          <w:highlight w:val="none"/>
        </w:rPr>
        <w:t>51</w:t>
      </w:r>
      <w:r>
        <w:rPr>
          <w:rFonts w:hint="default" w:ascii="Times New Roman" w:hAnsi="Times New Roman" w:eastAsia="宋体" w:cs="Times New Roman"/>
          <w:sz w:val="24"/>
          <w:highlight w:val="none"/>
        </w:rPr>
        <w:fldChar w:fldCharType="end"/>
      </w:r>
      <w:r>
        <w:rPr>
          <w:rFonts w:hint="default" w:ascii="Times New Roman" w:hAnsi="Times New Roman" w:eastAsia="宋体" w:cs="Times New Roman"/>
          <w:sz w:val="24"/>
          <w:highlight w:val="none"/>
        </w:rPr>
        <w:fldChar w:fldCharType="end"/>
      </w:r>
    </w:p>
    <w:p w14:paraId="5686BA11">
      <w:pPr>
        <w:pStyle w:val="32"/>
        <w:pageBreakBefore w:val="0"/>
        <w:tabs>
          <w:tab w:val="right" w:leader="dot" w:pos="8400"/>
        </w:tabs>
        <w:kinsoku/>
        <w:wordWrap/>
        <w:overflowPunct/>
        <w:topLinePunct w:val="0"/>
        <w:bidi w:val="0"/>
        <w:spacing w:line="480" w:lineRule="auto"/>
        <w:jc w:val="left"/>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"_Toc8454"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4"/>
          <w:highlight w:val="none"/>
        </w:rPr>
        <w:t>第五章 合同主要条款及格式</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fldChar w:fldCharType="begin"/>
      </w:r>
      <w:r>
        <w:rPr>
          <w:rFonts w:hint="default" w:ascii="Times New Roman" w:hAnsi="Times New Roman" w:eastAsia="宋体" w:cs="Times New Roman"/>
          <w:sz w:val="24"/>
          <w:highlight w:val="none"/>
        </w:rPr>
        <w:instrText xml:space="preserve"> PAGEREF _Toc8454 \h </w:instrText>
      </w:r>
      <w:r>
        <w:rPr>
          <w:rFonts w:hint="default" w:ascii="Times New Roman" w:hAnsi="Times New Roman" w:eastAsia="宋体" w:cs="Times New Roman"/>
          <w:sz w:val="24"/>
          <w:highlight w:val="none"/>
        </w:rPr>
        <w:fldChar w:fldCharType="separate"/>
      </w:r>
      <w:r>
        <w:rPr>
          <w:rFonts w:hint="default" w:ascii="Times New Roman" w:hAnsi="Times New Roman" w:eastAsia="宋体" w:cs="Times New Roman"/>
          <w:sz w:val="24"/>
          <w:highlight w:val="none"/>
        </w:rPr>
        <w:t>135</w:t>
      </w:r>
      <w:r>
        <w:rPr>
          <w:rFonts w:hint="default" w:ascii="Times New Roman" w:hAnsi="Times New Roman" w:eastAsia="宋体" w:cs="Times New Roman"/>
          <w:sz w:val="24"/>
          <w:highlight w:val="none"/>
        </w:rPr>
        <w:fldChar w:fldCharType="end"/>
      </w:r>
      <w:r>
        <w:rPr>
          <w:rFonts w:hint="default" w:ascii="Times New Roman" w:hAnsi="Times New Roman" w:eastAsia="宋体" w:cs="Times New Roman"/>
          <w:sz w:val="24"/>
          <w:highlight w:val="none"/>
        </w:rPr>
        <w:fldChar w:fldCharType="end"/>
      </w:r>
    </w:p>
    <w:p w14:paraId="099D0DBF">
      <w:pPr>
        <w:pStyle w:val="32"/>
        <w:pageBreakBefore w:val="0"/>
        <w:tabs>
          <w:tab w:val="right" w:leader="dot" w:pos="8400"/>
        </w:tabs>
        <w:kinsoku/>
        <w:wordWrap/>
        <w:overflowPunct/>
        <w:topLinePunct w:val="0"/>
        <w:bidi w:val="0"/>
        <w:spacing w:line="480" w:lineRule="auto"/>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"_Toc19959"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4"/>
          <w:highlight w:val="none"/>
        </w:rPr>
        <w:t>第六章 投标文件格式及附件</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fldChar w:fldCharType="begin"/>
      </w:r>
      <w:r>
        <w:rPr>
          <w:rFonts w:hint="default" w:ascii="Times New Roman" w:hAnsi="Times New Roman" w:eastAsia="宋体" w:cs="Times New Roman"/>
          <w:sz w:val="24"/>
          <w:highlight w:val="none"/>
        </w:rPr>
        <w:instrText xml:space="preserve"> PAGEREF _Toc19959 \h </w:instrText>
      </w:r>
      <w:r>
        <w:rPr>
          <w:rFonts w:hint="default" w:ascii="Times New Roman" w:hAnsi="Times New Roman" w:eastAsia="宋体" w:cs="Times New Roman"/>
          <w:sz w:val="24"/>
          <w:highlight w:val="none"/>
        </w:rPr>
        <w:fldChar w:fldCharType="separate"/>
      </w:r>
      <w:r>
        <w:rPr>
          <w:rFonts w:hint="default" w:ascii="Times New Roman" w:hAnsi="Times New Roman" w:eastAsia="宋体" w:cs="Times New Roman"/>
          <w:sz w:val="24"/>
          <w:highlight w:val="none"/>
        </w:rPr>
        <w:t>140</w:t>
      </w:r>
      <w:r>
        <w:rPr>
          <w:rFonts w:hint="default" w:ascii="Times New Roman" w:hAnsi="Times New Roman" w:eastAsia="宋体" w:cs="Times New Roman"/>
          <w:sz w:val="24"/>
          <w:highlight w:val="none"/>
        </w:rPr>
        <w:fldChar w:fldCharType="end"/>
      </w:r>
      <w:r>
        <w:rPr>
          <w:rFonts w:hint="default" w:ascii="Times New Roman" w:hAnsi="Times New Roman" w:eastAsia="宋体" w:cs="Times New Roman"/>
          <w:sz w:val="24"/>
          <w:highlight w:val="none"/>
        </w:rPr>
        <w:fldChar w:fldCharType="end"/>
      </w:r>
    </w:p>
    <w:p w14:paraId="69251D9E">
      <w:pPr>
        <w:pageBreakBefore w:val="0"/>
        <w:kinsoku/>
        <w:wordWrap/>
        <w:overflowPunct/>
        <w:topLinePunct w:val="0"/>
        <w:bidi w:val="0"/>
        <w:spacing w:line="48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fldChar w:fldCharType="end"/>
      </w:r>
    </w:p>
    <w:p w14:paraId="4FEE304E">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b/>
          <w:sz w:val="36"/>
          <w:szCs w:val="36"/>
          <w:highlight w:val="none"/>
        </w:rPr>
      </w:pPr>
    </w:p>
    <w:p w14:paraId="7FC00E7A">
      <w:pPr>
        <w:pStyle w:val="3"/>
        <w:pageBreakBefore w:val="0"/>
        <w:kinsoku/>
        <w:wordWrap/>
        <w:overflowPunct/>
        <w:topLinePunct w:val="0"/>
        <w:bidi w:val="0"/>
        <w:spacing w:before="0" w:after="0"/>
        <w:rPr>
          <w:rFonts w:hint="default" w:ascii="Times New Roman" w:hAnsi="Times New Roman" w:eastAsia="宋体" w:cs="Times New Roman"/>
          <w:szCs w:val="21"/>
          <w:highlight w:val="none"/>
        </w:rPr>
        <w:sectPr>
          <w:footerReference r:id="rId4" w:type="default"/>
          <w:endnotePr>
            <w:numFmt w:val="decimal"/>
          </w:endnotePr>
          <w:pgSz w:w="11906" w:h="16838"/>
          <w:pgMar w:top="1440" w:right="1706" w:bottom="1440" w:left="1800" w:header="227" w:footer="720" w:gutter="0"/>
          <w:pgNumType w:start="1"/>
          <w:cols w:space="0" w:num="1"/>
          <w:docGrid w:linePitch="360" w:charSpace="0"/>
        </w:sectPr>
      </w:pPr>
      <w:bookmarkStart w:id="0" w:name="_Toc481057143"/>
      <w:bookmarkStart w:id="1" w:name="_Hlk52290185"/>
      <w:bookmarkStart w:id="2" w:name="_Hlk54715254"/>
    </w:p>
    <w:p w14:paraId="05F85EFA">
      <w:pPr>
        <w:pStyle w:val="3"/>
        <w:pageBreakBefore w:val="0"/>
        <w:kinsoku/>
        <w:wordWrap/>
        <w:overflowPunct/>
        <w:topLinePunct w:val="0"/>
        <w:bidi w:val="0"/>
        <w:spacing w:before="0" w:after="0"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 xml:space="preserve"> </w:t>
      </w:r>
      <w:bookmarkStart w:id="3" w:name="_Toc25148"/>
      <w:r>
        <w:rPr>
          <w:rFonts w:hint="default" w:ascii="Times New Roman" w:hAnsi="Times New Roman" w:eastAsia="宋体" w:cs="Times New Roman"/>
          <w:highlight w:val="none"/>
        </w:rPr>
        <w:t>招标公告</w:t>
      </w:r>
      <w:bookmarkEnd w:id="0"/>
      <w:bookmarkEnd w:id="3"/>
    </w:p>
    <w:p w14:paraId="24604BA7">
      <w:pPr>
        <w:pageBreakBefore w:val="0"/>
        <w:widowControl/>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369"/>
        <w:rPr>
          <w:rFonts w:hint="default" w:ascii="Times New Roman" w:hAnsi="Times New Roman" w:eastAsia="宋体" w:cs="Times New Roman"/>
          <w:spacing w:val="8"/>
          <w:szCs w:val="21"/>
          <w:highlight w:val="none"/>
        </w:rPr>
      </w:pPr>
      <w:r>
        <w:rPr>
          <w:rFonts w:hint="default" w:ascii="Times New Roman" w:hAnsi="Times New Roman" w:eastAsia="宋体" w:cs="Times New Roman"/>
          <w:b/>
          <w:bCs/>
          <w:spacing w:val="8"/>
          <w:szCs w:val="21"/>
          <w:highlight w:val="none"/>
        </w:rPr>
        <w:t>项目概况</w:t>
      </w:r>
    </w:p>
    <w:p w14:paraId="1D430D4D">
      <w:pPr>
        <w:pageBreakBefore w:val="0"/>
        <w:widowControl/>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36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u w:val="single"/>
        </w:rPr>
        <w:t>2026年度省控（质控、农村及边界）空气站、省级大气多参数站、质控实验室及走航方舱等运维及质控服务项目</w:t>
      </w:r>
      <w:r>
        <w:rPr>
          <w:rFonts w:hint="default" w:ascii="Times New Roman" w:hAnsi="Times New Roman" w:eastAsia="宋体" w:cs="Times New Roman"/>
          <w:spacing w:val="8"/>
          <w:szCs w:val="21"/>
          <w:highlight w:val="none"/>
        </w:rPr>
        <w:t>的潜在投标人应在</w:t>
      </w:r>
      <w:r>
        <w:rPr>
          <w:rFonts w:hint="default" w:ascii="Times New Roman" w:hAnsi="Times New Roman" w:eastAsia="宋体" w:cs="Times New Roman"/>
          <w:spacing w:val="8"/>
          <w:szCs w:val="21"/>
          <w:highlight w:val="none"/>
          <w:u w:val="single"/>
        </w:rPr>
        <w:t>江苏省南京市鼓楼区清江南路18号鼓楼创新广场D栋10楼1005室</w:t>
      </w:r>
      <w:r>
        <w:rPr>
          <w:rFonts w:hint="default" w:ascii="Times New Roman" w:hAnsi="Times New Roman" w:eastAsia="宋体" w:cs="Times New Roman"/>
          <w:szCs w:val="21"/>
          <w:highlight w:val="none"/>
        </w:rPr>
        <w:t>获取采购文件，并于</w:t>
      </w:r>
      <w:r>
        <w:rPr>
          <w:rFonts w:hint="default" w:ascii="Times New Roman" w:hAnsi="Times New Roman" w:eastAsia="宋体" w:cs="Times New Roman"/>
          <w:b/>
          <w:bCs/>
          <w:iCs/>
          <w:spacing w:val="8"/>
          <w:szCs w:val="21"/>
          <w:highlight w:val="none"/>
          <w:u w:val="single"/>
        </w:rPr>
        <w:t>2025</w:t>
      </w:r>
      <w:r>
        <w:rPr>
          <w:rFonts w:hint="default" w:ascii="Times New Roman" w:hAnsi="Times New Roman" w:eastAsia="宋体" w:cs="Times New Roman"/>
          <w:b/>
          <w:bCs/>
          <w:spacing w:val="8"/>
          <w:szCs w:val="21"/>
          <w:highlight w:val="none"/>
          <w:u w:val="single"/>
        </w:rPr>
        <w:t>年12月26日</w:t>
      </w:r>
      <w:r>
        <w:rPr>
          <w:rFonts w:hint="default" w:ascii="Times New Roman" w:hAnsi="Times New Roman" w:eastAsia="宋体" w:cs="Times New Roman"/>
          <w:b/>
          <w:bCs/>
          <w:szCs w:val="21"/>
          <w:highlight w:val="none"/>
          <w:u w:val="single"/>
        </w:rPr>
        <w:t>09点30分</w:t>
      </w:r>
      <w:r>
        <w:rPr>
          <w:rFonts w:hint="default" w:ascii="Times New Roman" w:hAnsi="Times New Roman" w:eastAsia="宋体" w:cs="Times New Roman"/>
          <w:szCs w:val="21"/>
          <w:highlight w:val="none"/>
          <w:u w:val="single"/>
        </w:rPr>
        <w:t>（北京时间）</w:t>
      </w:r>
      <w:r>
        <w:rPr>
          <w:rFonts w:hint="default" w:ascii="Times New Roman" w:hAnsi="Times New Roman" w:eastAsia="宋体" w:cs="Times New Roman"/>
          <w:szCs w:val="21"/>
          <w:highlight w:val="none"/>
        </w:rPr>
        <w:t>前递交投标文件。</w:t>
      </w:r>
    </w:p>
    <w:bookmarkEnd w:id="1"/>
    <w:bookmarkEnd w:id="2"/>
    <w:p w14:paraId="1A2932BB">
      <w:pPr>
        <w:pStyle w:val="4"/>
        <w:keepNext w:val="0"/>
        <w:keepLines w:val="0"/>
        <w:pageBreakBefore w:val="0"/>
        <w:widowControl/>
        <w:shd w:val="clear" w:color="auto" w:fill="FFFFFF"/>
        <w:kinsoku/>
        <w:wordWrap/>
        <w:overflowPunct/>
        <w:topLinePunct w:val="0"/>
        <w:bidi w:val="0"/>
        <w:spacing w:before="0" w:after="0" w:line="360" w:lineRule="auto"/>
        <w:rPr>
          <w:rFonts w:hint="default" w:ascii="Times New Roman" w:hAnsi="Times New Roman" w:eastAsia="宋体" w:cs="Times New Roman"/>
          <w:sz w:val="21"/>
          <w:szCs w:val="21"/>
          <w:highlight w:val="none"/>
        </w:rPr>
      </w:pPr>
      <w:bookmarkStart w:id="4" w:name="_Toc452625218"/>
      <w:bookmarkStart w:id="5" w:name="_Toc20001"/>
    </w:p>
    <w:p w14:paraId="69ECAE55">
      <w:pPr>
        <w:pStyle w:val="4"/>
        <w:keepNext w:val="0"/>
        <w:keepLines w:val="0"/>
        <w:pageBreakBefore w:val="0"/>
        <w:widowControl/>
        <w:shd w:val="clear" w:color="auto" w:fill="FFFFFF"/>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一、项目基本情况</w:t>
      </w:r>
    </w:p>
    <w:p w14:paraId="2ECB6A55">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1.项目编号：JSZC-320000-JCEC-G2025-0574 </w:t>
      </w:r>
    </w:p>
    <w:p w14:paraId="65BB65A1">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2.项目名称：2026年度省控（质控、农村及边界）空气站、省级大气多参数站、质控实验室及走航方舱等运维及质控服务项目 </w:t>
      </w:r>
    </w:p>
    <w:p w14:paraId="4450CBDB">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预算金额：1185.420000万元（采购包1：573.420000万元；采购包2：114.000000万元；采购包3：27.000000万元；采购包4：26.000000万元；采购包5：38.000000万元；采购包6：40.000000万元；采购包7：32.000000万元；采购包8：76.000000万元、采购包9：53.000000万元；采购包10：36.000000万元；采购包11：63.000000万元；采购包12：60.000000万元、采购包13：47.000000万元） </w:t>
      </w:r>
    </w:p>
    <w:p w14:paraId="00490A60">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4.最高限价（如有）：</w:t>
      </w:r>
    </w:p>
    <w:p w14:paraId="6E81D8CA">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 xml:space="preserve">包1：省控（质控、农村及边界）空气站第三方运维：人民币573.42万元； </w:t>
      </w:r>
    </w:p>
    <w:p w14:paraId="20EE67F7">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包2：省控（质控、农村及边界）空气站第三方质控：人民币114万元；</w:t>
      </w:r>
    </w:p>
    <w:p w14:paraId="59DDF434">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 xml:space="preserve">包3：省级大气多参数站常规监测设备及站房本体维护服务：人民币27万元； </w:t>
      </w:r>
    </w:p>
    <w:p w14:paraId="3F6CFDFF">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包4：颗粒物在线离子色谱设备运维服务：人民币26万元；</w:t>
      </w:r>
    </w:p>
    <w:p w14:paraId="6A9EAA54">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 xml:space="preserve">包5：挥发性有机物监测仪运维服务：人民币38万元； </w:t>
      </w:r>
    </w:p>
    <w:p w14:paraId="177C41BD">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包6：质控实验室及温室气体质控等相关运维服务：人民币40万元；</w:t>
      </w:r>
    </w:p>
    <w:p w14:paraId="02F403C5">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 xml:space="preserve">包7：传输通道站点2台挥发性有机物监测仪运维服务：人民币32万元； </w:t>
      </w:r>
    </w:p>
    <w:p w14:paraId="3E5BF1AC">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包8：大气移动走航方舱及相关设备运维服务：人民币76万元；</w:t>
      </w:r>
    </w:p>
    <w:p w14:paraId="0A4CE8EC">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 xml:space="preserve">包9：汾湖超级站及省级大气多参数站常规监测设备运维服务：人民币53万元； </w:t>
      </w:r>
    </w:p>
    <w:p w14:paraId="54460D69">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包10：省中心及汾湖超站新增颗粒物组分特征仪器（水溶性离子在线分析仪、气溶胶质谱仪）运维服务：人民币36万元；</w:t>
      </w:r>
    </w:p>
    <w:p w14:paraId="1F85F625">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包11：省中心及汾湖超站新增光化学及雷达仪器（挥发性有机物监测仪、HNO</w:t>
      </w:r>
      <w:r>
        <w:rPr>
          <w:rFonts w:hint="default" w:ascii="Times New Roman" w:hAnsi="Times New Roman" w:eastAsia="宋体" w:cs="Times New Roman"/>
          <w:sz w:val="21"/>
          <w:szCs w:val="21"/>
          <w:highlight w:val="none"/>
          <w:shd w:val="clear" w:color="auto" w:fill="FFFFFF"/>
          <w:vertAlign w:val="subscript"/>
        </w:rPr>
        <w:t>2</w:t>
      </w:r>
      <w:r>
        <w:rPr>
          <w:rFonts w:hint="default" w:ascii="Times New Roman" w:hAnsi="Times New Roman" w:eastAsia="宋体" w:cs="Times New Roman"/>
          <w:sz w:val="21"/>
          <w:szCs w:val="21"/>
          <w:highlight w:val="none"/>
          <w:shd w:val="clear" w:color="auto" w:fill="FFFFFF"/>
        </w:rPr>
        <w:t xml:space="preserve">、甲醛在线监测仪、臭氧激光雷达、颗粒物激光雷达）运维服务：人民币63万元； </w:t>
      </w:r>
    </w:p>
    <w:p w14:paraId="43688E4A">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包12：大气走航监测车及相关设备运维服务：人民币60万元；</w:t>
      </w:r>
    </w:p>
    <w:p w14:paraId="3698653C">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包13：大气颗粒物组分及VOCs多元综合分析子系统及全省VOCs质控审核服务：人民币47万元。</w:t>
      </w:r>
    </w:p>
    <w:p w14:paraId="393B5F68">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5.采购需求：</w:t>
      </w:r>
      <w:r>
        <w:rPr>
          <w:rFonts w:hint="default" w:ascii="Times New Roman" w:hAnsi="Times New Roman" w:eastAsia="宋体" w:cs="Times New Roman"/>
          <w:sz w:val="21"/>
          <w:szCs w:val="21"/>
          <w:highlight w:val="none"/>
          <w:shd w:val="clear" w:color="auto" w:fill="FFFFFF"/>
          <w:lang w:bidi="ar"/>
        </w:rPr>
        <w:t>2026年度省控（质控、农村及边界）空气站、省级大气多参数站、质控实验室及走航方舱等运维及质控服务，具体内容及要求详见招标文件。</w:t>
      </w:r>
    </w:p>
    <w:p w14:paraId="02846965">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6.合同履行期限：2026年1月1日至2026年12月31日。</w:t>
      </w:r>
    </w:p>
    <w:p w14:paraId="2B34D208">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7.本项目（是/否）接受联合体投标：否</w:t>
      </w:r>
    </w:p>
    <w:p w14:paraId="25E052A5">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二、申请人的资格要求：</w:t>
      </w:r>
    </w:p>
    <w:p w14:paraId="6DA35D8C">
      <w:pPr>
        <w:pStyle w:val="44"/>
        <w:pageBreakBefore w:val="0"/>
        <w:kinsoku/>
        <w:wordWrap/>
        <w:overflowPunct/>
        <w:topLinePunct w:val="0"/>
        <w:bidi w:val="0"/>
        <w:spacing w:before="0" w:beforeAutospacing="0" w:after="0" w:afterAutospacing="0" w:line="360" w:lineRule="auto"/>
        <w:ind w:firstLine="422" w:firstLineChars="20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shd w:val="clear" w:color="auto" w:fill="FFFFFF"/>
        </w:rPr>
        <w:t>（一）满足《中华人民共和国政府采购法》第二十二条规定：</w:t>
      </w:r>
    </w:p>
    <w:p w14:paraId="396EAD15">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1.具有独立承担民事责任的能力（提供法人或者其他组织的营业执照；供应商为自然人的，提供其身份证）；</w:t>
      </w:r>
    </w:p>
    <w:p w14:paraId="360EB03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2.具有良好的商业信誉和健全的财务会计制度（提供2024年度经审计的财务报告，或投标截止时间前六个月内银行出具的资信证明）；</w:t>
      </w:r>
    </w:p>
    <w:p w14:paraId="01C462F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3.具有履行合同所必需的设备和专业技术能力（供应商根据履行采购项目合同需要，提供履行合同所必需的设备和专业技术能力的证明材料）；</w:t>
      </w:r>
    </w:p>
    <w:p w14:paraId="4E04E47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4.有依法缴纳税收和社会保障资金的良好记录（提供参加本次政府采购活动前半年内至少一个月：缴纳税收的凭证；缴纳社会保险的凭据），依法享受免缴、缓缴的，提供证明材料；</w:t>
      </w:r>
    </w:p>
    <w:p w14:paraId="2ACF03A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5.参加政府采购活动前三年内，在经营活动中没有重大违法记录（提供无重大违法记录声明）；</w:t>
      </w:r>
    </w:p>
    <w:p w14:paraId="5C094EE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6.法律、行政法规规定的其他条件：无。</w:t>
      </w:r>
    </w:p>
    <w:p w14:paraId="131AAECF">
      <w:pPr>
        <w:pStyle w:val="44"/>
        <w:pageBreakBefore w:val="0"/>
        <w:kinsoku/>
        <w:wordWrap/>
        <w:overflowPunct/>
        <w:topLinePunct w:val="0"/>
        <w:bidi w:val="0"/>
        <w:spacing w:before="0" w:beforeAutospacing="0" w:after="0" w:afterAutospacing="0" w:line="360" w:lineRule="auto"/>
        <w:ind w:firstLine="422" w:firstLineChars="20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shd w:val="clear" w:color="auto" w:fill="FFFFFF"/>
        </w:rPr>
        <w:t>（二）落实政府采购政策需满足的资格要求：</w:t>
      </w:r>
    </w:p>
    <w:p w14:paraId="0930EA91">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w:t>
      </w:r>
    </w:p>
    <w:p w14:paraId="2857A15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712D43C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采购包2</w:t>
      </w:r>
    </w:p>
    <w:p w14:paraId="2246AD1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4D4701E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采购包3</w:t>
      </w:r>
    </w:p>
    <w:p w14:paraId="79AB4CD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59684FE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采购包4</w:t>
      </w:r>
    </w:p>
    <w:p w14:paraId="42066AE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758E321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采购包5</w:t>
      </w:r>
    </w:p>
    <w:p w14:paraId="2217DB2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72256E57">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采购包6</w:t>
      </w:r>
    </w:p>
    <w:p w14:paraId="57A6158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6674B42B">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采购包7</w:t>
      </w:r>
    </w:p>
    <w:p w14:paraId="2CB9BC4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5269390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采购包8</w:t>
      </w:r>
    </w:p>
    <w:p w14:paraId="75EF2458">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2E60345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采购包9</w:t>
      </w:r>
    </w:p>
    <w:p w14:paraId="4CF08DB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6FA3F2F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采购包10</w:t>
      </w:r>
    </w:p>
    <w:p w14:paraId="0B659AD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55FC22B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采购包11</w:t>
      </w:r>
    </w:p>
    <w:p w14:paraId="69587B6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7EF1106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采购包12</w:t>
      </w:r>
    </w:p>
    <w:p w14:paraId="7A0CD50B">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3F94F08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采购包13</w:t>
      </w:r>
    </w:p>
    <w:p w14:paraId="13E1A44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1.无（本项目非专门面向中小企业（或监狱企业或残疾人福利性单位）采购）。</w:t>
      </w:r>
    </w:p>
    <w:p w14:paraId="0C8C2149">
      <w:pPr>
        <w:pStyle w:val="44"/>
        <w:pageBreakBefore w:val="0"/>
        <w:kinsoku/>
        <w:wordWrap/>
        <w:overflowPunct/>
        <w:topLinePunct w:val="0"/>
        <w:bidi w:val="0"/>
        <w:spacing w:before="0" w:beforeAutospacing="0" w:after="0" w:afterAutospacing="0" w:line="360" w:lineRule="auto"/>
        <w:ind w:firstLine="422" w:firstLineChars="20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shd w:val="clear" w:color="auto" w:fill="FFFFFF"/>
        </w:rPr>
        <w:t>（三）本项目的特定资格要求： </w:t>
      </w:r>
    </w:p>
    <w:p w14:paraId="7B2400D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w:t>
      </w:r>
    </w:p>
    <w:p w14:paraId="25B1866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353C6DA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214D73C8">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305208E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7BAC9ED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14E00425">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采购包2</w:t>
      </w:r>
    </w:p>
    <w:p w14:paraId="2B9CA5D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3B358431">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5995B80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42422EA7">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5789ABA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4660F6B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采购包3</w:t>
      </w:r>
    </w:p>
    <w:p w14:paraId="4B7B44D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369447A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672E984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37EBFC71">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13EC5BEB">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94EFDB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采购包4</w:t>
      </w:r>
    </w:p>
    <w:p w14:paraId="07576405">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01DA30D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3C78FAC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6D71D75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34D61E1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1C15519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采购包5</w:t>
      </w:r>
    </w:p>
    <w:p w14:paraId="66EDF24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18995FE7">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55062CF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6C2A2E6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4509333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42B1777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采购包6</w:t>
      </w:r>
    </w:p>
    <w:p w14:paraId="2319D565">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63EDB4B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6C13A47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18A45E51">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4EB7981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4C1C99C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采购包7</w:t>
      </w:r>
    </w:p>
    <w:p w14:paraId="6E8B651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09D886D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77702B77">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22EA9E5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2ADADA1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7D08A11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采购包8</w:t>
      </w:r>
    </w:p>
    <w:p w14:paraId="53CFA04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3D87F9E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7958857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4DCA134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5A76CD8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3DC6016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采购包9</w:t>
      </w:r>
    </w:p>
    <w:p w14:paraId="0E2B904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66AADF9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54BA501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29E8C2D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6848023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A17607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采购包10</w:t>
      </w:r>
    </w:p>
    <w:p w14:paraId="7510DF6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5AC3E11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6D7AFBA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31B97F78">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1799E73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5776B5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采购包11</w:t>
      </w:r>
    </w:p>
    <w:p w14:paraId="44DB363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596B794B">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70C286F8">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752124A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35FED78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78C5429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采购包12</w:t>
      </w:r>
    </w:p>
    <w:p w14:paraId="0CDA2593">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6E43EE2E">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36B836B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67D286C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17EF0BE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4759EB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采购包13</w:t>
      </w:r>
    </w:p>
    <w:p w14:paraId="7BE17A7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1.无。</w:t>
      </w:r>
    </w:p>
    <w:p w14:paraId="3F3C8C8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2.第（一）5条所称重大违法记录，是指供应商因违法经营受到刑事处罚或者责令停产停业、吊销许可证或者执照、较大数额罚款等行政处罚。</w:t>
      </w:r>
    </w:p>
    <w:p w14:paraId="0B69F49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3.供应商在参加政府采购活动前3年内因违法经营被禁止在一定期限内参加政府采购活动，期限届满的，可以参加政府采购活动。</w:t>
      </w:r>
    </w:p>
    <w:p w14:paraId="7668C0B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4.单位负责人为同一人或者存在直接控股、管理关系的不同供应商，不得参加同一合同项下的政府采购活动。 为采购项目提供整体设计、规范编制或者项目管理、监理、检测等服务的供应商，不得再参加该采购项目的其他采购活动。</w:t>
      </w:r>
    </w:p>
    <w:p w14:paraId="157913D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5.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A5A3DF1">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p>
    <w:p w14:paraId="38125AD8">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三、获取招标文件</w:t>
      </w:r>
    </w:p>
    <w:p w14:paraId="1F85BAE6">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时间：自招标文件公告发布之日起5个工作日 </w:t>
      </w:r>
    </w:p>
    <w:p w14:paraId="0A34E6AF">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地点：江苏省南京市鼓楼区清江南路18号鼓楼创新广场D栋10楼1005室 </w:t>
      </w:r>
    </w:p>
    <w:p w14:paraId="3FC76BF3">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方式：凡有意参与者，请于获取时间内（北京时间，下同），登录江苏省阳光交易平台（网址为：https://www.jsygjy.cn）按照要求进行实名会员注册、完善相关信息及选择项目。 </w:t>
      </w:r>
    </w:p>
    <w:p w14:paraId="53565BC9">
      <w:pPr>
        <w:pStyle w:val="44"/>
        <w:pageBreakBefore w:val="0"/>
        <w:shd w:val="clear" w:color="auto" w:fill="FFFFFF"/>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售价：500.00元 </w:t>
      </w:r>
    </w:p>
    <w:p w14:paraId="3CDC592E">
      <w:pPr>
        <w:pStyle w:val="44"/>
        <w:pageBreakBefore w:val="0"/>
        <w:shd w:val="clear" w:color="auto" w:fill="FFFFFF"/>
        <w:kinsoku/>
        <w:wordWrap/>
        <w:overflowPunct/>
        <w:topLinePunct w:val="0"/>
        <w:bidi w:val="0"/>
        <w:spacing w:before="0" w:beforeAutospacing="0" w:after="0" w:afterAutospacing="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 </w:t>
      </w:r>
    </w:p>
    <w:p w14:paraId="506B1DC6">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四、提交投标文件截止时间、开标时间和地点</w:t>
      </w:r>
    </w:p>
    <w:p w14:paraId="7CD6E0B4">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2025-12 -26  09:30 （北京时间）</w:t>
      </w:r>
    </w:p>
    <w:p w14:paraId="66C3687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地点：南京市鼓楼区清江南路18号鼓楼创新广场D栋11楼开标2室纸质文件递交 </w:t>
      </w:r>
    </w:p>
    <w:p w14:paraId="5A15024D">
      <w:pPr>
        <w:pStyle w:val="4"/>
        <w:keepNext w:val="0"/>
        <w:keepLines w:val="0"/>
        <w:pageBreakBefore w:val="0"/>
        <w:widowControl/>
        <w:shd w:val="clear" w:color="auto" w:fill="FFFFFF"/>
        <w:kinsoku/>
        <w:wordWrap/>
        <w:overflowPunct/>
        <w:topLinePunct w:val="0"/>
        <w:bidi w:val="0"/>
        <w:spacing w:before="0" w:after="0" w:line="360" w:lineRule="auto"/>
        <w:rPr>
          <w:rFonts w:hint="default" w:ascii="Times New Roman" w:hAnsi="Times New Roman" w:eastAsia="宋体" w:cs="Times New Roman"/>
          <w:sz w:val="21"/>
          <w:szCs w:val="21"/>
          <w:highlight w:val="none"/>
        </w:rPr>
      </w:pPr>
    </w:p>
    <w:p w14:paraId="4E3ED1BB">
      <w:pPr>
        <w:pStyle w:val="4"/>
        <w:keepNext w:val="0"/>
        <w:keepLines w:val="0"/>
        <w:pageBreakBefore w:val="0"/>
        <w:widowControl/>
        <w:shd w:val="clear" w:color="auto" w:fill="FFFFFF"/>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五、公告期限</w:t>
      </w:r>
    </w:p>
    <w:p w14:paraId="0C070458">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自本公告发布之日起5个工作日。</w:t>
      </w:r>
    </w:p>
    <w:p w14:paraId="48A11163">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p>
    <w:p w14:paraId="3E01EE63">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六、其他补充事宜</w:t>
      </w:r>
    </w:p>
    <w:p w14:paraId="71818D1F">
      <w:pPr>
        <w:pageBreakBefore w:val="0"/>
        <w:widowControl/>
        <w:kinsoku/>
        <w:wordWrap/>
        <w:overflowPunct/>
        <w:topLinePunct w:val="0"/>
        <w:bidi w:val="0"/>
        <w:spacing w:line="360" w:lineRule="auto"/>
        <w:ind w:firstLine="422" w:firstLineChars="200"/>
        <w:jc w:val="left"/>
        <w:rPr>
          <w:rFonts w:hint="default" w:ascii="Times New Roman" w:hAnsi="Times New Roman" w:eastAsia="宋体" w:cs="Times New Roman"/>
          <w:szCs w:val="21"/>
          <w:highlight w:val="none"/>
        </w:rPr>
      </w:pPr>
      <w:r>
        <w:rPr>
          <w:rStyle w:val="51"/>
          <w:rFonts w:hint="default" w:ascii="Times New Roman" w:hAnsi="Times New Roman" w:eastAsia="宋体" w:cs="Times New Roman"/>
          <w:bCs/>
          <w:szCs w:val="21"/>
          <w:highlight w:val="none"/>
          <w:shd w:val="clear" w:color="auto" w:fill="FFFFFF"/>
          <w:lang w:bidi="ar"/>
        </w:rPr>
        <w:t>1、获取招标文件</w:t>
      </w:r>
    </w:p>
    <w:p w14:paraId="6C5E0987">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shd w:val="clear" w:color="auto" w:fill="FFFFFF"/>
          <w:lang w:bidi="ar"/>
        </w:rPr>
      </w:pPr>
      <w:r>
        <w:rPr>
          <w:rFonts w:hint="default" w:ascii="Times New Roman" w:hAnsi="Times New Roman" w:eastAsia="宋体" w:cs="Times New Roman"/>
          <w:szCs w:val="21"/>
          <w:highlight w:val="none"/>
          <w:shd w:val="clear" w:color="auto" w:fill="FFFFFF"/>
          <w:lang w:bidi="ar"/>
        </w:rPr>
        <w:t>1.1时间：自招标文件公告发布之日起5个工作日</w:t>
      </w:r>
    </w:p>
    <w:p w14:paraId="6BB08B09">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1.2地点：登录江苏省阳光交易平台（网址为：https://www.jsygjy.cn）</w:t>
      </w:r>
    </w:p>
    <w:p w14:paraId="61E181A2">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1.3方式：</w:t>
      </w:r>
    </w:p>
    <w:p w14:paraId="4854C6F4">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（1）支付方式：凡有意参与者，请于获取时间内（北京时间，下同），登录江苏省阳光交易平台（网址为：https://www.jsygjy.cn）按照要求进行实名会员注册、完善相关信息及选择项目。</w:t>
      </w:r>
    </w:p>
    <w:p w14:paraId="4025A357">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参与者应充分考虑平台注册、信息检查、资料上传、费用支付所需时间，参与者必须在获取时间内完成支付，否则将无法保证获取文件。未按照本公告要求获得本项目文件的，采购代理机构不予接收其投标文件。</w:t>
      </w:r>
    </w:p>
    <w:p w14:paraId="448DF720">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2）支付完成后，纸质文件可通过现场领取或邮寄送达，现场领取的请至江苏省设备成套股份有限公司（江苏省南京市鼓楼区清江南路18号D座1005室）领取；需邮寄送达的请将公司名称、项目编号、邮寄地址发送至电子邮箱。为方便编制投标（响应），参与者可登录平台免费下载电子招标文件，如与纸质招标（采购）文件不一致，以纸质文件为准。</w:t>
      </w:r>
    </w:p>
    <w:p w14:paraId="03A27B7C">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（3）需要发票的，可在“费用管理--发票管理”模块下载发票；平台服务费发票由江苏招采信息技术有限公司开具。非因招标代理机构或平台原因，发票一经开具不予退换。</w:t>
      </w:r>
    </w:p>
    <w:p w14:paraId="11585745">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（4）平台网站首页“帮助中心”提供操作手册，参与者可以下载并根据操作手册提示进行注册、登录等操作。供应商平台咨询电话：025-83306809（工作日8：30-11：30，13：30-17：30）。</w:t>
      </w:r>
    </w:p>
    <w:p w14:paraId="5409109F">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（5）联合体响应（如允许）的，联合体各方应当指定牵头人，并授权其以自身名义在平台办理注册、下载文件、缴纳保证金等手续，其在平台的办理行为，对联合体各方均具有约束力。 </w:t>
      </w:r>
    </w:p>
    <w:p w14:paraId="31380D9A">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1.4纸质采购文件服务费每包500元。</w:t>
      </w:r>
    </w:p>
    <w:p w14:paraId="426351FB">
      <w:pPr>
        <w:pageBreakBefore w:val="0"/>
        <w:widowControl/>
        <w:kinsoku/>
        <w:wordWrap/>
        <w:overflowPunct/>
        <w:topLinePunct w:val="0"/>
        <w:bidi w:val="0"/>
        <w:spacing w:line="360" w:lineRule="auto"/>
        <w:ind w:firstLine="422" w:firstLineChars="200"/>
        <w:jc w:val="left"/>
        <w:rPr>
          <w:rFonts w:hint="default" w:ascii="Times New Roman" w:hAnsi="Times New Roman" w:eastAsia="宋体" w:cs="Times New Roman"/>
          <w:szCs w:val="21"/>
          <w:highlight w:val="none"/>
        </w:rPr>
      </w:pPr>
      <w:r>
        <w:rPr>
          <w:rStyle w:val="51"/>
          <w:rFonts w:hint="default" w:ascii="Times New Roman" w:hAnsi="Times New Roman" w:eastAsia="宋体" w:cs="Times New Roman"/>
          <w:bCs/>
          <w:szCs w:val="21"/>
          <w:highlight w:val="none"/>
          <w:shd w:val="clear" w:color="auto" w:fill="FFFFFF"/>
          <w:lang w:bidi="ar"/>
        </w:rPr>
        <w:t>2、文件递交</w:t>
      </w:r>
    </w:p>
    <w:p w14:paraId="2CD0306F">
      <w:pPr>
        <w:pageBreakBefore w:val="0"/>
        <w:widowControl/>
        <w:kinsoku/>
        <w:wordWrap/>
        <w:overflowPunct/>
        <w:topLinePunct w:val="0"/>
        <w:bidi w:val="0"/>
        <w:spacing w:line="360" w:lineRule="auto"/>
        <w:ind w:firstLine="422" w:firstLineChars="200"/>
        <w:jc w:val="left"/>
        <w:rPr>
          <w:rFonts w:hint="default" w:ascii="Times New Roman" w:hAnsi="Times New Roman" w:eastAsia="宋体" w:cs="Times New Roman"/>
          <w:szCs w:val="21"/>
          <w:highlight w:val="none"/>
          <w:shd w:val="clear" w:color="auto" w:fill="FFFFFF"/>
          <w:lang w:bidi="ar"/>
        </w:rPr>
      </w:pPr>
      <w:r>
        <w:rPr>
          <w:rStyle w:val="51"/>
          <w:rFonts w:hint="default" w:ascii="Times New Roman" w:hAnsi="Times New Roman" w:eastAsia="宋体" w:cs="Times New Roman"/>
          <w:bCs/>
          <w:szCs w:val="21"/>
          <w:highlight w:val="none"/>
          <w:shd w:val="clear" w:color="auto" w:fill="FFFFFF"/>
          <w:lang w:bidi="ar"/>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default" w:ascii="Times New Roman" w:hAnsi="Times New Roman" w:eastAsia="宋体" w:cs="Times New Roman"/>
          <w:szCs w:val="21"/>
          <w:highlight w:val="none"/>
          <w:shd w:val="clear" w:color="auto" w:fill="FFFFFF"/>
          <w:lang w:bidi="ar"/>
        </w:rPr>
        <w:t>当电子版文件和纸质正本文件不一致时，以纸质正本文件为准。电子版文件用于辅助评标和平台存档，供应商需承担前述不一致造成的不利后果。</w:t>
      </w:r>
    </w:p>
    <w:p w14:paraId="4FE34A08">
      <w:pPr>
        <w:pageBreakBefore w:val="0"/>
        <w:widowControl/>
        <w:numPr>
          <w:ilvl w:val="0"/>
          <w:numId w:val="3"/>
        </w:numPr>
        <w:kinsoku/>
        <w:wordWrap/>
        <w:overflowPunct/>
        <w:topLinePunct w:val="0"/>
        <w:bidi w:val="0"/>
        <w:spacing w:line="360" w:lineRule="auto"/>
        <w:ind w:firstLine="420" w:firstLineChars="200"/>
        <w:jc w:val="left"/>
        <w:rPr>
          <w:rFonts w:hint="default" w:ascii="Times New Roman" w:hAnsi="Times New Roman" w:eastAsia="宋体" w:cs="Times New Roman"/>
          <w:b/>
          <w:bCs/>
          <w:szCs w:val="21"/>
          <w:highlight w:val="none"/>
          <w:shd w:val="clear" w:color="auto" w:fill="FFFFFF"/>
          <w:lang w:bidi="ar"/>
        </w:rPr>
      </w:pPr>
      <w:r>
        <w:rPr>
          <w:rFonts w:hint="default" w:ascii="Times New Roman" w:hAnsi="Times New Roman" w:eastAsia="宋体" w:cs="Times New Roman"/>
          <w:highlight w:val="none"/>
        </w:rPr>
        <w:t>本项目分为13个采购包，按照采购包顺序依次评标。</w:t>
      </w:r>
      <w:r>
        <w:rPr>
          <w:rFonts w:hint="default" w:ascii="Times New Roman" w:hAnsi="Times New Roman" w:eastAsia="宋体" w:cs="Times New Roman"/>
          <w:szCs w:val="21"/>
          <w:highlight w:val="none"/>
          <w:shd w:val="clear" w:color="auto" w:fill="FFFFFF"/>
          <w:lang w:bidi="ar"/>
        </w:rPr>
        <w:t>因采购包2主要工作内容是对采购包1的运维工作进行质量控制和检查，为确保监测和质控工作分开，如投标人同时被评标委员会推荐为采购包1和采购包2的排名第一中标候选人，则该投标人将被确定为采购包1的中标人，采购包2由评标委员会确定排名第二的中标候选人为中标人。除采购包1和采购包2外，其他采购包均可兼投兼中。</w:t>
      </w:r>
    </w:p>
    <w:p w14:paraId="7AAF2539">
      <w:pPr>
        <w:pageBreakBefore w:val="0"/>
        <w:widowControl/>
        <w:kinsoku/>
        <w:wordWrap/>
        <w:overflowPunct/>
        <w:topLinePunct w:val="0"/>
        <w:bidi w:val="0"/>
        <w:spacing w:line="360" w:lineRule="auto"/>
        <w:ind w:firstLine="422" w:firstLineChars="200"/>
        <w:jc w:val="left"/>
        <w:rPr>
          <w:rFonts w:hint="default" w:ascii="Times New Roman" w:hAnsi="Times New Roman" w:eastAsia="宋体" w:cs="Times New Roman"/>
          <w:szCs w:val="21"/>
          <w:highlight w:val="none"/>
        </w:rPr>
      </w:pPr>
      <w:r>
        <w:rPr>
          <w:rStyle w:val="51"/>
          <w:rFonts w:hint="default" w:ascii="Times New Roman" w:hAnsi="Times New Roman" w:eastAsia="宋体" w:cs="Times New Roman"/>
          <w:bCs/>
          <w:szCs w:val="21"/>
          <w:highlight w:val="none"/>
          <w:shd w:val="clear" w:color="auto" w:fill="FFFFFF"/>
          <w:lang w:bidi="ar"/>
        </w:rPr>
        <w:t>4、其他补充事宜</w:t>
      </w:r>
    </w:p>
    <w:p w14:paraId="3581F691">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4.1本项目在</w:t>
      </w:r>
      <w:r>
        <w:rPr>
          <w:rStyle w:val="51"/>
          <w:rFonts w:hint="default" w:ascii="Times New Roman" w:hAnsi="Times New Roman" w:eastAsia="宋体" w:cs="Times New Roman"/>
          <w:bCs/>
          <w:szCs w:val="21"/>
          <w:highlight w:val="none"/>
          <w:u w:val="single"/>
          <w:shd w:val="clear" w:color="auto" w:fill="FFFFFF"/>
          <w:lang w:bidi="ar"/>
        </w:rPr>
        <w:t>江苏政府采购网、中国政府采购网</w:t>
      </w:r>
      <w:r>
        <w:rPr>
          <w:rFonts w:hint="default" w:ascii="Times New Roman" w:hAnsi="Times New Roman" w:eastAsia="宋体" w:cs="Times New Roman"/>
          <w:szCs w:val="21"/>
          <w:highlight w:val="none"/>
          <w:shd w:val="clear" w:color="auto" w:fill="FFFFFF"/>
          <w:lang w:bidi="ar"/>
        </w:rPr>
        <w:t>发布公告。</w:t>
      </w:r>
    </w:p>
    <w:p w14:paraId="685C7C91">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shd w:val="clear" w:color="auto" w:fill="FFFFFF"/>
          <w:lang w:bidi="ar"/>
        </w:rPr>
        <w:t>4.2供应商应当从招标代理机构合法获得招标项目的招标文件。</w:t>
      </w:r>
    </w:p>
    <w:p w14:paraId="3CB4F71C">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shd w:val="clear" w:color="auto" w:fill="FFFFFF"/>
          <w:lang w:bidi="ar"/>
        </w:rPr>
      </w:pPr>
      <w:r>
        <w:rPr>
          <w:rFonts w:hint="default" w:ascii="Times New Roman" w:hAnsi="Times New Roman" w:eastAsia="宋体" w:cs="Times New Roman"/>
          <w:szCs w:val="21"/>
          <w:highlight w:val="none"/>
          <w:shd w:val="clear" w:color="auto" w:fill="FFFFFF"/>
          <w:lang w:bidi="ar"/>
        </w:rPr>
        <w:t>4.3勘察现场或答疑，地点：无。</w:t>
      </w:r>
    </w:p>
    <w:p w14:paraId="389C3A5D">
      <w:pPr>
        <w:pageBreakBefore w:val="0"/>
        <w:widowControl/>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shd w:val="clear" w:color="auto" w:fill="FFFFFF"/>
          <w:lang w:bidi="ar"/>
        </w:rPr>
      </w:pPr>
      <w:r>
        <w:rPr>
          <w:rFonts w:hint="default" w:ascii="Times New Roman" w:hAnsi="Times New Roman" w:eastAsia="宋体" w:cs="Times New Roman"/>
          <w:szCs w:val="21"/>
          <w:highlight w:val="none"/>
          <w:shd w:val="clear" w:color="auto" w:fill="FFFFFF"/>
          <w:lang w:bidi="ar"/>
        </w:rPr>
        <w:t>4.4行业划分：其他未列明行业。</w:t>
      </w:r>
    </w:p>
    <w:p w14:paraId="133BD612">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p>
    <w:p w14:paraId="65E76B1F">
      <w:pPr>
        <w:pStyle w:val="4"/>
        <w:keepNext w:val="0"/>
        <w:keepLines w:val="0"/>
        <w:pageBreakBefore w:val="0"/>
        <w:widowControl/>
        <w:kinsoku/>
        <w:wordWrap/>
        <w:overflowPunct/>
        <w:topLinePunct w:val="0"/>
        <w:bidi w:val="0"/>
        <w:spacing w:before="0" w:after="0" w:line="360" w:lineRule="auto"/>
        <w:rPr>
          <w:rFonts w:hint="default" w:ascii="Times New Roman" w:hAnsi="Times New Roman" w:eastAsia="宋体" w:cs="Times New Roman"/>
          <w:sz w:val="21"/>
          <w:szCs w:val="21"/>
          <w:highlight w:val="none"/>
        </w:rPr>
      </w:pPr>
      <w:r>
        <w:rPr>
          <w:rStyle w:val="51"/>
          <w:rFonts w:hint="default" w:ascii="Times New Roman" w:hAnsi="Times New Roman" w:eastAsia="宋体" w:cs="Times New Roman"/>
          <w:b/>
          <w:sz w:val="21"/>
          <w:szCs w:val="21"/>
          <w:highlight w:val="none"/>
          <w:shd w:val="clear" w:color="auto" w:fill="FFFFFF"/>
        </w:rPr>
        <w:t>七、对本次招标提出询问，请按以下方式联系。</w:t>
      </w:r>
    </w:p>
    <w:p w14:paraId="5239194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1.采购人信息 </w:t>
      </w:r>
    </w:p>
    <w:p w14:paraId="3F2761EA">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采购包1、采购包2、采购包3、采购包4、采购包5、采购包6、采购包7、采购包8、采购包9、采购包10、采购包11、采购包12、采购包13</w:t>
      </w:r>
    </w:p>
    <w:p w14:paraId="7CFDB71F">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单位名称：江苏省环境监测中心（本级）</w:t>
      </w:r>
    </w:p>
    <w:p w14:paraId="04122668">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单位地址：南京市建邺区中和路100号</w:t>
      </w:r>
    </w:p>
    <w:p w14:paraId="705985C6">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联系人：田老师</w:t>
      </w:r>
    </w:p>
    <w:p w14:paraId="7CE3AB3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联系电话：025-69586567</w:t>
      </w:r>
    </w:p>
    <w:p w14:paraId="7B7C954D">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2.采购代理机构信息（如有）</w:t>
      </w:r>
    </w:p>
    <w:p w14:paraId="24DF8D91">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单位名称：江苏省设备成套股份有限公司</w:t>
      </w:r>
    </w:p>
    <w:p w14:paraId="61F36A40">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单位地址：江苏省南京市鼓楼区清江南路18号鼓楼创新广场D栋10楼1005室</w:t>
      </w:r>
    </w:p>
    <w:p w14:paraId="4C9E2CDC">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联系人：丁婳婳、丁浩、田文悦</w:t>
      </w:r>
    </w:p>
    <w:p w14:paraId="0D4AB1C9">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联系电话：025-86632192</w:t>
      </w:r>
    </w:p>
    <w:p w14:paraId="4C50C59B">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3.项目联系方式</w:t>
      </w:r>
    </w:p>
    <w:p w14:paraId="58359B92">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shd w:val="clear" w:color="auto" w:fill="FFFFFF"/>
        </w:rPr>
        <w:t>项目联系人：丁婳婳、丁浩、田文悦</w:t>
      </w:r>
    </w:p>
    <w:p w14:paraId="1688A10B">
      <w:pPr>
        <w:pStyle w:val="44"/>
        <w:pageBreakBefore w:val="0"/>
        <w:kinsoku/>
        <w:wordWrap/>
        <w:overflowPunct/>
        <w:topLinePunct w:val="0"/>
        <w:bidi w:val="0"/>
        <w:spacing w:before="0" w:beforeAutospacing="0" w:after="0" w:afterAutospacing="0" w:line="360" w:lineRule="auto"/>
        <w:ind w:firstLine="420" w:firstLineChars="200"/>
        <w:rPr>
          <w:rFonts w:hint="default" w:ascii="Times New Roman" w:hAnsi="Times New Roman" w:eastAsia="宋体" w:cs="Times New Roman"/>
          <w:sz w:val="21"/>
          <w:szCs w:val="21"/>
          <w:highlight w:val="none"/>
          <w:shd w:val="clear" w:color="auto" w:fill="FFFFFF"/>
        </w:rPr>
      </w:pPr>
      <w:r>
        <w:rPr>
          <w:rFonts w:hint="default" w:ascii="Times New Roman" w:hAnsi="Times New Roman" w:eastAsia="宋体" w:cs="Times New Roman"/>
          <w:sz w:val="21"/>
          <w:szCs w:val="21"/>
          <w:highlight w:val="none"/>
          <w:shd w:val="clear" w:color="auto" w:fill="FFFFFF"/>
        </w:rPr>
        <w:t>电话：025-86632192/15298351627</w:t>
      </w:r>
    </w:p>
    <w:p w14:paraId="2035E6EE">
      <w:pPr>
        <w:pageBreakBefore w:val="0"/>
        <w:kinsoku/>
        <w:wordWrap/>
        <w:overflowPunct/>
        <w:topLinePunct w:val="0"/>
        <w:bidi w:val="0"/>
        <w:rPr>
          <w:rFonts w:hint="default" w:ascii="Times New Roman" w:hAnsi="Times New Roman" w:eastAsia="宋体" w:cs="Times New Roman"/>
          <w:sz w:val="28"/>
          <w:szCs w:val="28"/>
          <w:highlight w:val="none"/>
          <w:shd w:val="clear" w:color="auto" w:fill="FFFFFF"/>
        </w:rPr>
      </w:pPr>
      <w:r>
        <w:rPr>
          <w:rFonts w:hint="default" w:ascii="Times New Roman" w:hAnsi="Times New Roman" w:eastAsia="宋体" w:cs="Times New Roman"/>
          <w:sz w:val="28"/>
          <w:szCs w:val="28"/>
          <w:highlight w:val="none"/>
          <w:shd w:val="clear" w:color="auto" w:fill="FFFFFF"/>
        </w:rPr>
        <w:br w:type="page"/>
      </w:r>
    </w:p>
    <w:p w14:paraId="2E90A8EB">
      <w:pPr>
        <w:pStyle w:val="44"/>
        <w:pageBreakBefore w:val="0"/>
        <w:kinsoku/>
        <w:wordWrap/>
        <w:overflowPunct/>
        <w:topLinePunct w:val="0"/>
        <w:bidi w:val="0"/>
        <w:spacing w:before="0" w:beforeAutospacing="0" w:after="0" w:afterAutospacing="0"/>
        <w:rPr>
          <w:rFonts w:hint="default" w:ascii="Times New Roman" w:hAnsi="Times New Roman" w:eastAsia="宋体" w:cs="Times New Roman"/>
          <w:sz w:val="28"/>
          <w:szCs w:val="28"/>
          <w:highlight w:val="none"/>
          <w:shd w:val="clear" w:color="auto" w:fill="FFFFFF"/>
        </w:rPr>
      </w:pPr>
    </w:p>
    <w:p w14:paraId="6F7D4D33">
      <w:pPr>
        <w:pStyle w:val="3"/>
        <w:pageBreakBefore w:val="0"/>
        <w:kinsoku/>
        <w:wordWrap/>
        <w:overflowPunct/>
        <w:topLinePunct w:val="0"/>
        <w:bidi w:val="0"/>
        <w:spacing w:before="0" w:after="0"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 投标人须知</w:t>
      </w:r>
      <w:bookmarkEnd w:id="4"/>
      <w:bookmarkEnd w:id="5"/>
    </w:p>
    <w:p w14:paraId="3E95DC4A">
      <w:pPr>
        <w:pageBreakBefore w:val="0"/>
        <w:widowControl/>
        <w:shd w:val="clear" w:color="auto" w:fill="FFFFFF"/>
        <w:kinsoku/>
        <w:wordWrap/>
        <w:overflowPunct/>
        <w:topLinePunct w:val="0"/>
        <w:bidi w:val="0"/>
        <w:spacing w:line="360" w:lineRule="auto"/>
        <w:ind w:firstLine="424" w:firstLineChars="201"/>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一、总 则</w:t>
      </w:r>
    </w:p>
    <w:p w14:paraId="05AE55D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1、适用法律</w:t>
      </w:r>
    </w:p>
    <w:p w14:paraId="6CA40B9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47FA7F3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2、定义</w:t>
      </w:r>
    </w:p>
    <w:p w14:paraId="60AE4342">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2.1“采购人”是指依法进行政府采购的国家机关、事业单位、团体组织。</w:t>
      </w:r>
    </w:p>
    <w:p w14:paraId="41C22D8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2.2“供应商（供应商）”是指参加投标竞争，并符合招标文件规定资格条件的法人、其他组织或者自然人。</w:t>
      </w:r>
    </w:p>
    <w:p w14:paraId="1E64087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2.3“采购代理机构”是指集中采购机构和集中采购机构以外的采购代理机构，集中采购机构以外的采购代理机构，是从事采购代理业务的社会中介机构。</w:t>
      </w:r>
    </w:p>
    <w:p w14:paraId="4EFA701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2.4“货物和服务”指本招标文件中所述</w:t>
      </w:r>
      <w:r>
        <w:rPr>
          <w:rFonts w:hint="default" w:ascii="Times New Roman" w:hAnsi="Times New Roman" w:eastAsia="宋体" w:cs="Times New Roman"/>
          <w:bCs/>
          <w:szCs w:val="21"/>
          <w:highlight w:val="none"/>
        </w:rPr>
        <w:t>产品</w:t>
      </w:r>
      <w:r>
        <w:rPr>
          <w:rFonts w:hint="default" w:ascii="Times New Roman" w:hAnsi="Times New Roman" w:eastAsia="宋体" w:cs="Times New Roman"/>
          <w:szCs w:val="21"/>
          <w:highlight w:val="none"/>
        </w:rPr>
        <w:t>及相关服务。</w:t>
      </w:r>
    </w:p>
    <w:p w14:paraId="067D5D2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2.5“用户或使用单位”是指使用货物，接受服务的单位。</w:t>
      </w:r>
    </w:p>
    <w:p w14:paraId="00C17781">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3、政策功能</w:t>
      </w:r>
    </w:p>
    <w:p w14:paraId="496D70F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第六章），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6790BCF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18A923E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596E2E4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供应商应当提供国家确定的认证机构出具的、处于有效期之内的节能产品、环境标志产品认证证书。</w:t>
      </w:r>
    </w:p>
    <w:p w14:paraId="733644C2">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3.5强制采购信息安全产品。参加政府采购活动的信息安全产品供应商应当选择经国家认证的信息安全产品投标，并提供由国家信息安全认证中心按国家标准认证颁发的有效认证证书。</w:t>
      </w:r>
    </w:p>
    <w:p w14:paraId="6E65D64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3.6进口产品政策</w:t>
      </w:r>
    </w:p>
    <w:p w14:paraId="3C779CF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（1）除采购公告载明接受进口产品参加外，不允许进口产品参加。进口产品认定依照《财政部关于政府采购进口产品管理有关问题的通知》（财办库〔2008〕248号）的规定。</w:t>
      </w:r>
    </w:p>
    <w:p w14:paraId="2558AF11">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（2）允许进口产品参加的，满足需求的国内产品可以参加。</w:t>
      </w:r>
    </w:p>
    <w:p w14:paraId="521B603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（3）允许进口产品参加的，优先采购向我国企业转让技术、与我国企业签订消化吸收再创新方案的供应商的进口产品。</w:t>
      </w:r>
    </w:p>
    <w:p w14:paraId="18D56BF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3.7未按要求提供相关材料的，不享受相关政策。</w:t>
      </w:r>
    </w:p>
    <w:p w14:paraId="5734D0C9">
      <w:pPr>
        <w:pageBreakBefore w:val="0"/>
        <w:widowControl/>
        <w:shd w:val="clear" w:color="auto" w:fill="FFFFFF"/>
        <w:kinsoku/>
        <w:wordWrap/>
        <w:overflowPunct/>
        <w:topLinePunct w:val="0"/>
        <w:bidi w:val="0"/>
        <w:spacing w:line="360" w:lineRule="auto"/>
        <w:ind w:firstLine="412"/>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二、招标文件构成</w:t>
      </w:r>
    </w:p>
    <w:p w14:paraId="697E3CC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4、招标文件组成</w:t>
      </w:r>
    </w:p>
    <w:p w14:paraId="0EDE60E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招标文件包括以下主要内容：采购公告；供应商须知；供应商应当提交的资格、资信证明文件；为落实政府采购政策，采购标的需满足的要求，以及供应商须提供的证明材料；投标文件编制要求、投标报价要求；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供应商信用信息查询渠道及截止时点、信用信息查询记录和证据留存的具体方式、信用信息的使用规则等；省级以上财政部门规定的其他事项。</w:t>
      </w:r>
    </w:p>
    <w:p w14:paraId="1C6009D4">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 招标的最小单位是标段。招标货物数量及技术要求中未分标段的，供应商对要求提供的货物和服务不得部分投标；招标货物数量及技术要求中已经分标段的，可以以标段为单位投标。</w:t>
      </w:r>
    </w:p>
    <w:p w14:paraId="4623EC1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 采购代理机构如果要求供应商按照招标文件规定提交备选投标方案的，供应商可以提交备选方案；否则，备选方案将被拒绝。</w:t>
      </w:r>
    </w:p>
    <w:p w14:paraId="078B209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4.4招标文件中要求的产品品牌或型号，是采购人根据项目所要实现的功能推荐的品牌或型号，仅供供应商参考，并不是限制条件。</w:t>
      </w:r>
    </w:p>
    <w:p w14:paraId="691BDF8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5、招标文件的澄清或者修改</w:t>
      </w:r>
    </w:p>
    <w:p w14:paraId="4B85A244">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5A5F73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14:paraId="585F7F4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三、投标文件的编制</w:t>
      </w:r>
    </w:p>
    <w:p w14:paraId="084F988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6、投标文件的语言、计量单位、货币和编制</w:t>
      </w:r>
    </w:p>
    <w:p w14:paraId="6C899CC9">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供应商提交的投标文件、技术文件和资料，包括图纸中的说明，以及供应商与采购代理机构就有关投标的所有来往函电均应使用中文。投标文件中若有英文或其他语言文字的资料，应提供相应的中文翻译资料。对不同文本投标文件的解释发生异议的，以中文文本为准。</w:t>
      </w:r>
    </w:p>
    <w:p w14:paraId="78D4F18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6.2供应商所使用的计量单位应为国家法定计量单位。</w:t>
      </w:r>
    </w:p>
    <w:p w14:paraId="0F1BC42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6.3供应商应用人民币报价。投标产品如果是进口产品的，应提供人民币与</w:t>
      </w:r>
      <w:r>
        <w:rPr>
          <w:rFonts w:hint="default" w:ascii="Times New Roman" w:hAnsi="Times New Roman" w:eastAsia="宋体" w:cs="Times New Roman"/>
          <w:b/>
          <w:bCs/>
          <w:szCs w:val="21"/>
          <w:highlight w:val="none"/>
        </w:rPr>
        <w:t>外币之间的汇率。</w:t>
      </w:r>
    </w:p>
    <w:p w14:paraId="6A4EF30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6.4投标文件应按照招标文件规定的顺序打印、装订成册并编制目录。因编排混乱导致投标文件被误读或查找不到，责任由供应商承担。</w:t>
      </w:r>
    </w:p>
    <w:p w14:paraId="32C4648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6.5供应商应在投标文件中写清相应的项目编号、项目名称、供应商全称、地址、电话、传真等。</w:t>
      </w:r>
    </w:p>
    <w:p w14:paraId="2598F0B3">
      <w:pPr>
        <w:pageBreakBefore w:val="0"/>
        <w:widowControl/>
        <w:shd w:val="clear" w:color="auto" w:fill="FFFFFF"/>
        <w:kinsoku/>
        <w:wordWrap/>
        <w:overflowPunct/>
        <w:topLinePunct w:val="0"/>
        <w:bidi w:val="0"/>
        <w:spacing w:line="360" w:lineRule="auto"/>
        <w:ind w:firstLine="412"/>
        <w:rPr>
          <w:rFonts w:hint="default" w:ascii="Times New Roman" w:hAnsi="Times New Roman" w:eastAsia="宋体" w:cs="Times New Roman"/>
          <w:b/>
          <w:bCs/>
          <w:szCs w:val="21"/>
          <w:highlight w:val="none"/>
        </w:rPr>
      </w:pPr>
      <w:r>
        <w:rPr>
          <w:rFonts w:hint="default" w:ascii="Times New Roman" w:hAnsi="Times New Roman" w:eastAsia="宋体" w:cs="Times New Roman"/>
          <w:bCs/>
          <w:szCs w:val="21"/>
          <w:highlight w:val="none"/>
        </w:rPr>
        <w:t>6.6</w:t>
      </w:r>
      <w:r>
        <w:rPr>
          <w:rFonts w:hint="default" w:ascii="Times New Roman" w:hAnsi="Times New Roman" w:eastAsia="宋体" w:cs="Times New Roman"/>
          <w:szCs w:val="21"/>
          <w:highlight w:val="none"/>
        </w:rPr>
        <w:t>供应商根据招标文件载明的标的采购项目实际情况，拟在中标后将中标项目的非主体、非关键性工作交由他人完成的，应当在投标文件中载明。</w:t>
      </w:r>
    </w:p>
    <w:p w14:paraId="12635F9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7、联合体投标</w:t>
      </w:r>
    </w:p>
    <w:p w14:paraId="4EADE40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7.1 两个以上的自然人、法人或者其他组织可以组成一个联合体，以一个供应商的身份共同参加政府采购。</w:t>
      </w:r>
    </w:p>
    <w:p w14:paraId="39A7754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7.2 联合体中有同类资质的供应商按照联合体分工承担相同工作的，按照资质等级较低的供应商确定资质等级。</w:t>
      </w:r>
    </w:p>
    <w:p w14:paraId="38E6CAB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7.3 联合体各方之间应当签订联合体协议，明确约定联合体各方承担的工作和相应的责任，并将联合体协议连同投标文件一同提交。</w:t>
      </w:r>
    </w:p>
    <w:p w14:paraId="2BBB35CE">
      <w:pPr>
        <w:pageBreakBefore w:val="0"/>
        <w:widowControl/>
        <w:shd w:val="clear" w:color="auto" w:fill="FFFFFF"/>
        <w:kinsoku/>
        <w:wordWrap/>
        <w:overflowPunct/>
        <w:topLinePunct w:val="0"/>
        <w:bidi w:val="0"/>
        <w:spacing w:line="360" w:lineRule="auto"/>
        <w:ind w:firstLine="412"/>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7.4 以联合体形式参加政府采购活动的，联合体各方不得再单独参加或者与其他供应商另外组成联合体参加同一合同项下的政府采购活动。</w:t>
      </w:r>
    </w:p>
    <w:p w14:paraId="203E1FA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8、投标文件的组成</w:t>
      </w:r>
    </w:p>
    <w:p w14:paraId="33C9F3E1">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8.1供应商应当根据招标文件要求编制投标文件，投标文件应对招标文件提出的要求和条件作出实质性响应，并在《商务条款偏离表》和《采购需求偏离表》等处逐条标明满足与否。</w:t>
      </w:r>
      <w:r>
        <w:rPr>
          <w:rFonts w:hint="default" w:ascii="Times New Roman" w:hAnsi="Times New Roman" w:eastAsia="宋体" w:cs="Times New Roman"/>
          <w:b/>
          <w:szCs w:val="21"/>
          <w:highlight w:val="none"/>
        </w:rPr>
        <w:t>对带</w:t>
      </w:r>
      <w:r>
        <w:rPr>
          <w:rFonts w:hint="default" w:ascii="Times New Roman" w:hAnsi="Times New Roman" w:eastAsia="宋体" w:cs="Times New Roman"/>
          <w:b/>
          <w:bCs/>
          <w:szCs w:val="21"/>
          <w:highlight w:val="none"/>
        </w:rPr>
        <w:t>星号（“</w:t>
      </w:r>
      <w:r>
        <w:rPr>
          <w:rFonts w:hint="default" w:ascii="Times New Roman" w:hAnsi="Times New Roman" w:eastAsia="宋体" w:cs="Times New Roman"/>
          <w:szCs w:val="21"/>
          <w:highlight w:val="none"/>
        </w:rPr>
        <w:t>*</w:t>
      </w:r>
      <w:r>
        <w:rPr>
          <w:rFonts w:hint="default" w:ascii="Times New Roman" w:hAnsi="Times New Roman" w:eastAsia="宋体" w:cs="Times New Roman"/>
          <w:b/>
          <w:bCs/>
          <w:szCs w:val="21"/>
          <w:highlight w:val="none"/>
        </w:rPr>
        <w:t>”）的技术条款必须在投标文件中提供技术支持资料（如白皮书、彩页、手册、检测报告等），未提供技术支持资料的，视为未对招标文件实质性要求作出响应，评审时不予认可。</w:t>
      </w:r>
    </w:p>
    <w:p w14:paraId="4382704D">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8.2 投标文件由商务、技术、价格以及其他部分内容组成。投标文件目录及有关格式按招标文件“第六章 投标文件格式及附件”的要求编制。</w:t>
      </w:r>
    </w:p>
    <w:p w14:paraId="173D131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9、投标文件的商务内容</w:t>
      </w:r>
    </w:p>
    <w:p w14:paraId="08F9EB6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9.1商务部分内容是证明供应商有资格参加投标和中标后有能力履行合同的文件，这些文件应能满足招标的要求，包括但不限于下列文件（</w:t>
      </w:r>
      <w:r>
        <w:rPr>
          <w:rFonts w:hint="default" w:ascii="Times New Roman" w:hAnsi="Times New Roman" w:eastAsia="宋体" w:cs="Times New Roman"/>
          <w:b/>
          <w:szCs w:val="21"/>
          <w:highlight w:val="none"/>
        </w:rPr>
        <w:t>（1）-（5）所述材料不得有缺失或提供不全或不满足招标文件的实质性要求</w:t>
      </w:r>
      <w:r>
        <w:rPr>
          <w:rFonts w:hint="default" w:ascii="Times New Roman" w:hAnsi="Times New Roman" w:eastAsia="宋体" w:cs="Times New Roman"/>
          <w:szCs w:val="21"/>
          <w:highlight w:val="none"/>
        </w:rPr>
        <w:t>）：</w:t>
      </w:r>
    </w:p>
    <w:p w14:paraId="0DBA909E">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（1）投标函（投标申请及声明）</w:t>
      </w:r>
      <w:r>
        <w:rPr>
          <w:rFonts w:hint="default" w:ascii="Times New Roman" w:hAnsi="Times New Roman" w:eastAsia="宋体" w:cs="Times New Roman"/>
          <w:bCs/>
          <w:szCs w:val="21"/>
          <w:highlight w:val="none"/>
        </w:rPr>
        <w:t>（</w:t>
      </w:r>
      <w:r>
        <w:rPr>
          <w:rFonts w:hint="default" w:ascii="Times New Roman" w:hAnsi="Times New Roman" w:eastAsia="宋体" w:cs="Times New Roman"/>
          <w:b/>
          <w:bCs/>
          <w:szCs w:val="21"/>
          <w:highlight w:val="none"/>
        </w:rPr>
        <w:t>格式见第六章</w:t>
      </w:r>
      <w:r>
        <w:rPr>
          <w:rFonts w:hint="default" w:ascii="Times New Roman" w:hAnsi="Times New Roman" w:eastAsia="宋体" w:cs="Times New Roman"/>
          <w:bCs/>
          <w:szCs w:val="21"/>
          <w:highlight w:val="none"/>
        </w:rPr>
        <w:t>）</w:t>
      </w:r>
      <w:r>
        <w:rPr>
          <w:rFonts w:hint="default" w:ascii="Times New Roman" w:hAnsi="Times New Roman" w:eastAsia="宋体" w:cs="Times New Roman"/>
          <w:szCs w:val="21"/>
          <w:highlight w:val="none"/>
        </w:rPr>
        <w:t>；</w:t>
      </w:r>
    </w:p>
    <w:p w14:paraId="40B34A1E">
      <w:pPr>
        <w:pageBreakBefore w:val="0"/>
        <w:widowControl/>
        <w:shd w:val="clear" w:color="auto" w:fill="FFFFFF"/>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（2）法定代表人授权书及委托代理人的身份证明文件的复印件</w:t>
      </w:r>
      <w:r>
        <w:rPr>
          <w:rFonts w:hint="default" w:ascii="Times New Roman" w:hAnsi="Times New Roman" w:eastAsia="宋体" w:cs="Times New Roman"/>
          <w:bCs/>
          <w:szCs w:val="21"/>
          <w:highlight w:val="none"/>
        </w:rPr>
        <w:t>（</w:t>
      </w:r>
      <w:r>
        <w:rPr>
          <w:rFonts w:hint="default" w:ascii="Times New Roman" w:hAnsi="Times New Roman" w:eastAsia="宋体" w:cs="Times New Roman"/>
          <w:b/>
          <w:bCs/>
          <w:szCs w:val="21"/>
          <w:highlight w:val="none"/>
        </w:rPr>
        <w:t>格式见第六章</w:t>
      </w:r>
      <w:r>
        <w:rPr>
          <w:rFonts w:hint="default" w:ascii="Times New Roman" w:hAnsi="Times New Roman" w:eastAsia="宋体" w:cs="Times New Roman"/>
          <w:bCs/>
          <w:szCs w:val="21"/>
          <w:highlight w:val="none"/>
        </w:rPr>
        <w:t>）</w:t>
      </w:r>
      <w:r>
        <w:rPr>
          <w:rFonts w:hint="default" w:ascii="Times New Roman" w:hAnsi="Times New Roman" w:eastAsia="宋体" w:cs="Times New Roman"/>
          <w:szCs w:val="21"/>
          <w:highlight w:val="none"/>
        </w:rPr>
        <w:t>；</w:t>
      </w:r>
    </w:p>
    <w:p w14:paraId="1019619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（3）供应商资格资信证明文件：</w:t>
      </w:r>
    </w:p>
    <w:p w14:paraId="1929D1C3">
      <w:pPr>
        <w:pStyle w:val="301"/>
        <w:pageBreakBefore w:val="0"/>
        <w:numPr>
          <w:ilvl w:val="1"/>
          <w:numId w:val="4"/>
        </w:numPr>
        <w:tabs>
          <w:tab w:val="left" w:pos="840"/>
          <w:tab w:val="clear" w:pos="990"/>
        </w:tabs>
        <w:kinsoku/>
        <w:wordWrap/>
        <w:overflowPunct/>
        <w:topLinePunct w:val="0"/>
        <w:bidi w:val="0"/>
        <w:spacing w:line="360" w:lineRule="auto"/>
        <w:ind w:left="0" w:firstLine="367" w:firstLineChars="175"/>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第一章采购公告中 2.1《中华人民共和国政府采购法》规定的资格条件证明文件；</w:t>
      </w:r>
    </w:p>
    <w:p w14:paraId="64D66E4C">
      <w:pPr>
        <w:pStyle w:val="301"/>
        <w:pageBreakBefore w:val="0"/>
        <w:numPr>
          <w:ilvl w:val="1"/>
          <w:numId w:val="4"/>
        </w:numPr>
        <w:tabs>
          <w:tab w:val="left" w:pos="840"/>
          <w:tab w:val="clear" w:pos="990"/>
        </w:tabs>
        <w:kinsoku/>
        <w:wordWrap/>
        <w:overflowPunct/>
        <w:topLinePunct w:val="0"/>
        <w:bidi w:val="0"/>
        <w:spacing w:line="360" w:lineRule="auto"/>
        <w:ind w:left="0" w:firstLine="367" w:firstLineChars="175"/>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第一章采购公告中 2.2</w:t>
      </w:r>
      <w:r>
        <w:rPr>
          <w:rFonts w:hint="default" w:ascii="Times New Roman" w:hAnsi="Times New Roman" w:eastAsia="宋体" w:cs="Times New Roman"/>
          <w:spacing w:val="8"/>
          <w:szCs w:val="21"/>
          <w:highlight w:val="none"/>
        </w:rPr>
        <w:t>落实政府采购政策需满足的资格要求；</w:t>
      </w:r>
    </w:p>
    <w:p w14:paraId="3A5BB2D0">
      <w:pPr>
        <w:pStyle w:val="301"/>
        <w:pageBreakBefore w:val="0"/>
        <w:numPr>
          <w:ilvl w:val="1"/>
          <w:numId w:val="4"/>
        </w:numPr>
        <w:tabs>
          <w:tab w:val="left" w:pos="840"/>
          <w:tab w:val="clear" w:pos="990"/>
        </w:tabs>
        <w:kinsoku/>
        <w:wordWrap/>
        <w:overflowPunct/>
        <w:topLinePunct w:val="0"/>
        <w:bidi w:val="0"/>
        <w:spacing w:line="360" w:lineRule="auto"/>
        <w:ind w:left="0" w:firstLine="367" w:firstLineChars="175"/>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第一章采购公告中 2.3 采购人根据采购项目的特殊要求规定的特定条件证明文件。</w:t>
      </w:r>
    </w:p>
    <w:p w14:paraId="26D269C0">
      <w:pPr>
        <w:pageBreakBefore w:val="0"/>
        <w:widowControl/>
        <w:shd w:val="clear" w:color="auto" w:fill="FFFFFF"/>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（4）开标一览表及附表</w:t>
      </w:r>
      <w:r>
        <w:rPr>
          <w:rFonts w:hint="default" w:ascii="Times New Roman" w:hAnsi="Times New Roman" w:eastAsia="宋体" w:cs="Times New Roman"/>
          <w:bCs/>
          <w:szCs w:val="21"/>
          <w:highlight w:val="none"/>
        </w:rPr>
        <w:t>（</w:t>
      </w:r>
      <w:r>
        <w:rPr>
          <w:rFonts w:hint="default" w:ascii="Times New Roman" w:hAnsi="Times New Roman" w:eastAsia="宋体" w:cs="Times New Roman"/>
          <w:b/>
          <w:bCs/>
          <w:szCs w:val="21"/>
          <w:highlight w:val="none"/>
        </w:rPr>
        <w:t>格式见第六章</w:t>
      </w:r>
      <w:r>
        <w:rPr>
          <w:rFonts w:hint="default" w:ascii="Times New Roman" w:hAnsi="Times New Roman" w:eastAsia="宋体" w:cs="Times New Roman"/>
          <w:bCs/>
          <w:szCs w:val="21"/>
          <w:highlight w:val="none"/>
        </w:rPr>
        <w:t>）；</w:t>
      </w:r>
    </w:p>
    <w:p w14:paraId="33D3AB3B">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（5）《商务条款偏离表》；</w:t>
      </w:r>
    </w:p>
    <w:p w14:paraId="7939A1C8">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（6）第三章评标标准中对应的所需证明材料；</w:t>
      </w:r>
    </w:p>
    <w:p w14:paraId="2A6483FC">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（7）其它。</w:t>
      </w:r>
    </w:p>
    <w:p w14:paraId="29EE5BDF">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10、投标文件的技术内容</w:t>
      </w:r>
    </w:p>
    <w:p w14:paraId="1E43ED97">
      <w:pPr>
        <w:pageBreakBefore w:val="0"/>
        <w:widowControl/>
        <w:kinsoku/>
        <w:wordWrap/>
        <w:overflowPunct/>
        <w:topLinePunct w:val="0"/>
        <w:bidi w:val="0"/>
        <w:adjustRightInd w:val="0"/>
        <w:spacing w:line="360" w:lineRule="auto"/>
        <w:ind w:firstLine="420"/>
        <w:jc w:val="left"/>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技术部分</w:t>
      </w:r>
      <w:r>
        <w:rPr>
          <w:rFonts w:hint="default" w:ascii="Times New Roman" w:hAnsi="Times New Roman" w:eastAsia="宋体" w:cs="Times New Roman"/>
          <w:szCs w:val="21"/>
          <w:highlight w:val="none"/>
        </w:rPr>
        <w:t>内容</w:t>
      </w:r>
      <w:r>
        <w:rPr>
          <w:rFonts w:hint="default" w:ascii="Times New Roman" w:hAnsi="Times New Roman" w:eastAsia="宋体" w:cs="Times New Roman"/>
          <w:szCs w:val="21"/>
          <w:highlight w:val="none"/>
          <w:lang w:val="zh-CN"/>
        </w:rPr>
        <w:t>是证明</w:t>
      </w:r>
      <w:r>
        <w:rPr>
          <w:rFonts w:hint="default" w:ascii="Times New Roman" w:hAnsi="Times New Roman" w:eastAsia="宋体" w:cs="Times New Roman"/>
          <w:szCs w:val="21"/>
          <w:highlight w:val="none"/>
        </w:rPr>
        <w:t>供应商提供的货物和服务是合格的、并符合招标文件要求的证明文件，以及</w:t>
      </w:r>
      <w:r>
        <w:rPr>
          <w:rFonts w:hint="default" w:ascii="Times New Roman" w:hAnsi="Times New Roman" w:eastAsia="宋体" w:cs="Times New Roman"/>
          <w:szCs w:val="21"/>
          <w:highlight w:val="none"/>
          <w:lang w:val="zh-CN"/>
        </w:rPr>
        <w:t>对货物和服务的详细说明，这些文件可以是文字资料、图纸、数据</w:t>
      </w:r>
      <w:r>
        <w:rPr>
          <w:rFonts w:hint="default" w:ascii="Times New Roman" w:hAnsi="Times New Roman" w:eastAsia="宋体" w:cs="Times New Roman"/>
          <w:szCs w:val="21"/>
          <w:highlight w:val="none"/>
        </w:rPr>
        <w:t>或其他证明文件</w:t>
      </w:r>
      <w:r>
        <w:rPr>
          <w:rFonts w:hint="default" w:ascii="Times New Roman" w:hAnsi="Times New Roman" w:eastAsia="宋体" w:cs="Times New Roman"/>
          <w:szCs w:val="21"/>
          <w:highlight w:val="none"/>
          <w:lang w:val="zh-CN"/>
        </w:rPr>
        <w:t>等。提供的货物和服务如与招标文件要求有不符之处，应说明其差别之所在。包括但不限于下列文件：</w:t>
      </w:r>
    </w:p>
    <w:p w14:paraId="150FB5ED">
      <w:pPr>
        <w:pageBreakBefore w:val="0"/>
        <w:widowControl/>
        <w:kinsoku/>
        <w:wordWrap/>
        <w:overflowPunct/>
        <w:topLinePunct w:val="0"/>
        <w:bidi w:val="0"/>
        <w:adjustRightInd w:val="0"/>
        <w:spacing w:line="360" w:lineRule="auto"/>
        <w:ind w:firstLine="420"/>
        <w:jc w:val="left"/>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（1）技术说明或服务方案；</w:t>
      </w:r>
    </w:p>
    <w:p w14:paraId="266BC5E7">
      <w:pPr>
        <w:pageBreakBefore w:val="0"/>
        <w:widowControl/>
        <w:kinsoku/>
        <w:wordWrap/>
        <w:overflowPunct/>
        <w:topLinePunct w:val="0"/>
        <w:bidi w:val="0"/>
        <w:adjustRightInd w:val="0"/>
        <w:spacing w:line="360" w:lineRule="auto"/>
        <w:ind w:firstLine="420"/>
        <w:jc w:val="left"/>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（2）《采购需求偏离表》；</w:t>
      </w:r>
    </w:p>
    <w:p w14:paraId="6DD02553">
      <w:pPr>
        <w:pageBreakBefore w:val="0"/>
        <w:widowControl/>
        <w:kinsoku/>
        <w:wordWrap/>
        <w:overflowPunct/>
        <w:topLinePunct w:val="0"/>
        <w:bidi w:val="0"/>
        <w:adjustRightInd w:val="0"/>
        <w:spacing w:line="360" w:lineRule="auto"/>
        <w:ind w:firstLine="420"/>
        <w:jc w:val="left"/>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（3）服务承诺；</w:t>
      </w:r>
    </w:p>
    <w:p w14:paraId="1DB7E7EC">
      <w:pPr>
        <w:pageBreakBefore w:val="0"/>
        <w:widowControl/>
        <w:kinsoku/>
        <w:wordWrap/>
        <w:overflowPunct/>
        <w:topLinePunct w:val="0"/>
        <w:bidi w:val="0"/>
        <w:adjustRightInd w:val="0"/>
        <w:spacing w:line="360" w:lineRule="auto"/>
        <w:ind w:firstLine="420"/>
        <w:jc w:val="left"/>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（4）供应商拟投入本项目的设备、人员情况一览表；</w:t>
      </w:r>
    </w:p>
    <w:p w14:paraId="55CD0478">
      <w:pPr>
        <w:pageBreakBefore w:val="0"/>
        <w:widowControl/>
        <w:kinsoku/>
        <w:wordWrap/>
        <w:overflowPunct/>
        <w:topLinePunct w:val="0"/>
        <w:bidi w:val="0"/>
        <w:adjustRightInd w:val="0"/>
        <w:spacing w:line="360" w:lineRule="auto"/>
        <w:ind w:firstLine="420"/>
        <w:jc w:val="left"/>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（5）供应商认为需要提供的其他技术资料。</w:t>
      </w:r>
    </w:p>
    <w:p w14:paraId="23D4EE3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11、投标文件的价格内容</w:t>
      </w:r>
    </w:p>
    <w:p w14:paraId="6264485E">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11.1价格部分内容是对采购标的价格构成的说明，招标文件如无特别说明，每一项货物及服务仅接受一个价格。</w:t>
      </w:r>
    </w:p>
    <w:p w14:paraId="1E9516C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default" w:ascii="Times New Roman" w:hAnsi="Times New Roman" w:eastAsia="宋体" w:cs="Times New Roman"/>
          <w:szCs w:val="21"/>
          <w:highlight w:val="none"/>
          <w:lang w:val="zh-CN"/>
        </w:rPr>
        <w:t>，</w:t>
      </w:r>
      <w:r>
        <w:rPr>
          <w:rFonts w:hint="default" w:ascii="Times New Roman" w:hAnsi="Times New Roman" w:eastAsia="宋体" w:cs="Times New Roman"/>
          <w:bCs/>
          <w:szCs w:val="21"/>
          <w:highlight w:val="none"/>
        </w:rPr>
        <w:t>以</w:t>
      </w:r>
      <w:r>
        <w:rPr>
          <w:rFonts w:hint="default" w:ascii="Times New Roman" w:hAnsi="Times New Roman" w:eastAsia="宋体" w:cs="Times New Roman"/>
          <w:szCs w:val="21"/>
          <w:highlight w:val="none"/>
        </w:rPr>
        <w:t>及供应商认为需要的其他费用等</w:t>
      </w:r>
      <w:r>
        <w:rPr>
          <w:rFonts w:hint="default" w:ascii="Times New Roman" w:hAnsi="Times New Roman" w:eastAsia="宋体" w:cs="Times New Roman"/>
          <w:b/>
          <w:szCs w:val="21"/>
          <w:highlight w:val="none"/>
        </w:rPr>
        <w:t>。</w:t>
      </w:r>
    </w:p>
    <w:p w14:paraId="253AC42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11.3供应商的任何错漏、优惠、竞争性报价不得作为减轻责任、减少服务、增加收费、降低质量的理由。</w:t>
      </w:r>
    </w:p>
    <w:p w14:paraId="5643DEA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w:t>
      </w:r>
      <w:r>
        <w:rPr>
          <w:rFonts w:hint="default" w:ascii="Times New Roman" w:hAnsi="Times New Roman" w:eastAsia="宋体" w:cs="Times New Roman"/>
          <w:b/>
          <w:bCs/>
          <w:szCs w:val="21"/>
          <w:highlight w:val="none"/>
        </w:rPr>
        <w:t>无效投标处理</w:t>
      </w:r>
      <w:r>
        <w:rPr>
          <w:rFonts w:hint="default" w:ascii="Times New Roman" w:hAnsi="Times New Roman" w:eastAsia="宋体" w:cs="Times New Roman"/>
          <w:szCs w:val="21"/>
          <w:highlight w:val="none"/>
        </w:rPr>
        <w:t>。</w:t>
      </w:r>
    </w:p>
    <w:p w14:paraId="0A65CBB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11.5 供应商应在《开标一览表》《分项报价表》等标明投标货物和服务的单价、总价以及分项报价等。</w:t>
      </w:r>
    </w:p>
    <w:p w14:paraId="51FBB24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11.6 本项目预算为：详见第一章。</w:t>
      </w:r>
    </w:p>
    <w:p w14:paraId="7DA3EA0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12、投标文件的其他部分</w:t>
      </w:r>
    </w:p>
    <w:p w14:paraId="777580A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12.1 其他部分由供应商根据编制投标文件需要提供的其他相关文件组成。</w:t>
      </w:r>
    </w:p>
    <w:p w14:paraId="4EEBFEB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13、投标保证金：本项目不收取投标保证金。</w:t>
      </w:r>
    </w:p>
    <w:p w14:paraId="228C60F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14、投标有效期</w:t>
      </w:r>
    </w:p>
    <w:p w14:paraId="15840DF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14.1 自开标之日起</w:t>
      </w:r>
      <w:r>
        <w:rPr>
          <w:rFonts w:hint="default" w:ascii="Times New Roman" w:hAnsi="Times New Roman" w:eastAsia="宋体" w:cs="Times New Roman"/>
          <w:b/>
          <w:szCs w:val="21"/>
          <w:highlight w:val="none"/>
        </w:rPr>
        <w:t>90</w:t>
      </w:r>
      <w:r>
        <w:rPr>
          <w:rFonts w:hint="default" w:ascii="Times New Roman" w:hAnsi="Times New Roman" w:eastAsia="宋体" w:cs="Times New Roman"/>
          <w:szCs w:val="21"/>
          <w:highlight w:val="none"/>
        </w:rPr>
        <w:t>天内投标有效</w:t>
      </w:r>
      <w:r>
        <w:rPr>
          <w:rFonts w:hint="default" w:ascii="Times New Roman" w:hAnsi="Times New Roman" w:eastAsia="宋体" w:cs="Times New Roman"/>
          <w:b/>
          <w:highlight w:val="none"/>
        </w:rPr>
        <w:t>，投标有效期从提交投标文件的截止之日起算。投标文件中承诺的投标有效期应当不少于招标文件中载明的投标有效期。</w:t>
      </w:r>
    </w:p>
    <w:p w14:paraId="54337D3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14.2 特殊情况下，在原投标有效期截止之前，采购代理机构可要求供应商同意延长投标有效期，这种要求与答复均应以书面形式提交。供应商可拒绝这种要求，接受延长投标有效期的供应商将不会要求和允许修正其投标。</w:t>
      </w:r>
    </w:p>
    <w:p w14:paraId="71AF4CA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15、投标文件签署</w:t>
      </w:r>
    </w:p>
    <w:p w14:paraId="542E06E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15.1 投标文件的正本和副本均应由供应商法定代表人或经正式授权并对供应商有约束力的委托代理人签字，如果它们之间内容有差异，则以正本为准。</w:t>
      </w:r>
    </w:p>
    <w:p w14:paraId="29A6DDC9">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16、投标费用</w:t>
      </w:r>
    </w:p>
    <w:p w14:paraId="47BC73E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16.1 供应商应承担所有与准备和参加投标有关的费用，无论招标结果如何，采购代理机构和采购人在任何情况下均无义务和责任承担这些费用。</w:t>
      </w:r>
    </w:p>
    <w:p w14:paraId="5AB817E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16.2 招标代理服务费：</w:t>
      </w:r>
    </w:p>
    <w:p w14:paraId="10F0F9E6">
      <w:pPr>
        <w:pageBreakBefore w:val="0"/>
        <w:widowControl/>
        <w:shd w:val="clear" w:color="auto" w:fill="FFFFFF"/>
        <w:kinsoku/>
        <w:wordWrap/>
        <w:overflowPunct/>
        <w:topLinePunct w:val="0"/>
        <w:bidi w:val="0"/>
        <w:spacing w:line="360" w:lineRule="auto"/>
        <w:ind w:firstLine="422" w:firstLineChars="20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招标代理服务费：本次招标，中标供应商按《招标代理服务收费管理暂行办法》（国家发展计划委员会计价格〔2002〕1980号）代理</w:t>
      </w:r>
      <w:r>
        <w:rPr>
          <w:rFonts w:hint="default" w:ascii="Times New Roman" w:hAnsi="Times New Roman" w:eastAsia="宋体" w:cs="Times New Roman"/>
          <w:b/>
          <w:bCs/>
          <w:szCs w:val="21"/>
          <w:highlight w:val="none"/>
          <w:u w:val="single"/>
        </w:rPr>
        <w:t xml:space="preserve"> 服务 </w:t>
      </w:r>
      <w:r>
        <w:rPr>
          <w:rFonts w:hint="default" w:ascii="Times New Roman" w:hAnsi="Times New Roman" w:eastAsia="宋体" w:cs="Times New Roman"/>
          <w:b/>
          <w:bCs/>
          <w:szCs w:val="21"/>
          <w:highlight w:val="none"/>
        </w:rPr>
        <w:t>招标收费基准费率</w:t>
      </w:r>
      <w:r>
        <w:rPr>
          <w:rFonts w:hint="default" w:ascii="Times New Roman" w:hAnsi="Times New Roman" w:eastAsia="宋体" w:cs="Times New Roman"/>
          <w:b/>
          <w:bCs/>
          <w:szCs w:val="21"/>
          <w:highlight w:val="none"/>
          <w:u w:val="single"/>
        </w:rPr>
        <w:t xml:space="preserve">  70  </w:t>
      </w:r>
      <w:r>
        <w:rPr>
          <w:rFonts w:hint="default" w:ascii="Times New Roman" w:hAnsi="Times New Roman" w:eastAsia="宋体" w:cs="Times New Roman"/>
          <w:b/>
          <w:bCs/>
          <w:szCs w:val="21"/>
          <w:highlight w:val="none"/>
        </w:rPr>
        <w:t>%计算，若单包服务费不足6000元人民币的，按照6000元人民币收取。本项费用无需在投标报价表中单列。</w:t>
      </w:r>
    </w:p>
    <w:p w14:paraId="1B23A71F">
      <w:pPr>
        <w:pageBreakBefore w:val="0"/>
        <w:widowControl/>
        <w:shd w:val="clear" w:color="auto" w:fill="FFFFFF"/>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16.3开标公证费：无</w:t>
      </w:r>
    </w:p>
    <w:p w14:paraId="4219FE79">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四、投标文件的递交</w:t>
      </w:r>
    </w:p>
    <w:p w14:paraId="5A0E55F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17、投标文件的密封和递交</w:t>
      </w:r>
    </w:p>
    <w:p w14:paraId="4D2D8B1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17.1</w:t>
      </w:r>
      <w:r>
        <w:rPr>
          <w:rFonts w:hint="default" w:ascii="Times New Roman" w:hAnsi="Times New Roman" w:eastAsia="宋体" w:cs="Times New Roman"/>
          <w:b/>
          <w:bCs/>
          <w:spacing w:val="15"/>
          <w:szCs w:val="21"/>
          <w:highlight w:val="none"/>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default" w:ascii="Times New Roman" w:hAnsi="Times New Roman" w:eastAsia="宋体" w:cs="Times New Roman"/>
          <w:spacing w:val="15"/>
          <w:szCs w:val="21"/>
          <w:highlight w:val="none"/>
          <w:shd w:val="clear" w:color="auto" w:fill="FFFFFF"/>
        </w:rPr>
        <w:t>）。当电子版文件和纸质正本文件不一致时，以纸质正本文件为准。电子版文件用于辅助评标和平台存档，供应商需承担前述不一致造成的不利后果</w:t>
      </w:r>
      <w:r>
        <w:rPr>
          <w:rFonts w:hint="default" w:ascii="Times New Roman" w:hAnsi="Times New Roman" w:eastAsia="宋体" w:cs="Times New Roman"/>
          <w:highlight w:val="none"/>
        </w:rPr>
        <w:t>。</w:t>
      </w:r>
    </w:p>
    <w:p w14:paraId="10B21B94">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17.2 </w:t>
      </w:r>
      <w:r>
        <w:rPr>
          <w:rFonts w:hint="default" w:ascii="Times New Roman" w:hAnsi="Times New Roman" w:eastAsia="宋体" w:cs="Times New Roman"/>
          <w:b/>
          <w:highlight w:val="none"/>
        </w:rPr>
        <w:t>投标文件正本和所有副本均需打印或用不褪色墨水书写，并由供应商的法定代表人或授权代表签字（或签章）并在招标文件中注明须加盖投标单位公章的地方加盖投标单位公章，如为授权代表签字的应附“法定代表人授权书”，正本必须为原件，但供应商的相关证明文件可采用复印件，采用复印件的，评标委员会认为需要时，供应商应提供原件供核对。</w:t>
      </w:r>
    </w:p>
    <w:p w14:paraId="424551B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17.3 投标文件不应有涂改、增删之处，如必须修改时，修改处必须有供应商法定代表人或授权代表签字（或签章），同时加盖供应商公章。</w:t>
      </w:r>
    </w:p>
    <w:p w14:paraId="39B4BBE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17.4投标文件提倡按照A4幅面打印或复印并进行装订，如有资料超过A4幅面折叠成A4幅面；投标文件装订提倡采用胶装的形式。</w:t>
      </w:r>
    </w:p>
    <w:p w14:paraId="196C8F5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17.5 </w:t>
      </w:r>
      <w:r>
        <w:rPr>
          <w:rFonts w:hint="default" w:ascii="Times New Roman" w:hAnsi="Times New Roman" w:eastAsia="宋体" w:cs="Times New Roman"/>
          <w:b/>
          <w:bCs/>
          <w:szCs w:val="21"/>
          <w:highlight w:val="none"/>
        </w:rPr>
        <w:t>供应商应当在招标文件要求提交投标文件的截止时间前，将投标文件密封送达投标地点。</w:t>
      </w:r>
      <w:r>
        <w:rPr>
          <w:rFonts w:hint="default" w:ascii="Times New Roman" w:hAnsi="Times New Roman" w:eastAsia="宋体" w:cs="Times New Roman"/>
          <w:szCs w:val="21"/>
          <w:highlight w:val="none"/>
        </w:rPr>
        <w:t>任何单位和个人不得在开标前开启投标文件。</w:t>
      </w:r>
    </w:p>
    <w:p w14:paraId="5D3B93A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18、有下列情形的投标文件将被拒收：</w:t>
      </w:r>
    </w:p>
    <w:p w14:paraId="7B95193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18.1逾期送达的；</w:t>
      </w:r>
    </w:p>
    <w:p w14:paraId="639C1B6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18.2未按照招标文件要求密封的。</w:t>
      </w:r>
    </w:p>
    <w:p w14:paraId="4148E981">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19、投标文件的修改和撤回</w:t>
      </w:r>
    </w:p>
    <w:p w14:paraId="400791C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19.1供应商在投标截止时间前，可以对所递交的投标文件进行补充、修改或者撤回，并书面通知采购人或者采购代理机构。补充、修改的内容应当按照招标文件要求签署、盖章、密封后，作为投标文件的组成部分。</w:t>
      </w:r>
    </w:p>
    <w:p w14:paraId="72C5287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19.2 投标截止时间之后，投标文件不得撤回。</w:t>
      </w:r>
    </w:p>
    <w:p w14:paraId="764A1524">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20、诚实信用</w:t>
      </w:r>
    </w:p>
    <w:p w14:paraId="190E739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20.1供应商应当遵循公平竞争的原则，不得恶意串通，不得妨碍其他供应商的竞争行为，不得损害采购人或者其他供应商的合法权益。</w:t>
      </w:r>
    </w:p>
    <w:p w14:paraId="48D164E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20.2在评标过程中发现供应商有上述情形的，评标委员会应当认定其投标无效，并书面报告本级财政部门。</w:t>
      </w:r>
    </w:p>
    <w:p w14:paraId="5A0172E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五、开标、评标与定标</w:t>
      </w:r>
    </w:p>
    <w:p w14:paraId="51F1BAB9">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21、开标</w:t>
      </w:r>
    </w:p>
    <w:p w14:paraId="11698E04">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 采购代理机构将在招标文件确定的时间和地点进行公开开标。供应商应委派代表准时参加，参加开标的代表须签名报到以证明其出席。</w:t>
      </w:r>
    </w:p>
    <w:p w14:paraId="0C5FB26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21.2开标时，应当由供应商或者其推选的代表检查投标文件的密封情况；经确认无误后，由采购人或者采购代理机构工作人员当众拆封，宣布供应商名称、投标价格和招标文件规定的需要宣布的其他内容。</w:t>
      </w:r>
    </w:p>
    <w:p w14:paraId="6638AE1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21.3供应商不足3家的，不得开标。</w:t>
      </w:r>
    </w:p>
    <w:p w14:paraId="072A733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21.4开标过程由采购代理机构负责记录，由参加开标的各供应商代表和相关工作人员签字确认后随招标文件一并存档。</w:t>
      </w:r>
    </w:p>
    <w:p w14:paraId="6CDB4BE6">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7E229609">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21.5供应商未参加开标的，视同认可开标结果。</w:t>
      </w:r>
    </w:p>
    <w:p w14:paraId="4DD5789F">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21.6公开招标数额标准以上的采购项目，投标截止后供应商不足3家或者通过资格审查或符合性审查的供应商不足3家的，除采购任务取消情形外，按照以下方式处理：</w:t>
      </w:r>
    </w:p>
    <w:p w14:paraId="2FAB6321">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（1）招标文件存在不合理条款或者招标程序不符合规定的，采购人、采购代理机构改正后依法重新招标；</w:t>
      </w:r>
    </w:p>
    <w:p w14:paraId="6643F69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（2）招标文件没有不合理条款、招标程序符合规定，需要采用其他采购方式采购的，采购人依法报财政部门批准，</w:t>
      </w:r>
      <w:r>
        <w:rPr>
          <w:rFonts w:hint="default" w:ascii="Times New Roman" w:hAnsi="Times New Roman" w:eastAsia="宋体" w:cs="Times New Roman"/>
          <w:szCs w:val="21"/>
          <w:highlight w:val="none"/>
        </w:rPr>
        <w:t>经批准后，可变更为其他采购方式采购。</w:t>
      </w:r>
    </w:p>
    <w:p w14:paraId="354C074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22、评标</w:t>
      </w:r>
    </w:p>
    <w:p w14:paraId="66B97283">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22.1 评标委员会</w:t>
      </w:r>
    </w:p>
    <w:p w14:paraId="7EA4DEA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
          <w:bCs/>
          <w:szCs w:val="21"/>
          <w:highlight w:val="none"/>
        </w:rPr>
        <w:t>22.1.1</w:t>
      </w:r>
      <w:r>
        <w:rPr>
          <w:rFonts w:hint="default" w:ascii="Times New Roman" w:hAnsi="Times New Roman" w:eastAsia="宋体" w:cs="Times New Roman"/>
          <w:bCs/>
          <w:szCs w:val="21"/>
          <w:highlight w:val="none"/>
        </w:rPr>
        <w:t>评标委员会负责具体评标事务，并独立履行下列职责：</w:t>
      </w:r>
    </w:p>
    <w:p w14:paraId="31B8641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（一）审查、评价投标文件是否符合招标文件的商务、技术等实质性要求；</w:t>
      </w:r>
    </w:p>
    <w:p w14:paraId="0C51BBA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（二）要求供应商对投标文件有关事项作出澄清或者说明；</w:t>
      </w:r>
    </w:p>
    <w:p w14:paraId="21762FC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（三）对投标文件进行比较和评价；</w:t>
      </w:r>
    </w:p>
    <w:p w14:paraId="7567A05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（四）确定中标候选人名单，以及根据采购人委托直接确定中标人；</w:t>
      </w:r>
    </w:p>
    <w:p w14:paraId="6B27D18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（五）向采购人、采购代理机构或者有关部门报告评标中发现的违法行为。</w:t>
      </w:r>
    </w:p>
    <w:p w14:paraId="40E0585D">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 xml:space="preserve">22.1.2 </w:t>
      </w:r>
      <w:r>
        <w:rPr>
          <w:rFonts w:hint="default" w:ascii="Times New Roman" w:hAnsi="Times New Roman" w:eastAsia="宋体" w:cs="Times New Roman"/>
          <w:szCs w:val="21"/>
          <w:highlight w:val="none"/>
        </w:rPr>
        <w:t>评标委员会由</w:t>
      </w:r>
      <w:r>
        <w:rPr>
          <w:rFonts w:hint="default" w:ascii="Times New Roman" w:hAnsi="Times New Roman" w:eastAsia="宋体" w:cs="Times New Roman"/>
          <w:bCs/>
          <w:szCs w:val="21"/>
          <w:highlight w:val="none"/>
        </w:rPr>
        <w:t>采购人</w:t>
      </w:r>
      <w:r>
        <w:rPr>
          <w:rFonts w:hint="default" w:ascii="Times New Roman" w:hAnsi="Times New Roman" w:eastAsia="宋体" w:cs="Times New Roman"/>
          <w:szCs w:val="21"/>
          <w:highlight w:val="none"/>
        </w:rPr>
        <w:t>代表和有关技术、经济等方面的专家组成，独立开展评审工作。</w:t>
      </w:r>
    </w:p>
    <w:p w14:paraId="22D9A966">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22.2  评标程序</w:t>
      </w:r>
    </w:p>
    <w:p w14:paraId="35D8C12A">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 xml:space="preserve">22.2.1 </w:t>
      </w:r>
      <w:r>
        <w:rPr>
          <w:rFonts w:hint="default" w:ascii="Times New Roman" w:hAnsi="Times New Roman" w:eastAsia="宋体" w:cs="Times New Roman"/>
          <w:b/>
          <w:bCs/>
          <w:szCs w:val="21"/>
          <w:highlight w:val="none"/>
        </w:rPr>
        <w:t>投标文件的资格性检查。</w:t>
      </w:r>
      <w:r>
        <w:rPr>
          <w:rFonts w:hint="default" w:ascii="Times New Roman" w:hAnsi="Times New Roman" w:eastAsia="宋体" w:cs="Times New Roman"/>
          <w:szCs w:val="21"/>
          <w:highlight w:val="none"/>
        </w:rPr>
        <w:t>公开招标采购项目开标结束后，</w:t>
      </w:r>
      <w:r>
        <w:rPr>
          <w:rFonts w:hint="default" w:ascii="Times New Roman" w:hAnsi="Times New Roman" w:eastAsia="宋体" w:cs="Times New Roman"/>
          <w:highlight w:val="none"/>
        </w:rPr>
        <w:t>采购人</w:t>
      </w:r>
      <w:r>
        <w:rPr>
          <w:rFonts w:hint="default" w:ascii="Times New Roman" w:hAnsi="Times New Roman" w:eastAsia="宋体" w:cs="Times New Roman"/>
          <w:szCs w:val="21"/>
          <w:highlight w:val="none"/>
        </w:rPr>
        <w:t>或者</w:t>
      </w:r>
      <w:r>
        <w:rPr>
          <w:rFonts w:hint="default" w:ascii="Times New Roman" w:hAnsi="Times New Roman" w:eastAsia="宋体" w:cs="Times New Roman"/>
          <w:highlight w:val="none"/>
        </w:rPr>
        <w:t>采购代理机构</w:t>
      </w:r>
      <w:r>
        <w:rPr>
          <w:rFonts w:hint="default" w:ascii="Times New Roman" w:hAnsi="Times New Roman" w:eastAsia="宋体" w:cs="Times New Roman"/>
          <w:szCs w:val="21"/>
          <w:highlight w:val="none"/>
        </w:rPr>
        <w:t>应当依法对供应商的资格进行审查。合格供应商不足3家的，不得评标。</w:t>
      </w:r>
    </w:p>
    <w:p w14:paraId="4AE6630D">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22.2.2投标文件的符合性审查</w:t>
      </w:r>
      <w:r>
        <w:rPr>
          <w:rFonts w:hint="default" w:ascii="Times New Roman" w:hAnsi="Times New Roman" w:eastAsia="宋体" w:cs="Times New Roman"/>
          <w:szCs w:val="21"/>
          <w:highlight w:val="none"/>
        </w:rPr>
        <w:t>。评标委员会对通过资格性检查的供应商的投标文件进行符合性审查，以确定其是否满足招标文件的实质性要求。投标文件有下列情况之一的，在符合性检查时按照无效投标处理：</w:t>
      </w:r>
    </w:p>
    <w:p w14:paraId="418CD70C">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（1）未按照招标文件规定的要求密封、签署、盖章的</w:t>
      </w:r>
      <w:r>
        <w:rPr>
          <w:rFonts w:hint="default" w:ascii="Times New Roman" w:hAnsi="Times New Roman" w:eastAsia="宋体" w:cs="Times New Roman"/>
          <w:b/>
          <w:bCs/>
          <w:szCs w:val="21"/>
          <w:highlight w:val="none"/>
        </w:rPr>
        <w:t>；</w:t>
      </w:r>
    </w:p>
    <w:p w14:paraId="50B8F84A">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（2）不具备招标文件中规定的资格要求的；</w:t>
      </w:r>
    </w:p>
    <w:p w14:paraId="6B253EC1">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（3）报价超过招标文件中规定的预算金额或者最高限价的；</w:t>
      </w:r>
    </w:p>
    <w:p w14:paraId="421D40EA">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（4）投标文件含有采购人不能接受的附加条件的；</w:t>
      </w:r>
    </w:p>
    <w:p w14:paraId="2D664990">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（5）投标文件内容不全或不符合招标文件中规定的其它实质性要求的；</w:t>
      </w:r>
    </w:p>
    <w:p w14:paraId="0A16D18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（6）现行法律、法规、规章和招标文件规定的其他无效情形。</w:t>
      </w:r>
    </w:p>
    <w:p w14:paraId="60458994">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22.2.2.1 实质性要求是指本招标文件中用带星号（“</w:t>
      </w:r>
      <w:r>
        <w:rPr>
          <w:rFonts w:hint="default" w:ascii="Times New Roman" w:hAnsi="Times New Roman" w:eastAsia="宋体" w:cs="Times New Roman"/>
          <w:szCs w:val="21"/>
          <w:highlight w:val="none"/>
        </w:rPr>
        <w:t>*</w:t>
      </w:r>
      <w:r>
        <w:rPr>
          <w:rFonts w:hint="default" w:ascii="Times New Roman" w:hAnsi="Times New Roman" w:eastAsia="宋体" w:cs="Times New Roman"/>
          <w:b/>
          <w:bCs/>
          <w:szCs w:val="21"/>
          <w:highlight w:val="none"/>
        </w:rPr>
        <w:t>”）、“必须”或“应（应当）”等其他文字说明的商务和技术要求。</w:t>
      </w:r>
    </w:p>
    <w:p w14:paraId="61DC8DCB">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22.2.2.2</w:t>
      </w:r>
      <w:r>
        <w:rPr>
          <w:rFonts w:hint="default" w:ascii="Times New Roman" w:hAnsi="Times New Roman" w:eastAsia="宋体" w:cs="Times New Roman"/>
          <w:szCs w:val="21"/>
          <w:highlight w:val="none"/>
        </w:rPr>
        <w:t>有下列情形之一的予以废标：</w:t>
      </w:r>
    </w:p>
    <w:p w14:paraId="473ED37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（1）符合专业条件的供应商或者对招标文件作实质性响应的供应商不足三家的；</w:t>
      </w:r>
    </w:p>
    <w:p w14:paraId="2942BF4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（2）出现影响采购公正的违法、违规行为的；</w:t>
      </w:r>
    </w:p>
    <w:p w14:paraId="157747F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（3）供应商的报价均超过了采购预算，采购人不能支付的；</w:t>
      </w:r>
    </w:p>
    <w:p w14:paraId="391AFC0D">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（4）因重大变故，采购任务取消的。</w:t>
      </w:r>
    </w:p>
    <w:p w14:paraId="38DE9408">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22.2.3</w:t>
      </w:r>
      <w:r>
        <w:rPr>
          <w:rFonts w:hint="default" w:ascii="Times New Roman" w:hAnsi="Times New Roman" w:eastAsia="宋体" w:cs="Times New Roman"/>
          <w:b/>
          <w:bCs/>
          <w:szCs w:val="21"/>
          <w:highlight w:val="none"/>
        </w:rPr>
        <w:t>澄清有关问题</w:t>
      </w:r>
      <w:r>
        <w:rPr>
          <w:rFonts w:hint="default" w:ascii="Times New Roman" w:hAnsi="Times New Roman" w:eastAsia="宋体" w:cs="Times New Roman"/>
          <w:szCs w:val="21"/>
          <w:highlight w:val="none"/>
        </w:rPr>
        <w:t>。</w:t>
      </w:r>
    </w:p>
    <w:p w14:paraId="5BD58C54">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22.2.3.1对于投标文件中含义不明确、同类问题表述不一致或者有明显文字和计算错误的内容，评标委员会应当以书面形式要求供应商作出必要的澄清、说明或者补正。</w:t>
      </w:r>
    </w:p>
    <w:p w14:paraId="1DA3EAC0">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22.2.3.2供应商的澄清、说明或者补正应当采用书面形式，并加盖投标单位公章，或者由法定代表人或其授权代表签字。供应商的澄清、说明或者补正不得超出投标文件的范围或者改变投标文件的实质性内容。</w:t>
      </w:r>
    </w:p>
    <w:p w14:paraId="69FB70C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22.2.3.3投标文件报价出现前后不一致的，除招标文件另有规定外，按照下列规定修正：</w:t>
      </w:r>
    </w:p>
    <w:p w14:paraId="4A27E853">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（1）投标文件中开标一览表（报价表）内容与投标文件中相应内容不一致的，以开标一览表（报价表）为准；</w:t>
      </w:r>
    </w:p>
    <w:p w14:paraId="6985B3F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（2）大写金额和小写金额不一致的，以大写金额为准；</w:t>
      </w:r>
    </w:p>
    <w:p w14:paraId="5B5DAAE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（3）单价金额小数点或者百分比有明显错位的，以开标一览表的总价为准，并修改单价；</w:t>
      </w:r>
    </w:p>
    <w:p w14:paraId="0096F2B3">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（4）总价金额与按单价汇总金额不一致的，以单价金额计算结果为准。</w:t>
      </w:r>
    </w:p>
    <w:p w14:paraId="1965BAA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同时出现两种以上不一致的，按照前款规定的顺序修正。</w:t>
      </w:r>
      <w:r>
        <w:rPr>
          <w:rFonts w:hint="default" w:ascii="Times New Roman" w:hAnsi="Times New Roman" w:eastAsia="宋体" w:cs="Times New Roman"/>
          <w:b/>
          <w:szCs w:val="21"/>
          <w:highlight w:val="none"/>
        </w:rPr>
        <w:t>修正后的报价按照前款规定经供应商确认后产生约束力，供应商不确认的，其投标无效。</w:t>
      </w:r>
    </w:p>
    <w:p w14:paraId="4B3289D8">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22.2.3.4</w:t>
      </w:r>
      <w:r>
        <w:rPr>
          <w:rFonts w:hint="default" w:ascii="Times New Roman" w:hAnsi="Times New Roman" w:eastAsia="宋体" w:cs="Times New Roman"/>
          <w:highlight w:val="none"/>
        </w:rPr>
        <w:t>评标委员会认为供应商的报价明显低于其他通过符合性审查供应商的报价，有可能影响产品质量或者不能诚信履约的，将要求其在评标现场合理的时间内提供书面说明，必要时提交相关证明材料；</w:t>
      </w:r>
      <w:r>
        <w:rPr>
          <w:rFonts w:hint="default" w:ascii="Times New Roman" w:hAnsi="Times New Roman" w:eastAsia="宋体" w:cs="Times New Roman"/>
          <w:b/>
          <w:highlight w:val="none"/>
        </w:rPr>
        <w:t>供应商不能证明其报价合理性的，评标委员会将其作为无效投标处理。</w:t>
      </w:r>
    </w:p>
    <w:p w14:paraId="0694B02B">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22.2.4</w:t>
      </w:r>
      <w:r>
        <w:rPr>
          <w:rFonts w:hint="default" w:ascii="Times New Roman" w:hAnsi="Times New Roman" w:eastAsia="宋体" w:cs="Times New Roman"/>
          <w:bCs/>
          <w:szCs w:val="21"/>
          <w:highlight w:val="none"/>
        </w:rPr>
        <w:t>比较与评价。</w:t>
      </w:r>
      <w:r>
        <w:rPr>
          <w:rFonts w:hint="default" w:ascii="Times New Roman" w:hAnsi="Times New Roman" w:eastAsia="宋体" w:cs="Times New Roman"/>
          <w:szCs w:val="21"/>
          <w:highlight w:val="none"/>
        </w:rPr>
        <w:t>评标委员会应当按照招标文件中规定的评标方法和标准，对符合性审查合格的投标文件进行商务和技术评估，综合比较与评价。</w:t>
      </w:r>
    </w:p>
    <w:p w14:paraId="0B8612F9">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22.2.5</w:t>
      </w:r>
      <w:r>
        <w:rPr>
          <w:rFonts w:hint="default" w:ascii="Times New Roman" w:hAnsi="Times New Roman" w:eastAsia="宋体" w:cs="Times New Roman"/>
          <w:highlight w:val="none"/>
        </w:rPr>
        <w:t>相同品牌产品的投标</w:t>
      </w:r>
    </w:p>
    <w:p w14:paraId="5028CAA2">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最低评标价法的采购项目，提供相同品牌产品的不同供应商参加同一合同项下投标的，以其中通过资格审查、符合性审查且报价最低的参加评标；报价相同的，由采购人委托评标委员会按照招标文件规定的方式确定一个参加评标的供应商，招标文件未规定的采取随机抽取方式确定，其他投标无效。</w:t>
      </w:r>
    </w:p>
    <w:p w14:paraId="61168503">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委托评标委员会按照招标文件规定的方式确定一个供应商获得中标人推荐资格，招标文件未规定的采取随机抽取方式确定，其他同品牌供应商不作为中标候选人。</w:t>
      </w:r>
    </w:p>
    <w:p w14:paraId="727737C5">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非单一产品采购项目，确定核心产品的方法在招标文件技术需求中载明。多家供应商提供的核心产品品牌相同的，按前两款规定处理。</w:t>
      </w:r>
    </w:p>
    <w:p w14:paraId="2B541827">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22.3 评标方法和标准</w:t>
      </w:r>
    </w:p>
    <w:p w14:paraId="1FE4C457">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22.3.1评标方法分为最低评标价法和综合评分法。本次招标的评标方法和标准，详见本招标文件第三章。</w:t>
      </w:r>
    </w:p>
    <w:p w14:paraId="3C408734">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22.3.2最低评标价法，是指投标文件满足招标文件全部实质性要求，且投标报价最低的供应商为中标候选人的评标方法。</w:t>
      </w:r>
    </w:p>
    <w:p w14:paraId="78DA5B87">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采用最低评标价法评标时，除了算术修正和落实政府采购政策需进行的价格扣除外，不对供应商的投标价格进行任何调整。</w:t>
      </w:r>
    </w:p>
    <w:p w14:paraId="3C316EA3">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22.3.3综合评分法，是指投标文件满足招标文件全部实质性要求，且按照评审因素的量化指标评审得分最高的供应商为中标候选人的评标方法。</w:t>
      </w:r>
    </w:p>
    <w:p w14:paraId="744C112A">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评审因素，包括价格、技术、商务等。</w:t>
      </w:r>
    </w:p>
    <w:p w14:paraId="3BE89710">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评标时，评标委员会各成员应当独立对每个供应商的投标文件进行评价，并汇总每个供应商的得分。</w:t>
      </w:r>
    </w:p>
    <w:p w14:paraId="252652BC">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价格分采用低价优先法计算，即满足招标文件要求且投标价格最低的投标报价为评标基准价，其价格分为满分。</w:t>
      </w:r>
    </w:p>
    <w:p w14:paraId="11CD0E87">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评标总得分＝F1×A1＋F2×A2＋……＋Fn×An</w:t>
      </w:r>
    </w:p>
    <w:p w14:paraId="79CE30C9">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F1、F2……Fn分别为各项评审因素的得分；</w:t>
      </w:r>
    </w:p>
    <w:p w14:paraId="1D39AA78">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A1、A2、……An 分别为各项评审因素所占的权重(A1＋A2＋……＋An＝1)。</w:t>
      </w:r>
    </w:p>
    <w:p w14:paraId="0539F874">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因落实政府采购政策进行价格调整的，以调整后的价格计算评标基准价和投标报价。</w:t>
      </w:r>
    </w:p>
    <w:p w14:paraId="15165DD4">
      <w:pPr>
        <w:pageBreakBefore w:val="0"/>
        <w:widowControl/>
        <w:shd w:val="clear" w:color="auto" w:fill="FFFFFF"/>
        <w:kinsoku/>
        <w:wordWrap/>
        <w:overflowPunct/>
        <w:topLinePunct w:val="0"/>
        <w:bidi w:val="0"/>
        <w:spacing w:line="360" w:lineRule="auto"/>
        <w:ind w:firstLine="422" w:firstLineChars="200"/>
        <w:jc w:val="left"/>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22.4 评标委员会启动异常低价投标审查的情形和具体要求</w:t>
      </w:r>
    </w:p>
    <w:p w14:paraId="2897ABCD">
      <w:pPr>
        <w:pageBreakBefore w:val="0"/>
        <w:widowControl/>
        <w:shd w:val="clear" w:color="auto" w:fill="FFFFFF"/>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22.4.1评标过程中出现下列情形之一的，评标委员会应当启动异常低价投标审查程序： </w:t>
      </w:r>
    </w:p>
    <w:p w14:paraId="373C14DF">
      <w:pPr>
        <w:pageBreakBefore w:val="0"/>
        <w:widowControl/>
        <w:shd w:val="clear" w:color="auto" w:fill="FFFFFF"/>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（1）投标报价低于招标项目预算50%的，即投标报价&lt;招标项目预算×50%； </w:t>
      </w:r>
    </w:p>
    <w:p w14:paraId="2E89B313">
      <w:pPr>
        <w:pageBreakBefore w:val="0"/>
        <w:widowControl/>
        <w:shd w:val="clear" w:color="auto" w:fill="FFFFFF"/>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（2）投标报价低于招标项目最高限价45%的，即投标报价&lt;招标项目最高限价×45% ； </w:t>
      </w:r>
    </w:p>
    <w:p w14:paraId="67EDB6C7">
      <w:pPr>
        <w:pageBreakBefore w:val="0"/>
        <w:widowControl/>
        <w:shd w:val="clear" w:color="auto" w:fill="FFFFFF"/>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（3）评标委员会认定的投标人报价过低、有可能影响产品质量或者不能诚信履约的其他情形。</w:t>
      </w:r>
    </w:p>
    <w:p w14:paraId="078DA0F6">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22.4.2 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w:t>
      </w:r>
      <w:r>
        <w:rPr>
          <w:rFonts w:hint="default" w:ascii="Times New Roman" w:hAnsi="Times New Roman" w:eastAsia="宋体" w:cs="Times New Roman"/>
          <w:b/>
          <w:bCs/>
          <w:szCs w:val="21"/>
          <w:highlight w:val="none"/>
        </w:rPr>
        <w:t>投标人不提供书面说明、证明材料，或者提供的书面说明、证明材料不能证明其报价合理性的，评标委员会应当将其作为无效投标处理。审查相关情况应当在评审报告中进行记录。</w:t>
      </w:r>
    </w:p>
    <w:p w14:paraId="49BA8963">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b/>
          <w:bCs/>
          <w:szCs w:val="21"/>
          <w:highlight w:val="none"/>
        </w:rPr>
        <w:t>23、</w:t>
      </w:r>
      <w:r>
        <w:rPr>
          <w:rFonts w:hint="default" w:ascii="Times New Roman" w:hAnsi="Times New Roman" w:eastAsia="宋体" w:cs="Times New Roman"/>
          <w:b/>
          <w:szCs w:val="21"/>
          <w:highlight w:val="none"/>
        </w:rPr>
        <w:t>确定中标人</w:t>
      </w:r>
    </w:p>
    <w:p w14:paraId="17CAEEE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23.1 采用最低评标价法的，评标结果按投标报价由低到高顺序排列。投标报价相同的并列。投标文件满足招标文件全部实质性要求且投标报价最低的供应商为排名第一的中标候选人。</w:t>
      </w:r>
    </w:p>
    <w:p w14:paraId="31E963E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3846ADF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23.3 中标人确定后，在省级以上财政部门指定的媒体上公告中标结果，中标公告期为1个工作日，公告的同时向中标人发出中标通知书。</w:t>
      </w:r>
    </w:p>
    <w:p w14:paraId="75D60FE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b/>
          <w:bCs/>
          <w:szCs w:val="21"/>
          <w:highlight w:val="none"/>
        </w:rPr>
        <w:t>23.4 中标通知书对采购人和中标人具有同等法律效力。中标通知书发出后，采购人不得</w:t>
      </w:r>
      <w:r>
        <w:rPr>
          <w:rFonts w:hint="default" w:ascii="Times New Roman" w:hAnsi="Times New Roman" w:eastAsia="宋体" w:cs="Times New Roman"/>
          <w:b/>
          <w:szCs w:val="21"/>
          <w:highlight w:val="none"/>
        </w:rPr>
        <w:t>违法改变中标结果，中标人无正当理由不得放弃中标。</w:t>
      </w:r>
    </w:p>
    <w:p w14:paraId="2C047B9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23.5 所有投标文件不论中标与否，均不退回。</w:t>
      </w:r>
    </w:p>
    <w:p w14:paraId="77AD0143">
      <w:pPr>
        <w:pageBreakBefore w:val="0"/>
        <w:widowControl/>
        <w:shd w:val="clear" w:color="auto" w:fill="FFFFFF"/>
        <w:kinsoku/>
        <w:wordWrap/>
        <w:overflowPunct/>
        <w:topLinePunct w:val="0"/>
        <w:bidi w:val="0"/>
        <w:spacing w:line="360" w:lineRule="auto"/>
        <w:ind w:firstLine="412"/>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24、编写评标报告</w:t>
      </w:r>
    </w:p>
    <w:p w14:paraId="6AC3A30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24.1评标委员会根据全体评标成员签字的原始评标记录和评标结果编写评标报告。</w:t>
      </w:r>
    </w:p>
    <w:p w14:paraId="135AF93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25、评标过程的保密性</w:t>
      </w:r>
    </w:p>
    <w:p w14:paraId="02430CC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25.1 采购人和采购代理机构将采取必要措施，保证评标在严格保密的情况下进行。</w:t>
      </w:r>
    </w:p>
    <w:p w14:paraId="05FD1C9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25.2 任何单位和个人不得非法干预、影响评标办法的确定，以及评标过程和结果。</w:t>
      </w:r>
    </w:p>
    <w:p w14:paraId="5E579D0D">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25.3 凡是与审查、澄清、评价和比较投标的有关资料等，均不向供应商及与评标无关的其他人员透露。</w:t>
      </w:r>
    </w:p>
    <w:p w14:paraId="18662F39">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六、签订合同</w:t>
      </w:r>
    </w:p>
    <w:p w14:paraId="6E8CB44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26、签订合同</w:t>
      </w:r>
    </w:p>
    <w:p w14:paraId="6ACA893A">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6EEC274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szCs w:val="21"/>
          <w:highlight w:val="none"/>
        </w:rPr>
        <w:t xml:space="preserve">26.2 </w:t>
      </w:r>
      <w:r>
        <w:rPr>
          <w:rFonts w:hint="default" w:ascii="Times New Roman" w:hAnsi="Times New Roman" w:eastAsia="宋体" w:cs="Times New Roman"/>
          <w:szCs w:val="21"/>
          <w:highlight w:val="none"/>
        </w:rPr>
        <w:t xml:space="preserve"> 除继续履行将损害国家利益和社会公众利益的，政府采购合同的双方当事人不得擅自变更、中止或者终止合同。</w:t>
      </w:r>
      <w:r>
        <w:rPr>
          <w:rFonts w:hint="default" w:ascii="Times New Roman" w:hAnsi="Times New Roman" w:eastAsia="宋体" w:cs="Times New Roman"/>
          <w:b/>
          <w:bCs/>
          <w:szCs w:val="21"/>
          <w:highlight w:val="none"/>
        </w:rPr>
        <w:t>放弃或拒绝签订合同的，中标人不得参加对该项目重新开展的采购活动，投标保证金不予退还，不收取投标保证金的项目，中标人应向采购人支付采购人为招标所发生的相关费用，由财政部门列入不良行为记录名单，在一至三年内禁止参加政府采购活动，并予以通报。</w:t>
      </w:r>
    </w:p>
    <w:p w14:paraId="069A56B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26.3采购人不得向中标人提出任何不合理的要求作为签订合同的条件。</w:t>
      </w:r>
    </w:p>
    <w:p w14:paraId="10C336F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26.4中标人拒绝与采购人签订合同的，采购人可以按照评审报告推荐的中标或者成交候选人名单排序，确定下一候选人为中标或者成交供应商，也可以重新开展政府采购活动。</w:t>
      </w:r>
    </w:p>
    <w:p w14:paraId="749690D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26.5 政府采购合同履行中，采购人需追加与合同标的相同的货物或者服务的，在不改变合同其他条款的前提下，可以与供应商协商签订补充合同，但所有补充合同的采购金额不得超过原合同采购金额的百分之十。</w:t>
      </w:r>
    </w:p>
    <w:p w14:paraId="1DC0ED5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26.6 采购人与中标人应当根据合同的约定依法履行合同义务。</w:t>
      </w:r>
    </w:p>
    <w:p w14:paraId="1D5CA571">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七、质疑和投诉</w:t>
      </w:r>
    </w:p>
    <w:p w14:paraId="4124B4C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27、质疑</w:t>
      </w:r>
    </w:p>
    <w:p w14:paraId="7CFFE12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27.1供应商对招标活动事项有疑问的，可以向采购代理机构提出询问，采购代理机构将依法作出答复，但答复的内容不涉及商业秘密</w:t>
      </w:r>
      <w:r>
        <w:rPr>
          <w:rFonts w:hint="default" w:ascii="Times New Roman" w:hAnsi="Times New Roman" w:eastAsia="宋体" w:cs="Times New Roman"/>
          <w:b/>
          <w:bCs/>
          <w:szCs w:val="21"/>
          <w:highlight w:val="none"/>
        </w:rPr>
        <w:t>。</w:t>
      </w:r>
    </w:p>
    <w:p w14:paraId="561CBE28">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27.2提出质疑的供应商应当是参与所质疑项目采购活动的供应商。潜在供应商已依法获取其可质疑的采购文件的，可以对该文件提出质疑。</w:t>
      </w:r>
    </w:p>
    <w:p w14:paraId="7293F06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以联合体形式参加政府采购活动的，其质疑应当由组成联合体的所有供应商共同提出。</w:t>
      </w:r>
    </w:p>
    <w:p w14:paraId="7B33EB9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225DAD76">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561E4FA1">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highlight w:val="none"/>
        </w:rPr>
        <w:t>供应商必须在法定质疑期内一次性提出针对同一采购程序环节的质疑。</w:t>
      </w:r>
    </w:p>
    <w:p w14:paraId="18D04EF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27.4 供应商提出质疑应当提交质疑函和必要的证明材料。质疑函应当包括下列内容：</w:t>
      </w:r>
    </w:p>
    <w:p w14:paraId="32B4C7AD">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（一）供应商的姓名或者名称、地址、邮编、联系人及联系电话；</w:t>
      </w:r>
    </w:p>
    <w:p w14:paraId="7028BA4B">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（二）质疑项目的名称、编号；</w:t>
      </w:r>
    </w:p>
    <w:p w14:paraId="069503F5">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（三）具体、明确的质疑事项和与质疑事项相关的请求（具体条款）；</w:t>
      </w:r>
    </w:p>
    <w:p w14:paraId="13C7B6A7">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（四）事实依据（具体条款）；</w:t>
      </w:r>
    </w:p>
    <w:p w14:paraId="2BB1923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（五）必要的法律依据（具体条款）；</w:t>
      </w:r>
    </w:p>
    <w:p w14:paraId="1A87586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（六）提出质疑的日期。</w:t>
      </w:r>
    </w:p>
    <w:p w14:paraId="6D5C9660">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为自然人的，应当由本人签字；供应商为法人或者其他组织的，应当由法定代表人、主要负责人，或者其授权代表签字或者盖章，并加盖投标单位公章。代理人提出质疑和投诉，应当提交供应商签署的授权委托书。其授权委托书应当载明代理人的姓名或者名称、代理事项、具体权限、期限和相关事项。</w:t>
      </w:r>
    </w:p>
    <w:p w14:paraId="7E41B91F">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质疑函应当使用中文。相关当事人提供外文书证或者外国语视听资料的，应当附有中文译本，由翻译机构盖章或者翻译人员签名。</w:t>
      </w:r>
    </w:p>
    <w:p w14:paraId="6F5CC4BC">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27.5质疑函应当现场提交至采购代理机构联系人处，提交时应出示有效身份证明。未按上述要求提交质疑函的，质疑不予受理。</w:t>
      </w:r>
    </w:p>
    <w:p w14:paraId="404FE85D">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27.6 供应商不得虚假质疑和恶意质疑，并对质疑内容的真实性承担责任。供应商或者其他利害关系人通过捏造事实、伪造证明材料等方式提出异议或投诉，阻碍招投标活动正常进行的，属于严重不良行为。</w:t>
      </w:r>
    </w:p>
    <w:p w14:paraId="2F2E602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27.7采购代理机构在收到供应商的书面质疑后将及时组织调查核实，在</w:t>
      </w:r>
      <w:r>
        <w:rPr>
          <w:rFonts w:hint="default" w:ascii="Times New Roman" w:hAnsi="Times New Roman" w:eastAsia="宋体" w:cs="Times New Roman"/>
          <w:b/>
          <w:bCs/>
          <w:szCs w:val="21"/>
          <w:highlight w:val="none"/>
        </w:rPr>
        <w:t>七个工作日内</w:t>
      </w:r>
      <w:r>
        <w:rPr>
          <w:rFonts w:hint="default" w:ascii="Times New Roman" w:hAnsi="Times New Roman" w:eastAsia="宋体" w:cs="Times New Roman"/>
          <w:szCs w:val="21"/>
          <w:highlight w:val="none"/>
        </w:rPr>
        <w:t>作出答复，并以书面或在网站公告形式通知质疑供应商和其他有关供应商，答复的内容不涉及商业秘密。</w:t>
      </w:r>
    </w:p>
    <w:p w14:paraId="02028D3E">
      <w:pPr>
        <w:pageBreakBefore w:val="0"/>
        <w:widowControl/>
        <w:shd w:val="clear" w:color="auto" w:fill="FFFFFF"/>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任何单位和个人对代理机构在招标采购活动中的违法行为，有权控告和检举，联系电话：025-86636139（采购代理机构质量管理部门）、025-86636853（采购代理机构纪检监察部门）。</w:t>
      </w:r>
    </w:p>
    <w:p w14:paraId="2F68A868">
      <w:pPr>
        <w:pageBreakBefore w:val="0"/>
        <w:widowControl/>
        <w:shd w:val="clear" w:color="auto" w:fill="FFFFFF"/>
        <w:kinsoku/>
        <w:wordWrap/>
        <w:overflowPunct/>
        <w:topLinePunct w:val="0"/>
        <w:bidi w:val="0"/>
        <w:spacing w:line="42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28、投诉</w:t>
      </w:r>
    </w:p>
    <w:p w14:paraId="12251DBF">
      <w:pPr>
        <w:pageBreakBefore w:val="0"/>
        <w:kinsoku/>
        <w:wordWrap/>
        <w:overflowPunct/>
        <w:topLinePunct w:val="0"/>
        <w:bidi w:val="0"/>
        <w:spacing w:line="42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28.1质疑供应商对采购代理机构的答复不满意或者采购代理机构未在规定的时间内作出答复的，可以在答复期满后十五个工作日内向同级政府采购监督管理部门投诉。</w:t>
      </w:r>
    </w:p>
    <w:p w14:paraId="7DE042A1">
      <w:pPr>
        <w:pageBreakBefore w:val="0"/>
        <w:kinsoku/>
        <w:wordWrap/>
        <w:overflowPunct/>
        <w:topLinePunct w:val="0"/>
        <w:bidi w:val="0"/>
        <w:spacing w:line="42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28.2供应商投诉应当有明确的请求和必要的证明材料。供应商投诉的事项不得超出已质疑事项的范围。</w:t>
      </w:r>
    </w:p>
    <w:p w14:paraId="6A7AAE81">
      <w:pPr>
        <w:pageBreakBefore w:val="0"/>
        <w:kinsoku/>
        <w:wordWrap/>
        <w:overflowPunct/>
        <w:topLinePunct w:val="0"/>
        <w:bidi w:val="0"/>
        <w:spacing w:line="42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28.3投诉人对政府采购监督管理部门的投诉处理决定不服或者政府采购监督管理部门逾期未作处理的，可以依法申请行政复议或者向人民法院提起行政诉讼。</w:t>
      </w:r>
    </w:p>
    <w:p w14:paraId="2A7A6939">
      <w:pPr>
        <w:pageBreakBefore w:val="0"/>
        <w:kinsoku/>
        <w:wordWrap/>
        <w:overflowPunct/>
        <w:topLinePunct w:val="0"/>
        <w:bidi w:val="0"/>
        <w:spacing w:line="420" w:lineRule="exac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28.4 投诉人有下列行为之一的，属于严重失信行为，</w:t>
      </w:r>
      <w:r>
        <w:rPr>
          <w:rFonts w:hint="default" w:ascii="Times New Roman" w:hAnsi="Times New Roman" w:eastAsia="宋体" w:cs="Times New Roman"/>
          <w:szCs w:val="21"/>
          <w:highlight w:val="none"/>
        </w:rPr>
        <w:t>由财政部门列入不良行为记录名单，禁止其一至三年内参加政府采购活动。</w:t>
      </w:r>
    </w:p>
    <w:p w14:paraId="3F473963">
      <w:pPr>
        <w:pageBreakBefore w:val="0"/>
        <w:kinsoku/>
        <w:wordWrap/>
        <w:overflowPunct/>
        <w:topLinePunct w:val="0"/>
        <w:bidi w:val="0"/>
        <w:spacing w:line="42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（1）投诉人在全国范围12个月内三次以上投诉查无实据的；</w:t>
      </w:r>
    </w:p>
    <w:p w14:paraId="57764F48">
      <w:pPr>
        <w:pageBreakBefore w:val="0"/>
        <w:kinsoku/>
        <w:wordWrap/>
        <w:overflowPunct/>
        <w:topLinePunct w:val="0"/>
        <w:bidi w:val="0"/>
        <w:spacing w:line="42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（2）采用捏造事实、提供虚假材料或者以非法手段取得证明材料等方式进行虚假、恶意投诉。</w:t>
      </w:r>
    </w:p>
    <w:p w14:paraId="7B0EE8D3">
      <w:pPr>
        <w:pageBreakBefore w:val="0"/>
        <w:kinsoku/>
        <w:wordWrap/>
        <w:overflowPunct/>
        <w:topLinePunct w:val="0"/>
        <w:bidi w:val="0"/>
        <w:spacing w:line="42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证据来源的合法性存在明显疑问，投诉人无法证明其取得方式合法的，视为以非法手段取得证明材料。</w:t>
      </w:r>
    </w:p>
    <w:p w14:paraId="4728D837">
      <w:pPr>
        <w:pageBreakBefore w:val="0"/>
        <w:kinsoku/>
        <w:wordWrap/>
        <w:overflowPunct/>
        <w:topLinePunct w:val="0"/>
        <w:bidi w:val="0"/>
        <w:spacing w:line="420" w:lineRule="exact"/>
        <w:ind w:firstLine="422" w:firstLineChars="20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29、其它</w:t>
      </w:r>
    </w:p>
    <w:p w14:paraId="479954AA">
      <w:pPr>
        <w:pageBreakBefore w:val="0"/>
        <w:kinsoku/>
        <w:wordWrap/>
        <w:overflowPunct/>
        <w:topLinePunct w:val="0"/>
        <w:bidi w:val="0"/>
        <w:spacing w:line="360" w:lineRule="auto"/>
        <w:ind w:firstLine="420"/>
        <w:rPr>
          <w:rFonts w:hint="default" w:ascii="Times New Roman" w:hAnsi="Times New Roman" w:eastAsia="宋体" w:cs="Times New Roman"/>
          <w:szCs w:val="20"/>
          <w:highlight w:val="none"/>
        </w:rPr>
      </w:pPr>
      <w:r>
        <w:rPr>
          <w:rFonts w:hint="default" w:ascii="Times New Roman" w:hAnsi="Times New Roman" w:eastAsia="宋体" w:cs="Times New Roman"/>
          <w:highlight w:val="none"/>
        </w:rPr>
        <w:t>29.1本项目根据江苏省财政厅关于加强政府绿色采购有关事项的通知（苏财购</w:t>
      </w:r>
      <w:r>
        <w:rPr>
          <w:rFonts w:hint="default" w:ascii="Times New Roman" w:hAnsi="Times New Roman" w:eastAsia="宋体" w:cs="Times New Roman"/>
          <w:szCs w:val="21"/>
          <w:highlight w:val="none"/>
        </w:rPr>
        <w:t>〔2023〕65号</w:t>
      </w:r>
      <w:r>
        <w:rPr>
          <w:rFonts w:hint="default" w:ascii="Times New Roman" w:hAnsi="Times New Roman" w:eastAsia="宋体" w:cs="Times New Roman"/>
          <w:highlight w:val="none"/>
        </w:rPr>
        <w:t>）规定，执行绿色采购需求标准。</w:t>
      </w:r>
    </w:p>
    <w:p w14:paraId="060E66C6">
      <w:pPr>
        <w:pageBreakBefore w:val="0"/>
        <w:kinsoku/>
        <w:wordWrap/>
        <w:overflowPunct/>
        <w:topLinePunct w:val="0"/>
        <w:bidi w:val="0"/>
        <w:rPr>
          <w:rFonts w:hint="default" w:ascii="Times New Roman" w:hAnsi="Times New Roman" w:eastAsia="宋体" w:cs="Times New Roman"/>
          <w:highlight w:val="none"/>
        </w:rPr>
      </w:pPr>
    </w:p>
    <w:p w14:paraId="71896696">
      <w:pPr>
        <w:pStyle w:val="3"/>
        <w:pageBreakBefore w:val="0"/>
        <w:kinsoku/>
        <w:wordWrap/>
        <w:overflowPunct/>
        <w:topLinePunct w:val="0"/>
        <w:bidi w:val="0"/>
        <w:spacing w:before="0" w:after="0" w:line="360" w:lineRule="auto"/>
        <w:rPr>
          <w:rFonts w:hint="default" w:ascii="Times New Roman" w:hAnsi="Times New Roman" w:eastAsia="宋体" w:cs="Times New Roman"/>
          <w:highlight w:val="none"/>
        </w:rPr>
      </w:pPr>
      <w:bookmarkStart w:id="6" w:name="_Toc481057145"/>
      <w:r>
        <w:rPr>
          <w:rFonts w:hint="default" w:ascii="Times New Roman" w:hAnsi="Times New Roman" w:eastAsia="宋体" w:cs="Times New Roman"/>
          <w:highlight w:val="none"/>
        </w:rPr>
        <w:t xml:space="preserve"> </w:t>
      </w:r>
      <w:bookmarkStart w:id="7" w:name="_Toc15057"/>
      <w:bookmarkStart w:id="8" w:name="_Hlk209805994"/>
      <w:bookmarkStart w:id="9" w:name="_Hlk209806043"/>
      <w:r>
        <w:rPr>
          <w:rFonts w:hint="default" w:ascii="Times New Roman" w:hAnsi="Times New Roman" w:eastAsia="宋体" w:cs="Times New Roman"/>
          <w:highlight w:val="none"/>
        </w:rPr>
        <w:t>评标标准</w:t>
      </w:r>
      <w:bookmarkEnd w:id="6"/>
      <w:bookmarkEnd w:id="7"/>
    </w:p>
    <w:bookmarkEnd w:id="8"/>
    <w:p w14:paraId="6B6A3E47">
      <w:pPr>
        <w:pageBreakBefore w:val="0"/>
        <w:kinsoku/>
        <w:wordWrap/>
        <w:overflowPunct/>
        <w:topLinePunct w:val="0"/>
        <w:bidi w:val="0"/>
        <w:spacing w:line="360" w:lineRule="auto"/>
        <w:ind w:firstLine="42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采购人确定。本项目由评标委员会确定中标人。</w:t>
      </w:r>
    </w:p>
    <w:p w14:paraId="3F9D9809">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包1：省控（质控、农村及边界）空气站第三方运维</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260"/>
        <w:gridCol w:w="6081"/>
      </w:tblGrid>
      <w:tr w14:paraId="4EBA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93" w:type="pct"/>
            <w:vAlign w:val="center"/>
          </w:tcPr>
          <w:p w14:paraId="43C4571D">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06" w:type="pct"/>
            <w:gridSpan w:val="2"/>
            <w:vAlign w:val="center"/>
          </w:tcPr>
          <w:p w14:paraId="67B53D85">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00F2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3" w:type="pct"/>
            <w:vAlign w:val="center"/>
          </w:tcPr>
          <w:p w14:paraId="12253923">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675E17C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06" w:type="pct"/>
            <w:gridSpan w:val="2"/>
            <w:vAlign w:val="center"/>
          </w:tcPr>
          <w:p w14:paraId="2DB5F53C">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343A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93" w:type="pct"/>
            <w:vMerge w:val="restart"/>
            <w:vAlign w:val="center"/>
          </w:tcPr>
          <w:p w14:paraId="4EB42FD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30E2FEA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（19分）</w:t>
            </w:r>
          </w:p>
        </w:tc>
        <w:tc>
          <w:tcPr>
            <w:tcW w:w="739" w:type="pct"/>
            <w:vAlign w:val="center"/>
          </w:tcPr>
          <w:p w14:paraId="3CB4A37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运维人员</w:t>
            </w:r>
          </w:p>
          <w:p w14:paraId="5E2A766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（7分）</w:t>
            </w:r>
          </w:p>
        </w:tc>
        <w:tc>
          <w:tcPr>
            <w:tcW w:w="3566" w:type="pct"/>
            <w:vAlign w:val="center"/>
          </w:tcPr>
          <w:p w14:paraId="259F69B6">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1、为本项目配置的运维技术人员具备环境空气质量自动监测技术人员的运维能力与质控水平（提供省级及以上生态环境部门相关机构提供的培训合格证明或其他类似证明材料）</w:t>
            </w:r>
            <w:r>
              <w:rPr>
                <w:rFonts w:hint="default" w:ascii="Times New Roman" w:hAnsi="Times New Roman" w:eastAsia="宋体" w:cs="Times New Roman"/>
                <w:szCs w:val="21"/>
                <w:highlight w:val="none"/>
                <w:lang w:val="zh-CN" w:bidi="zh-CN"/>
              </w:rPr>
              <w:t>，满足每4站配置至少1人得4分，</w:t>
            </w:r>
            <w:r>
              <w:rPr>
                <w:rFonts w:hint="default" w:ascii="Times New Roman" w:hAnsi="Times New Roman" w:eastAsia="宋体" w:cs="Times New Roman"/>
                <w:szCs w:val="21"/>
                <w:highlight w:val="none"/>
                <w:lang w:bidi="zh-CN"/>
              </w:rPr>
              <w:t>本小项最高得4分；</w:t>
            </w:r>
          </w:p>
          <w:p w14:paraId="3B10B28F">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2、</w:t>
            </w:r>
            <w:r>
              <w:rPr>
                <w:rFonts w:hint="default" w:ascii="Times New Roman" w:hAnsi="Times New Roman" w:eastAsia="宋体" w:cs="Times New Roman"/>
                <w:szCs w:val="21"/>
                <w:highlight w:val="none"/>
              </w:rPr>
              <w:t>所配置的运维技术人员具有环保类专业技术中级职称的，每有1人得0.5分；具有环保类专业技术高级及以上职称的，每有1人得</w:t>
            </w:r>
            <w:r>
              <w:rPr>
                <w:rFonts w:hint="default" w:ascii="Times New Roman" w:hAnsi="Times New Roman" w:eastAsia="宋体" w:cs="Times New Roman"/>
                <w:szCs w:val="21"/>
                <w:highlight w:val="none"/>
                <w:lang w:bidi="zh-CN"/>
              </w:rPr>
              <w:t>1</w:t>
            </w:r>
            <w:r>
              <w:rPr>
                <w:rFonts w:hint="default" w:ascii="Times New Roman" w:hAnsi="Times New Roman" w:eastAsia="宋体" w:cs="Times New Roman"/>
                <w:szCs w:val="21"/>
                <w:highlight w:val="none"/>
                <w:lang w:val="zh-CN" w:bidi="zh-CN"/>
              </w:rPr>
              <w:t>分，</w:t>
            </w:r>
            <w:r>
              <w:rPr>
                <w:rFonts w:hint="default" w:ascii="Times New Roman" w:hAnsi="Times New Roman" w:eastAsia="宋体" w:cs="Times New Roman"/>
                <w:szCs w:val="21"/>
                <w:highlight w:val="none"/>
                <w:lang w:bidi="zh-CN"/>
              </w:rPr>
              <w:t>本小项最高得3分</w:t>
            </w:r>
            <w:r>
              <w:rPr>
                <w:rFonts w:hint="default" w:ascii="Times New Roman" w:hAnsi="Times New Roman" w:eastAsia="宋体" w:cs="Times New Roman"/>
                <w:szCs w:val="21"/>
                <w:highlight w:val="none"/>
                <w:lang w:val="zh-CN" w:bidi="zh-CN"/>
              </w:rPr>
              <w:t>。</w:t>
            </w:r>
          </w:p>
          <w:p w14:paraId="63D2E3C3">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w:t>
            </w:r>
            <w:r>
              <w:rPr>
                <w:rFonts w:hint="default" w:ascii="Times New Roman" w:hAnsi="Times New Roman" w:eastAsia="宋体" w:cs="Times New Roman"/>
                <w:szCs w:val="21"/>
                <w:highlight w:val="none"/>
                <w:lang w:val="en-US" w:eastAsia="zh-CN"/>
              </w:rPr>
              <w:t>证明材料及</w:t>
            </w:r>
            <w:r>
              <w:rPr>
                <w:rFonts w:hint="default" w:ascii="Times New Roman" w:hAnsi="Times New Roman" w:eastAsia="宋体" w:cs="Times New Roman"/>
                <w:szCs w:val="21"/>
                <w:highlight w:val="none"/>
              </w:rPr>
              <w:t>投标人近半年内任意一个月为其缴纳的社保证明）</w:t>
            </w:r>
          </w:p>
        </w:tc>
      </w:tr>
      <w:tr w14:paraId="3C3A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693" w:type="pct"/>
            <w:vMerge w:val="continue"/>
            <w:vAlign w:val="center"/>
          </w:tcPr>
          <w:p w14:paraId="52FBCDB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2342622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驻场人员</w:t>
            </w:r>
          </w:p>
          <w:p w14:paraId="121E915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6" w:type="pct"/>
            <w:vAlign w:val="center"/>
          </w:tcPr>
          <w:p w14:paraId="6E7DFD57">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1、投标人</w:t>
            </w:r>
            <w:r>
              <w:rPr>
                <w:rFonts w:hint="default" w:ascii="Times New Roman" w:hAnsi="Times New Roman" w:eastAsia="宋体" w:cs="Times New Roman"/>
                <w:szCs w:val="21"/>
                <w:highlight w:val="none"/>
                <w:lang w:val="zh-CN" w:bidi="zh-CN"/>
              </w:rPr>
              <w:t>为本项目在省监测中心</w:t>
            </w:r>
            <w:r>
              <w:rPr>
                <w:rFonts w:hint="default" w:ascii="Times New Roman" w:hAnsi="Times New Roman" w:eastAsia="宋体" w:cs="Times New Roman"/>
                <w:szCs w:val="21"/>
                <w:highlight w:val="none"/>
                <w:lang w:bidi="zh-CN"/>
              </w:rPr>
              <w:t>配置</w:t>
            </w:r>
            <w:r>
              <w:rPr>
                <w:rFonts w:hint="default" w:ascii="Times New Roman" w:hAnsi="Times New Roman" w:eastAsia="宋体" w:cs="Times New Roman"/>
                <w:szCs w:val="21"/>
                <w:highlight w:val="none"/>
                <w:lang w:val="zh-CN" w:bidi="zh-CN"/>
              </w:rPr>
              <w:t>4名驻场人员得3分；</w:t>
            </w:r>
          </w:p>
          <w:p w14:paraId="70E0DBB7">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2、投标人为本项目配置的</w:t>
            </w:r>
            <w:r>
              <w:rPr>
                <w:rFonts w:hint="default" w:ascii="Times New Roman" w:hAnsi="Times New Roman" w:eastAsia="宋体" w:cs="Times New Roman"/>
                <w:szCs w:val="21"/>
                <w:highlight w:val="none"/>
                <w:lang w:val="zh-CN" w:bidi="zh-CN"/>
              </w:rPr>
              <w:t>驻场人员具备研究生及以上学历且有相关气站数据监控、数据分析2年及以上工作经验的，</w:t>
            </w:r>
            <w:r>
              <w:rPr>
                <w:rFonts w:hint="default" w:ascii="Times New Roman" w:hAnsi="Times New Roman" w:eastAsia="宋体" w:cs="Times New Roman"/>
                <w:szCs w:val="21"/>
                <w:highlight w:val="none"/>
                <w:lang w:bidi="zh-CN"/>
              </w:rPr>
              <w:t>每</w:t>
            </w:r>
            <w:r>
              <w:rPr>
                <w:rFonts w:hint="default" w:ascii="Times New Roman" w:hAnsi="Times New Roman" w:eastAsia="宋体" w:cs="Times New Roman"/>
                <w:szCs w:val="21"/>
                <w:highlight w:val="none"/>
                <w:lang w:val="zh-CN" w:bidi="zh-CN"/>
              </w:rPr>
              <w:t>有1人得1分，</w:t>
            </w:r>
            <w:r>
              <w:rPr>
                <w:rFonts w:hint="default" w:ascii="Times New Roman" w:hAnsi="Times New Roman" w:eastAsia="宋体" w:cs="Times New Roman"/>
                <w:szCs w:val="21"/>
                <w:highlight w:val="none"/>
                <w:lang w:bidi="zh-CN"/>
              </w:rPr>
              <w:t>本小项最高得3分</w:t>
            </w:r>
            <w:r>
              <w:rPr>
                <w:rFonts w:hint="default" w:ascii="Times New Roman" w:hAnsi="Times New Roman" w:eastAsia="宋体" w:cs="Times New Roman"/>
                <w:szCs w:val="21"/>
                <w:highlight w:val="none"/>
                <w:lang w:val="zh-CN" w:bidi="zh-CN"/>
              </w:rPr>
              <w:t>。</w:t>
            </w:r>
          </w:p>
          <w:p w14:paraId="3E7AE0DC">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（提供人员名单，学历证书、</w:t>
            </w:r>
            <w:r>
              <w:rPr>
                <w:rFonts w:hint="default" w:ascii="Times New Roman" w:hAnsi="Times New Roman" w:eastAsia="宋体" w:cs="Times New Roman"/>
                <w:szCs w:val="21"/>
                <w:highlight w:val="none"/>
              </w:rPr>
              <w:t>工作经验相关证明材料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szCs w:val="21"/>
                <w:highlight w:val="none"/>
                <w:lang w:bidi="zh-CN"/>
              </w:rPr>
              <w:t>）</w:t>
            </w:r>
          </w:p>
        </w:tc>
      </w:tr>
      <w:tr w14:paraId="4197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693" w:type="pct"/>
            <w:vMerge w:val="continue"/>
            <w:vAlign w:val="center"/>
          </w:tcPr>
          <w:p w14:paraId="0CCEE5C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13F8EB3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车辆配置</w:t>
            </w:r>
          </w:p>
          <w:p w14:paraId="440DA06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（4分）</w:t>
            </w:r>
          </w:p>
        </w:tc>
        <w:tc>
          <w:tcPr>
            <w:tcW w:w="3566" w:type="pct"/>
            <w:vAlign w:val="center"/>
          </w:tcPr>
          <w:p w14:paraId="074E9F0C">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投标人</w:t>
            </w:r>
            <w:r>
              <w:rPr>
                <w:rFonts w:hint="default" w:ascii="Times New Roman" w:hAnsi="Times New Roman" w:eastAsia="宋体" w:cs="Times New Roman"/>
                <w:szCs w:val="21"/>
                <w:highlight w:val="none"/>
                <w:lang w:val="zh-CN" w:bidi="zh-CN"/>
              </w:rPr>
              <w:t>按</w:t>
            </w:r>
            <w:r>
              <w:rPr>
                <w:rFonts w:hint="default" w:ascii="Times New Roman" w:hAnsi="Times New Roman" w:eastAsia="宋体" w:cs="Times New Roman"/>
                <w:szCs w:val="21"/>
                <w:highlight w:val="none"/>
                <w:lang w:bidi="zh-CN"/>
              </w:rPr>
              <w:t>招标文件要求</w:t>
            </w:r>
            <w:r>
              <w:rPr>
                <w:rFonts w:hint="default" w:ascii="Times New Roman" w:hAnsi="Times New Roman" w:eastAsia="宋体" w:cs="Times New Roman"/>
                <w:szCs w:val="21"/>
                <w:highlight w:val="none"/>
                <w:lang w:val="zh-CN" w:bidi="zh-CN"/>
              </w:rPr>
              <w:t>配置巡检车辆，配备的专用巡检车辆数量与负责日常维护的站点数量比值不低于1/</w:t>
            </w:r>
            <w:r>
              <w:rPr>
                <w:rFonts w:hint="default" w:ascii="Times New Roman" w:hAnsi="Times New Roman" w:eastAsia="宋体" w:cs="Times New Roman"/>
                <w:szCs w:val="21"/>
                <w:highlight w:val="none"/>
                <w:lang w:bidi="zh-CN"/>
              </w:rPr>
              <w:t>4的</w:t>
            </w:r>
            <w:r>
              <w:rPr>
                <w:rFonts w:hint="default" w:ascii="Times New Roman" w:hAnsi="Times New Roman" w:eastAsia="宋体" w:cs="Times New Roman"/>
                <w:szCs w:val="21"/>
                <w:highlight w:val="none"/>
                <w:lang w:val="zh-CN" w:bidi="zh-CN"/>
              </w:rPr>
              <w:t>得4分，</w:t>
            </w:r>
            <w:r>
              <w:rPr>
                <w:rFonts w:hint="default" w:ascii="Times New Roman" w:hAnsi="Times New Roman" w:eastAsia="宋体" w:cs="Times New Roman"/>
                <w:szCs w:val="21"/>
                <w:highlight w:val="none"/>
                <w:lang w:bidi="zh-CN"/>
              </w:rPr>
              <w:t>否则不得分。</w:t>
            </w:r>
          </w:p>
          <w:p w14:paraId="0A6DDC31">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lang w:bidi="zh-CN"/>
              </w:rPr>
              <w:t>如自有车辆，提供</w:t>
            </w:r>
            <w:r>
              <w:rPr>
                <w:rFonts w:hint="default" w:ascii="Times New Roman" w:hAnsi="Times New Roman" w:eastAsia="宋体" w:cs="Times New Roman"/>
                <w:szCs w:val="21"/>
                <w:highlight w:val="none"/>
                <w:lang w:val="zh-CN" w:bidi="zh-CN"/>
              </w:rPr>
              <w:t>车辆牌照、行驶证</w:t>
            </w:r>
            <w:r>
              <w:rPr>
                <w:rFonts w:hint="default" w:ascii="Times New Roman" w:hAnsi="Times New Roman" w:eastAsia="宋体" w:cs="Times New Roman"/>
                <w:szCs w:val="21"/>
                <w:highlight w:val="none"/>
                <w:lang w:bidi="zh-CN"/>
              </w:rPr>
              <w:t>；如</w:t>
            </w:r>
            <w:r>
              <w:rPr>
                <w:rFonts w:hint="default" w:ascii="Times New Roman" w:hAnsi="Times New Roman" w:eastAsia="宋体" w:cs="Times New Roman"/>
                <w:szCs w:val="21"/>
                <w:highlight w:val="none"/>
                <w:lang w:val="zh-CN" w:bidi="zh-CN"/>
              </w:rPr>
              <w:t>租赁</w:t>
            </w:r>
            <w:r>
              <w:rPr>
                <w:rFonts w:hint="default" w:ascii="Times New Roman" w:hAnsi="Times New Roman" w:eastAsia="宋体" w:cs="Times New Roman"/>
                <w:szCs w:val="21"/>
                <w:highlight w:val="none"/>
                <w:lang w:bidi="zh-CN"/>
              </w:rPr>
              <w:t>车辆</w:t>
            </w: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lang w:bidi="zh-CN"/>
              </w:rPr>
              <w:t>提供</w:t>
            </w:r>
            <w:r>
              <w:rPr>
                <w:rFonts w:hint="default" w:ascii="Times New Roman" w:hAnsi="Times New Roman" w:eastAsia="宋体" w:cs="Times New Roman"/>
                <w:szCs w:val="21"/>
                <w:highlight w:val="none"/>
                <w:lang w:val="zh-CN" w:bidi="zh-CN"/>
              </w:rPr>
              <w:t>车辆牌照、行驶证</w:t>
            </w:r>
            <w:r>
              <w:rPr>
                <w:rFonts w:hint="default" w:ascii="Times New Roman" w:hAnsi="Times New Roman" w:eastAsia="宋体" w:cs="Times New Roman"/>
                <w:szCs w:val="21"/>
                <w:highlight w:val="none"/>
                <w:lang w:bidi="zh-CN"/>
              </w:rPr>
              <w:t>以及</w:t>
            </w:r>
            <w:r>
              <w:rPr>
                <w:rFonts w:hint="default" w:ascii="Times New Roman" w:hAnsi="Times New Roman" w:eastAsia="宋体" w:cs="Times New Roman"/>
                <w:szCs w:val="21"/>
                <w:highlight w:val="none"/>
                <w:lang w:val="zh-CN" w:bidi="zh-CN"/>
              </w:rPr>
              <w:t>租赁合同，</w:t>
            </w:r>
            <w:r>
              <w:rPr>
                <w:rFonts w:hint="default" w:ascii="Times New Roman" w:hAnsi="Times New Roman" w:eastAsia="宋体" w:cs="Times New Roman"/>
                <w:szCs w:val="21"/>
                <w:highlight w:val="none"/>
                <w:lang w:bidi="zh-CN"/>
              </w:rPr>
              <w:t>且合同</w:t>
            </w:r>
            <w:r>
              <w:rPr>
                <w:rFonts w:hint="default" w:ascii="Times New Roman" w:hAnsi="Times New Roman" w:eastAsia="宋体" w:cs="Times New Roman"/>
                <w:szCs w:val="21"/>
                <w:highlight w:val="none"/>
                <w:lang w:val="zh-CN" w:bidi="zh-CN"/>
              </w:rPr>
              <w:t>周期</w:t>
            </w:r>
            <w:r>
              <w:rPr>
                <w:rFonts w:hint="default" w:ascii="Times New Roman" w:hAnsi="Times New Roman" w:eastAsia="宋体" w:cs="Times New Roman"/>
                <w:szCs w:val="21"/>
                <w:highlight w:val="none"/>
                <w:lang w:bidi="zh-CN"/>
              </w:rPr>
              <w:t>须</w:t>
            </w:r>
            <w:r>
              <w:rPr>
                <w:rFonts w:hint="default" w:ascii="Times New Roman" w:hAnsi="Times New Roman" w:eastAsia="宋体" w:cs="Times New Roman"/>
                <w:szCs w:val="21"/>
                <w:highlight w:val="none"/>
                <w:lang w:val="zh-CN" w:bidi="zh-CN"/>
              </w:rPr>
              <w:t>至少覆盖2026年全年；</w:t>
            </w:r>
            <w:r>
              <w:rPr>
                <w:rFonts w:hint="default" w:ascii="Times New Roman" w:hAnsi="Times New Roman" w:eastAsia="宋体" w:cs="Times New Roman"/>
                <w:szCs w:val="21"/>
                <w:highlight w:val="none"/>
                <w:lang w:bidi="zh-CN"/>
              </w:rPr>
              <w:t>如</w:t>
            </w:r>
            <w:r>
              <w:rPr>
                <w:rFonts w:hint="default" w:ascii="Times New Roman" w:hAnsi="Times New Roman" w:eastAsia="宋体" w:cs="Times New Roman"/>
                <w:szCs w:val="21"/>
                <w:highlight w:val="none"/>
                <w:lang w:val="zh-CN" w:bidi="zh-CN"/>
              </w:rPr>
              <w:t>承诺中标后1个月内配置</w:t>
            </w:r>
            <w:r>
              <w:rPr>
                <w:rFonts w:hint="default" w:ascii="Times New Roman" w:hAnsi="Times New Roman" w:eastAsia="宋体" w:cs="Times New Roman"/>
                <w:szCs w:val="21"/>
                <w:highlight w:val="none"/>
                <w:lang w:bidi="zh-CN"/>
              </w:rPr>
              <w:t>，提供承诺书并加盖公章</w:t>
            </w:r>
            <w:r>
              <w:rPr>
                <w:rFonts w:hint="default" w:ascii="Times New Roman" w:hAnsi="Times New Roman" w:eastAsia="宋体" w:cs="Times New Roman"/>
                <w:szCs w:val="21"/>
                <w:highlight w:val="none"/>
                <w:lang w:val="zh-CN" w:bidi="zh-CN"/>
              </w:rPr>
              <w:t>）</w:t>
            </w:r>
          </w:p>
        </w:tc>
      </w:tr>
      <w:tr w14:paraId="3FC2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3" w:type="pct"/>
            <w:vMerge w:val="continue"/>
            <w:vAlign w:val="center"/>
          </w:tcPr>
          <w:p w14:paraId="4482C76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369D480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服务网点承诺</w:t>
            </w:r>
          </w:p>
          <w:p w14:paraId="341414F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（2分）</w:t>
            </w:r>
          </w:p>
        </w:tc>
        <w:tc>
          <w:tcPr>
            <w:tcW w:w="3566" w:type="pct"/>
            <w:vAlign w:val="center"/>
          </w:tcPr>
          <w:p w14:paraId="71BA52D1">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投标人</w:t>
            </w:r>
            <w:r>
              <w:rPr>
                <w:rFonts w:hint="default" w:ascii="Times New Roman" w:hAnsi="Times New Roman" w:eastAsia="宋体" w:cs="Times New Roman"/>
                <w:szCs w:val="21"/>
                <w:highlight w:val="none"/>
                <w:lang w:bidi="zh-CN"/>
              </w:rPr>
              <w:t>已设立或</w:t>
            </w:r>
            <w:r>
              <w:rPr>
                <w:rFonts w:hint="default" w:ascii="Times New Roman" w:hAnsi="Times New Roman" w:eastAsia="宋体" w:cs="Times New Roman"/>
                <w:szCs w:val="21"/>
                <w:highlight w:val="none"/>
                <w:lang w:val="zh-CN" w:bidi="zh-CN"/>
              </w:rPr>
              <w:t>承诺中标后1个月内在所投</w:t>
            </w:r>
            <w:r>
              <w:rPr>
                <w:rFonts w:hint="default" w:ascii="Times New Roman" w:hAnsi="Times New Roman" w:eastAsia="宋体" w:cs="Times New Roman"/>
                <w:szCs w:val="21"/>
                <w:highlight w:val="none"/>
                <w:lang w:bidi="zh-CN"/>
              </w:rPr>
              <w:t>采购包</w:t>
            </w:r>
            <w:r>
              <w:rPr>
                <w:rFonts w:hint="default" w:ascii="Times New Roman" w:hAnsi="Times New Roman" w:eastAsia="宋体" w:cs="Times New Roman"/>
                <w:szCs w:val="21"/>
                <w:highlight w:val="none"/>
                <w:lang w:val="zh-CN" w:bidi="zh-CN"/>
              </w:rPr>
              <w:t>每个设区市设置技术服务网点的得2分。</w:t>
            </w:r>
          </w:p>
          <w:p w14:paraId="3849134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（提供</w:t>
            </w:r>
            <w:r>
              <w:rPr>
                <w:rFonts w:hint="default" w:ascii="Times New Roman" w:hAnsi="Times New Roman" w:eastAsia="宋体" w:cs="Times New Roman"/>
                <w:szCs w:val="21"/>
                <w:highlight w:val="none"/>
                <w:lang w:bidi="zh-CN"/>
              </w:rPr>
              <w:t>相关证明材料或</w:t>
            </w:r>
            <w:r>
              <w:rPr>
                <w:rFonts w:hint="default" w:ascii="Times New Roman" w:hAnsi="Times New Roman" w:eastAsia="宋体" w:cs="Times New Roman"/>
                <w:szCs w:val="21"/>
                <w:highlight w:val="none"/>
                <w:lang w:val="zh-CN" w:bidi="zh-CN"/>
              </w:rPr>
              <w:t>承诺书并加盖公章）</w:t>
            </w:r>
          </w:p>
        </w:tc>
      </w:tr>
      <w:tr w14:paraId="068B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restart"/>
            <w:vAlign w:val="center"/>
          </w:tcPr>
          <w:p w14:paraId="2454E88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运维服务方案及技术要求响应情况（48分）</w:t>
            </w:r>
          </w:p>
        </w:tc>
        <w:tc>
          <w:tcPr>
            <w:tcW w:w="739" w:type="pct"/>
            <w:vAlign w:val="center"/>
          </w:tcPr>
          <w:p w14:paraId="0BAA71A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监测设备标准化操作规程</w:t>
            </w:r>
          </w:p>
          <w:p w14:paraId="0AA1B06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10568C1B">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根据投标文件中所提供的监测设备标准化操作规程与项目的适用性进行综合评审：</w:t>
            </w:r>
          </w:p>
          <w:p w14:paraId="435EA11A">
            <w:pPr>
              <w:pageBreakBefore w:val="0"/>
              <w:numPr>
                <w:ilvl w:val="0"/>
                <w:numId w:val="5"/>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依据本招标文件要求的各种运维工作，针对拟运维省考站点站内主要设备编制了全面详细的、可操作性强的监测设备标准化操作规程，完全满足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得5分；</w:t>
            </w:r>
          </w:p>
          <w:p w14:paraId="032C286D">
            <w:pPr>
              <w:pageBreakBefore w:val="0"/>
              <w:numPr>
                <w:ilvl w:val="0"/>
                <w:numId w:val="5"/>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标准化操作规程涵盖了拟运维省考站点内主要设备，但有个别设备操作规程可操作略有欠缺，基本满足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得3分；</w:t>
            </w:r>
          </w:p>
          <w:p w14:paraId="17AE483A">
            <w:pPr>
              <w:pageBreakBefore w:val="0"/>
              <w:numPr>
                <w:ilvl w:val="0"/>
                <w:numId w:val="5"/>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只针对部分主要设备编制了监测设备标准化操作规程</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得1分；</w:t>
            </w:r>
          </w:p>
          <w:p w14:paraId="392D0DDC">
            <w:pPr>
              <w:pageBreakBefore w:val="0"/>
              <w:numPr>
                <w:ilvl w:val="0"/>
                <w:numId w:val="5"/>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未提供相关内容的得0分。</w:t>
            </w:r>
          </w:p>
          <w:p w14:paraId="654C8E64">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注：主要设备指监测设备、质控设备、气象设备。</w:t>
            </w:r>
          </w:p>
        </w:tc>
      </w:tr>
      <w:tr w14:paraId="5E86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6D25B83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27D5581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日常管理</w:t>
            </w:r>
          </w:p>
          <w:p w14:paraId="2935C26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维护方案</w:t>
            </w:r>
          </w:p>
          <w:p w14:paraId="07A0379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4804BCE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根据投标文件中所提供的日常管理维护方案进行综合评审：</w:t>
            </w:r>
          </w:p>
          <w:p w14:paraId="16E1EBF4">
            <w:pPr>
              <w:pageBreakBefore w:val="0"/>
              <w:numPr>
                <w:ilvl w:val="0"/>
                <w:numId w:val="6"/>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制定并提供了规章制度、日常维护方案、定期巡检方案，规章制度详细严谨、日常维护方案及定期巡检方案内容完整，方案清晰有条理，切合实际，可操作性强，充分考虑了所投标包城市的自然环境、交通状况、空气质量的差异，完全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得5分；</w:t>
            </w:r>
          </w:p>
          <w:p w14:paraId="7081A54E">
            <w:pPr>
              <w:pageBreakBefore w:val="0"/>
              <w:numPr>
                <w:ilvl w:val="0"/>
                <w:numId w:val="6"/>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制定并提供了规章制度、日常维护、定期巡检方案，方案完整，具有可操作性、针对性，整体上考虑了所投标包城市的自然环境、交通状况、空气质量的差异，但细节有待完善，基本满足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得3分；</w:t>
            </w:r>
          </w:p>
          <w:p w14:paraId="512EE7C4">
            <w:pPr>
              <w:pageBreakBefore w:val="0"/>
              <w:numPr>
                <w:ilvl w:val="0"/>
                <w:numId w:val="6"/>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制定并提供了规章制度、日常维护、定期巡检方案，方案完整，具有一定的可操作性，内容有一定针对性，考虑到所投标包部分城市的自然环境、交通状况、空气质量的差异，部分满足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得1分；</w:t>
            </w:r>
          </w:p>
          <w:p w14:paraId="39EBA1D6">
            <w:pPr>
              <w:pageBreakBefore w:val="0"/>
              <w:numPr>
                <w:ilvl w:val="0"/>
                <w:numId w:val="6"/>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未提供相关内容的得0分。</w:t>
            </w:r>
          </w:p>
        </w:tc>
      </w:tr>
      <w:tr w14:paraId="2488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26A8D5A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1D7D93E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故障维修方案</w:t>
            </w:r>
          </w:p>
          <w:p w14:paraId="4F41F92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19F26C74">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根据投标文件中所提供的故障维修方案进行综合评审：</w:t>
            </w:r>
          </w:p>
          <w:p w14:paraId="3BE4475F">
            <w:pPr>
              <w:pageBreakBefore w:val="0"/>
              <w:numPr>
                <w:ilvl w:val="0"/>
                <w:numId w:val="7"/>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故障维修方案完整具有针对性，方案清晰有条理，切合实际，可操作性强，充分考虑了所投标包城市的自然环境、交通状况差异，制定了不同类型故障的处理措施，完全满足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得5分；</w:t>
            </w:r>
          </w:p>
          <w:p w14:paraId="30BE089F">
            <w:pPr>
              <w:pageBreakBefore w:val="0"/>
              <w:numPr>
                <w:ilvl w:val="0"/>
                <w:numId w:val="7"/>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故障维修方案完整，具有可操作性和针对性，整体上考虑了所投标包城市的自然环境、交通状况差异，制定了不同类型故障的处理措施，但细节有待完善，基本满足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得3分；</w:t>
            </w:r>
          </w:p>
          <w:p w14:paraId="08B9C15E">
            <w:pPr>
              <w:pageBreakBefore w:val="0"/>
              <w:numPr>
                <w:ilvl w:val="0"/>
                <w:numId w:val="7"/>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制定并提供了故障维修方案，方案完整，具有一定的可操作性，内容有一定针对性，考虑到所投标包部分城市的自然环境、交通状况差异，部分满足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得1分；</w:t>
            </w:r>
          </w:p>
          <w:p w14:paraId="52433042">
            <w:pPr>
              <w:pageBreakBefore w:val="0"/>
              <w:numPr>
                <w:ilvl w:val="0"/>
                <w:numId w:val="7"/>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未提供相关内容的得0分。</w:t>
            </w:r>
          </w:p>
        </w:tc>
      </w:tr>
      <w:tr w14:paraId="1783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299BE5A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7C5630E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数据审核</w:t>
            </w:r>
          </w:p>
          <w:p w14:paraId="30006A9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与处理</w:t>
            </w:r>
            <w:r>
              <w:rPr>
                <w:rFonts w:hint="default" w:ascii="Times New Roman" w:hAnsi="Times New Roman" w:eastAsia="宋体" w:cs="Times New Roman"/>
                <w:szCs w:val="21"/>
                <w:highlight w:val="none"/>
                <w:lang w:val="en-US" w:eastAsia="zh-CN"/>
              </w:rPr>
              <w:t>方案</w:t>
            </w:r>
          </w:p>
          <w:p w14:paraId="07FA545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569F452C">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根据投标文件中所提供的数据审核与处理方案进行综合评审：</w:t>
            </w:r>
            <w:r>
              <w:rPr>
                <w:rFonts w:hint="default" w:ascii="Times New Roman" w:hAnsi="Times New Roman" w:eastAsia="宋体" w:cs="Times New Roman"/>
                <w:szCs w:val="21"/>
                <w:highlight w:val="none"/>
                <w:lang w:bidi="zh-CN"/>
              </w:rPr>
              <w:t>1、</w:t>
            </w:r>
            <w:r>
              <w:rPr>
                <w:rFonts w:hint="default" w:ascii="Times New Roman" w:hAnsi="Times New Roman" w:eastAsia="宋体" w:cs="Times New Roman"/>
                <w:szCs w:val="21"/>
                <w:highlight w:val="none"/>
                <w:lang w:val="zh-CN" w:bidi="zh-CN"/>
              </w:rPr>
              <w:t>采购需求理解准确，提供了全面、详细、具体可行的数据审核方案，系统地阐述数据审核技术方法和依据，针对省考站点数据传输要求提出了切实可行的审核措施，并制定完善的工作流程图，完全满足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得5分；</w:t>
            </w:r>
          </w:p>
          <w:p w14:paraId="31346FD6">
            <w:pPr>
              <w:pageBreakBefore w:val="0"/>
              <w:numPr>
                <w:ilvl w:val="0"/>
                <w:numId w:val="8"/>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提供了部分数据审核的方法，阐述了审核依据，但方法和依据细节有待完善；或针对省考站点数据传输要求提出了审核措施，制定了工作流程图，但措施或流程图细节有待完善，基本满足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得3分；</w:t>
            </w:r>
          </w:p>
          <w:p w14:paraId="6EDD6A7E">
            <w:pPr>
              <w:pageBreakBefore w:val="0"/>
              <w:numPr>
                <w:ilvl w:val="0"/>
                <w:numId w:val="8"/>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提供了几种数据审核方法，阐述了审核依据，针对省考站点数据传输要求提出了审核措施，但审核方法片面，可能导致错判或漏判，审核措施有缺陷，部分满足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得1分；</w:t>
            </w:r>
          </w:p>
          <w:p w14:paraId="34DDE96F">
            <w:pPr>
              <w:pageBreakBefore w:val="0"/>
              <w:numPr>
                <w:ilvl w:val="0"/>
                <w:numId w:val="8"/>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未提供相关内容的得0分。</w:t>
            </w:r>
          </w:p>
        </w:tc>
      </w:tr>
      <w:tr w14:paraId="3029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93" w:type="pct"/>
            <w:vMerge w:val="continue"/>
            <w:vAlign w:val="center"/>
          </w:tcPr>
          <w:p w14:paraId="5F81254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2AB265D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质量控制方案</w:t>
            </w:r>
          </w:p>
          <w:p w14:paraId="47F3364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69B381FC">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根据投标文件中所提供的质量保证和质量控制方案进行综合评审：</w:t>
            </w:r>
          </w:p>
          <w:p w14:paraId="2E09AE33">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1、</w:t>
            </w:r>
            <w:r>
              <w:rPr>
                <w:rFonts w:hint="default" w:ascii="Times New Roman" w:hAnsi="Times New Roman" w:eastAsia="宋体" w:cs="Times New Roman"/>
                <w:szCs w:val="21"/>
                <w:highlight w:val="none"/>
                <w:lang w:val="zh-CN" w:bidi="zh-CN"/>
              </w:rPr>
              <w:t>质量保证与质量控制体系完善，并对应制定了详实可行的质控措施，完全</w:t>
            </w:r>
            <w:r>
              <w:rPr>
                <w:rFonts w:hint="default" w:ascii="Times New Roman" w:hAnsi="Times New Roman" w:eastAsia="宋体" w:cs="Times New Roman"/>
                <w:szCs w:val="21"/>
                <w:highlight w:val="none"/>
                <w:lang w:bidi="zh-CN"/>
              </w:rPr>
              <w:t>满足招标文件</w:t>
            </w:r>
            <w:r>
              <w:rPr>
                <w:rFonts w:hint="default" w:ascii="Times New Roman" w:hAnsi="Times New Roman" w:eastAsia="宋体" w:cs="Times New Roman"/>
                <w:szCs w:val="21"/>
                <w:highlight w:val="none"/>
                <w:lang w:val="zh-CN" w:bidi="zh-CN"/>
              </w:rPr>
              <w:t>需求，高效保证运维质量</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得5分；</w:t>
            </w:r>
          </w:p>
          <w:p w14:paraId="250F092F">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2、</w:t>
            </w:r>
            <w:r>
              <w:rPr>
                <w:rFonts w:hint="default" w:ascii="Times New Roman" w:hAnsi="Times New Roman" w:eastAsia="宋体" w:cs="Times New Roman"/>
                <w:szCs w:val="21"/>
                <w:highlight w:val="none"/>
                <w:lang w:val="zh-CN" w:bidi="zh-CN"/>
              </w:rPr>
              <w:t>建立了质量保证与质量控制体系，有具体的质控措施，但细节有待完善</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得3分；</w:t>
            </w:r>
          </w:p>
          <w:p w14:paraId="3D277151">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3、</w:t>
            </w:r>
            <w:r>
              <w:rPr>
                <w:rFonts w:hint="default" w:ascii="Times New Roman" w:hAnsi="Times New Roman" w:eastAsia="宋体" w:cs="Times New Roman"/>
                <w:szCs w:val="21"/>
                <w:highlight w:val="none"/>
                <w:lang w:val="zh-CN" w:bidi="zh-CN"/>
              </w:rPr>
              <w:t>建立了通用的质量保证与质量控制体系，具有通用的质控措施</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得1分；</w:t>
            </w:r>
          </w:p>
          <w:p w14:paraId="1D09C8FD">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4、</w:t>
            </w:r>
            <w:r>
              <w:rPr>
                <w:rFonts w:hint="default" w:ascii="Times New Roman" w:hAnsi="Times New Roman" w:eastAsia="宋体" w:cs="Times New Roman"/>
                <w:szCs w:val="21"/>
                <w:highlight w:val="none"/>
              </w:rPr>
              <w:t>未提供相关内容的得0分。</w:t>
            </w:r>
          </w:p>
        </w:tc>
      </w:tr>
      <w:tr w14:paraId="7644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315DECA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29C7E77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应急方案</w:t>
            </w:r>
          </w:p>
          <w:p w14:paraId="318FB60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652717A0">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根据投标文件中所提供的应急方案进行综合评审：</w:t>
            </w:r>
          </w:p>
          <w:p w14:paraId="20BC9EF0">
            <w:pPr>
              <w:pageBreakBefore w:val="0"/>
              <w:numPr>
                <w:ilvl w:val="0"/>
                <w:numId w:val="9"/>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对应急工作进行了合理规划并制定可行计划，应急方案针对性强，各要素考虑充分，同时根据招标文件技术要求，列出各种应急情景、发现应急情况的方法、应急措施及解决方案，系统地阐述判断和解决方法，制定完善的工作流程，完全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需求，能应对可能的突发情况</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得5分；</w:t>
            </w:r>
          </w:p>
          <w:p w14:paraId="35F23AEB">
            <w:pPr>
              <w:pageBreakBefore w:val="0"/>
              <w:numPr>
                <w:ilvl w:val="0"/>
                <w:numId w:val="9"/>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系统地列出各种应急情景、发现应急情况的方法、应急措施及解决方案，但细节有待完善；或者列出部分应急情景、发现应急情况的方法、应急措施及解决方案，基本满足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得3分；</w:t>
            </w:r>
          </w:p>
          <w:p w14:paraId="27EA31CA">
            <w:pPr>
              <w:pageBreakBefore w:val="0"/>
              <w:numPr>
                <w:ilvl w:val="0"/>
                <w:numId w:val="9"/>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对常见的应急情景有遗漏，或应急措施及解决方案粗略、缺乏针对性，难以及时应对常见的突发情况，部分满足</w:t>
            </w:r>
            <w:r>
              <w:rPr>
                <w:rFonts w:hint="default" w:ascii="Times New Roman" w:hAnsi="Times New Roman" w:eastAsia="宋体" w:cs="Times New Roman"/>
                <w:szCs w:val="21"/>
                <w:highlight w:val="none"/>
                <w:lang w:bidi="zh-CN"/>
              </w:rPr>
              <w:t>招标文件</w:t>
            </w:r>
            <w:r>
              <w:rPr>
                <w:rFonts w:hint="default" w:ascii="Times New Roman" w:hAnsi="Times New Roman" w:eastAsia="宋体" w:cs="Times New Roman"/>
                <w:szCs w:val="21"/>
                <w:highlight w:val="none"/>
                <w:lang w:val="zh-CN" w:bidi="zh-CN"/>
              </w:rPr>
              <w:t>需求</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得1分；</w:t>
            </w:r>
          </w:p>
          <w:p w14:paraId="5210C033">
            <w:pPr>
              <w:pageBreakBefore w:val="0"/>
              <w:numPr>
                <w:ilvl w:val="0"/>
                <w:numId w:val="9"/>
              </w:numPr>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未提供相关内容的得0分。</w:t>
            </w:r>
          </w:p>
        </w:tc>
      </w:tr>
      <w:tr w14:paraId="4E5F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7621C59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33A3CC4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勘察报告</w:t>
            </w:r>
          </w:p>
          <w:p w14:paraId="2366A39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66" w:type="pct"/>
            <w:vAlign w:val="center"/>
          </w:tcPr>
          <w:p w14:paraId="320951A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可申请对本项目全部站点的仪器设备运行情况进行现场勘察，至少提供所投采购包50%以上站点现场勘察报告。勘察报告应对现场情况进行汇总统计，层次清晰分明，同时勘查报告中需涵盖运维交接方案等相关内容。</w:t>
            </w:r>
          </w:p>
          <w:p w14:paraId="137BFCB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根据投标人提供的现场点位勘察报告进行综合评审：</w:t>
            </w:r>
          </w:p>
          <w:p w14:paraId="3F3D76B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1、勘察报告完善，现场情况汇总统计清晰层次分明，运维交接方案合理可行，优于招标文件要求的得5分；</w:t>
            </w:r>
          </w:p>
          <w:p w14:paraId="01FD6A0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2、勘察报告符合招标文件要求的得3分；</w:t>
            </w:r>
          </w:p>
          <w:p w14:paraId="63587D7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3、勘察报告部分满足招标文件要求的得1分；</w:t>
            </w:r>
          </w:p>
          <w:p w14:paraId="424EE08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09A8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93" w:type="pct"/>
            <w:vMerge w:val="continue"/>
            <w:vAlign w:val="center"/>
          </w:tcPr>
          <w:p w14:paraId="16C29C8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3CFFDB8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质量控制设备</w:t>
            </w:r>
          </w:p>
          <w:p w14:paraId="73201FF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66" w:type="pct"/>
            <w:vAlign w:val="center"/>
          </w:tcPr>
          <w:p w14:paraId="67DFA23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投标人应提供必要的质量控制设备用于开展运维工作，包括流量计、标准气压计、臭氧校准仪等，已采购且与招标文件中要求的数量一致或承诺中标后购置的得3分，否则不得分。</w:t>
            </w:r>
          </w:p>
          <w:p w14:paraId="52532A65">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（提供以上设备的购置发票、采购合同、租赁协议或承诺书并加盖公章）</w:t>
            </w:r>
          </w:p>
        </w:tc>
      </w:tr>
      <w:tr w14:paraId="69E2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324EA74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4FAF184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站房本体服务及视频监控平台租赁</w:t>
            </w:r>
          </w:p>
          <w:p w14:paraId="0229E21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（2分）</w:t>
            </w:r>
          </w:p>
        </w:tc>
        <w:tc>
          <w:tcPr>
            <w:tcW w:w="3566" w:type="pct"/>
            <w:vAlign w:val="center"/>
          </w:tcPr>
          <w:p w14:paraId="2E66CAC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投标人承诺根</w:t>
            </w:r>
            <w:r>
              <w:rPr>
                <w:rFonts w:hint="default" w:ascii="Times New Roman" w:hAnsi="Times New Roman" w:eastAsia="宋体" w:cs="Times New Roman"/>
                <w:b w:val="0"/>
                <w:bCs w:val="0"/>
                <w:szCs w:val="21"/>
                <w:highlight w:val="none"/>
              </w:rPr>
              <w:t>据招标文件中采购需求中“二、省控（质控、农村及边界）空气站运行维护要求”中“（五</w:t>
            </w:r>
            <w:r>
              <w:rPr>
                <w:rFonts w:hint="default" w:ascii="Times New Roman" w:hAnsi="Times New Roman" w:eastAsia="宋体" w:cs="Times New Roman"/>
                <w:szCs w:val="21"/>
                <w:highlight w:val="none"/>
              </w:rPr>
              <w:t>）防雷、消防、电力系统及站房本体维护要求”、“（六）光纤专线及全球眼平台服务的租用及视频监控系统的运维”开展相关运维工作，并支付相关平台、网络租赁经费的得2分，否则不得分。</w:t>
            </w:r>
          </w:p>
          <w:p w14:paraId="6A28D9B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（提供承诺书并加盖公章）</w:t>
            </w:r>
          </w:p>
        </w:tc>
      </w:tr>
      <w:tr w14:paraId="4790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3" w:type="pct"/>
            <w:vMerge w:val="continue"/>
            <w:vAlign w:val="center"/>
          </w:tcPr>
          <w:p w14:paraId="2179061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785DE5B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主要设备备机</w:t>
            </w:r>
          </w:p>
          <w:p w14:paraId="516DDB3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6" w:type="pct"/>
            <w:vAlign w:val="center"/>
          </w:tcPr>
          <w:p w14:paraId="1F2A0B9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、CO、PM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六项指标自动监测仪器（六项指标均包含视为1套）作为备机，数量和指标均符合招标文件要求的得6分；每缺1套备机扣1分，扣完为止。</w:t>
            </w:r>
          </w:p>
          <w:p w14:paraId="4DBFE53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（提供以上设备自有或租赁的相关证明材料，</w:t>
            </w:r>
            <w:r>
              <w:rPr>
                <w:rFonts w:hint="default" w:ascii="Times New Roman" w:hAnsi="Times New Roman" w:eastAsia="宋体" w:cs="Times New Roman"/>
                <w:color w:val="000000"/>
                <w:szCs w:val="21"/>
                <w:highlight w:val="none"/>
              </w:rPr>
              <w:t>租赁合同周期需至少覆盖2026年全年</w:t>
            </w:r>
            <w:r>
              <w:rPr>
                <w:rFonts w:hint="default" w:ascii="Times New Roman" w:hAnsi="Times New Roman" w:eastAsia="宋体" w:cs="Times New Roman"/>
                <w:szCs w:val="21"/>
                <w:highlight w:val="none"/>
              </w:rPr>
              <w:t>）</w:t>
            </w:r>
          </w:p>
        </w:tc>
      </w:tr>
      <w:tr w14:paraId="3DAF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3" w:type="pct"/>
            <w:vMerge w:val="continue"/>
            <w:vAlign w:val="center"/>
          </w:tcPr>
          <w:p w14:paraId="2B06823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23C87AE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辅助设备备机</w:t>
            </w:r>
          </w:p>
          <w:p w14:paraId="50E0612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（2分）</w:t>
            </w:r>
          </w:p>
        </w:tc>
        <w:tc>
          <w:tcPr>
            <w:tcW w:w="3566" w:type="pct"/>
            <w:vAlign w:val="center"/>
          </w:tcPr>
          <w:p w14:paraId="56F28F1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投标人应提供子站数采设备、VPN、零气发生器、动态校进仪、臭氧标准传递设备备机各2套（以上5个设备均包含视为1套），数量和指标均符合招标文件要求的得2分；每缺1套备机扣1分，扣完为止。</w:t>
            </w:r>
          </w:p>
          <w:p w14:paraId="14F0377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（提供以上设备自有或租赁的相关证明材料，</w:t>
            </w:r>
            <w:r>
              <w:rPr>
                <w:rFonts w:hint="default" w:ascii="Times New Roman" w:hAnsi="Times New Roman" w:eastAsia="宋体" w:cs="Times New Roman"/>
                <w:color w:val="000000"/>
                <w:szCs w:val="21"/>
                <w:highlight w:val="none"/>
              </w:rPr>
              <w:t>租赁合同周期需至少覆盖2026年全年</w:t>
            </w:r>
            <w:r>
              <w:rPr>
                <w:rFonts w:hint="default" w:ascii="Times New Roman" w:hAnsi="Times New Roman" w:eastAsia="宋体" w:cs="Times New Roman"/>
                <w:szCs w:val="21"/>
                <w:highlight w:val="none"/>
              </w:rPr>
              <w:t>）</w:t>
            </w:r>
          </w:p>
        </w:tc>
      </w:tr>
      <w:tr w14:paraId="438E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3" w:type="pct"/>
            <w:vMerge w:val="restart"/>
            <w:vAlign w:val="center"/>
          </w:tcPr>
          <w:p w14:paraId="210CDFD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企业业绩及实验室</w:t>
            </w:r>
          </w:p>
          <w:p w14:paraId="353195C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（18分）</w:t>
            </w:r>
          </w:p>
        </w:tc>
        <w:tc>
          <w:tcPr>
            <w:tcW w:w="739" w:type="pct"/>
            <w:vAlign w:val="center"/>
          </w:tcPr>
          <w:p w14:paraId="27B86E6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企业业绩（12分）</w:t>
            </w:r>
          </w:p>
        </w:tc>
        <w:tc>
          <w:tcPr>
            <w:tcW w:w="3566" w:type="pct"/>
            <w:vAlign w:val="center"/>
          </w:tcPr>
          <w:p w14:paraId="49BEFCA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自2022年1月1日以来，投标人具有空气自动监测站（国家标准方法建设的站点）运维项目业绩，每提供1个得1分，本小项最高得12分。</w:t>
            </w:r>
          </w:p>
          <w:p w14:paraId="57085AFF">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（提供业绩合同，业绩时间以合同签订时间为准）</w:t>
            </w:r>
          </w:p>
        </w:tc>
      </w:tr>
      <w:tr w14:paraId="75E4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3" w:type="pct"/>
            <w:vMerge w:val="continue"/>
            <w:vAlign w:val="center"/>
          </w:tcPr>
          <w:p w14:paraId="657E8ED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3DEB003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实验室</w:t>
            </w:r>
          </w:p>
          <w:p w14:paraId="0DE41A8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6" w:type="pct"/>
            <w:vAlign w:val="center"/>
          </w:tcPr>
          <w:p w14:paraId="04ECA0C1">
            <w:pPr>
              <w:pageBreakBefore w:val="0"/>
              <w:numPr>
                <w:ilvl w:val="0"/>
                <w:numId w:val="10"/>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投标人自有质量控制的CMA实验室（认证范围需包含SO₂、NO₂、CO、PM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）的得6分；</w:t>
            </w:r>
          </w:p>
          <w:p w14:paraId="2D725B3C">
            <w:pPr>
              <w:pageBreakBefore w:val="0"/>
              <w:numPr>
                <w:ilvl w:val="0"/>
                <w:numId w:val="10"/>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投标人无自有实验室，有委托实验室的得3分；</w:t>
            </w:r>
          </w:p>
          <w:p w14:paraId="77586ABB">
            <w:pPr>
              <w:pageBreakBefore w:val="0"/>
              <w:numPr>
                <w:ilvl w:val="0"/>
                <w:numId w:val="10"/>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投标人无自有实验室，承诺中标后3个月内建立或委托具有资质CMA实验室的得1分；</w:t>
            </w:r>
          </w:p>
          <w:p w14:paraId="27B42320">
            <w:pPr>
              <w:pageBreakBefore w:val="0"/>
              <w:numPr>
                <w:ilvl w:val="0"/>
                <w:numId w:val="10"/>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没有委托实验室且未承诺的得0分。</w:t>
            </w:r>
          </w:p>
          <w:p w14:paraId="3EA85DD5">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（提供相关证明材料或承诺书并加盖公章）</w:t>
            </w:r>
          </w:p>
        </w:tc>
      </w:tr>
    </w:tbl>
    <w:p w14:paraId="3CB9BA54">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sectPr>
          <w:footerReference r:id="rId5" w:type="default"/>
          <w:pgSz w:w="11906" w:h="16838"/>
          <w:pgMar w:top="1440" w:right="1800" w:bottom="1440" w:left="1800" w:header="227" w:footer="720" w:gutter="0"/>
          <w:pgNumType w:fmt="decimal" w:start="1"/>
          <w:cols w:space="0" w:num="1"/>
          <w:docGrid w:linePitch="360" w:charSpace="0"/>
        </w:sectPr>
      </w:pPr>
    </w:p>
    <w:p w14:paraId="2367A14F">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包2：省控（质控、农村及边界）空气站第三方质控</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90"/>
        <w:gridCol w:w="6061"/>
      </w:tblGrid>
      <w:tr w14:paraId="595F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84" w:type="pct"/>
            <w:vAlign w:val="center"/>
          </w:tcPr>
          <w:p w14:paraId="3F9CB3E0">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15" w:type="pct"/>
            <w:gridSpan w:val="2"/>
            <w:vAlign w:val="center"/>
          </w:tcPr>
          <w:p w14:paraId="6CF1C11E">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78F5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4" w:type="pct"/>
            <w:vAlign w:val="center"/>
          </w:tcPr>
          <w:p w14:paraId="48031B7A">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007ECEA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15" w:type="pct"/>
            <w:gridSpan w:val="2"/>
            <w:vAlign w:val="center"/>
          </w:tcPr>
          <w:p w14:paraId="718E1E3D">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7E2C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84" w:type="pct"/>
            <w:vMerge w:val="restart"/>
            <w:vAlign w:val="center"/>
          </w:tcPr>
          <w:p w14:paraId="547DCCB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7666B8A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（20分）</w:t>
            </w:r>
          </w:p>
        </w:tc>
        <w:tc>
          <w:tcPr>
            <w:tcW w:w="757" w:type="pct"/>
            <w:vAlign w:val="center"/>
          </w:tcPr>
          <w:p w14:paraId="3C378AE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现场核查</w:t>
            </w:r>
          </w:p>
          <w:p w14:paraId="27FE701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人员</w:t>
            </w:r>
          </w:p>
          <w:p w14:paraId="0A87D4A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（11分）</w:t>
            </w:r>
          </w:p>
        </w:tc>
        <w:tc>
          <w:tcPr>
            <w:tcW w:w="3558" w:type="pct"/>
            <w:vAlign w:val="center"/>
          </w:tcPr>
          <w:p w14:paraId="45C5248A">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1、</w:t>
            </w:r>
            <w:r>
              <w:rPr>
                <w:rFonts w:hint="default" w:ascii="Times New Roman" w:hAnsi="Times New Roman" w:eastAsia="宋体" w:cs="Times New Roman"/>
                <w:szCs w:val="21"/>
                <w:highlight w:val="none"/>
                <w:lang w:val="zh-CN" w:bidi="zh-CN"/>
              </w:rPr>
              <w:t>投标人为本项目配置的现场核查人员不少于6人，具有本科及以上学历，</w:t>
            </w:r>
            <w:r>
              <w:rPr>
                <w:rFonts w:hint="default" w:ascii="Times New Roman" w:hAnsi="Times New Roman" w:eastAsia="宋体" w:cs="Times New Roman"/>
                <w:szCs w:val="21"/>
                <w:highlight w:val="none"/>
                <w:lang w:bidi="zh-CN"/>
              </w:rPr>
              <w:t>且具备环境空气质量自动监测技术人员的运维能力与质控水平（提供省级及以上生态环境部门相关机构提供的培训合格证明或其他类似证明材料）</w:t>
            </w:r>
            <w:r>
              <w:rPr>
                <w:rFonts w:hint="default" w:ascii="Times New Roman" w:hAnsi="Times New Roman" w:eastAsia="宋体" w:cs="Times New Roman"/>
                <w:szCs w:val="21"/>
                <w:highlight w:val="none"/>
                <w:lang w:val="zh-CN" w:bidi="zh-CN"/>
              </w:rPr>
              <w:t>的得6分；在此基础上每增加1名现场核查人员加1分，最多加2分；</w:t>
            </w:r>
            <w:r>
              <w:rPr>
                <w:rFonts w:hint="default" w:ascii="Times New Roman" w:hAnsi="Times New Roman" w:eastAsia="宋体" w:cs="Times New Roman"/>
                <w:szCs w:val="21"/>
                <w:highlight w:val="none"/>
                <w:lang w:bidi="zh-CN"/>
              </w:rPr>
              <w:t>本小项最高得8分；</w:t>
            </w:r>
          </w:p>
          <w:p w14:paraId="2F6187B5">
            <w:pPr>
              <w:pageBreakBefore w:val="0"/>
              <w:numPr>
                <w:ilvl w:val="0"/>
                <w:numId w:val="11"/>
              </w:numPr>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val="zh-CN" w:bidi="zh-CN"/>
              </w:rPr>
              <w:t>现场核查人员中具</w:t>
            </w:r>
            <w:r>
              <w:rPr>
                <w:rFonts w:hint="default" w:ascii="Times New Roman" w:hAnsi="Times New Roman" w:eastAsia="宋体" w:cs="Times New Roman"/>
                <w:szCs w:val="21"/>
                <w:highlight w:val="none"/>
                <w:lang w:bidi="zh-CN"/>
              </w:rPr>
              <w:t>有</w:t>
            </w:r>
            <w:r>
              <w:rPr>
                <w:rFonts w:hint="default" w:ascii="Times New Roman" w:hAnsi="Times New Roman" w:eastAsia="宋体" w:cs="Times New Roman"/>
                <w:szCs w:val="21"/>
                <w:highlight w:val="none"/>
                <w:lang w:val="zh-CN" w:bidi="zh-CN"/>
              </w:rPr>
              <w:t>环境、电子、自动化或仪器仪表专业的，每</w:t>
            </w:r>
            <w:r>
              <w:rPr>
                <w:rFonts w:hint="default" w:ascii="Times New Roman" w:hAnsi="Times New Roman" w:eastAsia="宋体" w:cs="Times New Roman"/>
                <w:szCs w:val="21"/>
                <w:highlight w:val="none"/>
                <w:lang w:bidi="zh-CN"/>
              </w:rPr>
              <w:t>有</w:t>
            </w:r>
            <w:r>
              <w:rPr>
                <w:rFonts w:hint="default" w:ascii="Times New Roman" w:hAnsi="Times New Roman" w:eastAsia="宋体" w:cs="Times New Roman"/>
                <w:szCs w:val="21"/>
                <w:highlight w:val="none"/>
                <w:lang w:val="zh-CN" w:bidi="zh-CN"/>
              </w:rPr>
              <w:t>1人加1分，</w:t>
            </w:r>
            <w:r>
              <w:rPr>
                <w:rFonts w:hint="default" w:ascii="Times New Roman" w:hAnsi="Times New Roman" w:eastAsia="宋体" w:cs="Times New Roman"/>
                <w:szCs w:val="21"/>
                <w:highlight w:val="none"/>
                <w:lang w:bidi="zh-CN"/>
              </w:rPr>
              <w:t>本小项最高得3分。</w:t>
            </w:r>
          </w:p>
          <w:p w14:paraId="722AB62E">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（提供人员</w:t>
            </w:r>
            <w:r>
              <w:rPr>
                <w:rFonts w:hint="default" w:ascii="Times New Roman" w:hAnsi="Times New Roman" w:eastAsia="宋体" w:cs="Times New Roman"/>
                <w:szCs w:val="21"/>
                <w:highlight w:val="none"/>
                <w:lang w:bidi="zh-CN"/>
              </w:rPr>
              <w:t>名单、相关</w:t>
            </w:r>
            <w:r>
              <w:rPr>
                <w:rFonts w:hint="default" w:ascii="Times New Roman" w:hAnsi="Times New Roman" w:eastAsia="宋体" w:cs="Times New Roman"/>
                <w:szCs w:val="21"/>
                <w:highlight w:val="none"/>
              </w:rPr>
              <w:t>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szCs w:val="21"/>
                <w:highlight w:val="none"/>
                <w:lang w:val="zh-CN" w:bidi="zh-CN"/>
              </w:rPr>
              <w:t>）</w:t>
            </w:r>
          </w:p>
        </w:tc>
      </w:tr>
      <w:tr w14:paraId="7C1D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84" w:type="pct"/>
            <w:vMerge w:val="continue"/>
            <w:vAlign w:val="center"/>
          </w:tcPr>
          <w:p w14:paraId="6256CA7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427792F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驻场人员</w:t>
            </w:r>
          </w:p>
          <w:p w14:paraId="003DD89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vAlign w:val="center"/>
          </w:tcPr>
          <w:p w14:paraId="49B81AA7">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投标人承诺在服务期内</w:t>
            </w:r>
            <w:r>
              <w:rPr>
                <w:rFonts w:hint="default" w:ascii="Times New Roman" w:hAnsi="Times New Roman" w:eastAsia="宋体" w:cs="Times New Roman"/>
                <w:szCs w:val="21"/>
                <w:highlight w:val="none"/>
                <w:lang w:bidi="zh-CN"/>
              </w:rPr>
              <w:t>配置</w:t>
            </w:r>
            <w:r>
              <w:rPr>
                <w:rFonts w:hint="default" w:ascii="Times New Roman" w:hAnsi="Times New Roman" w:eastAsia="宋体" w:cs="Times New Roman"/>
                <w:szCs w:val="21"/>
                <w:highlight w:val="none"/>
                <w:lang w:val="zh-CN" w:bidi="zh-CN"/>
              </w:rPr>
              <w:t>1名驻场人员得2分；该人员</w:t>
            </w:r>
            <w:r>
              <w:rPr>
                <w:rFonts w:hint="default" w:ascii="Times New Roman" w:hAnsi="Times New Roman" w:eastAsia="宋体" w:cs="Times New Roman"/>
                <w:szCs w:val="21"/>
                <w:highlight w:val="none"/>
              </w:rPr>
              <w:t>具备类似所投采购包</w:t>
            </w:r>
            <w:r>
              <w:rPr>
                <w:rFonts w:hint="default" w:ascii="Times New Roman" w:hAnsi="Times New Roman" w:eastAsia="宋体" w:cs="Times New Roman"/>
                <w:szCs w:val="21"/>
                <w:highlight w:val="none"/>
                <w:lang w:val="zh-CN" w:bidi="zh-CN"/>
              </w:rPr>
              <w:t>项目2年以上驻场服务经验的加1分；</w:t>
            </w:r>
            <w:r>
              <w:rPr>
                <w:rFonts w:hint="default" w:ascii="Times New Roman" w:hAnsi="Times New Roman" w:eastAsia="宋体" w:cs="Times New Roman"/>
                <w:szCs w:val="21"/>
                <w:highlight w:val="none"/>
                <w:lang w:bidi="zh-CN"/>
              </w:rPr>
              <w:t>本项最高得</w:t>
            </w:r>
            <w:r>
              <w:rPr>
                <w:rFonts w:hint="default" w:ascii="Times New Roman" w:hAnsi="Times New Roman" w:eastAsia="宋体" w:cs="Times New Roman"/>
                <w:szCs w:val="21"/>
                <w:highlight w:val="none"/>
                <w:lang w:val="zh-CN" w:bidi="zh-CN"/>
              </w:rPr>
              <w:t>3分。</w:t>
            </w:r>
          </w:p>
          <w:p w14:paraId="36AB866D">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（提供人员名单、相关证明材料</w:t>
            </w:r>
            <w:r>
              <w:rPr>
                <w:rFonts w:hint="default" w:ascii="Times New Roman" w:hAnsi="Times New Roman" w:eastAsia="宋体" w:cs="Times New Roman"/>
                <w:szCs w:val="21"/>
                <w:highlight w:val="none"/>
                <w:lang w:val="en-US" w:bidi="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szCs w:val="21"/>
                <w:highlight w:val="none"/>
                <w:lang w:bidi="zh-CN"/>
              </w:rPr>
              <w:t>）</w:t>
            </w:r>
          </w:p>
        </w:tc>
      </w:tr>
      <w:tr w14:paraId="6D54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2D78A05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28F5825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车辆配置</w:t>
            </w:r>
          </w:p>
          <w:p w14:paraId="6141CAF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（4分）</w:t>
            </w:r>
          </w:p>
        </w:tc>
        <w:tc>
          <w:tcPr>
            <w:tcW w:w="3558" w:type="pct"/>
            <w:vAlign w:val="center"/>
          </w:tcPr>
          <w:p w14:paraId="40212D01">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rPr>
              <w:t>投标人为本项目每配置</w:t>
            </w:r>
            <w:r>
              <w:rPr>
                <w:rFonts w:hint="default" w:ascii="Times New Roman" w:hAnsi="Times New Roman" w:eastAsia="宋体" w:cs="Times New Roman"/>
                <w:szCs w:val="21"/>
                <w:highlight w:val="none"/>
                <w:lang w:bidi="zh-CN"/>
              </w:rPr>
              <w:t>1辆专用车辆得1分，本项最高得4分。</w:t>
            </w:r>
          </w:p>
          <w:p w14:paraId="62084628">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（如自有车辆，须提供车辆牌照、行驶证；如租赁车辆，须提供车辆牌照、行驶证以及租赁合同，且合同周期需至少覆盖2026年全年）</w:t>
            </w:r>
          </w:p>
        </w:tc>
      </w:tr>
      <w:tr w14:paraId="2BBD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1FDB519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6098434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服务网点</w:t>
            </w:r>
          </w:p>
          <w:p w14:paraId="09AD3F4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承诺</w:t>
            </w:r>
          </w:p>
          <w:p w14:paraId="470A1AD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（2分）</w:t>
            </w:r>
          </w:p>
        </w:tc>
        <w:tc>
          <w:tcPr>
            <w:tcW w:w="3558" w:type="pct"/>
            <w:vAlign w:val="center"/>
          </w:tcPr>
          <w:p w14:paraId="311D0BC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投标人已设立或承诺中标后1个月内至少在项目所在省内设置3个技术服务网点的得2分。</w:t>
            </w:r>
          </w:p>
          <w:p w14:paraId="5F92609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（提供相关证明材料或承诺书并加盖公章）</w:t>
            </w:r>
          </w:p>
        </w:tc>
      </w:tr>
      <w:tr w14:paraId="7076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84" w:type="pct"/>
            <w:vMerge w:val="restart"/>
            <w:vAlign w:val="center"/>
          </w:tcPr>
          <w:p w14:paraId="6EC6CFD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质控服务方案及技术要求响应情况（33分）</w:t>
            </w:r>
          </w:p>
        </w:tc>
        <w:tc>
          <w:tcPr>
            <w:tcW w:w="757" w:type="pct"/>
            <w:vAlign w:val="center"/>
          </w:tcPr>
          <w:p w14:paraId="5AC4332C">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质控检查（QC）方案</w:t>
            </w:r>
          </w:p>
          <w:p w14:paraId="4BA6F31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vAlign w:val="center"/>
          </w:tcPr>
          <w:p w14:paraId="7375FD54">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根据</w:t>
            </w:r>
            <w:r>
              <w:rPr>
                <w:rFonts w:hint="default" w:ascii="Times New Roman" w:hAnsi="Times New Roman" w:eastAsia="宋体" w:cs="Times New Roman"/>
                <w:szCs w:val="21"/>
                <w:highlight w:val="none"/>
                <w:lang w:val="zh-CN" w:bidi="zh-CN"/>
              </w:rPr>
              <w:t>投标文件</w:t>
            </w:r>
            <w:r>
              <w:rPr>
                <w:rFonts w:hint="default" w:ascii="Times New Roman" w:hAnsi="Times New Roman" w:eastAsia="宋体" w:cs="Times New Roman"/>
                <w:szCs w:val="21"/>
                <w:highlight w:val="none"/>
                <w:lang w:bidi="zh-CN"/>
              </w:rPr>
              <w:t>中</w:t>
            </w:r>
            <w:r>
              <w:rPr>
                <w:rFonts w:hint="default" w:ascii="Times New Roman" w:hAnsi="Times New Roman" w:eastAsia="宋体" w:cs="Times New Roman"/>
                <w:szCs w:val="21"/>
                <w:highlight w:val="none"/>
                <w:lang w:val="zh-CN" w:bidi="zh-CN"/>
              </w:rPr>
              <w:t>所提供的质控检查（QC）方案</w:t>
            </w:r>
            <w:r>
              <w:rPr>
                <w:rFonts w:hint="default" w:ascii="Times New Roman" w:hAnsi="Times New Roman" w:eastAsia="宋体" w:cs="Times New Roman"/>
                <w:szCs w:val="21"/>
                <w:highlight w:val="none"/>
                <w:lang w:bidi="zh-CN"/>
              </w:rPr>
              <w:t>进行综合评审：</w:t>
            </w:r>
          </w:p>
          <w:p w14:paraId="1FF71EB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1、方案全面合理、切实可行，优于招标文件要求的得5分；</w:t>
            </w:r>
          </w:p>
          <w:p w14:paraId="1371344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2、方案较为合理、基本可行，符合招标文件要求的得3分；</w:t>
            </w:r>
          </w:p>
          <w:p w14:paraId="32ED6F8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536456D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19CB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0EDEBD0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292CEF1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质保核查（QA）方案</w:t>
            </w:r>
          </w:p>
          <w:p w14:paraId="430EE8A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vAlign w:val="center"/>
          </w:tcPr>
          <w:p w14:paraId="37F59E85">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根据</w:t>
            </w:r>
            <w:r>
              <w:rPr>
                <w:rFonts w:hint="default" w:ascii="Times New Roman" w:hAnsi="Times New Roman" w:eastAsia="宋体" w:cs="Times New Roman"/>
                <w:szCs w:val="21"/>
                <w:highlight w:val="none"/>
                <w:lang w:val="zh-CN" w:bidi="zh-CN"/>
              </w:rPr>
              <w:t>投标文件</w:t>
            </w:r>
            <w:r>
              <w:rPr>
                <w:rFonts w:hint="default" w:ascii="Times New Roman" w:hAnsi="Times New Roman" w:eastAsia="宋体" w:cs="Times New Roman"/>
                <w:szCs w:val="21"/>
                <w:highlight w:val="none"/>
                <w:lang w:bidi="zh-CN"/>
              </w:rPr>
              <w:t>中</w:t>
            </w:r>
            <w:r>
              <w:rPr>
                <w:rFonts w:hint="default" w:ascii="Times New Roman" w:hAnsi="Times New Roman" w:eastAsia="宋体" w:cs="Times New Roman"/>
                <w:szCs w:val="21"/>
                <w:highlight w:val="none"/>
                <w:lang w:val="zh-CN" w:bidi="zh-CN"/>
              </w:rPr>
              <w:t>所提供的</w:t>
            </w:r>
            <w:r>
              <w:rPr>
                <w:rFonts w:hint="default" w:ascii="Times New Roman" w:hAnsi="Times New Roman" w:eastAsia="宋体" w:cs="Times New Roman"/>
                <w:szCs w:val="21"/>
                <w:highlight w:val="none"/>
              </w:rPr>
              <w:t>质保核查（QA）方案</w:t>
            </w:r>
            <w:r>
              <w:rPr>
                <w:rFonts w:hint="default" w:ascii="Times New Roman" w:hAnsi="Times New Roman" w:eastAsia="宋体" w:cs="Times New Roman"/>
                <w:szCs w:val="21"/>
                <w:highlight w:val="none"/>
                <w:lang w:bidi="zh-CN"/>
              </w:rPr>
              <w:t>进行综合评审：</w:t>
            </w:r>
          </w:p>
          <w:p w14:paraId="70DD9C3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1、方案全面合理、切实可行，优于招标文件要求的得5分；</w:t>
            </w:r>
          </w:p>
          <w:p w14:paraId="1C35025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2、方案较为合理、基本可行，符合招标文件要求的得3分；</w:t>
            </w:r>
          </w:p>
          <w:p w14:paraId="4F55067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202BDDF3">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3222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5628DCB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10F2FAD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标准器溯源</w:t>
            </w:r>
          </w:p>
          <w:p w14:paraId="76EC552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比对方案</w:t>
            </w:r>
          </w:p>
          <w:p w14:paraId="463F67C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vAlign w:val="center"/>
          </w:tcPr>
          <w:p w14:paraId="7C84540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根据投标文件中所提供的标准器溯源比对方案进行综合评审：</w:t>
            </w:r>
          </w:p>
          <w:p w14:paraId="069CADD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1、方案全面合理、切实可行，优于招标文件要求的得5分；</w:t>
            </w:r>
          </w:p>
          <w:p w14:paraId="7087C22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2、方案较为合理、基本可行，符合招标文件要求的得3分；</w:t>
            </w:r>
          </w:p>
          <w:p w14:paraId="7D5E93C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11307EA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13AD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1886940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2126266C">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应急预案</w:t>
            </w:r>
          </w:p>
          <w:p w14:paraId="0C0EEFE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vAlign w:val="center"/>
          </w:tcPr>
          <w:p w14:paraId="400D596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根据投标文件中所提供的应急预案进行综合评审：</w:t>
            </w:r>
          </w:p>
          <w:p w14:paraId="2CE7687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对应急工作进行了合理规划并制定可行计划，应急方案针对性强，各要素考虑充分，同时根据招标文件技术要求，列出各种应急情景、发现应急情况的方法、应急措施及解决方案，系统地阐述判断和解决方法，制定完善的工作流程，完全满足招标文件需求，能应对可能的突发情况的得5分；</w:t>
            </w:r>
          </w:p>
          <w:p w14:paraId="5B350475">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2、系统地列出各种应急情景、发现应急情况的方法、应急措施及解决方案，但细节有待完善；或者列出部分应急情景、发现应急情况的方法、应急措施及解决方案，基本满足招标文件需求的得3分；</w:t>
            </w:r>
          </w:p>
          <w:p w14:paraId="0CEBF2E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3、对常见的应急情景有遗漏，或应急措施及解决方案粗略、缺乏针对性，难以及时应对常见的突发情况，部分满足招标文件需求的得1分；</w:t>
            </w:r>
          </w:p>
          <w:p w14:paraId="31A033E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3AF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1A63B96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075153A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质量控制方案</w:t>
            </w:r>
          </w:p>
          <w:p w14:paraId="42ED68B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vAlign w:val="center"/>
          </w:tcPr>
          <w:p w14:paraId="04425C5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根据投标文件中所提供的质量保证和质量控制方案进行综合评审：</w:t>
            </w:r>
          </w:p>
          <w:p w14:paraId="2583805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1、方案全面合理、切实可行，优于招标文件要求的得5分；</w:t>
            </w:r>
          </w:p>
          <w:p w14:paraId="255A816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2、方案较为合理、基本可行，符合招标文件要求的得3分；</w:t>
            </w:r>
          </w:p>
          <w:p w14:paraId="697292A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074C549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6B3C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37E9220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0F3B599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质控核查</w:t>
            </w:r>
          </w:p>
          <w:p w14:paraId="1B877C8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设备</w:t>
            </w:r>
          </w:p>
          <w:p w14:paraId="0344A95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vAlign w:val="center"/>
          </w:tcPr>
          <w:p w14:paraId="2064434D">
            <w:pPr>
              <w:pageBreakBefore w:val="0"/>
              <w:numPr>
                <w:ilvl w:val="255"/>
                <w:numId w:val="0"/>
              </w:numPr>
              <w:kinsoku/>
              <w:wordWrap/>
              <w:overflowPunct/>
              <w:topLinePunct w:val="0"/>
              <w:bidi w:val="0"/>
              <w:spacing w:line="360" w:lineRule="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投标人根据招标文件要求提供质量控制核查所用的设备，每提供1套得1分，本项最高得3分。</w:t>
            </w:r>
          </w:p>
          <w:p w14:paraId="1B9ABA4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w:t>
            </w:r>
            <w:r>
              <w:rPr>
                <w:rFonts w:hint="default" w:ascii="Times New Roman" w:hAnsi="Times New Roman" w:eastAsia="宋体" w:cs="Times New Roman"/>
                <w:szCs w:val="21"/>
                <w:highlight w:val="none"/>
              </w:rPr>
              <w:t>提供以上设备自有或租赁的相关证明材料，</w:t>
            </w:r>
            <w:r>
              <w:rPr>
                <w:rFonts w:hint="default" w:ascii="Times New Roman" w:hAnsi="Times New Roman" w:eastAsia="宋体" w:cs="Times New Roman"/>
                <w:color w:val="000000"/>
                <w:szCs w:val="21"/>
                <w:highlight w:val="none"/>
              </w:rPr>
              <w:t>租赁合同周期需至少覆盖2026年全年）</w:t>
            </w:r>
          </w:p>
        </w:tc>
      </w:tr>
      <w:tr w14:paraId="1D8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5B2B97E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367BCCFE">
            <w:pPr>
              <w:pStyle w:val="401"/>
              <w:pageBreakBefore w:val="0"/>
              <w:kinsoku/>
              <w:wordWrap/>
              <w:overflowPunct/>
              <w:topLinePunct w:val="0"/>
              <w:bidi w:val="0"/>
              <w:ind w:firstLine="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标准气体</w:t>
            </w:r>
          </w:p>
          <w:p w14:paraId="745FA81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vAlign w:val="center"/>
          </w:tcPr>
          <w:p w14:paraId="7796A65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1、投标人提供可追溯到NIST且在有效期内的标准气体的得5分；（提供有效证书）</w:t>
            </w:r>
          </w:p>
          <w:p w14:paraId="19C619DD">
            <w:pPr>
              <w:pageBreakBefore w:val="0"/>
              <w:kinsoku/>
              <w:wordWrap/>
              <w:overflowPunct/>
              <w:topLinePunct w:val="0"/>
              <w:bidi w:val="0"/>
              <w:spacing w:line="360" w:lineRule="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szCs w:val="21"/>
                <w:highlight w:val="none"/>
              </w:rPr>
              <w:t>2、投标人无标准气体的，承诺在中标后1个月内提供的得</w:t>
            </w: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rPr>
              <w:t>分；</w:t>
            </w:r>
            <w:r>
              <w:rPr>
                <w:rFonts w:hint="default" w:ascii="Times New Roman" w:hAnsi="Times New Roman" w:eastAsia="宋体" w:cs="Times New Roman"/>
                <w:color w:val="000000"/>
                <w:szCs w:val="21"/>
                <w:highlight w:val="none"/>
              </w:rPr>
              <w:t>（提供承诺书并加盖公章）</w:t>
            </w:r>
          </w:p>
          <w:p w14:paraId="3114502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3、</w:t>
            </w:r>
            <w:r>
              <w:rPr>
                <w:rFonts w:hint="default" w:ascii="Times New Roman" w:hAnsi="Times New Roman" w:eastAsia="宋体" w:cs="Times New Roman"/>
                <w:szCs w:val="21"/>
                <w:highlight w:val="none"/>
              </w:rPr>
              <w:t>未提供相关内容的得0分。</w:t>
            </w:r>
          </w:p>
        </w:tc>
      </w:tr>
      <w:tr w14:paraId="723D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restart"/>
            <w:vAlign w:val="center"/>
          </w:tcPr>
          <w:p w14:paraId="6CC7FE6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企业实力、业绩及实验室</w:t>
            </w:r>
          </w:p>
          <w:p w14:paraId="1410CF4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（32分）</w:t>
            </w:r>
          </w:p>
        </w:tc>
        <w:tc>
          <w:tcPr>
            <w:tcW w:w="757" w:type="pct"/>
            <w:shd w:val="clear" w:color="auto" w:fill="auto"/>
            <w:vAlign w:val="center"/>
          </w:tcPr>
          <w:p w14:paraId="1DB555B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SRP（臭氧标准参考光度计）溯源能力</w:t>
            </w:r>
          </w:p>
          <w:p w14:paraId="53FEE1E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shd w:val="clear" w:color="auto" w:fill="auto"/>
            <w:vAlign w:val="center"/>
          </w:tcPr>
          <w:p w14:paraId="78D75EA0">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投标人具有SRP（臭氧标准参考光度计）系统建设能力或具有SRP溯源比对至NIST的能力，每有1份证明材料得2分，本项最高得8分。</w:t>
            </w:r>
          </w:p>
          <w:p w14:paraId="71BD6E77">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（提供相关证明材料）</w:t>
            </w:r>
          </w:p>
        </w:tc>
      </w:tr>
      <w:tr w14:paraId="0E0F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84" w:type="pct"/>
            <w:vMerge w:val="continue"/>
            <w:vAlign w:val="center"/>
          </w:tcPr>
          <w:p w14:paraId="55D11B0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1DD4B73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平台建设或维护能力</w:t>
            </w:r>
          </w:p>
          <w:p w14:paraId="4444D8F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58" w:type="pct"/>
            <w:shd w:val="clear" w:color="auto" w:fill="auto"/>
            <w:vAlign w:val="center"/>
          </w:tcPr>
          <w:p w14:paraId="4163094F">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投标人承担过质控平台或运维管理平台建设或维护</w:t>
            </w:r>
            <w:r>
              <w:rPr>
                <w:rFonts w:hint="default" w:ascii="Times New Roman" w:hAnsi="Times New Roman" w:eastAsia="宋体" w:cs="Times New Roman"/>
                <w:sz w:val="21"/>
                <w:szCs w:val="21"/>
                <w:highlight w:val="none"/>
                <w:lang w:val="en-US" w:eastAsia="zh-CN"/>
              </w:rPr>
              <w:t>项目</w:t>
            </w:r>
            <w:r>
              <w:rPr>
                <w:rFonts w:hint="default" w:ascii="Times New Roman" w:hAnsi="Times New Roman" w:eastAsia="宋体" w:cs="Times New Roman"/>
                <w:sz w:val="21"/>
                <w:szCs w:val="21"/>
                <w:highlight w:val="none"/>
              </w:rPr>
              <w:t>，每提供1个得2分，本项最高得6分。</w:t>
            </w:r>
          </w:p>
          <w:p w14:paraId="78EC2AC7">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（提供合同或相关证明材料）</w:t>
            </w:r>
          </w:p>
        </w:tc>
      </w:tr>
      <w:tr w14:paraId="45E0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67684CF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0E197BC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w:t>
            </w:r>
          </w:p>
          <w:p w14:paraId="72FBD6C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（12分）</w:t>
            </w:r>
          </w:p>
        </w:tc>
        <w:tc>
          <w:tcPr>
            <w:tcW w:w="3558" w:type="pct"/>
            <w:shd w:val="clear" w:color="auto" w:fill="auto"/>
            <w:vAlign w:val="center"/>
          </w:tcPr>
          <w:p w14:paraId="63ED574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自2022年1月1日以来，投标人承担过环境空气自动监测站第三方质控核查业绩或运维网络检查</w:t>
            </w:r>
            <w:r>
              <w:rPr>
                <w:rFonts w:hint="default" w:ascii="Times New Roman" w:hAnsi="Times New Roman" w:eastAsia="宋体" w:cs="Times New Roman"/>
                <w:szCs w:val="21"/>
                <w:highlight w:val="none"/>
                <w:lang w:val="en-US" w:eastAsia="zh-CN"/>
              </w:rPr>
              <w:t>项目</w:t>
            </w:r>
            <w:r>
              <w:rPr>
                <w:rFonts w:hint="default" w:ascii="Times New Roman" w:hAnsi="Times New Roman" w:eastAsia="宋体" w:cs="Times New Roman"/>
                <w:szCs w:val="21"/>
                <w:highlight w:val="none"/>
              </w:rPr>
              <w:t>，每提供1个得2分，本项最高得12分。</w:t>
            </w:r>
          </w:p>
          <w:p w14:paraId="41E842A5">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（提供合同，时间以合同签订时间为准）</w:t>
            </w:r>
          </w:p>
        </w:tc>
      </w:tr>
      <w:tr w14:paraId="7A0F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014938A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4EC638B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实验室</w:t>
            </w:r>
          </w:p>
          <w:p w14:paraId="4FD8DE8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58" w:type="pct"/>
            <w:vAlign w:val="center"/>
          </w:tcPr>
          <w:p w14:paraId="2DB38E23">
            <w:pPr>
              <w:pageBreakBefore w:val="0"/>
              <w:numPr>
                <w:ilvl w:val="0"/>
                <w:numId w:val="12"/>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投标人自有质量控制的CMA实验室（认证范围需包含SO₂、NO₂、CO、PM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）的得6分；</w:t>
            </w:r>
          </w:p>
          <w:p w14:paraId="6FDC8A25">
            <w:pPr>
              <w:pageBreakBefore w:val="0"/>
              <w:numPr>
                <w:ilvl w:val="0"/>
                <w:numId w:val="12"/>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投标人无自有实验室，有委托实验室的得3分；</w:t>
            </w:r>
          </w:p>
          <w:p w14:paraId="5E6064B6">
            <w:pPr>
              <w:pageBreakBefore w:val="0"/>
              <w:numPr>
                <w:ilvl w:val="0"/>
                <w:numId w:val="12"/>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投标人无自有实验室，承诺中标后3个月内建立或委托具有资质CMA实验室的得1分；</w:t>
            </w:r>
          </w:p>
          <w:p w14:paraId="3CDECF39">
            <w:pPr>
              <w:pageBreakBefore w:val="0"/>
              <w:numPr>
                <w:ilvl w:val="0"/>
                <w:numId w:val="12"/>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没有委托实验室且未承诺的得0分。</w:t>
            </w:r>
          </w:p>
          <w:p w14:paraId="1EF4C43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（提供相关证明材料或承诺书并加盖公章）</w:t>
            </w:r>
          </w:p>
        </w:tc>
      </w:tr>
    </w:tbl>
    <w:p w14:paraId="2798D6E8">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sectPr>
          <w:pgSz w:w="11906" w:h="16838"/>
          <w:pgMar w:top="1440" w:right="1803" w:bottom="1440" w:left="1803" w:header="227" w:footer="720" w:gutter="0"/>
          <w:pgNumType w:fmt="decimal"/>
          <w:cols w:space="0" w:num="1"/>
          <w:docGrid w:linePitch="360" w:charSpace="0"/>
        </w:sectPr>
      </w:pPr>
    </w:p>
    <w:p w14:paraId="10E2A178">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包3：省级大气多参数站常规监测设备及站房本体维护服务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90"/>
        <w:gridCol w:w="6061"/>
      </w:tblGrid>
      <w:tr w14:paraId="7F6E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84" w:type="pct"/>
            <w:vAlign w:val="center"/>
          </w:tcPr>
          <w:p w14:paraId="50604062">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15" w:type="pct"/>
            <w:gridSpan w:val="2"/>
            <w:vAlign w:val="center"/>
          </w:tcPr>
          <w:p w14:paraId="750B825C">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6E74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4" w:type="pct"/>
            <w:vAlign w:val="center"/>
          </w:tcPr>
          <w:p w14:paraId="781E963D">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2D1BE02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15" w:type="pct"/>
            <w:gridSpan w:val="2"/>
            <w:vAlign w:val="center"/>
          </w:tcPr>
          <w:p w14:paraId="0580A44F">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393B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84" w:type="pct"/>
            <w:vMerge w:val="restart"/>
            <w:vAlign w:val="center"/>
          </w:tcPr>
          <w:p w14:paraId="087410B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0BFE0E7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757" w:type="pct"/>
            <w:vAlign w:val="center"/>
          </w:tcPr>
          <w:p w14:paraId="5ED7A4C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w:t>
            </w:r>
            <w:r>
              <w:rPr>
                <w:rFonts w:hint="eastAsia" w:cs="Times New Roman"/>
                <w:sz w:val="21"/>
                <w:szCs w:val="21"/>
                <w:highlight w:val="none"/>
                <w:lang w:val="en-US" w:eastAsia="zh-CN"/>
              </w:rPr>
              <w:t>响应</w:t>
            </w:r>
            <w:r>
              <w:rPr>
                <w:rFonts w:hint="default" w:ascii="Times New Roman" w:hAnsi="Times New Roman" w:eastAsia="宋体" w:cs="Times New Roman"/>
                <w:sz w:val="21"/>
                <w:szCs w:val="21"/>
                <w:highlight w:val="none"/>
              </w:rPr>
              <w:t>方案</w:t>
            </w:r>
          </w:p>
          <w:p w14:paraId="200251D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（7分）</w:t>
            </w:r>
          </w:p>
        </w:tc>
        <w:tc>
          <w:tcPr>
            <w:tcW w:w="3558" w:type="pct"/>
            <w:shd w:val="clear" w:color="auto" w:fill="auto"/>
            <w:vAlign w:val="center"/>
          </w:tcPr>
          <w:p w14:paraId="5A7F118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7E947EF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1、在运维区域2小时车程范围内已设立或承诺中标后设立运维技术支持机构，方案全面合理、切实可行，优于招标文件要求，服务响应高效快捷的得7分；</w:t>
            </w:r>
          </w:p>
          <w:p w14:paraId="67E1CA6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302786B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70B884F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1A97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684" w:type="pct"/>
            <w:vMerge w:val="continue"/>
            <w:vAlign w:val="center"/>
          </w:tcPr>
          <w:p w14:paraId="4805583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39D4208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napToGrid w:val="0"/>
                <w:sz w:val="21"/>
                <w:szCs w:val="21"/>
                <w:highlight w:val="none"/>
              </w:rPr>
              <w:t>机构人员</w:t>
            </w:r>
            <w:r>
              <w:rPr>
                <w:rFonts w:hint="default" w:ascii="Times New Roman" w:hAnsi="Times New Roman" w:eastAsia="宋体" w:cs="Times New Roman"/>
                <w:sz w:val="21"/>
                <w:szCs w:val="21"/>
                <w:highlight w:val="none"/>
              </w:rPr>
              <w:t>（5分）</w:t>
            </w:r>
          </w:p>
        </w:tc>
        <w:tc>
          <w:tcPr>
            <w:tcW w:w="3558" w:type="pct"/>
            <w:vAlign w:val="center"/>
          </w:tcPr>
          <w:p w14:paraId="78BCF29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zh-CN"/>
              </w:rPr>
              <w:t>为本项目配置的运维技术人员具备环境空气质量自动监测技术人员的运维能力与质控水平（提供省级及以上生态环境部门相关机构提供的培训合格证明或其他类似证明材料）</w:t>
            </w: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rPr>
              <w:t>不满足不得分；</w:t>
            </w:r>
          </w:p>
          <w:p w14:paraId="4566F59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所配置的运维技术人员在满足上述要求的基础上，具有环保类专业技术中级职称的，每有1人得1分；具有环保类专业技术高级及以上职称的，每有1人得2.5分；本项最高得5分，限评2人。</w:t>
            </w:r>
          </w:p>
          <w:p w14:paraId="753860D3">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相关证书</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p>
        </w:tc>
      </w:tr>
      <w:tr w14:paraId="58DC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1650D17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08769AC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车辆配置</w:t>
            </w:r>
          </w:p>
          <w:p w14:paraId="11D2367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vAlign w:val="center"/>
          </w:tcPr>
          <w:p w14:paraId="3A8B702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投标人为本项目配置的运维车辆满足招标文件要求的得3分。</w:t>
            </w:r>
          </w:p>
          <w:p w14:paraId="5D4D7829">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rPr>
              <w:t>（如自有车辆，须提供车辆牌照、行驶证；如租赁车辆，须提供车辆牌照、行驶证以及租赁合同，且合同周期需至少覆盖2026年全年）</w:t>
            </w:r>
          </w:p>
        </w:tc>
      </w:tr>
      <w:tr w14:paraId="728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84" w:type="pct"/>
            <w:vMerge w:val="restart"/>
            <w:vAlign w:val="center"/>
          </w:tcPr>
          <w:p w14:paraId="02BCE7D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napToGrid w:val="0"/>
                <w:szCs w:val="21"/>
                <w:highlight w:val="none"/>
              </w:rPr>
              <w:t>运维服务方案及技术要求响应情况</w:t>
            </w:r>
            <w:r>
              <w:rPr>
                <w:rFonts w:hint="default" w:ascii="Times New Roman" w:hAnsi="Times New Roman" w:eastAsia="宋体" w:cs="Times New Roman"/>
                <w:szCs w:val="21"/>
                <w:highlight w:val="none"/>
              </w:rPr>
              <w:t>（46分）</w:t>
            </w:r>
          </w:p>
        </w:tc>
        <w:tc>
          <w:tcPr>
            <w:tcW w:w="757" w:type="pct"/>
            <w:vAlign w:val="center"/>
          </w:tcPr>
          <w:p w14:paraId="55A6262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自动站运维服务方案</w:t>
            </w:r>
          </w:p>
          <w:p w14:paraId="0722524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（7分）</w:t>
            </w:r>
          </w:p>
        </w:tc>
        <w:tc>
          <w:tcPr>
            <w:tcW w:w="3558" w:type="pct"/>
            <w:vAlign w:val="center"/>
          </w:tcPr>
          <w:p w14:paraId="42AC97E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对投标人的自动站运维服务方案进行综合评审：</w:t>
            </w:r>
          </w:p>
          <w:p w14:paraId="7F178D8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1、方案全面合理、切实可行，优于招标文件要求的得7分；</w:t>
            </w:r>
          </w:p>
          <w:p w14:paraId="55D7F1B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2F0A726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40E75BFC">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6894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84" w:type="pct"/>
            <w:vMerge w:val="continue"/>
            <w:vAlign w:val="center"/>
          </w:tcPr>
          <w:p w14:paraId="3F7CC01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3F165A0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自动站质量保证方案</w:t>
            </w:r>
          </w:p>
          <w:p w14:paraId="75C969E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（7分）</w:t>
            </w:r>
          </w:p>
        </w:tc>
        <w:tc>
          <w:tcPr>
            <w:tcW w:w="3558" w:type="pct"/>
            <w:vAlign w:val="center"/>
          </w:tcPr>
          <w:p w14:paraId="63AE73C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对投标人的自动站质量保证方案进行综合评审：</w:t>
            </w:r>
          </w:p>
          <w:p w14:paraId="6A7F573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1、方案全面合理、切实可行，优于招标文件要求的得7分；</w:t>
            </w:r>
          </w:p>
          <w:p w14:paraId="38FBB2B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19E015B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7291B448">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41E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358E13E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681B314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应急服务及人员保障方案</w:t>
            </w:r>
          </w:p>
          <w:p w14:paraId="5D164EA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（7分）</w:t>
            </w:r>
          </w:p>
        </w:tc>
        <w:tc>
          <w:tcPr>
            <w:tcW w:w="3558" w:type="pct"/>
            <w:vAlign w:val="center"/>
          </w:tcPr>
          <w:p w14:paraId="7174200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对投标人的应急服务及人员保障方案进行综合评审：</w:t>
            </w:r>
          </w:p>
          <w:p w14:paraId="27A0CD2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1、方案全面合理、切实可行，优于招标文件要求，承诺协助招标人做好大气站固定资产管理、应急监测等工作的得7分；</w:t>
            </w:r>
          </w:p>
          <w:p w14:paraId="1C1AD55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1A7A658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08B8614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7398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7AF35E1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5BA191C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站房本体维护方案</w:t>
            </w:r>
          </w:p>
          <w:p w14:paraId="3E8F218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（7分）</w:t>
            </w:r>
          </w:p>
        </w:tc>
        <w:tc>
          <w:tcPr>
            <w:tcW w:w="3558" w:type="pct"/>
            <w:vAlign w:val="center"/>
          </w:tcPr>
          <w:p w14:paraId="4B1F167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对投标人的站房本体维护方案进行综合评审：</w:t>
            </w:r>
          </w:p>
          <w:p w14:paraId="5952186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1、方案全面合理、切实可行，优于招标文件要求的得7分；</w:t>
            </w:r>
          </w:p>
          <w:p w14:paraId="50B1DE4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1852723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02D2DB2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15AF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6034CA4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4C368BE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备机</w:t>
            </w:r>
          </w:p>
          <w:p w14:paraId="0FA24B0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0E78C0E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X</w:t>
            </w:r>
            <w:r>
              <w:rPr>
                <w:rFonts w:hint="default" w:ascii="Times New Roman" w:hAnsi="Times New Roman" w:eastAsia="宋体" w:cs="Times New Roman"/>
                <w:szCs w:val="21"/>
                <w:highlight w:val="none"/>
              </w:rPr>
              <w:t>、NO）、CO、O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六项指标自动监测仪器、动态校准仪及零气发生器作为备机，数量和指标均符合招标文件要求的得8分；每缺1项备机扣1分，扣完为止。</w:t>
            </w:r>
          </w:p>
          <w:p w14:paraId="0882DD9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（提供以上设备自有或租赁的相关证明材料，</w:t>
            </w:r>
            <w:r>
              <w:rPr>
                <w:rFonts w:hint="default" w:ascii="Times New Roman" w:hAnsi="Times New Roman" w:eastAsia="宋体" w:cs="Times New Roman"/>
                <w:color w:val="000000"/>
                <w:szCs w:val="21"/>
                <w:highlight w:val="none"/>
              </w:rPr>
              <w:t>租赁合同周期需至少覆盖2026年全年</w:t>
            </w:r>
            <w:r>
              <w:rPr>
                <w:rFonts w:hint="default" w:ascii="Times New Roman" w:hAnsi="Times New Roman" w:eastAsia="宋体" w:cs="Times New Roman"/>
                <w:szCs w:val="21"/>
                <w:highlight w:val="none"/>
              </w:rPr>
              <w:t>）</w:t>
            </w:r>
          </w:p>
        </w:tc>
      </w:tr>
      <w:tr w14:paraId="6945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075ED6A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1BA5266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质量控制</w:t>
            </w:r>
          </w:p>
          <w:p w14:paraId="653582E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设备</w:t>
            </w:r>
          </w:p>
          <w:p w14:paraId="63E3C4F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58" w:type="pct"/>
            <w:vAlign w:val="center"/>
          </w:tcPr>
          <w:p w14:paraId="5F56784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投标人应提供必要的质量控制设备用于开展运维工作，包括流量计、标准气压计、标准温度计、臭氧校准仪及标准气体等，已采购且与招标文件中要求的数量一致或承诺中标后购置的得10分，否则不得分。</w:t>
            </w:r>
          </w:p>
          <w:p w14:paraId="42EAB3C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（提供以上设备的购置发票、采购合同、租赁协议或承诺书并加盖公章）</w:t>
            </w:r>
          </w:p>
        </w:tc>
      </w:tr>
      <w:tr w14:paraId="45BE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restart"/>
            <w:vAlign w:val="center"/>
          </w:tcPr>
          <w:p w14:paraId="159494C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企业业绩及实验室</w:t>
            </w:r>
          </w:p>
          <w:p w14:paraId="1752D55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（24分）</w:t>
            </w:r>
          </w:p>
        </w:tc>
        <w:tc>
          <w:tcPr>
            <w:tcW w:w="757" w:type="pct"/>
            <w:shd w:val="clear" w:color="auto" w:fill="auto"/>
            <w:vAlign w:val="center"/>
          </w:tcPr>
          <w:p w14:paraId="1D53DBD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企业业绩</w:t>
            </w:r>
          </w:p>
          <w:p w14:paraId="2F726FA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（15分）</w:t>
            </w:r>
          </w:p>
        </w:tc>
        <w:tc>
          <w:tcPr>
            <w:tcW w:w="3558" w:type="pct"/>
            <w:shd w:val="clear" w:color="auto" w:fill="auto"/>
            <w:vAlign w:val="center"/>
          </w:tcPr>
          <w:p w14:paraId="33F8345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自2022年1月1日以来，投标人具有空气自动监测站运维项目业绩，每提供1个得3分，本项最高得15分。</w:t>
            </w:r>
          </w:p>
          <w:p w14:paraId="4B7652E7">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（提供业绩合同，业绩时间以合同签订时间为准）</w:t>
            </w:r>
          </w:p>
        </w:tc>
      </w:tr>
      <w:tr w14:paraId="692A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62427BB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72E8DCF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实验室</w:t>
            </w:r>
          </w:p>
          <w:p w14:paraId="052EDA7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（9分）</w:t>
            </w:r>
          </w:p>
        </w:tc>
        <w:tc>
          <w:tcPr>
            <w:tcW w:w="3558" w:type="pct"/>
            <w:shd w:val="clear" w:color="auto" w:fill="auto"/>
            <w:vAlign w:val="center"/>
          </w:tcPr>
          <w:p w14:paraId="77C206D8">
            <w:pPr>
              <w:pageBreakBefore w:val="0"/>
              <w:numPr>
                <w:ilvl w:val="0"/>
                <w:numId w:val="13"/>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投标人自有质量控制的CMA实验室（认证范围需包含SO₂、NO₂、CO、PM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）的得9分；</w:t>
            </w:r>
          </w:p>
          <w:p w14:paraId="117A517D">
            <w:pPr>
              <w:pageBreakBefore w:val="0"/>
              <w:numPr>
                <w:ilvl w:val="0"/>
                <w:numId w:val="13"/>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投标人无自有实验室，有委托实验室的得6分；</w:t>
            </w:r>
          </w:p>
          <w:p w14:paraId="292AC4FC">
            <w:pPr>
              <w:pageBreakBefore w:val="0"/>
              <w:numPr>
                <w:ilvl w:val="0"/>
                <w:numId w:val="13"/>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投标人无自有实验室，承诺中标后3个月内建立或委托具有资质CMA实验室的得3分；</w:t>
            </w:r>
          </w:p>
          <w:p w14:paraId="290E033B">
            <w:pPr>
              <w:pageBreakBefore w:val="0"/>
              <w:numPr>
                <w:ilvl w:val="0"/>
                <w:numId w:val="13"/>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没有委托实验室且未承诺的得0分。</w:t>
            </w:r>
          </w:p>
          <w:p w14:paraId="1E6A676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（提供相关证明材料或承诺书并加盖公章）</w:t>
            </w:r>
          </w:p>
        </w:tc>
      </w:tr>
    </w:tbl>
    <w:p w14:paraId="70323BB7">
      <w:pPr>
        <w:pageBreakBefore w:val="0"/>
        <w:kinsoku/>
        <w:wordWrap/>
        <w:overflowPunct/>
        <w:topLinePunct w:val="0"/>
        <w:bidi w:val="0"/>
        <w:rPr>
          <w:rFonts w:hint="default" w:ascii="Times New Roman" w:hAnsi="Times New Roman" w:eastAsia="宋体" w:cs="Times New Roman"/>
          <w:highlight w:val="none"/>
        </w:rPr>
      </w:pPr>
    </w:p>
    <w:p w14:paraId="1323D493">
      <w:pPr>
        <w:pStyle w:val="213"/>
        <w:pageBreakBefore w:val="0"/>
        <w:kinsoku/>
        <w:wordWrap/>
        <w:overflowPunct/>
        <w:topLinePunct w:val="0"/>
        <w:bidi w:val="0"/>
        <w:rPr>
          <w:rFonts w:hint="default" w:ascii="Times New Roman" w:hAnsi="Times New Roman" w:eastAsia="宋体" w:cs="Times New Roman"/>
          <w:highlight w:val="none"/>
        </w:rPr>
      </w:pPr>
    </w:p>
    <w:p w14:paraId="7D38D9EF">
      <w:pPr>
        <w:pageBreakBefore w:val="0"/>
        <w:kinsoku/>
        <w:wordWrap/>
        <w:overflowPunct/>
        <w:topLinePunct w:val="0"/>
        <w:bidi w:val="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br w:type="page"/>
      </w:r>
    </w:p>
    <w:p w14:paraId="148794D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包4：颗粒物在线离子色谱设备运维服务、包5：挥发性有机物监测仪运维服务及包7：传输通道站点2台挥发性有机物监测仪运维服务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90"/>
        <w:gridCol w:w="6061"/>
      </w:tblGrid>
      <w:tr w14:paraId="2262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84" w:type="pct"/>
            <w:vAlign w:val="center"/>
          </w:tcPr>
          <w:p w14:paraId="08F5E39F">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15" w:type="pct"/>
            <w:gridSpan w:val="2"/>
            <w:vAlign w:val="center"/>
          </w:tcPr>
          <w:p w14:paraId="04D2640D">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2173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4" w:type="pct"/>
            <w:vAlign w:val="center"/>
          </w:tcPr>
          <w:p w14:paraId="6A269CA8">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41B1303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15" w:type="pct"/>
            <w:gridSpan w:val="2"/>
            <w:vAlign w:val="center"/>
          </w:tcPr>
          <w:p w14:paraId="08B5BCAC">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7A3E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84" w:type="pct"/>
            <w:vMerge w:val="restart"/>
            <w:vAlign w:val="center"/>
          </w:tcPr>
          <w:p w14:paraId="6ED53EF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1BDA52F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（23分）</w:t>
            </w:r>
          </w:p>
        </w:tc>
        <w:tc>
          <w:tcPr>
            <w:tcW w:w="757" w:type="pct"/>
            <w:vAlign w:val="center"/>
          </w:tcPr>
          <w:p w14:paraId="7CED02BB">
            <w:pPr>
              <w:pStyle w:val="401"/>
              <w:pageBreakBefore w:val="0"/>
              <w:kinsoku/>
              <w:wordWrap/>
              <w:overflowPunct/>
              <w:topLinePunct w:val="0"/>
              <w:bidi w:val="0"/>
              <w:ind w:firstLine="0"/>
              <w:jc w:val="center"/>
              <w:rPr>
                <w:rFonts w:hint="eastAsia" w:cs="Times New Roman"/>
                <w:szCs w:val="21"/>
                <w:highlight w:val="none"/>
                <w:lang w:val="en-US" w:eastAsia="zh-CN"/>
              </w:rPr>
            </w:pPr>
            <w:r>
              <w:rPr>
                <w:rFonts w:hint="default" w:ascii="Times New Roman" w:hAnsi="Times New Roman" w:eastAsia="宋体" w:cs="Times New Roman"/>
                <w:szCs w:val="21"/>
                <w:highlight w:val="none"/>
              </w:rPr>
              <w:t>服务</w:t>
            </w:r>
            <w:r>
              <w:rPr>
                <w:rFonts w:hint="eastAsia" w:cs="Times New Roman"/>
                <w:szCs w:val="21"/>
                <w:highlight w:val="none"/>
                <w:lang w:val="en-US" w:eastAsia="zh-CN"/>
              </w:rPr>
              <w:t>响应</w:t>
            </w:r>
          </w:p>
          <w:p w14:paraId="46EA07F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方案</w:t>
            </w:r>
          </w:p>
          <w:p w14:paraId="0996995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shd w:val="clear" w:color="auto" w:fill="auto"/>
            <w:vAlign w:val="center"/>
          </w:tcPr>
          <w:p w14:paraId="600DF27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3B62903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1、在运维区域2小时车程范围内已设立或承诺中标后设立运维技术支持机构，方案全面合理、切实可行，优于招标文件要求，服务响应高效快捷的得3分；</w:t>
            </w:r>
          </w:p>
          <w:p w14:paraId="599D216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2、方案较为合理、基本可行，符合招标文件要求的得2分；</w:t>
            </w:r>
          </w:p>
          <w:p w14:paraId="73B66F1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469B141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44BD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684" w:type="pct"/>
            <w:vMerge w:val="continue"/>
            <w:vAlign w:val="center"/>
          </w:tcPr>
          <w:p w14:paraId="5743C56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restart"/>
            <w:vAlign w:val="center"/>
          </w:tcPr>
          <w:p w14:paraId="39698D2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机构人员（16分）</w:t>
            </w:r>
          </w:p>
        </w:tc>
        <w:tc>
          <w:tcPr>
            <w:tcW w:w="3558" w:type="pct"/>
            <w:vAlign w:val="center"/>
          </w:tcPr>
          <w:p w14:paraId="09D0932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投标人为本项目配置1名项目负责人负责所投设备运行维护，该人员工作经验不足3年的得1分；工作经验3年（含）至5年（含）得2分</w:t>
            </w:r>
            <w:r>
              <w:rPr>
                <w:rFonts w:hint="eastAsia" w:cs="Times New Roman"/>
                <w:szCs w:val="21"/>
                <w:highlight w:val="none"/>
                <w:lang w:eastAsia="zh-CN"/>
              </w:rPr>
              <w:t>；</w:t>
            </w:r>
            <w:r>
              <w:rPr>
                <w:rFonts w:hint="default" w:ascii="Times New Roman" w:hAnsi="Times New Roman" w:eastAsia="宋体" w:cs="Times New Roman"/>
                <w:szCs w:val="21"/>
                <w:highlight w:val="none"/>
              </w:rPr>
              <w:t>工作经验超过5年得3分。</w:t>
            </w:r>
          </w:p>
          <w:p w14:paraId="1CE1B932">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工作经验相关证明材料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p>
        </w:tc>
      </w:tr>
      <w:tr w14:paraId="26EB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6DB1F3B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vAlign w:val="center"/>
          </w:tcPr>
          <w:p w14:paraId="04A25D1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vAlign w:val="center"/>
          </w:tcPr>
          <w:p w14:paraId="31D3875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投标人拟派本项目的运维技术人员学历均达本科的得2分；其中含有硕士或高级及以上职称的加3分；本项最高得5分。</w:t>
            </w:r>
          </w:p>
          <w:p w14:paraId="68914126">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rPr>
              <w:t>（提供相关证明材料）</w:t>
            </w:r>
          </w:p>
        </w:tc>
      </w:tr>
      <w:tr w14:paraId="3B7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5FC93C1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vAlign w:val="center"/>
          </w:tcPr>
          <w:p w14:paraId="1BD070EC">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vAlign w:val="center"/>
          </w:tcPr>
          <w:p w14:paraId="0A7F52F0">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投标人拟派本项目的运维技术人员须具备所投采购包中所有运维仪器相应生产厂家出具的培训证明，有1名人员得4分；2名及以上得8分。</w:t>
            </w:r>
          </w:p>
          <w:p w14:paraId="306B291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w:t>
            </w:r>
          </w:p>
        </w:tc>
      </w:tr>
      <w:tr w14:paraId="1F5F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7B74DE8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31BA896F">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车辆配置（4分）</w:t>
            </w:r>
          </w:p>
        </w:tc>
        <w:tc>
          <w:tcPr>
            <w:tcW w:w="3558" w:type="pct"/>
            <w:vAlign w:val="center"/>
          </w:tcPr>
          <w:p w14:paraId="7488DDF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投标人为本项目配置的运维车辆满足招标文件要求的得4分。</w:t>
            </w:r>
          </w:p>
          <w:p w14:paraId="3A7D4DE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（如自有车辆，须提供车辆牌照、行驶证；如租赁车辆，须提供车辆牌照、行驶证以及租赁合同，且合同周期需至少覆盖2026年全年）</w:t>
            </w:r>
          </w:p>
        </w:tc>
      </w:tr>
      <w:tr w14:paraId="2FCF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4" w:type="pct"/>
            <w:vMerge w:val="restart"/>
            <w:vAlign w:val="center"/>
          </w:tcPr>
          <w:p w14:paraId="0CCFFC0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napToGrid w:val="0"/>
                <w:szCs w:val="21"/>
                <w:highlight w:val="none"/>
              </w:rPr>
              <w:t>运维服务方案及技术要求响应情况</w:t>
            </w:r>
            <w:r>
              <w:rPr>
                <w:rFonts w:hint="default" w:ascii="Times New Roman" w:hAnsi="Times New Roman" w:eastAsia="宋体" w:cs="Times New Roman"/>
                <w:szCs w:val="21"/>
                <w:highlight w:val="none"/>
              </w:rPr>
              <w:t>（47分）</w:t>
            </w:r>
          </w:p>
        </w:tc>
        <w:tc>
          <w:tcPr>
            <w:tcW w:w="757" w:type="pct"/>
            <w:vAlign w:val="center"/>
          </w:tcPr>
          <w:p w14:paraId="0E2F492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响应情况</w:t>
            </w:r>
          </w:p>
          <w:p w14:paraId="6329718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（15分）</w:t>
            </w:r>
          </w:p>
        </w:tc>
        <w:tc>
          <w:tcPr>
            <w:tcW w:w="3558" w:type="pct"/>
            <w:vAlign w:val="center"/>
          </w:tcPr>
          <w:p w14:paraId="2FF959BA">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对招标文件技术要求的响应程度：全部响应即满足招标文件技术指标、参数要求的得15分</w:t>
            </w:r>
            <w:r>
              <w:rPr>
                <w:rFonts w:hint="default" w:ascii="Times New Roman" w:hAnsi="Times New Roman" w:eastAsia="宋体" w:cs="Times New Roman"/>
                <w:szCs w:val="21"/>
                <w:highlight w:val="none"/>
              </w:rPr>
              <w:t>，每有1项负偏离扣1分，扣完为止。</w:t>
            </w:r>
          </w:p>
        </w:tc>
      </w:tr>
      <w:tr w14:paraId="684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84" w:type="pct"/>
            <w:vMerge w:val="continue"/>
            <w:vAlign w:val="center"/>
          </w:tcPr>
          <w:p w14:paraId="593ECA9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60633C3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运维管理服务</w:t>
            </w:r>
            <w:r>
              <w:rPr>
                <w:rFonts w:hint="default" w:ascii="Times New Roman" w:hAnsi="Times New Roman" w:eastAsia="宋体" w:cs="Times New Roman"/>
                <w:sz w:val="21"/>
                <w:szCs w:val="21"/>
                <w:highlight w:val="none"/>
              </w:rPr>
              <w:t>方案</w:t>
            </w:r>
          </w:p>
          <w:p w14:paraId="4F3FFB9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4EFF43D5">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对投标人的运维管理服务方案进行综合评审：</w:t>
            </w:r>
          </w:p>
          <w:p w14:paraId="1DA6633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0FB4A58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2E57047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46301493">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2FC3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55DF197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56475E8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质量控制</w:t>
            </w:r>
            <w:r>
              <w:rPr>
                <w:rFonts w:hint="default" w:ascii="Times New Roman" w:hAnsi="Times New Roman" w:eastAsia="宋体" w:cs="Times New Roman"/>
                <w:sz w:val="21"/>
                <w:szCs w:val="21"/>
                <w:highlight w:val="none"/>
              </w:rPr>
              <w:t>方案</w:t>
            </w:r>
          </w:p>
          <w:p w14:paraId="6CA2758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40A9DB7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对投标人的质量控制方案进行综合评审：</w:t>
            </w:r>
          </w:p>
          <w:p w14:paraId="0ACA14A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403EB18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15B1822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6587F68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518A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46B148B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7F0ED8B4">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应急服务保障方案</w:t>
            </w:r>
          </w:p>
          <w:p w14:paraId="4169974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47CD3C20">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对投标人的应急服务保障方案进行综合评审：</w:t>
            </w:r>
          </w:p>
          <w:p w14:paraId="0E9EE23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1B1B203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3CA5B8A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3EC12E9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175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322E805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00FECEC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管理培训方案</w:t>
            </w:r>
          </w:p>
          <w:p w14:paraId="1BD61AA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（4分）</w:t>
            </w:r>
          </w:p>
        </w:tc>
        <w:tc>
          <w:tcPr>
            <w:tcW w:w="3558" w:type="pct"/>
            <w:vAlign w:val="center"/>
          </w:tcPr>
          <w:p w14:paraId="7793B6DF">
            <w:pPr>
              <w:pageBreakBefore w:val="0"/>
              <w:numPr>
                <w:ilvl w:val="0"/>
                <w:numId w:val="14"/>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投标人具备完整的运维人员管理及培训方案的得2分；</w:t>
            </w:r>
          </w:p>
          <w:p w14:paraId="59D96370">
            <w:pPr>
              <w:pageBreakBefore w:val="0"/>
              <w:numPr>
                <w:ilvl w:val="0"/>
                <w:numId w:val="14"/>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提供本项目拟派的运维技术人员参加各类仪器技术培训证明的得2分。</w:t>
            </w:r>
          </w:p>
          <w:p w14:paraId="7B6A711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w:t>
            </w:r>
          </w:p>
        </w:tc>
      </w:tr>
      <w:tr w14:paraId="6CC7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247230E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30971988">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标准流量计</w:t>
            </w:r>
          </w:p>
          <w:p w14:paraId="5F4BC5F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vAlign w:val="center"/>
          </w:tcPr>
          <w:p w14:paraId="241FFEE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投标人配备仪器维护所使用的标准流量计的得2分；具备计量部门出具的校准（检定）证书的加1分；本项最高得3分。</w:t>
            </w:r>
          </w:p>
          <w:p w14:paraId="45A7488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（提供设备的采购合同或购置发票，及相关证书）</w:t>
            </w:r>
          </w:p>
        </w:tc>
      </w:tr>
      <w:tr w14:paraId="7DC7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3E45903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1261245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承诺书</w:t>
            </w:r>
          </w:p>
          <w:p w14:paraId="550F9B9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（1分）</w:t>
            </w:r>
          </w:p>
        </w:tc>
        <w:tc>
          <w:tcPr>
            <w:tcW w:w="3558" w:type="pct"/>
            <w:vAlign w:val="center"/>
          </w:tcPr>
          <w:p w14:paraId="035BDAA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投标人承诺仪器发生故障时2小时电话响应，4小时现场响应的得1分。</w:t>
            </w:r>
          </w:p>
          <w:p w14:paraId="66C57F8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（提供承诺书并加盖公章）</w:t>
            </w:r>
          </w:p>
        </w:tc>
      </w:tr>
      <w:tr w14:paraId="0FC6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restart"/>
            <w:vAlign w:val="center"/>
          </w:tcPr>
          <w:p w14:paraId="4E0D467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企业业绩及服务质量证明（15分）</w:t>
            </w:r>
          </w:p>
        </w:tc>
        <w:tc>
          <w:tcPr>
            <w:tcW w:w="757" w:type="pct"/>
            <w:shd w:val="clear" w:color="auto" w:fill="auto"/>
            <w:vAlign w:val="center"/>
          </w:tcPr>
          <w:p w14:paraId="47FDE7C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企业业绩</w:t>
            </w:r>
          </w:p>
          <w:p w14:paraId="390768D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58" w:type="pct"/>
            <w:shd w:val="clear" w:color="auto" w:fill="auto"/>
            <w:vAlign w:val="center"/>
          </w:tcPr>
          <w:p w14:paraId="3E78CEB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自2022年1月1日以来，投标人承担过所投采购包中的任意1种仪器运维服务项目，每提供1个得2分，本项最高得10分。</w:t>
            </w:r>
          </w:p>
          <w:p w14:paraId="025AE6DA">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（提供合同，业绩时间以合同签订时间为准）</w:t>
            </w:r>
          </w:p>
        </w:tc>
      </w:tr>
      <w:tr w14:paraId="6A3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2B5A97C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3F3EA730">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服务质量</w:t>
            </w:r>
          </w:p>
          <w:p w14:paraId="0C9A1F54">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证明</w:t>
            </w:r>
          </w:p>
          <w:p w14:paraId="1996487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shd w:val="clear" w:color="auto" w:fill="auto"/>
            <w:vAlign w:val="center"/>
          </w:tcPr>
          <w:p w14:paraId="07B66DDA">
            <w:pPr>
              <w:pStyle w:val="401"/>
              <w:pageBreakBefore w:val="0"/>
              <w:kinsoku/>
              <w:wordWrap/>
              <w:overflowPunct/>
              <w:topLinePunct w:val="0"/>
              <w:bidi w:val="0"/>
              <w:spacing w:line="360" w:lineRule="auto"/>
              <w:ind w:firstLine="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根据用户对投标人以往运维仪器服务的质量进行评审，每提供1份质量证明文件或用户满意度证明得2.5分，本项最高得5分。</w:t>
            </w:r>
          </w:p>
          <w:p w14:paraId="53D392CE">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（提供相关证明材料）</w:t>
            </w:r>
          </w:p>
        </w:tc>
      </w:tr>
    </w:tbl>
    <w:p w14:paraId="03F31EE9">
      <w:pPr>
        <w:pageBreakBefore w:val="0"/>
        <w:kinsoku/>
        <w:wordWrap/>
        <w:overflowPunct/>
        <w:topLinePunct w:val="0"/>
        <w:bidi w:val="0"/>
        <w:spacing w:line="360" w:lineRule="auto"/>
        <w:rPr>
          <w:rFonts w:hint="default" w:ascii="Times New Roman" w:hAnsi="Times New Roman" w:eastAsia="宋体" w:cs="Times New Roman"/>
          <w:szCs w:val="21"/>
          <w:highlight w:val="none"/>
        </w:rPr>
        <w:sectPr>
          <w:pgSz w:w="11906" w:h="16838"/>
          <w:pgMar w:top="1440" w:right="1803" w:bottom="1440" w:left="1803" w:header="227" w:footer="720" w:gutter="0"/>
          <w:pgNumType w:fmt="decimal"/>
          <w:cols w:space="0" w:num="1"/>
          <w:docGrid w:linePitch="360" w:charSpace="0"/>
        </w:sectPr>
      </w:pPr>
    </w:p>
    <w:p w14:paraId="7131CAA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包6：质控实验室及温室气体质控等相关运维服务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90"/>
        <w:gridCol w:w="6061"/>
      </w:tblGrid>
      <w:tr w14:paraId="59CB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84" w:type="pct"/>
            <w:vAlign w:val="center"/>
          </w:tcPr>
          <w:p w14:paraId="1DFD78EE">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15" w:type="pct"/>
            <w:gridSpan w:val="2"/>
            <w:vAlign w:val="center"/>
          </w:tcPr>
          <w:p w14:paraId="0C3A58F7">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3C34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4" w:type="pct"/>
            <w:vAlign w:val="center"/>
          </w:tcPr>
          <w:p w14:paraId="7F6F3A60">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6B98045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15" w:type="pct"/>
            <w:gridSpan w:val="2"/>
            <w:vAlign w:val="center"/>
          </w:tcPr>
          <w:p w14:paraId="041DCA5E">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495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84" w:type="pct"/>
            <w:vMerge w:val="restart"/>
            <w:vAlign w:val="center"/>
          </w:tcPr>
          <w:p w14:paraId="3BF3A04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2F7E959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（19分）</w:t>
            </w:r>
          </w:p>
        </w:tc>
        <w:tc>
          <w:tcPr>
            <w:tcW w:w="757" w:type="pct"/>
            <w:vAlign w:val="center"/>
          </w:tcPr>
          <w:p w14:paraId="116E369A">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服务响应</w:t>
            </w:r>
          </w:p>
          <w:p w14:paraId="2CA72D6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方案</w:t>
            </w:r>
          </w:p>
          <w:p w14:paraId="7B8FBA6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58" w:type="pct"/>
            <w:shd w:val="clear" w:color="auto" w:fill="auto"/>
            <w:vAlign w:val="center"/>
          </w:tcPr>
          <w:p w14:paraId="2633DFE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0E096D0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1、在运维区域2小时车程范围内已设立或承诺中标后设立运维技术支持机构，方案全面合理、切实可行，优于招标文件要求，服务响应高效快捷的得6分；</w:t>
            </w:r>
          </w:p>
          <w:p w14:paraId="74231777">
            <w:pPr>
              <w:pStyle w:val="391"/>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2、方案较为合理、基本可行，符合招标文件要求的得4分；</w:t>
            </w:r>
          </w:p>
          <w:p w14:paraId="5FDDC004">
            <w:pPr>
              <w:pStyle w:val="391"/>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3、方案欠佳、不完全符合招标文件要求的得2分；</w:t>
            </w:r>
          </w:p>
          <w:p w14:paraId="7191CCC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4、未提供相关内容的得0分。</w:t>
            </w:r>
          </w:p>
        </w:tc>
      </w:tr>
      <w:tr w14:paraId="622C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684" w:type="pct"/>
            <w:vMerge w:val="continue"/>
            <w:vAlign w:val="center"/>
          </w:tcPr>
          <w:p w14:paraId="5D54225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restart"/>
            <w:vAlign w:val="center"/>
          </w:tcPr>
          <w:p w14:paraId="15B5E30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机构人员</w:t>
            </w:r>
          </w:p>
          <w:p w14:paraId="34A73D6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58" w:type="pct"/>
            <w:vAlign w:val="center"/>
          </w:tcPr>
          <w:p w14:paraId="08D2FA3B">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投标人为本项目配置的运维技术人员学历均在本科以上的得2分；具备环保类专业技术中级及以上职称的加2分；具有相关设备维修、检查与维护经验3年以上的得2分；本项最高得6分。</w:t>
            </w:r>
          </w:p>
          <w:p w14:paraId="244C020A">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highlight w:val="none"/>
              </w:rPr>
              <w:t>（提供人员名单</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相关证明材料</w:t>
            </w:r>
            <w:r>
              <w:rPr>
                <w:rFonts w:hint="default" w:ascii="Times New Roman" w:hAnsi="Times New Roman" w:eastAsia="宋体" w:cs="Times New Roman"/>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highlight w:val="none"/>
              </w:rPr>
              <w:t>）</w:t>
            </w:r>
          </w:p>
        </w:tc>
      </w:tr>
      <w:tr w14:paraId="2A1B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615608A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vAlign w:val="center"/>
          </w:tcPr>
          <w:p w14:paraId="22909D9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vAlign w:val="center"/>
          </w:tcPr>
          <w:p w14:paraId="29671059">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投标人在运维期内安排1名驻场人员得2分；该人员具备质控相关服务1年及以上驻场维护经验的加1分；具有3年及以上驻场维护经验的加2分；本项最高得4分。</w:t>
            </w:r>
          </w:p>
          <w:p w14:paraId="5B407130">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highlight w:val="none"/>
              </w:rPr>
              <w:t>（提供</w:t>
            </w:r>
            <w:r>
              <w:rPr>
                <w:rFonts w:hint="eastAsia" w:cs="Times New Roman"/>
                <w:highlight w:val="none"/>
                <w:lang w:val="en-US" w:eastAsia="zh-CN"/>
              </w:rPr>
              <w:t>人员名单、</w:t>
            </w:r>
            <w:r>
              <w:rPr>
                <w:rFonts w:hint="default" w:ascii="Times New Roman" w:hAnsi="Times New Roman" w:eastAsia="宋体" w:cs="Times New Roman"/>
                <w:highlight w:val="none"/>
              </w:rPr>
              <w:t>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highlight w:val="none"/>
              </w:rPr>
              <w:t>）</w:t>
            </w:r>
          </w:p>
        </w:tc>
      </w:tr>
      <w:tr w14:paraId="30A5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4CD397D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2F956E7C">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车辆配置</w:t>
            </w:r>
          </w:p>
          <w:p w14:paraId="726731C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（3分）</w:t>
            </w:r>
          </w:p>
        </w:tc>
        <w:tc>
          <w:tcPr>
            <w:tcW w:w="3558" w:type="pct"/>
            <w:vAlign w:val="center"/>
          </w:tcPr>
          <w:p w14:paraId="4DEAAAF6">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为本项目配置的运维车辆满足招标文件要求的得3分。</w:t>
            </w:r>
          </w:p>
          <w:p w14:paraId="6589632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（如自有车辆，须提供车辆牌照、行驶证；如租赁车辆，须提供车辆牌照、行驶证以及租赁合同，且合同周期需至少覆盖2026年全年）</w:t>
            </w:r>
          </w:p>
        </w:tc>
      </w:tr>
      <w:tr w14:paraId="5FE6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4" w:type="pct"/>
            <w:vMerge w:val="restart"/>
            <w:vAlign w:val="center"/>
          </w:tcPr>
          <w:p w14:paraId="3DB59D9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napToGrid w:val="0"/>
                <w:szCs w:val="21"/>
                <w:highlight w:val="none"/>
              </w:rPr>
              <w:t>运维服务方案及技术要求响应情况</w:t>
            </w:r>
            <w:r>
              <w:rPr>
                <w:rFonts w:hint="default" w:ascii="Times New Roman" w:hAnsi="Times New Roman" w:eastAsia="宋体" w:cs="Times New Roman"/>
                <w:szCs w:val="21"/>
                <w:highlight w:val="none"/>
              </w:rPr>
              <w:t>（32分）</w:t>
            </w:r>
          </w:p>
        </w:tc>
        <w:tc>
          <w:tcPr>
            <w:tcW w:w="757" w:type="pct"/>
            <w:vAlign w:val="center"/>
          </w:tcPr>
          <w:p w14:paraId="28676354">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运维服务方案</w:t>
            </w:r>
          </w:p>
          <w:p w14:paraId="6EA4B89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6129C9D3">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对投标人的运维服务方案进行综合评审：</w:t>
            </w:r>
          </w:p>
          <w:p w14:paraId="7EB424D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0DDA342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45B70BE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3D45A3DC">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4855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84" w:type="pct"/>
            <w:vMerge w:val="continue"/>
            <w:vAlign w:val="center"/>
          </w:tcPr>
          <w:p w14:paraId="633DAF3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1BBE59E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highlight w:val="none"/>
              </w:rPr>
              <w:t>应急服务保障</w:t>
            </w:r>
            <w:r>
              <w:rPr>
                <w:rFonts w:hint="default" w:ascii="Times New Roman" w:hAnsi="Times New Roman" w:eastAsia="宋体" w:cs="Times New Roman"/>
                <w:sz w:val="21"/>
                <w:szCs w:val="21"/>
                <w:highlight w:val="none"/>
              </w:rPr>
              <w:t>方案</w:t>
            </w:r>
          </w:p>
          <w:p w14:paraId="6990B9E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7CBE6695">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对投标人的应急服务保障方案进行综合评审：</w:t>
            </w:r>
          </w:p>
          <w:p w14:paraId="6C1F808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2956728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39B71A8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42A0C6D9">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6779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1E169BE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76278BF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highlight w:val="none"/>
              </w:rPr>
              <w:t>技术支持</w:t>
            </w:r>
            <w:r>
              <w:rPr>
                <w:rFonts w:hint="default" w:ascii="Times New Roman" w:hAnsi="Times New Roman" w:eastAsia="宋体" w:cs="Times New Roman"/>
                <w:sz w:val="21"/>
                <w:szCs w:val="21"/>
                <w:highlight w:val="none"/>
              </w:rPr>
              <w:t>方案</w:t>
            </w:r>
          </w:p>
          <w:p w14:paraId="01D5883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103A0417">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对投标人的技术支持方案进行综合评审：</w:t>
            </w:r>
          </w:p>
          <w:p w14:paraId="40C1289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w:t>
            </w:r>
            <w:r>
              <w:rPr>
                <w:rFonts w:hint="default" w:ascii="Times New Roman" w:hAnsi="Times New Roman" w:eastAsia="宋体" w:cs="Times New Roman"/>
                <w:highlight w:val="none"/>
              </w:rPr>
              <w:t>投标人应具备与招标人质控所使用仪器品牌、型号相对应设备（NIST SRP、BIOS Lab流量计等）的技术支持能力</w:t>
            </w:r>
            <w:r>
              <w:rPr>
                <w:rFonts w:hint="default" w:ascii="Times New Roman" w:hAnsi="Times New Roman" w:eastAsia="宋体" w:cs="Times New Roman"/>
                <w:szCs w:val="21"/>
                <w:highlight w:val="none"/>
              </w:rPr>
              <w:t>的得8分；</w:t>
            </w:r>
          </w:p>
          <w:p w14:paraId="6EE99A8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78698BC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332A56C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09D2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5D7858A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64B64698">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培训</w:t>
            </w:r>
            <w:r>
              <w:rPr>
                <w:rFonts w:hint="default" w:ascii="Times New Roman" w:hAnsi="Times New Roman" w:eastAsia="宋体" w:cs="Times New Roman"/>
                <w:szCs w:val="21"/>
                <w:highlight w:val="none"/>
              </w:rPr>
              <w:t>方案</w:t>
            </w:r>
          </w:p>
          <w:p w14:paraId="264FB23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5EC6FADF">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对投标人的培训方案进行综合评审：</w:t>
            </w:r>
          </w:p>
          <w:p w14:paraId="23EDE94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042C999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53CA339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5226028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30C5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restart"/>
            <w:vAlign w:val="center"/>
          </w:tcPr>
          <w:p w14:paraId="2F878C6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企业业绩、实验室</w:t>
            </w:r>
            <w:r>
              <w:rPr>
                <w:rFonts w:hint="default" w:ascii="Times New Roman" w:hAnsi="Times New Roman" w:eastAsia="宋体" w:cs="Times New Roman"/>
                <w:szCs w:val="21"/>
                <w:highlight w:val="none"/>
              </w:rPr>
              <w:t>及服务质量证明（34分）</w:t>
            </w:r>
          </w:p>
        </w:tc>
        <w:tc>
          <w:tcPr>
            <w:tcW w:w="757" w:type="pct"/>
            <w:vMerge w:val="restart"/>
            <w:shd w:val="clear" w:color="auto" w:fill="auto"/>
            <w:vAlign w:val="center"/>
          </w:tcPr>
          <w:p w14:paraId="1F603AA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业绩</w:t>
            </w:r>
          </w:p>
          <w:p w14:paraId="1BB4983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（16分）</w:t>
            </w:r>
          </w:p>
        </w:tc>
        <w:tc>
          <w:tcPr>
            <w:tcW w:w="3558" w:type="pct"/>
            <w:shd w:val="clear" w:color="auto" w:fill="auto"/>
            <w:vAlign w:val="center"/>
          </w:tcPr>
          <w:p w14:paraId="47B6F54C">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自2022年1月1日以来，投标人承担过温室气体相关设备的运维服务项目，每提供1个得1分，本项最高得4分。</w:t>
            </w:r>
          </w:p>
          <w:p w14:paraId="23799943">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highlight w:val="none"/>
              </w:rPr>
              <w:t>（提供合同，时间以合同签订时间为准）</w:t>
            </w:r>
          </w:p>
        </w:tc>
      </w:tr>
      <w:tr w14:paraId="6137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063D65B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shd w:val="clear" w:color="auto" w:fill="auto"/>
            <w:vAlign w:val="center"/>
          </w:tcPr>
          <w:p w14:paraId="3BCE25D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shd w:val="clear" w:color="auto" w:fill="auto"/>
            <w:vAlign w:val="center"/>
          </w:tcPr>
          <w:p w14:paraId="4E34B560">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投标人有质控数据联网建设能力，承担过质控数据联网建设项目，每提供1个得2分，本项最高得6分。</w:t>
            </w:r>
          </w:p>
          <w:p w14:paraId="6251CCF2">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highlight w:val="none"/>
              </w:rPr>
              <w:t>（提供合同，时间以合同签订时间为准）</w:t>
            </w:r>
          </w:p>
        </w:tc>
      </w:tr>
      <w:tr w14:paraId="5978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78CB56B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shd w:val="clear" w:color="auto" w:fill="auto"/>
            <w:vAlign w:val="center"/>
          </w:tcPr>
          <w:p w14:paraId="3982761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shd w:val="clear" w:color="auto" w:fill="auto"/>
            <w:vAlign w:val="center"/>
          </w:tcPr>
          <w:p w14:paraId="6C728ECA">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投标人承担过环境空气自动监测站第三方质控核查项目，每提供1个得2分，本项最高得6分。</w:t>
            </w:r>
          </w:p>
          <w:p w14:paraId="63AA2624">
            <w:pPr>
              <w:pStyle w:val="401"/>
              <w:pageBreakBefore w:val="0"/>
              <w:kinsoku/>
              <w:wordWrap/>
              <w:overflowPunct/>
              <w:topLinePunct w:val="0"/>
              <w:bidi w:val="0"/>
              <w:spacing w:line="360" w:lineRule="auto"/>
              <w:ind w:firstLine="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（提供合同，时间以合同签订时间为准）</w:t>
            </w:r>
          </w:p>
        </w:tc>
      </w:tr>
      <w:tr w14:paraId="6766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43C4350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64867DA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实验室</w:t>
            </w:r>
          </w:p>
          <w:p w14:paraId="4EEE93A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58" w:type="pct"/>
            <w:shd w:val="clear" w:color="auto" w:fill="auto"/>
            <w:vAlign w:val="center"/>
          </w:tcPr>
          <w:p w14:paraId="62294063">
            <w:pPr>
              <w:pageBreakBefore w:val="0"/>
              <w:numPr>
                <w:ilvl w:val="0"/>
                <w:numId w:val="15"/>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投标人自有质量控制的CMA实验室（认证范围需包含SO₂、NO₂、CO、PM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）的得6分；</w:t>
            </w:r>
          </w:p>
          <w:p w14:paraId="4A38CF41">
            <w:pPr>
              <w:pageBreakBefore w:val="0"/>
              <w:numPr>
                <w:ilvl w:val="0"/>
                <w:numId w:val="15"/>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投标人无自有实验室，有委托实验室的得3分；</w:t>
            </w:r>
          </w:p>
          <w:p w14:paraId="224F80B7">
            <w:pPr>
              <w:pageBreakBefore w:val="0"/>
              <w:numPr>
                <w:ilvl w:val="0"/>
                <w:numId w:val="15"/>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投标人无自有实验室，承诺中标后3个月内建立或委托具有资质CMA实验室的得1分；</w:t>
            </w:r>
          </w:p>
          <w:p w14:paraId="0E845CA8">
            <w:pPr>
              <w:pageBreakBefore w:val="0"/>
              <w:numPr>
                <w:ilvl w:val="0"/>
                <w:numId w:val="15"/>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没有委托实验室且未承诺的得0分。</w:t>
            </w:r>
          </w:p>
          <w:p w14:paraId="7A61D9C3">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（提供相关证明材料或承诺书并加盖公章）</w:t>
            </w:r>
          </w:p>
        </w:tc>
      </w:tr>
      <w:tr w14:paraId="2E77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4615316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25F32FF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实力</w:t>
            </w:r>
          </w:p>
          <w:p w14:paraId="0A57B87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58" w:type="pct"/>
            <w:shd w:val="clear" w:color="auto" w:fill="auto"/>
            <w:vAlign w:val="center"/>
          </w:tcPr>
          <w:p w14:paraId="4FCA1FFF">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投标人具有建设SRP系统和完成SRP传递比对臭氧光度计的能力，每提供1个证明材料得2分，本项最高得6分。</w:t>
            </w:r>
          </w:p>
          <w:p w14:paraId="5DC75F9A">
            <w:pPr>
              <w:pStyle w:val="401"/>
              <w:pageBreakBefore w:val="0"/>
              <w:kinsoku/>
              <w:wordWrap/>
              <w:overflowPunct/>
              <w:topLinePunct w:val="0"/>
              <w:bidi w:val="0"/>
              <w:spacing w:line="360" w:lineRule="auto"/>
              <w:ind w:firstLine="0"/>
              <w:rPr>
                <w:rFonts w:hint="default" w:ascii="Times New Roman" w:hAnsi="Times New Roman" w:eastAsia="宋体" w:cs="Times New Roman"/>
                <w:highlight w:val="none"/>
              </w:rPr>
            </w:pPr>
            <w:r>
              <w:rPr>
                <w:rFonts w:hint="default" w:ascii="Times New Roman" w:hAnsi="Times New Roman" w:eastAsia="宋体" w:cs="Times New Roman"/>
                <w:highlight w:val="none"/>
              </w:rPr>
              <w:t>（提供相关证明材料）</w:t>
            </w:r>
          </w:p>
        </w:tc>
      </w:tr>
      <w:tr w14:paraId="518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04A2D34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5EBFBC53">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服务质量证明</w:t>
            </w:r>
          </w:p>
          <w:p w14:paraId="2B2B178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（6分）</w:t>
            </w:r>
          </w:p>
        </w:tc>
        <w:tc>
          <w:tcPr>
            <w:tcW w:w="3558" w:type="pct"/>
            <w:shd w:val="clear" w:color="auto" w:fill="auto"/>
            <w:vAlign w:val="center"/>
          </w:tcPr>
          <w:p w14:paraId="34CF419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根据用户对投标人以往运维仪器服务的质量进行评审，每提供1份质量证明文件或用户满意度证明得2分，本项最高得6分。</w:t>
            </w:r>
          </w:p>
          <w:p w14:paraId="5E80441B">
            <w:pPr>
              <w:pStyle w:val="401"/>
              <w:pageBreakBefore w:val="0"/>
              <w:kinsoku/>
              <w:wordWrap/>
              <w:overflowPunct/>
              <w:topLinePunct w:val="0"/>
              <w:bidi w:val="0"/>
              <w:spacing w:line="360" w:lineRule="auto"/>
              <w:ind w:firstLine="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（提供相关证明材料）</w:t>
            </w:r>
          </w:p>
        </w:tc>
      </w:tr>
    </w:tbl>
    <w:p w14:paraId="2AE686F1">
      <w:pPr>
        <w:pageBreakBefore w:val="0"/>
        <w:kinsoku/>
        <w:wordWrap/>
        <w:overflowPunct/>
        <w:topLinePunct w:val="0"/>
        <w:bidi w:val="0"/>
        <w:spacing w:line="360" w:lineRule="auto"/>
        <w:rPr>
          <w:rFonts w:hint="default" w:ascii="Times New Roman" w:hAnsi="Times New Roman" w:eastAsia="宋体" w:cs="Times New Roman"/>
          <w:szCs w:val="21"/>
          <w:highlight w:val="none"/>
        </w:rPr>
        <w:sectPr>
          <w:pgSz w:w="11906" w:h="16838"/>
          <w:pgMar w:top="1440" w:right="1803" w:bottom="1440" w:left="1803" w:header="227" w:footer="720" w:gutter="0"/>
          <w:pgNumType w:fmt="decimal"/>
          <w:cols w:space="0" w:num="1"/>
          <w:docGrid w:linePitch="360" w:charSpace="0"/>
        </w:sectPr>
      </w:pPr>
    </w:p>
    <w:p w14:paraId="2D076B4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包8：大气移动走航方舱及相关设备运维服务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90"/>
        <w:gridCol w:w="6061"/>
      </w:tblGrid>
      <w:tr w14:paraId="6DAA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84" w:type="pct"/>
            <w:vAlign w:val="center"/>
          </w:tcPr>
          <w:p w14:paraId="59DF56C3">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15" w:type="pct"/>
            <w:gridSpan w:val="2"/>
            <w:vAlign w:val="center"/>
          </w:tcPr>
          <w:p w14:paraId="07FF1F98">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6DED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4" w:type="pct"/>
            <w:vAlign w:val="center"/>
          </w:tcPr>
          <w:p w14:paraId="40F49184">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3EEECD6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15" w:type="pct"/>
            <w:gridSpan w:val="2"/>
            <w:vAlign w:val="center"/>
          </w:tcPr>
          <w:p w14:paraId="7FC5984B">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2535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84" w:type="pct"/>
            <w:vMerge w:val="restart"/>
            <w:vAlign w:val="center"/>
          </w:tcPr>
          <w:p w14:paraId="08CDE35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4B0F74D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（23分）</w:t>
            </w:r>
          </w:p>
        </w:tc>
        <w:tc>
          <w:tcPr>
            <w:tcW w:w="757" w:type="pct"/>
            <w:vAlign w:val="center"/>
          </w:tcPr>
          <w:p w14:paraId="1149F8C9">
            <w:pPr>
              <w:pStyle w:val="401"/>
              <w:pageBreakBefore w:val="0"/>
              <w:kinsoku/>
              <w:wordWrap/>
              <w:overflowPunct/>
              <w:topLinePunct w:val="0"/>
              <w:bidi w:val="0"/>
              <w:ind w:firstLine="0"/>
              <w:jc w:val="center"/>
              <w:rPr>
                <w:rFonts w:hint="eastAsia" w:cs="Times New Roman"/>
                <w:szCs w:val="21"/>
                <w:highlight w:val="none"/>
                <w:lang w:val="en-US" w:eastAsia="zh-CN"/>
              </w:rPr>
            </w:pPr>
            <w:r>
              <w:rPr>
                <w:rFonts w:hint="default" w:ascii="Times New Roman" w:hAnsi="Times New Roman" w:eastAsia="宋体" w:cs="Times New Roman"/>
                <w:szCs w:val="21"/>
                <w:highlight w:val="none"/>
              </w:rPr>
              <w:t>服务</w:t>
            </w:r>
            <w:r>
              <w:rPr>
                <w:rFonts w:hint="eastAsia" w:cs="Times New Roman"/>
                <w:szCs w:val="21"/>
                <w:highlight w:val="none"/>
                <w:lang w:val="en-US" w:eastAsia="zh-CN"/>
              </w:rPr>
              <w:t>响应</w:t>
            </w:r>
          </w:p>
          <w:p w14:paraId="3356224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方案</w:t>
            </w:r>
          </w:p>
          <w:p w14:paraId="1D8FAF7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shd w:val="clear" w:color="auto" w:fill="auto"/>
            <w:vAlign w:val="center"/>
          </w:tcPr>
          <w:p w14:paraId="37638D8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5341D7C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1、在运维区域2小时车程范围内已设立或承诺中标后设立运维技术支持机构，方案全面合理、切实可行，优于招标文件要求，服务响应高效快捷的得3分；</w:t>
            </w:r>
          </w:p>
          <w:p w14:paraId="233F2D3C">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2、方案较为合理、基本可行，符合招标文件要求的得2分；</w:t>
            </w:r>
          </w:p>
          <w:p w14:paraId="3FF5EB53">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3、方案欠佳、不完全符合招标文件要求的得1分；</w:t>
            </w:r>
          </w:p>
          <w:p w14:paraId="423A93E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4、未提供相关内容的得0分。</w:t>
            </w:r>
          </w:p>
        </w:tc>
      </w:tr>
      <w:tr w14:paraId="348B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684" w:type="pct"/>
            <w:vMerge w:val="continue"/>
            <w:vAlign w:val="center"/>
          </w:tcPr>
          <w:p w14:paraId="40C82C8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restart"/>
            <w:vAlign w:val="center"/>
          </w:tcPr>
          <w:p w14:paraId="390ECBCA">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w:t>
            </w:r>
          </w:p>
          <w:p w14:paraId="2AD4012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（16分）</w:t>
            </w:r>
          </w:p>
        </w:tc>
        <w:tc>
          <w:tcPr>
            <w:tcW w:w="3558" w:type="pct"/>
            <w:vAlign w:val="center"/>
          </w:tcPr>
          <w:p w14:paraId="1C3E2FE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投标人为本项目配置1名项目负责人负责所投设备运行维护，该人员工作经验不足3年的得1分；工作经验3年（含）至5年（含）得2分</w:t>
            </w:r>
            <w:r>
              <w:rPr>
                <w:rFonts w:hint="eastAsia" w:cs="Times New Roman"/>
                <w:szCs w:val="21"/>
                <w:highlight w:val="none"/>
                <w:lang w:eastAsia="zh-CN"/>
              </w:rPr>
              <w:t>；</w:t>
            </w:r>
            <w:r>
              <w:rPr>
                <w:rFonts w:hint="default" w:ascii="Times New Roman" w:hAnsi="Times New Roman" w:eastAsia="宋体" w:cs="Times New Roman"/>
                <w:szCs w:val="21"/>
                <w:highlight w:val="none"/>
              </w:rPr>
              <w:t>工作经验超过5年得3分。</w:t>
            </w:r>
          </w:p>
          <w:p w14:paraId="564647C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p>
        </w:tc>
      </w:tr>
      <w:tr w14:paraId="07D6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704B9FE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vAlign w:val="center"/>
          </w:tcPr>
          <w:p w14:paraId="0BF11C6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vAlign w:val="center"/>
          </w:tcPr>
          <w:p w14:paraId="5C7C258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投标人拟派本项目的运维技术人员学历均达本科的得2分；其中含有硕士或高级及以上职称的加3分；本项最高得5分。</w:t>
            </w:r>
          </w:p>
          <w:p w14:paraId="5D2C5D37">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p>
        </w:tc>
      </w:tr>
      <w:tr w14:paraId="7DCE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562B1BB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Merge w:val="continue"/>
            <w:vAlign w:val="center"/>
          </w:tcPr>
          <w:p w14:paraId="5A5F9E8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p>
        </w:tc>
        <w:tc>
          <w:tcPr>
            <w:tcW w:w="3558" w:type="pct"/>
            <w:vAlign w:val="center"/>
          </w:tcPr>
          <w:p w14:paraId="08A525D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投标人拟派本项目的运维技术人员须具备所投采购包中所有运维仪器相应生产厂家出具的培训证明，有1名人员得4分；2名及以上得8分。</w:t>
            </w:r>
          </w:p>
          <w:p w14:paraId="32440FA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w:t>
            </w:r>
          </w:p>
        </w:tc>
      </w:tr>
      <w:tr w14:paraId="3F97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4" w:type="pct"/>
            <w:vMerge w:val="continue"/>
            <w:vAlign w:val="center"/>
          </w:tcPr>
          <w:p w14:paraId="38CEF68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44E2A756">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车辆配置（4分）</w:t>
            </w:r>
          </w:p>
        </w:tc>
        <w:tc>
          <w:tcPr>
            <w:tcW w:w="3558" w:type="pct"/>
            <w:vAlign w:val="center"/>
          </w:tcPr>
          <w:p w14:paraId="721BF0A7">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为本项目配置的运维车辆满足招标文件要求的得4分。</w:t>
            </w:r>
          </w:p>
          <w:p w14:paraId="5EDF1E90">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（如自有车辆，须提供车辆牌照、行驶证；如租赁车辆，须提供车辆牌照、行驶证以及租赁合同，且合同周期需至少覆盖2026年全年）</w:t>
            </w:r>
          </w:p>
        </w:tc>
      </w:tr>
      <w:tr w14:paraId="7F00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4" w:type="pct"/>
            <w:vMerge w:val="restart"/>
            <w:vAlign w:val="center"/>
          </w:tcPr>
          <w:p w14:paraId="7880C92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napToGrid w:val="0"/>
                <w:szCs w:val="21"/>
                <w:highlight w:val="none"/>
              </w:rPr>
              <w:t>运维服务方案及技术要求响应情况</w:t>
            </w:r>
            <w:r>
              <w:rPr>
                <w:rFonts w:hint="default" w:ascii="Times New Roman" w:hAnsi="Times New Roman" w:eastAsia="宋体" w:cs="Times New Roman"/>
                <w:szCs w:val="21"/>
                <w:highlight w:val="none"/>
              </w:rPr>
              <w:t>（47分）</w:t>
            </w:r>
          </w:p>
        </w:tc>
        <w:tc>
          <w:tcPr>
            <w:tcW w:w="757" w:type="pct"/>
            <w:vAlign w:val="center"/>
          </w:tcPr>
          <w:p w14:paraId="76DF32D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响应情况</w:t>
            </w:r>
          </w:p>
          <w:p w14:paraId="00C25BF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（15分）</w:t>
            </w:r>
          </w:p>
        </w:tc>
        <w:tc>
          <w:tcPr>
            <w:tcW w:w="3558" w:type="pct"/>
            <w:vAlign w:val="center"/>
          </w:tcPr>
          <w:p w14:paraId="240E9F8D">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对招标文件技术要求的响应程度：全部响应即满足招标文件技术指标、参数要求的得15分</w:t>
            </w:r>
            <w:r>
              <w:rPr>
                <w:rFonts w:hint="default" w:ascii="Times New Roman" w:hAnsi="Times New Roman" w:eastAsia="宋体" w:cs="Times New Roman"/>
                <w:szCs w:val="21"/>
                <w:highlight w:val="none"/>
              </w:rPr>
              <w:t>，每有1项负偏离扣1分，扣完为止。</w:t>
            </w:r>
          </w:p>
        </w:tc>
      </w:tr>
      <w:tr w14:paraId="21FD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84" w:type="pct"/>
            <w:vMerge w:val="continue"/>
            <w:vAlign w:val="center"/>
          </w:tcPr>
          <w:p w14:paraId="7CB4019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6A1FCCBC">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运维管理服务</w:t>
            </w:r>
            <w:r>
              <w:rPr>
                <w:rFonts w:hint="default" w:ascii="Times New Roman" w:hAnsi="Times New Roman" w:eastAsia="宋体" w:cs="Times New Roman"/>
                <w:sz w:val="21"/>
                <w:szCs w:val="21"/>
                <w:highlight w:val="none"/>
              </w:rPr>
              <w:t>方案</w:t>
            </w:r>
          </w:p>
          <w:p w14:paraId="6BD44D4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45900E9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对投标人的运维管理服务方案进行综合评审：</w:t>
            </w:r>
          </w:p>
          <w:p w14:paraId="5011CDE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162BDC5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6E6F153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5EBF9F69">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2A7C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1BE236C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2954E81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Cs w:val="21"/>
                <w:highlight w:val="none"/>
              </w:rPr>
              <w:t>质量控制</w:t>
            </w:r>
            <w:r>
              <w:rPr>
                <w:rFonts w:hint="default" w:ascii="Times New Roman" w:hAnsi="Times New Roman" w:eastAsia="宋体" w:cs="Times New Roman"/>
                <w:sz w:val="21"/>
                <w:szCs w:val="21"/>
                <w:highlight w:val="none"/>
              </w:rPr>
              <w:t>方案</w:t>
            </w:r>
          </w:p>
          <w:p w14:paraId="438DAD13">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5D39F4B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对投标人的质量控制方案进行综合评审：</w:t>
            </w:r>
          </w:p>
          <w:p w14:paraId="4CA0F60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462C031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35EC111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6873D59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1777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20700F7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29EAB13E">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应急服务保障方案</w:t>
            </w:r>
          </w:p>
          <w:p w14:paraId="403A968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58" w:type="pct"/>
            <w:vAlign w:val="center"/>
          </w:tcPr>
          <w:p w14:paraId="2176A63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对投标人的应急服务保障方案进行综合评审：</w:t>
            </w:r>
          </w:p>
          <w:p w14:paraId="6472408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1、方案全面合理、切实可行，优于招标文件要求的得8分；</w:t>
            </w:r>
          </w:p>
          <w:p w14:paraId="621E15B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2、方案较为合理、基本可行、符合招标文件要求的得5分；</w:t>
            </w:r>
          </w:p>
          <w:p w14:paraId="64FD746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274E55B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6AF8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2DE8D61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725D17D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管理培训方案</w:t>
            </w:r>
          </w:p>
          <w:p w14:paraId="4A66EDF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（4分）</w:t>
            </w:r>
          </w:p>
        </w:tc>
        <w:tc>
          <w:tcPr>
            <w:tcW w:w="3558" w:type="pct"/>
            <w:vAlign w:val="center"/>
          </w:tcPr>
          <w:p w14:paraId="6298EE3F">
            <w:pPr>
              <w:pageBreakBefore w:val="0"/>
              <w:numPr>
                <w:ilvl w:val="0"/>
                <w:numId w:val="16"/>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投标人具备完整的运维人员管理及培训方案的得2分；</w:t>
            </w:r>
          </w:p>
          <w:p w14:paraId="088F2352">
            <w:pPr>
              <w:pageBreakBefore w:val="0"/>
              <w:numPr>
                <w:ilvl w:val="0"/>
                <w:numId w:val="16"/>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提供本项目拟派的运维技术人员参加各类仪器技术培训证明的得2分。</w:t>
            </w:r>
          </w:p>
          <w:p w14:paraId="7CC73436">
            <w:pPr>
              <w:pageBreakBefore w:val="0"/>
              <w:numPr>
                <w:ilvl w:val="255"/>
                <w:numId w:val="0"/>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w:t>
            </w:r>
          </w:p>
        </w:tc>
      </w:tr>
      <w:tr w14:paraId="09FB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37CBBE2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43014897">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配备仪器</w:t>
            </w:r>
          </w:p>
          <w:p w14:paraId="559D471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58" w:type="pct"/>
            <w:vAlign w:val="center"/>
          </w:tcPr>
          <w:p w14:paraId="7F884E8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投标人配备仪器维护所使用的标准流量计的得2分；具备计量部门出具的校准（检定）证书的加1分；本项最高得3分。</w:t>
            </w:r>
          </w:p>
          <w:p w14:paraId="17591CA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（提供上述设备的采购合同或购置发票，及相关证书）</w:t>
            </w:r>
          </w:p>
        </w:tc>
      </w:tr>
      <w:tr w14:paraId="3E57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4" w:type="pct"/>
            <w:vMerge w:val="continue"/>
            <w:vAlign w:val="center"/>
          </w:tcPr>
          <w:p w14:paraId="4A80496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vAlign w:val="center"/>
          </w:tcPr>
          <w:p w14:paraId="5427DFB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响应承诺（1分）</w:t>
            </w:r>
          </w:p>
        </w:tc>
        <w:tc>
          <w:tcPr>
            <w:tcW w:w="3558" w:type="pct"/>
            <w:vAlign w:val="center"/>
          </w:tcPr>
          <w:p w14:paraId="342BC62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投标人承诺仪器发生故障时2小时电话响应，4小时现场响应的得1分。</w:t>
            </w:r>
          </w:p>
          <w:p w14:paraId="479A329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（提供承诺书并加盖公章）</w:t>
            </w:r>
          </w:p>
        </w:tc>
      </w:tr>
      <w:tr w14:paraId="3A2F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restart"/>
            <w:vAlign w:val="center"/>
          </w:tcPr>
          <w:p w14:paraId="569B8DE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企业业绩及服务质量证明（15分）</w:t>
            </w:r>
          </w:p>
        </w:tc>
        <w:tc>
          <w:tcPr>
            <w:tcW w:w="757" w:type="pct"/>
            <w:shd w:val="clear" w:color="auto" w:fill="auto"/>
            <w:vAlign w:val="center"/>
          </w:tcPr>
          <w:p w14:paraId="6CFCD7A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企业业绩</w:t>
            </w:r>
          </w:p>
          <w:p w14:paraId="361A2FC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58" w:type="pct"/>
            <w:shd w:val="clear" w:color="auto" w:fill="auto"/>
            <w:vAlign w:val="center"/>
          </w:tcPr>
          <w:p w14:paraId="0EF4EF78">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自2022年1月1日以来，投标人承担过所投采购包中的任意1种仪器运维服务项目，每提供1个得2分，本项最高得10分。</w:t>
            </w:r>
          </w:p>
          <w:p w14:paraId="4018921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（提供合同，业绩时间以合同签订时间为准）</w:t>
            </w:r>
          </w:p>
        </w:tc>
      </w:tr>
      <w:tr w14:paraId="27A6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pct"/>
            <w:vMerge w:val="continue"/>
            <w:vAlign w:val="center"/>
          </w:tcPr>
          <w:p w14:paraId="360C941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7" w:type="pct"/>
            <w:shd w:val="clear" w:color="auto" w:fill="auto"/>
            <w:vAlign w:val="center"/>
          </w:tcPr>
          <w:p w14:paraId="574DBB40">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服务质量</w:t>
            </w:r>
          </w:p>
          <w:p w14:paraId="587BDEA2">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证明</w:t>
            </w:r>
          </w:p>
          <w:p w14:paraId="650092B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（5分）</w:t>
            </w:r>
          </w:p>
        </w:tc>
        <w:tc>
          <w:tcPr>
            <w:tcW w:w="3558" w:type="pct"/>
            <w:shd w:val="clear" w:color="auto" w:fill="auto"/>
            <w:vAlign w:val="center"/>
          </w:tcPr>
          <w:p w14:paraId="4BF2593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根据用户对投标人以往运维仪器服务的质量进行评审，每提供1份质量证明文件或用户满意度证明得2.5分，本项最高得5分。（提供相关证明材料）</w:t>
            </w:r>
          </w:p>
        </w:tc>
      </w:tr>
    </w:tbl>
    <w:p w14:paraId="1F42E8FC">
      <w:pPr>
        <w:pageBreakBefore w:val="0"/>
        <w:kinsoku/>
        <w:wordWrap/>
        <w:overflowPunct/>
        <w:topLinePunct w:val="0"/>
        <w:bidi w:val="0"/>
        <w:rPr>
          <w:rFonts w:hint="default" w:ascii="Times New Roman" w:hAnsi="Times New Roman" w:eastAsia="宋体" w:cs="Times New Roman"/>
          <w:highlight w:val="none"/>
        </w:rPr>
      </w:pPr>
    </w:p>
    <w:p w14:paraId="3C56C661">
      <w:pPr>
        <w:pageBreakBefore w:val="0"/>
        <w:kinsoku/>
        <w:wordWrap/>
        <w:overflowPunct/>
        <w:topLinePunct w:val="0"/>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包9：汾湖超级站及省级大气多参数站常规监测设备运维服务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288"/>
        <w:gridCol w:w="6078"/>
      </w:tblGrid>
      <w:tr w14:paraId="15DE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75" w:type="pct"/>
            <w:vAlign w:val="center"/>
          </w:tcPr>
          <w:p w14:paraId="4E8C8A95">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24" w:type="pct"/>
            <w:gridSpan w:val="2"/>
            <w:vAlign w:val="center"/>
          </w:tcPr>
          <w:p w14:paraId="006AFC7A">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2D36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pct"/>
            <w:vAlign w:val="center"/>
          </w:tcPr>
          <w:p w14:paraId="3BAF2071">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6DAB1AA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24" w:type="pct"/>
            <w:gridSpan w:val="2"/>
            <w:vAlign w:val="center"/>
          </w:tcPr>
          <w:p w14:paraId="2CB08BB0">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1815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75" w:type="pct"/>
            <w:vMerge w:val="restart"/>
            <w:vAlign w:val="center"/>
          </w:tcPr>
          <w:p w14:paraId="5443178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237137C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（16分）</w:t>
            </w:r>
          </w:p>
        </w:tc>
        <w:tc>
          <w:tcPr>
            <w:tcW w:w="756" w:type="pct"/>
            <w:vAlign w:val="center"/>
          </w:tcPr>
          <w:p w14:paraId="514000BA">
            <w:pPr>
              <w:pStyle w:val="401"/>
              <w:pageBreakBefore w:val="0"/>
              <w:kinsoku/>
              <w:wordWrap/>
              <w:overflowPunct/>
              <w:topLinePunct w:val="0"/>
              <w:bidi w:val="0"/>
              <w:ind w:firstLine="0"/>
              <w:jc w:val="center"/>
              <w:rPr>
                <w:rFonts w:hint="eastAsia" w:cs="Times New Roman"/>
                <w:szCs w:val="21"/>
                <w:highlight w:val="none"/>
                <w:lang w:val="en-US" w:eastAsia="zh-CN"/>
              </w:rPr>
            </w:pPr>
            <w:r>
              <w:rPr>
                <w:rFonts w:hint="default" w:ascii="Times New Roman" w:hAnsi="Times New Roman" w:eastAsia="宋体" w:cs="Times New Roman"/>
                <w:szCs w:val="21"/>
                <w:highlight w:val="none"/>
              </w:rPr>
              <w:t>服务</w:t>
            </w:r>
            <w:r>
              <w:rPr>
                <w:rFonts w:hint="eastAsia" w:cs="Times New Roman"/>
                <w:szCs w:val="21"/>
                <w:highlight w:val="none"/>
                <w:lang w:val="en-US" w:eastAsia="zh-CN"/>
              </w:rPr>
              <w:t>响应</w:t>
            </w:r>
          </w:p>
          <w:p w14:paraId="6A8BAFFB">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方案</w:t>
            </w:r>
          </w:p>
          <w:p w14:paraId="4660F3A5">
            <w:pPr>
              <w:pStyle w:val="401"/>
              <w:pageBreakBefore w:val="0"/>
              <w:kinsoku/>
              <w:wordWrap/>
              <w:overflowPunct/>
              <w:topLinePunct w:val="0"/>
              <w:bidi w:val="0"/>
              <w:ind w:firstLine="0"/>
              <w:jc w:val="center"/>
              <w:rPr>
                <w:rFonts w:hint="eastAsia" w:ascii="Times New Roman" w:hAnsi="Times New Roman" w:eastAsia="宋体" w:cs="Times New Roman"/>
                <w:b/>
                <w:bCs/>
                <w:sz w:val="21"/>
                <w:szCs w:val="21"/>
                <w:highlight w:val="none"/>
                <w:lang w:eastAsia="zh-CN"/>
              </w:rPr>
            </w:pPr>
            <w:r>
              <w:rPr>
                <w:rFonts w:hint="eastAsia" w:cs="Times New Roman"/>
                <w:szCs w:val="21"/>
                <w:highlight w:val="none"/>
                <w:lang w:eastAsia="zh-CN"/>
              </w:rPr>
              <w:t>（</w:t>
            </w:r>
            <w:r>
              <w:rPr>
                <w:rFonts w:hint="eastAsia" w:cs="Times New Roman"/>
                <w:szCs w:val="21"/>
                <w:highlight w:val="none"/>
                <w:lang w:val="en-US" w:eastAsia="zh-CN"/>
              </w:rPr>
              <w:t>6分</w:t>
            </w:r>
            <w:r>
              <w:rPr>
                <w:rFonts w:hint="eastAsia" w:cs="Times New Roman"/>
                <w:szCs w:val="21"/>
                <w:highlight w:val="none"/>
                <w:lang w:eastAsia="zh-CN"/>
              </w:rPr>
              <w:t>）</w:t>
            </w:r>
          </w:p>
          <w:p w14:paraId="7FAE4853">
            <w:pPr>
              <w:pStyle w:val="401"/>
              <w:pageBreakBefore w:val="0"/>
              <w:kinsoku/>
              <w:wordWrap/>
              <w:overflowPunct/>
              <w:topLinePunct w:val="0"/>
              <w:bidi w:val="0"/>
              <w:ind w:firstLine="0"/>
              <w:jc w:val="center"/>
              <w:rPr>
                <w:rFonts w:hint="default" w:ascii="Times New Roman" w:hAnsi="Times New Roman" w:eastAsia="宋体" w:cs="Times New Roman"/>
                <w:b/>
                <w:bCs/>
                <w:sz w:val="21"/>
                <w:szCs w:val="21"/>
                <w:highlight w:val="none"/>
              </w:rPr>
            </w:pPr>
          </w:p>
        </w:tc>
        <w:tc>
          <w:tcPr>
            <w:tcW w:w="3568" w:type="pct"/>
            <w:shd w:val="clear" w:color="auto" w:fill="auto"/>
            <w:vAlign w:val="center"/>
          </w:tcPr>
          <w:p w14:paraId="64310A2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412CCAE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1、在运维区域2小时车程范围内已设立或承诺中标后设立运维技术支持机构，方案全面合理、切实可行，优于招标文件要求，服务响应高效快捷的得6分；</w:t>
            </w:r>
          </w:p>
          <w:p w14:paraId="0E32536A">
            <w:pPr>
              <w:pStyle w:val="391"/>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2、方案较为合理、基本可行，符合招标文件要求的得4分；</w:t>
            </w:r>
          </w:p>
          <w:p w14:paraId="3EBAFF91">
            <w:pPr>
              <w:pStyle w:val="391"/>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3、方案欠佳、不完全符合招标文件要求的得2分；</w:t>
            </w:r>
          </w:p>
          <w:p w14:paraId="5619BB9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lang w:val="zh-CN"/>
              </w:rPr>
            </w:pPr>
            <w:r>
              <w:rPr>
                <w:rFonts w:hint="default" w:ascii="Times New Roman" w:hAnsi="Times New Roman" w:eastAsia="宋体" w:cs="Times New Roman"/>
                <w:highlight w:val="none"/>
              </w:rPr>
              <w:t>4、未提供相关内容的得0分。</w:t>
            </w:r>
          </w:p>
        </w:tc>
      </w:tr>
      <w:tr w14:paraId="4EA9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675" w:type="pct"/>
            <w:vMerge w:val="continue"/>
            <w:vAlign w:val="center"/>
          </w:tcPr>
          <w:p w14:paraId="2171158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398DD9C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机构人员（14分）</w:t>
            </w:r>
          </w:p>
        </w:tc>
        <w:tc>
          <w:tcPr>
            <w:tcW w:w="3568" w:type="pct"/>
            <w:vAlign w:val="center"/>
          </w:tcPr>
          <w:p w14:paraId="0B550E50">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1、</w:t>
            </w:r>
            <w:r>
              <w:rPr>
                <w:rFonts w:hint="default" w:ascii="Times New Roman" w:hAnsi="Times New Roman" w:eastAsia="宋体" w:cs="Times New Roman"/>
                <w:szCs w:val="21"/>
                <w:highlight w:val="none"/>
                <w:lang w:bidi="zh-CN"/>
              </w:rPr>
              <w:t>为本项目配置的运维技术人员具备环境空气质量自动监测技术人员的运维能力与质控水平（提供省级及以上生态环境部门相关机构提供的培训合格证明或其他类似证明材料）</w:t>
            </w: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lang w:bidi="zh-CN"/>
              </w:rPr>
              <w:t>每有1人得2分，本小项最高得4分；</w:t>
            </w:r>
          </w:p>
          <w:p w14:paraId="186A792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2、</w:t>
            </w:r>
            <w:r>
              <w:rPr>
                <w:rFonts w:hint="default" w:ascii="Times New Roman" w:hAnsi="Times New Roman" w:eastAsia="宋体" w:cs="Times New Roman"/>
                <w:szCs w:val="21"/>
                <w:highlight w:val="none"/>
              </w:rPr>
              <w:t>所配置的运维技术人员具有环保类专业技术中级职称的，每有1人得1分；具有环保类专业技术高级及以上职称的，每有1人得2分；本小项最高得4分。</w:t>
            </w:r>
          </w:p>
          <w:p w14:paraId="4A073F6C">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相关证书</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p>
        </w:tc>
      </w:tr>
      <w:tr w14:paraId="2485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75" w:type="pct"/>
            <w:vMerge w:val="continue"/>
            <w:vAlign w:val="center"/>
          </w:tcPr>
          <w:p w14:paraId="1A036C0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3EDD574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运维车辆</w:t>
            </w:r>
          </w:p>
          <w:p w14:paraId="309420E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（2分）</w:t>
            </w:r>
          </w:p>
        </w:tc>
        <w:tc>
          <w:tcPr>
            <w:tcW w:w="3568" w:type="pct"/>
            <w:shd w:val="clear" w:color="auto" w:fill="auto"/>
            <w:vAlign w:val="center"/>
          </w:tcPr>
          <w:p w14:paraId="26F2DD5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投标人为本项目配置的运维车辆满足招标文件要求的得2分。</w:t>
            </w:r>
          </w:p>
          <w:p w14:paraId="60516854">
            <w:pPr>
              <w:pageBreakBefore w:val="0"/>
              <w:kinsoku/>
              <w:wordWrap/>
              <w:overflowPunct/>
              <w:topLinePunct w:val="0"/>
              <w:bidi w:val="0"/>
              <w:spacing w:line="360" w:lineRule="auto"/>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rPr>
              <w:t>（如自有车辆，须提供车辆牌照、行驶证；如租赁车辆，须提供车辆牌照、行驶证以及租赁合同，且合同周期需至少覆盖2026年全年）</w:t>
            </w:r>
          </w:p>
        </w:tc>
      </w:tr>
      <w:tr w14:paraId="18A7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5" w:type="pct"/>
            <w:vMerge w:val="restart"/>
            <w:vAlign w:val="center"/>
          </w:tcPr>
          <w:p w14:paraId="44AF0E5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napToGrid w:val="0"/>
                <w:szCs w:val="21"/>
                <w:highlight w:val="none"/>
              </w:rPr>
              <w:t>运维服务方案及技术要求响应情况</w:t>
            </w:r>
            <w:r>
              <w:rPr>
                <w:rFonts w:hint="default" w:ascii="Times New Roman" w:hAnsi="Times New Roman" w:eastAsia="宋体" w:cs="Times New Roman"/>
                <w:szCs w:val="21"/>
                <w:highlight w:val="none"/>
              </w:rPr>
              <w:t>（42分）</w:t>
            </w:r>
          </w:p>
        </w:tc>
        <w:tc>
          <w:tcPr>
            <w:tcW w:w="756" w:type="pct"/>
            <w:vAlign w:val="center"/>
          </w:tcPr>
          <w:p w14:paraId="06B500F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自动站运维方案</w:t>
            </w:r>
          </w:p>
          <w:p w14:paraId="63F5A8F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8" w:type="pct"/>
            <w:vAlign w:val="center"/>
          </w:tcPr>
          <w:p w14:paraId="35ADD68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根据投标文件中所提供</w:t>
            </w:r>
            <w:r>
              <w:rPr>
                <w:rFonts w:hint="default" w:ascii="Times New Roman" w:hAnsi="Times New Roman" w:eastAsia="宋体" w:cs="Times New Roman"/>
                <w:szCs w:val="21"/>
                <w:highlight w:val="none"/>
              </w:rPr>
              <w:t>的自动站运维方案进行综合评审：</w:t>
            </w:r>
          </w:p>
          <w:p w14:paraId="68BCEEA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0571444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34921C9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75445B9E">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63F0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5" w:type="pct"/>
            <w:vMerge w:val="continue"/>
            <w:vAlign w:val="center"/>
          </w:tcPr>
          <w:p w14:paraId="03F3141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26B3F0A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自动站质量保证方案</w:t>
            </w:r>
          </w:p>
          <w:p w14:paraId="6889D2C5">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8" w:type="pct"/>
            <w:vAlign w:val="center"/>
          </w:tcPr>
          <w:p w14:paraId="4F8DADA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根据投标文件中所提供</w:t>
            </w:r>
            <w:r>
              <w:rPr>
                <w:rFonts w:hint="default" w:ascii="Times New Roman" w:hAnsi="Times New Roman" w:eastAsia="宋体" w:cs="Times New Roman"/>
                <w:szCs w:val="21"/>
                <w:highlight w:val="none"/>
              </w:rPr>
              <w:t>的自动站质量保证方案进行综合评审：</w:t>
            </w:r>
          </w:p>
          <w:p w14:paraId="7B64D4D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11281D9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2、方案较为合理、基本可行、符合招标文件要求4分；</w:t>
            </w:r>
          </w:p>
          <w:p w14:paraId="6D94E19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2089AD32">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2FF0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5" w:type="pct"/>
            <w:vMerge w:val="continue"/>
            <w:vAlign w:val="center"/>
          </w:tcPr>
          <w:p w14:paraId="6D67966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288D80D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应急服务及人员保障方案</w:t>
            </w:r>
          </w:p>
          <w:p w14:paraId="0B04CE9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8" w:type="pct"/>
            <w:vAlign w:val="center"/>
          </w:tcPr>
          <w:p w14:paraId="256A97E4">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根据投标文件中所提供</w:t>
            </w:r>
            <w:r>
              <w:rPr>
                <w:rFonts w:hint="default" w:ascii="Times New Roman" w:hAnsi="Times New Roman" w:eastAsia="宋体" w:cs="Times New Roman"/>
                <w:szCs w:val="21"/>
                <w:highlight w:val="none"/>
              </w:rPr>
              <w:t>的应急服务及人员保障方案，投标人协助招标人做好大气站固定资产管理、应急监测等工作，做好人员保障情况进行综合评审：</w:t>
            </w:r>
          </w:p>
          <w:p w14:paraId="394CB92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0FC38C20">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2、方案较为合理、基本可行、符合招标文件要求4分；</w:t>
            </w:r>
          </w:p>
          <w:p w14:paraId="79D5B4C5">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7A0E4CD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1D4F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5" w:type="pct"/>
            <w:vMerge w:val="continue"/>
            <w:vAlign w:val="center"/>
          </w:tcPr>
          <w:p w14:paraId="534854E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47EE37D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站房本体维护方案</w:t>
            </w:r>
          </w:p>
          <w:p w14:paraId="3D3C6E1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8" w:type="pct"/>
            <w:vAlign w:val="center"/>
          </w:tcPr>
          <w:p w14:paraId="509C5109">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根据投标文件中所提供</w:t>
            </w:r>
            <w:r>
              <w:rPr>
                <w:rFonts w:hint="default" w:ascii="Times New Roman" w:hAnsi="Times New Roman" w:eastAsia="宋体" w:cs="Times New Roman"/>
                <w:szCs w:val="21"/>
                <w:highlight w:val="none"/>
              </w:rPr>
              <w:t>的站房本体维护方案进行综合评审：</w:t>
            </w:r>
          </w:p>
          <w:p w14:paraId="2EE52EA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781E04F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2、方案较为合理、基本可行、符合招标文件要求4分；</w:t>
            </w:r>
          </w:p>
          <w:p w14:paraId="0861924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6F41E7F3">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6D3A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5" w:type="pct"/>
            <w:vMerge w:val="continue"/>
            <w:vAlign w:val="center"/>
          </w:tcPr>
          <w:p w14:paraId="56A78F5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12B04C8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主要设备备机</w:t>
            </w:r>
          </w:p>
          <w:p w14:paraId="623D915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68" w:type="pct"/>
            <w:vAlign w:val="center"/>
          </w:tcPr>
          <w:p w14:paraId="769CACC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投标人应提供SO</w:t>
            </w:r>
            <w:r>
              <w:rPr>
                <w:rFonts w:hint="default" w:ascii="Times New Roman" w:hAnsi="Times New Roman" w:eastAsia="宋体" w:cs="Times New Roman"/>
                <w:szCs w:val="21"/>
                <w:highlight w:val="none"/>
                <w:vertAlign w:val="subscript"/>
                <w:lang w:val="zh-CN" w:bidi="zh-CN"/>
              </w:rPr>
              <w:t>2</w:t>
            </w:r>
            <w:r>
              <w:rPr>
                <w:rFonts w:hint="default" w:ascii="Times New Roman" w:hAnsi="Times New Roman" w:eastAsia="宋体" w:cs="Times New Roman"/>
                <w:szCs w:val="21"/>
                <w:highlight w:val="none"/>
                <w:lang w:val="zh-CN" w:bidi="zh-CN"/>
              </w:rPr>
              <w:t>、NO</w:t>
            </w:r>
            <w:r>
              <w:rPr>
                <w:rFonts w:hint="default" w:ascii="Times New Roman" w:hAnsi="Times New Roman" w:eastAsia="宋体" w:cs="Times New Roman"/>
                <w:szCs w:val="21"/>
                <w:highlight w:val="none"/>
                <w:vertAlign w:val="subscript"/>
                <w:lang w:val="zh-CN" w:bidi="zh-CN"/>
              </w:rPr>
              <w:t>2</w:t>
            </w:r>
            <w:r>
              <w:rPr>
                <w:rFonts w:hint="default" w:ascii="Times New Roman" w:hAnsi="Times New Roman" w:eastAsia="宋体" w:cs="Times New Roman"/>
                <w:szCs w:val="21"/>
                <w:highlight w:val="none"/>
                <w:lang w:val="zh-CN" w:bidi="zh-CN"/>
              </w:rPr>
              <w:t>、CO、PM</w:t>
            </w:r>
            <w:r>
              <w:rPr>
                <w:rFonts w:hint="default" w:ascii="Times New Roman" w:hAnsi="Times New Roman" w:eastAsia="宋体" w:cs="Times New Roman"/>
                <w:szCs w:val="21"/>
                <w:highlight w:val="none"/>
                <w:vertAlign w:val="subscript"/>
                <w:lang w:val="zh-CN" w:bidi="zh-CN"/>
              </w:rPr>
              <w:t>10</w:t>
            </w:r>
            <w:r>
              <w:rPr>
                <w:rFonts w:hint="default" w:ascii="Times New Roman" w:hAnsi="Times New Roman" w:eastAsia="宋体" w:cs="Times New Roman"/>
                <w:szCs w:val="21"/>
                <w:highlight w:val="none"/>
                <w:lang w:val="zh-CN" w:bidi="zh-CN"/>
              </w:rPr>
              <w:t>、PM</w:t>
            </w:r>
            <w:r>
              <w:rPr>
                <w:rFonts w:hint="default" w:ascii="Times New Roman" w:hAnsi="Times New Roman" w:eastAsia="宋体" w:cs="Times New Roman"/>
                <w:szCs w:val="21"/>
                <w:highlight w:val="none"/>
                <w:vertAlign w:val="subscript"/>
                <w:lang w:val="zh-CN" w:bidi="zh-CN"/>
              </w:rPr>
              <w:t>2.5</w:t>
            </w:r>
            <w:r>
              <w:rPr>
                <w:rFonts w:hint="default" w:ascii="Times New Roman" w:hAnsi="Times New Roman" w:eastAsia="宋体" w:cs="Times New Roman"/>
                <w:szCs w:val="21"/>
                <w:highlight w:val="none"/>
                <w:lang w:val="zh-CN" w:bidi="zh-CN"/>
              </w:rPr>
              <w:t>、O</w:t>
            </w:r>
            <w:r>
              <w:rPr>
                <w:rFonts w:hint="default" w:ascii="Times New Roman" w:hAnsi="Times New Roman" w:eastAsia="宋体" w:cs="Times New Roman"/>
                <w:szCs w:val="21"/>
                <w:highlight w:val="none"/>
                <w:vertAlign w:val="subscript"/>
                <w:lang w:val="zh-CN" w:bidi="zh-CN"/>
              </w:rPr>
              <w:t>3</w:t>
            </w:r>
            <w:r>
              <w:rPr>
                <w:rFonts w:hint="default" w:ascii="Times New Roman" w:hAnsi="Times New Roman" w:eastAsia="宋体" w:cs="Times New Roman"/>
                <w:szCs w:val="21"/>
                <w:highlight w:val="none"/>
                <w:lang w:val="zh-CN" w:bidi="zh-CN"/>
              </w:rPr>
              <w:t>六项指标自动监测仪器及动态校准仪、零气发生器用作备机，数量和指标均符合招标文件要求的得8分；每缺1</w:t>
            </w:r>
            <w:r>
              <w:rPr>
                <w:rFonts w:hint="default" w:ascii="Times New Roman" w:hAnsi="Times New Roman" w:eastAsia="宋体" w:cs="Times New Roman"/>
                <w:szCs w:val="21"/>
                <w:highlight w:val="none"/>
                <w:lang w:bidi="zh-CN"/>
              </w:rPr>
              <w:t>项备机</w:t>
            </w:r>
            <w:r>
              <w:rPr>
                <w:rFonts w:hint="default" w:ascii="Times New Roman" w:hAnsi="Times New Roman" w:eastAsia="宋体" w:cs="Times New Roman"/>
                <w:szCs w:val="21"/>
                <w:highlight w:val="none"/>
                <w:lang w:val="zh-CN" w:bidi="zh-CN"/>
              </w:rPr>
              <w:t>扣1分，扣完为止。</w:t>
            </w:r>
          </w:p>
          <w:p w14:paraId="5396B905">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（提供以上设备的自有或租赁的相关证明材料，租赁合同周期需至少覆盖2026年全年）</w:t>
            </w:r>
          </w:p>
        </w:tc>
      </w:tr>
      <w:tr w14:paraId="1E71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5" w:type="pct"/>
            <w:vMerge w:val="continue"/>
            <w:vAlign w:val="center"/>
          </w:tcPr>
          <w:p w14:paraId="1DC95DB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3501036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质量控制设备</w:t>
            </w:r>
          </w:p>
          <w:p w14:paraId="4E0B442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68" w:type="pct"/>
            <w:vAlign w:val="center"/>
          </w:tcPr>
          <w:p w14:paraId="64CCF83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投标人需提供必要的质量控制设备，包括流量计、标准气压计、温度计、臭氧校准仪及标准气体等，已采购且与招标文件中要求的数量一致或承诺中标后购置的得10分，否则不得分。</w:t>
            </w:r>
          </w:p>
          <w:p w14:paraId="4AF5928E">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注：提供以上设备的购置发票、采购合同、租赁协议或承诺书并加盖公章。</w:t>
            </w:r>
          </w:p>
        </w:tc>
      </w:tr>
      <w:tr w14:paraId="32C5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pct"/>
            <w:vMerge w:val="restart"/>
            <w:vAlign w:val="center"/>
          </w:tcPr>
          <w:p w14:paraId="29E3B80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企业业绩及实验室</w:t>
            </w:r>
          </w:p>
          <w:p w14:paraId="337124C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（27分）</w:t>
            </w:r>
          </w:p>
        </w:tc>
        <w:tc>
          <w:tcPr>
            <w:tcW w:w="756" w:type="pct"/>
            <w:vAlign w:val="center"/>
          </w:tcPr>
          <w:p w14:paraId="6537FA5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w:t>
            </w:r>
          </w:p>
          <w:p w14:paraId="65251D92">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（21分）</w:t>
            </w:r>
          </w:p>
        </w:tc>
        <w:tc>
          <w:tcPr>
            <w:tcW w:w="3568" w:type="pct"/>
            <w:vAlign w:val="center"/>
          </w:tcPr>
          <w:p w14:paraId="2A24AD81">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1、自2022年1月1日以来，投标人承担过空气自动监测站维护项目，每提供1个得3分，本小项满分15分；</w:t>
            </w:r>
          </w:p>
          <w:p w14:paraId="62A03DD0">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2、自2022年1月1日以来，投标人承担过大气超级站运维或销售项目，每提供1个得2分，本小项满分6分。</w:t>
            </w:r>
          </w:p>
          <w:p w14:paraId="714FE23D">
            <w:pPr>
              <w:pStyle w:val="401"/>
              <w:pageBreakBefore w:val="0"/>
              <w:kinsoku/>
              <w:wordWrap/>
              <w:overflowPunct/>
              <w:topLinePunct w:val="0"/>
              <w:bidi w:val="0"/>
              <w:spacing w:line="36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（提供业绩合同，时间以合同签订时间为准）</w:t>
            </w:r>
          </w:p>
        </w:tc>
      </w:tr>
      <w:tr w14:paraId="5661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pct"/>
            <w:vMerge w:val="continue"/>
            <w:vAlign w:val="center"/>
          </w:tcPr>
          <w:p w14:paraId="754B663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2CBB73E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实验室</w:t>
            </w:r>
          </w:p>
          <w:p w14:paraId="16A1D51A">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8" w:type="pct"/>
            <w:vAlign w:val="center"/>
          </w:tcPr>
          <w:p w14:paraId="3B4C47AB">
            <w:pPr>
              <w:pageBreakBefore w:val="0"/>
              <w:numPr>
                <w:ilvl w:val="0"/>
                <w:numId w:val="17"/>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投标人自有质量控制的CMA实验室（认证范围需包含SO₂、NO₂、CO、PM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）的得6分；</w:t>
            </w:r>
          </w:p>
          <w:p w14:paraId="3DDFA3BA">
            <w:pPr>
              <w:pageBreakBefore w:val="0"/>
              <w:numPr>
                <w:ilvl w:val="0"/>
                <w:numId w:val="17"/>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投标人无自有实验室，有委托实验室的得3分；</w:t>
            </w:r>
          </w:p>
          <w:p w14:paraId="69A26ED1">
            <w:pPr>
              <w:pageBreakBefore w:val="0"/>
              <w:numPr>
                <w:ilvl w:val="0"/>
                <w:numId w:val="17"/>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投标人无自有实验室，承诺中标后3个月内建立或委托具有资质CMA实验室的得1分；</w:t>
            </w:r>
          </w:p>
          <w:p w14:paraId="74873124">
            <w:pPr>
              <w:pageBreakBefore w:val="0"/>
              <w:numPr>
                <w:ilvl w:val="0"/>
                <w:numId w:val="17"/>
              </w:numPr>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没有委托实验室且未承诺的得0分。</w:t>
            </w:r>
          </w:p>
          <w:p w14:paraId="429D834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（提供相关证明材料或承诺书并加盖公章）</w:t>
            </w:r>
          </w:p>
        </w:tc>
      </w:tr>
    </w:tbl>
    <w:p w14:paraId="37D4AC2E">
      <w:pPr>
        <w:pageBreakBefore w:val="0"/>
        <w:kinsoku/>
        <w:wordWrap/>
        <w:overflowPunct/>
        <w:topLinePunct w:val="0"/>
        <w:bidi w:val="0"/>
        <w:rPr>
          <w:rFonts w:hint="default" w:ascii="Times New Roman" w:hAnsi="Times New Roman" w:eastAsia="宋体" w:cs="Times New Roman"/>
          <w:highlight w:val="none"/>
        </w:rPr>
      </w:pPr>
    </w:p>
    <w:p w14:paraId="432CFC3C">
      <w:pPr>
        <w:pageBreakBefore w:val="0"/>
        <w:kinsoku/>
        <w:wordWrap/>
        <w:overflowPunct/>
        <w:topLinePunct w:val="0"/>
        <w:bidi w:val="0"/>
        <w:rPr>
          <w:rFonts w:hint="default" w:ascii="Times New Roman" w:hAnsi="Times New Roman" w:eastAsia="宋体" w:cs="Times New Roman"/>
          <w:highlight w:val="none"/>
        </w:rPr>
        <w:sectPr>
          <w:pgSz w:w="11906" w:h="16838"/>
          <w:pgMar w:top="1440" w:right="1803" w:bottom="1440" w:left="1803" w:header="227" w:footer="720" w:gutter="0"/>
          <w:pgNumType w:fmt="decimal"/>
          <w:cols w:space="0" w:num="1"/>
          <w:docGrid w:linePitch="360" w:charSpace="0"/>
        </w:sectPr>
      </w:pPr>
    </w:p>
    <w:p w14:paraId="3853F5E6">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包10：省中心及汾湖超站新增颗粒物组分特征仪器（水溶性离子在线分析仪、气溶胶质谱仪）运维服务及包11：省中心及汾湖超站新增光化学及雷达仪器（挥发性有机物监测仪、HNO</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、甲醛在线监测仪、臭氧激光雷达、颗粒物激光雷达）运维服务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235"/>
        <w:gridCol w:w="6097"/>
      </w:tblGrid>
      <w:tr w14:paraId="4965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95" w:type="pct"/>
            <w:vAlign w:val="center"/>
          </w:tcPr>
          <w:p w14:paraId="379DDA79">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04" w:type="pct"/>
            <w:gridSpan w:val="2"/>
            <w:vAlign w:val="center"/>
          </w:tcPr>
          <w:p w14:paraId="7D504A59">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7A97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5" w:type="pct"/>
            <w:vAlign w:val="center"/>
          </w:tcPr>
          <w:p w14:paraId="5A643363">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73E73E9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04" w:type="pct"/>
            <w:gridSpan w:val="2"/>
            <w:vAlign w:val="center"/>
          </w:tcPr>
          <w:p w14:paraId="43201447">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5498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95" w:type="pct"/>
            <w:vMerge w:val="restart"/>
            <w:vAlign w:val="center"/>
          </w:tcPr>
          <w:p w14:paraId="764E236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1D4C1D5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（19分）</w:t>
            </w:r>
          </w:p>
        </w:tc>
        <w:tc>
          <w:tcPr>
            <w:tcW w:w="725" w:type="pct"/>
            <w:vAlign w:val="center"/>
          </w:tcPr>
          <w:p w14:paraId="271C9074">
            <w:pPr>
              <w:pStyle w:val="401"/>
              <w:pageBreakBefore w:val="0"/>
              <w:kinsoku/>
              <w:wordWrap/>
              <w:overflowPunct/>
              <w:topLinePunct w:val="0"/>
              <w:bidi w:val="0"/>
              <w:ind w:firstLine="0"/>
              <w:jc w:val="center"/>
              <w:rPr>
                <w:rFonts w:hint="eastAsia" w:cs="Times New Roman"/>
                <w:szCs w:val="21"/>
                <w:highlight w:val="none"/>
                <w:lang w:val="en-US" w:eastAsia="zh-CN"/>
              </w:rPr>
            </w:pPr>
            <w:r>
              <w:rPr>
                <w:rFonts w:hint="default" w:ascii="Times New Roman" w:hAnsi="Times New Roman" w:eastAsia="宋体" w:cs="Times New Roman"/>
                <w:szCs w:val="21"/>
                <w:highlight w:val="none"/>
              </w:rPr>
              <w:t>服务</w:t>
            </w:r>
            <w:r>
              <w:rPr>
                <w:rFonts w:hint="eastAsia" w:cs="Times New Roman"/>
                <w:szCs w:val="21"/>
                <w:highlight w:val="none"/>
                <w:lang w:val="en-US" w:eastAsia="zh-CN"/>
              </w:rPr>
              <w:t>响应</w:t>
            </w:r>
          </w:p>
          <w:p w14:paraId="17B9638B">
            <w:pPr>
              <w:pStyle w:val="401"/>
              <w:pageBreakBefore w:val="0"/>
              <w:kinsoku/>
              <w:wordWrap/>
              <w:overflowPunct/>
              <w:topLinePunct w:val="0"/>
              <w:bidi w:val="0"/>
              <w:ind w:firstLine="0"/>
              <w:jc w:val="center"/>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方案</w:t>
            </w:r>
          </w:p>
          <w:p w14:paraId="1F6AA408">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（3分）</w:t>
            </w:r>
          </w:p>
        </w:tc>
        <w:tc>
          <w:tcPr>
            <w:tcW w:w="3579" w:type="pct"/>
            <w:vAlign w:val="center"/>
          </w:tcPr>
          <w:p w14:paraId="45837B1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14EB285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w:t>
            </w:r>
            <w:r>
              <w:rPr>
                <w:rFonts w:hint="eastAsia" w:cs="Times New Roman"/>
                <w:szCs w:val="21"/>
                <w:highlight w:val="none"/>
                <w:lang w:val="en-US" w:eastAsia="zh-CN"/>
              </w:rPr>
              <w:t>3</w:t>
            </w:r>
            <w:r>
              <w:rPr>
                <w:rFonts w:hint="default" w:ascii="Times New Roman" w:hAnsi="Times New Roman" w:eastAsia="宋体" w:cs="Times New Roman"/>
                <w:szCs w:val="21"/>
                <w:highlight w:val="none"/>
              </w:rPr>
              <w:t>分；</w:t>
            </w:r>
          </w:p>
          <w:p w14:paraId="70DF4F9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w:t>
            </w:r>
            <w:r>
              <w:rPr>
                <w:rFonts w:hint="eastAsia" w:cs="Times New Roman"/>
                <w:szCs w:val="21"/>
                <w:highlight w:val="none"/>
                <w:lang w:val="en-US" w:eastAsia="zh-CN"/>
              </w:rPr>
              <w:t>2</w:t>
            </w:r>
            <w:r>
              <w:rPr>
                <w:rFonts w:hint="default" w:ascii="Times New Roman" w:hAnsi="Times New Roman" w:eastAsia="宋体" w:cs="Times New Roman"/>
                <w:szCs w:val="21"/>
                <w:highlight w:val="none"/>
              </w:rPr>
              <w:t>分；</w:t>
            </w:r>
          </w:p>
          <w:p w14:paraId="6740692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p>
          <w:p w14:paraId="23B8B538">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75B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95" w:type="pct"/>
            <w:vMerge w:val="continue"/>
            <w:vAlign w:val="center"/>
          </w:tcPr>
          <w:p w14:paraId="46A41DC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2D9323DB">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机构人员</w:t>
            </w:r>
          </w:p>
          <w:p w14:paraId="59869518">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（12分）</w:t>
            </w:r>
          </w:p>
        </w:tc>
        <w:tc>
          <w:tcPr>
            <w:tcW w:w="3579" w:type="pct"/>
            <w:vAlign w:val="center"/>
          </w:tcPr>
          <w:p w14:paraId="0B453C4A">
            <w:pPr>
              <w:pageBreakBefore w:val="0"/>
              <w:numPr>
                <w:ilvl w:val="0"/>
                <w:numId w:val="18"/>
              </w:numPr>
              <w:kinsoku/>
              <w:wordWrap/>
              <w:overflowPunct/>
              <w:topLinePunct w:val="0"/>
              <w:bidi w:val="0"/>
              <w:spacing w:line="360" w:lineRule="auto"/>
              <w:jc w:val="left"/>
              <w:rPr>
                <w:rFonts w:hint="default" w:ascii="Times New Roman" w:hAnsi="Times New Roman" w:eastAsia="宋体" w:cs="Times New Roman"/>
                <w:highlight w:val="none"/>
                <w:lang w:val="zh-CN"/>
              </w:rPr>
            </w:pPr>
            <w:r>
              <w:rPr>
                <w:rFonts w:hint="default" w:ascii="Times New Roman" w:hAnsi="Times New Roman" w:eastAsia="宋体" w:cs="Times New Roman"/>
                <w:highlight w:val="none"/>
              </w:rPr>
              <w:t>投标人为本项目配置1名项目负责人负责所投设备运行维护的得1分；该人员工作经验3年（含）至5年（含）得2分；工作经验超过5年得3分；本小项最高得3分；</w:t>
            </w:r>
          </w:p>
          <w:p w14:paraId="180F1AE6">
            <w:pPr>
              <w:pStyle w:val="2"/>
              <w:pageBreakBefore w:val="0"/>
              <w:numPr>
                <w:ilvl w:val="0"/>
                <w:numId w:val="18"/>
              </w:numPr>
              <w:kinsoku/>
              <w:wordWrap/>
              <w:overflowPunct/>
              <w:topLinePunct w:val="0"/>
              <w:bidi w:val="0"/>
              <w:spacing w:line="360" w:lineRule="auto"/>
              <w:ind w:left="0"/>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投标人为本项目配置运维技术人员学历均达本科得2分；其中含有硕士或高级及以上职称的加3分；本小项最高得5分；</w:t>
            </w:r>
          </w:p>
          <w:p w14:paraId="13E6E5DB">
            <w:pPr>
              <w:pageBreakBefore w:val="0"/>
              <w:numPr>
                <w:ilvl w:val="0"/>
                <w:numId w:val="18"/>
              </w:numPr>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投标人拟派本项目的运维技术人员须具备所投采购包中所有运维仪器相应生产厂家出具的培训证明</w:t>
            </w:r>
            <w:r>
              <w:rPr>
                <w:rFonts w:hint="default" w:ascii="Times New Roman" w:hAnsi="Times New Roman" w:eastAsia="宋体" w:cs="Times New Roman"/>
                <w:highlight w:val="none"/>
              </w:rPr>
              <w:t>的得4分，每缺1种仪器的培训证明扣1分，扣完为止。</w:t>
            </w:r>
          </w:p>
          <w:p w14:paraId="51AF4A75">
            <w:pPr>
              <w:pageBreakBefore w:val="0"/>
              <w:numPr>
                <w:ilvl w:val="255"/>
                <w:numId w:val="0"/>
              </w:numPr>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p>
        </w:tc>
      </w:tr>
      <w:tr w14:paraId="3FFE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95" w:type="pct"/>
            <w:vMerge w:val="continue"/>
            <w:vAlign w:val="center"/>
          </w:tcPr>
          <w:p w14:paraId="3B324EC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4EC02572">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车辆配置</w:t>
            </w:r>
          </w:p>
          <w:p w14:paraId="7A71B2BD">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（4分）</w:t>
            </w:r>
          </w:p>
        </w:tc>
        <w:tc>
          <w:tcPr>
            <w:tcW w:w="3579" w:type="pct"/>
            <w:shd w:val="clear" w:color="auto" w:fill="auto"/>
            <w:vAlign w:val="center"/>
          </w:tcPr>
          <w:p w14:paraId="744B8F4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投标人为本项目配置的运维车辆满足招标文件要求的得4分。</w:t>
            </w:r>
          </w:p>
          <w:p w14:paraId="6E48355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（如自有车辆，须提供车辆牌照、行驶证；如租赁车辆，须提供车辆牌照、行驶证以及租赁合同，且合同周期需至少覆盖2026年全年）</w:t>
            </w:r>
          </w:p>
        </w:tc>
      </w:tr>
      <w:tr w14:paraId="4577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vMerge w:val="restart"/>
            <w:vAlign w:val="center"/>
          </w:tcPr>
          <w:p w14:paraId="7CEEC68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运维服务方案及技术要求响应情况（4</w:t>
            </w:r>
            <w:r>
              <w:rPr>
                <w:rFonts w:hint="eastAsia" w:cs="Times New Roman"/>
                <w:szCs w:val="21"/>
                <w:highlight w:val="none"/>
                <w:lang w:val="en-US" w:eastAsia="zh-CN"/>
              </w:rPr>
              <w:t>4</w:t>
            </w:r>
            <w:r>
              <w:rPr>
                <w:rFonts w:hint="default" w:ascii="Times New Roman" w:hAnsi="Times New Roman" w:eastAsia="宋体" w:cs="Times New Roman"/>
                <w:szCs w:val="21"/>
                <w:highlight w:val="none"/>
              </w:rPr>
              <w:t>分）</w:t>
            </w:r>
          </w:p>
        </w:tc>
        <w:tc>
          <w:tcPr>
            <w:tcW w:w="725" w:type="pct"/>
            <w:vAlign w:val="center"/>
          </w:tcPr>
          <w:p w14:paraId="0713092D">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响应情况</w:t>
            </w:r>
          </w:p>
          <w:p w14:paraId="7AF59B3B">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（15分）</w:t>
            </w:r>
          </w:p>
        </w:tc>
        <w:tc>
          <w:tcPr>
            <w:tcW w:w="3579" w:type="pct"/>
            <w:vAlign w:val="center"/>
          </w:tcPr>
          <w:p w14:paraId="55DDB90B">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对招标文件技术要求的响应程度：全部响应即满足招标文件技术指标、参数要求的得15分，</w:t>
            </w:r>
            <w:r>
              <w:rPr>
                <w:rFonts w:hint="default" w:ascii="Times New Roman" w:hAnsi="Times New Roman" w:eastAsia="宋体" w:cs="Times New Roman"/>
                <w:szCs w:val="21"/>
                <w:highlight w:val="none"/>
              </w:rPr>
              <w:t>每有1项负偏离扣1分，扣完为止。</w:t>
            </w:r>
          </w:p>
        </w:tc>
      </w:tr>
      <w:tr w14:paraId="7D51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5" w:type="pct"/>
            <w:vMerge w:val="continue"/>
            <w:vAlign w:val="center"/>
          </w:tcPr>
          <w:p w14:paraId="53B35BF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458A5236">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运维管理服务方案</w:t>
            </w:r>
          </w:p>
          <w:p w14:paraId="1419268A">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（6分）</w:t>
            </w:r>
          </w:p>
        </w:tc>
        <w:tc>
          <w:tcPr>
            <w:tcW w:w="3579" w:type="pct"/>
            <w:shd w:val="clear" w:color="auto" w:fill="auto"/>
            <w:vAlign w:val="center"/>
          </w:tcPr>
          <w:p w14:paraId="73C0EFE7">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根据投标文件中所提供的运维管理服务方案进行综合评审：</w:t>
            </w:r>
          </w:p>
          <w:p w14:paraId="77BD786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6DECDC4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1509370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29B110B4">
            <w:pPr>
              <w:pageBreakBefore w:val="0"/>
              <w:kinsoku/>
              <w:wordWrap/>
              <w:overflowPunct/>
              <w:topLinePunct w:val="0"/>
              <w:bidi w:val="0"/>
              <w:spacing w:line="360" w:lineRule="auto"/>
              <w:jc w:val="left"/>
              <w:rPr>
                <w:rFonts w:hint="default" w:ascii="Times New Roman" w:hAnsi="Times New Roman" w:eastAsia="宋体" w:cs="Times New Roman"/>
                <w:highlight w:val="none"/>
                <w:lang w:val="zh-CN"/>
              </w:rPr>
            </w:pPr>
            <w:r>
              <w:rPr>
                <w:rFonts w:hint="default" w:ascii="Times New Roman" w:hAnsi="Times New Roman" w:eastAsia="宋体" w:cs="Times New Roman"/>
                <w:szCs w:val="21"/>
                <w:highlight w:val="none"/>
              </w:rPr>
              <w:t>4、未提供相关内容的得0分。</w:t>
            </w:r>
          </w:p>
        </w:tc>
      </w:tr>
      <w:tr w14:paraId="7D81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5" w:type="pct"/>
            <w:vMerge w:val="continue"/>
            <w:vAlign w:val="center"/>
          </w:tcPr>
          <w:p w14:paraId="0E6A937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4B4F303E">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质量控制方案</w:t>
            </w:r>
          </w:p>
          <w:p w14:paraId="4B5E1CBE">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（6分）</w:t>
            </w:r>
          </w:p>
        </w:tc>
        <w:tc>
          <w:tcPr>
            <w:tcW w:w="3579" w:type="pct"/>
            <w:shd w:val="clear" w:color="auto" w:fill="auto"/>
            <w:vAlign w:val="center"/>
          </w:tcPr>
          <w:p w14:paraId="36592B54">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根据投标文件中所提供的质量控制方案进行综合评审：</w:t>
            </w:r>
          </w:p>
          <w:p w14:paraId="511DCFD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7AFF429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72324FA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340CAE68">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4、未提供相关内容的得0分。</w:t>
            </w:r>
          </w:p>
        </w:tc>
      </w:tr>
      <w:tr w14:paraId="5452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5" w:type="pct"/>
            <w:vMerge w:val="continue"/>
            <w:vAlign w:val="center"/>
          </w:tcPr>
          <w:p w14:paraId="5F3CFCE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37AF8906">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应急服务保障方案</w:t>
            </w:r>
          </w:p>
          <w:p w14:paraId="00C8FCCD">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（6分）</w:t>
            </w:r>
          </w:p>
        </w:tc>
        <w:tc>
          <w:tcPr>
            <w:tcW w:w="3579" w:type="pct"/>
            <w:shd w:val="clear" w:color="auto" w:fill="auto"/>
            <w:vAlign w:val="center"/>
          </w:tcPr>
          <w:p w14:paraId="2DABF9F3">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根据投标文件中所提供的应急服务保障方案进行综合评审：</w:t>
            </w:r>
          </w:p>
          <w:p w14:paraId="75E77CF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1、方案全面合理、切实可行，优于招标文件要求的得6分；</w:t>
            </w:r>
          </w:p>
          <w:p w14:paraId="58238A8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2、方案较为合理、基本可行、符合招标文件要求的得4分；</w:t>
            </w:r>
          </w:p>
          <w:p w14:paraId="77FDB1A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6C316482">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4、未提供相关内容的得0分。</w:t>
            </w:r>
          </w:p>
        </w:tc>
      </w:tr>
      <w:tr w14:paraId="73A9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5" w:type="pct"/>
            <w:vMerge w:val="continue"/>
            <w:vAlign w:val="center"/>
          </w:tcPr>
          <w:p w14:paraId="21BEF33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4890302A">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运维人员管理方案</w:t>
            </w:r>
          </w:p>
          <w:p w14:paraId="380D3F5D">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r>
              <w:rPr>
                <w:rFonts w:hint="eastAsia" w:cs="Times New Roman"/>
                <w:highlight w:val="none"/>
                <w:lang w:val="en-US" w:eastAsia="zh-CN"/>
              </w:rPr>
              <w:t>5</w:t>
            </w:r>
            <w:r>
              <w:rPr>
                <w:rFonts w:hint="default" w:ascii="Times New Roman" w:hAnsi="Times New Roman" w:eastAsia="宋体" w:cs="Times New Roman"/>
                <w:highlight w:val="none"/>
              </w:rPr>
              <w:t>分）</w:t>
            </w:r>
          </w:p>
        </w:tc>
        <w:tc>
          <w:tcPr>
            <w:tcW w:w="3579" w:type="pct"/>
            <w:shd w:val="clear" w:color="auto" w:fill="auto"/>
            <w:vAlign w:val="center"/>
          </w:tcPr>
          <w:p w14:paraId="763AA0F9">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根据投标文件中所提供的运维人员管理方案进行综合评审：</w:t>
            </w:r>
          </w:p>
          <w:p w14:paraId="3957038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w:t>
            </w:r>
            <w:r>
              <w:rPr>
                <w:rFonts w:hint="eastAsia" w:cs="Times New Roman"/>
                <w:szCs w:val="21"/>
                <w:highlight w:val="none"/>
                <w:lang w:val="en-US" w:eastAsia="zh-CN"/>
              </w:rPr>
              <w:t>5</w:t>
            </w:r>
            <w:r>
              <w:rPr>
                <w:rFonts w:hint="default" w:ascii="Times New Roman" w:hAnsi="Times New Roman" w:eastAsia="宋体" w:cs="Times New Roman"/>
                <w:szCs w:val="21"/>
                <w:highlight w:val="none"/>
              </w:rPr>
              <w:t>分；</w:t>
            </w:r>
          </w:p>
          <w:p w14:paraId="6368F51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w:t>
            </w:r>
            <w:r>
              <w:rPr>
                <w:rFonts w:hint="eastAsia" w:cs="Times New Roman"/>
                <w:szCs w:val="21"/>
                <w:highlight w:val="none"/>
                <w:lang w:val="en-US" w:eastAsia="zh-CN"/>
              </w:rPr>
              <w:t>3</w:t>
            </w:r>
            <w:r>
              <w:rPr>
                <w:rFonts w:hint="default" w:ascii="Times New Roman" w:hAnsi="Times New Roman" w:eastAsia="宋体" w:cs="Times New Roman"/>
                <w:szCs w:val="21"/>
                <w:highlight w:val="none"/>
              </w:rPr>
              <w:t>分；</w:t>
            </w:r>
          </w:p>
          <w:p w14:paraId="7ADFF5C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3、方案欠佳、不完全符合招标文件要求的得1分；</w:t>
            </w:r>
            <w:bookmarkStart w:id="159" w:name="_GoBack"/>
            <w:bookmarkEnd w:id="159"/>
          </w:p>
          <w:p w14:paraId="0D06F3D0">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4、未提供相关内容的得0分。</w:t>
            </w:r>
          </w:p>
        </w:tc>
      </w:tr>
      <w:tr w14:paraId="64C3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5" w:type="pct"/>
            <w:vMerge w:val="continue"/>
            <w:vAlign w:val="center"/>
          </w:tcPr>
          <w:p w14:paraId="381107E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vAlign w:val="center"/>
          </w:tcPr>
          <w:p w14:paraId="0C5385F7">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标准流量计</w:t>
            </w:r>
          </w:p>
          <w:p w14:paraId="770E36EE">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（4分）</w:t>
            </w:r>
          </w:p>
        </w:tc>
        <w:tc>
          <w:tcPr>
            <w:tcW w:w="3579" w:type="pct"/>
            <w:shd w:val="clear" w:color="auto" w:fill="auto"/>
            <w:vAlign w:val="center"/>
          </w:tcPr>
          <w:p w14:paraId="302021C0">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投标人配备仪器维护所使用的标准流量计得2分；具备计量部门出具的校准（检定）证书加2分；</w:t>
            </w:r>
            <w:r>
              <w:rPr>
                <w:rFonts w:hint="default" w:ascii="Times New Roman" w:hAnsi="Times New Roman" w:eastAsia="宋体" w:cs="Times New Roman"/>
                <w:szCs w:val="21"/>
                <w:highlight w:val="none"/>
              </w:rPr>
              <w:t>本项最高得</w:t>
            </w:r>
            <w:r>
              <w:rPr>
                <w:rFonts w:hint="default" w:ascii="Times New Roman" w:hAnsi="Times New Roman" w:eastAsia="宋体" w:cs="Times New Roman"/>
                <w:highlight w:val="none"/>
              </w:rPr>
              <w:t>4分。</w:t>
            </w:r>
          </w:p>
          <w:p w14:paraId="2C68FC01">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（提供上述设备的采购合同或购置发票，及相关证书）</w:t>
            </w:r>
          </w:p>
        </w:tc>
      </w:tr>
      <w:tr w14:paraId="08AE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5" w:type="pct"/>
            <w:vMerge w:val="continue"/>
            <w:tcBorders>
              <w:bottom w:val="single" w:color="auto" w:sz="4" w:space="0"/>
            </w:tcBorders>
            <w:vAlign w:val="center"/>
          </w:tcPr>
          <w:p w14:paraId="0796CBE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tcBorders>
              <w:bottom w:val="single" w:color="auto" w:sz="4" w:space="0"/>
            </w:tcBorders>
            <w:vAlign w:val="center"/>
          </w:tcPr>
          <w:p w14:paraId="2F5D8774">
            <w:pPr>
              <w:pStyle w:val="401"/>
              <w:pageBreakBefore w:val="0"/>
              <w:kinsoku/>
              <w:wordWrap/>
              <w:overflowPunct/>
              <w:topLinePunct w:val="0"/>
              <w:bidi w:val="0"/>
              <w:ind w:firstLine="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承诺书</w:t>
            </w:r>
          </w:p>
          <w:p w14:paraId="531657A8">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color w:val="000000"/>
                <w:highlight w:val="none"/>
              </w:rPr>
              <w:t>（2分）</w:t>
            </w:r>
          </w:p>
        </w:tc>
        <w:tc>
          <w:tcPr>
            <w:tcW w:w="3579" w:type="pct"/>
            <w:shd w:val="clear" w:color="auto" w:fill="auto"/>
            <w:vAlign w:val="center"/>
          </w:tcPr>
          <w:p w14:paraId="030E055D">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投标人承诺仪器发生故障时2小时电话响应，4小时现场响应得2分。</w:t>
            </w:r>
          </w:p>
          <w:p w14:paraId="1E4705CD">
            <w:pPr>
              <w:pageBreakBefore w:val="0"/>
              <w:kinsoku/>
              <w:wordWrap/>
              <w:overflowPunct/>
              <w:topLinePunct w:val="0"/>
              <w:bidi w:val="0"/>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（提供承诺书并加盖公章）</w:t>
            </w:r>
          </w:p>
        </w:tc>
      </w:tr>
      <w:tr w14:paraId="28B7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5" w:type="pct"/>
            <w:vMerge w:val="restart"/>
            <w:tcBorders>
              <w:top w:val="single" w:color="auto" w:sz="4" w:space="0"/>
              <w:left w:val="single" w:color="auto" w:sz="4" w:space="0"/>
              <w:bottom w:val="single" w:color="auto" w:sz="4" w:space="0"/>
              <w:right w:val="single" w:color="auto" w:sz="4" w:space="0"/>
            </w:tcBorders>
            <w:vAlign w:val="center"/>
          </w:tcPr>
          <w:p w14:paraId="5094BE0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企业业绩及服务质量证明</w:t>
            </w:r>
          </w:p>
          <w:p w14:paraId="40B7342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（22分）</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574BD2EB">
            <w:pPr>
              <w:pageBreakBefore w:val="0"/>
              <w:kinsoku/>
              <w:wordWrap/>
              <w:overflowPunct/>
              <w:topLinePunct w:val="0"/>
              <w:bidi w:val="0"/>
              <w:spacing w:line="360" w:lineRule="auto"/>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企业业绩</w:t>
            </w:r>
          </w:p>
          <w:p w14:paraId="5DCABE01">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（14分）</w:t>
            </w:r>
          </w:p>
        </w:tc>
        <w:tc>
          <w:tcPr>
            <w:tcW w:w="3579" w:type="pct"/>
            <w:tcBorders>
              <w:left w:val="single" w:color="auto" w:sz="4" w:space="0"/>
            </w:tcBorders>
            <w:shd w:val="clear" w:color="auto" w:fill="auto"/>
            <w:vAlign w:val="center"/>
          </w:tcPr>
          <w:p w14:paraId="2E2CD6EE">
            <w:pPr>
              <w:pageBreakBefore w:val="0"/>
              <w:kinsoku/>
              <w:wordWrap/>
              <w:overflowPunct/>
              <w:topLinePunct w:val="0"/>
              <w:bidi w:val="0"/>
              <w:spacing w:line="360" w:lineRule="auto"/>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自2022年1月1日以来，投标人</w:t>
            </w:r>
            <w:r>
              <w:rPr>
                <w:rFonts w:hint="default" w:ascii="Times New Roman" w:hAnsi="Times New Roman" w:eastAsia="宋体" w:cs="Times New Roman"/>
                <w:szCs w:val="21"/>
                <w:highlight w:val="none"/>
              </w:rPr>
              <w:t>承担过所投采购包中的任意1种仪器运维服务项目</w:t>
            </w:r>
            <w:r>
              <w:rPr>
                <w:rFonts w:hint="default" w:ascii="Times New Roman" w:hAnsi="Times New Roman" w:eastAsia="宋体" w:cs="Times New Roman"/>
                <w:sz w:val="20"/>
                <w:szCs w:val="20"/>
                <w:highlight w:val="none"/>
              </w:rPr>
              <w:t>，每提供1个得2分，本项</w:t>
            </w:r>
            <w:r>
              <w:rPr>
                <w:rFonts w:hint="default" w:ascii="Times New Roman" w:hAnsi="Times New Roman" w:eastAsia="宋体" w:cs="Times New Roman"/>
                <w:szCs w:val="21"/>
                <w:highlight w:val="none"/>
              </w:rPr>
              <w:t>最高得</w:t>
            </w:r>
            <w:r>
              <w:rPr>
                <w:rFonts w:hint="default" w:ascii="Times New Roman" w:hAnsi="Times New Roman" w:eastAsia="宋体" w:cs="Times New Roman"/>
                <w:sz w:val="20"/>
                <w:szCs w:val="20"/>
                <w:highlight w:val="none"/>
              </w:rPr>
              <w:t>14分。</w:t>
            </w:r>
          </w:p>
          <w:p w14:paraId="5992406A">
            <w:pPr>
              <w:pStyle w:val="401"/>
              <w:pageBreakBefore w:val="0"/>
              <w:kinsoku/>
              <w:wordWrap/>
              <w:overflowPunct/>
              <w:topLinePunct w:val="0"/>
              <w:bidi w:val="0"/>
              <w:spacing w:line="360" w:lineRule="auto"/>
              <w:ind w:firstLine="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（提供合同，业绩时间以合同签订时间为准）</w:t>
            </w:r>
          </w:p>
        </w:tc>
      </w:tr>
      <w:tr w14:paraId="2381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5" w:type="pct"/>
            <w:vMerge w:val="continue"/>
            <w:tcBorders>
              <w:top w:val="single" w:color="auto" w:sz="4" w:space="0"/>
              <w:left w:val="single" w:color="auto" w:sz="4" w:space="0"/>
              <w:bottom w:val="single" w:color="auto" w:sz="4" w:space="0"/>
              <w:right w:val="single" w:color="auto" w:sz="4" w:space="0"/>
            </w:tcBorders>
            <w:vAlign w:val="center"/>
          </w:tcPr>
          <w:p w14:paraId="6D22349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43C76FE5">
            <w:pPr>
              <w:pageBreakBefore w:val="0"/>
              <w:kinsoku/>
              <w:wordWrap/>
              <w:overflowPunct/>
              <w:topLinePunct w:val="0"/>
              <w:bidi w:val="0"/>
              <w:jc w:val="center"/>
              <w:rPr>
                <w:rFonts w:hint="default" w:ascii="Times New Roman" w:hAnsi="Times New Roman" w:eastAsia="宋体" w:cs="Times New Roman"/>
                <w:highlight w:val="none"/>
              </w:rPr>
            </w:pPr>
          </w:p>
          <w:p w14:paraId="2CE9FD3B">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服务质量</w:t>
            </w:r>
          </w:p>
          <w:p w14:paraId="05E44DA4">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证明</w:t>
            </w:r>
          </w:p>
          <w:p w14:paraId="6094B67E">
            <w:pPr>
              <w:pStyle w:val="401"/>
              <w:pageBreakBefore w:val="0"/>
              <w:kinsoku/>
              <w:wordWrap/>
              <w:overflowPunct/>
              <w:topLinePunct w:val="0"/>
              <w:bidi w:val="0"/>
              <w:ind w:firstLine="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（8分）</w:t>
            </w:r>
          </w:p>
        </w:tc>
        <w:tc>
          <w:tcPr>
            <w:tcW w:w="3579" w:type="pct"/>
            <w:tcBorders>
              <w:left w:val="single" w:color="auto" w:sz="4" w:space="0"/>
            </w:tcBorders>
            <w:shd w:val="clear" w:color="auto" w:fill="auto"/>
            <w:vAlign w:val="center"/>
          </w:tcPr>
          <w:p w14:paraId="7E119C5E">
            <w:pPr>
              <w:pageBreakBefore w:val="0"/>
              <w:kinsoku/>
              <w:wordWrap/>
              <w:overflowPunct/>
              <w:topLinePunct w:val="0"/>
              <w:bidi w:val="0"/>
              <w:spacing w:line="360" w:lineRule="auto"/>
              <w:rPr>
                <w:rFonts w:hint="default" w:ascii="Times New Roman" w:hAnsi="Times New Roman" w:eastAsia="宋体" w:cs="Times New Roman"/>
                <w:sz w:val="20"/>
                <w:szCs w:val="20"/>
                <w:highlight w:val="none"/>
              </w:rPr>
            </w:pPr>
            <w:r>
              <w:rPr>
                <w:rFonts w:hint="default" w:ascii="Times New Roman" w:hAnsi="Times New Roman" w:eastAsia="宋体" w:cs="Times New Roman"/>
                <w:szCs w:val="21"/>
                <w:highlight w:val="none"/>
              </w:rPr>
              <w:t>根据用户对投标人以往环境监测服务的质量情况进行评审</w:t>
            </w:r>
            <w:r>
              <w:rPr>
                <w:rFonts w:hint="default" w:ascii="Times New Roman" w:hAnsi="Times New Roman" w:eastAsia="宋体" w:cs="Times New Roman"/>
                <w:sz w:val="20"/>
                <w:szCs w:val="20"/>
                <w:highlight w:val="none"/>
              </w:rPr>
              <w:t>，</w:t>
            </w:r>
            <w:r>
              <w:rPr>
                <w:rFonts w:hint="default" w:ascii="Times New Roman" w:hAnsi="Times New Roman" w:eastAsia="宋体" w:cs="Times New Roman"/>
                <w:szCs w:val="21"/>
                <w:highlight w:val="none"/>
              </w:rPr>
              <w:t>提供1份质量证明文件或用户满意度证明得2分，本项最高得</w:t>
            </w:r>
            <w:r>
              <w:rPr>
                <w:rFonts w:hint="default" w:ascii="Times New Roman" w:hAnsi="Times New Roman" w:eastAsia="宋体" w:cs="Times New Roman"/>
                <w:sz w:val="20"/>
                <w:szCs w:val="20"/>
                <w:highlight w:val="none"/>
              </w:rPr>
              <w:t>8分。</w:t>
            </w:r>
          </w:p>
          <w:p w14:paraId="745F3E45">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（提供相关证明材料）</w:t>
            </w:r>
          </w:p>
        </w:tc>
      </w:tr>
    </w:tbl>
    <w:p w14:paraId="66338917">
      <w:pPr>
        <w:pStyle w:val="2"/>
        <w:pageBreakBefore w:val="0"/>
        <w:kinsoku/>
        <w:wordWrap/>
        <w:overflowPunct/>
        <w:topLinePunct w:val="0"/>
        <w:bidi w:val="0"/>
        <w:ind w:left="0"/>
        <w:rPr>
          <w:rFonts w:hint="default" w:ascii="Times New Roman" w:hAnsi="Times New Roman" w:eastAsia="宋体" w:cs="Times New Roman"/>
          <w:highlight w:val="none"/>
        </w:rPr>
      </w:pPr>
    </w:p>
    <w:p w14:paraId="109F36A2">
      <w:pPr>
        <w:pageBreakBefore w:val="0"/>
        <w:kinsoku/>
        <w:wordWrap/>
        <w:overflowPunct/>
        <w:topLinePunct w:val="0"/>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包12：大气走航监测车及相关设备运维服务</w:t>
      </w:r>
    </w:p>
    <w:p w14:paraId="3D1CD9FF">
      <w:pPr>
        <w:pageBreakBefore w:val="0"/>
        <w:kinsoku/>
        <w:wordWrap/>
        <w:overflowPunct/>
        <w:topLinePunct w:val="0"/>
        <w:bidi w:val="0"/>
        <w:rPr>
          <w:rFonts w:hint="default" w:ascii="Times New Roman" w:hAnsi="Times New Roman" w:eastAsia="宋体" w:cs="Times New Roman"/>
          <w:highlight w:val="none"/>
        </w:rP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288"/>
        <w:gridCol w:w="6080"/>
      </w:tblGrid>
      <w:tr w14:paraId="1048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74" w:type="pct"/>
            <w:vAlign w:val="center"/>
          </w:tcPr>
          <w:p w14:paraId="1079F31A">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25" w:type="pct"/>
            <w:gridSpan w:val="2"/>
            <w:vAlign w:val="center"/>
          </w:tcPr>
          <w:p w14:paraId="2767B330">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1B7A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pct"/>
            <w:vAlign w:val="center"/>
          </w:tcPr>
          <w:p w14:paraId="0456AB8C">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72C6770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25" w:type="pct"/>
            <w:gridSpan w:val="2"/>
            <w:vAlign w:val="center"/>
          </w:tcPr>
          <w:p w14:paraId="63D4AEEE">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1420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674" w:type="pct"/>
            <w:vMerge w:val="restart"/>
            <w:vAlign w:val="center"/>
          </w:tcPr>
          <w:p w14:paraId="47FCA00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407B8E3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（20分）</w:t>
            </w:r>
          </w:p>
        </w:tc>
        <w:tc>
          <w:tcPr>
            <w:tcW w:w="756" w:type="pct"/>
            <w:vAlign w:val="center"/>
          </w:tcPr>
          <w:p w14:paraId="2C9E2FB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运维技术方案</w:t>
            </w:r>
          </w:p>
          <w:p w14:paraId="044D804E">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（8分）</w:t>
            </w:r>
          </w:p>
        </w:tc>
        <w:tc>
          <w:tcPr>
            <w:tcW w:w="3569" w:type="pct"/>
            <w:vAlign w:val="center"/>
          </w:tcPr>
          <w:p w14:paraId="372AE26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投标人需提供</w:t>
            </w:r>
            <w:r>
              <w:rPr>
                <w:rFonts w:hint="default" w:ascii="Times New Roman" w:hAnsi="Times New Roman" w:eastAsia="宋体" w:cs="Times New Roman"/>
                <w:szCs w:val="21"/>
                <w:highlight w:val="none"/>
              </w:rPr>
              <w:t>车载VOC走航分析仪</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车载拉曼雷达</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车载便携式臭氧雷达</w:t>
            </w:r>
            <w:r>
              <w:rPr>
                <w:rFonts w:hint="default" w:ascii="Times New Roman" w:hAnsi="Times New Roman" w:eastAsia="宋体" w:cs="Times New Roman"/>
                <w:szCs w:val="21"/>
                <w:highlight w:val="none"/>
                <w:lang w:val="zh-CN"/>
              </w:rPr>
              <w:t>等主要设备仪器的运维技术方案</w:t>
            </w:r>
            <w:r>
              <w:rPr>
                <w:rFonts w:hint="default" w:ascii="Times New Roman" w:hAnsi="Times New Roman" w:eastAsia="宋体" w:cs="Times New Roman"/>
                <w:szCs w:val="21"/>
                <w:highlight w:val="none"/>
                <w:lang w:val="en-US" w:eastAsia="zh-CN"/>
              </w:rPr>
              <w:t>进行综合评审，</w:t>
            </w:r>
            <w:r>
              <w:rPr>
                <w:rFonts w:hint="default" w:ascii="Times New Roman" w:hAnsi="Times New Roman" w:eastAsia="宋体" w:cs="Times New Roman"/>
                <w:szCs w:val="21"/>
                <w:highlight w:val="none"/>
                <w:lang w:val="zh-CN"/>
              </w:rPr>
              <w:t>主要内容包括仪器运维技术要点、仪器运维计划、仪器异常处理措施、仪器备品备件保障、标准气体管理、车辆运维措施等。</w:t>
            </w:r>
          </w:p>
          <w:p w14:paraId="3ED60E2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w:t>
            </w:r>
            <w:r>
              <w:rPr>
                <w:rFonts w:hint="default" w:ascii="Times New Roman" w:hAnsi="Times New Roman" w:eastAsia="宋体" w:cs="Times New Roman"/>
                <w:szCs w:val="21"/>
                <w:highlight w:val="none"/>
                <w:lang w:val="en-US" w:eastAsia="zh-CN"/>
              </w:rPr>
              <w:t>8</w:t>
            </w:r>
            <w:r>
              <w:rPr>
                <w:rFonts w:hint="default" w:ascii="Times New Roman" w:hAnsi="Times New Roman" w:eastAsia="宋体" w:cs="Times New Roman"/>
                <w:szCs w:val="21"/>
                <w:highlight w:val="none"/>
              </w:rPr>
              <w:t>分；</w:t>
            </w:r>
          </w:p>
          <w:p w14:paraId="14A92F0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w:t>
            </w:r>
            <w:r>
              <w:rPr>
                <w:rFonts w:hint="default"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rPr>
              <w:t>分；</w:t>
            </w:r>
          </w:p>
          <w:p w14:paraId="4F8DDE3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w:t>
            </w:r>
            <w:r>
              <w:rPr>
                <w:rFonts w:hint="default"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分；</w:t>
            </w:r>
          </w:p>
          <w:p w14:paraId="062A073B">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4、未提供相关内容的得0分。</w:t>
            </w:r>
          </w:p>
        </w:tc>
      </w:tr>
      <w:tr w14:paraId="64C8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674" w:type="pct"/>
            <w:vMerge w:val="continue"/>
            <w:vAlign w:val="center"/>
          </w:tcPr>
          <w:p w14:paraId="33F1B33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097F6499">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机构人员（8分）</w:t>
            </w:r>
          </w:p>
        </w:tc>
        <w:tc>
          <w:tcPr>
            <w:tcW w:w="3569" w:type="pct"/>
            <w:vAlign w:val="center"/>
          </w:tcPr>
          <w:p w14:paraId="7B249347">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1、</w:t>
            </w:r>
            <w:r>
              <w:rPr>
                <w:rFonts w:hint="default" w:ascii="Times New Roman" w:hAnsi="Times New Roman" w:eastAsia="宋体" w:cs="Times New Roman"/>
                <w:szCs w:val="21"/>
                <w:highlight w:val="none"/>
                <w:lang w:val="zh-CN" w:bidi="zh-CN"/>
              </w:rPr>
              <w:t>投标人拟投入本项目的</w:t>
            </w:r>
            <w:r>
              <w:rPr>
                <w:rFonts w:hint="default" w:ascii="Times New Roman" w:hAnsi="Times New Roman" w:eastAsia="宋体" w:cs="Times New Roman"/>
                <w:szCs w:val="21"/>
                <w:highlight w:val="none"/>
                <w:lang w:bidi="zh-CN"/>
              </w:rPr>
              <w:t>项目负责人</w:t>
            </w:r>
            <w:r>
              <w:rPr>
                <w:rFonts w:hint="default" w:ascii="Times New Roman" w:hAnsi="Times New Roman" w:eastAsia="宋体" w:cs="Times New Roman"/>
                <w:szCs w:val="21"/>
                <w:highlight w:val="none"/>
                <w:lang w:val="zh-CN" w:bidi="zh-CN"/>
              </w:rPr>
              <w:t>具有环境类高级</w:t>
            </w:r>
            <w:r>
              <w:rPr>
                <w:rFonts w:hint="default" w:ascii="Times New Roman" w:hAnsi="Times New Roman" w:eastAsia="宋体" w:cs="Times New Roman"/>
                <w:szCs w:val="21"/>
                <w:highlight w:val="none"/>
                <w:lang w:bidi="zh-CN"/>
              </w:rPr>
              <w:t>及以上</w:t>
            </w:r>
            <w:r>
              <w:rPr>
                <w:rFonts w:hint="default" w:ascii="Times New Roman" w:hAnsi="Times New Roman" w:eastAsia="宋体" w:cs="Times New Roman"/>
                <w:szCs w:val="21"/>
                <w:highlight w:val="none"/>
                <w:lang w:val="zh-CN" w:bidi="zh-CN"/>
              </w:rPr>
              <w:t>职称的得2分；同时项目</w:t>
            </w:r>
            <w:r>
              <w:rPr>
                <w:rFonts w:hint="default" w:ascii="Times New Roman" w:hAnsi="Times New Roman" w:eastAsia="宋体" w:cs="Times New Roman"/>
                <w:szCs w:val="21"/>
                <w:highlight w:val="none"/>
                <w:lang w:bidi="zh-CN"/>
              </w:rPr>
              <w:t>负责人</w:t>
            </w:r>
            <w:r>
              <w:rPr>
                <w:rFonts w:hint="default" w:ascii="Times New Roman" w:hAnsi="Times New Roman" w:eastAsia="宋体" w:cs="Times New Roman"/>
                <w:szCs w:val="21"/>
                <w:highlight w:val="none"/>
                <w:lang w:val="zh-CN" w:bidi="zh-CN"/>
              </w:rPr>
              <w:t>获得过省部级环保部门颁发的环境监测类人才评定的加</w:t>
            </w:r>
            <w:r>
              <w:rPr>
                <w:rFonts w:hint="default" w:ascii="Times New Roman" w:hAnsi="Times New Roman" w:eastAsia="宋体" w:cs="Times New Roman"/>
                <w:szCs w:val="21"/>
                <w:highlight w:val="none"/>
                <w:lang w:bidi="zh-CN"/>
              </w:rPr>
              <w:t>2</w:t>
            </w:r>
            <w:r>
              <w:rPr>
                <w:rFonts w:hint="default" w:ascii="Times New Roman" w:hAnsi="Times New Roman" w:eastAsia="宋体" w:cs="Times New Roman"/>
                <w:szCs w:val="21"/>
                <w:highlight w:val="none"/>
                <w:lang w:val="zh-CN" w:bidi="zh-CN"/>
              </w:rPr>
              <w:t>分；本小项</w:t>
            </w:r>
            <w:r>
              <w:rPr>
                <w:rFonts w:hint="default" w:ascii="Times New Roman" w:hAnsi="Times New Roman" w:eastAsia="宋体" w:cs="Times New Roman"/>
                <w:szCs w:val="21"/>
                <w:highlight w:val="none"/>
                <w:lang w:bidi="zh-CN"/>
              </w:rPr>
              <w:t>最高得4</w:t>
            </w:r>
            <w:r>
              <w:rPr>
                <w:rFonts w:hint="default" w:ascii="Times New Roman" w:hAnsi="Times New Roman" w:eastAsia="宋体" w:cs="Times New Roman"/>
                <w:szCs w:val="21"/>
                <w:highlight w:val="none"/>
                <w:lang w:val="zh-CN" w:bidi="zh-CN"/>
              </w:rPr>
              <w:t>分；</w:t>
            </w:r>
          </w:p>
          <w:p w14:paraId="5FF49956">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2、投标人</w:t>
            </w:r>
            <w:r>
              <w:rPr>
                <w:rFonts w:hint="default" w:ascii="Times New Roman" w:hAnsi="Times New Roman" w:eastAsia="宋体" w:cs="Times New Roman"/>
                <w:szCs w:val="21"/>
                <w:highlight w:val="none"/>
              </w:rPr>
              <w:t>为本项目配置的人员</w:t>
            </w:r>
            <w:r>
              <w:rPr>
                <w:rFonts w:hint="default" w:ascii="Times New Roman" w:hAnsi="Times New Roman" w:eastAsia="宋体" w:cs="Times New Roman"/>
                <w:szCs w:val="21"/>
                <w:highlight w:val="none"/>
                <w:lang w:val="zh-CN" w:bidi="zh-CN"/>
              </w:rPr>
              <w:t>具有大气颗粒物组分自动监测技术培训班合格证</w:t>
            </w:r>
            <w:r>
              <w:rPr>
                <w:rFonts w:hint="default" w:ascii="Times New Roman" w:hAnsi="Times New Roman" w:eastAsia="宋体" w:cs="Times New Roman"/>
                <w:szCs w:val="21"/>
                <w:highlight w:val="none"/>
                <w:lang w:bidi="zh-CN"/>
              </w:rPr>
              <w:t>得2</w:t>
            </w:r>
            <w:r>
              <w:rPr>
                <w:rFonts w:hint="default" w:ascii="Times New Roman" w:hAnsi="Times New Roman" w:eastAsia="宋体" w:cs="Times New Roman"/>
                <w:szCs w:val="21"/>
                <w:highlight w:val="none"/>
                <w:lang w:val="zh-CN" w:bidi="zh-CN"/>
              </w:rPr>
              <w:t>分；</w:t>
            </w:r>
          </w:p>
          <w:p w14:paraId="5B50C430">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val="zh-CN" w:bidi="zh-CN"/>
              </w:rPr>
              <w:t>3</w:t>
            </w:r>
            <w:r>
              <w:rPr>
                <w:rFonts w:hint="eastAsia" w:cs="Times New Roman"/>
                <w:szCs w:val="21"/>
                <w:highlight w:val="none"/>
                <w:lang w:val="zh-CN" w:bidi="zh-CN"/>
              </w:rPr>
              <w:t>、</w:t>
            </w:r>
            <w:r>
              <w:rPr>
                <w:rFonts w:hint="default" w:ascii="Times New Roman" w:hAnsi="Times New Roman" w:eastAsia="宋体" w:cs="Times New Roman"/>
                <w:szCs w:val="21"/>
                <w:highlight w:val="none"/>
                <w:lang w:val="zh-CN" w:bidi="zh-CN"/>
              </w:rPr>
              <w:t>投标人为本项目配置</w:t>
            </w:r>
            <w:r>
              <w:rPr>
                <w:rFonts w:hint="default" w:ascii="Times New Roman" w:hAnsi="Times New Roman" w:eastAsia="宋体" w:cs="Times New Roman"/>
                <w:szCs w:val="21"/>
                <w:highlight w:val="none"/>
                <w:lang w:bidi="zh-CN"/>
              </w:rPr>
              <w:t>的人员</w:t>
            </w:r>
            <w:r>
              <w:rPr>
                <w:rFonts w:hint="default" w:ascii="Times New Roman" w:hAnsi="Times New Roman" w:eastAsia="宋体" w:cs="Times New Roman"/>
                <w:szCs w:val="21"/>
                <w:highlight w:val="none"/>
                <w:lang w:val="zh-CN" w:bidi="zh-CN"/>
              </w:rPr>
              <w:t>具</w:t>
            </w:r>
            <w:r>
              <w:rPr>
                <w:rFonts w:hint="default" w:ascii="Times New Roman" w:hAnsi="Times New Roman" w:eastAsia="宋体" w:cs="Times New Roman"/>
                <w:szCs w:val="21"/>
                <w:highlight w:val="none"/>
                <w:lang w:bidi="zh-CN"/>
              </w:rPr>
              <w:t>有</w:t>
            </w:r>
            <w:r>
              <w:rPr>
                <w:rFonts w:hint="default" w:ascii="Times New Roman" w:hAnsi="Times New Roman" w:eastAsia="宋体" w:cs="Times New Roman"/>
                <w:szCs w:val="21"/>
                <w:highlight w:val="none"/>
                <w:lang w:val="zh-CN" w:bidi="zh-CN"/>
              </w:rPr>
              <w:t>VOCs或大气中挥发性有机物监测技术培训班合格证</w:t>
            </w:r>
            <w:r>
              <w:rPr>
                <w:rFonts w:hint="default" w:ascii="Times New Roman" w:hAnsi="Times New Roman" w:eastAsia="宋体" w:cs="Times New Roman"/>
                <w:szCs w:val="21"/>
                <w:highlight w:val="none"/>
                <w:lang w:bidi="zh-CN"/>
              </w:rPr>
              <w:t>得2</w:t>
            </w:r>
            <w:r>
              <w:rPr>
                <w:rFonts w:hint="default" w:ascii="Times New Roman" w:hAnsi="Times New Roman" w:eastAsia="宋体" w:cs="Times New Roman"/>
                <w:szCs w:val="21"/>
                <w:highlight w:val="none"/>
                <w:lang w:val="zh-CN" w:bidi="zh-CN"/>
              </w:rPr>
              <w:t>分。</w:t>
            </w:r>
          </w:p>
          <w:p w14:paraId="69310FAF">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rPr>
              <w:t>提供人员名单</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相关证明材料</w:t>
            </w:r>
            <w:r>
              <w:rPr>
                <w:rFonts w:hint="default" w:ascii="Times New Roman" w:hAnsi="Times New Roman" w:eastAsia="宋体" w:cs="Times New Roman"/>
                <w:szCs w:val="21"/>
                <w:highlight w:val="none"/>
                <w:lang w:val="en-US" w:eastAsia="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szCs w:val="21"/>
                <w:highlight w:val="none"/>
                <w:lang w:val="zh-CN" w:bidi="zh-CN"/>
              </w:rPr>
              <w:t>）</w:t>
            </w:r>
          </w:p>
        </w:tc>
      </w:tr>
      <w:tr w14:paraId="13E1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674" w:type="pct"/>
            <w:vMerge w:val="continue"/>
            <w:vAlign w:val="center"/>
          </w:tcPr>
          <w:p w14:paraId="2B0954E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0788FF80">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车辆配置（4分）</w:t>
            </w:r>
          </w:p>
        </w:tc>
        <w:tc>
          <w:tcPr>
            <w:tcW w:w="3569" w:type="pct"/>
            <w:vAlign w:val="center"/>
          </w:tcPr>
          <w:p w14:paraId="41ED57DB">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投标人为本项目配置的运维车辆满足招标文件要求的得4分。</w:t>
            </w:r>
          </w:p>
          <w:p w14:paraId="169DFEB8">
            <w:pPr>
              <w:pStyle w:val="2"/>
              <w:pageBreakBefore w:val="0"/>
              <w:kinsoku/>
              <w:wordWrap/>
              <w:overflowPunct/>
              <w:topLinePunct w:val="0"/>
              <w:bidi w:val="0"/>
              <w:spacing w:line="360" w:lineRule="auto"/>
              <w:ind w:left="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（如自有车辆，须提供车辆牌照、行驶证；如租赁车辆，须提供车辆牌照、行驶证以及租赁合同，且合同周期需至少覆盖2026年全年）</w:t>
            </w:r>
          </w:p>
        </w:tc>
      </w:tr>
      <w:tr w14:paraId="7FFF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674" w:type="pct"/>
            <w:vMerge w:val="restart"/>
            <w:vAlign w:val="center"/>
          </w:tcPr>
          <w:p w14:paraId="05AD178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服务方案及技术要求响应情况</w:t>
            </w:r>
          </w:p>
          <w:p w14:paraId="798DDB3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（45分）</w:t>
            </w:r>
          </w:p>
        </w:tc>
        <w:tc>
          <w:tcPr>
            <w:tcW w:w="756" w:type="pct"/>
            <w:vAlign w:val="center"/>
          </w:tcPr>
          <w:p w14:paraId="188873EB">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项目实施管理方案</w:t>
            </w:r>
          </w:p>
          <w:p w14:paraId="1970D83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69" w:type="pct"/>
            <w:vAlign w:val="center"/>
          </w:tcPr>
          <w:p w14:paraId="70CB1718">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根据投标文件中所提供的项目实施管理方案进行综合评审：</w:t>
            </w:r>
          </w:p>
          <w:p w14:paraId="4EFE0F7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26AFF21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32E0F47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699ACB93">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14BC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674" w:type="pct"/>
            <w:vMerge w:val="continue"/>
            <w:vAlign w:val="center"/>
          </w:tcPr>
          <w:p w14:paraId="46444E2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13D5B362">
            <w:pPr>
              <w:pStyle w:val="401"/>
              <w:pageBreakBefore w:val="0"/>
              <w:kinsoku/>
              <w:wordWrap/>
              <w:overflowPunct/>
              <w:topLinePunct w:val="0"/>
              <w:bidi w:val="0"/>
              <w:spacing w:line="360" w:lineRule="auto"/>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质量保障措施</w:t>
            </w:r>
          </w:p>
          <w:p w14:paraId="70436855">
            <w:pPr>
              <w:pStyle w:val="401"/>
              <w:pageBreakBefore w:val="0"/>
              <w:kinsoku/>
              <w:wordWrap/>
              <w:overflowPunct/>
              <w:topLinePunct w:val="0"/>
              <w:bidi w:val="0"/>
              <w:spacing w:line="360" w:lineRule="auto"/>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69" w:type="pct"/>
            <w:vAlign w:val="center"/>
          </w:tcPr>
          <w:p w14:paraId="6B87937F">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主要内容为运维人员质量控制内容和措施、异常数据的审核与校验、运维质量考核办法等。根据投标文件中所提供的和质量保障措施方案进行综合评审：</w:t>
            </w:r>
          </w:p>
          <w:p w14:paraId="3BE73D6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2A9FA4E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20C376A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7F1B691B">
            <w:pPr>
              <w:pStyle w:val="391"/>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4、未提供相关内容的得0分。</w:t>
            </w:r>
          </w:p>
        </w:tc>
      </w:tr>
      <w:tr w14:paraId="0A2F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4" w:type="pct"/>
            <w:vMerge w:val="continue"/>
            <w:vAlign w:val="center"/>
          </w:tcPr>
          <w:p w14:paraId="16A2EDA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48DB0BB1">
            <w:pPr>
              <w:pStyle w:val="401"/>
              <w:pageBreakBefore w:val="0"/>
              <w:kinsoku/>
              <w:wordWrap/>
              <w:overflowPunct/>
              <w:topLinePunct w:val="0"/>
              <w:bidi w:val="0"/>
              <w:spacing w:line="360" w:lineRule="auto"/>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服务承诺及具体的保密措施</w:t>
            </w:r>
          </w:p>
          <w:p w14:paraId="7CBB877A">
            <w:pPr>
              <w:pStyle w:val="401"/>
              <w:pageBreakBefore w:val="0"/>
              <w:kinsoku/>
              <w:wordWrap/>
              <w:overflowPunct/>
              <w:topLinePunct w:val="0"/>
              <w:bidi w:val="0"/>
              <w:spacing w:line="360" w:lineRule="auto"/>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（10分）</w:t>
            </w:r>
          </w:p>
        </w:tc>
        <w:tc>
          <w:tcPr>
            <w:tcW w:w="3569" w:type="pct"/>
            <w:vAlign w:val="center"/>
          </w:tcPr>
          <w:p w14:paraId="65C7B740">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根据投标文件中所提供的服务承诺及具体的保密措施进行综合评审：</w:t>
            </w:r>
          </w:p>
          <w:p w14:paraId="2D2F237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13CB734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598690C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15F7D472">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5CDB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4" w:type="pct"/>
            <w:vMerge w:val="continue"/>
            <w:vAlign w:val="center"/>
          </w:tcPr>
          <w:p w14:paraId="5C43C2B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373C08FE">
            <w:pPr>
              <w:pStyle w:val="401"/>
              <w:pageBreakBefore w:val="0"/>
              <w:kinsoku/>
              <w:wordWrap/>
              <w:overflowPunct/>
              <w:topLinePunct w:val="0"/>
              <w:bidi w:val="0"/>
              <w:spacing w:line="360" w:lineRule="auto"/>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响应情况（15分）</w:t>
            </w:r>
          </w:p>
        </w:tc>
        <w:tc>
          <w:tcPr>
            <w:tcW w:w="3569" w:type="pct"/>
            <w:vAlign w:val="center"/>
          </w:tcPr>
          <w:p w14:paraId="12ED9D0A">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lang w:bidi="zh-CN"/>
              </w:rPr>
              <w:t>对招标文件技术要求的响应程度：全部响应即满足招标文件技术指标、参数要求的得15分</w:t>
            </w:r>
            <w:r>
              <w:rPr>
                <w:rFonts w:hint="default" w:ascii="Times New Roman" w:hAnsi="Times New Roman" w:eastAsia="宋体" w:cs="Times New Roman"/>
                <w:szCs w:val="21"/>
                <w:highlight w:val="none"/>
              </w:rPr>
              <w:t>，每有1项负偏离扣1分，扣完为止。</w:t>
            </w:r>
          </w:p>
        </w:tc>
      </w:tr>
      <w:tr w14:paraId="461E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4" w:type="pct"/>
            <w:vMerge w:val="restart"/>
            <w:vAlign w:val="center"/>
          </w:tcPr>
          <w:p w14:paraId="72EE5499">
            <w:pPr>
              <w:pageBreakBefore w:val="0"/>
              <w:kinsoku/>
              <w:wordWrap/>
              <w:overflowPunct/>
              <w:topLinePunct w:val="0"/>
              <w:bidi w:val="0"/>
              <w:spacing w:line="360" w:lineRule="auto"/>
              <w:jc w:val="center"/>
              <w:rPr>
                <w:rFonts w:hint="eastAsia"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企业业绩及</w:t>
            </w:r>
            <w:r>
              <w:rPr>
                <w:rFonts w:hint="eastAsia" w:cs="Times New Roman"/>
                <w:szCs w:val="21"/>
                <w:highlight w:val="none"/>
                <w:lang w:val="en-US" w:eastAsia="zh-CN"/>
              </w:rPr>
              <w:t>监测车</w:t>
            </w:r>
          </w:p>
          <w:p w14:paraId="1CDB4B2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（20分）</w:t>
            </w:r>
          </w:p>
        </w:tc>
        <w:tc>
          <w:tcPr>
            <w:tcW w:w="756" w:type="pct"/>
            <w:vAlign w:val="center"/>
          </w:tcPr>
          <w:p w14:paraId="357B62C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w:t>
            </w:r>
          </w:p>
          <w:p w14:paraId="7E79369B">
            <w:pPr>
              <w:pStyle w:val="401"/>
              <w:pageBreakBefore w:val="0"/>
              <w:kinsoku/>
              <w:wordWrap/>
              <w:overflowPunct/>
              <w:topLinePunct w:val="0"/>
              <w:bidi w:val="0"/>
              <w:spacing w:line="360" w:lineRule="auto"/>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（16分）</w:t>
            </w:r>
          </w:p>
        </w:tc>
        <w:tc>
          <w:tcPr>
            <w:tcW w:w="3569" w:type="pct"/>
            <w:vAlign w:val="center"/>
          </w:tcPr>
          <w:p w14:paraId="2F0F01A0">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1、自2022年1月1日以来，投标人承担过大气精准服务类或激光雷达大气环境走航监测类项目，每提供1个得2分，本小项最高得8分；</w:t>
            </w:r>
          </w:p>
          <w:p w14:paraId="4A2FA04E">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2、自2022年1月1日以来，投标人承担过VOC类走航项目，每提供1个得2分，本小项最高得4分；</w:t>
            </w:r>
          </w:p>
          <w:p w14:paraId="2761C630">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3、自2022年1月1日以来，投标人承担过挥发性有机物监测设备或激光雷达类设备运维项目，每提供1个得2分，本小项最高得4分。</w:t>
            </w:r>
          </w:p>
          <w:p w14:paraId="52030A83">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（提供业绩合同或立项证明，时间以合同签订或立项证明时间为准）</w:t>
            </w:r>
          </w:p>
        </w:tc>
      </w:tr>
      <w:tr w14:paraId="1357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4" w:type="pct"/>
            <w:vMerge w:val="continue"/>
            <w:vAlign w:val="center"/>
          </w:tcPr>
          <w:p w14:paraId="6373323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56" w:type="pct"/>
            <w:vAlign w:val="center"/>
          </w:tcPr>
          <w:p w14:paraId="6A1A037D">
            <w:pPr>
              <w:pStyle w:val="401"/>
              <w:pageBreakBefore w:val="0"/>
              <w:kinsoku/>
              <w:wordWrap/>
              <w:overflowPunct/>
              <w:topLinePunct w:val="0"/>
              <w:bidi w:val="0"/>
              <w:ind w:firstLine="0"/>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val="en-US" w:eastAsia="zh-CN"/>
              </w:rPr>
              <w:t>监测车</w:t>
            </w:r>
          </w:p>
          <w:p w14:paraId="0A848198">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（4分）</w:t>
            </w:r>
          </w:p>
        </w:tc>
        <w:tc>
          <w:tcPr>
            <w:tcW w:w="3569" w:type="pct"/>
            <w:vAlign w:val="center"/>
          </w:tcPr>
          <w:p w14:paraId="3EE2774D">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投标人配备VOCs走航监测车，每有1辆得2分，本项最高得4分。</w:t>
            </w:r>
          </w:p>
          <w:p w14:paraId="0C070387">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（提供相关证明材料）</w:t>
            </w:r>
          </w:p>
        </w:tc>
      </w:tr>
    </w:tbl>
    <w:p w14:paraId="3123B879">
      <w:pPr>
        <w:pStyle w:val="2"/>
        <w:pageBreakBefore w:val="0"/>
        <w:kinsoku/>
        <w:wordWrap/>
        <w:overflowPunct/>
        <w:topLinePunct w:val="0"/>
        <w:bidi w:val="0"/>
        <w:rPr>
          <w:rFonts w:hint="default" w:ascii="Times New Roman" w:hAnsi="Times New Roman" w:eastAsia="宋体" w:cs="Times New Roman"/>
          <w:highlight w:val="none"/>
        </w:rPr>
        <w:sectPr>
          <w:pgSz w:w="11906" w:h="16838"/>
          <w:pgMar w:top="1440" w:right="1803" w:bottom="1440" w:left="1803" w:header="227" w:footer="720" w:gutter="0"/>
          <w:pgNumType w:fmt="decimal"/>
          <w:cols w:space="0" w:num="1"/>
          <w:docGrid w:linePitch="360" w:charSpace="0"/>
        </w:sectPr>
      </w:pPr>
    </w:p>
    <w:p w14:paraId="27D03A2D">
      <w:pPr>
        <w:pageBreakBefore w:val="0"/>
        <w:kinsoku/>
        <w:wordWrap/>
        <w:overflowPunct/>
        <w:topLinePunct w:val="0"/>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包13：大气颗粒物组分及VOCs多元综合分析子系统及全省VOCs质控审核服务</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259"/>
        <w:gridCol w:w="6080"/>
      </w:tblGrid>
      <w:tr w14:paraId="7C9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691" w:type="pct"/>
            <w:vAlign w:val="center"/>
          </w:tcPr>
          <w:p w14:paraId="63A666B5">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评分因素</w:t>
            </w:r>
          </w:p>
        </w:tc>
        <w:tc>
          <w:tcPr>
            <w:tcW w:w="4308" w:type="pct"/>
            <w:gridSpan w:val="2"/>
            <w:vAlign w:val="center"/>
          </w:tcPr>
          <w:p w14:paraId="1D6D2FE4">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评分标准</w:t>
            </w:r>
          </w:p>
        </w:tc>
      </w:tr>
      <w:tr w14:paraId="3845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1" w:type="pct"/>
            <w:vAlign w:val="center"/>
          </w:tcPr>
          <w:p w14:paraId="1BFC7D95">
            <w:pPr>
              <w:pageBreakBefore w:val="0"/>
              <w:kinsoku/>
              <w:wordWrap/>
              <w:overflowPunct/>
              <w:topLinePunct w:val="0"/>
              <w:bidi w:val="0"/>
              <w:spacing w:line="360" w:lineRule="auto"/>
              <w:ind w:firstLine="102" w:firstLineChars="49"/>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价格</w:t>
            </w:r>
          </w:p>
          <w:p w14:paraId="357FB75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（15分）</w:t>
            </w:r>
          </w:p>
        </w:tc>
        <w:tc>
          <w:tcPr>
            <w:tcW w:w="4308" w:type="pct"/>
            <w:gridSpan w:val="2"/>
            <w:vAlign w:val="center"/>
          </w:tcPr>
          <w:p w14:paraId="3399678A">
            <w:pPr>
              <w:pageBreakBefore w:val="0"/>
              <w:tabs>
                <w:tab w:val="left" w:pos="8222"/>
              </w:tabs>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用低价优先法计算，即满足招标文件要求报价最低的投标人的评标价为评标基准价，其价格分为满分。其他投标人的价格分统一按照下列公式计算：投标报价得分=（评标基准价/投标报价）×15（小数点保留2位）。</w:t>
            </w:r>
          </w:p>
        </w:tc>
      </w:tr>
      <w:tr w14:paraId="55FC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91" w:type="pct"/>
            <w:vMerge w:val="restart"/>
            <w:vAlign w:val="center"/>
          </w:tcPr>
          <w:p w14:paraId="2069C4A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机构人员与车辆配置</w:t>
            </w:r>
          </w:p>
          <w:p w14:paraId="0CDE332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（17分）</w:t>
            </w:r>
          </w:p>
        </w:tc>
        <w:tc>
          <w:tcPr>
            <w:tcW w:w="739" w:type="pct"/>
            <w:vAlign w:val="center"/>
          </w:tcPr>
          <w:p w14:paraId="741294B8">
            <w:pPr>
              <w:pStyle w:val="401"/>
              <w:pageBreakBefore w:val="0"/>
              <w:kinsoku/>
              <w:wordWrap/>
              <w:overflowPunct/>
              <w:topLinePunct w:val="0"/>
              <w:bidi w:val="0"/>
              <w:ind w:firstLine="0"/>
              <w:jc w:val="center"/>
              <w:rPr>
                <w:rFonts w:hint="eastAsia" w:cs="Times New Roman"/>
                <w:szCs w:val="21"/>
                <w:highlight w:val="none"/>
                <w:lang w:val="en-US" w:eastAsia="zh-CN"/>
              </w:rPr>
            </w:pPr>
            <w:r>
              <w:rPr>
                <w:rFonts w:hint="default" w:ascii="Times New Roman" w:hAnsi="Times New Roman" w:eastAsia="宋体" w:cs="Times New Roman"/>
                <w:szCs w:val="21"/>
                <w:highlight w:val="none"/>
              </w:rPr>
              <w:t>服务</w:t>
            </w:r>
            <w:r>
              <w:rPr>
                <w:rFonts w:hint="eastAsia" w:cs="Times New Roman"/>
                <w:szCs w:val="21"/>
                <w:highlight w:val="none"/>
                <w:lang w:val="en-US" w:eastAsia="zh-CN"/>
              </w:rPr>
              <w:t>响应</w:t>
            </w:r>
          </w:p>
          <w:p w14:paraId="23AE00A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lang w:val="zh-CN" w:bidi="zh-CN"/>
              </w:rPr>
            </w:pPr>
            <w:r>
              <w:rPr>
                <w:rFonts w:hint="default" w:ascii="Times New Roman" w:hAnsi="Times New Roman" w:eastAsia="宋体" w:cs="Times New Roman"/>
                <w:sz w:val="21"/>
                <w:szCs w:val="21"/>
                <w:highlight w:val="none"/>
                <w:lang w:val="zh-CN" w:bidi="zh-CN"/>
              </w:rPr>
              <w:t>方案</w:t>
            </w:r>
          </w:p>
          <w:p w14:paraId="58B3372C">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（4分）</w:t>
            </w:r>
          </w:p>
        </w:tc>
        <w:tc>
          <w:tcPr>
            <w:tcW w:w="3569" w:type="pct"/>
            <w:vAlign w:val="center"/>
          </w:tcPr>
          <w:p w14:paraId="1A32736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对投标人的服务</w:t>
            </w:r>
            <w:r>
              <w:rPr>
                <w:rFonts w:hint="eastAsia" w:cs="Times New Roman"/>
                <w:szCs w:val="21"/>
                <w:highlight w:val="none"/>
                <w:lang w:val="en-US" w:eastAsia="zh-CN"/>
              </w:rPr>
              <w:t>响应</w:t>
            </w:r>
            <w:r>
              <w:rPr>
                <w:rFonts w:hint="default" w:ascii="Times New Roman" w:hAnsi="Times New Roman" w:eastAsia="宋体" w:cs="Times New Roman"/>
                <w:szCs w:val="21"/>
                <w:highlight w:val="none"/>
              </w:rPr>
              <w:t>方案进行综合评审，包括但不限于：运维技术支持机构的设立、本地化服务方案、服务网点配置、服务响应时间等。</w:t>
            </w:r>
          </w:p>
          <w:p w14:paraId="3464084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1、在运维区域2小时车程范围内已设立或承诺中标后设立运维技术支持机构，方案全面合理、切实可行，优于招标文件要求，服务响应高效快捷的得4分；</w:t>
            </w:r>
          </w:p>
          <w:p w14:paraId="6A62445E">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2、方案较为合理、基本可行，符合招标文件要求的得3分；</w:t>
            </w:r>
          </w:p>
          <w:p w14:paraId="345C25A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3、方案欠佳、不完全符合招标文件要求的得2分；</w:t>
            </w:r>
          </w:p>
          <w:p w14:paraId="3164E024">
            <w:pPr>
              <w:pageBreakBefore w:val="0"/>
              <w:kinsoku/>
              <w:wordWrap/>
              <w:overflowPunct/>
              <w:topLinePunct w:val="0"/>
              <w:bidi w:val="0"/>
              <w:spacing w:line="360" w:lineRule="auto"/>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4、未提供相关内容的得0分。</w:t>
            </w:r>
          </w:p>
        </w:tc>
      </w:tr>
      <w:tr w14:paraId="257F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91" w:type="pct"/>
            <w:vMerge w:val="continue"/>
            <w:vAlign w:val="center"/>
          </w:tcPr>
          <w:p w14:paraId="5FA8E2B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1B812C4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机构人员（10分）</w:t>
            </w:r>
          </w:p>
        </w:tc>
        <w:tc>
          <w:tcPr>
            <w:tcW w:w="3569" w:type="pct"/>
            <w:vAlign w:val="center"/>
          </w:tcPr>
          <w:p w14:paraId="3424BF8F">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1、投标人</w:t>
            </w:r>
            <w:r>
              <w:rPr>
                <w:rFonts w:hint="default" w:ascii="Times New Roman" w:hAnsi="Times New Roman" w:eastAsia="宋体" w:cs="Times New Roman"/>
                <w:szCs w:val="21"/>
                <w:highlight w:val="none"/>
                <w:lang w:val="zh-CN" w:bidi="zh-CN"/>
              </w:rPr>
              <w:t>为本项目配置的运维人员学历均在本科及以上得3分；运维人员</w:t>
            </w:r>
            <w:r>
              <w:rPr>
                <w:rFonts w:hint="default" w:ascii="Times New Roman" w:hAnsi="Times New Roman" w:eastAsia="宋体" w:cs="Times New Roman"/>
                <w:szCs w:val="21"/>
                <w:highlight w:val="none"/>
                <w:lang w:bidi="zh-CN"/>
              </w:rPr>
              <w:t>中</w:t>
            </w:r>
            <w:r>
              <w:rPr>
                <w:rFonts w:hint="default" w:ascii="Times New Roman" w:hAnsi="Times New Roman" w:eastAsia="宋体" w:cs="Times New Roman"/>
                <w:szCs w:val="21"/>
                <w:highlight w:val="none"/>
                <w:lang w:val="zh-CN" w:bidi="zh-CN"/>
              </w:rPr>
              <w:t>具</w:t>
            </w:r>
            <w:r>
              <w:rPr>
                <w:rFonts w:hint="default" w:ascii="Times New Roman" w:hAnsi="Times New Roman" w:eastAsia="宋体" w:cs="Times New Roman"/>
                <w:szCs w:val="21"/>
                <w:highlight w:val="none"/>
                <w:lang w:bidi="zh-CN"/>
              </w:rPr>
              <w:t>有</w:t>
            </w:r>
            <w:r>
              <w:rPr>
                <w:rFonts w:hint="default" w:ascii="Times New Roman" w:hAnsi="Times New Roman" w:eastAsia="宋体" w:cs="Times New Roman"/>
                <w:szCs w:val="21"/>
                <w:highlight w:val="none"/>
                <w:lang w:val="zh-CN" w:bidi="zh-CN"/>
              </w:rPr>
              <w:t>环境</w:t>
            </w:r>
            <w:r>
              <w:rPr>
                <w:rFonts w:hint="default" w:ascii="Times New Roman" w:hAnsi="Times New Roman" w:eastAsia="宋体" w:cs="Times New Roman"/>
                <w:szCs w:val="21"/>
                <w:highlight w:val="none"/>
                <w:lang w:bidi="zh-CN"/>
              </w:rPr>
              <w:t>、</w:t>
            </w:r>
            <w:r>
              <w:rPr>
                <w:rFonts w:hint="default" w:ascii="Times New Roman" w:hAnsi="Times New Roman" w:eastAsia="宋体" w:cs="Times New Roman"/>
                <w:szCs w:val="21"/>
                <w:highlight w:val="none"/>
                <w:lang w:val="zh-CN" w:bidi="zh-CN"/>
              </w:rPr>
              <w:t>电子</w:t>
            </w:r>
            <w:r>
              <w:rPr>
                <w:rFonts w:hint="default" w:ascii="Times New Roman" w:hAnsi="Times New Roman" w:eastAsia="宋体" w:cs="Times New Roman"/>
                <w:szCs w:val="21"/>
                <w:highlight w:val="none"/>
                <w:lang w:bidi="zh-CN"/>
              </w:rPr>
              <w:t>、</w:t>
            </w:r>
            <w:r>
              <w:rPr>
                <w:rFonts w:hint="default" w:ascii="Times New Roman" w:hAnsi="Times New Roman" w:eastAsia="宋体" w:cs="Times New Roman"/>
                <w:szCs w:val="21"/>
                <w:highlight w:val="none"/>
                <w:lang w:val="zh-CN" w:bidi="zh-CN"/>
              </w:rPr>
              <w:t>自动化或仪器仪表专业</w:t>
            </w:r>
            <w:r>
              <w:rPr>
                <w:rFonts w:hint="default" w:ascii="Times New Roman" w:hAnsi="Times New Roman" w:eastAsia="宋体" w:cs="Times New Roman"/>
                <w:szCs w:val="21"/>
                <w:highlight w:val="none"/>
                <w:lang w:bidi="zh-CN"/>
              </w:rPr>
              <w:t>的</w:t>
            </w:r>
            <w:r>
              <w:rPr>
                <w:rFonts w:hint="default" w:ascii="Times New Roman" w:hAnsi="Times New Roman" w:eastAsia="宋体" w:cs="Times New Roman"/>
                <w:szCs w:val="21"/>
                <w:highlight w:val="none"/>
                <w:lang w:val="zh-CN" w:bidi="zh-CN"/>
              </w:rPr>
              <w:t>，每</w:t>
            </w:r>
            <w:r>
              <w:rPr>
                <w:rFonts w:hint="default" w:ascii="Times New Roman" w:hAnsi="Times New Roman" w:eastAsia="宋体" w:cs="Times New Roman"/>
                <w:szCs w:val="21"/>
                <w:highlight w:val="none"/>
                <w:lang w:bidi="zh-CN"/>
              </w:rPr>
              <w:t>有1</w:t>
            </w:r>
            <w:r>
              <w:rPr>
                <w:rFonts w:hint="default" w:ascii="Times New Roman" w:hAnsi="Times New Roman" w:eastAsia="宋体" w:cs="Times New Roman"/>
                <w:szCs w:val="21"/>
                <w:highlight w:val="none"/>
                <w:lang w:val="zh-CN" w:bidi="zh-CN"/>
              </w:rPr>
              <w:t>人加1分，</w:t>
            </w:r>
            <w:r>
              <w:rPr>
                <w:rFonts w:hint="default" w:ascii="Times New Roman" w:hAnsi="Times New Roman" w:eastAsia="宋体" w:cs="Times New Roman"/>
                <w:szCs w:val="21"/>
                <w:highlight w:val="none"/>
                <w:lang w:bidi="zh-CN"/>
              </w:rPr>
              <w:t>最多加2分</w:t>
            </w: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lang w:bidi="zh-CN"/>
              </w:rPr>
              <w:t>本小项最高得5分；</w:t>
            </w:r>
          </w:p>
          <w:p w14:paraId="729A5BA2">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2、为本项目配置的运维技术人员具备环境空气质量自动监测技术人员的运维能力与质控水平（提供省级及以上生态环境部门相关机构提供的培训合格证明或其他类似证明材料）</w:t>
            </w:r>
            <w:r>
              <w:rPr>
                <w:rFonts w:hint="default" w:ascii="Times New Roman" w:hAnsi="Times New Roman" w:eastAsia="宋体" w:cs="Times New Roman"/>
                <w:szCs w:val="21"/>
                <w:highlight w:val="none"/>
              </w:rPr>
              <w:t>，配置2人</w:t>
            </w:r>
            <w:r>
              <w:rPr>
                <w:rFonts w:hint="default" w:ascii="Times New Roman" w:hAnsi="Times New Roman" w:eastAsia="宋体" w:cs="Times New Roman"/>
                <w:szCs w:val="21"/>
                <w:highlight w:val="none"/>
                <w:lang w:bidi="zh-CN"/>
              </w:rPr>
              <w:t>的得3分；每多1人加1分，最多加2分</w:t>
            </w:r>
            <w:r>
              <w:rPr>
                <w:rFonts w:hint="default" w:ascii="Times New Roman" w:hAnsi="Times New Roman" w:eastAsia="宋体" w:cs="Times New Roman"/>
                <w:szCs w:val="21"/>
                <w:highlight w:val="none"/>
                <w:lang w:val="zh-CN" w:bidi="zh-CN"/>
              </w:rPr>
              <w:t>；</w:t>
            </w:r>
            <w:r>
              <w:rPr>
                <w:rFonts w:hint="default" w:ascii="Times New Roman" w:hAnsi="Times New Roman" w:eastAsia="宋体" w:cs="Times New Roman"/>
                <w:szCs w:val="21"/>
                <w:highlight w:val="none"/>
                <w:lang w:bidi="zh-CN"/>
              </w:rPr>
              <w:t>本小项最高得5分。</w:t>
            </w:r>
          </w:p>
          <w:p w14:paraId="227A3380">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bidi="zh-CN"/>
              </w:rPr>
              <w:t>（提供人员名单、相关</w:t>
            </w:r>
            <w:r>
              <w:rPr>
                <w:rFonts w:hint="default" w:ascii="Times New Roman" w:hAnsi="Times New Roman" w:eastAsia="宋体" w:cs="Times New Roman"/>
                <w:szCs w:val="21"/>
                <w:highlight w:val="none"/>
                <w:lang w:bidi="zh-CN"/>
              </w:rPr>
              <w:t>证明材料</w:t>
            </w:r>
            <w:r>
              <w:rPr>
                <w:rFonts w:hint="default" w:ascii="Times New Roman" w:hAnsi="Times New Roman" w:eastAsia="宋体" w:cs="Times New Roman"/>
                <w:szCs w:val="21"/>
                <w:highlight w:val="none"/>
                <w:lang w:val="en-US" w:bidi="zh-CN"/>
              </w:rPr>
              <w:t>及</w:t>
            </w:r>
            <w:r>
              <w:rPr>
                <w:rFonts w:hint="default" w:ascii="Times New Roman" w:hAnsi="Times New Roman" w:eastAsia="宋体" w:cs="Times New Roman"/>
                <w:szCs w:val="21"/>
                <w:highlight w:val="none"/>
              </w:rPr>
              <w:t>投标人近半年内任意一个月为其缴纳的社保证明</w:t>
            </w:r>
            <w:r>
              <w:rPr>
                <w:rFonts w:hint="default" w:ascii="Times New Roman" w:hAnsi="Times New Roman" w:eastAsia="宋体" w:cs="Times New Roman"/>
                <w:szCs w:val="21"/>
                <w:highlight w:val="none"/>
                <w:lang w:val="zh-CN" w:bidi="zh-CN"/>
              </w:rPr>
              <w:t>）</w:t>
            </w:r>
          </w:p>
        </w:tc>
      </w:tr>
      <w:tr w14:paraId="0F34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1" w:type="pct"/>
            <w:vMerge w:val="continue"/>
            <w:vAlign w:val="center"/>
          </w:tcPr>
          <w:p w14:paraId="7B1F7F9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0A44A64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车辆配置</w:t>
            </w:r>
          </w:p>
          <w:p w14:paraId="1F97B1DD">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（3分）</w:t>
            </w:r>
          </w:p>
        </w:tc>
        <w:tc>
          <w:tcPr>
            <w:tcW w:w="3569" w:type="pct"/>
            <w:vAlign w:val="center"/>
          </w:tcPr>
          <w:p w14:paraId="7848E85C">
            <w:pPr>
              <w:pStyle w:val="391"/>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投标人为本项目配置的运维车辆满足招标文件要求的得3分。</w:t>
            </w:r>
          </w:p>
          <w:p w14:paraId="2692C7F7">
            <w:pPr>
              <w:pStyle w:val="2"/>
              <w:pageBreakBefore w:val="0"/>
              <w:kinsoku/>
              <w:wordWrap/>
              <w:overflowPunct/>
              <w:topLinePunct w:val="0"/>
              <w:bidi w:val="0"/>
              <w:spacing w:line="360" w:lineRule="auto"/>
              <w:ind w:left="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（如自有车辆，须提供车辆牌照、行驶证；如租赁车辆，须提供车辆牌照、行驶证以及租赁合同，且合同周期需至少覆盖2026年全年）</w:t>
            </w:r>
          </w:p>
        </w:tc>
      </w:tr>
      <w:tr w14:paraId="05DA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91" w:type="pct"/>
            <w:vMerge w:val="restart"/>
            <w:vAlign w:val="center"/>
          </w:tcPr>
          <w:p w14:paraId="72F8F15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eastAsia" w:cs="Times New Roman"/>
                <w:szCs w:val="21"/>
                <w:highlight w:val="none"/>
                <w:lang w:val="en-US" w:eastAsia="zh-CN"/>
              </w:rPr>
              <w:t>运维服务</w:t>
            </w:r>
            <w:r>
              <w:rPr>
                <w:rFonts w:hint="default" w:ascii="Times New Roman" w:hAnsi="Times New Roman" w:eastAsia="宋体" w:cs="Times New Roman"/>
                <w:szCs w:val="21"/>
                <w:highlight w:val="none"/>
              </w:rPr>
              <w:t>方案及技术要求响应情况</w:t>
            </w:r>
          </w:p>
          <w:p w14:paraId="7A790EB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（40分）</w:t>
            </w:r>
          </w:p>
        </w:tc>
        <w:tc>
          <w:tcPr>
            <w:tcW w:w="739" w:type="pct"/>
            <w:vAlign w:val="center"/>
          </w:tcPr>
          <w:p w14:paraId="6D0E986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eastAsia" w:cs="Times New Roman"/>
                <w:szCs w:val="21"/>
                <w:highlight w:val="none"/>
                <w:lang w:val="en-US" w:eastAsia="zh-CN"/>
              </w:rPr>
              <w:t>运维服务</w:t>
            </w:r>
            <w:r>
              <w:rPr>
                <w:rFonts w:hint="default" w:ascii="Times New Roman" w:hAnsi="Times New Roman" w:eastAsia="宋体" w:cs="Times New Roman"/>
                <w:szCs w:val="21"/>
                <w:highlight w:val="none"/>
              </w:rPr>
              <w:t>方案</w:t>
            </w:r>
          </w:p>
          <w:p w14:paraId="69B892D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（10分）</w:t>
            </w:r>
          </w:p>
        </w:tc>
        <w:tc>
          <w:tcPr>
            <w:tcW w:w="3569" w:type="pct"/>
            <w:vAlign w:val="center"/>
          </w:tcPr>
          <w:p w14:paraId="528326EC">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系统的数据集成、质控审核、运维管理、颗粒物与光化学分析，描述4个应用的服务内容和实现方法，根据投标文件中对项目需求理解透彻，能够提供针对大气颗粒物组分及VOCs多元综合分析子系统的运维实施方案进行综合评审：</w:t>
            </w:r>
          </w:p>
          <w:p w14:paraId="5B48000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3EF5751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459D628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6117F493">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rPr>
              <w:t>4、未提供相关内容的得0分。</w:t>
            </w:r>
          </w:p>
        </w:tc>
      </w:tr>
      <w:tr w14:paraId="17F6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1" w:type="pct"/>
            <w:vMerge w:val="continue"/>
            <w:vAlign w:val="center"/>
          </w:tcPr>
          <w:p w14:paraId="38B54E2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58DD69F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应急方案</w:t>
            </w:r>
          </w:p>
          <w:p w14:paraId="2B807DE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（10分）</w:t>
            </w:r>
          </w:p>
        </w:tc>
        <w:tc>
          <w:tcPr>
            <w:tcW w:w="3569" w:type="pct"/>
            <w:vAlign w:val="center"/>
          </w:tcPr>
          <w:p w14:paraId="5157CB1D">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根据投标人提供的应急方案进行综合评审：</w:t>
            </w:r>
          </w:p>
          <w:p w14:paraId="1C38EC0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3C4F3ED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6B0EAAD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787A2723">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1B93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1" w:type="pct"/>
            <w:vMerge w:val="continue"/>
            <w:vAlign w:val="center"/>
          </w:tcPr>
          <w:p w14:paraId="6C5A435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085D9BA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平台运维方案</w:t>
            </w:r>
          </w:p>
          <w:p w14:paraId="592D301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（10分）</w:t>
            </w:r>
          </w:p>
        </w:tc>
        <w:tc>
          <w:tcPr>
            <w:tcW w:w="3569" w:type="pct"/>
            <w:vAlign w:val="center"/>
          </w:tcPr>
          <w:p w14:paraId="24542DB3">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根据投标人提供的平台运维方案进行综合评审：</w:t>
            </w:r>
          </w:p>
          <w:p w14:paraId="74281A5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59ECDDA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730AA01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5805A9B9">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4、未提供相关内容的得0分。</w:t>
            </w:r>
          </w:p>
        </w:tc>
      </w:tr>
      <w:tr w14:paraId="2589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91" w:type="pct"/>
            <w:vMerge w:val="continue"/>
            <w:vAlign w:val="center"/>
          </w:tcPr>
          <w:p w14:paraId="4A3B22C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1BCE0F6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平台培训方案</w:t>
            </w:r>
          </w:p>
          <w:p w14:paraId="1DB31D0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（10分）</w:t>
            </w:r>
          </w:p>
        </w:tc>
        <w:tc>
          <w:tcPr>
            <w:tcW w:w="3569" w:type="pct"/>
          </w:tcPr>
          <w:p w14:paraId="0345B2FF">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w:t>
            </w:r>
            <w:r>
              <w:rPr>
                <w:rFonts w:hint="default" w:ascii="Times New Roman" w:hAnsi="Times New Roman" w:eastAsia="宋体" w:cs="Times New Roman"/>
                <w:color w:val="000000"/>
                <w:szCs w:val="21"/>
                <w:highlight w:val="none"/>
              </w:rPr>
              <w:t>负责对招标人管理员和操作人员进行平台操作培训，对投标文件中提供培训方案</w:t>
            </w:r>
            <w:r>
              <w:rPr>
                <w:rFonts w:hint="default" w:ascii="Times New Roman" w:hAnsi="Times New Roman" w:eastAsia="宋体" w:cs="Times New Roman"/>
                <w:szCs w:val="21"/>
                <w:highlight w:val="none"/>
              </w:rPr>
              <w:t>进行综合评审：</w:t>
            </w:r>
          </w:p>
          <w:p w14:paraId="5775FC7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1、方案全面合理、切实可行，优于招标文件要求的得10分；</w:t>
            </w:r>
          </w:p>
          <w:p w14:paraId="6FF5397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2、方案较为合理、基本可行、符合招标文件要求的得7分；</w:t>
            </w:r>
          </w:p>
          <w:p w14:paraId="6DE99CA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3、方案欠佳、不完全符合招标文件要求的得4分；</w:t>
            </w:r>
          </w:p>
          <w:p w14:paraId="21A1F642">
            <w:pPr>
              <w:pageBreakBefore w:val="0"/>
              <w:kinsoku/>
              <w:wordWrap/>
              <w:overflowPunct/>
              <w:topLinePunct w:val="0"/>
              <w:bidi w:val="0"/>
              <w:spacing w:line="360" w:lineRule="auto"/>
              <w:jc w:val="left"/>
              <w:rPr>
                <w:rFonts w:hint="default" w:ascii="Times New Roman" w:hAnsi="Times New Roman" w:eastAsia="宋体" w:cs="Times New Roman"/>
                <w:szCs w:val="21"/>
                <w:highlight w:val="none"/>
                <w:lang w:val="zh-CN" w:bidi="zh-CN"/>
              </w:rPr>
            </w:pPr>
            <w:r>
              <w:rPr>
                <w:rFonts w:hint="default" w:ascii="Times New Roman" w:hAnsi="Times New Roman" w:eastAsia="宋体" w:cs="Times New Roman"/>
                <w:szCs w:val="21"/>
                <w:highlight w:val="none"/>
              </w:rPr>
              <w:t>4、未提供相关内容的得0分。</w:t>
            </w:r>
          </w:p>
        </w:tc>
      </w:tr>
      <w:tr w14:paraId="7625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1" w:type="pct"/>
            <w:vMerge w:val="restart"/>
            <w:vAlign w:val="center"/>
          </w:tcPr>
          <w:p w14:paraId="15F6E46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企业业绩、实力及软件著作权</w:t>
            </w:r>
          </w:p>
          <w:p w14:paraId="0F66BAD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（28分）</w:t>
            </w:r>
          </w:p>
        </w:tc>
        <w:tc>
          <w:tcPr>
            <w:tcW w:w="739" w:type="pct"/>
            <w:vAlign w:val="center"/>
          </w:tcPr>
          <w:p w14:paraId="51B8FCC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企业业绩</w:t>
            </w:r>
          </w:p>
          <w:p w14:paraId="03DB4D56">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（16分）</w:t>
            </w:r>
          </w:p>
        </w:tc>
        <w:tc>
          <w:tcPr>
            <w:tcW w:w="3569" w:type="pct"/>
            <w:vAlign w:val="center"/>
          </w:tcPr>
          <w:p w14:paraId="512273D2">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自2022年1月1日以来，投标人承担过颗粒物组分平台建设或运维相关业绩，每提供1个得4分，本项最高得16分。</w:t>
            </w:r>
          </w:p>
          <w:p w14:paraId="3F4BC8DA">
            <w:pPr>
              <w:pStyle w:val="401"/>
              <w:pageBreakBefore w:val="0"/>
              <w:kinsoku/>
              <w:wordWrap/>
              <w:overflowPunct/>
              <w:topLinePunct w:val="0"/>
              <w:bidi w:val="0"/>
              <w:spacing w:line="360" w:lineRule="auto"/>
              <w:ind w:firstLine="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（提供合同，业绩时间以合同签订时间为准）</w:t>
            </w:r>
          </w:p>
        </w:tc>
      </w:tr>
      <w:tr w14:paraId="53B6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1" w:type="pct"/>
            <w:vMerge w:val="continue"/>
            <w:vAlign w:val="center"/>
          </w:tcPr>
          <w:p w14:paraId="5E93175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3E2EB831">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企业实力</w:t>
            </w:r>
          </w:p>
          <w:p w14:paraId="3B3CC7C7">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9" w:type="pct"/>
            <w:vAlign w:val="center"/>
          </w:tcPr>
          <w:p w14:paraId="58AB74DB">
            <w:pPr>
              <w:pStyle w:val="401"/>
              <w:pageBreakBefore w:val="0"/>
              <w:kinsoku/>
              <w:wordWrap/>
              <w:overflowPunct/>
              <w:topLinePunct w:val="0"/>
              <w:bidi w:val="0"/>
              <w:spacing w:line="360" w:lineRule="auto"/>
              <w:ind w:firstLine="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1、投标人具有较高软件成熟度及系统交付能力，提供相关机构认证、信息系统服务商交付能力评估认证资质材料，每提供1份得2分，本小项最高得4分；</w:t>
            </w:r>
          </w:p>
          <w:p w14:paraId="1257F167">
            <w:pPr>
              <w:pStyle w:val="401"/>
              <w:pageBreakBefore w:val="0"/>
              <w:kinsoku/>
              <w:wordWrap/>
              <w:overflowPunct/>
              <w:topLinePunct w:val="0"/>
              <w:bidi w:val="0"/>
              <w:spacing w:line="360" w:lineRule="auto"/>
              <w:ind w:firstLine="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2、投标人具备完善的服务体系、不断强化的服务管理水平和服务能力，具有GB/T27922商品售后服务评价五星认证，认证范围涵盖超站平台的得2分。</w:t>
            </w:r>
          </w:p>
          <w:p w14:paraId="35EAF725">
            <w:pPr>
              <w:pStyle w:val="401"/>
              <w:pageBreakBefore w:val="0"/>
              <w:kinsoku/>
              <w:wordWrap/>
              <w:overflowPunct/>
              <w:topLinePunct w:val="0"/>
              <w:bidi w:val="0"/>
              <w:spacing w:line="360" w:lineRule="auto"/>
              <w:ind w:firstLine="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（提供有效期内相关证明材料）</w:t>
            </w:r>
          </w:p>
        </w:tc>
      </w:tr>
      <w:tr w14:paraId="6408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1" w:type="pct"/>
            <w:vMerge w:val="continue"/>
            <w:vAlign w:val="center"/>
          </w:tcPr>
          <w:p w14:paraId="4A1EE9F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9" w:type="pct"/>
            <w:vAlign w:val="center"/>
          </w:tcPr>
          <w:p w14:paraId="11622664">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软件著作权</w:t>
            </w:r>
          </w:p>
          <w:p w14:paraId="0BB424BF">
            <w:pPr>
              <w:pStyle w:val="401"/>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（6分）</w:t>
            </w:r>
          </w:p>
        </w:tc>
        <w:tc>
          <w:tcPr>
            <w:tcW w:w="3569" w:type="pct"/>
            <w:vAlign w:val="center"/>
          </w:tcPr>
          <w:p w14:paraId="473592C8">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投标人具有与本项目相关的颗粒物组分及光化学分析类软件自主研发能力并获得软件著作权的，每提供1个得2分，本项最高得6分。</w:t>
            </w:r>
          </w:p>
          <w:p w14:paraId="11F7FC82">
            <w:pPr>
              <w:pageBreakBefore w:val="0"/>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（提供有效期内相关软件著作权证书）</w:t>
            </w:r>
          </w:p>
        </w:tc>
      </w:tr>
    </w:tbl>
    <w:p w14:paraId="16950221">
      <w:pPr>
        <w:pStyle w:val="2"/>
        <w:pageBreakBefore w:val="0"/>
        <w:kinsoku/>
        <w:wordWrap/>
        <w:overflowPunct/>
        <w:topLinePunct w:val="0"/>
        <w:bidi w:val="0"/>
        <w:ind w:left="0"/>
        <w:rPr>
          <w:rFonts w:hint="default" w:ascii="Times New Roman" w:hAnsi="Times New Roman" w:eastAsia="宋体" w:cs="Times New Roman"/>
          <w:highlight w:val="none"/>
        </w:rPr>
      </w:pPr>
    </w:p>
    <w:p w14:paraId="7245CB2A">
      <w:pPr>
        <w:pageBreakBefore w:val="0"/>
        <w:kinsoku/>
        <w:wordWrap/>
        <w:overflowPunct/>
        <w:topLinePunct w:val="0"/>
        <w:bidi w:val="0"/>
        <w:spacing w:line="360" w:lineRule="auto"/>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说明：</w:t>
      </w:r>
    </w:p>
    <w:p w14:paraId="7A8FEECF">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1、所有认证、证明和业绩均以有效的证明文件的复印件为依据。</w:t>
      </w:r>
    </w:p>
    <w:p w14:paraId="7EC97268">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2、小微企业价格扣除</w:t>
      </w:r>
    </w:p>
    <w:p w14:paraId="1136FFB0">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2.1对于专门面向中小企业或小型、微型企业的项目，只面向中小企业或小型、微型企业采购。对于非专门面向中小企业的项目，对小型和微型企业的价格给予10%的扣除，用扣除后的价格参与评审。</w:t>
      </w:r>
    </w:p>
    <w:p w14:paraId="05FBB8D1">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24EDCE0B">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3.监狱和戒毒企业的价格扣除</w:t>
      </w:r>
    </w:p>
    <w:p w14:paraId="5206449A">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3.1 本项目对监狱和戒毒企业，给予10%的价格扣除，用扣除后的价格参与评审。</w:t>
      </w:r>
    </w:p>
    <w:p w14:paraId="5582A228">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 监狱企业需提供由省级以上监狱管理局、戒毒管理局（含新疆生产建设兵团）出具的属于监狱企业的证明文件。</w:t>
      </w:r>
    </w:p>
    <w:p w14:paraId="0F93CD0C">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3.3 监狱企业标准请参照《关于政府采购支持监狱企业发展有关问题的通知》（财库〔2014〕68号）。</w:t>
      </w:r>
    </w:p>
    <w:p w14:paraId="342E0A25">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4.残疾人福利性单位的价格扣除</w:t>
      </w:r>
    </w:p>
    <w:p w14:paraId="6547FD8A">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4.1 本项目对残疾人福利性单位，给予10%的价格扣除，用扣除后的价格参与评审。</w:t>
      </w:r>
    </w:p>
    <w:p w14:paraId="15D677A5">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4.2 残疾人福利性单位需提供《残疾人福利性单位声明函》。</w:t>
      </w:r>
    </w:p>
    <w:p w14:paraId="5FB8A69E">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4.3 残疾人福利性单位标准请参照《关于促进残疾人就业政府采购政策的通知》（财库〔2017〕141号）。</w:t>
      </w:r>
    </w:p>
    <w:p w14:paraId="49DCE5A5">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5.监狱企业、残疾人福利性单位属于小型、微型企业的，不重复享受政策。</w:t>
      </w:r>
    </w:p>
    <w:bookmarkEnd w:id="9"/>
    <w:p w14:paraId="3A62DA83">
      <w:pPr>
        <w:pageBreakBefore w:val="0"/>
        <w:kinsoku/>
        <w:wordWrap/>
        <w:overflowPunct/>
        <w:topLinePunct w:val="0"/>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p>
    <w:p w14:paraId="049E8C31">
      <w:pPr>
        <w:pStyle w:val="3"/>
        <w:pageBreakBefore w:val="0"/>
        <w:kinsoku/>
        <w:wordWrap/>
        <w:overflowPunct/>
        <w:topLinePunct w:val="0"/>
        <w:bidi w:val="0"/>
        <w:spacing w:before="0" w:after="0" w:line="360" w:lineRule="auto"/>
        <w:rPr>
          <w:rFonts w:hint="default" w:ascii="Times New Roman" w:hAnsi="Times New Roman" w:eastAsia="宋体" w:cs="Times New Roman"/>
          <w:highlight w:val="none"/>
        </w:rPr>
      </w:pPr>
      <w:bookmarkStart w:id="10" w:name="_Toc31739"/>
      <w:bookmarkStart w:id="11" w:name="_Hlk96071152"/>
      <w:bookmarkStart w:id="12" w:name="_Toc481057147"/>
      <w:r>
        <w:rPr>
          <w:rFonts w:hint="default" w:ascii="Times New Roman" w:hAnsi="Times New Roman" w:eastAsia="宋体" w:cs="Times New Roman"/>
          <w:highlight w:val="none"/>
        </w:rPr>
        <w:t xml:space="preserve">  </w:t>
      </w:r>
      <w:bookmarkStart w:id="13" w:name="_Toc31507"/>
      <w:r>
        <w:rPr>
          <w:rFonts w:hint="default" w:ascii="Times New Roman" w:hAnsi="Times New Roman" w:eastAsia="宋体" w:cs="Times New Roman"/>
          <w:highlight w:val="none"/>
        </w:rPr>
        <w:t>采购需求</w:t>
      </w:r>
      <w:bookmarkEnd w:id="10"/>
      <w:bookmarkEnd w:id="13"/>
    </w:p>
    <w:p w14:paraId="70C91566">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包1：省控（质控、农村及边界）空气站第三方运维及包2：省控（质控、农村及边界）空气站第三方质控</w:t>
      </w:r>
    </w:p>
    <w:p w14:paraId="22B87637">
      <w:pPr>
        <w:pStyle w:val="5"/>
        <w:pageBreakBefore w:val="0"/>
        <w:numPr>
          <w:ilvl w:val="2"/>
          <w:numId w:val="0"/>
        </w:numPr>
        <w:kinsoku/>
        <w:wordWrap/>
        <w:overflowPunct/>
        <w:topLinePunct w:val="0"/>
        <w:bidi w:val="0"/>
        <w:spacing w:before="0" w:after="0" w:line="360" w:lineRule="auto"/>
        <w:ind w:firstLine="422" w:firstLineChars="200"/>
        <w:rPr>
          <w:rFonts w:hint="default" w:ascii="Times New Roman" w:hAnsi="Times New Roman" w:eastAsia="宋体" w:cs="Times New Roman"/>
          <w:sz w:val="21"/>
          <w:szCs w:val="21"/>
          <w:highlight w:val="none"/>
        </w:rPr>
      </w:pPr>
      <w:bookmarkStart w:id="14" w:name="_Toc420511646"/>
      <w:bookmarkStart w:id="15" w:name="_Toc150188177"/>
      <w:bookmarkStart w:id="16" w:name="_Toc455153177"/>
      <w:bookmarkStart w:id="17" w:name="_Toc213334964"/>
      <w:r>
        <w:rPr>
          <w:rFonts w:hint="default" w:ascii="Times New Roman" w:hAnsi="Times New Roman" w:eastAsia="宋体" w:cs="Times New Roman"/>
          <w:sz w:val="21"/>
          <w:szCs w:val="21"/>
          <w:highlight w:val="none"/>
        </w:rPr>
        <w:t>一、</w:t>
      </w:r>
      <w:bookmarkEnd w:id="14"/>
      <w:bookmarkEnd w:id="15"/>
      <w:bookmarkEnd w:id="16"/>
      <w:r>
        <w:rPr>
          <w:rFonts w:hint="default" w:ascii="Times New Roman" w:hAnsi="Times New Roman" w:eastAsia="宋体" w:cs="Times New Roman"/>
          <w:sz w:val="21"/>
          <w:szCs w:val="21"/>
          <w:highlight w:val="none"/>
        </w:rPr>
        <w:t>项目说明</w:t>
      </w:r>
      <w:bookmarkEnd w:id="17"/>
    </w:p>
    <w:p w14:paraId="5968B531">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根据国家相关规范和技术要求，江苏省环境监测中心拟委托有资质机构对38个省控（质控、农村及边界）空气站的运行维护管理以及质控质保核查开展自2026年1月起至2026年12月的服务工作，上述站点主要分布在13个设区市及部分县市农村地区（详见表4-1）。</w:t>
      </w:r>
    </w:p>
    <w:p w14:paraId="3AA6B2EB">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省控（质控、农村及边界）空气站</w:t>
      </w:r>
      <w:r>
        <w:rPr>
          <w:rFonts w:hint="default" w:ascii="Times New Roman" w:hAnsi="Times New Roman" w:eastAsia="宋体" w:cs="Times New Roman"/>
          <w:bCs/>
          <w:szCs w:val="21"/>
          <w:highlight w:val="none"/>
        </w:rPr>
        <w:t>运行维护</w:t>
      </w:r>
      <w:r>
        <w:rPr>
          <w:rFonts w:hint="default" w:ascii="Times New Roman" w:hAnsi="Times New Roman" w:eastAsia="宋体" w:cs="Times New Roman"/>
          <w:szCs w:val="21"/>
          <w:highlight w:val="none"/>
        </w:rPr>
        <w:t>服务范围包括：各站点</w:t>
      </w:r>
      <w:r>
        <w:rPr>
          <w:rFonts w:hint="default" w:ascii="Times New Roman" w:hAnsi="Times New Roman" w:eastAsia="宋体" w:cs="Times New Roman"/>
          <w:b/>
          <w:szCs w:val="21"/>
          <w:highlight w:val="none"/>
        </w:rPr>
        <w:t>所有监测仪器、气象仪器、质控设备、数据采集与传输设备、辅助设备（含视频监控、门禁系统、空调、自动灭火器等）、防雷、通信网络等基础设施的日常维护、质量控制、故障维修、年度检修与预防性维护、检定，同时承担站房网络电力、通讯、房租等费用</w:t>
      </w:r>
      <w:r>
        <w:rPr>
          <w:rFonts w:hint="default" w:ascii="Times New Roman" w:hAnsi="Times New Roman" w:eastAsia="宋体" w:cs="Times New Roman"/>
          <w:szCs w:val="21"/>
          <w:highlight w:val="none"/>
        </w:rPr>
        <w:t>。运维工作应接受江苏省生态环境厅、江苏省环境监测中心（以下简称“省监测中心”）、省驻市环境监测中心（以下简称“驻市中心”）质量检查和考核，确保省控（质控、农村及边界）空气站各项监测仪器正常稳定运行并与相关生态环境部门正常联网。</w:t>
      </w:r>
    </w:p>
    <w:p w14:paraId="59ACFE1C">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质控质保核查工作包括：运维体系检查，通过质控质保核查对</w:t>
      </w:r>
      <w:r>
        <w:rPr>
          <w:rFonts w:hint="default" w:ascii="Times New Roman" w:hAnsi="Times New Roman" w:eastAsia="宋体" w:cs="Times New Roman"/>
          <w:szCs w:val="21"/>
          <w:highlight w:val="none"/>
        </w:rPr>
        <w:t>省控（质控、农村及边界）空气站</w:t>
      </w:r>
      <w:r>
        <w:rPr>
          <w:rFonts w:hint="default" w:ascii="Times New Roman" w:hAnsi="Times New Roman" w:eastAsia="宋体" w:cs="Times New Roman"/>
          <w:bCs/>
          <w:szCs w:val="21"/>
          <w:highlight w:val="none"/>
        </w:rPr>
        <w:t>运维情况和数据质量情况进行现场考核。投标人对检查结果和检查质量负全部责任。投标人应遵守生态环境部、中国环境监测总站、省生态环境厅、省监测中心关于空气站运行管理的各项规定，如检查期间出台新的空气站运行管理规定，则检查工作按最新规定执行。</w:t>
      </w:r>
    </w:p>
    <w:p w14:paraId="0CDCAE2C">
      <w:pPr>
        <w:pageBreakBefore w:val="0"/>
        <w:widowControl/>
        <w:kinsoku/>
        <w:wordWrap/>
        <w:overflowPunct/>
        <w:topLinePunct w:val="0"/>
        <w:bidi w:val="0"/>
        <w:spacing w:line="360" w:lineRule="auto"/>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表4-1 38个省控（质控、农村及边界）空气站基本信息一览表</w:t>
      </w:r>
    </w:p>
    <w:tbl>
      <w:tblPr>
        <w:tblStyle w:val="48"/>
        <w:tblW w:w="8472" w:type="dxa"/>
        <w:jc w:val="center"/>
        <w:tblLayout w:type="fixed"/>
        <w:tblCellMar>
          <w:top w:w="0" w:type="dxa"/>
          <w:left w:w="108" w:type="dxa"/>
          <w:bottom w:w="0" w:type="dxa"/>
          <w:right w:w="108" w:type="dxa"/>
        </w:tblCellMar>
      </w:tblPr>
      <w:tblGrid>
        <w:gridCol w:w="781"/>
        <w:gridCol w:w="2142"/>
        <w:gridCol w:w="1008"/>
        <w:gridCol w:w="4541"/>
      </w:tblGrid>
      <w:tr w14:paraId="302C6401">
        <w:tblPrEx>
          <w:tblCellMar>
            <w:top w:w="0" w:type="dxa"/>
            <w:left w:w="108" w:type="dxa"/>
            <w:bottom w:w="0" w:type="dxa"/>
            <w:right w:w="108" w:type="dxa"/>
          </w:tblCellMar>
        </w:tblPrEx>
        <w:trPr>
          <w:trHeight w:val="270"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000000" w:fill="DBE5F1"/>
            <w:vAlign w:val="center"/>
          </w:tcPr>
          <w:p w14:paraId="121F927E">
            <w:pPr>
              <w:pageBreakBefore w:val="0"/>
              <w:widowControl/>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序号</w:t>
            </w:r>
          </w:p>
        </w:tc>
        <w:tc>
          <w:tcPr>
            <w:tcW w:w="2142" w:type="dxa"/>
            <w:tcBorders>
              <w:top w:val="single" w:color="000000" w:sz="4" w:space="0"/>
              <w:left w:val="nil"/>
              <w:bottom w:val="single" w:color="000000" w:sz="4" w:space="0"/>
              <w:right w:val="single" w:color="000000" w:sz="4" w:space="0"/>
            </w:tcBorders>
            <w:shd w:val="clear" w:color="000000" w:fill="DBE5F1"/>
            <w:vAlign w:val="center"/>
          </w:tcPr>
          <w:p w14:paraId="5BCA026B">
            <w:pPr>
              <w:pageBreakBefore w:val="0"/>
              <w:widowControl/>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点位名称</w:t>
            </w:r>
          </w:p>
        </w:tc>
        <w:tc>
          <w:tcPr>
            <w:tcW w:w="1008" w:type="dxa"/>
            <w:tcBorders>
              <w:top w:val="single" w:color="000000" w:sz="4" w:space="0"/>
              <w:left w:val="nil"/>
              <w:bottom w:val="single" w:color="000000" w:sz="4" w:space="0"/>
              <w:right w:val="single" w:color="000000" w:sz="4" w:space="0"/>
            </w:tcBorders>
            <w:shd w:val="clear" w:color="000000" w:fill="DBE5F1"/>
            <w:vAlign w:val="center"/>
          </w:tcPr>
          <w:p w14:paraId="4920FA83">
            <w:pPr>
              <w:pageBreakBefore w:val="0"/>
              <w:widowControl/>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点位性质</w:t>
            </w:r>
          </w:p>
        </w:tc>
        <w:tc>
          <w:tcPr>
            <w:tcW w:w="4541" w:type="dxa"/>
            <w:tcBorders>
              <w:top w:val="single" w:color="000000" w:sz="4" w:space="0"/>
              <w:left w:val="nil"/>
              <w:bottom w:val="single" w:color="000000" w:sz="4" w:space="0"/>
              <w:right w:val="single" w:color="000000" w:sz="4" w:space="0"/>
            </w:tcBorders>
            <w:shd w:val="clear" w:color="000000" w:fill="DBE5F1"/>
            <w:vAlign w:val="center"/>
          </w:tcPr>
          <w:p w14:paraId="47B5AD17">
            <w:pPr>
              <w:pageBreakBefore w:val="0"/>
              <w:widowControl/>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地址</w:t>
            </w:r>
          </w:p>
        </w:tc>
      </w:tr>
      <w:tr w14:paraId="1E0B9346">
        <w:tblPrEx>
          <w:tblCellMar>
            <w:top w:w="0" w:type="dxa"/>
            <w:left w:w="108" w:type="dxa"/>
            <w:bottom w:w="0" w:type="dxa"/>
            <w:right w:w="108" w:type="dxa"/>
          </w:tblCellMar>
        </w:tblPrEx>
        <w:trPr>
          <w:trHeight w:val="48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566A4FB6">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w:t>
            </w:r>
          </w:p>
        </w:tc>
        <w:tc>
          <w:tcPr>
            <w:tcW w:w="2142" w:type="dxa"/>
            <w:tcBorders>
              <w:top w:val="nil"/>
              <w:left w:val="nil"/>
              <w:bottom w:val="single" w:color="000000" w:sz="4" w:space="0"/>
              <w:right w:val="single" w:color="000000" w:sz="4" w:space="0"/>
            </w:tcBorders>
            <w:shd w:val="clear" w:color="000000" w:fill="FFFFFF"/>
            <w:vAlign w:val="center"/>
          </w:tcPr>
          <w:p w14:paraId="14F23BA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南京仙林</w:t>
            </w:r>
          </w:p>
        </w:tc>
        <w:tc>
          <w:tcPr>
            <w:tcW w:w="1008" w:type="dxa"/>
            <w:tcBorders>
              <w:top w:val="nil"/>
              <w:left w:val="nil"/>
              <w:bottom w:val="single" w:color="000000" w:sz="4" w:space="0"/>
              <w:right w:val="single" w:color="000000" w:sz="4" w:space="0"/>
            </w:tcBorders>
            <w:shd w:val="clear" w:color="000000" w:fill="FFFFFF"/>
            <w:vAlign w:val="center"/>
          </w:tcPr>
          <w:p w14:paraId="1B14F30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06D0E7B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南京市栖霞区仙林大道163号－南京大学仙林校区气象观测场</w:t>
            </w:r>
          </w:p>
        </w:tc>
      </w:tr>
      <w:tr w14:paraId="31C89AD3">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B722ACD">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w:t>
            </w:r>
          </w:p>
        </w:tc>
        <w:tc>
          <w:tcPr>
            <w:tcW w:w="2142" w:type="dxa"/>
            <w:tcBorders>
              <w:top w:val="nil"/>
              <w:left w:val="nil"/>
              <w:bottom w:val="single" w:color="000000" w:sz="4" w:space="0"/>
              <w:right w:val="single" w:color="000000" w:sz="4" w:space="0"/>
            </w:tcBorders>
            <w:shd w:val="clear" w:color="000000" w:fill="FFFFFF"/>
            <w:vAlign w:val="center"/>
          </w:tcPr>
          <w:p w14:paraId="0918C88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南京江宁</w:t>
            </w:r>
          </w:p>
        </w:tc>
        <w:tc>
          <w:tcPr>
            <w:tcW w:w="1008" w:type="dxa"/>
            <w:tcBorders>
              <w:top w:val="nil"/>
              <w:left w:val="nil"/>
              <w:bottom w:val="single" w:color="000000" w:sz="4" w:space="0"/>
              <w:right w:val="single" w:color="000000" w:sz="4" w:space="0"/>
            </w:tcBorders>
            <w:shd w:val="clear" w:color="000000" w:fill="FFFFFF"/>
            <w:vAlign w:val="center"/>
          </w:tcPr>
          <w:p w14:paraId="77B412C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6F40D48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南京市秦淮路72号－江宁开发区污水处理厂</w:t>
            </w:r>
          </w:p>
        </w:tc>
      </w:tr>
      <w:tr w14:paraId="3F4F9113">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7614F266">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w:t>
            </w:r>
          </w:p>
        </w:tc>
        <w:tc>
          <w:tcPr>
            <w:tcW w:w="2142" w:type="dxa"/>
            <w:tcBorders>
              <w:top w:val="nil"/>
              <w:left w:val="nil"/>
              <w:bottom w:val="single" w:color="000000" w:sz="4" w:space="0"/>
              <w:right w:val="single" w:color="000000" w:sz="4" w:space="0"/>
            </w:tcBorders>
            <w:shd w:val="clear" w:color="000000" w:fill="FFFFFF"/>
            <w:vAlign w:val="center"/>
          </w:tcPr>
          <w:p w14:paraId="5D22126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无锡太科园</w:t>
            </w:r>
          </w:p>
        </w:tc>
        <w:tc>
          <w:tcPr>
            <w:tcW w:w="1008" w:type="dxa"/>
            <w:tcBorders>
              <w:top w:val="nil"/>
              <w:left w:val="nil"/>
              <w:bottom w:val="single" w:color="000000" w:sz="4" w:space="0"/>
              <w:right w:val="single" w:color="000000" w:sz="4" w:space="0"/>
            </w:tcBorders>
            <w:shd w:val="clear" w:color="000000" w:fill="FFFFFF"/>
            <w:vAlign w:val="center"/>
          </w:tcPr>
          <w:p w14:paraId="2D6D399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00AFEBF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无锡新区太湖国际科技园管委会</w:t>
            </w:r>
          </w:p>
        </w:tc>
      </w:tr>
      <w:tr w14:paraId="37A52266">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24A27BFB">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4</w:t>
            </w:r>
          </w:p>
        </w:tc>
        <w:tc>
          <w:tcPr>
            <w:tcW w:w="2142" w:type="dxa"/>
            <w:tcBorders>
              <w:top w:val="nil"/>
              <w:left w:val="nil"/>
              <w:bottom w:val="single" w:color="000000" w:sz="4" w:space="0"/>
              <w:right w:val="single" w:color="000000" w:sz="4" w:space="0"/>
            </w:tcBorders>
            <w:shd w:val="clear" w:color="000000" w:fill="FFFFFF"/>
            <w:vAlign w:val="center"/>
          </w:tcPr>
          <w:p w14:paraId="29A6310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无锡新渎社区</w:t>
            </w:r>
          </w:p>
        </w:tc>
        <w:tc>
          <w:tcPr>
            <w:tcW w:w="1008" w:type="dxa"/>
            <w:tcBorders>
              <w:top w:val="nil"/>
              <w:left w:val="nil"/>
              <w:bottom w:val="single" w:color="000000" w:sz="4" w:space="0"/>
              <w:right w:val="single" w:color="000000" w:sz="4" w:space="0"/>
            </w:tcBorders>
            <w:shd w:val="clear" w:color="000000" w:fill="FFFFFF"/>
            <w:vAlign w:val="center"/>
          </w:tcPr>
          <w:p w14:paraId="5FBA1E5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3F776BB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无锡惠山区阳山镇新渎社区居民委员会</w:t>
            </w:r>
          </w:p>
        </w:tc>
      </w:tr>
      <w:tr w14:paraId="16820FFC">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4FC46A29">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5</w:t>
            </w:r>
          </w:p>
        </w:tc>
        <w:tc>
          <w:tcPr>
            <w:tcW w:w="2142" w:type="dxa"/>
            <w:tcBorders>
              <w:top w:val="nil"/>
              <w:left w:val="nil"/>
              <w:bottom w:val="single" w:color="000000" w:sz="4" w:space="0"/>
              <w:right w:val="single" w:color="000000" w:sz="4" w:space="0"/>
            </w:tcBorders>
            <w:shd w:val="clear" w:color="000000" w:fill="FFFFFF"/>
            <w:vAlign w:val="center"/>
          </w:tcPr>
          <w:p w14:paraId="6CE008E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徐州屯里</w:t>
            </w:r>
          </w:p>
        </w:tc>
        <w:tc>
          <w:tcPr>
            <w:tcW w:w="1008" w:type="dxa"/>
            <w:tcBorders>
              <w:top w:val="nil"/>
              <w:left w:val="nil"/>
              <w:bottom w:val="single" w:color="000000" w:sz="4" w:space="0"/>
              <w:right w:val="single" w:color="000000" w:sz="4" w:space="0"/>
            </w:tcBorders>
            <w:shd w:val="clear" w:color="000000" w:fill="FFFFFF"/>
            <w:vAlign w:val="center"/>
          </w:tcPr>
          <w:p w14:paraId="31EB883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47241F1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徐州市泉山区珠山西路屯里村</w:t>
            </w:r>
          </w:p>
        </w:tc>
      </w:tr>
      <w:tr w14:paraId="6559558C">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4FE2C8F">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6</w:t>
            </w:r>
          </w:p>
        </w:tc>
        <w:tc>
          <w:tcPr>
            <w:tcW w:w="2142" w:type="dxa"/>
            <w:tcBorders>
              <w:top w:val="nil"/>
              <w:left w:val="nil"/>
              <w:bottom w:val="single" w:color="000000" w:sz="4" w:space="0"/>
              <w:right w:val="single" w:color="000000" w:sz="4" w:space="0"/>
            </w:tcBorders>
            <w:shd w:val="clear" w:color="000000" w:fill="FFFFFF"/>
            <w:vAlign w:val="center"/>
          </w:tcPr>
          <w:p w14:paraId="69F0353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沛县鹿楼</w:t>
            </w:r>
          </w:p>
        </w:tc>
        <w:tc>
          <w:tcPr>
            <w:tcW w:w="1008" w:type="dxa"/>
            <w:tcBorders>
              <w:top w:val="nil"/>
              <w:left w:val="nil"/>
              <w:bottom w:val="single" w:color="000000" w:sz="4" w:space="0"/>
              <w:right w:val="single" w:color="000000" w:sz="4" w:space="0"/>
            </w:tcBorders>
            <w:shd w:val="clear" w:color="000000" w:fill="FFFFFF"/>
            <w:vAlign w:val="center"/>
          </w:tcPr>
          <w:p w14:paraId="6F23965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713F82F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鹿楼镇大沙河鸳楼闸闸管所</w:t>
            </w:r>
          </w:p>
        </w:tc>
      </w:tr>
      <w:tr w14:paraId="6C2CF8D2">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D572CF3">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7</w:t>
            </w:r>
          </w:p>
        </w:tc>
        <w:tc>
          <w:tcPr>
            <w:tcW w:w="2142" w:type="dxa"/>
            <w:tcBorders>
              <w:top w:val="nil"/>
              <w:left w:val="nil"/>
              <w:bottom w:val="single" w:color="000000" w:sz="4" w:space="0"/>
              <w:right w:val="single" w:color="000000" w:sz="4" w:space="0"/>
            </w:tcBorders>
            <w:shd w:val="clear" w:color="000000" w:fill="FFFFFF"/>
            <w:vAlign w:val="center"/>
          </w:tcPr>
          <w:p w14:paraId="6546208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睢宁沙集</w:t>
            </w:r>
          </w:p>
        </w:tc>
        <w:tc>
          <w:tcPr>
            <w:tcW w:w="1008" w:type="dxa"/>
            <w:tcBorders>
              <w:top w:val="nil"/>
              <w:left w:val="nil"/>
              <w:bottom w:val="single" w:color="000000" w:sz="4" w:space="0"/>
              <w:right w:val="single" w:color="000000" w:sz="4" w:space="0"/>
            </w:tcBorders>
            <w:shd w:val="clear" w:color="000000" w:fill="FFFFFF"/>
            <w:vAlign w:val="center"/>
          </w:tcPr>
          <w:p w14:paraId="21D56FE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19485D3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南水北调睢宁县沙集西闸水质自动监测站</w:t>
            </w:r>
          </w:p>
        </w:tc>
      </w:tr>
      <w:tr w14:paraId="36FB8C7A">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2C5B88F8">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8</w:t>
            </w:r>
          </w:p>
        </w:tc>
        <w:tc>
          <w:tcPr>
            <w:tcW w:w="2142" w:type="dxa"/>
            <w:tcBorders>
              <w:top w:val="nil"/>
              <w:left w:val="nil"/>
              <w:bottom w:val="single" w:color="000000" w:sz="4" w:space="0"/>
              <w:right w:val="single" w:color="000000" w:sz="4" w:space="0"/>
            </w:tcBorders>
            <w:shd w:val="clear" w:color="000000" w:fill="FFFFFF"/>
            <w:vAlign w:val="center"/>
          </w:tcPr>
          <w:p w14:paraId="672D372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常州洛阳中心小学</w:t>
            </w:r>
          </w:p>
        </w:tc>
        <w:tc>
          <w:tcPr>
            <w:tcW w:w="1008" w:type="dxa"/>
            <w:tcBorders>
              <w:top w:val="nil"/>
              <w:left w:val="nil"/>
              <w:bottom w:val="single" w:color="000000" w:sz="4" w:space="0"/>
              <w:right w:val="single" w:color="000000" w:sz="4" w:space="0"/>
            </w:tcBorders>
            <w:shd w:val="clear" w:color="000000" w:fill="FFFFFF"/>
            <w:vAlign w:val="center"/>
          </w:tcPr>
          <w:p w14:paraId="371DE05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4A6138A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常州市武进区永安里路</w:t>
            </w:r>
          </w:p>
        </w:tc>
      </w:tr>
      <w:tr w14:paraId="63E19246">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56D43499">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9</w:t>
            </w:r>
          </w:p>
        </w:tc>
        <w:tc>
          <w:tcPr>
            <w:tcW w:w="2142" w:type="dxa"/>
            <w:tcBorders>
              <w:top w:val="nil"/>
              <w:left w:val="nil"/>
              <w:bottom w:val="single" w:color="000000" w:sz="4" w:space="0"/>
              <w:right w:val="single" w:color="000000" w:sz="4" w:space="0"/>
            </w:tcBorders>
            <w:shd w:val="clear" w:color="000000" w:fill="FFFFFF"/>
            <w:vAlign w:val="center"/>
          </w:tcPr>
          <w:p w14:paraId="3AC9B1A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常州西夏墅</w:t>
            </w:r>
          </w:p>
        </w:tc>
        <w:tc>
          <w:tcPr>
            <w:tcW w:w="1008" w:type="dxa"/>
            <w:tcBorders>
              <w:top w:val="nil"/>
              <w:left w:val="nil"/>
              <w:bottom w:val="single" w:color="000000" w:sz="4" w:space="0"/>
              <w:right w:val="single" w:color="000000" w:sz="4" w:space="0"/>
            </w:tcBorders>
            <w:shd w:val="clear" w:color="000000" w:fill="FFFFFF"/>
            <w:vAlign w:val="center"/>
          </w:tcPr>
          <w:p w14:paraId="197C4B6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05BC31E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常州市新北区阳澄湖路231号</w:t>
            </w:r>
          </w:p>
        </w:tc>
      </w:tr>
      <w:tr w14:paraId="5B12F3B8">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070E6D20">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10</w:t>
            </w:r>
          </w:p>
        </w:tc>
        <w:tc>
          <w:tcPr>
            <w:tcW w:w="2142" w:type="dxa"/>
            <w:tcBorders>
              <w:top w:val="nil"/>
              <w:left w:val="nil"/>
              <w:bottom w:val="single" w:color="000000" w:sz="4" w:space="0"/>
              <w:right w:val="single" w:color="000000" w:sz="4" w:space="0"/>
            </w:tcBorders>
            <w:shd w:val="clear" w:color="000000" w:fill="FFFFFF"/>
            <w:vAlign w:val="center"/>
          </w:tcPr>
          <w:p w14:paraId="66DA4C9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溧阳天目湖</w:t>
            </w:r>
          </w:p>
        </w:tc>
        <w:tc>
          <w:tcPr>
            <w:tcW w:w="1008" w:type="dxa"/>
            <w:tcBorders>
              <w:top w:val="nil"/>
              <w:left w:val="nil"/>
              <w:bottom w:val="single" w:color="000000" w:sz="4" w:space="0"/>
              <w:right w:val="single" w:color="000000" w:sz="4" w:space="0"/>
            </w:tcBorders>
            <w:shd w:val="clear" w:color="000000" w:fill="FFFFFF"/>
            <w:vAlign w:val="center"/>
          </w:tcPr>
          <w:p w14:paraId="12367D7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3A0ECDC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溧阳天目湖景区内</w:t>
            </w:r>
          </w:p>
        </w:tc>
      </w:tr>
      <w:tr w14:paraId="38810D40">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04958B8">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11</w:t>
            </w:r>
          </w:p>
        </w:tc>
        <w:tc>
          <w:tcPr>
            <w:tcW w:w="2142" w:type="dxa"/>
            <w:tcBorders>
              <w:top w:val="nil"/>
              <w:left w:val="nil"/>
              <w:bottom w:val="single" w:color="000000" w:sz="4" w:space="0"/>
              <w:right w:val="single" w:color="000000" w:sz="4" w:space="0"/>
            </w:tcBorders>
            <w:shd w:val="clear" w:color="000000" w:fill="FFFFFF"/>
            <w:vAlign w:val="center"/>
          </w:tcPr>
          <w:p w14:paraId="2A0896A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苏州科技学院</w:t>
            </w:r>
          </w:p>
        </w:tc>
        <w:tc>
          <w:tcPr>
            <w:tcW w:w="1008" w:type="dxa"/>
            <w:tcBorders>
              <w:top w:val="nil"/>
              <w:left w:val="nil"/>
              <w:bottom w:val="single" w:color="000000" w:sz="4" w:space="0"/>
              <w:right w:val="single" w:color="000000" w:sz="4" w:space="0"/>
            </w:tcBorders>
            <w:shd w:val="clear" w:color="000000" w:fill="FFFFFF"/>
            <w:vAlign w:val="center"/>
          </w:tcPr>
          <w:p w14:paraId="13ED058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20C1028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苏州市新区的苏州科技学院江枫校区内</w:t>
            </w:r>
          </w:p>
        </w:tc>
      </w:tr>
      <w:tr w14:paraId="0F12469A">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1EB9B510">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12</w:t>
            </w:r>
          </w:p>
        </w:tc>
        <w:tc>
          <w:tcPr>
            <w:tcW w:w="2142" w:type="dxa"/>
            <w:tcBorders>
              <w:top w:val="nil"/>
              <w:left w:val="nil"/>
              <w:bottom w:val="single" w:color="000000" w:sz="4" w:space="0"/>
              <w:right w:val="single" w:color="000000" w:sz="4" w:space="0"/>
            </w:tcBorders>
            <w:shd w:val="clear" w:color="000000" w:fill="FFFFFF"/>
            <w:vAlign w:val="center"/>
          </w:tcPr>
          <w:p w14:paraId="2E3C4E9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常熟蒋巷</w:t>
            </w:r>
          </w:p>
        </w:tc>
        <w:tc>
          <w:tcPr>
            <w:tcW w:w="1008" w:type="dxa"/>
            <w:tcBorders>
              <w:top w:val="nil"/>
              <w:left w:val="nil"/>
              <w:bottom w:val="single" w:color="000000" w:sz="4" w:space="0"/>
              <w:right w:val="single" w:color="000000" w:sz="4" w:space="0"/>
            </w:tcBorders>
            <w:shd w:val="clear" w:color="000000" w:fill="FFFFFF"/>
            <w:vAlign w:val="center"/>
          </w:tcPr>
          <w:p w14:paraId="125873D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4C2E74F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常蒋巷村生态环境园内</w:t>
            </w:r>
          </w:p>
        </w:tc>
      </w:tr>
      <w:tr w14:paraId="7DE946DC">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0B9B49D">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13</w:t>
            </w:r>
          </w:p>
        </w:tc>
        <w:tc>
          <w:tcPr>
            <w:tcW w:w="2142" w:type="dxa"/>
            <w:tcBorders>
              <w:top w:val="nil"/>
              <w:left w:val="nil"/>
              <w:bottom w:val="single" w:color="000000" w:sz="4" w:space="0"/>
              <w:right w:val="single" w:color="000000" w:sz="4" w:space="0"/>
            </w:tcBorders>
            <w:shd w:val="clear" w:color="000000" w:fill="FFFFFF"/>
            <w:vAlign w:val="center"/>
          </w:tcPr>
          <w:p w14:paraId="75E48FF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南通陈桥中学</w:t>
            </w:r>
          </w:p>
        </w:tc>
        <w:tc>
          <w:tcPr>
            <w:tcW w:w="1008" w:type="dxa"/>
            <w:tcBorders>
              <w:top w:val="nil"/>
              <w:left w:val="nil"/>
              <w:bottom w:val="single" w:color="000000" w:sz="4" w:space="0"/>
              <w:right w:val="single" w:color="000000" w:sz="4" w:space="0"/>
            </w:tcBorders>
            <w:shd w:val="clear" w:color="000000" w:fill="FFFFFF"/>
            <w:vAlign w:val="center"/>
          </w:tcPr>
          <w:p w14:paraId="1DEC2D7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428363A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南通市港闸区陈桥乡陈桥村</w:t>
            </w:r>
          </w:p>
        </w:tc>
      </w:tr>
      <w:tr w14:paraId="63BA3312">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0FCB3D0B">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14</w:t>
            </w:r>
          </w:p>
        </w:tc>
        <w:tc>
          <w:tcPr>
            <w:tcW w:w="2142" w:type="dxa"/>
            <w:tcBorders>
              <w:top w:val="nil"/>
              <w:left w:val="nil"/>
              <w:bottom w:val="single" w:color="000000" w:sz="4" w:space="0"/>
              <w:right w:val="single" w:color="000000" w:sz="4" w:space="0"/>
            </w:tcBorders>
            <w:shd w:val="clear" w:color="000000" w:fill="FFFFFF"/>
            <w:vAlign w:val="center"/>
          </w:tcPr>
          <w:p w14:paraId="46EDBFB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南通先锋镇</w:t>
            </w:r>
          </w:p>
        </w:tc>
        <w:tc>
          <w:tcPr>
            <w:tcW w:w="1008" w:type="dxa"/>
            <w:tcBorders>
              <w:top w:val="nil"/>
              <w:left w:val="nil"/>
              <w:bottom w:val="single" w:color="000000" w:sz="4" w:space="0"/>
              <w:right w:val="single" w:color="000000" w:sz="4" w:space="0"/>
            </w:tcBorders>
            <w:shd w:val="clear" w:color="000000" w:fill="FFFFFF"/>
            <w:vAlign w:val="center"/>
          </w:tcPr>
          <w:p w14:paraId="275E9B3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1AE7F47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南通市先锋镇苏家埭村村委会</w:t>
            </w:r>
          </w:p>
        </w:tc>
      </w:tr>
      <w:tr w14:paraId="636558CD">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4B72BD17">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15</w:t>
            </w:r>
          </w:p>
        </w:tc>
        <w:tc>
          <w:tcPr>
            <w:tcW w:w="2142" w:type="dxa"/>
            <w:tcBorders>
              <w:top w:val="nil"/>
              <w:left w:val="nil"/>
              <w:bottom w:val="single" w:color="000000" w:sz="4" w:space="0"/>
              <w:right w:val="single" w:color="000000" w:sz="4" w:space="0"/>
            </w:tcBorders>
            <w:shd w:val="clear" w:color="000000" w:fill="FFFFFF"/>
            <w:vAlign w:val="center"/>
          </w:tcPr>
          <w:p w14:paraId="709BCCB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通州东社中学</w:t>
            </w:r>
          </w:p>
        </w:tc>
        <w:tc>
          <w:tcPr>
            <w:tcW w:w="1008" w:type="dxa"/>
            <w:tcBorders>
              <w:top w:val="nil"/>
              <w:left w:val="nil"/>
              <w:bottom w:val="single" w:color="000000" w:sz="4" w:space="0"/>
              <w:right w:val="single" w:color="000000" w:sz="4" w:space="0"/>
            </w:tcBorders>
            <w:shd w:val="clear" w:color="000000" w:fill="FFFFFF"/>
            <w:vAlign w:val="center"/>
          </w:tcPr>
          <w:p w14:paraId="2AE42B4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3C9C8D1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南通市通州区东社镇东社中学</w:t>
            </w:r>
          </w:p>
        </w:tc>
      </w:tr>
      <w:tr w14:paraId="28EB21B1">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5E5F894D">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16</w:t>
            </w:r>
          </w:p>
        </w:tc>
        <w:tc>
          <w:tcPr>
            <w:tcW w:w="2142" w:type="dxa"/>
            <w:tcBorders>
              <w:top w:val="nil"/>
              <w:left w:val="nil"/>
              <w:bottom w:val="single" w:color="000000" w:sz="4" w:space="0"/>
              <w:right w:val="single" w:color="000000" w:sz="4" w:space="0"/>
            </w:tcBorders>
            <w:shd w:val="clear" w:color="000000" w:fill="FFFFFF"/>
            <w:vAlign w:val="center"/>
          </w:tcPr>
          <w:p w14:paraId="533A396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连云港东西连岛</w:t>
            </w:r>
          </w:p>
        </w:tc>
        <w:tc>
          <w:tcPr>
            <w:tcW w:w="1008" w:type="dxa"/>
            <w:tcBorders>
              <w:top w:val="nil"/>
              <w:left w:val="nil"/>
              <w:bottom w:val="single" w:color="000000" w:sz="4" w:space="0"/>
              <w:right w:val="single" w:color="000000" w:sz="4" w:space="0"/>
            </w:tcBorders>
            <w:shd w:val="clear" w:color="000000" w:fill="FFFFFF"/>
            <w:vAlign w:val="center"/>
          </w:tcPr>
          <w:p w14:paraId="0DED864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574AA03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连云港市东西连岛康云油库内</w:t>
            </w:r>
          </w:p>
        </w:tc>
      </w:tr>
      <w:tr w14:paraId="67CD8C76">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4D143344">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17</w:t>
            </w:r>
          </w:p>
        </w:tc>
        <w:tc>
          <w:tcPr>
            <w:tcW w:w="2142" w:type="dxa"/>
            <w:tcBorders>
              <w:top w:val="nil"/>
              <w:left w:val="nil"/>
              <w:bottom w:val="single" w:color="000000" w:sz="4" w:space="0"/>
              <w:right w:val="single" w:color="000000" w:sz="4" w:space="0"/>
            </w:tcBorders>
            <w:shd w:val="clear" w:color="000000" w:fill="FFFFFF"/>
            <w:vAlign w:val="center"/>
          </w:tcPr>
          <w:p w14:paraId="1EC064D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连云港大圣湖</w:t>
            </w:r>
          </w:p>
        </w:tc>
        <w:tc>
          <w:tcPr>
            <w:tcW w:w="1008" w:type="dxa"/>
            <w:tcBorders>
              <w:top w:val="nil"/>
              <w:left w:val="nil"/>
              <w:bottom w:val="single" w:color="000000" w:sz="4" w:space="0"/>
              <w:right w:val="single" w:color="000000" w:sz="4" w:space="0"/>
            </w:tcBorders>
            <w:shd w:val="clear" w:color="000000" w:fill="FFFFFF"/>
            <w:vAlign w:val="center"/>
          </w:tcPr>
          <w:p w14:paraId="6DBD2CB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3BAF4A1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连云港花果山景区圣湖路圣王矿泉水公司楼顶</w:t>
            </w:r>
          </w:p>
        </w:tc>
      </w:tr>
      <w:tr w14:paraId="467F1070">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70C0972">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18</w:t>
            </w:r>
          </w:p>
        </w:tc>
        <w:tc>
          <w:tcPr>
            <w:tcW w:w="2142" w:type="dxa"/>
            <w:tcBorders>
              <w:top w:val="nil"/>
              <w:left w:val="nil"/>
              <w:bottom w:val="single" w:color="000000" w:sz="4" w:space="0"/>
              <w:right w:val="single" w:color="000000" w:sz="4" w:space="0"/>
            </w:tcBorders>
            <w:shd w:val="clear" w:color="000000" w:fill="FFFFFF"/>
            <w:vAlign w:val="center"/>
          </w:tcPr>
          <w:p w14:paraId="44F59BE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淮安淮阴师院</w:t>
            </w:r>
          </w:p>
        </w:tc>
        <w:tc>
          <w:tcPr>
            <w:tcW w:w="1008" w:type="dxa"/>
            <w:tcBorders>
              <w:top w:val="nil"/>
              <w:left w:val="nil"/>
              <w:bottom w:val="single" w:color="000000" w:sz="4" w:space="0"/>
              <w:right w:val="single" w:color="000000" w:sz="4" w:space="0"/>
            </w:tcBorders>
            <w:shd w:val="clear" w:color="000000" w:fill="FFFFFF"/>
            <w:vAlign w:val="center"/>
          </w:tcPr>
          <w:p w14:paraId="6E65AAB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3012100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淮安市长江西路111号</w:t>
            </w:r>
          </w:p>
        </w:tc>
      </w:tr>
      <w:tr w14:paraId="46B1C46F">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D7C09DA">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19</w:t>
            </w:r>
          </w:p>
        </w:tc>
        <w:tc>
          <w:tcPr>
            <w:tcW w:w="2142" w:type="dxa"/>
            <w:tcBorders>
              <w:top w:val="nil"/>
              <w:left w:val="nil"/>
              <w:bottom w:val="single" w:color="000000" w:sz="4" w:space="0"/>
              <w:right w:val="single" w:color="000000" w:sz="4" w:space="0"/>
            </w:tcBorders>
            <w:shd w:val="clear" w:color="000000" w:fill="FFFFFF"/>
            <w:vAlign w:val="center"/>
          </w:tcPr>
          <w:p w14:paraId="57BA5B2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淮安食品学院</w:t>
            </w:r>
          </w:p>
        </w:tc>
        <w:tc>
          <w:tcPr>
            <w:tcW w:w="1008" w:type="dxa"/>
            <w:tcBorders>
              <w:top w:val="nil"/>
              <w:left w:val="nil"/>
              <w:bottom w:val="single" w:color="000000" w:sz="4" w:space="0"/>
              <w:right w:val="single" w:color="000000" w:sz="4" w:space="0"/>
            </w:tcBorders>
            <w:shd w:val="clear" w:color="000000" w:fill="FFFFFF"/>
            <w:vAlign w:val="center"/>
          </w:tcPr>
          <w:p w14:paraId="2C3030A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24B1661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淮安市高教园区枚乘东路</w:t>
            </w:r>
          </w:p>
        </w:tc>
      </w:tr>
      <w:tr w14:paraId="7E7752FE">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46E0599A">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20</w:t>
            </w:r>
          </w:p>
        </w:tc>
        <w:tc>
          <w:tcPr>
            <w:tcW w:w="2142" w:type="dxa"/>
            <w:tcBorders>
              <w:top w:val="nil"/>
              <w:left w:val="nil"/>
              <w:bottom w:val="single" w:color="000000" w:sz="4" w:space="0"/>
              <w:right w:val="single" w:color="000000" w:sz="4" w:space="0"/>
            </w:tcBorders>
            <w:shd w:val="clear" w:color="000000" w:fill="FFFFFF"/>
            <w:vAlign w:val="center"/>
          </w:tcPr>
          <w:p w14:paraId="6735A47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盐城职教园</w:t>
            </w:r>
          </w:p>
        </w:tc>
        <w:tc>
          <w:tcPr>
            <w:tcW w:w="1008" w:type="dxa"/>
            <w:tcBorders>
              <w:top w:val="nil"/>
              <w:left w:val="nil"/>
              <w:bottom w:val="single" w:color="000000" w:sz="4" w:space="0"/>
              <w:right w:val="single" w:color="000000" w:sz="4" w:space="0"/>
            </w:tcBorders>
            <w:shd w:val="clear" w:color="000000" w:fill="FFFFFF"/>
            <w:vAlign w:val="center"/>
          </w:tcPr>
          <w:p w14:paraId="7F23705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5D0A14A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盐城市卫生职业技术学院</w:t>
            </w:r>
          </w:p>
        </w:tc>
      </w:tr>
      <w:tr w14:paraId="19245164">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5A293F5B">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21</w:t>
            </w:r>
          </w:p>
        </w:tc>
        <w:tc>
          <w:tcPr>
            <w:tcW w:w="2142" w:type="dxa"/>
            <w:tcBorders>
              <w:top w:val="nil"/>
              <w:left w:val="nil"/>
              <w:bottom w:val="single" w:color="000000" w:sz="4" w:space="0"/>
              <w:right w:val="single" w:color="000000" w:sz="4" w:space="0"/>
            </w:tcBorders>
            <w:shd w:val="clear" w:color="000000" w:fill="FFFFFF"/>
            <w:vAlign w:val="center"/>
          </w:tcPr>
          <w:p w14:paraId="25B879B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盐城新洋工业园</w:t>
            </w:r>
          </w:p>
        </w:tc>
        <w:tc>
          <w:tcPr>
            <w:tcW w:w="1008" w:type="dxa"/>
            <w:tcBorders>
              <w:top w:val="nil"/>
              <w:left w:val="nil"/>
              <w:bottom w:val="single" w:color="000000" w:sz="4" w:space="0"/>
              <w:right w:val="single" w:color="000000" w:sz="4" w:space="0"/>
            </w:tcBorders>
            <w:shd w:val="clear" w:color="000000" w:fill="FFFFFF"/>
            <w:vAlign w:val="center"/>
          </w:tcPr>
          <w:p w14:paraId="6AC9E7A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60D516A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盐城市新洋路58号（亭湖都市创业园)</w:t>
            </w:r>
          </w:p>
        </w:tc>
      </w:tr>
      <w:tr w14:paraId="3CB83F4F">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039DC37">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22</w:t>
            </w:r>
          </w:p>
        </w:tc>
        <w:tc>
          <w:tcPr>
            <w:tcW w:w="2142" w:type="dxa"/>
            <w:tcBorders>
              <w:top w:val="nil"/>
              <w:left w:val="nil"/>
              <w:bottom w:val="single" w:color="000000" w:sz="4" w:space="0"/>
              <w:right w:val="single" w:color="000000" w:sz="4" w:space="0"/>
            </w:tcBorders>
            <w:shd w:val="clear" w:color="000000" w:fill="FFFFFF"/>
            <w:vAlign w:val="center"/>
          </w:tcPr>
          <w:p w14:paraId="3004BB6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扬州汤汪</w:t>
            </w:r>
          </w:p>
        </w:tc>
        <w:tc>
          <w:tcPr>
            <w:tcW w:w="1008" w:type="dxa"/>
            <w:tcBorders>
              <w:top w:val="nil"/>
              <w:left w:val="nil"/>
              <w:bottom w:val="single" w:color="000000" w:sz="4" w:space="0"/>
              <w:right w:val="single" w:color="000000" w:sz="4" w:space="0"/>
            </w:tcBorders>
            <w:shd w:val="clear" w:color="000000" w:fill="FFFFFF"/>
            <w:vAlign w:val="center"/>
          </w:tcPr>
          <w:p w14:paraId="2593820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0AA5399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扬州汤汪路汤汪污水处理厂</w:t>
            </w:r>
          </w:p>
        </w:tc>
      </w:tr>
      <w:tr w14:paraId="3D389D0F">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ADD0B18">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23</w:t>
            </w:r>
          </w:p>
        </w:tc>
        <w:tc>
          <w:tcPr>
            <w:tcW w:w="2142" w:type="dxa"/>
            <w:tcBorders>
              <w:top w:val="nil"/>
              <w:left w:val="nil"/>
              <w:bottom w:val="single" w:color="000000" w:sz="4" w:space="0"/>
              <w:right w:val="single" w:color="000000" w:sz="4" w:space="0"/>
            </w:tcBorders>
            <w:shd w:val="clear" w:color="000000" w:fill="FFFFFF"/>
            <w:vAlign w:val="center"/>
          </w:tcPr>
          <w:p w14:paraId="5ACC1D1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扬州西湖</w:t>
            </w:r>
          </w:p>
        </w:tc>
        <w:tc>
          <w:tcPr>
            <w:tcW w:w="1008" w:type="dxa"/>
            <w:tcBorders>
              <w:top w:val="nil"/>
              <w:left w:val="nil"/>
              <w:bottom w:val="single" w:color="000000" w:sz="4" w:space="0"/>
              <w:right w:val="single" w:color="000000" w:sz="4" w:space="0"/>
            </w:tcBorders>
            <w:shd w:val="clear" w:color="000000" w:fill="FFFFFF"/>
            <w:vAlign w:val="center"/>
          </w:tcPr>
          <w:p w14:paraId="44F395C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72E8AA8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扬州扬子江北路城北自来水厂加压站</w:t>
            </w:r>
          </w:p>
        </w:tc>
      </w:tr>
      <w:tr w14:paraId="0780F401">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0A778EC5">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24</w:t>
            </w:r>
          </w:p>
        </w:tc>
        <w:tc>
          <w:tcPr>
            <w:tcW w:w="2142" w:type="dxa"/>
            <w:tcBorders>
              <w:top w:val="nil"/>
              <w:left w:val="nil"/>
              <w:bottom w:val="single" w:color="000000" w:sz="4" w:space="0"/>
              <w:right w:val="single" w:color="000000" w:sz="4" w:space="0"/>
            </w:tcBorders>
            <w:shd w:val="clear" w:color="000000" w:fill="FFFFFF"/>
            <w:vAlign w:val="center"/>
          </w:tcPr>
          <w:p w14:paraId="5850F7F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镇江平昌小学</w:t>
            </w:r>
          </w:p>
        </w:tc>
        <w:tc>
          <w:tcPr>
            <w:tcW w:w="1008" w:type="dxa"/>
            <w:tcBorders>
              <w:top w:val="nil"/>
              <w:left w:val="nil"/>
              <w:bottom w:val="single" w:color="000000" w:sz="4" w:space="0"/>
              <w:right w:val="single" w:color="000000" w:sz="4" w:space="0"/>
            </w:tcBorders>
            <w:shd w:val="clear" w:color="000000" w:fill="FFFFFF"/>
            <w:vAlign w:val="center"/>
          </w:tcPr>
          <w:p w14:paraId="2DEE7B2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187C73C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镇江市镇江新区丁岗镇平昌新城</w:t>
            </w:r>
          </w:p>
        </w:tc>
      </w:tr>
      <w:tr w14:paraId="7811D9F8">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51F0690A">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25</w:t>
            </w:r>
          </w:p>
        </w:tc>
        <w:tc>
          <w:tcPr>
            <w:tcW w:w="2142" w:type="dxa"/>
            <w:tcBorders>
              <w:top w:val="nil"/>
              <w:left w:val="nil"/>
              <w:bottom w:val="single" w:color="000000" w:sz="4" w:space="0"/>
              <w:right w:val="single" w:color="000000" w:sz="4" w:space="0"/>
            </w:tcBorders>
            <w:shd w:val="clear" w:color="000000" w:fill="FFFFFF"/>
            <w:vAlign w:val="center"/>
          </w:tcPr>
          <w:p w14:paraId="5E63D25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镇江万科中学</w:t>
            </w:r>
          </w:p>
        </w:tc>
        <w:tc>
          <w:tcPr>
            <w:tcW w:w="1008" w:type="dxa"/>
            <w:tcBorders>
              <w:top w:val="nil"/>
              <w:left w:val="nil"/>
              <w:bottom w:val="single" w:color="000000" w:sz="4" w:space="0"/>
              <w:right w:val="single" w:color="000000" w:sz="4" w:space="0"/>
            </w:tcBorders>
            <w:shd w:val="clear" w:color="000000" w:fill="FFFFFF"/>
            <w:vAlign w:val="center"/>
          </w:tcPr>
          <w:p w14:paraId="435D3EB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577FD95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镇江市润州区团山路(万科魅力之城中学）</w:t>
            </w:r>
          </w:p>
        </w:tc>
      </w:tr>
      <w:tr w14:paraId="13312C28">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2DF72C0">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26</w:t>
            </w:r>
          </w:p>
        </w:tc>
        <w:tc>
          <w:tcPr>
            <w:tcW w:w="2142" w:type="dxa"/>
            <w:tcBorders>
              <w:top w:val="nil"/>
              <w:left w:val="nil"/>
              <w:bottom w:val="single" w:color="000000" w:sz="4" w:space="0"/>
              <w:right w:val="single" w:color="000000" w:sz="4" w:space="0"/>
            </w:tcBorders>
            <w:shd w:val="clear" w:color="000000" w:fill="FFFFFF"/>
            <w:vAlign w:val="center"/>
          </w:tcPr>
          <w:p w14:paraId="135FADF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丹阳肇巷</w:t>
            </w:r>
          </w:p>
        </w:tc>
        <w:tc>
          <w:tcPr>
            <w:tcW w:w="1008" w:type="dxa"/>
            <w:tcBorders>
              <w:top w:val="nil"/>
              <w:left w:val="nil"/>
              <w:bottom w:val="single" w:color="000000" w:sz="4" w:space="0"/>
              <w:right w:val="single" w:color="000000" w:sz="4" w:space="0"/>
            </w:tcBorders>
            <w:shd w:val="clear" w:color="000000" w:fill="FFFFFF"/>
            <w:vAlign w:val="center"/>
          </w:tcPr>
          <w:p w14:paraId="2A7D951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17B09DB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丹阳市陵口自来水厂内</w:t>
            </w:r>
          </w:p>
        </w:tc>
      </w:tr>
      <w:tr w14:paraId="3206AE97">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2EC955C7">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27</w:t>
            </w:r>
          </w:p>
        </w:tc>
        <w:tc>
          <w:tcPr>
            <w:tcW w:w="2142" w:type="dxa"/>
            <w:tcBorders>
              <w:top w:val="nil"/>
              <w:left w:val="nil"/>
              <w:bottom w:val="single" w:color="000000" w:sz="4" w:space="0"/>
              <w:right w:val="single" w:color="000000" w:sz="4" w:space="0"/>
            </w:tcBorders>
            <w:shd w:val="clear" w:color="000000" w:fill="FFFFFF"/>
            <w:vAlign w:val="center"/>
          </w:tcPr>
          <w:p w14:paraId="51FAFA6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泰州天德湖</w:t>
            </w:r>
          </w:p>
        </w:tc>
        <w:tc>
          <w:tcPr>
            <w:tcW w:w="1008" w:type="dxa"/>
            <w:tcBorders>
              <w:top w:val="nil"/>
              <w:left w:val="nil"/>
              <w:bottom w:val="single" w:color="000000" w:sz="4" w:space="0"/>
              <w:right w:val="single" w:color="000000" w:sz="4" w:space="0"/>
            </w:tcBorders>
            <w:shd w:val="clear" w:color="000000" w:fill="FFFFFF"/>
            <w:vAlign w:val="center"/>
          </w:tcPr>
          <w:p w14:paraId="6840DAA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38534AB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泰州市鼓楼南路天德湖公园内</w:t>
            </w:r>
          </w:p>
        </w:tc>
      </w:tr>
      <w:tr w14:paraId="52979D83">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3809907">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28</w:t>
            </w:r>
          </w:p>
        </w:tc>
        <w:tc>
          <w:tcPr>
            <w:tcW w:w="2142" w:type="dxa"/>
            <w:tcBorders>
              <w:top w:val="nil"/>
              <w:left w:val="nil"/>
              <w:bottom w:val="single" w:color="000000" w:sz="4" w:space="0"/>
              <w:right w:val="single" w:color="000000" w:sz="4" w:space="0"/>
            </w:tcBorders>
            <w:shd w:val="clear" w:color="000000" w:fill="FFFFFF"/>
            <w:vAlign w:val="center"/>
          </w:tcPr>
          <w:p w14:paraId="026BF2E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泰州罡阳</w:t>
            </w:r>
          </w:p>
        </w:tc>
        <w:tc>
          <w:tcPr>
            <w:tcW w:w="1008" w:type="dxa"/>
            <w:tcBorders>
              <w:top w:val="nil"/>
              <w:left w:val="nil"/>
              <w:bottom w:val="single" w:color="000000" w:sz="4" w:space="0"/>
              <w:right w:val="single" w:color="000000" w:sz="4" w:space="0"/>
            </w:tcBorders>
            <w:shd w:val="clear" w:color="000000" w:fill="FFFFFF"/>
            <w:vAlign w:val="center"/>
          </w:tcPr>
          <w:p w14:paraId="549DDB1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7EF1C1E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泰州市罡阳镇镇政府内</w:t>
            </w:r>
          </w:p>
        </w:tc>
      </w:tr>
      <w:tr w14:paraId="05F95D51">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23D215FE">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29</w:t>
            </w:r>
          </w:p>
        </w:tc>
        <w:tc>
          <w:tcPr>
            <w:tcW w:w="2142" w:type="dxa"/>
            <w:tcBorders>
              <w:top w:val="nil"/>
              <w:left w:val="nil"/>
              <w:bottom w:val="single" w:color="000000" w:sz="4" w:space="0"/>
              <w:right w:val="single" w:color="000000" w:sz="4" w:space="0"/>
            </w:tcBorders>
            <w:shd w:val="clear" w:color="000000" w:fill="FFFFFF"/>
            <w:vAlign w:val="center"/>
          </w:tcPr>
          <w:p w14:paraId="14159A5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兴化李中</w:t>
            </w:r>
          </w:p>
        </w:tc>
        <w:tc>
          <w:tcPr>
            <w:tcW w:w="1008" w:type="dxa"/>
            <w:tcBorders>
              <w:top w:val="nil"/>
              <w:left w:val="nil"/>
              <w:bottom w:val="single" w:color="000000" w:sz="4" w:space="0"/>
              <w:right w:val="single" w:color="000000" w:sz="4" w:space="0"/>
            </w:tcBorders>
            <w:shd w:val="clear" w:color="000000" w:fill="FFFFFF"/>
            <w:vAlign w:val="center"/>
          </w:tcPr>
          <w:p w14:paraId="4B6C7C3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23529E6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兴化李中镇</w:t>
            </w:r>
          </w:p>
        </w:tc>
      </w:tr>
      <w:tr w14:paraId="22F7E10B">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72C32CC4">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30</w:t>
            </w:r>
          </w:p>
        </w:tc>
        <w:tc>
          <w:tcPr>
            <w:tcW w:w="2142" w:type="dxa"/>
            <w:tcBorders>
              <w:top w:val="nil"/>
              <w:left w:val="nil"/>
              <w:bottom w:val="single" w:color="000000" w:sz="4" w:space="0"/>
              <w:right w:val="single" w:color="000000" w:sz="4" w:space="0"/>
            </w:tcBorders>
            <w:shd w:val="clear" w:color="000000" w:fill="FFFFFF"/>
            <w:vAlign w:val="center"/>
          </w:tcPr>
          <w:p w14:paraId="208A806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宿迁技师学院</w:t>
            </w:r>
          </w:p>
        </w:tc>
        <w:tc>
          <w:tcPr>
            <w:tcW w:w="1008" w:type="dxa"/>
            <w:tcBorders>
              <w:top w:val="nil"/>
              <w:left w:val="nil"/>
              <w:bottom w:val="single" w:color="000000" w:sz="4" w:space="0"/>
              <w:right w:val="single" w:color="000000" w:sz="4" w:space="0"/>
            </w:tcBorders>
            <w:shd w:val="clear" w:color="000000" w:fill="FFFFFF"/>
            <w:vAlign w:val="center"/>
          </w:tcPr>
          <w:p w14:paraId="332B819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3D297B1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宿迁市书山路与学海路之间江苏省</w:t>
            </w:r>
          </w:p>
        </w:tc>
      </w:tr>
      <w:tr w14:paraId="00F1822F">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613C23F6">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31</w:t>
            </w:r>
          </w:p>
        </w:tc>
        <w:tc>
          <w:tcPr>
            <w:tcW w:w="2142" w:type="dxa"/>
            <w:tcBorders>
              <w:top w:val="nil"/>
              <w:left w:val="nil"/>
              <w:bottom w:val="single" w:color="000000" w:sz="4" w:space="0"/>
              <w:right w:val="single" w:color="000000" w:sz="4" w:space="0"/>
            </w:tcBorders>
            <w:shd w:val="clear" w:color="000000" w:fill="FFFFFF"/>
            <w:vAlign w:val="center"/>
          </w:tcPr>
          <w:p w14:paraId="4DC7B26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宿迁银控公司</w:t>
            </w:r>
          </w:p>
        </w:tc>
        <w:tc>
          <w:tcPr>
            <w:tcW w:w="1008" w:type="dxa"/>
            <w:tcBorders>
              <w:top w:val="nil"/>
              <w:left w:val="nil"/>
              <w:bottom w:val="single" w:color="000000" w:sz="4" w:space="0"/>
              <w:right w:val="single" w:color="000000" w:sz="4" w:space="0"/>
            </w:tcBorders>
            <w:shd w:val="clear" w:color="000000" w:fill="FFFFFF"/>
            <w:vAlign w:val="center"/>
          </w:tcPr>
          <w:p w14:paraId="32B45E7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质控点</w:t>
            </w:r>
          </w:p>
        </w:tc>
        <w:tc>
          <w:tcPr>
            <w:tcW w:w="4541" w:type="dxa"/>
            <w:tcBorders>
              <w:top w:val="nil"/>
              <w:left w:val="nil"/>
              <w:bottom w:val="single" w:color="000000" w:sz="4" w:space="0"/>
              <w:right w:val="single" w:color="000000" w:sz="4" w:space="0"/>
            </w:tcBorders>
            <w:shd w:val="clear" w:color="000000" w:fill="FFFFFF"/>
            <w:vAlign w:val="center"/>
          </w:tcPr>
          <w:p w14:paraId="585A8AE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宿城新区气象观测场</w:t>
            </w:r>
          </w:p>
        </w:tc>
      </w:tr>
      <w:tr w14:paraId="405756C0">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7610B39">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32</w:t>
            </w:r>
          </w:p>
        </w:tc>
        <w:tc>
          <w:tcPr>
            <w:tcW w:w="2142" w:type="dxa"/>
            <w:tcBorders>
              <w:top w:val="nil"/>
              <w:left w:val="nil"/>
              <w:bottom w:val="single" w:color="000000" w:sz="4" w:space="0"/>
              <w:right w:val="single" w:color="000000" w:sz="4" w:space="0"/>
            </w:tcBorders>
            <w:shd w:val="clear" w:color="000000" w:fill="FFFFFF"/>
            <w:vAlign w:val="center"/>
          </w:tcPr>
          <w:p w14:paraId="5D90126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宿迁嶂山闸</w:t>
            </w:r>
          </w:p>
        </w:tc>
        <w:tc>
          <w:tcPr>
            <w:tcW w:w="1008" w:type="dxa"/>
            <w:tcBorders>
              <w:top w:val="nil"/>
              <w:left w:val="nil"/>
              <w:bottom w:val="single" w:color="000000" w:sz="4" w:space="0"/>
              <w:right w:val="single" w:color="000000" w:sz="4" w:space="0"/>
            </w:tcBorders>
            <w:shd w:val="clear" w:color="000000" w:fill="FFFFFF"/>
            <w:vAlign w:val="center"/>
          </w:tcPr>
          <w:p w14:paraId="31BB0FB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农村点</w:t>
            </w:r>
          </w:p>
        </w:tc>
        <w:tc>
          <w:tcPr>
            <w:tcW w:w="4541" w:type="dxa"/>
            <w:tcBorders>
              <w:top w:val="nil"/>
              <w:left w:val="nil"/>
              <w:bottom w:val="single" w:color="000000" w:sz="4" w:space="0"/>
              <w:right w:val="single" w:color="000000" w:sz="4" w:space="0"/>
            </w:tcBorders>
            <w:shd w:val="clear" w:color="000000" w:fill="FFFFFF"/>
            <w:vAlign w:val="center"/>
          </w:tcPr>
          <w:p w14:paraId="5772FC6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宿迁市嶂山闸管理局</w:t>
            </w:r>
          </w:p>
        </w:tc>
      </w:tr>
      <w:tr w14:paraId="39CC5D3B">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421A214A">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33</w:t>
            </w:r>
          </w:p>
        </w:tc>
        <w:tc>
          <w:tcPr>
            <w:tcW w:w="2142" w:type="dxa"/>
            <w:tcBorders>
              <w:top w:val="nil"/>
              <w:left w:val="nil"/>
              <w:bottom w:val="single" w:color="000000" w:sz="4" w:space="0"/>
              <w:right w:val="single" w:color="000000" w:sz="4" w:space="0"/>
            </w:tcBorders>
            <w:shd w:val="clear" w:color="000000" w:fill="FFFFFF"/>
            <w:vAlign w:val="center"/>
          </w:tcPr>
          <w:p w14:paraId="28976B0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南京友联</w:t>
            </w:r>
          </w:p>
        </w:tc>
        <w:tc>
          <w:tcPr>
            <w:tcW w:w="1008" w:type="dxa"/>
            <w:tcBorders>
              <w:top w:val="nil"/>
              <w:left w:val="nil"/>
              <w:bottom w:val="single" w:color="000000" w:sz="4" w:space="0"/>
              <w:right w:val="single" w:color="000000" w:sz="4" w:space="0"/>
            </w:tcBorders>
            <w:shd w:val="clear" w:color="000000" w:fill="FFFFFF"/>
            <w:vAlign w:val="center"/>
          </w:tcPr>
          <w:p w14:paraId="679EBA0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边界站</w:t>
            </w:r>
          </w:p>
        </w:tc>
        <w:tc>
          <w:tcPr>
            <w:tcW w:w="4541" w:type="dxa"/>
            <w:tcBorders>
              <w:top w:val="nil"/>
              <w:left w:val="nil"/>
              <w:bottom w:val="single" w:color="000000" w:sz="4" w:space="0"/>
              <w:right w:val="single" w:color="000000" w:sz="4" w:space="0"/>
            </w:tcBorders>
            <w:shd w:val="clear" w:color="000000" w:fill="FFFFFF"/>
            <w:vAlign w:val="center"/>
          </w:tcPr>
          <w:p w14:paraId="0BC4D81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南京市浦口区永宁镇友联村</w:t>
            </w:r>
          </w:p>
        </w:tc>
      </w:tr>
      <w:tr w14:paraId="5D7C1BAC">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10FFCD3E">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34</w:t>
            </w:r>
          </w:p>
        </w:tc>
        <w:tc>
          <w:tcPr>
            <w:tcW w:w="2142" w:type="dxa"/>
            <w:tcBorders>
              <w:top w:val="nil"/>
              <w:left w:val="nil"/>
              <w:bottom w:val="single" w:color="000000" w:sz="4" w:space="0"/>
              <w:right w:val="single" w:color="000000" w:sz="4" w:space="0"/>
            </w:tcBorders>
            <w:shd w:val="clear" w:color="000000" w:fill="FFFFFF"/>
            <w:vAlign w:val="center"/>
          </w:tcPr>
          <w:p w14:paraId="42C4B1A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宜兴大港</w:t>
            </w:r>
          </w:p>
        </w:tc>
        <w:tc>
          <w:tcPr>
            <w:tcW w:w="1008" w:type="dxa"/>
            <w:tcBorders>
              <w:top w:val="nil"/>
              <w:left w:val="nil"/>
              <w:bottom w:val="single" w:color="000000" w:sz="4" w:space="0"/>
              <w:right w:val="single" w:color="000000" w:sz="4" w:space="0"/>
            </w:tcBorders>
            <w:shd w:val="clear" w:color="000000" w:fill="FFFFFF"/>
            <w:vAlign w:val="center"/>
          </w:tcPr>
          <w:p w14:paraId="2041727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边界站</w:t>
            </w:r>
          </w:p>
        </w:tc>
        <w:tc>
          <w:tcPr>
            <w:tcW w:w="4541" w:type="dxa"/>
            <w:tcBorders>
              <w:top w:val="nil"/>
              <w:left w:val="nil"/>
              <w:bottom w:val="single" w:color="000000" w:sz="4" w:space="0"/>
              <w:right w:val="single" w:color="000000" w:sz="4" w:space="0"/>
            </w:tcBorders>
            <w:shd w:val="clear" w:color="000000" w:fill="FFFFFF"/>
            <w:vAlign w:val="center"/>
          </w:tcPr>
          <w:p w14:paraId="66C47D6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无锡宜兴市丁蜀镇大港村</w:t>
            </w:r>
          </w:p>
        </w:tc>
      </w:tr>
      <w:tr w14:paraId="6A86942D">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34ABA498">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35</w:t>
            </w:r>
          </w:p>
        </w:tc>
        <w:tc>
          <w:tcPr>
            <w:tcW w:w="2142" w:type="dxa"/>
            <w:tcBorders>
              <w:top w:val="nil"/>
              <w:left w:val="nil"/>
              <w:bottom w:val="single" w:color="000000" w:sz="4" w:space="0"/>
              <w:right w:val="single" w:color="000000" w:sz="4" w:space="0"/>
            </w:tcBorders>
            <w:shd w:val="clear" w:color="000000" w:fill="FFFFFF"/>
            <w:vAlign w:val="center"/>
          </w:tcPr>
          <w:p w14:paraId="3F1762D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丰县沙庄桥</w:t>
            </w:r>
          </w:p>
        </w:tc>
        <w:tc>
          <w:tcPr>
            <w:tcW w:w="1008" w:type="dxa"/>
            <w:tcBorders>
              <w:top w:val="nil"/>
              <w:left w:val="nil"/>
              <w:bottom w:val="single" w:color="000000" w:sz="4" w:space="0"/>
              <w:right w:val="single" w:color="000000" w:sz="4" w:space="0"/>
            </w:tcBorders>
            <w:shd w:val="clear" w:color="000000" w:fill="FFFFFF"/>
            <w:vAlign w:val="center"/>
          </w:tcPr>
          <w:p w14:paraId="25A3B7D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边界站</w:t>
            </w:r>
          </w:p>
        </w:tc>
        <w:tc>
          <w:tcPr>
            <w:tcW w:w="4541" w:type="dxa"/>
            <w:tcBorders>
              <w:top w:val="nil"/>
              <w:left w:val="nil"/>
              <w:bottom w:val="single" w:color="000000" w:sz="4" w:space="0"/>
              <w:right w:val="single" w:color="000000" w:sz="4" w:space="0"/>
            </w:tcBorders>
            <w:shd w:val="clear" w:color="000000" w:fill="FFFFFF"/>
            <w:vAlign w:val="center"/>
          </w:tcPr>
          <w:p w14:paraId="734D744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徐州丰县沙庄桥水质自动站</w:t>
            </w:r>
          </w:p>
        </w:tc>
      </w:tr>
      <w:tr w14:paraId="66CFBCBD">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0660809E">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36</w:t>
            </w:r>
          </w:p>
        </w:tc>
        <w:tc>
          <w:tcPr>
            <w:tcW w:w="2142" w:type="dxa"/>
            <w:tcBorders>
              <w:top w:val="nil"/>
              <w:left w:val="nil"/>
              <w:bottom w:val="single" w:color="000000" w:sz="4" w:space="0"/>
              <w:right w:val="single" w:color="000000" w:sz="4" w:space="0"/>
            </w:tcBorders>
            <w:shd w:val="clear" w:color="000000" w:fill="FFFFFF"/>
            <w:vAlign w:val="center"/>
          </w:tcPr>
          <w:p w14:paraId="44E89DB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昆山淀山湖</w:t>
            </w:r>
          </w:p>
        </w:tc>
        <w:tc>
          <w:tcPr>
            <w:tcW w:w="1008" w:type="dxa"/>
            <w:tcBorders>
              <w:top w:val="nil"/>
              <w:left w:val="nil"/>
              <w:bottom w:val="single" w:color="000000" w:sz="4" w:space="0"/>
              <w:right w:val="single" w:color="000000" w:sz="4" w:space="0"/>
            </w:tcBorders>
            <w:shd w:val="clear" w:color="000000" w:fill="FFFFFF"/>
            <w:vAlign w:val="center"/>
          </w:tcPr>
          <w:p w14:paraId="27C4FD1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边界站</w:t>
            </w:r>
          </w:p>
        </w:tc>
        <w:tc>
          <w:tcPr>
            <w:tcW w:w="4541" w:type="dxa"/>
            <w:tcBorders>
              <w:top w:val="nil"/>
              <w:left w:val="nil"/>
              <w:bottom w:val="single" w:color="000000" w:sz="4" w:space="0"/>
              <w:right w:val="single" w:color="000000" w:sz="4" w:space="0"/>
            </w:tcBorders>
            <w:shd w:val="clear" w:color="000000" w:fill="FFFFFF"/>
            <w:vAlign w:val="center"/>
          </w:tcPr>
          <w:p w14:paraId="29B2E3E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苏州昆山市千灯镇新泾村村委会</w:t>
            </w:r>
          </w:p>
        </w:tc>
      </w:tr>
      <w:tr w14:paraId="27594171">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5624277D">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37</w:t>
            </w:r>
          </w:p>
        </w:tc>
        <w:tc>
          <w:tcPr>
            <w:tcW w:w="2142" w:type="dxa"/>
            <w:tcBorders>
              <w:top w:val="nil"/>
              <w:left w:val="nil"/>
              <w:bottom w:val="single" w:color="000000" w:sz="4" w:space="0"/>
              <w:right w:val="single" w:color="000000" w:sz="4" w:space="0"/>
            </w:tcBorders>
            <w:shd w:val="clear" w:color="000000" w:fill="FFFFFF"/>
            <w:vAlign w:val="center"/>
          </w:tcPr>
          <w:p w14:paraId="7D8CA4C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赣榆塔山水库</w:t>
            </w:r>
          </w:p>
        </w:tc>
        <w:tc>
          <w:tcPr>
            <w:tcW w:w="1008" w:type="dxa"/>
            <w:tcBorders>
              <w:top w:val="nil"/>
              <w:left w:val="nil"/>
              <w:bottom w:val="single" w:color="000000" w:sz="4" w:space="0"/>
              <w:right w:val="single" w:color="000000" w:sz="4" w:space="0"/>
            </w:tcBorders>
            <w:shd w:val="clear" w:color="000000" w:fill="FFFFFF"/>
            <w:vAlign w:val="center"/>
          </w:tcPr>
          <w:p w14:paraId="4928104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边界站</w:t>
            </w:r>
          </w:p>
        </w:tc>
        <w:tc>
          <w:tcPr>
            <w:tcW w:w="4541" w:type="dxa"/>
            <w:tcBorders>
              <w:top w:val="nil"/>
              <w:left w:val="nil"/>
              <w:bottom w:val="single" w:color="000000" w:sz="4" w:space="0"/>
              <w:right w:val="single" w:color="000000" w:sz="4" w:space="0"/>
            </w:tcBorders>
            <w:shd w:val="clear" w:color="000000" w:fill="FFFFFF"/>
            <w:vAlign w:val="center"/>
          </w:tcPr>
          <w:p w14:paraId="7D59506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连云港赣榆县塔山水库</w:t>
            </w:r>
          </w:p>
        </w:tc>
      </w:tr>
      <w:tr w14:paraId="02D3FEAA">
        <w:tblPrEx>
          <w:tblCellMar>
            <w:top w:w="0" w:type="dxa"/>
            <w:left w:w="108" w:type="dxa"/>
            <w:bottom w:w="0" w:type="dxa"/>
            <w:right w:w="108" w:type="dxa"/>
          </w:tblCellMar>
        </w:tblPrEx>
        <w:trPr>
          <w:trHeight w:val="270" w:hRule="atLeast"/>
          <w:jc w:val="center"/>
        </w:trPr>
        <w:tc>
          <w:tcPr>
            <w:tcW w:w="781" w:type="dxa"/>
            <w:tcBorders>
              <w:top w:val="nil"/>
              <w:left w:val="single" w:color="000000" w:sz="4" w:space="0"/>
              <w:bottom w:val="single" w:color="000000" w:sz="4" w:space="0"/>
              <w:right w:val="single" w:color="000000" w:sz="4" w:space="0"/>
            </w:tcBorders>
            <w:shd w:val="clear" w:color="000000" w:fill="FFFFFF"/>
            <w:vAlign w:val="bottom"/>
          </w:tcPr>
          <w:p w14:paraId="049CD85A">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lang w:bidi="ar"/>
              </w:rPr>
              <w:t>38</w:t>
            </w:r>
          </w:p>
        </w:tc>
        <w:tc>
          <w:tcPr>
            <w:tcW w:w="2142" w:type="dxa"/>
            <w:tcBorders>
              <w:top w:val="nil"/>
              <w:left w:val="nil"/>
              <w:bottom w:val="single" w:color="000000" w:sz="4" w:space="0"/>
              <w:right w:val="single" w:color="000000" w:sz="4" w:space="0"/>
            </w:tcBorders>
            <w:shd w:val="clear" w:color="000000" w:fill="FFFFFF"/>
            <w:vAlign w:val="center"/>
          </w:tcPr>
          <w:p w14:paraId="4D1CD02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太湖野外观测站</w:t>
            </w:r>
          </w:p>
        </w:tc>
        <w:tc>
          <w:tcPr>
            <w:tcW w:w="1008" w:type="dxa"/>
            <w:tcBorders>
              <w:top w:val="nil"/>
              <w:left w:val="nil"/>
              <w:bottom w:val="single" w:color="000000" w:sz="4" w:space="0"/>
              <w:right w:val="single" w:color="000000" w:sz="4" w:space="0"/>
            </w:tcBorders>
            <w:shd w:val="clear" w:color="000000" w:fill="FFFFFF"/>
            <w:vAlign w:val="center"/>
          </w:tcPr>
          <w:p w14:paraId="6D37F5B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太湖站</w:t>
            </w:r>
          </w:p>
        </w:tc>
        <w:tc>
          <w:tcPr>
            <w:tcW w:w="4541" w:type="dxa"/>
            <w:tcBorders>
              <w:top w:val="nil"/>
              <w:left w:val="nil"/>
              <w:bottom w:val="single" w:color="000000" w:sz="4" w:space="0"/>
              <w:right w:val="single" w:color="000000" w:sz="4" w:space="0"/>
            </w:tcBorders>
            <w:shd w:val="clear" w:color="000000" w:fill="FFFFFF"/>
            <w:vAlign w:val="center"/>
          </w:tcPr>
          <w:p w14:paraId="1D24608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苏州市吴中区环太湖大道</w:t>
            </w:r>
          </w:p>
        </w:tc>
      </w:tr>
    </w:tbl>
    <w:p w14:paraId="54997E3D">
      <w:pPr>
        <w:pageBreakBefore w:val="0"/>
        <w:widowControl/>
        <w:kinsoku/>
        <w:wordWrap/>
        <w:overflowPunct/>
        <w:topLinePunct w:val="0"/>
        <w:bidi w:val="0"/>
        <w:spacing w:line="360" w:lineRule="auto"/>
        <w:ind w:firstLine="48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w:t>
      </w:r>
      <w:r>
        <w:rPr>
          <w:rFonts w:hint="default" w:ascii="Times New Roman" w:hAnsi="Times New Roman" w:eastAsia="宋体" w:cs="Times New Roman"/>
          <w:szCs w:val="21"/>
          <w:highlight w:val="none"/>
          <w:shd w:val="clear" w:color="auto" w:fill="FFFFFF"/>
        </w:rPr>
        <w:t>实际站点根据财政经费拨付情况可能有所变化，具体以实际为准）</w:t>
      </w:r>
    </w:p>
    <w:p w14:paraId="5D093476">
      <w:pPr>
        <w:pageBreakBefore w:val="0"/>
        <w:widowControl/>
        <w:kinsoku/>
        <w:wordWrap/>
        <w:overflowPunct/>
        <w:topLinePunct w:val="0"/>
        <w:bidi w:val="0"/>
        <w:spacing w:line="360" w:lineRule="auto"/>
        <w:ind w:firstLine="480"/>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表4-2  各站点仪器设备清单</w:t>
      </w:r>
    </w:p>
    <w:tbl>
      <w:tblPr>
        <w:tblStyle w:val="48"/>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4427"/>
        <w:gridCol w:w="1534"/>
        <w:gridCol w:w="1701"/>
      </w:tblGrid>
      <w:tr w14:paraId="32EE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3406575F">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序号</w:t>
            </w:r>
          </w:p>
        </w:tc>
        <w:tc>
          <w:tcPr>
            <w:tcW w:w="4427" w:type="dxa"/>
            <w:vAlign w:val="center"/>
          </w:tcPr>
          <w:p w14:paraId="384F4F6F">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仪器名称</w:t>
            </w:r>
          </w:p>
        </w:tc>
        <w:tc>
          <w:tcPr>
            <w:tcW w:w="1534" w:type="dxa"/>
            <w:vAlign w:val="center"/>
          </w:tcPr>
          <w:p w14:paraId="242DF949">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厂家</w:t>
            </w:r>
          </w:p>
        </w:tc>
        <w:tc>
          <w:tcPr>
            <w:tcW w:w="1701" w:type="dxa"/>
            <w:vAlign w:val="center"/>
          </w:tcPr>
          <w:p w14:paraId="6F212987">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型号</w:t>
            </w:r>
          </w:p>
        </w:tc>
      </w:tr>
      <w:tr w14:paraId="1A37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7DABD51F">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c>
          <w:tcPr>
            <w:tcW w:w="4427" w:type="dxa"/>
            <w:vAlign w:val="center"/>
          </w:tcPr>
          <w:p w14:paraId="721229AE">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X</w:t>
            </w:r>
            <w:r>
              <w:rPr>
                <w:rFonts w:hint="default" w:ascii="Times New Roman" w:hAnsi="Times New Roman" w:eastAsia="宋体" w:cs="Times New Roman"/>
                <w:szCs w:val="21"/>
                <w:highlight w:val="none"/>
              </w:rPr>
              <w:t>分析仪</w:t>
            </w:r>
          </w:p>
        </w:tc>
        <w:tc>
          <w:tcPr>
            <w:tcW w:w="1534" w:type="dxa"/>
            <w:vAlign w:val="center"/>
          </w:tcPr>
          <w:p w14:paraId="748DC585">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Thermo</w:t>
            </w:r>
          </w:p>
        </w:tc>
        <w:tc>
          <w:tcPr>
            <w:tcW w:w="1701" w:type="dxa"/>
            <w:vAlign w:val="center"/>
          </w:tcPr>
          <w:p w14:paraId="686627E5">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42i</w:t>
            </w:r>
          </w:p>
        </w:tc>
      </w:tr>
      <w:tr w14:paraId="2A96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10" w:type="dxa"/>
            <w:vAlign w:val="center"/>
          </w:tcPr>
          <w:p w14:paraId="3B92A895">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c>
          <w:tcPr>
            <w:tcW w:w="4427" w:type="dxa"/>
            <w:vAlign w:val="center"/>
          </w:tcPr>
          <w:p w14:paraId="0FE161DF">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分析仪</w:t>
            </w:r>
          </w:p>
        </w:tc>
        <w:tc>
          <w:tcPr>
            <w:tcW w:w="1534" w:type="dxa"/>
            <w:vAlign w:val="center"/>
          </w:tcPr>
          <w:p w14:paraId="4AD74717">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Thermo</w:t>
            </w:r>
          </w:p>
        </w:tc>
        <w:tc>
          <w:tcPr>
            <w:tcW w:w="1701" w:type="dxa"/>
            <w:vAlign w:val="center"/>
          </w:tcPr>
          <w:p w14:paraId="6976803F">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43i</w:t>
            </w:r>
          </w:p>
        </w:tc>
      </w:tr>
      <w:tr w14:paraId="7498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15347EA0">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p>
        </w:tc>
        <w:tc>
          <w:tcPr>
            <w:tcW w:w="4427" w:type="dxa"/>
            <w:vAlign w:val="center"/>
          </w:tcPr>
          <w:p w14:paraId="4ED6C685">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CO分析仪</w:t>
            </w:r>
          </w:p>
        </w:tc>
        <w:tc>
          <w:tcPr>
            <w:tcW w:w="1534" w:type="dxa"/>
            <w:vAlign w:val="center"/>
          </w:tcPr>
          <w:p w14:paraId="7E7CFECF">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Thermo</w:t>
            </w:r>
          </w:p>
        </w:tc>
        <w:tc>
          <w:tcPr>
            <w:tcW w:w="1701" w:type="dxa"/>
            <w:vAlign w:val="center"/>
          </w:tcPr>
          <w:p w14:paraId="0B2BCAE2">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48i</w:t>
            </w:r>
          </w:p>
        </w:tc>
      </w:tr>
      <w:tr w14:paraId="280D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1504DCEF">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w:t>
            </w:r>
          </w:p>
        </w:tc>
        <w:tc>
          <w:tcPr>
            <w:tcW w:w="4427" w:type="dxa"/>
            <w:vAlign w:val="center"/>
          </w:tcPr>
          <w:p w14:paraId="596DD6FC">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分析仪</w:t>
            </w:r>
          </w:p>
        </w:tc>
        <w:tc>
          <w:tcPr>
            <w:tcW w:w="1534" w:type="dxa"/>
            <w:vAlign w:val="center"/>
          </w:tcPr>
          <w:p w14:paraId="1E0E4198">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Thermo</w:t>
            </w:r>
          </w:p>
        </w:tc>
        <w:tc>
          <w:tcPr>
            <w:tcW w:w="1701" w:type="dxa"/>
            <w:vAlign w:val="center"/>
          </w:tcPr>
          <w:p w14:paraId="79FA5434">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49i</w:t>
            </w:r>
          </w:p>
        </w:tc>
      </w:tr>
      <w:tr w14:paraId="4B619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6BDD4414">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w:t>
            </w:r>
          </w:p>
        </w:tc>
        <w:tc>
          <w:tcPr>
            <w:tcW w:w="4427" w:type="dxa"/>
            <w:vAlign w:val="center"/>
          </w:tcPr>
          <w:p w14:paraId="4D16D22B">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w:t>
            </w:r>
          </w:p>
        </w:tc>
        <w:tc>
          <w:tcPr>
            <w:tcW w:w="1534" w:type="dxa"/>
            <w:vAlign w:val="center"/>
          </w:tcPr>
          <w:p w14:paraId="3AB2038F">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METONE</w:t>
            </w:r>
          </w:p>
        </w:tc>
        <w:tc>
          <w:tcPr>
            <w:tcW w:w="1701" w:type="dxa"/>
            <w:vAlign w:val="center"/>
          </w:tcPr>
          <w:p w14:paraId="3453D3AE">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BAM1020</w:t>
            </w:r>
          </w:p>
        </w:tc>
      </w:tr>
      <w:tr w14:paraId="5162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1C219A22">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w:t>
            </w:r>
          </w:p>
        </w:tc>
        <w:tc>
          <w:tcPr>
            <w:tcW w:w="4427" w:type="dxa"/>
            <w:vAlign w:val="center"/>
          </w:tcPr>
          <w:p w14:paraId="7CB8905E">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w:t>
            </w:r>
          </w:p>
        </w:tc>
        <w:tc>
          <w:tcPr>
            <w:tcW w:w="1534" w:type="dxa"/>
            <w:vAlign w:val="center"/>
          </w:tcPr>
          <w:p w14:paraId="27F06696">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METONE</w:t>
            </w:r>
          </w:p>
        </w:tc>
        <w:tc>
          <w:tcPr>
            <w:tcW w:w="1701" w:type="dxa"/>
            <w:vAlign w:val="center"/>
          </w:tcPr>
          <w:p w14:paraId="6EDA231B">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BAM1020</w:t>
            </w:r>
          </w:p>
        </w:tc>
      </w:tr>
      <w:tr w14:paraId="03FF6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7DC1DB0B">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w:t>
            </w:r>
          </w:p>
        </w:tc>
        <w:tc>
          <w:tcPr>
            <w:tcW w:w="4427" w:type="dxa"/>
            <w:vAlign w:val="center"/>
          </w:tcPr>
          <w:p w14:paraId="7D8A5390">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零气发生器</w:t>
            </w:r>
          </w:p>
        </w:tc>
        <w:tc>
          <w:tcPr>
            <w:tcW w:w="1534" w:type="dxa"/>
            <w:vAlign w:val="center"/>
          </w:tcPr>
          <w:p w14:paraId="55FF33A2">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Sabio</w:t>
            </w:r>
          </w:p>
        </w:tc>
        <w:tc>
          <w:tcPr>
            <w:tcW w:w="1701" w:type="dxa"/>
            <w:vAlign w:val="center"/>
          </w:tcPr>
          <w:p w14:paraId="4E935388">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1001</w:t>
            </w:r>
          </w:p>
        </w:tc>
      </w:tr>
      <w:tr w14:paraId="34D2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53758B10">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w:t>
            </w:r>
          </w:p>
        </w:tc>
        <w:tc>
          <w:tcPr>
            <w:tcW w:w="4427" w:type="dxa"/>
            <w:vAlign w:val="center"/>
          </w:tcPr>
          <w:p w14:paraId="080B0ABD">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动态校准仪</w:t>
            </w:r>
          </w:p>
        </w:tc>
        <w:tc>
          <w:tcPr>
            <w:tcW w:w="1534" w:type="dxa"/>
            <w:vAlign w:val="center"/>
          </w:tcPr>
          <w:p w14:paraId="3AC04AB2">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Sabio</w:t>
            </w:r>
          </w:p>
        </w:tc>
        <w:tc>
          <w:tcPr>
            <w:tcW w:w="1701" w:type="dxa"/>
            <w:vAlign w:val="center"/>
          </w:tcPr>
          <w:p w14:paraId="49E76739">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4010</w:t>
            </w:r>
          </w:p>
        </w:tc>
      </w:tr>
      <w:tr w14:paraId="1766E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37500777">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w:t>
            </w:r>
          </w:p>
        </w:tc>
        <w:tc>
          <w:tcPr>
            <w:tcW w:w="4427" w:type="dxa"/>
            <w:vAlign w:val="center"/>
          </w:tcPr>
          <w:p w14:paraId="6A10BF86">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联网通信校准设备（PLC+工控机+交换机）</w:t>
            </w:r>
          </w:p>
        </w:tc>
        <w:tc>
          <w:tcPr>
            <w:tcW w:w="1534" w:type="dxa"/>
            <w:vAlign w:val="center"/>
          </w:tcPr>
          <w:p w14:paraId="2A525292">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研祥等</w:t>
            </w:r>
          </w:p>
        </w:tc>
        <w:tc>
          <w:tcPr>
            <w:tcW w:w="1701" w:type="dxa"/>
            <w:vAlign w:val="center"/>
          </w:tcPr>
          <w:p w14:paraId="7F559E38">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w:t>
            </w:r>
          </w:p>
        </w:tc>
      </w:tr>
      <w:tr w14:paraId="3039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49D8F069">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w:t>
            </w:r>
          </w:p>
        </w:tc>
        <w:tc>
          <w:tcPr>
            <w:tcW w:w="4427" w:type="dxa"/>
            <w:vAlign w:val="center"/>
          </w:tcPr>
          <w:p w14:paraId="2DBFB03E">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气象六参数</w:t>
            </w:r>
          </w:p>
        </w:tc>
        <w:tc>
          <w:tcPr>
            <w:tcW w:w="1534" w:type="dxa"/>
            <w:vAlign w:val="center"/>
          </w:tcPr>
          <w:p w14:paraId="6D3F5976">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维萨拉</w:t>
            </w:r>
          </w:p>
        </w:tc>
        <w:tc>
          <w:tcPr>
            <w:tcW w:w="1701" w:type="dxa"/>
            <w:vAlign w:val="center"/>
          </w:tcPr>
          <w:p w14:paraId="048CAF5B">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WXT520</w:t>
            </w:r>
          </w:p>
        </w:tc>
      </w:tr>
      <w:tr w14:paraId="729B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14:paraId="31683E58">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w:t>
            </w:r>
          </w:p>
        </w:tc>
        <w:tc>
          <w:tcPr>
            <w:tcW w:w="4427" w:type="dxa"/>
            <w:vAlign w:val="center"/>
          </w:tcPr>
          <w:p w14:paraId="7C12E158">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能见度</w:t>
            </w:r>
          </w:p>
        </w:tc>
        <w:tc>
          <w:tcPr>
            <w:tcW w:w="1534" w:type="dxa"/>
            <w:vAlign w:val="center"/>
          </w:tcPr>
          <w:p w14:paraId="29DF20C1">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维萨拉</w:t>
            </w:r>
          </w:p>
        </w:tc>
        <w:tc>
          <w:tcPr>
            <w:tcW w:w="1701" w:type="dxa"/>
            <w:vAlign w:val="center"/>
          </w:tcPr>
          <w:p w14:paraId="6274F43C">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PWD52</w:t>
            </w:r>
          </w:p>
        </w:tc>
      </w:tr>
    </w:tbl>
    <w:p w14:paraId="58FF5882">
      <w:pPr>
        <w:pStyle w:val="5"/>
        <w:pageBreakBefore w:val="0"/>
        <w:numPr>
          <w:ilvl w:val="2"/>
          <w:numId w:val="0"/>
        </w:numPr>
        <w:kinsoku/>
        <w:wordWrap/>
        <w:overflowPunct/>
        <w:topLinePunct w:val="0"/>
        <w:bidi w:val="0"/>
        <w:spacing w:before="0" w:after="0" w:line="360" w:lineRule="auto"/>
        <w:ind w:firstLine="422" w:firstLineChars="200"/>
        <w:rPr>
          <w:rFonts w:hint="default" w:ascii="Times New Roman" w:hAnsi="Times New Roman" w:eastAsia="宋体" w:cs="Times New Roman"/>
          <w:sz w:val="21"/>
          <w:szCs w:val="21"/>
          <w:highlight w:val="none"/>
        </w:rPr>
      </w:pPr>
      <w:bookmarkStart w:id="18" w:name="_Toc213334965"/>
      <w:bookmarkStart w:id="19" w:name="_Toc150188178"/>
      <w:bookmarkStart w:id="20" w:name="_Toc455153179"/>
      <w:r>
        <w:rPr>
          <w:rFonts w:hint="default" w:ascii="Times New Roman" w:hAnsi="Times New Roman" w:eastAsia="宋体" w:cs="Times New Roman"/>
          <w:sz w:val="21"/>
          <w:szCs w:val="21"/>
          <w:highlight w:val="none"/>
        </w:rPr>
        <w:t>二、</w:t>
      </w:r>
      <w:bookmarkStart w:id="21" w:name="OLE_LINK68"/>
      <w:bookmarkStart w:id="22" w:name="OLE_LINK69"/>
      <w:r>
        <w:rPr>
          <w:rFonts w:hint="default" w:ascii="Times New Roman" w:hAnsi="Times New Roman" w:eastAsia="宋体" w:cs="Times New Roman"/>
          <w:sz w:val="21"/>
          <w:szCs w:val="21"/>
          <w:highlight w:val="none"/>
        </w:rPr>
        <w:t>省控（质控、农村及边界）空气站运行维护要求</w:t>
      </w:r>
      <w:bookmarkEnd w:id="21"/>
      <w:bookmarkEnd w:id="22"/>
      <w:r>
        <w:rPr>
          <w:rFonts w:hint="default" w:ascii="Times New Roman" w:hAnsi="Times New Roman" w:eastAsia="宋体" w:cs="Times New Roman"/>
          <w:sz w:val="21"/>
          <w:szCs w:val="21"/>
          <w:highlight w:val="none"/>
        </w:rPr>
        <w:t>（采购包1）</w:t>
      </w:r>
      <w:bookmarkEnd w:id="18"/>
      <w:bookmarkEnd w:id="19"/>
      <w:bookmarkEnd w:id="20"/>
    </w:p>
    <w:p w14:paraId="2D6EFFB9">
      <w:pPr>
        <w:pageBreakBefore w:val="0"/>
        <w:tabs>
          <w:tab w:val="left" w:pos="2280"/>
        </w:tabs>
        <w:kinsoku/>
        <w:wordWrap/>
        <w:overflowPunct/>
        <w:topLinePunct w:val="0"/>
        <w:bidi w:val="0"/>
        <w:spacing w:line="360" w:lineRule="auto"/>
        <w:ind w:left="482"/>
        <w:contextualSpacing/>
        <w:outlineLvl w:val="2"/>
        <w:rPr>
          <w:rFonts w:hint="default" w:ascii="Times New Roman" w:hAnsi="Times New Roman" w:eastAsia="宋体" w:cs="Times New Roman"/>
          <w:b/>
          <w:szCs w:val="21"/>
          <w:highlight w:val="none"/>
        </w:rPr>
      </w:pPr>
      <w:bookmarkStart w:id="23" w:name="_Toc213334966"/>
      <w:bookmarkStart w:id="24" w:name="_Toc150187111"/>
      <w:r>
        <w:rPr>
          <w:rFonts w:hint="default" w:ascii="Times New Roman" w:hAnsi="Times New Roman" w:eastAsia="宋体" w:cs="Times New Roman"/>
          <w:b/>
          <w:szCs w:val="21"/>
          <w:highlight w:val="none"/>
        </w:rPr>
        <w:t>（一）机构、人员、车辆、设备配备要求</w:t>
      </w:r>
      <w:bookmarkEnd w:id="23"/>
      <w:bookmarkEnd w:id="24"/>
    </w:p>
    <w:p w14:paraId="3CCE41A9">
      <w:pPr>
        <w:pageBreakBefore w:val="0"/>
        <w:kinsoku/>
        <w:wordWrap/>
        <w:overflowPunct/>
        <w:topLinePunct w:val="0"/>
        <w:bidi w:val="0"/>
        <w:spacing w:line="360" w:lineRule="auto"/>
        <w:ind w:firstLine="480"/>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 xml:space="preserve">1.1 </w:t>
      </w:r>
      <w:r>
        <w:rPr>
          <w:rFonts w:hint="default" w:ascii="Times New Roman" w:hAnsi="Times New Roman" w:eastAsia="宋体" w:cs="Times New Roman"/>
          <w:szCs w:val="21"/>
          <w:highlight w:val="none"/>
        </w:rPr>
        <w:t>投标人需满足生态环境部门对站点仪器设备故障的响应时间要求，应在本分包各站点所在设区市均设有技术服务网点（须提供办事处或房屋租赁证明等材料）</w:t>
      </w:r>
      <w:bookmarkStart w:id="25" w:name="_Hlk83475588"/>
      <w:r>
        <w:rPr>
          <w:rFonts w:hint="default" w:ascii="Times New Roman" w:hAnsi="Times New Roman" w:eastAsia="宋体" w:cs="Times New Roman"/>
          <w:iCs/>
          <w:szCs w:val="21"/>
          <w:highlight w:val="none"/>
        </w:rPr>
        <w:t>，并提供本地化服务方案。</w:t>
      </w:r>
      <w:bookmarkEnd w:id="25"/>
      <w:r>
        <w:rPr>
          <w:rFonts w:hint="default" w:ascii="Times New Roman" w:hAnsi="Times New Roman" w:eastAsia="宋体" w:cs="Times New Roman"/>
          <w:iCs/>
          <w:szCs w:val="21"/>
          <w:highlight w:val="none"/>
        </w:rPr>
        <w:t>每4个站点至少配备1名经验丰富运维技术人员，同时确保所投分包地区范围内每个设区市范围内配备专车用于日常巡检，应保证配备的专用巡检车辆数量与负责日常维护的站点数量比值不低于1/4。（须车辆牌照、行驶证信息等）。</w:t>
      </w:r>
    </w:p>
    <w:p w14:paraId="292FA2B9">
      <w:pPr>
        <w:pageBreakBefore w:val="0"/>
        <w:kinsoku/>
        <w:wordWrap/>
        <w:overflowPunct/>
        <w:topLinePunct w:val="0"/>
        <w:bidi w:val="0"/>
        <w:spacing w:line="360" w:lineRule="auto"/>
        <w:ind w:firstLine="480"/>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1.2 投标人在合同签订后1周内，在江苏省环境监测中心配备具有较高素质的常驻工作人员4名（驻场人员须经中心认可，与中心其他项目不可兼任），驻场人员在省监测中心驻场工作时，需配备办公所需的电脑及打印机。同时根据省监测中心要求每日实时监控各站点的运维情况、数据审核等并配合江苏省环境监测中心开展相关站点的质控检查、数据统计分析及视频监控录像检查等相关工作。省监测中心有权要求投标人撤换不符合运维管理要求的工作人员。</w:t>
      </w:r>
    </w:p>
    <w:p w14:paraId="6DB1E3E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1.3 未经采购人同意，在合同期内不得擅自调整或更换驻场人员，若私自更换驻场人员，按每人10000元进行扣款；未经采购人同意，驻场人员私自参加其他项目服务，按每人每月8000元进行扣款。</w:t>
      </w:r>
    </w:p>
    <w:p w14:paraId="2F850A04">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 质量控制设备：投标人需要配备必要的质量控制设备，每个站点均须配备1套标准气体，标准气体须为生态环境部标样所或中国计量院生产的一级标准样品或物质；每个设区市范围内至少配备1套流量计、标准压力计、温度计和湿度计。</w:t>
      </w:r>
    </w:p>
    <w:p w14:paraId="270BF824">
      <w:pPr>
        <w:pageBreakBefore w:val="0"/>
        <w:tabs>
          <w:tab w:val="left" w:pos="2280"/>
        </w:tabs>
        <w:kinsoku/>
        <w:wordWrap/>
        <w:overflowPunct/>
        <w:topLinePunct w:val="0"/>
        <w:bidi w:val="0"/>
        <w:spacing w:line="360" w:lineRule="auto"/>
        <w:ind w:firstLine="480"/>
        <w:contextualSpacing/>
        <w:jc w:val="center"/>
        <w:rPr>
          <w:rFonts w:hint="default" w:ascii="Times New Roman" w:hAnsi="Times New Roman" w:eastAsia="宋体" w:cs="Times New Roman"/>
          <w:szCs w:val="21"/>
          <w:highlight w:val="none"/>
        </w:rPr>
      </w:pPr>
    </w:p>
    <w:p w14:paraId="578BC0F0">
      <w:pPr>
        <w:pageBreakBefore w:val="0"/>
        <w:tabs>
          <w:tab w:val="left" w:pos="2280"/>
        </w:tabs>
        <w:kinsoku/>
        <w:wordWrap/>
        <w:overflowPunct/>
        <w:topLinePunct w:val="0"/>
        <w:bidi w:val="0"/>
        <w:spacing w:line="360" w:lineRule="auto"/>
        <w:ind w:firstLine="480"/>
        <w:contextualSpacing/>
        <w:jc w:val="center"/>
        <w:rPr>
          <w:rFonts w:hint="default" w:ascii="Times New Roman" w:hAnsi="Times New Roman" w:eastAsia="宋体" w:cs="Times New Roman"/>
          <w:szCs w:val="21"/>
          <w:highlight w:val="none"/>
        </w:rPr>
      </w:pPr>
    </w:p>
    <w:p w14:paraId="1B97B809">
      <w:pPr>
        <w:pageBreakBefore w:val="0"/>
        <w:tabs>
          <w:tab w:val="left" w:pos="2280"/>
        </w:tabs>
        <w:kinsoku/>
        <w:wordWrap/>
        <w:overflowPunct/>
        <w:topLinePunct w:val="0"/>
        <w:bidi w:val="0"/>
        <w:spacing w:line="360" w:lineRule="auto"/>
        <w:ind w:firstLine="480"/>
        <w:contextualSpacing/>
        <w:jc w:val="center"/>
        <w:rPr>
          <w:rFonts w:hint="default" w:ascii="Times New Roman" w:hAnsi="Times New Roman" w:eastAsia="宋体" w:cs="Times New Roman"/>
          <w:szCs w:val="21"/>
          <w:highlight w:val="none"/>
        </w:rPr>
      </w:pPr>
    </w:p>
    <w:p w14:paraId="319F8CE1">
      <w:pPr>
        <w:pageBreakBefore w:val="0"/>
        <w:tabs>
          <w:tab w:val="left" w:pos="2280"/>
        </w:tabs>
        <w:kinsoku/>
        <w:wordWrap/>
        <w:overflowPunct/>
        <w:topLinePunct w:val="0"/>
        <w:bidi w:val="0"/>
        <w:spacing w:line="360" w:lineRule="auto"/>
        <w:ind w:firstLine="480"/>
        <w:contextualSpacing/>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质控设备配置要求清单</w:t>
      </w:r>
    </w:p>
    <w:tbl>
      <w:tblPr>
        <w:tblStyle w:val="48"/>
        <w:tblW w:w="7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8"/>
        <w:gridCol w:w="5120"/>
      </w:tblGrid>
      <w:tr w14:paraId="7D01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2838" w:type="dxa"/>
            <w:vAlign w:val="center"/>
          </w:tcPr>
          <w:p w14:paraId="600F12A4">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质控设备名称</w:t>
            </w:r>
          </w:p>
        </w:tc>
        <w:tc>
          <w:tcPr>
            <w:tcW w:w="5120" w:type="dxa"/>
            <w:vAlign w:val="center"/>
          </w:tcPr>
          <w:p w14:paraId="4DBAEB7C">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数量（台/套）</w:t>
            </w:r>
          </w:p>
        </w:tc>
      </w:tr>
      <w:tr w14:paraId="73BB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2838" w:type="dxa"/>
            <w:vAlign w:val="center"/>
          </w:tcPr>
          <w:p w14:paraId="126050F6">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大、小量程流量计</w:t>
            </w:r>
          </w:p>
          <w:p w14:paraId="67EAE3F8">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p>
        </w:tc>
        <w:tc>
          <w:tcPr>
            <w:tcW w:w="5120" w:type="dxa"/>
            <w:vAlign w:val="center"/>
          </w:tcPr>
          <w:p w14:paraId="420550E4">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每个设区市1套</w:t>
            </w:r>
          </w:p>
        </w:tc>
      </w:tr>
      <w:tr w14:paraId="3E3E2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2838" w:type="dxa"/>
            <w:vAlign w:val="center"/>
          </w:tcPr>
          <w:p w14:paraId="4645BF80">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标准气压计</w:t>
            </w:r>
          </w:p>
        </w:tc>
        <w:tc>
          <w:tcPr>
            <w:tcW w:w="5120" w:type="dxa"/>
            <w:vAlign w:val="center"/>
          </w:tcPr>
          <w:p w14:paraId="68D4BD0E">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每个设区市1套</w:t>
            </w:r>
          </w:p>
        </w:tc>
      </w:tr>
      <w:tr w14:paraId="093D6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2838" w:type="dxa"/>
            <w:vAlign w:val="center"/>
          </w:tcPr>
          <w:p w14:paraId="5FAD0CD4">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标准温、湿度计</w:t>
            </w:r>
          </w:p>
        </w:tc>
        <w:tc>
          <w:tcPr>
            <w:tcW w:w="5120" w:type="dxa"/>
            <w:vAlign w:val="center"/>
          </w:tcPr>
          <w:p w14:paraId="4095E80E">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对应采购包每个设区市1套</w:t>
            </w:r>
          </w:p>
        </w:tc>
      </w:tr>
      <w:tr w14:paraId="69B9A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exact"/>
          <w:jc w:val="center"/>
        </w:trPr>
        <w:tc>
          <w:tcPr>
            <w:tcW w:w="2838" w:type="dxa"/>
            <w:vAlign w:val="center"/>
          </w:tcPr>
          <w:p w14:paraId="52831FFF">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各种标准气体</w:t>
            </w:r>
          </w:p>
        </w:tc>
        <w:tc>
          <w:tcPr>
            <w:tcW w:w="5120" w:type="dxa"/>
            <w:vAlign w:val="center"/>
          </w:tcPr>
          <w:p w14:paraId="33677215">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每个站点1套（每套需包含SO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/CO三种标气）</w:t>
            </w:r>
          </w:p>
        </w:tc>
      </w:tr>
    </w:tbl>
    <w:p w14:paraId="5B82D9D5">
      <w:pPr>
        <w:pStyle w:val="401"/>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p>
    <w:p w14:paraId="24C7A85F">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bookmarkStart w:id="26" w:name="OLE_LINK25"/>
      <w:r>
        <w:rPr>
          <w:rFonts w:hint="default" w:ascii="Times New Roman" w:hAnsi="Times New Roman" w:eastAsia="宋体" w:cs="Times New Roman"/>
          <w:szCs w:val="21"/>
          <w:highlight w:val="none"/>
        </w:rPr>
        <w:t>5主要设备备机</w:t>
      </w:r>
      <w:bookmarkEnd w:id="26"/>
      <w:r>
        <w:rPr>
          <w:rFonts w:hint="default" w:ascii="Times New Roman" w:hAnsi="Times New Roman" w:eastAsia="宋体" w:cs="Times New Roman"/>
          <w:szCs w:val="21"/>
          <w:highlight w:val="none"/>
        </w:rPr>
        <w:t>：投标人须保证每8个站点配备1套六参数分析仪（SO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X</w:t>
      </w:r>
      <w:r>
        <w:rPr>
          <w:rFonts w:hint="default" w:ascii="Times New Roman" w:hAnsi="Times New Roman" w:eastAsia="宋体" w:cs="Times New Roman"/>
          <w:szCs w:val="21"/>
          <w:highlight w:val="none"/>
        </w:rPr>
        <w:t>、NO）、CO、O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备机（备机监测原理须与原机匹配），且提供的备机须通过生态环境部环境监测仪器质量监督检验中心的适用性检测。须提供备机配置情况清单（包括但不限于备机种类、数量、品牌、型号、原理等）、适用性检测证书。投标人中标后，需将备机送到省监测中心指定地点，经省监测中心比对认可后方可使用，如比对不合格，投标人需更换备机或维修后重新参加比对，直至比对合格。</w:t>
      </w:r>
    </w:p>
    <w:p w14:paraId="03295A77">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1.6辅助设备备机：投标人须保证至少配置子站数采设备、VPN、零气发生器和动态校准仪备机各2套，臭氧标准传递设备2套。提供相关设备配置情况清单（包括但不限于备机种类、数量、品牌、型号、原理等）。</w:t>
      </w:r>
    </w:p>
    <w:p w14:paraId="3A82DB55">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1.7 </w:t>
      </w:r>
      <w:bookmarkStart w:id="27" w:name="OLE_LINK60"/>
      <w:r>
        <w:rPr>
          <w:rFonts w:hint="default" w:ascii="Times New Roman" w:hAnsi="Times New Roman" w:eastAsia="宋体" w:cs="Times New Roman"/>
          <w:szCs w:val="21"/>
          <w:highlight w:val="none"/>
        </w:rPr>
        <w:t>备品备件和耗材：</w:t>
      </w:r>
      <w:bookmarkEnd w:id="27"/>
      <w:r>
        <w:rPr>
          <w:rFonts w:hint="default" w:ascii="Times New Roman" w:hAnsi="Times New Roman" w:eastAsia="宋体" w:cs="Times New Roman"/>
          <w:szCs w:val="21"/>
          <w:highlight w:val="none"/>
        </w:rPr>
        <w:t>投标人须承诺中标后1个月（30日历日）内配齐本技术要求中所涉及的耗材和备件。耗材按照不少于半年的消耗量配置，备件按照至少1年使用量配置。必须使用原厂生产的备品备件和耗材（若无原厂生产的，则应使用经权威机构检定合格的），严禁使用未经权威机构检定合格或劣质备品备件和耗材。</w:t>
      </w:r>
    </w:p>
    <w:p w14:paraId="15D1933A">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1.8 投标人应承诺中标后1个月（30日历日）内，向省监测中心提交</w:t>
      </w:r>
      <w:r>
        <w:rPr>
          <w:rFonts w:hint="default" w:ascii="Times New Roman" w:hAnsi="Times New Roman" w:eastAsia="宋体" w:cs="Times New Roman"/>
          <w:highlight w:val="none"/>
        </w:rPr>
        <w:t>运维车辆的采购或者租赁</w:t>
      </w:r>
      <w:r>
        <w:rPr>
          <w:rFonts w:hint="default" w:ascii="Times New Roman" w:hAnsi="Times New Roman" w:eastAsia="宋体" w:cs="Times New Roman"/>
          <w:szCs w:val="21"/>
          <w:highlight w:val="none"/>
        </w:rPr>
        <w:t>的证明材料，否则省监测中心有权以检查单位虚假应标为由解除合同，要求检查单位退还省监测中心已支付的全部费用，并扣除履约保证金，并进一步追究检查单位相关责任。</w:t>
      </w:r>
    </w:p>
    <w:p w14:paraId="44882902">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1.9 投标人应至少给本项目配置的运维人员各配备1套专用仪器维护维修工具。</w:t>
      </w:r>
    </w:p>
    <w:p w14:paraId="5B1F27A8">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1.10 中标后承诺按照江苏省生态环境厅和省监测中心要求开展省控（质控、农村及边界）空气站运维交接工作，并承担适当的人员进出保障措施所需经费。</w:t>
      </w:r>
      <w:r>
        <w:rPr>
          <w:rFonts w:hint="default" w:ascii="Times New Roman" w:hAnsi="Times New Roman" w:eastAsia="宋体" w:cs="Times New Roman"/>
          <w:highlight w:val="none"/>
        </w:rPr>
        <w:t>提供承诺书</w:t>
      </w:r>
    </w:p>
    <w:p w14:paraId="4661C6C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bookmarkStart w:id="28" w:name="OLE_LINK52"/>
      <w:bookmarkStart w:id="29" w:name="OLE_LINK53"/>
      <w:r>
        <w:rPr>
          <w:rFonts w:hint="default" w:ascii="Times New Roman" w:hAnsi="Times New Roman" w:eastAsia="宋体" w:cs="Times New Roman"/>
          <w:szCs w:val="21"/>
          <w:highlight w:val="none"/>
        </w:rPr>
        <w:t>1.11</w:t>
      </w:r>
      <w:bookmarkStart w:id="30" w:name="OLE_LINK54"/>
      <w:bookmarkStart w:id="31" w:name="OLE_LINK55"/>
      <w:r>
        <w:rPr>
          <w:rFonts w:hint="default" w:ascii="Times New Roman" w:hAnsi="Times New Roman" w:eastAsia="宋体" w:cs="Times New Roman"/>
          <w:szCs w:val="21"/>
          <w:highlight w:val="none"/>
        </w:rPr>
        <w:t>建议本项目潜在投标人提前深入了解现省控（质控、农村及边界）空气站系统运行情况，以确保中标后与原运维单位对接并承担相应责任。建议于开标日期10日前完成现场</w:t>
      </w:r>
      <w:bookmarkStart w:id="32" w:name="_Hlk147995409"/>
      <w:r>
        <w:rPr>
          <w:rFonts w:hint="default" w:ascii="Times New Roman" w:hAnsi="Times New Roman" w:eastAsia="宋体" w:cs="Times New Roman"/>
          <w:szCs w:val="21"/>
          <w:highlight w:val="none"/>
        </w:rPr>
        <w:t>勘察</w:t>
      </w:r>
      <w:bookmarkEnd w:id="32"/>
      <w:r>
        <w:rPr>
          <w:rFonts w:hint="default" w:ascii="Times New Roman" w:hAnsi="Times New Roman" w:eastAsia="宋体" w:cs="Times New Roman"/>
          <w:szCs w:val="21"/>
          <w:highlight w:val="none"/>
        </w:rPr>
        <w:t>，现场勘察联系人及联系方式：钟声025-69586301，丁铭025-69586302。</w:t>
      </w:r>
    </w:p>
    <w:bookmarkEnd w:id="28"/>
    <w:bookmarkEnd w:id="29"/>
    <w:bookmarkEnd w:id="30"/>
    <w:bookmarkEnd w:id="31"/>
    <w:p w14:paraId="0A97654F">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1.12 投标人具备一定的监测数据分析及报告编制能力，能配合江苏省环境监测中心完成各类分析报告的编制工作。</w:t>
      </w:r>
    </w:p>
    <w:p w14:paraId="7C4080A0">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1.13 在空气自动监测系统运维及管理期间，投标人应严格按照业主制订的操作规范和规章制度，对所管理的系统及仪器设备进行规范操作和精心维护及必要维修，保证系统及仪器设备的正常运行，达到江苏省环境监测中心提出的系统及仪器设备考核指标要求。中标运维商必须接受江苏省环境监测中心、驻市监测中心和第三方质控质保核查单位的定期、不定期检查和考核。</w:t>
      </w:r>
    </w:p>
    <w:p w14:paraId="3F243191">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1.14 投标人需承诺，中标后按照省监测中心制定的环境空气自动监测站运行维护细则，做好运维质控管理等工作，如违反原环保部《关于环境监测数据弄虚作假行为判定及处理办法》（环发〔2015〕175号）中相关内容，将列入不良供应商名单。</w:t>
      </w:r>
      <w:r>
        <w:rPr>
          <w:rFonts w:hint="default" w:ascii="Times New Roman" w:hAnsi="Times New Roman" w:eastAsia="宋体" w:cs="Times New Roman"/>
          <w:highlight w:val="none"/>
        </w:rPr>
        <w:t>提供承诺书。</w:t>
      </w:r>
    </w:p>
    <w:p w14:paraId="05DBC1B4">
      <w:pPr>
        <w:pageBreakBefore w:val="0"/>
        <w:kinsoku/>
        <w:wordWrap/>
        <w:overflowPunct/>
        <w:topLinePunct w:val="0"/>
        <w:bidi w:val="0"/>
        <w:spacing w:line="360" w:lineRule="auto"/>
        <w:ind w:firstLine="480"/>
        <w:rPr>
          <w:rFonts w:hint="default" w:ascii="Times New Roman" w:hAnsi="Times New Roman" w:eastAsia="宋体" w:cs="Times New Roman"/>
          <w:b/>
          <w:bCs/>
          <w:szCs w:val="21"/>
          <w:highlight w:val="none"/>
        </w:rPr>
      </w:pPr>
      <w:bookmarkStart w:id="33" w:name="_Toc213334967"/>
      <w:bookmarkStart w:id="34" w:name="_Toc420511651"/>
      <w:bookmarkStart w:id="35" w:name="_Toc85203886"/>
      <w:bookmarkStart w:id="36" w:name="_Toc85203926"/>
      <w:bookmarkStart w:id="37" w:name="_Toc150188181"/>
      <w:bookmarkStart w:id="38" w:name="_Toc455153182"/>
      <w:r>
        <w:rPr>
          <w:rFonts w:hint="default" w:ascii="Times New Roman" w:hAnsi="Times New Roman" w:eastAsia="宋体" w:cs="Times New Roman"/>
          <w:b/>
          <w:bCs/>
          <w:szCs w:val="21"/>
          <w:highlight w:val="none"/>
        </w:rPr>
        <w:t>（二）运维工作内容</w:t>
      </w:r>
      <w:bookmarkEnd w:id="33"/>
      <w:bookmarkEnd w:id="34"/>
      <w:bookmarkEnd w:id="35"/>
      <w:bookmarkEnd w:id="36"/>
      <w:bookmarkEnd w:id="37"/>
      <w:bookmarkEnd w:id="38"/>
    </w:p>
    <w:p w14:paraId="3DBA5AD6">
      <w:pPr>
        <w:pageBreakBefore w:val="0"/>
        <w:tabs>
          <w:tab w:val="left" w:pos="1418"/>
        </w:tabs>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运维过程中主要完成以下工作：</w:t>
      </w:r>
    </w:p>
    <w:p w14:paraId="13F7DA10">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省控（质控、农村及边界）空气站的日常运行维护。</w:t>
      </w:r>
    </w:p>
    <w:p w14:paraId="3F51DBE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 省控（质控、农村及边界）空气站的日常质量管理。</w:t>
      </w:r>
    </w:p>
    <w:p w14:paraId="2338A2FD">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 省控（质控、农村及边界）空气站的日常安全管理。</w:t>
      </w:r>
    </w:p>
    <w:p w14:paraId="5BD1145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 省控（质控、农村及边界）空气站监测数据的日常审核、上报。</w:t>
      </w:r>
    </w:p>
    <w:p w14:paraId="082A6E1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 省控（质控、农村及边界）空气站的设备维护保养及维修。</w:t>
      </w:r>
    </w:p>
    <w:p w14:paraId="7E3CD53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 省控（质控、农村及边界）空气站相关辅助设施及站房的维护、保养、维修。</w:t>
      </w:r>
    </w:p>
    <w:p w14:paraId="0BC12B6C">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 省控（质控、农村及边界）空气站数据采集、传输系统、视频监控系统、“全球眼”视频监控平台的维护及维修，保障省控（质控、农村及边界）空气站与江苏省环境监测中心通讯正常。</w:t>
      </w:r>
    </w:p>
    <w:p w14:paraId="5E97879E">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39" w:name="_Toc420511650"/>
      <w:bookmarkStart w:id="40" w:name="_Toc455153181"/>
      <w:bookmarkStart w:id="41" w:name="_Toc150188180"/>
      <w:bookmarkStart w:id="42" w:name="_Toc213334968"/>
      <w:bookmarkStart w:id="43" w:name="_Toc85203885"/>
      <w:bookmarkStart w:id="44" w:name="_Toc85203925"/>
      <w:r>
        <w:rPr>
          <w:rFonts w:hint="default" w:ascii="Times New Roman" w:hAnsi="Times New Roman" w:eastAsia="宋体" w:cs="Times New Roman"/>
          <w:b/>
          <w:bCs/>
          <w:szCs w:val="21"/>
          <w:highlight w:val="none"/>
        </w:rPr>
        <w:t>（三）运行维护工作目标</w:t>
      </w:r>
      <w:bookmarkEnd w:id="39"/>
      <w:bookmarkEnd w:id="40"/>
      <w:bookmarkEnd w:id="41"/>
      <w:bookmarkEnd w:id="42"/>
      <w:bookmarkEnd w:id="43"/>
      <w:bookmarkEnd w:id="44"/>
    </w:p>
    <w:p w14:paraId="069D0F3F">
      <w:pPr>
        <w:pageBreakBefore w:val="0"/>
        <w:tabs>
          <w:tab w:val="left" w:pos="1418"/>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投标人必须建立完善的运行维护工作规范与质量管理体系，确保提供及时、准确、有效的监测数据，子站的运行质量应达到以下指标：</w:t>
      </w:r>
    </w:p>
    <w:p w14:paraId="35D636FD">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 所获取的有效监测数据必须满足</w:t>
      </w:r>
      <w:bookmarkStart w:id="45" w:name="OLE_LINK23"/>
      <w:bookmarkStart w:id="46" w:name="OLE_LINK24"/>
      <w:r>
        <w:rPr>
          <w:rFonts w:hint="default" w:ascii="Times New Roman" w:hAnsi="Times New Roman" w:eastAsia="宋体" w:cs="Times New Roman"/>
          <w:szCs w:val="21"/>
          <w:highlight w:val="none"/>
        </w:rPr>
        <w:t>国家《环境空气质量标准》（GB 3095-2012）中规定的污染物浓度数据有效性最低要求</w:t>
      </w:r>
      <w:bookmarkEnd w:id="45"/>
      <w:bookmarkEnd w:id="46"/>
      <w:r>
        <w:rPr>
          <w:rFonts w:hint="default" w:ascii="Times New Roman" w:hAnsi="Times New Roman" w:eastAsia="宋体" w:cs="Times New Roman"/>
          <w:szCs w:val="21"/>
          <w:highlight w:val="none"/>
        </w:rPr>
        <w:t>。</w:t>
      </w:r>
    </w:p>
    <w:p w14:paraId="1B5BA52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 单站设备运行率必须高于90%（含），有效率必须高于80%（含）。</w:t>
      </w:r>
    </w:p>
    <w:p w14:paraId="009B02B0">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 异常情况处理率100%。</w:t>
      </w:r>
    </w:p>
    <w:p w14:paraId="31257576">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设备运行率是指已上传数据量与应上传数据量之比，数据有效率是指有效数据量与应上传数据量之比。</w:t>
      </w:r>
    </w:p>
    <w:p w14:paraId="7C7F2421">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47" w:name="_Toc420511652"/>
      <w:bookmarkStart w:id="48" w:name="_Toc150188182"/>
      <w:bookmarkStart w:id="49" w:name="_Toc455153183"/>
      <w:bookmarkStart w:id="50" w:name="_Toc213334969"/>
      <w:bookmarkStart w:id="51" w:name="_Toc85203927"/>
      <w:bookmarkStart w:id="52" w:name="_Toc85203887"/>
      <w:r>
        <w:rPr>
          <w:rFonts w:hint="default" w:ascii="Times New Roman" w:hAnsi="Times New Roman" w:eastAsia="宋体" w:cs="Times New Roman"/>
          <w:b/>
          <w:bCs/>
          <w:szCs w:val="21"/>
          <w:highlight w:val="none"/>
        </w:rPr>
        <w:t>（四）运维工作要求</w:t>
      </w:r>
      <w:bookmarkEnd w:id="47"/>
      <w:bookmarkEnd w:id="48"/>
      <w:bookmarkEnd w:id="49"/>
      <w:bookmarkEnd w:id="50"/>
      <w:bookmarkEnd w:id="51"/>
      <w:bookmarkEnd w:id="52"/>
    </w:p>
    <w:p w14:paraId="09DEDFF6">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投标人应遵守国家、省关于空气自动站运行管理的各项规定，如运维期间出台新的运行管理规定，则运维工作按最新规定执行。</w:t>
      </w:r>
    </w:p>
    <w:p w14:paraId="1DF5BA58">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 运维工作一般要求如下：</w:t>
      </w:r>
    </w:p>
    <w:p w14:paraId="30E3C0A2">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4.1.1保持站房内部环境清洁，布置整齐，各仪器设备干净清洁，设备标识清楚。</w:t>
      </w:r>
    </w:p>
    <w:p w14:paraId="7FE9F46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4.1.2 保持站房外20m以内的环境清洁。</w:t>
      </w:r>
    </w:p>
    <w:p w14:paraId="145588CE">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4.1.3 检查供电和网络通讯情况，保证系统的正常运行。</w:t>
      </w:r>
    </w:p>
    <w:p w14:paraId="102FAC5B">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4.1.4 保证空调正常工作，站房内温度25±5℃，相对湿度保持在80%RH以下。</w:t>
      </w:r>
    </w:p>
    <w:p w14:paraId="0AC62703">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4.1.5 指派专人维护，设备固定牢固，门窗关闭良好，人走关门，非工作人员未经许可不得入内。</w:t>
      </w:r>
    </w:p>
    <w:p w14:paraId="302C38E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4.1.6 定期检查消防和安全设施。</w:t>
      </w:r>
    </w:p>
    <w:p w14:paraId="69074E5A">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4.1.7 每次维护后做好系统运行维护记录。</w:t>
      </w:r>
    </w:p>
    <w:p w14:paraId="7110B813">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4.1.8 进行维护时，应规范操作，注意安全，防止意外发生。</w:t>
      </w:r>
    </w:p>
    <w:p w14:paraId="3204F7C1">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4.2 每日工作内容如下：</w:t>
      </w:r>
    </w:p>
    <w:p w14:paraId="3ED6237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驻场人员8:00-22:00内至少每两小时远程查看一次监测数据，分析监测数据异常情况，对站点运行情况进行远程诊断和运行管理，同时做好记录，内容包括：</w:t>
      </w:r>
    </w:p>
    <w:p w14:paraId="07F38E0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4.2.1 查看站点数据传输情况及视频监控系统在线情况。</w:t>
      </w:r>
    </w:p>
    <w:p w14:paraId="6A88E7D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4.2.2 根据视频在线系统，检查站房内外部有无安全隐患、人为干扰隐患。</w:t>
      </w:r>
    </w:p>
    <w:p w14:paraId="277F488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4.2.3 根据电源电压、站房温度、湿度数据判断站房内部情况。</w:t>
      </w:r>
    </w:p>
    <w:p w14:paraId="626A78F2">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4.2.4对照生态环境部门对省控（质控、农村及边界）空气站仪器设备故障的响应时间要求，发现监测数据异常，应立即通知省监测中心，在每日8时～22时出现的异常，应在4小时内解决或提出解决方案（通信线路、电力线路故障除外，但应及时与相关部门联系积极解决），每日23—次日7时出现的异常，应在次日上午10时前解决。</w:t>
      </w:r>
    </w:p>
    <w:p w14:paraId="631A7B9E">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4.2.5 发生重污染天气等特殊情况后，应在4小时内开展相应的运维工作。</w:t>
      </w:r>
    </w:p>
    <w:p w14:paraId="1EDDDBA5">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4.2.6 根据数据分析结果、设备状态参数和仪器故障报警信号，判断仪器运行情况和现场状况。</w:t>
      </w:r>
    </w:p>
    <w:p w14:paraId="6F7FA543">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4.2.7 每日检查数据是否及时上传并正常发布，发现数据断网及时恢复。</w:t>
      </w:r>
    </w:p>
    <w:p w14:paraId="134789CB">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4.2.8 投标人对省考站监测数据进行初审，并配合各驻市监测中心将审核数据按时提交省监测中心。</w:t>
      </w:r>
    </w:p>
    <w:p w14:paraId="0E1182FE">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4.2.9 投标人对自动校准未通过的站点，应当在当日12点前采取远程重新校准或者现场校准的方式，查明自动校准未通过的原因，并立即恢复。</w:t>
      </w:r>
    </w:p>
    <w:p w14:paraId="2C36F510">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每日12时前驻场人员应完成省控（质控、农村及边界）空气站前日各站点原始小时值的审核，上报复核。当天因网络故障等原因未能完成数据审核报送的，应于当日18时前审核报送。</w:t>
      </w:r>
    </w:p>
    <w:p w14:paraId="17914C70">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4.3 每周工作内容如下：</w:t>
      </w:r>
    </w:p>
    <w:p w14:paraId="67C4EA50">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每周至少巡检省控（质控、农村及边界）空气站1次（最大间隔期不得超过8天，且14天内必须完成2次维护），并做好巡查记录，巡检时需要完成的工作包括：</w:t>
      </w:r>
    </w:p>
    <w:p w14:paraId="135F796F">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 查看省控（质控、农村及边界）空气站设备是否齐备，无丢失和损坏；检查接地线路是否可靠，排风排气装置工作是否正常，标准气钢瓶阀门是否漏气，标准气的消耗情况。</w:t>
      </w:r>
    </w:p>
    <w:p w14:paraId="5D7A194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4.3.2 检查采样和排气管路是否有漏气或堵塞现象，各监测仪器采样流量是否正常。</w:t>
      </w:r>
    </w:p>
    <w:p w14:paraId="56E60D86">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4.3.3 检查各监测仪器的运行状况和工作参数，判断是否正常，如有异常情况及时处理，保证仪器运行正常。</w:t>
      </w:r>
    </w:p>
    <w:p w14:paraId="50F9B9D9">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4.3.4 检查PM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和PM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监测仪动态加热装置及采样总管加热装置是否正常工作。</w:t>
      </w:r>
    </w:p>
    <w:p w14:paraId="3EBDBC1A">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4.3.5 对二氧化硫、一氧化碳、臭氧、氮氧化物监测仪进行零点、跨度检查，如果漂移超过国家相关规范要求，需要进行校准或维修（每年4-10月臭氧污染高发季节，不得在9时至20时之间开展臭氧运维及质控工作）。</w:t>
      </w:r>
    </w:p>
    <w:p w14:paraId="1E55794E">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4.3.6 按照仪器说明书要求，对零气发生器进行维护，并定期做好排水工作。</w:t>
      </w:r>
    </w:p>
    <w:p w14:paraId="61D76D2B">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4.3.7 检查外部环境是否正常，有没有对测定结果或运行环境存在明显影响的污染源。</w:t>
      </w:r>
    </w:p>
    <w:p w14:paraId="67270023">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4.3.8 检查电路系统和通讯系统，保证系统供电正常，电压稳定。</w:t>
      </w:r>
    </w:p>
    <w:p w14:paraId="4249E962">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4.3.9 检查省控（质控、农村及边界）空气站的通讯系统，保证站点与相关数据监控平台的连接正常，数据传输正常；确保无远程控制软件。</w:t>
      </w:r>
    </w:p>
    <w:p w14:paraId="1E8CC835">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4.3.10 对仪器显示数据、时间与数据采集仪之间的一致性进行检查和校准。</w:t>
      </w:r>
    </w:p>
    <w:p w14:paraId="57A1A5A5">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4.3.11 检查监测仪器的采样入口与采样支路管线结合部之间安装的过滤膜的污染情况，每周更换滤膜并检查监测仪器散热风扇污染情况，及时清洗。</w:t>
      </w:r>
    </w:p>
    <w:p w14:paraId="31EB22D5">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4.3.12 在冬、夏季节应注意省控（质控、农村及边界）空气站站房室内外温差，若温差较大，应及时改变站房温度或对采样总管采取适当的控制措施，防止冷凝现象。</w:t>
      </w:r>
    </w:p>
    <w:p w14:paraId="74D71B19">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4.3.13 应及时清除省控（质控、农村及边界）空气站站房周围的杂草和积水，当周围树木生长超过规范规定的控制限时，应及时剪除对采样或监测光束有影响的树枝。</w:t>
      </w:r>
    </w:p>
    <w:p w14:paraId="7ACFDED3">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4.3.14 应经常检查避雷设施是否可靠，省控（质控、农村及边界）空气站站房屋是否有漏雨现象，气象杆和天线是否被刮坏，站房外围的其它设施是否有损坏或被水淹，如遇到以上问题应及时处理，保证系统安全运行。</w:t>
      </w:r>
    </w:p>
    <w:p w14:paraId="6A399709">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4.3.15 检查站房的安全设施，做好防火防盗工作。</w:t>
      </w:r>
    </w:p>
    <w:p w14:paraId="5EA5EA52">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4.3.16 每周对气象仪器及能见度仪的运行情况进行检查。</w:t>
      </w:r>
    </w:p>
    <w:p w14:paraId="5E4FA104">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4.3.17 每周对颗粒物的采样纸带或滤膜进行检查，如纸带即将用尽或滤膜负载超过规定要求，及时进行更换。</w:t>
      </w:r>
    </w:p>
    <w:p w14:paraId="62DB3281">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4.3.18 每周检查视频监控系统，并做好视频系统的日常维护。若发现人为干扰干预环境空气质量监测的行为，及时向省监测中心汇报。</w:t>
      </w:r>
    </w:p>
    <w:p w14:paraId="423CFA1F">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4.3.19 每周对站房内外环境卫生进行检查，及时保洁。</w:t>
      </w:r>
    </w:p>
    <w:p w14:paraId="44A87E1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4.3.20 配合开展视频监控系统的维修维护工作。</w:t>
      </w:r>
    </w:p>
    <w:p w14:paraId="6F753431">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4.4 每月工作内容如下：</w:t>
      </w:r>
    </w:p>
    <w:p w14:paraId="6850EF08">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4.4.1 清洗PM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及PM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采样头，检查β法颗粒物监测仪仪器喷嘴、压环、密封圈等部件。</w:t>
      </w:r>
    </w:p>
    <w:p w14:paraId="4ACE6B3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4.4.2 检查PM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及PM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监测仪、气态监测仪、动态校准仪流量，超过国家相关规范要求时应进行校准。</w:t>
      </w:r>
    </w:p>
    <w:p w14:paraId="11096941">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4.4.3 每月对数据和运维记录进行备份。</w:t>
      </w:r>
    </w:p>
    <w:p w14:paraId="5E8FBC5D">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4.4.4 检查和校准PM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监测仪相对湿度、温度传感器和压力传感器。</w:t>
      </w:r>
    </w:p>
    <w:p w14:paraId="722A7A03">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4.5 每季度工作内容如下：</w:t>
      </w:r>
    </w:p>
    <w:p w14:paraId="327305B1">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4.5.1 采样总管及采样风机每季度至少清洗一次。</w:t>
      </w:r>
    </w:p>
    <w:p w14:paraId="3A65500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4.5.2 对PM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和PM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监测仪器进行标准膜检查K</w:t>
      </w:r>
      <w:r>
        <w:rPr>
          <w:rFonts w:hint="default" w:ascii="Times New Roman" w:hAnsi="Times New Roman" w:eastAsia="宋体" w:cs="Times New Roman"/>
          <w:szCs w:val="21"/>
          <w:highlight w:val="none"/>
          <w:vertAlign w:val="subscript"/>
        </w:rPr>
        <w:t>0</w:t>
      </w:r>
      <w:r>
        <w:rPr>
          <w:rFonts w:hint="default" w:ascii="Times New Roman" w:hAnsi="Times New Roman" w:eastAsia="宋体" w:cs="Times New Roman"/>
          <w:szCs w:val="21"/>
          <w:highlight w:val="none"/>
        </w:rPr>
        <w:t>检查，超过国家相关规范要求时，及时进行校准或维修。</w:t>
      </w:r>
    </w:p>
    <w:p w14:paraId="517D2D27">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4.5.3 采用臭氧传递标准对省控（质控、农村及边界）空气站臭氧工作标准进行标准传递。</w:t>
      </w:r>
    </w:p>
    <w:p w14:paraId="4C4F0C66">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4.6 每半年工作内容如下：</w:t>
      </w:r>
    </w:p>
    <w:p w14:paraId="00071441">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4.6.1 对气态污染物监测仪进行多点校准，绘制校准曲线，检验相关系数、斜率和截距。</w:t>
      </w:r>
    </w:p>
    <w:p w14:paraId="35B4DB8A">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4.6.2 更换零气源净化剂和氧化剂，对零气性能进行检查。</w:t>
      </w:r>
    </w:p>
    <w:p w14:paraId="285EA5E5">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4.6.3 对氮氧化物监测仪钼炉转化率进行检查。</w:t>
      </w:r>
    </w:p>
    <w:p w14:paraId="7B14A36C">
      <w:pPr>
        <w:pageBreakBefore w:val="0"/>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4.6.4 对能见度仪器进行校准。</w:t>
      </w:r>
    </w:p>
    <w:p w14:paraId="612FC100">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4.6.5 检查和校准气象五参数设备。</w:t>
      </w:r>
    </w:p>
    <w:p w14:paraId="1753F1C0">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4.7 每年工作内容如下：</w:t>
      </w:r>
    </w:p>
    <w:p w14:paraId="0A689E57">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按照仪器说明书对动态校准仪流量进行多点检查。</w:t>
      </w:r>
    </w:p>
    <w:p w14:paraId="2355FFB3">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对所有的仪器（包括采样泵）进行预防性维护，按说明书的要求更换备件。</w:t>
      </w:r>
    </w:p>
    <w:p w14:paraId="22F1544B">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所有子站防雷系统每年检测一次，并出具防雷检测合格报告。</w:t>
      </w:r>
    </w:p>
    <w:p w14:paraId="66F8E7A5">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4.8 日常运维其他相关要求如下：</w:t>
      </w:r>
    </w:p>
    <w:p w14:paraId="661630D3">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4.8.1 每周更换的气态污染物监测仪器所用滤膜，必须为聚四氟乙烯材质。</w:t>
      </w:r>
    </w:p>
    <w:p w14:paraId="714E81A4">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4.8.2 应及时制定每月工作计划并将进出省控（质控、农村及边界）空气站的具体日期上报省监测中心备案，并严格按计划执行，若有变更或临时突发情况处理等应及时上报省监测中心备案。</w:t>
      </w:r>
    </w:p>
    <w:p w14:paraId="2CBC5EA6">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4.8.3 当仪器损坏不能修复时，应在48小时之内使用备机（备机需通过省中心组织的参比方法比对），开展监测，并同时报告省监测中心，省监测中心组织确认仪器损坏情况及原因，酌情处理。</w:t>
      </w:r>
    </w:p>
    <w:p w14:paraId="1AA96E7D">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4.8.4 仪器报废后（包括使用超过8年导致，或因洪水、地震、台风、站房外部火灾、爆炸、恐怖袭击、武装冲突、蓄意破坏等不可抗力导致），投标人须先行及时使用备机开展监测，同时报告省监测中心。</w:t>
      </w:r>
    </w:p>
    <w:p w14:paraId="14C62DB1">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4.8.5 严禁擅自改变采样管路连接方式和更改仪器参数设置。</w:t>
      </w:r>
    </w:p>
    <w:p w14:paraId="4D79106D">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4.9 质量控制要求</w:t>
      </w:r>
    </w:p>
    <w:p w14:paraId="0FAC2A01">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投标人需认真落实质量管理制度，建立完善的运行维护工作质量管理体系，安排专职质量控制管理人员。</w:t>
      </w:r>
    </w:p>
    <w:p w14:paraId="79FA2F33">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4.9.1 量值溯源要求</w:t>
      </w:r>
    </w:p>
    <w:p w14:paraId="40015D25">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在每个省控（质控、农村及边界）空气站需配备标准气体，所使用的标准气体须为国家生态环境部标样所或中国计量院生产的一级有证标准样品或物质，新购标准气体应做验证实验，形成验证报告。另外，当钢瓶压力低于1.5MPa（含）时，标准停止使用。新的标气阀应预先进行3次（每次至少24小时）以上的老化后方可使用。标准气体必须在有效期内使用。</w:t>
      </w:r>
    </w:p>
    <w:p w14:paraId="7C642227">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每年将省控（质控、农村及边界）空气站运维所用的流量计、温度计、气压计、湿度计等质控设备送检，并取得计量部门颁发的合格证书，并根据业主要求定期送省监测中心开展期间核查工作。每年将省控（质控、农村及边界）空气站所用的臭氧标准向省监测中心提供的标准设备进行溯源，性能指标均应符合要求。</w:t>
      </w:r>
    </w:p>
    <w:p w14:paraId="3623D365">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 日常质量控制要求</w:t>
      </w:r>
    </w:p>
    <w:p w14:paraId="055E93AB">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监测仪在以下情况下需进行校准：</w:t>
      </w:r>
    </w:p>
    <w:p w14:paraId="3A9BA92B">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4.9.2.1 安装时。</w:t>
      </w:r>
    </w:p>
    <w:p w14:paraId="0D84B52A">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4.9.2.2 移动位置时。</w:t>
      </w:r>
    </w:p>
    <w:p w14:paraId="4A4C0927">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4.9.2.3 进行可能影响校准结果的维修或维护后。</w:t>
      </w:r>
    </w:p>
    <w:p w14:paraId="48BDFFAA">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4.9.2.4 监测仪暂停工作一段时间后。</w:t>
      </w:r>
    </w:p>
    <w:p w14:paraId="313FE39F">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4.9.2.5 有迹象表明监测仪工作不正常或校准结果出现变化。</w:t>
      </w:r>
    </w:p>
    <w:p w14:paraId="77E5F3E0">
      <w:pPr>
        <w:pageBreakBefore w:val="0"/>
        <w:tabs>
          <w:tab w:val="left" w:pos="993"/>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4.9.2.6 超过国家规范或本招标文件要求的校准周期或校准要求的。</w:t>
      </w:r>
    </w:p>
    <w:p w14:paraId="2A7C3178">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4.9.3 质量检查</w:t>
      </w:r>
    </w:p>
    <w:p w14:paraId="137C934E">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投标人必须接受省生态环境厅、省监测中心、驻市中心及其委托单位和人员的质量检查。</w:t>
      </w:r>
    </w:p>
    <w:p w14:paraId="6B2278A6">
      <w:pPr>
        <w:pageBreakBefore w:val="0"/>
        <w:kinsoku/>
        <w:wordWrap/>
        <w:overflowPunct/>
        <w:topLinePunct w:val="0"/>
        <w:bidi w:val="0"/>
        <w:spacing w:line="360" w:lineRule="auto"/>
        <w:ind w:firstLine="482"/>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4.10 质量保证实验室</w:t>
      </w:r>
    </w:p>
    <w:p w14:paraId="6A02CD5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投标人应具有用于质量控制的CMA实验室（认证范围需包含二氧化硫、二氧化氮、一氧化碳、PM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、臭氧），并保证相关手工比对监测样品能在3小时内送至实验室分析。</w:t>
      </w:r>
    </w:p>
    <w:p w14:paraId="7DBD02FC">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4.11 系统设备维修要求</w:t>
      </w:r>
    </w:p>
    <w:p w14:paraId="731C3CA8">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4.11.1 维修更换工作要求</w:t>
      </w:r>
    </w:p>
    <w:p w14:paraId="21F897A9">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投标人负责系统所有设备和仪器的维护、维修和部件更换（包括空调设备等附属设施），并将维修费用计算在运维报价中。本服务内容同样包括由于外部原因意外丢失和损坏设备的更换或维修。</w:t>
      </w:r>
    </w:p>
    <w:p w14:paraId="00478A7E">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4.11.2 设备维修质量控制要求</w:t>
      </w:r>
    </w:p>
    <w:p w14:paraId="3F9FF570">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监测仪器修复后，当其监测性能受到影响时，采用关键参数检查、标气测定、颗粒物流量测定、标准膜测试、标准样品测试或手工比对等方法进行测试。</w:t>
      </w:r>
    </w:p>
    <w:p w14:paraId="549FA8BD">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仪器大修后，气态污染监测设备应按顺序开展零点漂移和量程漂移测试、精密度及准确度测试、多点线性测试；颗粒物监测设备应开展手工比对测试，测试应严格按照《环境空气颗粒物（PM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和PM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）连续自动监测系统运行和质控技术规范》（HJ 817-2018）中准确度审核要求实施，并遵守《环境空气颗粒物（PM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)手工监测方法(重量法)技术规范》（HJ 656-2013）、《环境空气中PM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和PM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的测定 重量法》（HJ 618-2011）和《环境空气质量手工监测技术规范》（HJ 194-2017）等相关规范要求，同时提交相应报告。</w:t>
      </w:r>
    </w:p>
    <w:p w14:paraId="41FC0B4C">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53" w:name="_Toc150188183"/>
      <w:bookmarkStart w:id="54" w:name="_Toc213334970"/>
      <w:r>
        <w:rPr>
          <w:rFonts w:hint="default" w:ascii="Times New Roman" w:hAnsi="Times New Roman" w:eastAsia="宋体" w:cs="Times New Roman"/>
          <w:b/>
          <w:bCs/>
          <w:szCs w:val="21"/>
          <w:highlight w:val="none"/>
        </w:rPr>
        <w:t>（五）防雷、消防、电力系统及站房本体维护要求</w:t>
      </w:r>
      <w:bookmarkEnd w:id="53"/>
      <w:bookmarkEnd w:id="54"/>
    </w:p>
    <w:p w14:paraId="1F87B21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 防雷部分</w:t>
      </w:r>
    </w:p>
    <w:p w14:paraId="523D7AA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5.1.1 承担省控（质控、农村及边界）空气站环境空气自动防雷系统的检修、维护任务，并提交具有甲级防雷检测资质的单位出具的防雷检测合格报告。</w:t>
      </w:r>
    </w:p>
    <w:p w14:paraId="44639037">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5.1.2 当首次防雷检测不合格时，江苏省环境监测中心应在收到防雷检测不合格报告30日内对子站防雷系统进行检修和维护。并由具备甲级资质的防雷检测单位进行复测，直至获得防雷检测合格报告。</w:t>
      </w:r>
    </w:p>
    <w:p w14:paraId="3BE8487D">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5.1.3 投标人应在每年度提交38个站点防雷检测合格报告。</w:t>
      </w:r>
    </w:p>
    <w:p w14:paraId="4CB32D6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5.1.4 防雷检测报告中应包含防直击雷检验检测报告、屏蔽、等电位及接地检测检验报告、低压配电系统浪涌保护器（SPD）检测检验报告。</w:t>
      </w:r>
    </w:p>
    <w:p w14:paraId="2DB668E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5.1.5 防雷检测合格周期内，如发生因雷击造成空气自动站仪器损坏的（直击雷除外），投标人应负责相关仪器的维修或更换费用。直击雷的评判，由投标人委托省级以上气象部门防雷检测中心现场评判并出具相应的正式报告。</w:t>
      </w:r>
    </w:p>
    <w:p w14:paraId="31ECDE5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 消防部分</w:t>
      </w:r>
    </w:p>
    <w:p w14:paraId="3CD04EC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5.2.1 合同签订后30日内负责为38个空气自动站房各配备2L灭火器两只。</w:t>
      </w:r>
    </w:p>
    <w:p w14:paraId="30D66EC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 必须确保38个省控（质控、农村及边界）空气站消防灭火器材可正常使用，且保证合同签订之日起至2026年12月31日相关消防灭火器材在有效期内。</w:t>
      </w:r>
    </w:p>
    <w:p w14:paraId="435DEF7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 电力系统</w:t>
      </w:r>
    </w:p>
    <w:p w14:paraId="2676EBED">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5.3.1 负责38个省控（质控、农村及边界）空气站站房电力系统预防性检修与维护，投标人应在合同期签订后30日内对站房的电力系统进行一次整体性检查，如发现安全隐患，及时通知相关投标人。 </w:t>
      </w:r>
    </w:p>
    <w:p w14:paraId="43177BA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5.3.2 检查项目中包含：稳压电源，温控系统日常维修及年度检查维护。</w:t>
      </w:r>
    </w:p>
    <w:p w14:paraId="1DE2796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5.3.3 当站房内总供电线路出现故障时，应在3个工作日内解决故障。</w:t>
      </w:r>
    </w:p>
    <w:p w14:paraId="2438728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5.3.4 当站房内稳压电源出现故障时，应在2个工作日内解决故障。</w:t>
      </w:r>
    </w:p>
    <w:p w14:paraId="2F8B8BE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5.4 站房部分</w:t>
      </w:r>
    </w:p>
    <w:p w14:paraId="0F6F277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5.4.1 负责38个省控（质控、农村及边界）空气站站房内桌椅、实验台的维护与维修；当出现实验台损坏、桌面起皮、座椅无法正常使用等现象，投标人应在合同签订后30日内予以维修或更换。</w:t>
      </w:r>
    </w:p>
    <w:p w14:paraId="72081EA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5.4.2 承担38个省控（质控、农村及边界）空气站站房安全性维护任务，包括站房爬梯、护栏等；投标人应在合同期内对站房的爬梯、护栏进行一次全面的检查，如发现损坏或接业主方通知有损坏情况的，应在一周内前往现场并维修完毕。</w:t>
      </w:r>
    </w:p>
    <w:p w14:paraId="0EAFF54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5.4.3 负责站房预防性防水保障工作，在本合同期内雨季到来之前进行1次站房整体性防水检查与维修。</w:t>
      </w:r>
    </w:p>
    <w:p w14:paraId="0EFFF8E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5.4.4 负责对站房内外损坏与锈蚀部分进行维护或翻新。</w:t>
      </w:r>
    </w:p>
    <w:p w14:paraId="25271D4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5.5 运维记录及报告</w:t>
      </w:r>
    </w:p>
    <w:p w14:paraId="72F27CD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运维期满后15日内，提交运维总结报告。运维总结报告需包含履行运维工作期间开展的所有运维工作内容及相关技术记录。</w:t>
      </w:r>
    </w:p>
    <w:p w14:paraId="13855D9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5.6其他</w:t>
      </w:r>
    </w:p>
    <w:p w14:paraId="47F0C1C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5.6.1投标人应提供详细的针对本项目的服务方案。</w:t>
      </w:r>
    </w:p>
    <w:p w14:paraId="5875A86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5.6.2负责处理38个省控（质控、农村及边界）空气站站房电流电压、温湿度数据无法上传的故障处理。</w:t>
      </w:r>
    </w:p>
    <w:p w14:paraId="559389D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5.6.3承担江苏省环境监测中心安排的与该项目有关的其他工作。</w:t>
      </w:r>
    </w:p>
    <w:p w14:paraId="05B0D46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5.6.4每季度对防雷、消防、电力系统及站房本体等进行周期性维护。</w:t>
      </w:r>
    </w:p>
    <w:p w14:paraId="27C6DB71">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55" w:name="_Toc213334971"/>
      <w:r>
        <w:rPr>
          <w:rFonts w:hint="default" w:ascii="Times New Roman" w:hAnsi="Times New Roman" w:eastAsia="宋体" w:cs="Times New Roman"/>
          <w:b/>
          <w:bCs/>
          <w:szCs w:val="21"/>
          <w:highlight w:val="none"/>
        </w:rPr>
        <w:t>（六）</w:t>
      </w:r>
      <w:bookmarkStart w:id="56" w:name="OLE_LINK67"/>
      <w:r>
        <w:rPr>
          <w:rFonts w:hint="default" w:ascii="Times New Roman" w:hAnsi="Times New Roman" w:eastAsia="宋体" w:cs="Times New Roman"/>
          <w:b/>
          <w:bCs/>
          <w:szCs w:val="21"/>
          <w:highlight w:val="none"/>
        </w:rPr>
        <w:t>光纤专线及全球眼平台服务的租用及视频监控系统的运维</w:t>
      </w:r>
      <w:bookmarkEnd w:id="55"/>
    </w:p>
    <w:bookmarkEnd w:id="56"/>
    <w:p w14:paraId="1DDBD78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为保证我省38个省控（质控、农村及边界）空气站环境空气自动监测数据的稳定传输并实时监测站点内外仪器设备的运行情况，投标人应支付38个省控（质控、农村及边界）空气站光纤专线及全球眼平台服务的租用费用，并对现场视频监控设施开展运维及维修工作，主要要求如下：</w:t>
      </w:r>
    </w:p>
    <w:p w14:paraId="7B5808E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 投标人应对整个视频监控系统负责，确保网络通畅、设备运行正常。投标人应随时接受省环境监测中心的调度，及时解决视频监控系统出现的问题。在维保期内发生的硬件故障，投标人应在3小时内予以响应（免费上门服务），否则采购人将自行采取必要的措施，由此产生风险和费用应由投标人承担。保修期内出现故障，如在24小时内不能解决问题，应免费在48小时内用同样的品牌、规格或更高的部件更换到位。</w:t>
      </w:r>
    </w:p>
    <w:p w14:paraId="25A6C96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 投标人须针对视频监控设施制定保养检修计划并按期进行。按计划定期到达现场对视频监控设施进行维护，确保设备运行正常、摄像头整洁清晰。</w:t>
      </w:r>
    </w:p>
    <w:p w14:paraId="30647C8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6.3 投标人应安排人员负责视频监控设备的监控工作，认真、及时做好监控维护记录，汇总各视频监控设备的状态和维护解决情况，每月报省环境监测中心，书面报告作为考核依据之一。</w:t>
      </w:r>
    </w:p>
    <w:p w14:paraId="328586B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6.4 维保期内，投标人负责对其提供的设备（含所有软硬件）进行维修，不收取额外费用。</w:t>
      </w:r>
    </w:p>
    <w:p w14:paraId="57524B1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6.5 投标人应完成现有故障设施的维修，确保设备正常运行。在服务到期后，投标人应完成所有设施的检修，确保交接给新托管方的设施运行正常。</w:t>
      </w:r>
    </w:p>
    <w:p w14:paraId="5E21823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6.6 </w:t>
      </w:r>
      <w:bookmarkStart w:id="57" w:name="OLE_LINK16"/>
      <w:bookmarkStart w:id="58" w:name="OLE_LINK17"/>
      <w:r>
        <w:rPr>
          <w:rFonts w:hint="default" w:ascii="Times New Roman" w:hAnsi="Times New Roman" w:eastAsia="宋体" w:cs="Times New Roman"/>
          <w:szCs w:val="21"/>
          <w:highlight w:val="none"/>
        </w:rPr>
        <w:t>投标人须确保站点网络使用安全，未经同意严禁在工控机中加装各类远程软件，qq、微信等数据传输、聊天软件</w:t>
      </w:r>
      <w:bookmarkEnd w:id="57"/>
      <w:bookmarkEnd w:id="58"/>
      <w:r>
        <w:rPr>
          <w:rFonts w:hint="default" w:ascii="Times New Roman" w:hAnsi="Times New Roman" w:eastAsia="宋体" w:cs="Times New Roman"/>
          <w:szCs w:val="21"/>
          <w:highlight w:val="none"/>
        </w:rPr>
        <w:t>。</w:t>
      </w:r>
    </w:p>
    <w:p w14:paraId="636BC73D">
      <w:pPr>
        <w:pageBreakBefore w:val="0"/>
        <w:tabs>
          <w:tab w:val="left" w:pos="2280"/>
        </w:tabs>
        <w:kinsoku/>
        <w:wordWrap/>
        <w:overflowPunct/>
        <w:topLinePunct w:val="0"/>
        <w:bidi w:val="0"/>
        <w:spacing w:line="360" w:lineRule="auto"/>
        <w:ind w:left="482"/>
        <w:contextualSpacing/>
        <w:outlineLvl w:val="2"/>
        <w:rPr>
          <w:rFonts w:hint="default" w:ascii="Times New Roman" w:hAnsi="Times New Roman" w:eastAsia="宋体" w:cs="Times New Roman"/>
          <w:b/>
          <w:szCs w:val="21"/>
          <w:highlight w:val="none"/>
        </w:rPr>
      </w:pPr>
      <w:bookmarkStart w:id="59" w:name="_Toc150187115"/>
      <w:bookmarkStart w:id="60" w:name="_Toc213334972"/>
      <w:bookmarkStart w:id="61" w:name="_Toc150188187"/>
      <w:r>
        <w:rPr>
          <w:rFonts w:hint="default" w:ascii="Times New Roman" w:hAnsi="Times New Roman" w:eastAsia="宋体" w:cs="Times New Roman"/>
          <w:b/>
          <w:szCs w:val="21"/>
          <w:highlight w:val="none"/>
        </w:rPr>
        <w:t>（七）监督考核要求</w:t>
      </w:r>
      <w:bookmarkEnd w:id="59"/>
      <w:bookmarkEnd w:id="60"/>
    </w:p>
    <w:p w14:paraId="59944AED">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7.1 监督管理</w:t>
      </w:r>
    </w:p>
    <w:p w14:paraId="4D2A1D5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7.1.1 数据必须真实有效，投标人近3年内，在环境监测服务活动中必须没有弄虚作假行为（请投标人根据本单位实际情况自行承诺，若有不实，按提供虚假资料处理，投标及中标无效，且不予退还投标保证金并承担相关法律责任）。</w:t>
      </w:r>
    </w:p>
    <w:p w14:paraId="0477289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7.1.2 投标人应承担监测数据的保密责任（签订保密协议），不得利用本项目的数据、档案或有关资料对外开展技术交流、业务联系、数据交换等。否则，江苏省环境监测中心有权终止合同。</w:t>
      </w:r>
    </w:p>
    <w:p w14:paraId="6C0EB9D0">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7.1.3 运维期间出现调整数据、修改参数、改动设备、质控结果与平台采集结果不一致、弄虚作假等违规行为的，一经查实省监测中心有权终止运维合同。</w:t>
      </w:r>
    </w:p>
    <w:p w14:paraId="7124ACEC">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7.1.4 省监测中心组织开展运维管理和质控考核，对达不到运维要求或违规操作的，可以在全省环境监测系统通报或扣减相应的运维经费，并有权终止运维合同。</w:t>
      </w:r>
    </w:p>
    <w:p w14:paraId="021A596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7.1.5 违反江苏省空气自动站管理办法等违规行为的，一经查实省监测中心有权终止运维合同。</w:t>
      </w:r>
    </w:p>
    <w:p w14:paraId="121FAF8D">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7.2 考核办法</w:t>
      </w:r>
    </w:p>
    <w:p w14:paraId="0C6C4DB6">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季度由省监测中心和第三方质控质保核查单位组织对运维中标单位绩效（职责履行情况）进行考核，填写考核表。考核采取百分制、单站考核的方式进行，主要包括设备运行率、数据有效率（以下简称两率）、运行维护3部分内容，其中两率考核占50%，运行维护考核占50%。</w:t>
      </w:r>
    </w:p>
    <w:p w14:paraId="13C96DE0">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设备运行率是指考核时段内各监测项目实际获取的小时值监测数据量总和除以应获得小时值数据量总和。</w:t>
      </w:r>
    </w:p>
    <w:p w14:paraId="7CD757D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数据有效率是指考核时段内各监测项目实际获取的质控合格的小时值监测数据量总和除以应获得小时值数据量总和。</w:t>
      </w:r>
    </w:p>
    <w:p w14:paraId="43ACD887">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每日各项目应获得小时值数据量均按24个计，考核时段天数按考核时段内日历天数计。计算应获得小时值数据量时，应扣除因不可抗力造成的停止监测的小时数。</w:t>
      </w:r>
    </w:p>
    <w:p w14:paraId="48A34DDA">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7.2.1 数据有效性</w:t>
      </w:r>
    </w:p>
    <w:p w14:paraId="2A933A9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考核时段内单个站点任一监测项目有效数据量应满足《环境空气质量标准》（GB 3095-2012）中规定的污染物浓度数据有效性的最低要求，否则考核总分为0分。</w:t>
      </w:r>
    </w:p>
    <w:p w14:paraId="79852EE2">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7.2.2 两率及运行维护</w:t>
      </w:r>
    </w:p>
    <w:p w14:paraId="5A9ADD8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符合数据有效性要求后，参照本部分执行。</w:t>
      </w:r>
    </w:p>
    <w:p w14:paraId="5632C06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7.2.2.1 两率部分（50分)</w:t>
      </w:r>
    </w:p>
    <w:p w14:paraId="24F8A16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当单站设备运行率高于90%（含)时，才能按照以下条款对数据有效率进行考核，否则两率部分直接0分。</w:t>
      </w:r>
    </w:p>
    <w:p w14:paraId="5BEFF59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（1）单站监测数据有效率高于95%（含）的，两率得分=50分。</w:t>
      </w:r>
    </w:p>
    <w:p w14:paraId="510AD7F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（2）有效率在90%（含）-95%的，两率得分=实际有效率×50分。</w:t>
      </w:r>
    </w:p>
    <w:p w14:paraId="4B8DCDA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（3）有效率在80%（含）-90%的，两率得分=实际有效率×90%×50分。</w:t>
      </w:r>
    </w:p>
    <w:p w14:paraId="7A28D4B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7.2.2.2 运行维护部分（50分）</w:t>
      </w:r>
    </w:p>
    <w:p w14:paraId="66220E7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行维护部分每季度由省监测中心和第三方质控中标商组织核查，内容包括日常运维操作、质量保证与控制、档案和管理3部分，其中，日常运维操作和质量保证与控制各占20分，档案和管理占10分，满分50分，采用扣分制。扣分细则如下表：</w:t>
      </w:r>
    </w:p>
    <w:p w14:paraId="007ED972">
      <w:pPr>
        <w:pageBreakBefore w:val="0"/>
        <w:widowControl/>
        <w:kinsoku/>
        <w:wordWrap/>
        <w:overflowPunct/>
        <w:topLinePunct w:val="0"/>
        <w:bidi w:val="0"/>
        <w:spacing w:line="360" w:lineRule="auto"/>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表4-2-1省控（质控、农村及边界）空气站空气自动站运行维护考核明细表</w:t>
      </w:r>
    </w:p>
    <w:tbl>
      <w:tblPr>
        <w:tblStyle w:val="48"/>
        <w:tblW w:w="92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920"/>
        <w:gridCol w:w="4728"/>
        <w:gridCol w:w="455"/>
        <w:gridCol w:w="2260"/>
      </w:tblGrid>
      <w:tr w14:paraId="7F825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blHeader/>
        </w:trPr>
        <w:tc>
          <w:tcPr>
            <w:tcW w:w="914" w:type="dxa"/>
            <w:tcBorders>
              <w:top w:val="single" w:color="000000" w:sz="4" w:space="0"/>
            </w:tcBorders>
            <w:vAlign w:val="center"/>
          </w:tcPr>
          <w:p w14:paraId="5078F557">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项目</w:t>
            </w:r>
          </w:p>
        </w:tc>
        <w:tc>
          <w:tcPr>
            <w:tcW w:w="920" w:type="dxa"/>
            <w:tcBorders>
              <w:top w:val="single" w:color="000000" w:sz="4" w:space="0"/>
            </w:tcBorders>
            <w:vAlign w:val="center"/>
          </w:tcPr>
          <w:p w14:paraId="0F794AB6">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明细</w:t>
            </w:r>
          </w:p>
        </w:tc>
        <w:tc>
          <w:tcPr>
            <w:tcW w:w="4728" w:type="dxa"/>
            <w:tcBorders>
              <w:top w:val="single" w:color="000000" w:sz="4" w:space="0"/>
            </w:tcBorders>
            <w:vAlign w:val="center"/>
          </w:tcPr>
          <w:p w14:paraId="4739AAD4">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检查要点</w:t>
            </w:r>
          </w:p>
        </w:tc>
        <w:tc>
          <w:tcPr>
            <w:tcW w:w="455" w:type="dxa"/>
            <w:tcBorders>
              <w:top w:val="single" w:color="000000" w:sz="4" w:space="0"/>
            </w:tcBorders>
            <w:vAlign w:val="center"/>
          </w:tcPr>
          <w:p w14:paraId="38D70BE7">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得分</w:t>
            </w:r>
          </w:p>
        </w:tc>
        <w:tc>
          <w:tcPr>
            <w:tcW w:w="2260" w:type="dxa"/>
            <w:tcBorders>
              <w:top w:val="single" w:color="000000" w:sz="4" w:space="0"/>
            </w:tcBorders>
            <w:vAlign w:val="center"/>
          </w:tcPr>
          <w:p w14:paraId="60AC6FF7">
            <w:pPr>
              <w:pStyle w:val="391"/>
              <w:pageBreakBefore w:val="0"/>
              <w:kinsoku/>
              <w:wordWrap/>
              <w:overflowPunct/>
              <w:topLinePunct w:val="0"/>
              <w:bidi w:val="0"/>
              <w:spacing w:line="360" w:lineRule="auto"/>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评分说明</w:t>
            </w:r>
          </w:p>
        </w:tc>
      </w:tr>
      <w:tr w14:paraId="419AF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rPr>
        <w:tc>
          <w:tcPr>
            <w:tcW w:w="914" w:type="dxa"/>
            <w:vMerge w:val="restart"/>
            <w:vAlign w:val="center"/>
          </w:tcPr>
          <w:p w14:paraId="11079E0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日常运维操作</w:t>
            </w:r>
          </w:p>
          <w:p w14:paraId="0AC0A13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20</w:t>
            </w:r>
            <w:r>
              <w:rPr>
                <w:rFonts w:hint="eastAsia" w:ascii="Times New Roman" w:hAnsi="Times New Roman" w:eastAsia="宋体" w:cs="Times New Roman"/>
                <w:szCs w:val="21"/>
                <w:highlight w:val="none"/>
                <w:lang w:eastAsia="zh-CN"/>
              </w:rPr>
              <w:t>）</w:t>
            </w:r>
          </w:p>
        </w:tc>
        <w:tc>
          <w:tcPr>
            <w:tcW w:w="920" w:type="dxa"/>
            <w:vAlign w:val="center"/>
          </w:tcPr>
          <w:p w14:paraId="7E0FC80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站房环境保障情况</w:t>
            </w:r>
          </w:p>
        </w:tc>
        <w:tc>
          <w:tcPr>
            <w:tcW w:w="4728" w:type="dxa"/>
            <w:tcBorders>
              <w:bottom w:val="single" w:color="000000" w:sz="4" w:space="0"/>
            </w:tcBorders>
            <w:vAlign w:val="center"/>
          </w:tcPr>
          <w:p w14:paraId="1341F68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站房环境是否清洁，有无漏水现象，是否符合监测要求，站房温湿度是否正常，空调、照明等是否正常</w:t>
            </w:r>
          </w:p>
        </w:tc>
        <w:tc>
          <w:tcPr>
            <w:tcW w:w="455" w:type="dxa"/>
            <w:tcBorders>
              <w:bottom w:val="single" w:color="000000" w:sz="4" w:space="0"/>
            </w:tcBorders>
            <w:vAlign w:val="center"/>
          </w:tcPr>
          <w:p w14:paraId="00E34AB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restart"/>
            <w:vAlign w:val="center"/>
          </w:tcPr>
          <w:p w14:paraId="6F8C2CFC">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1、现场检查中省监测中心或质控单位发现未取得上岗证的人员独自参加本项目运维工作，本站点当季度每月扣10分</w:t>
            </w:r>
          </w:p>
          <w:p w14:paraId="1216A0C7">
            <w:pPr>
              <w:pageBreakBefore w:val="0"/>
              <w:kinsoku/>
              <w:wordWrap/>
              <w:overflowPunct/>
              <w:topLinePunct w:val="0"/>
              <w:bidi w:val="0"/>
              <w:spacing w:line="360" w:lineRule="auto"/>
              <w:rPr>
                <w:rFonts w:hint="default" w:ascii="Times New Roman" w:hAnsi="Times New Roman" w:eastAsia="宋体" w:cs="Times New Roman"/>
                <w:szCs w:val="21"/>
                <w:highlight w:val="none"/>
              </w:rPr>
            </w:pPr>
          </w:p>
          <w:p w14:paraId="14155282">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2、针对站房环境保障情况、采样系统维护效果、仪器日常维护效果等检查结果，根据影响数据质量的严重程度扣分，每项0.5～1分，第二季度出现上季度同一故障的加倍扣分</w:t>
            </w:r>
          </w:p>
          <w:p w14:paraId="3E7FA7D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p w14:paraId="5F98249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3、出现以下情况者，一经发现当月每次(项)扣5分。主要包括使用过期标气或二级标气；进口颗粒物分析仪器使用国产滤带；气态污染物使用非聚四氟乙烯材质滤膜等。</w:t>
            </w:r>
          </w:p>
        </w:tc>
      </w:tr>
      <w:tr w14:paraId="07F9E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12E2C1F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restart"/>
            <w:vAlign w:val="center"/>
          </w:tcPr>
          <w:p w14:paraId="5FADF34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采样系统维护效果</w:t>
            </w:r>
          </w:p>
        </w:tc>
        <w:tc>
          <w:tcPr>
            <w:tcW w:w="4728" w:type="dxa"/>
            <w:tcBorders>
              <w:bottom w:val="single" w:color="000000" w:sz="4" w:space="0"/>
            </w:tcBorders>
            <w:vAlign w:val="center"/>
          </w:tcPr>
          <w:p w14:paraId="382BEAB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采样总管和采样支管材质是否满足《规范》要求</w:t>
            </w:r>
          </w:p>
        </w:tc>
        <w:tc>
          <w:tcPr>
            <w:tcW w:w="455" w:type="dxa"/>
            <w:tcBorders>
              <w:bottom w:val="single" w:color="000000" w:sz="4" w:space="0"/>
            </w:tcBorders>
            <w:vAlign w:val="center"/>
          </w:tcPr>
          <w:p w14:paraId="05D5307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7813568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0F3A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6957622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053DC10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52D1735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采样系统清洁程度：采样头、采样管道是否清洁，有无积灰、积水或障碍物，</w:t>
            </w:r>
            <w:r>
              <w:rPr>
                <w:rFonts w:hint="default" w:ascii="Times New Roman" w:hAnsi="Times New Roman" w:eastAsia="宋体" w:cs="Times New Roman"/>
                <w:bCs/>
                <w:szCs w:val="21"/>
                <w:highlight w:val="none"/>
              </w:rPr>
              <w:t>采样风机是否正常工作</w:t>
            </w:r>
          </w:p>
        </w:tc>
        <w:tc>
          <w:tcPr>
            <w:tcW w:w="455" w:type="dxa"/>
            <w:tcBorders>
              <w:bottom w:val="single" w:color="000000" w:sz="4" w:space="0"/>
            </w:tcBorders>
            <w:vAlign w:val="center"/>
          </w:tcPr>
          <w:p w14:paraId="7279F72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1C5B52F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6762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0CE17A6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622D253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2E4ABA8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气态污染物采样支管是否插入采样总管的中心，监测仪器与支管接头连接的管线长度是否小于3m</w:t>
            </w:r>
          </w:p>
        </w:tc>
        <w:tc>
          <w:tcPr>
            <w:tcW w:w="455" w:type="dxa"/>
            <w:tcBorders>
              <w:bottom w:val="single" w:color="000000" w:sz="4" w:space="0"/>
            </w:tcBorders>
            <w:vAlign w:val="center"/>
          </w:tcPr>
          <w:p w14:paraId="65F9DF8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61D8F21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5B2FC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1061B72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4712F2D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74FB219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采样管路连接是否规范，</w:t>
            </w:r>
          </w:p>
        </w:tc>
        <w:tc>
          <w:tcPr>
            <w:tcW w:w="455" w:type="dxa"/>
            <w:tcBorders>
              <w:bottom w:val="single" w:color="000000" w:sz="4" w:space="0"/>
            </w:tcBorders>
            <w:vAlign w:val="center"/>
          </w:tcPr>
          <w:p w14:paraId="27259A3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617C510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2BA1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3816619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tcBorders>
              <w:bottom w:val="single" w:color="000000" w:sz="4" w:space="0"/>
            </w:tcBorders>
            <w:vAlign w:val="center"/>
          </w:tcPr>
          <w:p w14:paraId="466C6CE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6332589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采样总管是否有加热装置，加热功能是否正常</w:t>
            </w:r>
          </w:p>
        </w:tc>
        <w:tc>
          <w:tcPr>
            <w:tcW w:w="455" w:type="dxa"/>
            <w:tcBorders>
              <w:bottom w:val="single" w:color="000000" w:sz="4" w:space="0"/>
            </w:tcBorders>
            <w:vAlign w:val="center"/>
          </w:tcPr>
          <w:p w14:paraId="6F09DB5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7F683CB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150CA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3" w:hRule="atLeast"/>
        </w:trPr>
        <w:tc>
          <w:tcPr>
            <w:tcW w:w="914" w:type="dxa"/>
            <w:vMerge w:val="continue"/>
            <w:vAlign w:val="center"/>
          </w:tcPr>
          <w:p w14:paraId="1E18708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restart"/>
            <w:vAlign w:val="center"/>
          </w:tcPr>
          <w:p w14:paraId="62C511B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仪器日常维护效果</w:t>
            </w:r>
          </w:p>
        </w:tc>
        <w:tc>
          <w:tcPr>
            <w:tcW w:w="4728" w:type="dxa"/>
            <w:tcBorders>
              <w:bottom w:val="single" w:color="000000" w:sz="4" w:space="0"/>
            </w:tcBorders>
            <w:vAlign w:val="center"/>
          </w:tcPr>
          <w:p w14:paraId="50B51D1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仪器工作状态是否正常，是否存在报警信息</w:t>
            </w:r>
          </w:p>
        </w:tc>
        <w:tc>
          <w:tcPr>
            <w:tcW w:w="455" w:type="dxa"/>
            <w:tcBorders>
              <w:bottom w:val="single" w:color="000000" w:sz="4" w:space="0"/>
            </w:tcBorders>
            <w:vAlign w:val="center"/>
          </w:tcPr>
          <w:p w14:paraId="491C929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603991F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2D0EF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3084267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3375F8C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0B80E45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仪器过滤膜是否及时更换，散热风扇是否及时清洗</w:t>
            </w:r>
          </w:p>
        </w:tc>
        <w:tc>
          <w:tcPr>
            <w:tcW w:w="455" w:type="dxa"/>
            <w:tcBorders>
              <w:bottom w:val="single" w:color="000000" w:sz="4" w:space="0"/>
            </w:tcBorders>
            <w:vAlign w:val="center"/>
          </w:tcPr>
          <w:p w14:paraId="2B65E5B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04A35E8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7A78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4" w:hRule="atLeast"/>
        </w:trPr>
        <w:tc>
          <w:tcPr>
            <w:tcW w:w="914" w:type="dxa"/>
            <w:vMerge w:val="continue"/>
            <w:vAlign w:val="center"/>
          </w:tcPr>
          <w:p w14:paraId="23A0506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64174B0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45F99CA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颗粒物采样管加热装置是否工作正常</w:t>
            </w:r>
          </w:p>
        </w:tc>
        <w:tc>
          <w:tcPr>
            <w:tcW w:w="455" w:type="dxa"/>
            <w:tcBorders>
              <w:bottom w:val="single" w:color="000000" w:sz="4" w:space="0"/>
            </w:tcBorders>
            <w:vAlign w:val="center"/>
          </w:tcPr>
          <w:p w14:paraId="66276C3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21A8D2C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3459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914" w:type="dxa"/>
            <w:vMerge w:val="continue"/>
            <w:vAlign w:val="center"/>
          </w:tcPr>
          <w:p w14:paraId="34B1833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1831579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7CC6779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零气发生器相关耗材是否及时更换</w:t>
            </w:r>
          </w:p>
        </w:tc>
        <w:tc>
          <w:tcPr>
            <w:tcW w:w="455" w:type="dxa"/>
            <w:tcBorders>
              <w:bottom w:val="single" w:color="000000" w:sz="4" w:space="0"/>
            </w:tcBorders>
            <w:vAlign w:val="center"/>
          </w:tcPr>
          <w:p w14:paraId="016CE10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228E7B8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158A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0" w:hRule="atLeast"/>
        </w:trPr>
        <w:tc>
          <w:tcPr>
            <w:tcW w:w="914" w:type="dxa"/>
            <w:vMerge w:val="continue"/>
            <w:vAlign w:val="center"/>
          </w:tcPr>
          <w:p w14:paraId="4E5FFBE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3CC7190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tcBorders>
              <w:bottom w:val="single" w:color="000000" w:sz="4" w:space="0"/>
            </w:tcBorders>
            <w:vAlign w:val="center"/>
          </w:tcPr>
          <w:p w14:paraId="2F01F1F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采样泵相关耗材是否及时更换</w:t>
            </w:r>
          </w:p>
        </w:tc>
        <w:tc>
          <w:tcPr>
            <w:tcW w:w="455" w:type="dxa"/>
            <w:tcBorders>
              <w:bottom w:val="single" w:color="000000" w:sz="4" w:space="0"/>
            </w:tcBorders>
            <w:vAlign w:val="center"/>
          </w:tcPr>
          <w:p w14:paraId="47CD65C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2A36DDA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59752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3" w:hRule="atLeast"/>
        </w:trPr>
        <w:tc>
          <w:tcPr>
            <w:tcW w:w="914" w:type="dxa"/>
            <w:vMerge w:val="continue"/>
            <w:vAlign w:val="center"/>
          </w:tcPr>
          <w:p w14:paraId="489699C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253915F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7BE81C6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采样纸带或滤膜是否及时更换</w:t>
            </w:r>
          </w:p>
        </w:tc>
        <w:tc>
          <w:tcPr>
            <w:tcW w:w="455" w:type="dxa"/>
            <w:vAlign w:val="center"/>
          </w:tcPr>
          <w:p w14:paraId="2E2F661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0E831BC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3F644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8" w:hRule="atLeast"/>
        </w:trPr>
        <w:tc>
          <w:tcPr>
            <w:tcW w:w="914" w:type="dxa"/>
            <w:vMerge w:val="restart"/>
            <w:vAlign w:val="center"/>
          </w:tcPr>
          <w:p w14:paraId="36758EE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质量保证与质量控制（20）</w:t>
            </w:r>
          </w:p>
          <w:p w14:paraId="2BC2DB2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p w14:paraId="3104269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restart"/>
            <w:vAlign w:val="center"/>
          </w:tcPr>
          <w:p w14:paraId="08807E0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仪器运维状态核查</w:t>
            </w:r>
          </w:p>
        </w:tc>
        <w:tc>
          <w:tcPr>
            <w:tcW w:w="4728" w:type="dxa"/>
            <w:vAlign w:val="center"/>
          </w:tcPr>
          <w:p w14:paraId="3512563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标气压力低于1.5Mpa；</w:t>
            </w:r>
          </w:p>
        </w:tc>
        <w:tc>
          <w:tcPr>
            <w:tcW w:w="455" w:type="dxa"/>
            <w:vAlign w:val="center"/>
          </w:tcPr>
          <w:p w14:paraId="0DDC8DE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restart"/>
            <w:vAlign w:val="center"/>
          </w:tcPr>
          <w:p w14:paraId="1BA5131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根据省监测中心或第三方质控商QA/QC质控核查情况打分，出现此类现象的，根据影响数据质量的严重程度扣分，每项0.5～1分，1、根据实际情况扣0.5～1分，第二季度出现上季度同一故障的加倍扣分</w:t>
            </w:r>
          </w:p>
          <w:p w14:paraId="68DFE68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40622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trPr>
        <w:tc>
          <w:tcPr>
            <w:tcW w:w="914" w:type="dxa"/>
            <w:vMerge w:val="continue"/>
            <w:vAlign w:val="center"/>
          </w:tcPr>
          <w:p w14:paraId="4D46593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0A39225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571633A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气态污染物分析仪内部性能参数超过标准要求，如机体内部温度，反应室温度、压力等；</w:t>
            </w:r>
          </w:p>
        </w:tc>
        <w:tc>
          <w:tcPr>
            <w:tcW w:w="455" w:type="dxa"/>
            <w:vAlign w:val="center"/>
          </w:tcPr>
          <w:p w14:paraId="79EE41F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520DFBB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78335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2C76A29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0867CD1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1C9F16D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颗粒物分析仪密封圈缺失，温度、压力偏差，气态污染物分析仪散热风扇故障</w:t>
            </w:r>
          </w:p>
        </w:tc>
        <w:tc>
          <w:tcPr>
            <w:tcW w:w="455" w:type="dxa"/>
            <w:vAlign w:val="center"/>
          </w:tcPr>
          <w:p w14:paraId="62DCD9B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6576840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715E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6" w:hRule="atLeast"/>
        </w:trPr>
        <w:tc>
          <w:tcPr>
            <w:tcW w:w="914" w:type="dxa"/>
            <w:vMerge w:val="continue"/>
            <w:vAlign w:val="center"/>
          </w:tcPr>
          <w:p w14:paraId="0F1D43E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08D8A43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0DCAF25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零气和校准仪性能参数超过偏差允许范围</w:t>
            </w:r>
          </w:p>
        </w:tc>
        <w:tc>
          <w:tcPr>
            <w:tcW w:w="455" w:type="dxa"/>
            <w:vAlign w:val="center"/>
          </w:tcPr>
          <w:p w14:paraId="5C49074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3035991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08D9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471AB4B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5E7AC05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0B6D71E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气态污染物分析仪斜率、截距超过标准要求</w:t>
            </w:r>
          </w:p>
        </w:tc>
        <w:tc>
          <w:tcPr>
            <w:tcW w:w="455" w:type="dxa"/>
            <w:vAlign w:val="center"/>
          </w:tcPr>
          <w:p w14:paraId="0AF4A2A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4174066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4D33D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0A6070B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23C6CF8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757DD54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气态污染物或颗粒物分析仪采样流量或标况流量偏差</w:t>
            </w:r>
          </w:p>
        </w:tc>
        <w:tc>
          <w:tcPr>
            <w:tcW w:w="455" w:type="dxa"/>
            <w:vAlign w:val="center"/>
          </w:tcPr>
          <w:p w14:paraId="4BE0C02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69FD69F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32AF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trPr>
        <w:tc>
          <w:tcPr>
            <w:tcW w:w="914" w:type="dxa"/>
            <w:vMerge w:val="continue"/>
            <w:vAlign w:val="center"/>
          </w:tcPr>
          <w:p w14:paraId="73E72C9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36990B1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3CE623F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气态污染物分析仪零点、20%（或其他点）全幅测试未通过或T90响应时间未通过</w:t>
            </w:r>
          </w:p>
        </w:tc>
        <w:tc>
          <w:tcPr>
            <w:tcW w:w="455" w:type="dxa"/>
            <w:vAlign w:val="center"/>
          </w:tcPr>
          <w:p w14:paraId="483BA66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0946C40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3CB0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1" w:hRule="atLeast"/>
        </w:trPr>
        <w:tc>
          <w:tcPr>
            <w:tcW w:w="914" w:type="dxa"/>
            <w:vMerge w:val="continue"/>
            <w:vAlign w:val="center"/>
          </w:tcPr>
          <w:p w14:paraId="159BBF7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71C917EF">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5F94C6A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颗粒物分析仪采样斑点有残缺或穿孔现象</w:t>
            </w:r>
          </w:p>
        </w:tc>
        <w:tc>
          <w:tcPr>
            <w:tcW w:w="455" w:type="dxa"/>
            <w:vAlign w:val="center"/>
          </w:tcPr>
          <w:p w14:paraId="7AF8C2D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2FAF60C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0750A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539DA86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2DE83F1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71036D7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颗粒物分析仪采样斑点试漏测试未通过</w:t>
            </w:r>
          </w:p>
        </w:tc>
        <w:tc>
          <w:tcPr>
            <w:tcW w:w="455" w:type="dxa"/>
            <w:vAlign w:val="center"/>
          </w:tcPr>
          <w:p w14:paraId="150C1443">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Merge w:val="continue"/>
            <w:vAlign w:val="center"/>
          </w:tcPr>
          <w:p w14:paraId="1852D8B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r>
      <w:tr w14:paraId="369D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restart"/>
            <w:vAlign w:val="center"/>
          </w:tcPr>
          <w:p w14:paraId="05F83205">
            <w:pPr>
              <w:pStyle w:val="391"/>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档案和管理（10）</w:t>
            </w:r>
          </w:p>
        </w:tc>
        <w:tc>
          <w:tcPr>
            <w:tcW w:w="920" w:type="dxa"/>
            <w:vMerge w:val="restart"/>
            <w:vAlign w:val="center"/>
          </w:tcPr>
          <w:p w14:paraId="2EE1BC9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记录及故障响应时间等核查</w:t>
            </w:r>
          </w:p>
        </w:tc>
        <w:tc>
          <w:tcPr>
            <w:tcW w:w="4728" w:type="dxa"/>
            <w:vAlign w:val="center"/>
          </w:tcPr>
          <w:p w14:paraId="20EDBC44">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未经同意在工控机中加装各类远程软件，qq、微信等数据传输、聊天软件等</w:t>
            </w:r>
          </w:p>
        </w:tc>
        <w:tc>
          <w:tcPr>
            <w:tcW w:w="455" w:type="dxa"/>
            <w:vAlign w:val="center"/>
          </w:tcPr>
          <w:p w14:paraId="6CF5C15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3617109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发生网络安全问题，当季度每月扣5分，因网络安全漏洞，被有关部门通报的，当季度每月扣10分，扣站点运维经费。</w:t>
            </w:r>
          </w:p>
        </w:tc>
      </w:tr>
      <w:tr w14:paraId="68FF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1E3BC0F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517241F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6056B6D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现场运维每周例行巡检记录，包括标气使用状况记录、用电记录、仪器运行参数记录等</w:t>
            </w:r>
          </w:p>
        </w:tc>
        <w:tc>
          <w:tcPr>
            <w:tcW w:w="455" w:type="dxa"/>
            <w:vAlign w:val="center"/>
          </w:tcPr>
          <w:p w14:paraId="6FE2CC3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52144FC1">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缺失每次（项)扣0.5分</w:t>
            </w:r>
          </w:p>
        </w:tc>
      </w:tr>
      <w:tr w14:paraId="3780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2116A9F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76DB838D">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646B715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每周现场进行手工校零校标检查和校准，并填写相关记录</w:t>
            </w:r>
          </w:p>
        </w:tc>
        <w:tc>
          <w:tcPr>
            <w:tcW w:w="455" w:type="dxa"/>
            <w:vAlign w:val="center"/>
          </w:tcPr>
          <w:p w14:paraId="7205A8D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4D35DCF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缺失每参数当月扣2分</w:t>
            </w:r>
          </w:p>
        </w:tc>
      </w:tr>
      <w:tr w14:paraId="5B63D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6D45F85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01FE9EB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09FC5F3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每月至少检查一次气态污染物、颗粒物监测仪流量并填写相关记录</w:t>
            </w:r>
          </w:p>
        </w:tc>
        <w:tc>
          <w:tcPr>
            <w:tcW w:w="455" w:type="dxa"/>
            <w:vAlign w:val="center"/>
          </w:tcPr>
          <w:p w14:paraId="15162FB0">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79B90E6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缺失每参数当季度每月扣2分</w:t>
            </w:r>
          </w:p>
        </w:tc>
      </w:tr>
      <w:tr w14:paraId="0454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387C8D3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2D054C9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7FD65CCA">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每季度进行气态污染物多点线性检查、精密度检查；颗粒物监测仪膜片检查和试漏检查并填写相关记录</w:t>
            </w:r>
          </w:p>
        </w:tc>
        <w:tc>
          <w:tcPr>
            <w:tcW w:w="455" w:type="dxa"/>
            <w:vAlign w:val="center"/>
          </w:tcPr>
          <w:p w14:paraId="4E64F43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69286C35">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缺失每参数当季度每月扣3分</w:t>
            </w:r>
          </w:p>
        </w:tc>
      </w:tr>
      <w:tr w14:paraId="1727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29E02F5E">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385FDA4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447D6F9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每半年对NOx设备钼炉转换率和精密度进行检查并填写相关记录，</w:t>
            </w:r>
          </w:p>
        </w:tc>
        <w:tc>
          <w:tcPr>
            <w:tcW w:w="455" w:type="dxa"/>
            <w:vAlign w:val="center"/>
          </w:tcPr>
          <w:p w14:paraId="219BEF8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6B33DC18">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缺失当季度每月扣3分</w:t>
            </w:r>
          </w:p>
        </w:tc>
      </w:tr>
      <w:tr w14:paraId="37B7B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73022C5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53EE6D1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567C7CA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每年开展现场臭氧工作标准量值溯源工作，每半年提交子站臭氧传递报告，</w:t>
            </w:r>
          </w:p>
        </w:tc>
        <w:tc>
          <w:tcPr>
            <w:tcW w:w="455" w:type="dxa"/>
            <w:vAlign w:val="center"/>
          </w:tcPr>
          <w:p w14:paraId="7144802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3735C779">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缺失当季度每月扣3分</w:t>
            </w:r>
          </w:p>
        </w:tc>
      </w:tr>
      <w:tr w14:paraId="1952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trPr>
        <w:tc>
          <w:tcPr>
            <w:tcW w:w="914" w:type="dxa"/>
            <w:vMerge w:val="continue"/>
            <w:vAlign w:val="center"/>
          </w:tcPr>
          <w:p w14:paraId="499D21CC">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920" w:type="dxa"/>
            <w:vMerge w:val="continue"/>
            <w:vAlign w:val="center"/>
          </w:tcPr>
          <w:p w14:paraId="0E74B557">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4728" w:type="dxa"/>
            <w:vAlign w:val="center"/>
          </w:tcPr>
          <w:p w14:paraId="1873E9AB">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当站点每日8时～22时出现故障，应在1小时之内响应，2小时内到达现场、4小时解决或提出解决方案</w:t>
            </w:r>
          </w:p>
        </w:tc>
        <w:tc>
          <w:tcPr>
            <w:tcW w:w="455" w:type="dxa"/>
            <w:vAlign w:val="center"/>
          </w:tcPr>
          <w:p w14:paraId="60B6D186">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p>
        </w:tc>
        <w:tc>
          <w:tcPr>
            <w:tcW w:w="2260" w:type="dxa"/>
            <w:vAlign w:val="center"/>
          </w:tcPr>
          <w:p w14:paraId="3C27B712">
            <w:pPr>
              <w:pStyle w:val="391"/>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未做到的每次扣3分</w:t>
            </w:r>
          </w:p>
        </w:tc>
      </w:tr>
    </w:tbl>
    <w:p w14:paraId="4681EF72">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7.2.3考核总分（100分）</w:t>
      </w:r>
    </w:p>
    <w:p w14:paraId="6D9AAFE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考核总分=两率得分+运行维护得分。</w:t>
      </w:r>
    </w:p>
    <w:p w14:paraId="1DF9E626">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7.3运维费核算方法</w:t>
      </w:r>
    </w:p>
    <w:p w14:paraId="2266F99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绩效考核总分低于80的，不予拨付运维费；绩效考核总分95（含）分以上的，拨付全额运维费；绩效考核总分在80（含）-95分的，运维费=实际考核得分/100*全额运维费。</w:t>
      </w:r>
    </w:p>
    <w:p w14:paraId="292F86E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在考核中出现10%站点未达到数据有效性要求的，给予警告，履约保证金不予退还；连续2次考核出现10%站点未达到或者单次考核15%以上站点未达到数据有效性要求的，终止运维合同，履约保证金不予退还。同一站点连续两个月未达到数据有效性要求的，扣除该站点半年的运维费；连续3个月未达到数据有效性要求的，扣除该站点全年的运维费；连续4个月未达到数据有效性要求的，终止运维合同，履约保证金不予退还。</w:t>
      </w:r>
    </w:p>
    <w:p w14:paraId="7C00F6D9">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7.4其他规定</w:t>
      </w:r>
    </w:p>
    <w:p w14:paraId="793C55EB">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机构有下列情形之一的，省监测中心将扣除相应站点当月运行经费：迟报、漏报或不报审核数据的；拖延、阻碍、拒绝质量检查或飞行检查的；发现采样、分析、数据采集和传输等过程人为干扰，发现非运维人员进出房，未按要求及时向省监测中心报告的；因工作疏漏，未发现采样、分析、数据采集和传输等过程人为干扰的；其他不履行规定职责的情形。</w:t>
      </w:r>
    </w:p>
    <w:p w14:paraId="5EC68EEF">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在各类专项质量检查中，发现投标人未达到省生态环境厅和省监测中心运维质控要求时，根据对数据质量造成的影响程度，扣减相应站点当季度10%～100%运维经费；如未及时整改，加倍扣款。</w:t>
      </w:r>
    </w:p>
    <w:p w14:paraId="6613367E">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省监测中心有权根据相关规定对扣除的运维费进行重新支配，用于开展其它与省控（质控、农村及边界）空气站运维管理相关的工作。</w:t>
      </w:r>
    </w:p>
    <w:p w14:paraId="44979A6A">
      <w:pPr>
        <w:pStyle w:val="5"/>
        <w:pageBreakBefore w:val="0"/>
        <w:kinsoku/>
        <w:wordWrap/>
        <w:overflowPunct/>
        <w:topLinePunct w:val="0"/>
        <w:bidi w:val="0"/>
        <w:spacing w:before="0" w:after="0" w:line="360" w:lineRule="auto"/>
        <w:ind w:firstLine="643"/>
        <w:rPr>
          <w:rFonts w:hint="default" w:ascii="Times New Roman" w:hAnsi="Times New Roman" w:eastAsia="宋体" w:cs="Times New Roman"/>
          <w:sz w:val="21"/>
          <w:szCs w:val="21"/>
          <w:highlight w:val="none"/>
        </w:rPr>
      </w:pPr>
      <w:bookmarkStart w:id="62" w:name="_Toc213334973"/>
      <w:r>
        <w:rPr>
          <w:rFonts w:hint="default" w:ascii="Times New Roman" w:hAnsi="Times New Roman" w:eastAsia="宋体" w:cs="Times New Roman"/>
          <w:sz w:val="21"/>
          <w:szCs w:val="21"/>
          <w:highlight w:val="none"/>
        </w:rPr>
        <w:t>三、质控质保核查要求（采购包2）</w:t>
      </w:r>
      <w:bookmarkEnd w:id="61"/>
      <w:bookmarkEnd w:id="62"/>
    </w:p>
    <w:p w14:paraId="40B0925A">
      <w:pPr>
        <w:pageBreakBefore w:val="0"/>
        <w:tabs>
          <w:tab w:val="left" w:pos="2280"/>
        </w:tabs>
        <w:kinsoku/>
        <w:wordWrap/>
        <w:overflowPunct/>
        <w:topLinePunct w:val="0"/>
        <w:bidi w:val="0"/>
        <w:spacing w:line="360" w:lineRule="auto"/>
        <w:ind w:left="482"/>
        <w:contextualSpacing/>
        <w:outlineLvl w:val="2"/>
        <w:rPr>
          <w:rFonts w:hint="default" w:ascii="Times New Roman" w:hAnsi="Times New Roman" w:eastAsia="宋体" w:cs="Times New Roman"/>
          <w:b/>
          <w:szCs w:val="21"/>
          <w:highlight w:val="none"/>
        </w:rPr>
      </w:pPr>
      <w:bookmarkStart w:id="63" w:name="_Toc32707"/>
      <w:bookmarkStart w:id="64" w:name="_Toc11262"/>
      <w:bookmarkStart w:id="65" w:name="_Toc213334974"/>
      <w:bookmarkStart w:id="66" w:name="_Toc150187117"/>
      <w:r>
        <w:rPr>
          <w:rFonts w:hint="default" w:ascii="Times New Roman" w:hAnsi="Times New Roman" w:eastAsia="宋体" w:cs="Times New Roman"/>
          <w:b/>
          <w:szCs w:val="21"/>
          <w:highlight w:val="none"/>
        </w:rPr>
        <w:t>（一）机构、人员、车辆、设备配备要求</w:t>
      </w:r>
      <w:bookmarkEnd w:id="63"/>
      <w:bookmarkEnd w:id="64"/>
      <w:bookmarkEnd w:id="65"/>
      <w:bookmarkEnd w:id="66"/>
    </w:p>
    <w:p w14:paraId="10A7BCAA">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 xml:space="preserve">1.1 </w:t>
      </w:r>
      <w:r>
        <w:rPr>
          <w:rFonts w:hint="default" w:ascii="Times New Roman" w:hAnsi="Times New Roman" w:eastAsia="宋体" w:cs="Times New Roman"/>
          <w:szCs w:val="21"/>
          <w:highlight w:val="none"/>
        </w:rPr>
        <w:t>投标人应在江苏省内设有3个（含）以上的技术服务网点（需提供办事处或房屋租赁证明等材料）</w:t>
      </w:r>
      <w:r>
        <w:rPr>
          <w:rFonts w:hint="default" w:ascii="Times New Roman" w:hAnsi="Times New Roman" w:eastAsia="宋体" w:cs="Times New Roman"/>
          <w:iCs/>
          <w:szCs w:val="21"/>
          <w:highlight w:val="none"/>
        </w:rPr>
        <w:t>，并提供本地化服务方案。应保证配备的专业技术人员数量（核查人员部分应具备本科以上学历，且具有环境、电子、自动化或仪器仪表等专业背景）以及质控专用车辆数量不少于下表要求的数量。</w:t>
      </w:r>
    </w:p>
    <w:p w14:paraId="6287FE4D">
      <w:pPr>
        <w:pageBreakBefore w:val="0"/>
        <w:kinsoku/>
        <w:wordWrap/>
        <w:overflowPunct/>
        <w:topLinePunct w:val="0"/>
        <w:bidi w:val="0"/>
        <w:spacing w:line="360" w:lineRule="auto"/>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表4-3-1 车辆人员配备情况表</w:t>
      </w:r>
    </w:p>
    <w:tbl>
      <w:tblPr>
        <w:tblStyle w:val="4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82"/>
        <w:gridCol w:w="2586"/>
        <w:gridCol w:w="2354"/>
      </w:tblGrid>
      <w:tr w14:paraId="0392F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3582" w:type="dxa"/>
            <w:vAlign w:val="center"/>
          </w:tcPr>
          <w:p w14:paraId="0B0B1010">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采购包</w:t>
            </w:r>
          </w:p>
        </w:tc>
        <w:tc>
          <w:tcPr>
            <w:tcW w:w="2586" w:type="dxa"/>
            <w:vAlign w:val="center"/>
          </w:tcPr>
          <w:p w14:paraId="4A90D934">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质控车辆</w:t>
            </w:r>
          </w:p>
        </w:tc>
        <w:tc>
          <w:tcPr>
            <w:tcW w:w="2354" w:type="dxa"/>
            <w:vAlign w:val="center"/>
          </w:tcPr>
          <w:p w14:paraId="3E04C8E8">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现场核查人员</w:t>
            </w:r>
          </w:p>
        </w:tc>
      </w:tr>
      <w:tr w14:paraId="7273E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582" w:type="dxa"/>
            <w:vAlign w:val="center"/>
          </w:tcPr>
          <w:p w14:paraId="281E329D">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包2：省控（质控、农村及边界）</w:t>
            </w:r>
          </w:p>
          <w:p w14:paraId="6A9DAB93">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空气站第三方质控</w:t>
            </w:r>
          </w:p>
        </w:tc>
        <w:tc>
          <w:tcPr>
            <w:tcW w:w="2586" w:type="dxa"/>
            <w:vAlign w:val="center"/>
          </w:tcPr>
          <w:p w14:paraId="191D212F">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3</w:t>
            </w:r>
          </w:p>
        </w:tc>
        <w:tc>
          <w:tcPr>
            <w:tcW w:w="2354" w:type="dxa"/>
            <w:shd w:val="clear" w:color="000000" w:fill="FFFFFF"/>
            <w:vAlign w:val="center"/>
          </w:tcPr>
          <w:p w14:paraId="2B4DC436">
            <w:pPr>
              <w:pageBreakBefore w:val="0"/>
              <w:widowControl/>
              <w:kinsoku/>
              <w:wordWrap/>
              <w:overflowPunct/>
              <w:topLinePunct w:val="0"/>
              <w:bidi w:val="0"/>
              <w:spacing w:line="360" w:lineRule="auto"/>
              <w:jc w:val="center"/>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6</w:t>
            </w:r>
          </w:p>
        </w:tc>
      </w:tr>
    </w:tbl>
    <w:p w14:paraId="5FC7FB3F">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1.2 投标人需在合同签订后一周内在江苏省环境监测中心配备具有较高素质的常驻工作人员1名（不得与中心其他项目重复），主要从事每日实时监控各站点的运维情况、数据审核、质控检查及数据统计分析工作。在省监测中心常驻工作人员应接受省监测中心管理，省监测中心有权要求投标人撤换不符合运维管理要求的工作人员。驻场人员在省监测中心驻场工作时，需配备办公所需的电脑及打印机。</w:t>
      </w:r>
    </w:p>
    <w:p w14:paraId="6A7F4C53">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b/>
          <w:bCs/>
          <w:iCs/>
          <w:szCs w:val="21"/>
          <w:highlight w:val="none"/>
        </w:rPr>
      </w:pPr>
      <w:r>
        <w:rPr>
          <w:rFonts w:hint="default" w:ascii="Times New Roman" w:hAnsi="Times New Roman" w:eastAsia="宋体" w:cs="Times New Roman"/>
          <w:b/>
          <w:bCs/>
          <w:iCs/>
          <w:szCs w:val="21"/>
          <w:highlight w:val="none"/>
        </w:rPr>
        <w:t>针对上述内容，投标人须按要求提供承诺书并加盖公章（格式自拟）。</w:t>
      </w:r>
    </w:p>
    <w:p w14:paraId="6428EFE0">
      <w:pPr>
        <w:pageBreakBefore w:val="0"/>
        <w:tabs>
          <w:tab w:val="left" w:pos="2280"/>
        </w:tabs>
        <w:kinsoku/>
        <w:wordWrap/>
        <w:overflowPunct/>
        <w:topLinePunct w:val="0"/>
        <w:bidi w:val="0"/>
        <w:spacing w:line="360" w:lineRule="auto"/>
        <w:ind w:firstLine="482"/>
        <w:contextualSpacing/>
        <w:rPr>
          <w:rFonts w:hint="default" w:ascii="Times New Roman" w:hAnsi="Times New Roman" w:eastAsia="宋体" w:cs="Times New Roman"/>
          <w:iCs/>
          <w:szCs w:val="21"/>
          <w:highlight w:val="none"/>
        </w:rPr>
      </w:pPr>
      <w:bookmarkStart w:id="67" w:name="OLE_LINK70"/>
      <w:bookmarkStart w:id="68" w:name="OLE_LINK71"/>
      <w:r>
        <w:rPr>
          <w:rFonts w:hint="default" w:ascii="Times New Roman" w:hAnsi="Times New Roman" w:eastAsia="宋体" w:cs="Times New Roman"/>
          <w:iCs/>
          <w:szCs w:val="21"/>
          <w:highlight w:val="none"/>
        </w:rPr>
        <w:t>1.3质控核查设备</w:t>
      </w:r>
      <w:bookmarkEnd w:id="67"/>
      <w:bookmarkEnd w:id="68"/>
      <w:r>
        <w:rPr>
          <w:rFonts w:hint="default" w:ascii="Times New Roman" w:hAnsi="Times New Roman" w:eastAsia="宋体" w:cs="Times New Roman"/>
          <w:iCs/>
          <w:szCs w:val="21"/>
          <w:highlight w:val="none"/>
        </w:rPr>
        <w:t>：投标人应配备不少于3套检查所需的工具、标准流量计、</w:t>
      </w:r>
      <w:r>
        <w:rPr>
          <w:rFonts w:hint="default" w:ascii="Times New Roman" w:hAnsi="Times New Roman" w:eastAsia="宋体" w:cs="Times New Roman"/>
          <w:szCs w:val="21"/>
          <w:highlight w:val="none"/>
        </w:rPr>
        <w:t>阿斯曼干湿球计</w:t>
      </w:r>
      <w:r>
        <w:rPr>
          <w:rFonts w:hint="default" w:ascii="Times New Roman" w:hAnsi="Times New Roman" w:eastAsia="宋体" w:cs="Times New Roman"/>
          <w:iCs/>
          <w:szCs w:val="21"/>
          <w:highlight w:val="none"/>
        </w:rPr>
        <w:t>、标准压力计、</w:t>
      </w:r>
      <w:r>
        <w:rPr>
          <w:rFonts w:hint="default" w:ascii="Times New Roman" w:hAnsi="Times New Roman" w:eastAsia="宋体" w:cs="Times New Roman"/>
          <w:szCs w:val="21"/>
          <w:highlight w:val="none"/>
        </w:rPr>
        <w:t>精密罗盘或经纬仪</w:t>
      </w:r>
      <w:r>
        <w:rPr>
          <w:rFonts w:hint="default" w:ascii="Times New Roman" w:hAnsi="Times New Roman" w:eastAsia="宋体" w:cs="Times New Roman"/>
          <w:iCs/>
          <w:szCs w:val="21"/>
          <w:highlight w:val="none"/>
        </w:rPr>
        <w:t>；每个中标单位至少配备1套标准气体、零气发生器、动态校准仪、臭氧校准仪。</w:t>
      </w:r>
    </w:p>
    <w:p w14:paraId="19536C50">
      <w:pPr>
        <w:pageBreakBefore w:val="0"/>
        <w:tabs>
          <w:tab w:val="left" w:pos="2280"/>
        </w:tabs>
        <w:kinsoku/>
        <w:wordWrap/>
        <w:overflowPunct/>
        <w:topLinePunct w:val="0"/>
        <w:bidi w:val="0"/>
        <w:spacing w:line="360" w:lineRule="auto"/>
        <w:ind w:firstLine="480"/>
        <w:contextualSpacing/>
        <w:rPr>
          <w:rFonts w:hint="default" w:ascii="Times New Roman" w:hAnsi="Times New Roman" w:eastAsia="宋体" w:cs="Times New Roman"/>
          <w:iCs/>
          <w:szCs w:val="21"/>
          <w:highlight w:val="none"/>
        </w:rPr>
      </w:pPr>
      <w:r>
        <w:rPr>
          <w:rFonts w:hint="default" w:ascii="Times New Roman" w:hAnsi="Times New Roman" w:eastAsia="宋体" w:cs="Times New Roman"/>
          <w:iCs/>
          <w:szCs w:val="21"/>
          <w:highlight w:val="none"/>
        </w:rPr>
        <w:t>1.4 核查用设备与标准品要求</w:t>
      </w:r>
    </w:p>
    <w:p w14:paraId="64F01CB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1.4.1 所使用标准气体需要为可追溯至NIST的进口标准气体；使用的臭氧校准设备需在江苏省环境监测中心NIST SRP 52#传递的一级标准光度计进行传递后使用。</w:t>
      </w:r>
    </w:p>
    <w:p w14:paraId="0F91157D">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1.4.2 5ml-30L标准流量计，要求精度≤±2%。</w:t>
      </w:r>
    </w:p>
    <w:p w14:paraId="5A6059F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1.4.3 传统机械式风向风速仪，可校准风速、风向，用于与站房上安装的气象设备进行比对测试。</w:t>
      </w:r>
    </w:p>
    <w:p w14:paraId="4EF4D33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1.4.4 阿斯曼干湿球计，用于进行温度湿度的测量。</w:t>
      </w:r>
    </w:p>
    <w:p w14:paraId="2F61C6B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1.4.5 标准大气压力传感器。</w:t>
      </w:r>
    </w:p>
    <w:p w14:paraId="496CA7C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1.4.6 精密罗盘或经纬仪，用于进行风向的校准。</w:t>
      </w:r>
    </w:p>
    <w:p w14:paraId="5A6B09C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1.4.7 所有核查用的设备均由投标人自备，且每台设备均具有相关计量部门的计量认证证书，且使用时，应在取得的证书有效期内，并根据业主要求定期送省监测中心开展期间核查工作。</w:t>
      </w:r>
    </w:p>
    <w:p w14:paraId="225E926C">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检查单位应承诺（提供承诺书并盖章）中标后1个月（30日历日）内，配齐全部投标所述的车辆和运维检查设备，并向省监测中心提交已有采购的证明材料（车辆接受租赁，如为租赁合同，则租赁合同周期需至少覆盖2026年全年），否则省监测中心有权以检查单位虚假应标为由解除合同，要求检查单位退还省监测中心已支付的全部费用，并扣除履约保证金，并进一步追究检查单位相关责任。</w:t>
      </w:r>
    </w:p>
    <w:p w14:paraId="37FE826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bookmarkStart w:id="69" w:name="_Hlk83500800"/>
      <w:r>
        <w:rPr>
          <w:rFonts w:hint="default" w:ascii="Times New Roman" w:hAnsi="Times New Roman" w:eastAsia="宋体" w:cs="Times New Roman"/>
          <w:szCs w:val="21"/>
          <w:highlight w:val="none"/>
        </w:rPr>
        <w:t>1.6投标人有用于质量控制的CMA实验室（认证范围需包含二氧化硫、二氧化氮、一氧化碳、PM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、臭氧），并保证相关手工监测样品能在3小时内送至实验室分析。</w:t>
      </w:r>
      <w:bookmarkEnd w:id="69"/>
    </w:p>
    <w:p w14:paraId="19D6E7EF">
      <w:pPr>
        <w:pageBreakBefore w:val="0"/>
        <w:tabs>
          <w:tab w:val="left" w:pos="2280"/>
        </w:tabs>
        <w:kinsoku/>
        <w:wordWrap/>
        <w:overflowPunct/>
        <w:topLinePunct w:val="0"/>
        <w:bidi w:val="0"/>
        <w:spacing w:line="360" w:lineRule="auto"/>
        <w:ind w:left="482"/>
        <w:contextualSpacing/>
        <w:outlineLvl w:val="2"/>
        <w:rPr>
          <w:rFonts w:hint="default" w:ascii="Times New Roman" w:hAnsi="Times New Roman" w:eastAsia="宋体" w:cs="Times New Roman"/>
          <w:b/>
          <w:szCs w:val="21"/>
          <w:highlight w:val="none"/>
        </w:rPr>
      </w:pPr>
      <w:bookmarkStart w:id="70" w:name="_Toc27640"/>
      <w:bookmarkStart w:id="71" w:name="_Toc20634"/>
      <w:bookmarkStart w:id="72" w:name="_Toc213334975"/>
      <w:bookmarkStart w:id="73" w:name="_Toc86134570"/>
      <w:bookmarkStart w:id="74" w:name="_Toc86134620"/>
      <w:bookmarkStart w:id="75" w:name="_Toc613"/>
      <w:bookmarkStart w:id="76" w:name="_Toc150187118"/>
      <w:bookmarkStart w:id="77" w:name="_Toc85203892"/>
      <w:bookmarkStart w:id="78" w:name="_Toc150188189"/>
      <w:bookmarkStart w:id="79" w:name="_Toc85203932"/>
      <w:bookmarkStart w:id="80" w:name="_Toc455153189"/>
      <w:r>
        <w:rPr>
          <w:rFonts w:hint="default" w:ascii="Times New Roman" w:hAnsi="Times New Roman" w:eastAsia="宋体" w:cs="Times New Roman"/>
          <w:b/>
          <w:szCs w:val="21"/>
          <w:highlight w:val="none"/>
        </w:rPr>
        <w:t>（二）工作目标</w:t>
      </w:r>
      <w:bookmarkEnd w:id="70"/>
      <w:bookmarkEnd w:id="71"/>
      <w:bookmarkEnd w:id="72"/>
      <w:bookmarkEnd w:id="73"/>
      <w:bookmarkEnd w:id="74"/>
      <w:bookmarkEnd w:id="75"/>
      <w:bookmarkEnd w:id="76"/>
    </w:p>
    <w:p w14:paraId="27D5DEE7">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运维体系检查任务完成率100%。</w:t>
      </w:r>
    </w:p>
    <w:p w14:paraId="18A14DF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 异常数据检查任务完成处理率100%。</w:t>
      </w:r>
    </w:p>
    <w:p w14:paraId="4ED93070">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 数据质量监督检查任务完成处理率98%。</w:t>
      </w:r>
    </w:p>
    <w:p w14:paraId="3DEF38B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 双随机检查任务完成处理率98%。</w:t>
      </w:r>
    </w:p>
    <w:p w14:paraId="0C7B5297">
      <w:pPr>
        <w:pageBreakBefore w:val="0"/>
        <w:tabs>
          <w:tab w:val="left" w:pos="2280"/>
        </w:tabs>
        <w:kinsoku/>
        <w:wordWrap/>
        <w:overflowPunct/>
        <w:topLinePunct w:val="0"/>
        <w:bidi w:val="0"/>
        <w:spacing w:line="360" w:lineRule="auto"/>
        <w:ind w:left="482"/>
        <w:contextualSpacing/>
        <w:outlineLvl w:val="2"/>
        <w:rPr>
          <w:rFonts w:hint="default" w:ascii="Times New Roman" w:hAnsi="Times New Roman" w:eastAsia="宋体" w:cs="Times New Roman"/>
          <w:b/>
          <w:szCs w:val="21"/>
          <w:highlight w:val="none"/>
        </w:rPr>
      </w:pPr>
      <w:bookmarkStart w:id="81" w:name="_Toc150187119"/>
      <w:bookmarkStart w:id="82" w:name="_Toc466988048"/>
      <w:bookmarkStart w:id="83" w:name="_Toc86134621"/>
      <w:bookmarkStart w:id="84" w:name="_Toc18113"/>
      <w:bookmarkStart w:id="85" w:name="_Toc452635784"/>
      <w:bookmarkStart w:id="86" w:name="_Toc1161"/>
      <w:bookmarkStart w:id="87" w:name="_Toc86134571"/>
      <w:bookmarkStart w:id="88" w:name="_Toc29099"/>
      <w:bookmarkStart w:id="89" w:name="_Toc213334976"/>
      <w:r>
        <w:rPr>
          <w:rFonts w:hint="default" w:ascii="Times New Roman" w:hAnsi="Times New Roman" w:eastAsia="宋体" w:cs="Times New Roman"/>
          <w:b/>
          <w:szCs w:val="21"/>
          <w:highlight w:val="none"/>
        </w:rPr>
        <w:t>（三）工作形式</w:t>
      </w:r>
      <w:bookmarkEnd w:id="81"/>
      <w:bookmarkEnd w:id="82"/>
      <w:bookmarkEnd w:id="83"/>
      <w:bookmarkEnd w:id="84"/>
      <w:bookmarkEnd w:id="85"/>
      <w:bookmarkEnd w:id="86"/>
      <w:bookmarkEnd w:id="87"/>
      <w:bookmarkEnd w:id="88"/>
      <w:bookmarkEnd w:id="89"/>
    </w:p>
    <w:bookmarkEnd w:id="77"/>
    <w:bookmarkEnd w:id="78"/>
    <w:bookmarkEnd w:id="79"/>
    <w:bookmarkEnd w:id="80"/>
    <w:p w14:paraId="395A171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 投标人需提供详细的质控检查（QC）、质保核查（QA）方案，其中QC核查不通知运维单位，独立完成核查工作，QA质控核查单位应与运维单位共同完成，并在相关记录上由质控单位和投标人签字确认。</w:t>
      </w:r>
    </w:p>
    <w:p w14:paraId="3B92620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 按照江苏省环境监测中心制定的《环境空气自动监测现场检查内容及评分表》相关技术要求，合同期内对现有38个站点每季度进行1次QC检查，共计152次，合同期内对现有38个站点进行1次QA核查，共计38次，QA和QC不得同时进行，并省监测中心的要求，确保各站点仪器正常运行。</w:t>
      </w:r>
    </w:p>
    <w:p w14:paraId="787322F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 合同期内需按时提交站点查核报告（内容包括：站点季度及年终检查报告汇总、运维单位工作评价等），江苏省空气自动监测站运维管理质量品质改善建议书（运维单位运维工作改善建议、运维品质改善管理建议等）。</w:t>
      </w:r>
    </w:p>
    <w:p w14:paraId="0405A2E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 应根据江苏省环境监测中心的要求，开展其他空气自动监测质量相关的其他工作。</w:t>
      </w:r>
    </w:p>
    <w:p w14:paraId="6385CDC3">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90" w:name="_Toc455153192"/>
      <w:bookmarkStart w:id="91" w:name="_Toc85203895"/>
      <w:bookmarkStart w:id="92" w:name="_Toc150188192"/>
      <w:bookmarkStart w:id="93" w:name="_Toc85203935"/>
      <w:bookmarkStart w:id="94" w:name="_Toc213334977"/>
      <w:r>
        <w:rPr>
          <w:rFonts w:hint="default" w:ascii="Times New Roman" w:hAnsi="Times New Roman" w:eastAsia="宋体" w:cs="Times New Roman"/>
          <w:b/>
          <w:bCs/>
          <w:szCs w:val="21"/>
          <w:highlight w:val="none"/>
        </w:rPr>
        <w:t>（四）</w:t>
      </w:r>
      <w:bookmarkEnd w:id="90"/>
      <w:bookmarkEnd w:id="91"/>
      <w:bookmarkEnd w:id="92"/>
      <w:bookmarkEnd w:id="93"/>
      <w:r>
        <w:rPr>
          <w:rFonts w:hint="default" w:ascii="Times New Roman" w:hAnsi="Times New Roman" w:eastAsia="宋体" w:cs="Times New Roman"/>
          <w:b/>
          <w:bCs/>
          <w:szCs w:val="21"/>
          <w:highlight w:val="none"/>
        </w:rPr>
        <w:t>工作内容</w:t>
      </w:r>
      <w:bookmarkEnd w:id="94"/>
    </w:p>
    <w:p w14:paraId="5B3D250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bookmarkStart w:id="95" w:name="_Toc455153193"/>
      <w:r>
        <w:rPr>
          <w:rFonts w:hint="default" w:ascii="Times New Roman" w:hAnsi="Times New Roman" w:eastAsia="宋体" w:cs="Times New Roman"/>
          <w:szCs w:val="21"/>
          <w:highlight w:val="none"/>
        </w:rPr>
        <w:t>投标人应根据江苏省环境监测中心制定的《环境空气自动监测现场检查内容及评分表》相关技术要求开展工作，需按照省监测中心要求制定、完成每月的检查计划。每季度全部站点开展1次QC检查，每年全部站点开展1次QA核查。检查内容包括不限于：</w:t>
      </w:r>
    </w:p>
    <w:p w14:paraId="06A01C0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 质控检查（QC）工作内容至少需包含如下：</w:t>
      </w:r>
    </w:p>
    <w:p w14:paraId="501539D6">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 检查站房内卫生、站房供电、空调、稳压器是否工作正常，协助开展防火、防水及防盗相关设施完整性与有效性检查。</w:t>
      </w:r>
    </w:p>
    <w:p w14:paraId="17936FB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4.1.2 观察并记录站房周边变化，是否会有影响空气站房采样、局部污染等对测值带来影响的环境变化。</w:t>
      </w:r>
    </w:p>
    <w:p w14:paraId="29BB0B9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4.1.3 气态污染物分析仪（SO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X</w:t>
      </w:r>
      <w:r>
        <w:rPr>
          <w:rFonts w:hint="default" w:ascii="Times New Roman" w:hAnsi="Times New Roman" w:eastAsia="宋体" w:cs="Times New Roman"/>
          <w:szCs w:val="21"/>
          <w:highlight w:val="none"/>
        </w:rPr>
        <w:t>、CO、O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）需对其精密度、响应时间、零点检查，并记录最终测试的情况。</w:t>
      </w:r>
    </w:p>
    <w:p w14:paraId="65B41DD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4.1.4 颗粒物分析仪需对其流量及内部参数值检查、COUNT值测试、背景值检查、气密性、采样相关温度、压力传感器进行检查，并记录最终测试的情况。</w:t>
      </w:r>
    </w:p>
    <w:p w14:paraId="41E47007">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4.1.5 采样管路、采样部件的清洁度、密封度检查。</w:t>
      </w:r>
    </w:p>
    <w:p w14:paraId="28E3FCA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4.1.6 站房内动态校准设备与零空气工作性能检查，检查标准物质更换日期，并记录相关情况。</w:t>
      </w:r>
    </w:p>
    <w:p w14:paraId="34FDF13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4.1.7 检查各分析仪内部运行参数，了解仪器工作状态是否正常。</w:t>
      </w:r>
    </w:p>
    <w:p w14:paraId="16162497">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4.1.8 检查气象参数、站房内温湿度传感器工作状态。</w:t>
      </w:r>
    </w:p>
    <w:p w14:paraId="5FD8B6F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4.1.9 检查站房内配套设置是否工作正常，如门禁、摄像头。</w:t>
      </w:r>
    </w:p>
    <w:p w14:paraId="6F21418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4.1.10 对配备能见度和拍照系统的站点，应确保相关测值合理有效，且拍照系统上传照片正常。</w:t>
      </w:r>
    </w:p>
    <w:p w14:paraId="087FFE7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4.1.11 日常运维任务完成情况（查看记录）</w:t>
      </w:r>
    </w:p>
    <w:p w14:paraId="4B79971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4.1.12 异常情况处理情况（调取异常数据、查看处理记录，并征求县（市、区）站反馈意见）。</w:t>
      </w:r>
    </w:p>
    <w:p w14:paraId="5D86B7F6">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4.1.13 数据采集及通讯情况（查看数据上传情况）。</w:t>
      </w:r>
    </w:p>
    <w:p w14:paraId="5CA7AB4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4.1.14 运维人员情况（检查运维人员配置情况）。</w:t>
      </w:r>
    </w:p>
    <w:p w14:paraId="7545F30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4.1.15 核查异常报警时段视频。</w:t>
      </w:r>
    </w:p>
    <w:p w14:paraId="77AD4440">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4.1.16 档案管理情况等（查看记录）。</w:t>
      </w:r>
    </w:p>
    <w:p w14:paraId="61A1A5A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质控质保核查单位需安排专门的审核人员对运维体系检查结果进行审核，及时发现异常检查结果，并报告省监测中心。</w:t>
      </w:r>
    </w:p>
    <w:p w14:paraId="239953C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 质保核查（QA）工作内容至少需包含如下：</w:t>
      </w:r>
    </w:p>
    <w:p w14:paraId="634F38C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4.2.1 现场检查前后的标准品比对测试，需将现场所需要使用的流量计、臭氧光度计等，与省中心相关标准进行比对追溯校验，并进行相关记录。</w:t>
      </w:r>
    </w:p>
    <w:p w14:paraId="05C5CC4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4.2.2 现场需使用比对追溯校验后的标准品（如更高等级的标准气体、追溯过的臭氧光度计），对气态分析仪进行多点校验，测试各测量因子与标准品之间的偏差、斜率、截距、相关系数。</w:t>
      </w:r>
    </w:p>
    <w:p w14:paraId="4507542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4.2.3 现场需对氮氧化物分析仪钼转化炉进行性能多点测试，并在同时对二氧化氮测值亦进行多点校准，测量其偏差、斜率、截距、相关系数。</w:t>
      </w:r>
    </w:p>
    <w:p w14:paraId="2BF99F4F">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4.2.4 现场需使用比对追溯校验后的流量计，对颗粒物分析仪的流量进行校验，记录分析仪内部的温度压力测值，对相关的偏差进行计算并记录。</w:t>
      </w:r>
    </w:p>
    <w:p w14:paraId="02596F66">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4.2.5 通过经典方法与现场气象参数设备进行平行比对，检查气象参数分析仪测值的准确性。</w:t>
      </w:r>
    </w:p>
    <w:p w14:paraId="79D669AD">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96" w:name="_Toc150188193"/>
      <w:bookmarkStart w:id="97" w:name="_Toc85203896"/>
      <w:bookmarkStart w:id="98" w:name="_Toc213334978"/>
      <w:bookmarkStart w:id="99" w:name="_Toc85203936"/>
      <w:r>
        <w:rPr>
          <w:rFonts w:hint="default" w:ascii="Times New Roman" w:hAnsi="Times New Roman" w:eastAsia="宋体" w:cs="Times New Roman"/>
          <w:b/>
          <w:bCs/>
          <w:szCs w:val="21"/>
          <w:highlight w:val="none"/>
        </w:rPr>
        <w:t>（五）报告编写要求</w:t>
      </w:r>
      <w:bookmarkEnd w:id="95"/>
      <w:bookmarkEnd w:id="96"/>
      <w:bookmarkEnd w:id="97"/>
      <w:bookmarkEnd w:id="98"/>
      <w:bookmarkEnd w:id="99"/>
    </w:p>
    <w:p w14:paraId="5ED31081">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 年度检查报告，年度检查完毕后一个月内，第三方核查方应根据一个站点年内多次检查的结果，进行站点检查报告的汇总，并对该站点检查的结果进行小结。</w:t>
      </w:r>
    </w:p>
    <w:p w14:paraId="40C35196">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5.2 月度查核报告，每月检查完毕后，应对已完成检查子站的检查结果，进行统计与汇总，并对运维中出现的问题进行总结，检查完成后5个工作日内提交。 </w:t>
      </w:r>
    </w:p>
    <w:p w14:paraId="5F70CE3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 根据年度检查的结果，向省环境监测中心提交江苏省空气自动监测运维质量品质改善建议书，提出运维方运维工作改善建议、运维品质改善管理建议。</w:t>
      </w:r>
    </w:p>
    <w:p w14:paraId="44BD0087">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100" w:name="_Toc213334979"/>
      <w:bookmarkStart w:id="101" w:name="_Toc150188194"/>
      <w:bookmarkStart w:id="102" w:name="_Toc85203897"/>
      <w:bookmarkStart w:id="103" w:name="_Toc85203937"/>
      <w:bookmarkStart w:id="104" w:name="_Toc466988050"/>
      <w:bookmarkStart w:id="105" w:name="_Toc452635786"/>
      <w:r>
        <w:rPr>
          <w:rFonts w:hint="default" w:ascii="Times New Roman" w:hAnsi="Times New Roman" w:eastAsia="宋体" w:cs="Times New Roman"/>
          <w:b/>
          <w:bCs/>
          <w:szCs w:val="21"/>
          <w:highlight w:val="none"/>
        </w:rPr>
        <w:t>（六）监督考核要求</w:t>
      </w:r>
      <w:bookmarkEnd w:id="100"/>
      <w:bookmarkEnd w:id="101"/>
      <w:bookmarkEnd w:id="102"/>
      <w:bookmarkEnd w:id="103"/>
      <w:bookmarkEnd w:id="104"/>
      <w:bookmarkEnd w:id="105"/>
    </w:p>
    <w:p w14:paraId="643AA6B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江苏省环境监测中心组织开展运维检查成效的考核，对达不到要求的或违规操作的，江苏省环境监测中心可以扣减相应费用，并有权终止合同。</w:t>
      </w:r>
    </w:p>
    <w:p w14:paraId="1DEE4AC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 监督管理</w:t>
      </w:r>
    </w:p>
    <w:p w14:paraId="205DC0AC">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6.1.1 数据必须真实有效，投标人近五年内，在环境监测服务活动中必须没有弄虚作假行为（请投标人根据本单位实际情况自行承诺，若有不实，按提供虚假资料处理，投标及中标无效，且不予退还投标保证金并承担相关法律责任）</w:t>
      </w:r>
    </w:p>
    <w:p w14:paraId="6C07085B">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6.1.2 江苏省环境监测中心对中标人提供的运维现场检查服务每季度考核一次。如中标人未能按招标要求提供合同全部服务，且未能在省中心要求的整改期内完成整改，有权解除合同</w:t>
      </w:r>
    </w:p>
    <w:p w14:paraId="5D3B57A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6.1.3 现场检查单位应承担监测数据的保密责任（签订保密协议），不得利用本项目的数据、档案或有关资料对外开展技术交流、业务联系、数据交换等。否则，有权终止合同，并追究相关法律责任。</w:t>
      </w:r>
    </w:p>
    <w:p w14:paraId="58DB6C28">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 考核办法及经费支付</w:t>
      </w:r>
    </w:p>
    <w:p w14:paraId="565904F7">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6.2.1 合同期内各考核时段未完成现场质控检查，该站点考核为0分，不支付该站点当季度检查费用。站点重要参数变更未发现，当季度该站点考核总分为0，不支付该站点当季度检查费用。</w:t>
      </w:r>
    </w:p>
    <w:p w14:paraId="4C0E37F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6.2.2 在现场检查期间，投标人未开展原定质控活动或质控活动不规范、不合格（质控活动包括不限于更换滤膜、流量检查/校准、零跨检查/校准、臭氧量值溯源、精密度检查、标准膜测试、准确度检查、气密性检查等）且质控质保核查单位未发现的，根据项目数量本季度每次•项扣除1-5分。造成数据异常后果严重的，当季度该站点考核总分为0，不支付该站点当季度检查费用。现场检查工作完成后，未恢复仪器正常采样状态，视情节和数据影响程度，适当扣除该站点当季检查部分经费。</w:t>
      </w:r>
    </w:p>
    <w:p w14:paraId="40D47485">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6.2.3 每季度提交的考核报告中存在如结果评判错误、检查结果错误，根据考核结果的影响程度，每次•项扣除1-5分。</w:t>
      </w:r>
    </w:p>
    <w:p w14:paraId="27E55B73">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6.2.4 在各项检查中，发现存在明显运维问题或数据质量问题而质控质保核查单位未发现的，根据问题严重程度，酌情扣除质控质保核查单位本点位相关费用，扣减的费用不低于质控质保核查单位本点位本季度25%的运维体系检查费用。</w:t>
      </w:r>
    </w:p>
    <w:p w14:paraId="00FB5FE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6.2.5 质控质保核查单位未按照省监测中心要求，未及时提供本月例行汇报材料和报告的，或例行汇报材料和报告不符合省监测中心要求的，根据程度，酌情扣减本月全部例行检查费用的5%-10%。</w:t>
      </w:r>
    </w:p>
    <w:p w14:paraId="608737E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6.2.6 存在弄虚作假、泄露检查结果、欺瞒省监测中心行为的，省监测中心有权立即终止该省检查合同，履约保证金不予退还。</w:t>
      </w:r>
    </w:p>
    <w:p w14:paraId="107FEEE9">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6.2.7 运维检查单位被扣除的费用，省监测中心有权根据相关规定对其重新支配，用于委托其他检查单位开展省控大气环境监测网其他检查任务。</w:t>
      </w:r>
    </w:p>
    <w:p w14:paraId="36E57C0A">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绩效考核总分95（含）分以上的，支付该站点当期全额运维检查费；绩效考核总分在80（含）-95分的，该站点当期运维检查费=（实际考核总分/100）×单站点当期全额运维检查费；低于80分的不支付该站点当期全额运维检查费。</w:t>
      </w:r>
    </w:p>
    <w:p w14:paraId="1688334B">
      <w:pPr>
        <w:pageBreakBefore w:val="0"/>
        <w:kinsoku/>
        <w:wordWrap/>
        <w:overflowPunct/>
        <w:topLinePunct w:val="0"/>
        <w:bidi w:val="0"/>
        <w:spacing w:line="360" w:lineRule="auto"/>
        <w:ind w:firstLine="803"/>
        <w:rPr>
          <w:rFonts w:hint="default" w:ascii="Times New Roman" w:hAnsi="Times New Roman" w:eastAsia="宋体" w:cs="Times New Roman"/>
          <w:b/>
          <w:bCs/>
          <w:szCs w:val="21"/>
          <w:highlight w:val="none"/>
        </w:rPr>
      </w:pPr>
    </w:p>
    <w:p w14:paraId="2CE95571">
      <w:pPr>
        <w:pStyle w:val="5"/>
        <w:pageBreakBefore w:val="0"/>
        <w:kinsoku/>
        <w:wordWrap/>
        <w:overflowPunct/>
        <w:topLinePunct w:val="0"/>
        <w:bidi w:val="0"/>
        <w:spacing w:before="0" w:after="0" w:line="360" w:lineRule="auto"/>
        <w:ind w:firstLine="643"/>
        <w:rPr>
          <w:rFonts w:hint="default" w:ascii="Times New Roman" w:hAnsi="Times New Roman" w:eastAsia="宋体" w:cs="Times New Roman"/>
          <w:sz w:val="21"/>
          <w:szCs w:val="21"/>
          <w:highlight w:val="none"/>
        </w:rPr>
      </w:pPr>
      <w:bookmarkStart w:id="106" w:name="_Toc455153194"/>
      <w:bookmarkStart w:id="107" w:name="_Toc150188204"/>
      <w:bookmarkStart w:id="108" w:name="_Toc213334980"/>
      <w:bookmarkStart w:id="109" w:name="_Hlk83476848"/>
      <w:r>
        <w:rPr>
          <w:rFonts w:hint="default" w:ascii="Times New Roman" w:hAnsi="Times New Roman" w:eastAsia="宋体" w:cs="Times New Roman"/>
          <w:sz w:val="21"/>
          <w:szCs w:val="21"/>
          <w:highlight w:val="none"/>
        </w:rPr>
        <w:t>四、商务条款</w:t>
      </w:r>
      <w:bookmarkEnd w:id="106"/>
      <w:bookmarkEnd w:id="107"/>
      <w:bookmarkEnd w:id="108"/>
    </w:p>
    <w:p w14:paraId="53B53AF7">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110" w:name="_Toc213334981"/>
      <w:bookmarkStart w:id="111" w:name="_Toc150188205"/>
      <w:r>
        <w:rPr>
          <w:rFonts w:hint="default" w:ascii="Times New Roman" w:hAnsi="Times New Roman" w:eastAsia="宋体" w:cs="Times New Roman"/>
          <w:b/>
          <w:bCs/>
          <w:szCs w:val="21"/>
          <w:highlight w:val="none"/>
        </w:rPr>
        <w:t>（一）质保期</w:t>
      </w:r>
      <w:bookmarkEnd w:id="110"/>
      <w:bookmarkEnd w:id="111"/>
    </w:p>
    <w:p w14:paraId="772D4574">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按项目需求和技术规范中所提要求</w:t>
      </w:r>
    </w:p>
    <w:p w14:paraId="6D7D45D1">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112" w:name="_Toc213334982"/>
      <w:bookmarkStart w:id="113" w:name="_Toc150188206"/>
      <w:r>
        <w:rPr>
          <w:rFonts w:hint="default" w:ascii="Times New Roman" w:hAnsi="Times New Roman" w:eastAsia="宋体" w:cs="Times New Roman"/>
          <w:b/>
          <w:bCs/>
          <w:szCs w:val="21"/>
          <w:highlight w:val="none"/>
        </w:rPr>
        <w:t>（二）售后技术服务要求</w:t>
      </w:r>
      <w:bookmarkEnd w:id="112"/>
      <w:bookmarkEnd w:id="113"/>
    </w:p>
    <w:p w14:paraId="33C5A92E">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按项目需求和技术规范中所提要求</w:t>
      </w:r>
    </w:p>
    <w:bookmarkEnd w:id="109"/>
    <w:p w14:paraId="4BB329FE">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114" w:name="_Toc150188209"/>
      <w:bookmarkStart w:id="115" w:name="_Toc213334985"/>
      <w:r>
        <w:rPr>
          <w:rFonts w:hint="default" w:ascii="Times New Roman" w:hAnsi="Times New Roman" w:eastAsia="宋体" w:cs="Times New Roman"/>
          <w:b/>
          <w:bCs/>
          <w:szCs w:val="21"/>
          <w:highlight w:val="none"/>
        </w:rPr>
        <w:t>（三）投标报价</w:t>
      </w:r>
      <w:bookmarkEnd w:id="114"/>
      <w:bookmarkEnd w:id="115"/>
    </w:p>
    <w:p w14:paraId="79E1C7C2">
      <w:pPr>
        <w:pageBreakBefore w:val="0"/>
        <w:kinsoku/>
        <w:wordWrap/>
        <w:overflowPunct/>
        <w:topLinePunct w:val="0"/>
        <w:bidi w:val="0"/>
        <w:spacing w:line="360" w:lineRule="auto"/>
        <w:ind w:firstLine="48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文件中的总价为所投采购包空气自动监测站的运维或质量核查报价总价（必须按照单站点报价×数量计算），报价按照燃油费、路桥费、车辆折旧费、文件报告打印复印费、管理费、耗材费（颗粒物纸带）、备品备件费、站房空调稳压电源等仪器以外设备维护费、财产保险费、质控费用（钢瓶气费用）、比对和质控设备折旧费、不可预见费、税费及其他费用等分项报价，其中的单价和总价，均采用人民币报价，报价应是唯一的，招标人将不接受有选择的报价。当数量和单价之积不等于总价时，以单价为准重新计算总价。</w:t>
      </w:r>
    </w:p>
    <w:p w14:paraId="60BF57E4">
      <w:pPr>
        <w:pageBreakBefore w:val="0"/>
        <w:widowControl/>
        <w:kinsoku/>
        <w:wordWrap/>
        <w:overflowPunct/>
        <w:topLinePunct w:val="0"/>
        <w:bidi w:val="0"/>
        <w:spacing w:line="360" w:lineRule="auto"/>
        <w:ind w:firstLine="482"/>
        <w:outlineLvl w:val="2"/>
        <w:rPr>
          <w:rFonts w:hint="default" w:ascii="Times New Roman" w:hAnsi="Times New Roman" w:eastAsia="宋体" w:cs="Times New Roman"/>
          <w:b/>
          <w:bCs/>
          <w:szCs w:val="21"/>
          <w:highlight w:val="none"/>
        </w:rPr>
      </w:pPr>
      <w:bookmarkStart w:id="116" w:name="_Toc150188211"/>
      <w:bookmarkStart w:id="117" w:name="_Toc213334987"/>
      <w:r>
        <w:rPr>
          <w:rFonts w:hint="default" w:ascii="Times New Roman" w:hAnsi="Times New Roman" w:eastAsia="宋体" w:cs="Times New Roman"/>
          <w:b/>
          <w:bCs/>
          <w:szCs w:val="21"/>
          <w:highlight w:val="none"/>
        </w:rPr>
        <w:t>（四）备品备件及耗材等要求</w:t>
      </w:r>
      <w:bookmarkEnd w:id="116"/>
      <w:bookmarkEnd w:id="117"/>
    </w:p>
    <w:p w14:paraId="1797F25A">
      <w:pPr>
        <w:pageBreakBefore w:val="0"/>
        <w:kinsoku/>
        <w:wordWrap/>
        <w:overflowPunct/>
        <w:topLinePunct w:val="0"/>
        <w:bidi w:val="0"/>
        <w:spacing w:line="360" w:lineRule="auto"/>
        <w:ind w:firstLine="480"/>
        <w:rPr>
          <w:rFonts w:hint="default" w:ascii="Times New Roman" w:hAnsi="Times New Roman" w:eastAsia="宋体" w:cs="Times New Roman"/>
          <w:sz w:val="24"/>
          <w:highlight w:val="none"/>
        </w:rPr>
      </w:pPr>
      <w:r>
        <w:rPr>
          <w:rFonts w:hint="default" w:ascii="Times New Roman" w:hAnsi="Times New Roman" w:eastAsia="宋体" w:cs="Times New Roman"/>
          <w:szCs w:val="21"/>
          <w:highlight w:val="none"/>
        </w:rPr>
        <w:t>按项目需求和技术规范中所提要求</w:t>
      </w:r>
      <w:r>
        <w:rPr>
          <w:rFonts w:hint="default" w:ascii="Times New Roman" w:hAnsi="Times New Roman" w:eastAsia="宋体" w:cs="Times New Roman"/>
          <w:sz w:val="24"/>
          <w:highlight w:val="none"/>
        </w:rPr>
        <w:t>。</w:t>
      </w:r>
    </w:p>
    <w:p w14:paraId="1A7333FF">
      <w:pPr>
        <w:pStyle w:val="19"/>
        <w:pageBreakBefore w:val="0"/>
        <w:kinsoku/>
        <w:wordWrap/>
        <w:overflowPunct/>
        <w:topLinePunct w:val="0"/>
        <w:bidi w:val="0"/>
        <w:rPr>
          <w:rFonts w:hint="default" w:ascii="Times New Roman" w:hAnsi="Times New Roman" w:eastAsia="宋体" w:cs="Times New Roman"/>
          <w:highlight w:val="none"/>
        </w:rPr>
        <w:sectPr>
          <w:pgSz w:w="11906" w:h="16838"/>
          <w:pgMar w:top="1440" w:right="1803" w:bottom="1440" w:left="1803" w:header="227" w:footer="720" w:gutter="0"/>
          <w:pgNumType w:fmt="decimal"/>
          <w:cols w:space="0" w:num="1"/>
          <w:docGrid w:linePitch="360" w:charSpace="0"/>
        </w:sectPr>
      </w:pPr>
    </w:p>
    <w:p w14:paraId="74DDC026">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包3：省级大气多参数站常规监测设备及站房本体维护服务</w:t>
      </w:r>
    </w:p>
    <w:p w14:paraId="25EEFF71">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一、项目概况</w:t>
      </w:r>
    </w:p>
    <w:p w14:paraId="54579917">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本项目包含省级大气多参数站常规在线监测仪器等设备维护服务及站房本体维护服务，主要运维仪器包括SO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X</w:t>
      </w:r>
      <w:r>
        <w:rPr>
          <w:rFonts w:hint="default" w:ascii="Times New Roman" w:hAnsi="Times New Roman" w:eastAsia="宋体" w:cs="Times New Roman"/>
          <w:szCs w:val="21"/>
          <w:highlight w:val="none"/>
        </w:rPr>
        <w:t>、NO）、CO、O</w:t>
      </w:r>
      <w:r>
        <w:rPr>
          <w:rFonts w:hint="default" w:ascii="Times New Roman" w:hAnsi="Times New Roman" w:eastAsia="宋体" w:cs="Times New Roman"/>
          <w:szCs w:val="21"/>
          <w:highlight w:val="none"/>
          <w:vertAlign w:val="subscript"/>
        </w:rPr>
        <w:t>3</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2.5</w:t>
      </w:r>
      <w:r>
        <w:rPr>
          <w:rFonts w:hint="default" w:ascii="Times New Roman" w:hAnsi="Times New Roman" w:eastAsia="宋体" w:cs="Times New Roman"/>
          <w:szCs w:val="21"/>
          <w:highlight w:val="none"/>
        </w:rPr>
        <w:t>六项指标分析仪，以及零气发生器、动态校准仪、黑炭等，TSP、PM</w:t>
      </w:r>
      <w:r>
        <w:rPr>
          <w:rFonts w:hint="default" w:ascii="Times New Roman" w:hAnsi="Times New Roman" w:eastAsia="宋体" w:cs="Times New Roman"/>
          <w:szCs w:val="21"/>
          <w:highlight w:val="none"/>
          <w:vertAlign w:val="subscript"/>
        </w:rPr>
        <w:t>1</w:t>
      </w:r>
      <w:r>
        <w:rPr>
          <w:rFonts w:hint="default" w:ascii="Times New Roman" w:hAnsi="Times New Roman" w:eastAsia="宋体" w:cs="Times New Roman"/>
          <w:szCs w:val="21"/>
          <w:highlight w:val="none"/>
        </w:rPr>
        <w:t>、氨气、硫化氢及辅助设备包括采样系统、数据采集与传输软硬件、钢瓶气、制冷系统等。（详见表1-1）</w:t>
      </w:r>
    </w:p>
    <w:p w14:paraId="2718DCEF">
      <w:pPr>
        <w:pageBreakBefore w:val="0"/>
        <w:kinsoku/>
        <w:wordWrap/>
        <w:overflowPunct/>
        <w:topLinePunct w:val="0"/>
        <w:bidi w:val="0"/>
        <w:spacing w:line="360" w:lineRule="auto"/>
        <w:ind w:firstLine="420" w:firstLineChars="20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表1-1省级大气多参数站常规监测设备及站房本体维护设备清单及分项预算</w:t>
      </w:r>
    </w:p>
    <w:tbl>
      <w:tblPr>
        <w:tblStyle w:val="48"/>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611"/>
        <w:gridCol w:w="2822"/>
        <w:gridCol w:w="1486"/>
      </w:tblGrid>
      <w:tr w14:paraId="100A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54" w:type="dxa"/>
            <w:shd w:val="clear" w:color="auto" w:fill="FFFFFF"/>
            <w:vAlign w:val="center"/>
          </w:tcPr>
          <w:p w14:paraId="0112A7D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类别</w:t>
            </w:r>
          </w:p>
        </w:tc>
        <w:tc>
          <w:tcPr>
            <w:tcW w:w="2611" w:type="dxa"/>
            <w:shd w:val="clear" w:color="auto" w:fill="FFFFFF"/>
            <w:vAlign w:val="center"/>
          </w:tcPr>
          <w:p w14:paraId="5D571E5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仪器名称</w:t>
            </w:r>
          </w:p>
        </w:tc>
        <w:tc>
          <w:tcPr>
            <w:tcW w:w="2822" w:type="dxa"/>
            <w:shd w:val="clear" w:color="auto" w:fill="FFFFFF"/>
            <w:vAlign w:val="center"/>
          </w:tcPr>
          <w:p w14:paraId="17EB02E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生产厂家</w:t>
            </w:r>
          </w:p>
        </w:tc>
        <w:tc>
          <w:tcPr>
            <w:tcW w:w="1486" w:type="dxa"/>
            <w:shd w:val="clear" w:color="auto" w:fill="FFFFFF"/>
            <w:vAlign w:val="center"/>
          </w:tcPr>
          <w:p w14:paraId="7A9F2DE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分项预算</w:t>
            </w:r>
          </w:p>
          <w:p w14:paraId="6247A05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（万元/年）</w:t>
            </w:r>
          </w:p>
        </w:tc>
      </w:tr>
      <w:tr w14:paraId="739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54" w:type="dxa"/>
            <w:vMerge w:val="restart"/>
            <w:vAlign w:val="center"/>
          </w:tcPr>
          <w:p w14:paraId="1CD8D64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常规在线设备</w:t>
            </w:r>
          </w:p>
          <w:p w14:paraId="1B36F10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（12台/套）</w:t>
            </w:r>
          </w:p>
        </w:tc>
        <w:tc>
          <w:tcPr>
            <w:tcW w:w="2611" w:type="dxa"/>
            <w:vAlign w:val="center"/>
          </w:tcPr>
          <w:p w14:paraId="414768BE">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PM</w:t>
            </w:r>
            <w:r>
              <w:rPr>
                <w:rFonts w:hint="default" w:ascii="Times New Roman" w:hAnsi="Times New Roman" w:eastAsia="宋体" w:cs="Times New Roman"/>
                <w:color w:val="000000"/>
                <w:szCs w:val="21"/>
                <w:highlight w:val="none"/>
                <w:vertAlign w:val="subscript"/>
              </w:rPr>
              <w:t>2.5</w:t>
            </w:r>
            <w:r>
              <w:rPr>
                <w:rFonts w:hint="default" w:ascii="Times New Roman" w:hAnsi="Times New Roman" w:eastAsia="宋体" w:cs="Times New Roman"/>
                <w:color w:val="000000"/>
                <w:szCs w:val="21"/>
                <w:highlight w:val="none"/>
              </w:rPr>
              <w:t>（β射线）</w:t>
            </w:r>
          </w:p>
        </w:tc>
        <w:tc>
          <w:tcPr>
            <w:tcW w:w="2822" w:type="dxa"/>
            <w:vAlign w:val="center"/>
          </w:tcPr>
          <w:p w14:paraId="0D7F7C7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赛默飞（5030i）</w:t>
            </w:r>
          </w:p>
        </w:tc>
        <w:tc>
          <w:tcPr>
            <w:tcW w:w="1486" w:type="dxa"/>
            <w:vMerge w:val="restart"/>
            <w:vAlign w:val="center"/>
          </w:tcPr>
          <w:p w14:paraId="1325ACD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w:t>
            </w:r>
          </w:p>
        </w:tc>
      </w:tr>
      <w:tr w14:paraId="3662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4" w:type="dxa"/>
            <w:vMerge w:val="continue"/>
            <w:vAlign w:val="center"/>
          </w:tcPr>
          <w:p w14:paraId="27A06246">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306267F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PM</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rPr>
              <w:t>（β射线）</w:t>
            </w:r>
          </w:p>
        </w:tc>
        <w:tc>
          <w:tcPr>
            <w:tcW w:w="2822" w:type="dxa"/>
            <w:vAlign w:val="center"/>
          </w:tcPr>
          <w:p w14:paraId="46A6A20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赛默飞（5030i）</w:t>
            </w:r>
          </w:p>
        </w:tc>
        <w:tc>
          <w:tcPr>
            <w:tcW w:w="1486" w:type="dxa"/>
            <w:vMerge w:val="continue"/>
            <w:vAlign w:val="center"/>
          </w:tcPr>
          <w:p w14:paraId="4FD6788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0612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4" w:type="dxa"/>
            <w:vMerge w:val="continue"/>
            <w:vAlign w:val="center"/>
          </w:tcPr>
          <w:p w14:paraId="28A3EEBF">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73CE66F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 w:val="15"/>
                <w:szCs w:val="15"/>
                <w:highlight w:val="none"/>
              </w:rPr>
              <w:t>▲</w:t>
            </w:r>
            <w:r>
              <w:rPr>
                <w:rFonts w:hint="default" w:ascii="Times New Roman" w:hAnsi="Times New Roman" w:eastAsia="宋体" w:cs="Times New Roman"/>
                <w:szCs w:val="21"/>
                <w:highlight w:val="none"/>
              </w:rPr>
              <w:t>SO</w:t>
            </w:r>
            <w:r>
              <w:rPr>
                <w:rFonts w:hint="default" w:ascii="Times New Roman" w:hAnsi="Times New Roman" w:eastAsia="宋体" w:cs="Times New Roman"/>
                <w:szCs w:val="21"/>
                <w:highlight w:val="none"/>
                <w:vertAlign w:val="subscript"/>
              </w:rPr>
              <w:t>2</w:t>
            </w:r>
          </w:p>
        </w:tc>
        <w:tc>
          <w:tcPr>
            <w:tcW w:w="2822" w:type="dxa"/>
            <w:vAlign w:val="center"/>
          </w:tcPr>
          <w:p w14:paraId="5B2350B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TAPI (100E)</w:t>
            </w:r>
          </w:p>
        </w:tc>
        <w:tc>
          <w:tcPr>
            <w:tcW w:w="1486" w:type="dxa"/>
            <w:vMerge w:val="continue"/>
            <w:vAlign w:val="center"/>
          </w:tcPr>
          <w:p w14:paraId="51EA191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7D18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1554" w:type="dxa"/>
            <w:vMerge w:val="continue"/>
            <w:vAlign w:val="center"/>
          </w:tcPr>
          <w:p w14:paraId="6C486945">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725AB0C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 w:val="15"/>
                <w:szCs w:val="15"/>
                <w:highlight w:val="none"/>
              </w:rPr>
              <w:t>▲</w:t>
            </w:r>
            <w:r>
              <w:rPr>
                <w:rFonts w:hint="default" w:ascii="Times New Roman" w:hAnsi="Times New Roman" w:eastAsia="宋体" w:cs="Times New Roman"/>
                <w:szCs w:val="21"/>
                <w:highlight w:val="none"/>
              </w:rPr>
              <w:t>NO</w:t>
            </w:r>
            <w:r>
              <w:rPr>
                <w:rFonts w:hint="default" w:ascii="Times New Roman" w:hAnsi="Times New Roman" w:eastAsia="宋体" w:cs="Times New Roman"/>
                <w:szCs w:val="21"/>
                <w:highlight w:val="none"/>
                <w:vertAlign w:val="subscript"/>
              </w:rPr>
              <w:t>2</w:t>
            </w:r>
          </w:p>
        </w:tc>
        <w:tc>
          <w:tcPr>
            <w:tcW w:w="2822" w:type="dxa"/>
            <w:vAlign w:val="center"/>
          </w:tcPr>
          <w:p w14:paraId="070A774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TAPI (200E)</w:t>
            </w:r>
          </w:p>
        </w:tc>
        <w:tc>
          <w:tcPr>
            <w:tcW w:w="1486" w:type="dxa"/>
            <w:vMerge w:val="continue"/>
            <w:vAlign w:val="center"/>
          </w:tcPr>
          <w:p w14:paraId="04A9EFF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0461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4" w:type="dxa"/>
            <w:vMerge w:val="continue"/>
            <w:vAlign w:val="center"/>
          </w:tcPr>
          <w:p w14:paraId="4E84CBFB">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1E788B3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 w:val="15"/>
                <w:szCs w:val="15"/>
                <w:highlight w:val="none"/>
              </w:rPr>
              <w:t>▲</w:t>
            </w:r>
            <w:r>
              <w:rPr>
                <w:rFonts w:hint="default" w:ascii="Times New Roman" w:hAnsi="Times New Roman" w:eastAsia="宋体" w:cs="Times New Roman"/>
                <w:szCs w:val="21"/>
                <w:highlight w:val="none"/>
              </w:rPr>
              <w:t>CO</w:t>
            </w:r>
          </w:p>
        </w:tc>
        <w:tc>
          <w:tcPr>
            <w:tcW w:w="2822" w:type="dxa"/>
            <w:vAlign w:val="center"/>
          </w:tcPr>
          <w:p w14:paraId="7F9505D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苏力（G1050A）</w:t>
            </w:r>
          </w:p>
        </w:tc>
        <w:tc>
          <w:tcPr>
            <w:tcW w:w="1486" w:type="dxa"/>
            <w:vMerge w:val="continue"/>
            <w:vAlign w:val="center"/>
          </w:tcPr>
          <w:p w14:paraId="4A7EDD3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546E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4" w:type="dxa"/>
            <w:vMerge w:val="continue"/>
            <w:vAlign w:val="center"/>
          </w:tcPr>
          <w:p w14:paraId="4C9D3BBE">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47AC825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 w:val="15"/>
                <w:szCs w:val="15"/>
                <w:highlight w:val="none"/>
              </w:rPr>
              <w:t>▲</w:t>
            </w:r>
            <w:r>
              <w:rPr>
                <w:rFonts w:hint="default" w:ascii="Times New Roman" w:hAnsi="Times New Roman" w:eastAsia="宋体" w:cs="Times New Roman"/>
                <w:szCs w:val="21"/>
                <w:highlight w:val="none"/>
              </w:rPr>
              <w:t>O</w:t>
            </w:r>
            <w:r>
              <w:rPr>
                <w:rFonts w:hint="default" w:ascii="Times New Roman" w:hAnsi="Times New Roman" w:eastAsia="宋体" w:cs="Times New Roman"/>
                <w:szCs w:val="21"/>
                <w:highlight w:val="none"/>
                <w:vertAlign w:val="subscript"/>
              </w:rPr>
              <w:t>3</w:t>
            </w:r>
          </w:p>
        </w:tc>
        <w:tc>
          <w:tcPr>
            <w:tcW w:w="2822" w:type="dxa"/>
            <w:vAlign w:val="center"/>
          </w:tcPr>
          <w:p w14:paraId="792C7CA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苏力（G1060A）</w:t>
            </w:r>
          </w:p>
        </w:tc>
        <w:tc>
          <w:tcPr>
            <w:tcW w:w="1486" w:type="dxa"/>
            <w:vMerge w:val="continue"/>
            <w:vAlign w:val="center"/>
          </w:tcPr>
          <w:p w14:paraId="0930389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1BEA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4" w:type="dxa"/>
            <w:vMerge w:val="continue"/>
            <w:vAlign w:val="center"/>
          </w:tcPr>
          <w:p w14:paraId="654A429B">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00399A9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 w:val="15"/>
                <w:szCs w:val="15"/>
                <w:highlight w:val="none"/>
              </w:rPr>
              <w:t>▲</w:t>
            </w:r>
            <w:r>
              <w:rPr>
                <w:rFonts w:hint="default" w:ascii="Times New Roman" w:hAnsi="Times New Roman" w:eastAsia="宋体" w:cs="Times New Roman"/>
                <w:szCs w:val="21"/>
                <w:highlight w:val="none"/>
              </w:rPr>
              <w:t>零气发生器</w:t>
            </w:r>
          </w:p>
        </w:tc>
        <w:tc>
          <w:tcPr>
            <w:tcW w:w="2822" w:type="dxa"/>
            <w:vAlign w:val="center"/>
          </w:tcPr>
          <w:p w14:paraId="01161C7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苏力（G1210A）</w:t>
            </w:r>
          </w:p>
        </w:tc>
        <w:tc>
          <w:tcPr>
            <w:tcW w:w="1486" w:type="dxa"/>
            <w:vMerge w:val="continue"/>
            <w:vAlign w:val="center"/>
          </w:tcPr>
          <w:p w14:paraId="19FE4E1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060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4" w:type="dxa"/>
            <w:vMerge w:val="continue"/>
            <w:vAlign w:val="center"/>
          </w:tcPr>
          <w:p w14:paraId="7EC1BD21">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3C213E2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 w:val="15"/>
                <w:szCs w:val="15"/>
                <w:highlight w:val="none"/>
              </w:rPr>
              <w:t>▲</w:t>
            </w:r>
            <w:r>
              <w:rPr>
                <w:rFonts w:hint="default" w:ascii="Times New Roman" w:hAnsi="Times New Roman" w:eastAsia="宋体" w:cs="Times New Roman"/>
                <w:szCs w:val="21"/>
                <w:highlight w:val="none"/>
              </w:rPr>
              <w:t>动态校准仪</w:t>
            </w:r>
          </w:p>
        </w:tc>
        <w:tc>
          <w:tcPr>
            <w:tcW w:w="2822" w:type="dxa"/>
            <w:vAlign w:val="center"/>
          </w:tcPr>
          <w:p w14:paraId="66F1505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苏力（G1200A）</w:t>
            </w:r>
          </w:p>
        </w:tc>
        <w:tc>
          <w:tcPr>
            <w:tcW w:w="1486" w:type="dxa"/>
            <w:vMerge w:val="continue"/>
            <w:vAlign w:val="center"/>
          </w:tcPr>
          <w:p w14:paraId="4E5BFA5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65FF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4" w:type="dxa"/>
            <w:vMerge w:val="continue"/>
            <w:vAlign w:val="center"/>
          </w:tcPr>
          <w:p w14:paraId="0D5AF78B">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1A252E0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TSP</w:t>
            </w:r>
          </w:p>
        </w:tc>
        <w:tc>
          <w:tcPr>
            <w:tcW w:w="2822" w:type="dxa"/>
            <w:vAlign w:val="center"/>
          </w:tcPr>
          <w:p w14:paraId="3011799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Metone（F701）</w:t>
            </w:r>
          </w:p>
        </w:tc>
        <w:tc>
          <w:tcPr>
            <w:tcW w:w="1486" w:type="dxa"/>
            <w:vAlign w:val="center"/>
          </w:tcPr>
          <w:p w14:paraId="0726925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r>
      <w:tr w14:paraId="28CD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4" w:type="dxa"/>
            <w:vMerge w:val="continue"/>
            <w:vAlign w:val="center"/>
          </w:tcPr>
          <w:p w14:paraId="32C32800">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249B260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PM1</w:t>
            </w:r>
          </w:p>
        </w:tc>
        <w:tc>
          <w:tcPr>
            <w:tcW w:w="2822" w:type="dxa"/>
            <w:vAlign w:val="center"/>
          </w:tcPr>
          <w:p w14:paraId="1A14129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Metone（F701）</w:t>
            </w:r>
          </w:p>
        </w:tc>
        <w:tc>
          <w:tcPr>
            <w:tcW w:w="1486" w:type="dxa"/>
            <w:vAlign w:val="center"/>
          </w:tcPr>
          <w:p w14:paraId="1C3D12A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r>
      <w:tr w14:paraId="66B7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4" w:type="dxa"/>
            <w:vMerge w:val="continue"/>
            <w:vAlign w:val="center"/>
          </w:tcPr>
          <w:p w14:paraId="63DE317B">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46F4B8A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黑炭仪</w:t>
            </w:r>
          </w:p>
        </w:tc>
        <w:tc>
          <w:tcPr>
            <w:tcW w:w="2822" w:type="dxa"/>
            <w:vAlign w:val="center"/>
          </w:tcPr>
          <w:p w14:paraId="47A04E1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塞克玛（aethalometer）</w:t>
            </w:r>
          </w:p>
        </w:tc>
        <w:tc>
          <w:tcPr>
            <w:tcW w:w="1486" w:type="dxa"/>
            <w:vAlign w:val="center"/>
          </w:tcPr>
          <w:p w14:paraId="5A60549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p>
        </w:tc>
      </w:tr>
      <w:tr w14:paraId="5D21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4" w:type="dxa"/>
            <w:vMerge w:val="continue"/>
            <w:vAlign w:val="center"/>
          </w:tcPr>
          <w:p w14:paraId="605D91BD">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tc>
        <w:tc>
          <w:tcPr>
            <w:tcW w:w="2611" w:type="dxa"/>
            <w:vAlign w:val="center"/>
          </w:tcPr>
          <w:p w14:paraId="0292FB4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氨气、硫化氢</w:t>
            </w:r>
          </w:p>
        </w:tc>
        <w:tc>
          <w:tcPr>
            <w:tcW w:w="2822" w:type="dxa"/>
            <w:vAlign w:val="center"/>
          </w:tcPr>
          <w:p w14:paraId="765F047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赛默飞（450i、17i）</w:t>
            </w:r>
          </w:p>
        </w:tc>
        <w:tc>
          <w:tcPr>
            <w:tcW w:w="1486" w:type="dxa"/>
            <w:vAlign w:val="center"/>
          </w:tcPr>
          <w:p w14:paraId="613F602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w:t>
            </w:r>
          </w:p>
        </w:tc>
      </w:tr>
      <w:tr w14:paraId="0101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987" w:type="dxa"/>
            <w:gridSpan w:val="3"/>
            <w:vAlign w:val="center"/>
          </w:tcPr>
          <w:p w14:paraId="335299B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站房本体维护</w:t>
            </w:r>
          </w:p>
        </w:tc>
        <w:tc>
          <w:tcPr>
            <w:tcW w:w="1486" w:type="dxa"/>
            <w:vAlign w:val="center"/>
          </w:tcPr>
          <w:p w14:paraId="027936E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w:t>
            </w:r>
          </w:p>
        </w:tc>
      </w:tr>
      <w:tr w14:paraId="6E7C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987" w:type="dxa"/>
            <w:gridSpan w:val="3"/>
            <w:vAlign w:val="center"/>
          </w:tcPr>
          <w:p w14:paraId="427A1F6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合计</w:t>
            </w:r>
          </w:p>
        </w:tc>
        <w:tc>
          <w:tcPr>
            <w:tcW w:w="1486" w:type="dxa"/>
            <w:vAlign w:val="center"/>
          </w:tcPr>
          <w:p w14:paraId="1D35F40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27</w:t>
            </w:r>
          </w:p>
        </w:tc>
      </w:tr>
    </w:tbl>
    <w:p w14:paraId="4B64AAAE">
      <w:pPr>
        <w:pageBreakBefore w:val="0"/>
        <w:kinsoku/>
        <w:wordWrap/>
        <w:overflowPunct/>
        <w:topLinePunct w:val="0"/>
        <w:bidi w:val="0"/>
        <w:spacing w:line="360" w:lineRule="auto"/>
        <w:ind w:firstLine="640"/>
        <w:outlineLvl w:val="0"/>
        <w:rPr>
          <w:rFonts w:hint="default" w:ascii="Times New Roman" w:hAnsi="Times New Roman" w:eastAsia="宋体" w:cs="Times New Roman"/>
          <w:b/>
          <w:bCs/>
          <w:sz w:val="22"/>
          <w:szCs w:val="22"/>
          <w:highlight w:val="none"/>
        </w:rPr>
      </w:pPr>
    </w:p>
    <w:p w14:paraId="7D991776">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二、项目需求</w:t>
      </w:r>
    </w:p>
    <w:p w14:paraId="6AD2031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2.1总体要求</w:t>
      </w:r>
    </w:p>
    <w:p w14:paraId="64AF966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2.1.1投标人应提供详细的运维管理服务方案。包含耗材、维修费用。</w:t>
      </w:r>
    </w:p>
    <w:p w14:paraId="2FB2A42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2.1.2投标人</w:t>
      </w:r>
      <w:r>
        <w:rPr>
          <w:rFonts w:hint="default" w:ascii="Times New Roman" w:hAnsi="Times New Roman" w:eastAsia="宋体" w:cs="Times New Roman"/>
          <w:bCs/>
          <w:szCs w:val="21"/>
          <w:highlight w:val="none"/>
        </w:rPr>
        <w:t>需至少配备2名具备较高素质的运维专业</w:t>
      </w:r>
      <w:r>
        <w:rPr>
          <w:rFonts w:hint="default" w:ascii="Times New Roman" w:hAnsi="Times New Roman" w:eastAsia="宋体" w:cs="Times New Roman"/>
          <w:szCs w:val="21"/>
          <w:highlight w:val="none"/>
        </w:rPr>
        <w:t>技术人员，运维人员主要从事每日实时监控站点各类仪器的运维情况、协助环境监测等相关工作。</w:t>
      </w:r>
    </w:p>
    <w:p w14:paraId="5491C93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2.1.3投标人应至少配备如下数量的质量控制设备，包括配套的流量计（须具备计量检定部门的校准报告）、各种标准气体、臭氧校准仪等。</w:t>
      </w:r>
    </w:p>
    <w:p w14:paraId="41DF566C">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p w14:paraId="062769D5">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p w14:paraId="21B7688A">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p>
    <w:p w14:paraId="4FD2988E">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表2-1投标人配备质量控制设备清单</w:t>
      </w:r>
    </w:p>
    <w:tbl>
      <w:tblPr>
        <w:tblStyle w:val="48"/>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4708"/>
      </w:tblGrid>
      <w:tr w14:paraId="51A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3250" w:type="dxa"/>
            <w:shd w:val="clear" w:color="auto" w:fill="FFFFFF"/>
            <w:vAlign w:val="center"/>
          </w:tcPr>
          <w:p w14:paraId="0C6B666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质控设备名称</w:t>
            </w:r>
          </w:p>
        </w:tc>
        <w:tc>
          <w:tcPr>
            <w:tcW w:w="4708" w:type="dxa"/>
            <w:shd w:val="clear" w:color="auto" w:fill="FFFFFF"/>
            <w:vAlign w:val="center"/>
          </w:tcPr>
          <w:p w14:paraId="24148B7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数量</w:t>
            </w:r>
          </w:p>
        </w:tc>
      </w:tr>
      <w:tr w14:paraId="4ED7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3CBFC6F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各种量程流量计</w:t>
            </w:r>
          </w:p>
        </w:tc>
        <w:tc>
          <w:tcPr>
            <w:tcW w:w="4708" w:type="dxa"/>
            <w:vAlign w:val="center"/>
          </w:tcPr>
          <w:p w14:paraId="54AFEBD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大、小流量各1套</w:t>
            </w:r>
          </w:p>
        </w:tc>
      </w:tr>
      <w:tr w14:paraId="2523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69E55FF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标准气压计</w:t>
            </w:r>
          </w:p>
        </w:tc>
        <w:tc>
          <w:tcPr>
            <w:tcW w:w="4708" w:type="dxa"/>
            <w:vAlign w:val="center"/>
          </w:tcPr>
          <w:p w14:paraId="1AF440F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4B57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58CBD86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标准温度计</w:t>
            </w:r>
          </w:p>
        </w:tc>
        <w:tc>
          <w:tcPr>
            <w:tcW w:w="4708" w:type="dxa"/>
            <w:vAlign w:val="center"/>
          </w:tcPr>
          <w:p w14:paraId="7F3AEED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5B4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3ADE318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各种标准气体</w:t>
            </w:r>
          </w:p>
        </w:tc>
        <w:tc>
          <w:tcPr>
            <w:tcW w:w="4708" w:type="dxa"/>
            <w:vAlign w:val="center"/>
          </w:tcPr>
          <w:p w14:paraId="3A8310D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根据使用情况</w:t>
            </w:r>
          </w:p>
        </w:tc>
      </w:tr>
      <w:tr w14:paraId="1A9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6490204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零气发生器</w:t>
            </w:r>
          </w:p>
        </w:tc>
        <w:tc>
          <w:tcPr>
            <w:tcW w:w="4708" w:type="dxa"/>
            <w:vAlign w:val="center"/>
          </w:tcPr>
          <w:p w14:paraId="1C90BDD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4233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18D59A7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动态校准仪</w:t>
            </w:r>
          </w:p>
        </w:tc>
        <w:tc>
          <w:tcPr>
            <w:tcW w:w="4708" w:type="dxa"/>
            <w:vAlign w:val="center"/>
          </w:tcPr>
          <w:p w14:paraId="0B50E76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5B47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0" w:type="dxa"/>
            <w:vAlign w:val="center"/>
          </w:tcPr>
          <w:p w14:paraId="67D5B35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臭氧校准仪</w:t>
            </w:r>
          </w:p>
        </w:tc>
        <w:tc>
          <w:tcPr>
            <w:tcW w:w="4708" w:type="dxa"/>
            <w:vAlign w:val="center"/>
          </w:tcPr>
          <w:p w14:paraId="0374E42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bl>
    <w:p w14:paraId="5BE2D0A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2.1.4投标人应为运维人员配备专用仪器维修工具（包括万用表、工具箱等）、通讯调试工具（包括各种硬件接口线、改线工具、接口调试软件及常用零部件等）。</w:t>
      </w:r>
    </w:p>
    <w:p w14:paraId="1FFFA79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2.1.5投标人需具备本地化服务的能力，需保证仪器故障发生时间4小时内（8:00-22:00）或8小时内（22:00-8:00）赶到现场进行处理。对于一些易于排除的故障，维修时间不应超过12小时；对不易诊断和维修的仪器故障，若48小时内无法排除，应安装备用仪器（限表1-1打▲部分）。</w:t>
      </w:r>
    </w:p>
    <w:p w14:paraId="040C5B5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2.1.6投标人至少配备与表1-1中打▲部分的分析仪备机各1套。</w:t>
      </w:r>
    </w:p>
    <w:p w14:paraId="228EB2C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2.1.7投标人应提供完整的运维人员管理方案，具备应对人员流动的应急预案，提出解决技术人员队伍稳定的措施。</w:t>
      </w:r>
    </w:p>
    <w:p w14:paraId="5FB1342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2.1.8在空气自动监测系统代维护及管理期间，投标人应严格按照招标人制订的操作规范和规章制度，对所管理的系统及仪器设备进行规范操作和精心维护及必要维修，保证系统及仪器设备的正常运行，达到省环境监测中心提出的系统及仪器设备考核指标要求。中标运维商必须接受省环境监测中心的定期、不定期检查和考核。</w:t>
      </w:r>
    </w:p>
    <w:p w14:paraId="5D0C0FB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2.1.9在该设备代维及管理期间，未经允许，承担运维单位不得以直接、间接、口头或书面等形式将观测数据披露给其他人员或第三方单位，因数据泄露而造成招标人损失，招标人将通过法律途径向投标人索赔。</w:t>
      </w:r>
    </w:p>
    <w:p w14:paraId="409275B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2.1.10投标人为实施本项目至少配置1辆专用车辆。</w:t>
      </w:r>
    </w:p>
    <w:p w14:paraId="149E835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2.2运行维护工作目标</w:t>
      </w:r>
    </w:p>
    <w:p w14:paraId="3988196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2.2.1设备在线率：开展运维服务期间，需确保表1-1中动态校准仪及零气发生器外的所有分析仪在线率不得低于90%（仪器在线率=仪器实际运行时间/仪器可运行时间）。</w:t>
      </w:r>
    </w:p>
    <w:p w14:paraId="185BE9B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注：仪器实际运行时间为仪器开机运行且仪器内能获取监测数据的时间；仪器可运行时间=约定的总时间-仪器停机维护时间-仪器校准时间-不可抗力停机时间（如停电等）。</w:t>
      </w:r>
    </w:p>
    <w:p w14:paraId="22B986F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2.2.2有效数据获取率：开展运维服务期间，需确保表1-1中动态校准仪及零气发生器外的所有分析仪有效数据获取率不得低于80%（有效数据获取率=有效监测数据量/获取监测数据量）。</w:t>
      </w:r>
    </w:p>
    <w:p w14:paraId="751293C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2.3运维工作内容</w:t>
      </w:r>
    </w:p>
    <w:p w14:paraId="0777B50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站点的日常运行维护、常规6参数及TSP、PM1、黑炭仪、氨气、硫化氢的运维工作。</w:t>
      </w:r>
    </w:p>
    <w:p w14:paraId="3A91623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2.4运维工作要求</w:t>
      </w:r>
    </w:p>
    <w:p w14:paraId="77602C1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2.4.1每日检查;驻场人员8:00-22:00内至少每两小时远程查看一次监测数据，分析监测数据异常情况，对站点运行情况进行远程诊断和运行管理，同时做好记录。</w:t>
      </w:r>
    </w:p>
    <w:p w14:paraId="4BBAC6F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每周巡检:运维人员每周至少巡检空气自动监测站1次，并做好巡查记录，主要工作包括站房基本功能检查、监测仪运行参数检查和维护等、安全检查和卫生打扫。按招标人安排的值班表每周在站房值班一天，开展清洁卫生和安全检查工作。</w:t>
      </w:r>
    </w:p>
    <w:p w14:paraId="0DFD3B3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2.4.2.1站房基本功能及安全检查：运维人员进入站房后，应对站点内外环境及站房基本功能是否正常做出检查，并填写相关记录：</w:t>
      </w:r>
    </w:p>
    <w:p w14:paraId="3A551CA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2.4.2.1.1站房照明系统是否正常；</w:t>
      </w:r>
    </w:p>
    <w:p w14:paraId="091A812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2.4.2.1.2室内温湿度是否正常；</w:t>
      </w:r>
    </w:p>
    <w:p w14:paraId="16A8268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2.4.2.1.3站房有无漏水、破损现象；</w:t>
      </w:r>
    </w:p>
    <w:p w14:paraId="1B1C48E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2.4.2.1.4检查排气扇是否正常运转、废气排放口管线等是否正常；</w:t>
      </w:r>
    </w:p>
    <w:p w14:paraId="487D429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2.4.2.1.5检查文件（包括维护报表及操作手册）是否归定位；</w:t>
      </w:r>
    </w:p>
    <w:p w14:paraId="1C70BC3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2.4.2.1.6站点周边有无新增或减少污染源（建筑工地、烟囱等）。</w:t>
      </w:r>
    </w:p>
    <w:p w14:paraId="4001D3B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2.4.2.2仪器设备功能参数检查及维护:运维人员应对各仪器设备参数进行检查，包括：</w:t>
      </w:r>
    </w:p>
    <w:p w14:paraId="1623DD7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2.4.2.2.1查看设备是否齐备，是否有丢失和损坏；检查接地线路是否可靠，排风排气装置工作是否正常，标准气钢瓶阀门是否漏气，标准气的消耗情况；检查各仪器的运行状况，保证系统运行顺畅；</w:t>
      </w:r>
    </w:p>
    <w:p w14:paraId="4365315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2.4.2.2.2检查采样和排气管路是否有漏气或堵塞现象，各分析仪器采样流量是否正常；</w:t>
      </w:r>
    </w:p>
    <w:p w14:paraId="15A89ED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2.4.2.2.3检查站点的通讯系统，保证站点与远程监控中心的连接正常，数据传输正常；</w:t>
      </w:r>
    </w:p>
    <w:p w14:paraId="017BFD2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2.4.2.2.4检查监测仪器的采样入口与采样支路管线结合部之间安装的过滤膜的污染情况，每周更换滤膜；</w:t>
      </w:r>
    </w:p>
    <w:p w14:paraId="1280522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2.4.2.2.5对颗粒物的采样纸带或滤膜进行检查，如纸带即将用尽，及时进行更换；检查颗粒物分析仪的温度、压力传感器和时钟；</w:t>
      </w:r>
    </w:p>
    <w:p w14:paraId="77232EA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2.4.2.2.6对二氧化硫、一氧化碳、臭氧、氮氧化物等分析仪进行零点及标点检查，如果漂移超过国家相关规范要求，需要进行手工校准；</w:t>
      </w:r>
    </w:p>
    <w:p w14:paraId="41857B8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2.4.2.2.7对气象仪器及能见度仪的运行情况进行检查；</w:t>
      </w:r>
    </w:p>
    <w:p w14:paraId="233A908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2.4.2.2.8在冬、夏季节应注意站点房室内外温差，若温差较大，应及时改变站房温度或对采样总管采取适当的控制措施，防止冷凝现象。</w:t>
      </w:r>
    </w:p>
    <w:p w14:paraId="2A68BD6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2.4.3月度巡检</w:t>
      </w:r>
    </w:p>
    <w:p w14:paraId="17DC672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2.4.3.1清洗颗粒物分析仪切割器，检查β法颗粒物分析仪仪器喷嘴、压环等部件，当出现AQI值大于等于200以上的重污染天气后，应在一周内清洗切割器；</w:t>
      </w:r>
    </w:p>
    <w:p w14:paraId="1CF673C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2.4.3.2检查颗粒物分析仪监测仪、气态污染物分析仪、动态校准仪流量，如果超过国家相关规范要求，需要进行校准，检查仪器是否漏气。校准和检查颗粒物分析仪的温度、气压和时钟；</w:t>
      </w:r>
    </w:p>
    <w:p w14:paraId="3DCF869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2.4.3.3 检查仪器显示的数据和采集仪的数据之间的一致性；</w:t>
      </w:r>
    </w:p>
    <w:p w14:paraId="016DBD5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2.4.3.4对数据进行备份；</w:t>
      </w:r>
    </w:p>
    <w:p w14:paraId="7F71ED9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2.4.3.5使用指北针或指南针核查气象参数监测仪指北是否无误（偏差超过15°需进行校准）。</w:t>
      </w:r>
    </w:p>
    <w:p w14:paraId="6415495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2.4.4季度巡检</w:t>
      </w:r>
    </w:p>
    <w:p w14:paraId="212190A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2.4.4.1至少清洗一次采样总管及采样风机；</w:t>
      </w:r>
    </w:p>
    <w:p w14:paraId="2FD0D1E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2.4.4.2对气态分析仪进行多点线性检查；</w:t>
      </w:r>
    </w:p>
    <w:p w14:paraId="2302F3E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2.4.4.3对颗粒物进行标准膜检查或K0值检查，如果超过国家规范或说明书规定的限值，需要进行校准。</w:t>
      </w:r>
    </w:p>
    <w:p w14:paraId="2D0765D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2.4.5半年巡检</w:t>
      </w:r>
    </w:p>
    <w:p w14:paraId="434495E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2.4.5.1检查颗粒物分析仪相对湿度、温度传感器和动态加热装置是否正常工作；</w:t>
      </w:r>
    </w:p>
    <w:p w14:paraId="56F2744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2.4.5.2对动态校准仪流量进行多点检查，必要时校准，采用省环境监测中心提供的臭氧标准源对站点校准设备进行传递，更换零气源净化剂和氧化剂，对零气性能进行检查；</w:t>
      </w:r>
    </w:p>
    <w:p w14:paraId="0A0E177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2.4.5.3 检查氮氧化物分析仪钼炉转化率。</w:t>
      </w:r>
    </w:p>
    <w:p w14:paraId="00F7679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2.4.6年度巡检</w:t>
      </w:r>
    </w:p>
    <w:p w14:paraId="7CDD2AF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2.4.6.1对所有的仪器进行预防性维护，按说明书的要求更换备件；</w:t>
      </w:r>
    </w:p>
    <w:p w14:paraId="2384868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2.4.6.2更换所有泵组件（易损件）。</w:t>
      </w:r>
    </w:p>
    <w:p w14:paraId="24C82D3C">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2.5运维记录与报告</w:t>
      </w:r>
    </w:p>
    <w:p w14:paraId="1D2DC124">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2.5.1依据仪器特性及上述运维要求，编制相应运维、质控记录表单。</w:t>
      </w:r>
    </w:p>
    <w:p w14:paraId="59E6969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2.5.2依据技术运维要求，每月提交相应技术运维记录。</w:t>
      </w:r>
    </w:p>
    <w:p w14:paraId="60C03A9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2.5.3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6FDCD464">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2.5.4运维单位需具备相关实验室分析能力，必要时配合招标人单位开展自动检测设备与实验室分析比对测试工作。</w:t>
      </w:r>
    </w:p>
    <w:p w14:paraId="773DC4D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2.5.5 运维单位需具备一定的数据分析能力，重污染天气发生时，运维单位需配合招标人开展数据分析工作，并编制相关分析报告。</w:t>
      </w:r>
    </w:p>
    <w:p w14:paraId="6D745459">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2.5.6依据运维总结报告制作汇报材料向招标人进行总结性汇报。</w:t>
      </w:r>
    </w:p>
    <w:p w14:paraId="210F424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2.6质量保证实验室</w:t>
      </w:r>
    </w:p>
    <w:p w14:paraId="4F6AC12C">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投标人应具有用于质量控制的CMA实验室，并保证相关手工监测样品（限表1打▲部分）能在3小时内送至实验室分析，投标人应根据省环境监测中心的相关要求，开展手工与自动样品的比对分析工作。</w:t>
      </w:r>
    </w:p>
    <w:p w14:paraId="75137C93">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2.7 网络安全：投标人须确保站点网络使用安全，未经同意严禁在工控机中加装各类远程软件，QQ、微信等数据传输、聊天软件。</w:t>
      </w:r>
    </w:p>
    <w:p w14:paraId="7C9E489D">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三、省级大气多参数站防雷、消防、电力系统及站房本体维护</w:t>
      </w:r>
    </w:p>
    <w:p w14:paraId="16D07A04">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3.1防雷部分</w:t>
      </w:r>
    </w:p>
    <w:p w14:paraId="0FB6BA6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3.1.1承担省级大气多参数站防雷系统的检修、维护任务，并提交具有甲级防雷检测资质的单位出具的防雷检测合格报告；</w:t>
      </w:r>
    </w:p>
    <w:p w14:paraId="4DA40066">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3.1.2当首次防雷检测不合格时，甲方应在收到防雷检测不合格报告30日内对省级大气多参数站防雷系统进行检修和维护。并由具备甲级资质的防雷检测单位进行复测，直至获得防雷检测合格报告；</w:t>
      </w:r>
    </w:p>
    <w:p w14:paraId="66535166">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3.1.3中标方应每年度提交多参数站防雷检测合格报告；</w:t>
      </w:r>
    </w:p>
    <w:p w14:paraId="78512240">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3.1.4防雷检测报告中应包含防直击雷雷检验检测报告、屏蔽、等电位及接地检测检验报告、低压配电系统浪涌保护器（SPD）检测检验报告；</w:t>
      </w:r>
    </w:p>
    <w:p w14:paraId="25AA73E4">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3.1.5防雷检测合格周期内，如发生应雷击造成多参数站内仪器损坏的（直击雷除外），中标方应负责相关仪器的维修或更换费用。直击雷的评判，由中标方委托省级以上气象部门防雷检测中心现场评判并出具相应的正式报告。</w:t>
      </w:r>
    </w:p>
    <w:p w14:paraId="1589D13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3.2消防部分</w:t>
      </w:r>
    </w:p>
    <w:p w14:paraId="0A13889B">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3.2.1合同期签定后30日内负责更换过期消防器材；</w:t>
      </w:r>
    </w:p>
    <w:p w14:paraId="01D78A99">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3.2.2必须确保多参数站房消防灭火器材可正常使用，且保证合同签订之日起至2026年12月31日相关消防灭火器材在有效期内。</w:t>
      </w:r>
    </w:p>
    <w:p w14:paraId="08BDBE3F">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3.3电力系统</w:t>
      </w:r>
    </w:p>
    <w:p w14:paraId="0AD831A4">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3.3.1负责对多参数站房电力系统预防性检修与维护，中标方应在合同期签定后30日内对站房的电力系统进行一次整体性检查，如发现安全隐患，及时通知相关运维单位；</w:t>
      </w:r>
    </w:p>
    <w:p w14:paraId="3B67F4D2">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3.3.2检查维护包含强电和弱电两个部分 ；</w:t>
      </w:r>
    </w:p>
    <w:p w14:paraId="604B95EB">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强电部分：配电箱、稳压电源、空调、除湿机、照明、插座及电源接插线板；</w:t>
      </w:r>
    </w:p>
    <w:p w14:paraId="255C0E5C">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弱电部分：门禁、移门控制、摄像监控。</w:t>
      </w:r>
    </w:p>
    <w:p w14:paraId="01F9EAC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3.4站房部分</w:t>
      </w:r>
    </w:p>
    <w:p w14:paraId="58C7BB3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3.4.1多参数站站房的检修项目：</w:t>
      </w:r>
    </w:p>
    <w:p w14:paraId="6215EDA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3.4.1.1受损墙面补漆；</w:t>
      </w:r>
    </w:p>
    <w:p w14:paraId="2748C9F2">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3.4.1.2更换变形与损坏防静电地板；</w:t>
      </w:r>
    </w:p>
    <w:p w14:paraId="2C46000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3.4.1.3房顶所有开孔位置重新打胶、补漏；</w:t>
      </w:r>
    </w:p>
    <w:p w14:paraId="579CC06C">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3.4.1.4对屋顶步道、不锈钢楼梯、站房围栏检查修整；</w:t>
      </w:r>
    </w:p>
    <w:p w14:paraId="215EBD56">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3.4.1.5站房内部桌椅损坏或因站房漏水导致桌面起皮、损坏的维修等。</w:t>
      </w:r>
    </w:p>
    <w:p w14:paraId="55E0312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3.4.2多参数站站房底部钢结构（站房平台）检修项目:</w:t>
      </w:r>
    </w:p>
    <w:p w14:paraId="0987BC7B">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3.4.2.1楼梯与围栏安全检查修整；</w:t>
      </w:r>
    </w:p>
    <w:p w14:paraId="05A8ED6F">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3.4.2.2如站房平台钢化玻璃破损，7日内完成更换；</w:t>
      </w:r>
    </w:p>
    <w:p w14:paraId="6D506222">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3.4.2.3站房底部重新打胶并清除底部积水一次；</w:t>
      </w:r>
    </w:p>
    <w:p w14:paraId="74FD0A97">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3.4.3.4站房平台补漆。</w:t>
      </w:r>
    </w:p>
    <w:p w14:paraId="6882235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3.5卫生保洁：</w:t>
      </w:r>
    </w:p>
    <w:p w14:paraId="1B11E23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3.5.1站房内部、房顶、外墙面、楼梯、过道清洁（每15日1次）；</w:t>
      </w:r>
    </w:p>
    <w:p w14:paraId="23D0E5F8">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3.5.2对8台空调机组（包含室内外机）定期清洗（每60日1次）。</w:t>
      </w:r>
    </w:p>
    <w:p w14:paraId="4776BCD1">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pPr>
    </w:p>
    <w:p w14:paraId="0F7ED638">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78B2417B">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包4：颗粒物在线离子色谱设备运维服务</w:t>
      </w:r>
    </w:p>
    <w:p w14:paraId="75F81045">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一、项目概况：</w:t>
      </w:r>
    </w:p>
    <w:p w14:paraId="30A431B5">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自2012年以来，江苏省环境监测中心配置了在线离子色谱——气体组分及气溶胶监测系统——MARGA(以下简称MARGA），目前运行状况良好，处于连续采样、分析状态。</w:t>
      </w:r>
    </w:p>
    <w:p w14:paraId="62118D67">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表1-1线离子色谱设备运维服务项目仪器清单</w:t>
      </w:r>
    </w:p>
    <w:tbl>
      <w:tblPr>
        <w:tblStyle w:val="48"/>
        <w:tblW w:w="8015"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620"/>
        <w:gridCol w:w="2410"/>
        <w:gridCol w:w="1985"/>
      </w:tblGrid>
      <w:tr w14:paraId="481C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620" w:type="dxa"/>
            <w:shd w:val="clear" w:color="auto" w:fill="FFFFFF"/>
            <w:vAlign w:val="center"/>
          </w:tcPr>
          <w:p w14:paraId="3A9C17DD">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仪器名称</w:t>
            </w:r>
          </w:p>
        </w:tc>
        <w:tc>
          <w:tcPr>
            <w:tcW w:w="2410" w:type="dxa"/>
            <w:shd w:val="clear" w:color="auto" w:fill="FFFFFF"/>
            <w:vAlign w:val="center"/>
          </w:tcPr>
          <w:p w14:paraId="12BDFFB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生产厂家（型号）</w:t>
            </w:r>
          </w:p>
        </w:tc>
        <w:tc>
          <w:tcPr>
            <w:tcW w:w="1985" w:type="dxa"/>
            <w:shd w:val="clear" w:color="auto" w:fill="FFFFFF"/>
            <w:vAlign w:val="center"/>
          </w:tcPr>
          <w:p w14:paraId="7EA23ABC">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分项预算</w:t>
            </w:r>
          </w:p>
          <w:p w14:paraId="7A6BD77A">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（万元/年）</w:t>
            </w:r>
          </w:p>
        </w:tc>
      </w:tr>
      <w:tr w14:paraId="0213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shd w:val="clear" w:color="auto" w:fill="FFFFFF"/>
          </w:tcPr>
          <w:p w14:paraId="5B78E64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颗粒物在线离子色谱设备运维服务</w:t>
            </w:r>
          </w:p>
        </w:tc>
        <w:tc>
          <w:tcPr>
            <w:tcW w:w="2410" w:type="dxa"/>
            <w:shd w:val="clear" w:color="auto" w:fill="FFFFFF"/>
          </w:tcPr>
          <w:p w14:paraId="2CE612CC">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瑞士万通Marga-2080</w:t>
            </w:r>
          </w:p>
        </w:tc>
        <w:tc>
          <w:tcPr>
            <w:tcW w:w="1985" w:type="dxa"/>
            <w:shd w:val="clear" w:color="auto" w:fill="FFFFFF"/>
          </w:tcPr>
          <w:p w14:paraId="3DB2E58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26</w:t>
            </w:r>
          </w:p>
        </w:tc>
      </w:tr>
    </w:tbl>
    <w:p w14:paraId="351D2C4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p>
    <w:p w14:paraId="1C41D7E2">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二、项目需求</w:t>
      </w:r>
    </w:p>
    <w:p w14:paraId="55CC1589">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该设备运维服务需求为技术运维服务，包含仪器运行所使用的耗材、配件及维修等，具体要求如下：</w:t>
      </w:r>
    </w:p>
    <w:p w14:paraId="7389993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2.1总体要求</w:t>
      </w:r>
    </w:p>
    <w:p w14:paraId="7E930B2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2.1.1投标人应配备运维工作所需要的专用仪器维修工具（包括万用表、工具箱等）、通讯调试工具（包括各种硬件接口线、改线工具、接口调试软件及常用零部件等）。</w:t>
      </w:r>
    </w:p>
    <w:p w14:paraId="3FA60DA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2.1.2投标人</w:t>
      </w:r>
      <w:r>
        <w:rPr>
          <w:rFonts w:hint="default" w:ascii="Times New Roman" w:hAnsi="Times New Roman" w:eastAsia="宋体" w:cs="Times New Roman"/>
          <w:bCs/>
          <w:szCs w:val="21"/>
          <w:highlight w:val="none"/>
        </w:rPr>
        <w:t>需至少配备2名有经验运维专业</w:t>
      </w:r>
      <w:r>
        <w:rPr>
          <w:rFonts w:hint="default" w:ascii="Times New Roman" w:hAnsi="Times New Roman" w:eastAsia="宋体" w:cs="Times New Roman"/>
          <w:szCs w:val="21"/>
          <w:highlight w:val="none"/>
        </w:rPr>
        <w:t>技术人员。运维技术人员应具备良好的教育背景与专业能力。鼓励团队中配置具有硕士学历或环保类高级及以上职称的专业人员。运维技术人员须接受过所投产品生产厂家组织的专业系统培训，以确保其对设备性能、操作流程及日常维护具备充分的认知与实践能力。</w:t>
      </w:r>
      <w:r>
        <w:rPr>
          <w:rFonts w:hint="default" w:ascii="Times New Roman" w:hAnsi="Times New Roman" w:eastAsia="宋体" w:cs="Times New Roman"/>
          <w:bCs/>
          <w:szCs w:val="21"/>
          <w:highlight w:val="none"/>
        </w:rPr>
        <w:t>提供完整的运维人员管理方案，具备应对人员流动的应急预案，提出解决技术人员队伍稳定的措施。</w:t>
      </w:r>
    </w:p>
    <w:p w14:paraId="6E71F29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2.1.3投标人在服务区域2小时车程范围内至少设立1个运维技术支持机构，需保证仪器发生故障时2小时电话响应，4小时现场响应。应提供详细的运维管理服务方案、质量控制方案和应急服务保障方案。</w:t>
      </w:r>
    </w:p>
    <w:p w14:paraId="627059C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2.1.4在该设备代维及管理期间，投标人应严格按照招标人要求的操作规范和规章制度（详见技术运维要求部分），对所管理的系统及仪器设备进行规范操作和精心维护及必要维修，保证系统及仪器设备的正常运行，满足省环境监测中心提出的系统及仪器设备考核指标要求。</w:t>
      </w:r>
    </w:p>
    <w:p w14:paraId="3FAE066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2.1.5在该设备代维及管理期间，未经允许，承担运维单位不得以直接、间接、口头或书面等形式将观测数据披露给其他人员或第三方单位，因数据泄露而造成招标人损失，招标人将通过法律途径向投标人索赔。</w:t>
      </w:r>
    </w:p>
    <w:p w14:paraId="2005D1C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2.1.6  数据分析和审核：</w:t>
      </w:r>
      <w:r>
        <w:rPr>
          <w:rFonts w:hint="default" w:ascii="Times New Roman" w:hAnsi="Times New Roman" w:eastAsia="宋体" w:cs="Times New Roman"/>
          <w:szCs w:val="21"/>
          <w:highlight w:val="none"/>
        </w:rPr>
        <w:t>按招标人要求，开展平台上每日数据在线审核工作。</w:t>
      </w:r>
    </w:p>
    <w:p w14:paraId="1733415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2.1.7大型活动保障。质控服务方依据用户提前通知的要求，在年度内有大型赛事、活动和重污染物天气时间段内，提供加密质控保障工作。</w:t>
      </w:r>
    </w:p>
    <w:p w14:paraId="283626D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2.1.8  故障响应：接到用户故障信息后，2小时内远程协助，根据耗材与维修情况第一时间现场响应。</w:t>
      </w:r>
    </w:p>
    <w:p w14:paraId="46F427D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  运维记录与报告</w:t>
      </w:r>
    </w:p>
    <w:p w14:paraId="37048083">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2.1.9.1依据仪器特性及上述运维要求，编制相应运维、质控记录表单；</w:t>
      </w:r>
    </w:p>
    <w:p w14:paraId="652F952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2.1.9.2依据技术运维要求，每月提交相应技术运维记录；</w:t>
      </w:r>
    </w:p>
    <w:p w14:paraId="6DE1F947">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2.1.9.3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6A3EF5F7">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2.1.9.4依据运维总结报告向招标人进行总结性汇报。</w:t>
      </w:r>
    </w:p>
    <w:p w14:paraId="2BC31346">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  辅助服务要求</w:t>
      </w:r>
    </w:p>
    <w:p w14:paraId="4E4D911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2.1.10.1仪器发生故障时，配合招标人开展仪器维修相关工作；</w:t>
      </w:r>
    </w:p>
    <w:p w14:paraId="0839568D">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2.1.10.2定期配合招标人开展仪器配件、耗材库存清点工作，制定采购规划；</w:t>
      </w:r>
    </w:p>
    <w:p w14:paraId="7125075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2.1.10.3每次运维工作完成后对工作区域进行清洁整理；</w:t>
      </w:r>
    </w:p>
    <w:p w14:paraId="5FF4F590">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2.1.10.4按招标人安排的值班表每周在站房值班1天，开展清洁卫生和安全检查工作；</w:t>
      </w:r>
    </w:p>
    <w:p w14:paraId="6C9EFAD3">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2.1.10.5运维期满后，配合招标人进行仪器交接，交接期间承担仪器正常运维工作（不包括质控工作；</w:t>
      </w:r>
    </w:p>
    <w:p w14:paraId="1670549E">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2.1.11投标人为实施本项目至少配置1辆专用车辆。</w:t>
      </w:r>
    </w:p>
    <w:p w14:paraId="4F26179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2.2运行维护工作目标</w:t>
      </w:r>
    </w:p>
    <w:p w14:paraId="74D0952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2.2.1设备在线率：开展运维服务期间，需确保仪器在线率不得低于90%（仪器在线率=仪器实际运行时间/仪器可运行时间）。</w:t>
      </w:r>
    </w:p>
    <w:p w14:paraId="0EB5EF5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注：仪器实际运行时间为仪器开机运行且仪器内能获取监测数据的时间；仪器可运行时间=约定的总时间-仪器停机维护时-仪器校准时间-不可抗力停机时间（如停电等）。</w:t>
      </w:r>
    </w:p>
    <w:p w14:paraId="110DEDD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2.2.2有效数据获取率：开展运维服务期间，需确保仪器有效数据获取率不得低于80%（有效数据获取率=有效监测数据量/获取监测数据量）。</w:t>
      </w:r>
    </w:p>
    <w:p w14:paraId="59DAA2A5">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bookmarkStart w:id="118" w:name="_Hlk149147302"/>
      <w:r>
        <w:rPr>
          <w:rFonts w:hint="default" w:ascii="Times New Roman" w:hAnsi="Times New Roman" w:eastAsia="宋体" w:cs="Times New Roman"/>
          <w:b/>
          <w:bCs/>
          <w:sz w:val="22"/>
          <w:szCs w:val="22"/>
          <w:highlight w:val="none"/>
        </w:rPr>
        <w:t>三、在线离子色谱运维需求</w:t>
      </w:r>
    </w:p>
    <w:bookmarkEnd w:id="118"/>
    <w:p w14:paraId="242A90B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bookmarkStart w:id="119" w:name="_Hlk149147338"/>
      <w:r>
        <w:rPr>
          <w:rFonts w:hint="default" w:ascii="Times New Roman" w:hAnsi="Times New Roman" w:eastAsia="宋体" w:cs="Times New Roman"/>
          <w:szCs w:val="21"/>
          <w:highlight w:val="none"/>
        </w:rPr>
        <w:t>3.1技术运维要求</w:t>
      </w:r>
    </w:p>
    <w:p w14:paraId="424E930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3.1.1每日例行质量控制检查：每日远程登陆仪器检查阴、阳离子柱压，采样流量，内标响应状况等仪器参数，及时填写日质控记录。</w:t>
      </w:r>
    </w:p>
    <w:p w14:paraId="7F4DF42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3.1.2每周例行质控：现场更换仪器工作所需的纯水和配制相应的试剂，依据周期更换采样单元过滤头、吸收液和淋洗液，检查进样系统是否有气泡，数据库数据检查、备份，负责对仪器工作区域进行保洁，及时填写质量控制记录。</w:t>
      </w:r>
    </w:p>
    <w:p w14:paraId="5681837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3.1.3每月预防性质量查核：清洗室外切割器，排除管路气泡，更换保护柱滤芯，对各传动部件进行相应的清理和润滑工作，保证仪器良好的状况，填写预防性维护记录。每月进行一次采样流量核查工作，确保与仪器规定的采样流量相符，如果流量误差超出5%的偏差需进行多点校准。</w:t>
      </w:r>
    </w:p>
    <w:p w14:paraId="4BB7FCF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3.1.4每季度系统性质量控制：每季度需进行一次分析单元标定及采样单元的清洗工作。</w:t>
      </w:r>
    </w:p>
    <w:p w14:paraId="503BC86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3.1.4.1每季度清洗采样总管一次，依据阴、阳离子柱状态，在需要的情况下及时更换色谱柱，对所有配制和储存溶液的容器进行除菌，及时填写相关记录；</w:t>
      </w:r>
    </w:p>
    <w:p w14:paraId="389A593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3.1.4.2每季度进行一次采样单元与样品前端收集单元清洗，每次清洗时间不得低于12小时，系统自清洗状态恢复至分析状态不得低于4小时；</w:t>
      </w:r>
    </w:p>
    <w:p w14:paraId="1902ACB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w:t>
      </w:r>
      <w:bookmarkStart w:id="120" w:name="_Hlk498518045"/>
      <w:r>
        <w:rPr>
          <w:rFonts w:hint="default" w:ascii="Times New Roman" w:hAnsi="Times New Roman" w:eastAsia="宋体" w:cs="Times New Roman"/>
          <w:szCs w:val="21"/>
          <w:highlight w:val="none"/>
        </w:rPr>
        <w:t>3根据用户需求配置不同浓度标液对分析单元进行标定并及时填写记录</w:t>
      </w:r>
      <w:bookmarkEnd w:id="120"/>
      <w:r>
        <w:rPr>
          <w:rFonts w:hint="default" w:ascii="Times New Roman" w:hAnsi="Times New Roman" w:eastAsia="宋体" w:cs="Times New Roman"/>
          <w:szCs w:val="21"/>
          <w:highlight w:val="none"/>
        </w:rPr>
        <w:t>，若系统维护与质控期间出现秸秆焚烧、沙尘、重污染等特殊天气时，上述维护和质控工作可依据用户需求进行延期；</w:t>
      </w:r>
    </w:p>
    <w:p w14:paraId="6E310C6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3.1.5每半年质量查核：每半年更换阴阳离子进样系统定量环，更换阴阳离子柱淋洗液过滤头，及时填写相关记录。</w:t>
      </w:r>
    </w:p>
    <w:p w14:paraId="2D6F353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3.1.6每年核查一次Marga的系统背景值，并根据用户需求配置不同浓度的SO2标准品，验证全系统对SO2的回收效率，并及时填写记录。</w:t>
      </w:r>
    </w:p>
    <w:p w14:paraId="6C85E6F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3.1.7每年质量评价：每年度对MARGA进行全年运行质量评价，及时填写相关记录，并编制年度质量控制报告。</w:t>
      </w:r>
    </w:p>
    <w:p w14:paraId="11391EF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3.1.8根据仪器状况及时更换仪器所需的配件，以保证仪器正常运行。</w:t>
      </w:r>
    </w:p>
    <w:p w14:paraId="1B3E496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3.1.9辅助设备保障：依据周期更换颗粒物水溶性组分质控比对分析仪的淋洗液、保护柱滤芯、阴、阳离子色谱柱等耗材，定期开展设备标定工作，保证仪器正常稳定运行。</w:t>
      </w:r>
    </w:p>
    <w:p w14:paraId="5F0099A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3.2质控要求</w:t>
      </w:r>
    </w:p>
    <w:p w14:paraId="74E2AA1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3.2.1仪器运行期间，根据用户需求每季度配置不同浓度标液对分析单元进行标定并及时填写记录。</w:t>
      </w:r>
    </w:p>
    <w:p w14:paraId="1E0A92C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3.2.2每月进行一次采样流量核查工作，如果流量误差超出5%的偏差需进行多点校准。</w:t>
      </w:r>
    </w:p>
    <w:p w14:paraId="48AC71C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3.3辅助要求</w:t>
      </w:r>
    </w:p>
    <w:p w14:paraId="26F2BE2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3.3.1配合招标人开展离线样品分析工作。</w:t>
      </w:r>
    </w:p>
    <w:p w14:paraId="719AD61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3.3.2配合招标人开展有机酸分析工作。</w:t>
      </w:r>
    </w:p>
    <w:bookmarkEnd w:id="119"/>
    <w:p w14:paraId="5E68D307">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149DC5DD">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包5：挥发性有机物监测仪运维服务</w:t>
      </w:r>
    </w:p>
    <w:p w14:paraId="7A119ABF">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一、项目概况：</w:t>
      </w:r>
    </w:p>
    <w:p w14:paraId="397E29BA">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江苏省环境监测中心于2012年购置武汉天虹TH-300B型在线有机物监测仪（以下简称在线VOC），设备于2012年9月安装、试运行，至2012年12月通过技术验收。仪器主体配置如下：预浓缩单元为enteck采样、预浓缩系统，GC/FID/MS分析单元为安捷伦科技有限公司的Agilent Technologies 7890A与Agilent Technologies 5975C型分析仪，辅助设备为Peak氢气发生器、4600型标准气体稀释仪等。该设备目前用于走航方舱执行各类走航定点监测任务。此外于2019年购置中科三清CIA Advantage-xr在线有机物监测仪（以下简称在线VOC），设备于2019年10月安装、试运行，至2020年12月通过技术验收。目前该设备运行状况良好，处于连续采样、分析状态。</w:t>
      </w:r>
    </w:p>
    <w:p w14:paraId="16FCEED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表1-1挥发性有机物监测仪运维服务项目仪器清单</w:t>
      </w:r>
    </w:p>
    <w:tbl>
      <w:tblPr>
        <w:tblStyle w:val="48"/>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733"/>
        <w:gridCol w:w="2977"/>
        <w:gridCol w:w="2305"/>
        <w:gridCol w:w="1985"/>
      </w:tblGrid>
      <w:tr w14:paraId="5ECA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shd w:val="clear" w:color="auto" w:fill="FFFFFF"/>
            <w:vAlign w:val="center"/>
          </w:tcPr>
          <w:p w14:paraId="75107B2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仪器名称</w:t>
            </w:r>
          </w:p>
        </w:tc>
        <w:tc>
          <w:tcPr>
            <w:tcW w:w="2977" w:type="dxa"/>
            <w:shd w:val="clear" w:color="auto" w:fill="FFFFFF"/>
            <w:vAlign w:val="center"/>
          </w:tcPr>
          <w:p w14:paraId="4E1557A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生产厂家（型号）</w:t>
            </w:r>
          </w:p>
        </w:tc>
        <w:tc>
          <w:tcPr>
            <w:tcW w:w="2305" w:type="dxa"/>
            <w:shd w:val="clear" w:color="auto" w:fill="FFFFFF"/>
            <w:vAlign w:val="center"/>
          </w:tcPr>
          <w:p w14:paraId="1DEC14F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分项预算</w:t>
            </w:r>
          </w:p>
          <w:p w14:paraId="0E38B06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（万元/年）</w:t>
            </w:r>
          </w:p>
        </w:tc>
        <w:tc>
          <w:tcPr>
            <w:tcW w:w="1985" w:type="dxa"/>
            <w:shd w:val="clear" w:color="auto" w:fill="FFFFFF"/>
          </w:tcPr>
          <w:p w14:paraId="18BE0FDE">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仪器存放站点</w:t>
            </w:r>
          </w:p>
        </w:tc>
      </w:tr>
      <w:tr w14:paraId="5B5E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7E06BC2F">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在线有机物监测仪</w:t>
            </w:r>
          </w:p>
        </w:tc>
        <w:tc>
          <w:tcPr>
            <w:tcW w:w="2977" w:type="dxa"/>
            <w:shd w:val="clear" w:color="auto" w:fill="FFFFFF"/>
            <w:vAlign w:val="center"/>
          </w:tcPr>
          <w:p w14:paraId="11B999C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武汉天虹（TH-300B）</w:t>
            </w:r>
          </w:p>
        </w:tc>
        <w:tc>
          <w:tcPr>
            <w:tcW w:w="2305" w:type="dxa"/>
            <w:shd w:val="clear" w:color="auto" w:fill="FFFFFF"/>
            <w:vAlign w:val="center"/>
          </w:tcPr>
          <w:p w14:paraId="474E4597">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22</w:t>
            </w:r>
          </w:p>
        </w:tc>
        <w:tc>
          <w:tcPr>
            <w:tcW w:w="1985" w:type="dxa"/>
            <w:shd w:val="clear" w:color="auto" w:fill="FFFFFF"/>
          </w:tcPr>
          <w:p w14:paraId="651CDFD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移动走航方舱</w:t>
            </w:r>
          </w:p>
        </w:tc>
      </w:tr>
      <w:tr w14:paraId="18D6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205AB58F">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在线有机物质控设备</w:t>
            </w:r>
          </w:p>
        </w:tc>
        <w:tc>
          <w:tcPr>
            <w:tcW w:w="2977" w:type="dxa"/>
            <w:shd w:val="clear" w:color="auto" w:fill="FFFFFF"/>
            <w:vAlign w:val="center"/>
          </w:tcPr>
          <w:p w14:paraId="0A55894F">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中科三清（CIA-xr）</w:t>
            </w:r>
          </w:p>
        </w:tc>
        <w:tc>
          <w:tcPr>
            <w:tcW w:w="2305" w:type="dxa"/>
            <w:shd w:val="clear" w:color="auto" w:fill="FFFFFF"/>
            <w:vAlign w:val="center"/>
          </w:tcPr>
          <w:p w14:paraId="1E88B64D">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16</w:t>
            </w:r>
          </w:p>
        </w:tc>
        <w:tc>
          <w:tcPr>
            <w:tcW w:w="1985" w:type="dxa"/>
            <w:shd w:val="clear" w:color="auto" w:fill="FFFFFF"/>
          </w:tcPr>
          <w:p w14:paraId="3606E3F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中心多参数站</w:t>
            </w:r>
          </w:p>
        </w:tc>
      </w:tr>
      <w:tr w14:paraId="16C2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9" w:hRule="atLeast"/>
          <w:jc w:val="center"/>
        </w:trPr>
        <w:tc>
          <w:tcPr>
            <w:tcW w:w="5710" w:type="dxa"/>
            <w:gridSpan w:val="2"/>
            <w:shd w:val="clear" w:color="auto" w:fill="FFFFFF"/>
            <w:vAlign w:val="center"/>
          </w:tcPr>
          <w:p w14:paraId="76A9496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合计</w:t>
            </w:r>
          </w:p>
        </w:tc>
        <w:tc>
          <w:tcPr>
            <w:tcW w:w="4290" w:type="dxa"/>
            <w:gridSpan w:val="2"/>
            <w:shd w:val="clear" w:color="auto" w:fill="FFFFFF"/>
            <w:vAlign w:val="center"/>
          </w:tcPr>
          <w:p w14:paraId="5D481617">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38</w:t>
            </w:r>
          </w:p>
        </w:tc>
      </w:tr>
    </w:tbl>
    <w:p w14:paraId="33509042">
      <w:pPr>
        <w:pageBreakBefore w:val="0"/>
        <w:kinsoku/>
        <w:wordWrap/>
        <w:overflowPunct/>
        <w:topLinePunct w:val="0"/>
        <w:bidi w:val="0"/>
        <w:spacing w:line="360" w:lineRule="auto"/>
        <w:ind w:firstLine="640"/>
        <w:outlineLvl w:val="0"/>
        <w:rPr>
          <w:rFonts w:hint="default" w:ascii="Times New Roman" w:hAnsi="Times New Roman" w:eastAsia="宋体" w:cs="Times New Roman"/>
          <w:b/>
          <w:bCs/>
          <w:sz w:val="22"/>
          <w:szCs w:val="22"/>
          <w:highlight w:val="none"/>
        </w:rPr>
      </w:pPr>
    </w:p>
    <w:p w14:paraId="7CBC57B1">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二、项目需求</w:t>
      </w:r>
    </w:p>
    <w:p w14:paraId="4574A3F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本设备运维服务项目为技术运维服务，内容包括设备运行所需的耗材、配件供应及相关维修保障等，不包含标气。其中，挥发性有机物监测仪1因使用年限较长，维修频率及维修成本较高，导致整体运维费用相应提升。此外，服务范围还包括因应挥发性有机物监测仪1赴各地执行走航监测任务所产生的差旅费用。</w:t>
      </w:r>
    </w:p>
    <w:p w14:paraId="6723477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2.1总体要求</w:t>
      </w:r>
    </w:p>
    <w:p w14:paraId="29AEABA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w:t>
      </w:r>
      <w:bookmarkStart w:id="121" w:name="_Hlk499299408"/>
      <w:r>
        <w:rPr>
          <w:rFonts w:hint="default" w:ascii="Times New Roman" w:hAnsi="Times New Roman" w:eastAsia="宋体" w:cs="Times New Roman"/>
          <w:bCs/>
          <w:szCs w:val="21"/>
          <w:highlight w:val="none"/>
        </w:rPr>
        <w:t>投标人应配备运维工作所需要的专用仪器维修工具</w:t>
      </w:r>
      <w:bookmarkEnd w:id="121"/>
      <w:r>
        <w:rPr>
          <w:rFonts w:hint="default" w:ascii="Times New Roman" w:hAnsi="Times New Roman" w:eastAsia="宋体" w:cs="Times New Roman"/>
          <w:bCs/>
          <w:szCs w:val="21"/>
          <w:highlight w:val="none"/>
        </w:rPr>
        <w:t>（包括万用表、工具箱等）、通讯调试工具（包括各种硬件接口线、改线工具、接口调试软件及常用零部件等）。</w:t>
      </w:r>
    </w:p>
    <w:p w14:paraId="07F4FE1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2.1.2</w:t>
      </w:r>
      <w:bookmarkStart w:id="122" w:name="_Hlk499299474"/>
      <w:r>
        <w:rPr>
          <w:rFonts w:hint="default" w:ascii="Times New Roman" w:hAnsi="Times New Roman" w:eastAsia="宋体" w:cs="Times New Roman"/>
          <w:szCs w:val="21"/>
          <w:highlight w:val="none"/>
        </w:rPr>
        <w:t>投标人</w:t>
      </w:r>
      <w:r>
        <w:rPr>
          <w:rFonts w:hint="default" w:ascii="Times New Roman" w:hAnsi="Times New Roman" w:eastAsia="宋体" w:cs="Times New Roman"/>
          <w:bCs/>
          <w:szCs w:val="21"/>
          <w:highlight w:val="none"/>
        </w:rPr>
        <w:t>需至少配备2名运维专业</w:t>
      </w:r>
      <w:r>
        <w:rPr>
          <w:rFonts w:hint="default" w:ascii="Times New Roman" w:hAnsi="Times New Roman" w:eastAsia="宋体" w:cs="Times New Roman"/>
          <w:szCs w:val="21"/>
          <w:highlight w:val="none"/>
        </w:rPr>
        <w:t>技术人员。</w:t>
      </w:r>
      <w:bookmarkEnd w:id="122"/>
      <w:r>
        <w:rPr>
          <w:rFonts w:hint="default" w:ascii="Times New Roman" w:hAnsi="Times New Roman" w:eastAsia="宋体" w:cs="Times New Roman"/>
          <w:szCs w:val="21"/>
          <w:highlight w:val="none"/>
        </w:rPr>
        <w:t>运维技术人员应具备良好的教育背景与专业能力。鼓励团队中配置具有硕士学历或环保类高级及以上职称的专业人员。运维技术人员须接受过所投产品生产厂家组织的专业系统培训，以确保其对设备性能、操作流程及日常维护具备充分的认知与实践能力。</w:t>
      </w:r>
      <w:r>
        <w:rPr>
          <w:rFonts w:hint="default" w:ascii="Times New Roman" w:hAnsi="Times New Roman" w:eastAsia="宋体" w:cs="Times New Roman"/>
          <w:bCs/>
          <w:szCs w:val="21"/>
          <w:highlight w:val="none"/>
        </w:rPr>
        <w:t>提供完整的运维人员管理方案，具备应对人员流动的应急预案，提出解决技术人员队伍稳定的措施。</w:t>
      </w:r>
    </w:p>
    <w:p w14:paraId="6515906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w:t>
      </w:r>
      <w:r>
        <w:rPr>
          <w:rFonts w:hint="default" w:ascii="Times New Roman" w:hAnsi="Times New Roman" w:eastAsia="宋体" w:cs="Times New Roman"/>
          <w:szCs w:val="21"/>
          <w:highlight w:val="none"/>
        </w:rPr>
        <w:t>投标人在服务区域2小时车程范围内至少设立1个运维技术支持机构，需保证仪器发生故障时2小时电话响应，4小时现场响应。</w:t>
      </w:r>
      <w:r>
        <w:rPr>
          <w:rFonts w:hint="default" w:ascii="Times New Roman" w:hAnsi="Times New Roman" w:eastAsia="宋体" w:cs="Times New Roman"/>
          <w:bCs/>
          <w:szCs w:val="21"/>
          <w:highlight w:val="none"/>
        </w:rPr>
        <w:t>应提供详细的运维管理服务方案、质量控制方案和应急服务保障方案。</w:t>
      </w:r>
    </w:p>
    <w:p w14:paraId="4F6A3A1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2.1.4在该设备代维及管理期间，投标人应严格按照招标人要求的操作规范和规章制度（详见技术运维要求部分），对所管理的系统及仪器设备进行规范操作和精心维护及必要维修，保证系统及仪器设备的正常运行，满足省环境监测中心提出的系统及仪器设备考核指标要求。</w:t>
      </w:r>
    </w:p>
    <w:p w14:paraId="4E2DD9B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2.1.5</w:t>
      </w:r>
      <w:bookmarkStart w:id="123" w:name="_Hlk499299595"/>
      <w:r>
        <w:rPr>
          <w:rFonts w:hint="default" w:ascii="Times New Roman" w:hAnsi="Times New Roman" w:eastAsia="宋体" w:cs="Times New Roman"/>
          <w:bCs/>
          <w:szCs w:val="21"/>
          <w:highlight w:val="none"/>
        </w:rPr>
        <w:t>在该设备代维及管理期间，未经允许，承担运维单位不得以直接、间接、口头或书面等形式将观测数据披露给其他人员或第三方单位，因数据泄露而造成招标人损失，招标人将通过法律途径向投标人索赔。</w:t>
      </w:r>
      <w:bookmarkEnd w:id="123"/>
    </w:p>
    <w:p w14:paraId="4E2EDC3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2.1.6按招标人要求，开展平台上数据在线审核工作。</w:t>
      </w:r>
    </w:p>
    <w:p w14:paraId="4022A37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2.1.7投标人为实施本项目至少配置1辆专用车辆。</w:t>
      </w:r>
    </w:p>
    <w:p w14:paraId="1C3B1B4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2.2运行维护工作目标</w:t>
      </w:r>
    </w:p>
    <w:p w14:paraId="456ABD3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2.2.1设备在线率：开展运维服务期间，需确保仪器在线率不得低于90%（仪器在线率=仪器实际运行时间/仪器可运行时间）。</w:t>
      </w:r>
    </w:p>
    <w:p w14:paraId="3DD0556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30004E5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2.2.2有效数据获取率：开展运维服务期间，需确保仪器有效数据获取率不得低于80%（有效数据获取率=有效监测数据量/获取监测数据量）。</w:t>
      </w:r>
    </w:p>
    <w:p w14:paraId="4F91982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2.3技术运维要求</w:t>
      </w:r>
    </w:p>
    <w:p w14:paraId="7055F14F">
      <w:pPr>
        <w:pageBreakBefore w:val="0"/>
        <w:tabs>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2.3.1每日例行质量控制检查：定期手动或自动使用外部标样验证系统的准确性，每日登陆仪器检查内外标响应，内外标和采样进气量，仪器状态，峰型状况，在仪器的运行过程中，当所需控制外标物种（详见表1）分析结果与目标标准品浓度超出允许误差范围（±20%）时，需及时使用外标法重新积分该物种监测数据；当上述误差范围超出±30%时，需重新编辑定量方法；每天观察仪器运行和数据运行情况，查看日校准数据，可根据日校准数据判断仪器是否需要重新标定，并及时更改积分参数文件，保证所有化合物积分正确，个别小时个别化合物可手动积分，及时填写日质控记录。</w:t>
      </w:r>
    </w:p>
    <w:p w14:paraId="34B44DB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2.3.2每周例行质控：对仪器所有配器及气体发生器（氢气发生器等）进行维护，对数据库数据检查、备份，检查内、外标准品压力，及时填写质量控制记录。</w:t>
      </w:r>
    </w:p>
    <w:p w14:paraId="3907A92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2.3.3每月预防性质量查核：每月对整套系统（包括样品采集、预处理及分析单元）进行预防性质量查核，对样品预处理单元及分析单元系统进行验漏，检查各辅助设备（载气压力、配气系统运行状况等）是否正常运行，解析当月质控数据，填写预防性质量查核记录。</w:t>
      </w:r>
    </w:p>
    <w:p w14:paraId="0C5E423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2.3.4每季度质量控制：每季度对GC/MS进行一次自动调谐（保证仪器灵敏度、正确的峰宽、正确的质量分配，必要时清洗离子源），同时对工作曲线重新标定（数据标定主要包括全扫描、SIM分组、7点校准（包含零点））；及时填写系统维护与质控记录（若系统维护与质控期间出现秸秆焚烧、沙尘、雾霾等重污染特殊天气，上述质控工作可依据用户需求进行延期）。</w:t>
      </w:r>
    </w:p>
    <w:p w14:paraId="4AA628F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2.3.5每半年质量查核：每半年对GCMS进行检查，及时更换氧化去除剂、管路气密性配件，及时填写相关记录。</w:t>
      </w:r>
    </w:p>
    <w:p w14:paraId="2243689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2.3.6每年质量评价：每年度对GC/MS/FID分析单元进行全年运行质量评价，对MS、FID检测器年度获取监测数据有效性进行分析与评价，评价前段样品采集及预处理单元运行质量（包括稳定性）及时填写相关记录，并编制年度质量控制报告。</w:t>
      </w:r>
    </w:p>
    <w:p w14:paraId="3910200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2.3.7数据分析与审核。按招标人要求，依据仪器性能及用户要求数据格式，定期开展数据统计上报工作。</w:t>
      </w:r>
    </w:p>
    <w:p w14:paraId="5C00B65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2.3.7.1 按招标人要求开展每日数据在线审核工作；</w:t>
      </w:r>
    </w:p>
    <w:p w14:paraId="1710A46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2.3.7.2每周一10：00前提交上一周完整监测数据报表（excel格式），报表内容包含内标响应、外标校准、经质控审核的浓度数据，数据模板由用户提供；</w:t>
      </w:r>
    </w:p>
    <w:p w14:paraId="7A67370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2.3.7.3每月第一周提交上月月度质控数据报表（excel格式）；</w:t>
      </w:r>
    </w:p>
    <w:p w14:paraId="3AF69D8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2.3.7.4每季度提交上一季度内、外标法质控结果和质控评价报表（excel格式）。</w:t>
      </w:r>
    </w:p>
    <w:p w14:paraId="2CE9594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2.3.8质控结果异常报警。发现设备质控数据异常后，2小时内远程检查监测数据质量，并告知用户异常情况，初步分析质控数据异常原因，为用户提供科学诊断仪器状态建议。</w:t>
      </w:r>
    </w:p>
    <w:p w14:paraId="22199BF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2.3.9大型活动保障。质控服务方依据用户提前通知的要求，在年度内有大型赛事、活动和重污染物天气时间段内，提供加密质控保障工作。</w:t>
      </w:r>
    </w:p>
    <w:p w14:paraId="1E4723C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2.4质控要求</w:t>
      </w:r>
    </w:p>
    <w:p w14:paraId="58ACCD1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2.4.1仪器运行期间，每天零点自动进入一定浓度PAMS标准品，用于考核前一日监测数据有效性，若相对误差在±30%以内，且内标响应均在允许误差范围内，视前一日数据有效。</w:t>
      </w:r>
    </w:p>
    <w:p w14:paraId="274E999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2.4.2每月依据控制目标物种配置2ppb标准品，使用手工进样方式，进行外标核查，并手工积分标准品浓度，计算相对误差。</w:t>
      </w:r>
    </w:p>
    <w:p w14:paraId="4826562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2.4.3每半年重新统计、计算各目标化合物的检出限与不确定度。</w:t>
      </w:r>
    </w:p>
    <w:p w14:paraId="7C84380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2.5运维记录与报告</w:t>
      </w:r>
    </w:p>
    <w:p w14:paraId="4EAD797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2.5.1依据仪器特性及上述运维要求，编制相应运维、质控记录表单。</w:t>
      </w:r>
    </w:p>
    <w:p w14:paraId="313A966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2.5.2依据技术运维要求，每月提交相应技术运维记录。</w:t>
      </w:r>
    </w:p>
    <w:p w14:paraId="33EEECA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2.5.3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4DDC27F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2.5.4依据运维总结报告制作汇报材料（PPT）向招标人进行总结性汇报。</w:t>
      </w:r>
    </w:p>
    <w:p w14:paraId="3428C65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2.6辅助服务要求</w:t>
      </w:r>
    </w:p>
    <w:p w14:paraId="1A59082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2.6.1每次运维工作完成后对工作区域进行清洁整理。</w:t>
      </w:r>
    </w:p>
    <w:p w14:paraId="19060A3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2.6.2按招标人安排的值班表每周在站房值班1天，开展卫生清洁和安全检查工作。</w:t>
      </w:r>
    </w:p>
    <w:p w14:paraId="5687EE7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2.6.3仪器发生故障时，配合招标人开展仪器维修相关工作。</w:t>
      </w:r>
    </w:p>
    <w:p w14:paraId="215FA98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2.6.4定期配合招标人开展仪器配件、耗材库存清点工作，制定采购规划。</w:t>
      </w:r>
    </w:p>
    <w:p w14:paraId="4B9EE1A0">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2.6.5运维期满后，配合招标人进行仪器交接，交接期间承担仪器正常运维工作（不包括质控工作）。</w:t>
      </w:r>
    </w:p>
    <w:p w14:paraId="2A0277B9">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2.6.6 协助招标人完成该设备在其它平台如方舱等的安装、调试、质控工作。</w:t>
      </w:r>
    </w:p>
    <w:p w14:paraId="7F1B136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表2-1  外标法（每日连续校准CC）所需控制物种清单</w:t>
      </w:r>
    </w:p>
    <w:tbl>
      <w:tblPr>
        <w:tblStyle w:val="48"/>
        <w:tblW w:w="4711" w:type="pct"/>
        <w:jc w:val="center"/>
        <w:tblLayout w:type="autofit"/>
        <w:tblCellMar>
          <w:top w:w="0" w:type="dxa"/>
          <w:left w:w="108" w:type="dxa"/>
          <w:bottom w:w="0" w:type="dxa"/>
          <w:right w:w="108" w:type="dxa"/>
        </w:tblCellMar>
      </w:tblPr>
      <w:tblGrid>
        <w:gridCol w:w="883"/>
        <w:gridCol w:w="2983"/>
        <w:gridCol w:w="1194"/>
        <w:gridCol w:w="2964"/>
      </w:tblGrid>
      <w:tr w14:paraId="117E6ED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AE110F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序号</w:t>
            </w:r>
          </w:p>
        </w:tc>
        <w:tc>
          <w:tcPr>
            <w:tcW w:w="1858" w:type="pct"/>
            <w:tcBorders>
              <w:top w:val="single" w:color="000000" w:sz="4" w:space="0"/>
              <w:left w:val="single" w:color="000000" w:sz="4" w:space="0"/>
              <w:bottom w:val="single" w:color="000000" w:sz="4" w:space="0"/>
              <w:right w:val="single" w:color="000000" w:sz="4" w:space="0"/>
            </w:tcBorders>
            <w:vAlign w:val="center"/>
          </w:tcPr>
          <w:p w14:paraId="2F219D3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中文名</w:t>
            </w:r>
          </w:p>
        </w:tc>
        <w:tc>
          <w:tcPr>
            <w:tcW w:w="744" w:type="pct"/>
            <w:tcBorders>
              <w:top w:val="single" w:color="000000" w:sz="4" w:space="0"/>
              <w:left w:val="single" w:color="000000" w:sz="4" w:space="0"/>
              <w:bottom w:val="single" w:color="000000" w:sz="4" w:space="0"/>
              <w:right w:val="single" w:color="000000" w:sz="4" w:space="0"/>
            </w:tcBorders>
            <w:vAlign w:val="center"/>
          </w:tcPr>
          <w:p w14:paraId="596834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序号</w:t>
            </w:r>
          </w:p>
        </w:tc>
        <w:tc>
          <w:tcPr>
            <w:tcW w:w="1846" w:type="pct"/>
            <w:tcBorders>
              <w:top w:val="single" w:color="000000" w:sz="4" w:space="0"/>
              <w:left w:val="single" w:color="000000" w:sz="4" w:space="0"/>
              <w:bottom w:val="single" w:color="000000" w:sz="4" w:space="0"/>
              <w:right w:val="single" w:color="000000" w:sz="4" w:space="0"/>
            </w:tcBorders>
            <w:vAlign w:val="center"/>
          </w:tcPr>
          <w:p w14:paraId="66D2252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中文名</w:t>
            </w:r>
          </w:p>
        </w:tc>
      </w:tr>
      <w:tr w14:paraId="595C075E">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426D69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p>
        </w:tc>
        <w:tc>
          <w:tcPr>
            <w:tcW w:w="1858" w:type="pct"/>
            <w:tcBorders>
              <w:top w:val="single" w:color="000000" w:sz="4" w:space="0"/>
              <w:left w:val="single" w:color="000000" w:sz="4" w:space="0"/>
              <w:bottom w:val="single" w:color="000000" w:sz="4" w:space="0"/>
              <w:right w:val="single" w:color="000000" w:sz="4" w:space="0"/>
            </w:tcBorders>
            <w:vAlign w:val="center"/>
          </w:tcPr>
          <w:p w14:paraId="27CC5DA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302901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29</w:t>
            </w:r>
          </w:p>
        </w:tc>
        <w:tc>
          <w:tcPr>
            <w:tcW w:w="1846" w:type="pct"/>
            <w:tcBorders>
              <w:top w:val="single" w:color="000000" w:sz="4" w:space="0"/>
              <w:left w:val="single" w:color="000000" w:sz="4" w:space="0"/>
              <w:bottom w:val="single" w:color="000000" w:sz="4" w:space="0"/>
              <w:right w:val="single" w:color="000000" w:sz="4" w:space="0"/>
            </w:tcBorders>
            <w:vAlign w:val="center"/>
          </w:tcPr>
          <w:p w14:paraId="724B834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w:t>
            </w:r>
            <w:r>
              <w:rPr>
                <w:rStyle w:val="249"/>
                <w:rFonts w:hint="default" w:ascii="Times New Roman" w:hAnsi="Times New Roman" w:eastAsia="宋体" w:cs="Times New Roman"/>
                <w:color w:val="auto"/>
                <w:sz w:val="21"/>
                <w:szCs w:val="21"/>
                <w:highlight w:val="none"/>
                <w:lang w:bidi="ar"/>
              </w:rPr>
              <w:t>二甲基戊烷</w:t>
            </w:r>
          </w:p>
        </w:tc>
      </w:tr>
      <w:tr w14:paraId="0F28D87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A73DDA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p>
        </w:tc>
        <w:tc>
          <w:tcPr>
            <w:tcW w:w="1858" w:type="pct"/>
            <w:tcBorders>
              <w:top w:val="single" w:color="000000" w:sz="4" w:space="0"/>
              <w:left w:val="single" w:color="000000" w:sz="4" w:space="0"/>
              <w:bottom w:val="single" w:color="000000" w:sz="4" w:space="0"/>
              <w:right w:val="single" w:color="000000" w:sz="4" w:space="0"/>
            </w:tcBorders>
            <w:vAlign w:val="center"/>
          </w:tcPr>
          <w:p w14:paraId="4A1FC5E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545B2FC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30</w:t>
            </w:r>
          </w:p>
        </w:tc>
        <w:tc>
          <w:tcPr>
            <w:tcW w:w="1846" w:type="pct"/>
            <w:tcBorders>
              <w:top w:val="single" w:color="000000" w:sz="4" w:space="0"/>
              <w:left w:val="single" w:color="000000" w:sz="4" w:space="0"/>
              <w:bottom w:val="single" w:color="000000" w:sz="4" w:space="0"/>
              <w:right w:val="single" w:color="000000" w:sz="4" w:space="0"/>
            </w:tcBorders>
            <w:vAlign w:val="center"/>
          </w:tcPr>
          <w:p w14:paraId="0538984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r>
              <w:rPr>
                <w:rStyle w:val="249"/>
                <w:rFonts w:hint="default" w:ascii="Times New Roman" w:hAnsi="Times New Roman" w:eastAsia="宋体" w:cs="Times New Roman"/>
                <w:color w:val="auto"/>
                <w:sz w:val="21"/>
                <w:szCs w:val="21"/>
                <w:highlight w:val="none"/>
                <w:lang w:bidi="ar"/>
              </w:rPr>
              <w:t>甲基己烷</w:t>
            </w:r>
          </w:p>
        </w:tc>
      </w:tr>
      <w:tr w14:paraId="2A2CAB53">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1A8776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p>
        </w:tc>
        <w:tc>
          <w:tcPr>
            <w:tcW w:w="1858" w:type="pct"/>
            <w:tcBorders>
              <w:top w:val="single" w:color="000000" w:sz="4" w:space="0"/>
              <w:left w:val="single" w:color="000000" w:sz="4" w:space="0"/>
              <w:bottom w:val="single" w:color="000000" w:sz="4" w:space="0"/>
              <w:right w:val="single" w:color="000000" w:sz="4" w:space="0"/>
            </w:tcBorders>
            <w:vAlign w:val="center"/>
          </w:tcPr>
          <w:p w14:paraId="2D53324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A2874A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31</w:t>
            </w:r>
          </w:p>
        </w:tc>
        <w:tc>
          <w:tcPr>
            <w:tcW w:w="1846" w:type="pct"/>
            <w:tcBorders>
              <w:top w:val="single" w:color="000000" w:sz="4" w:space="0"/>
              <w:left w:val="single" w:color="000000" w:sz="4" w:space="0"/>
              <w:bottom w:val="single" w:color="000000" w:sz="4" w:space="0"/>
              <w:right w:val="single" w:color="000000" w:sz="4" w:space="0"/>
            </w:tcBorders>
            <w:vAlign w:val="center"/>
          </w:tcPr>
          <w:p w14:paraId="528190B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2,2,4-</w:t>
            </w:r>
            <w:r>
              <w:rPr>
                <w:rStyle w:val="249"/>
                <w:rFonts w:hint="default" w:ascii="Times New Roman" w:hAnsi="Times New Roman" w:eastAsia="宋体" w:cs="Times New Roman"/>
                <w:color w:val="auto"/>
                <w:sz w:val="21"/>
                <w:szCs w:val="21"/>
                <w:highlight w:val="none"/>
                <w:lang w:bidi="ar"/>
              </w:rPr>
              <w:t>三甲基戊烷</w:t>
            </w:r>
          </w:p>
        </w:tc>
      </w:tr>
      <w:tr w14:paraId="0B73D35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E65D16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w:t>
            </w:r>
          </w:p>
        </w:tc>
        <w:tc>
          <w:tcPr>
            <w:tcW w:w="1858" w:type="pct"/>
            <w:tcBorders>
              <w:top w:val="single" w:color="000000" w:sz="4" w:space="0"/>
              <w:left w:val="single" w:color="000000" w:sz="4" w:space="0"/>
              <w:bottom w:val="single" w:color="000000" w:sz="4" w:space="0"/>
              <w:right w:val="single" w:color="000000" w:sz="4" w:space="0"/>
            </w:tcBorders>
            <w:vAlign w:val="center"/>
          </w:tcPr>
          <w:p w14:paraId="0372397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5E069B4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32</w:t>
            </w:r>
          </w:p>
        </w:tc>
        <w:tc>
          <w:tcPr>
            <w:tcW w:w="1846" w:type="pct"/>
            <w:tcBorders>
              <w:top w:val="single" w:color="000000" w:sz="4" w:space="0"/>
              <w:left w:val="single" w:color="000000" w:sz="4" w:space="0"/>
              <w:bottom w:val="single" w:color="000000" w:sz="4" w:space="0"/>
              <w:right w:val="single" w:color="000000" w:sz="4" w:space="0"/>
            </w:tcBorders>
            <w:vAlign w:val="center"/>
          </w:tcPr>
          <w:p w14:paraId="08AF7E8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正庚烷</w:t>
            </w:r>
          </w:p>
        </w:tc>
      </w:tr>
      <w:tr w14:paraId="0D3D05E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95FE25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w:t>
            </w:r>
          </w:p>
        </w:tc>
        <w:tc>
          <w:tcPr>
            <w:tcW w:w="1858" w:type="pct"/>
            <w:tcBorders>
              <w:top w:val="single" w:color="000000" w:sz="4" w:space="0"/>
              <w:left w:val="single" w:color="000000" w:sz="4" w:space="0"/>
              <w:bottom w:val="single" w:color="000000" w:sz="4" w:space="0"/>
              <w:right w:val="single" w:color="000000" w:sz="4" w:space="0"/>
            </w:tcBorders>
            <w:vAlign w:val="center"/>
          </w:tcPr>
          <w:p w14:paraId="38D0814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EBE1CF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33</w:t>
            </w:r>
          </w:p>
        </w:tc>
        <w:tc>
          <w:tcPr>
            <w:tcW w:w="1846" w:type="pct"/>
            <w:tcBorders>
              <w:top w:val="single" w:color="000000" w:sz="4" w:space="0"/>
              <w:left w:val="single" w:color="000000" w:sz="4" w:space="0"/>
              <w:bottom w:val="single" w:color="000000" w:sz="4" w:space="0"/>
              <w:right w:val="single" w:color="000000" w:sz="4" w:space="0"/>
            </w:tcBorders>
            <w:vAlign w:val="center"/>
          </w:tcPr>
          <w:p w14:paraId="27DBD69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甲基环己烷</w:t>
            </w:r>
          </w:p>
        </w:tc>
      </w:tr>
      <w:tr w14:paraId="7883E18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00D595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w:t>
            </w:r>
          </w:p>
        </w:tc>
        <w:tc>
          <w:tcPr>
            <w:tcW w:w="1858" w:type="pct"/>
            <w:tcBorders>
              <w:top w:val="single" w:color="000000" w:sz="4" w:space="0"/>
              <w:left w:val="single" w:color="000000" w:sz="4" w:space="0"/>
              <w:bottom w:val="single" w:color="000000" w:sz="4" w:space="0"/>
              <w:right w:val="single" w:color="000000" w:sz="4" w:space="0"/>
            </w:tcBorders>
            <w:vAlign w:val="center"/>
          </w:tcPr>
          <w:p w14:paraId="02247D6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D39725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34</w:t>
            </w:r>
          </w:p>
        </w:tc>
        <w:tc>
          <w:tcPr>
            <w:tcW w:w="1846" w:type="pct"/>
            <w:tcBorders>
              <w:top w:val="single" w:color="000000" w:sz="4" w:space="0"/>
              <w:left w:val="single" w:color="000000" w:sz="4" w:space="0"/>
              <w:bottom w:val="single" w:color="000000" w:sz="4" w:space="0"/>
              <w:right w:val="single" w:color="000000" w:sz="4" w:space="0"/>
            </w:tcBorders>
            <w:vAlign w:val="center"/>
          </w:tcPr>
          <w:p w14:paraId="7DE31B2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2,3,4-</w:t>
            </w:r>
            <w:r>
              <w:rPr>
                <w:rStyle w:val="249"/>
                <w:rFonts w:hint="default" w:ascii="Times New Roman" w:hAnsi="Times New Roman" w:eastAsia="宋体" w:cs="Times New Roman"/>
                <w:color w:val="auto"/>
                <w:sz w:val="21"/>
                <w:szCs w:val="21"/>
                <w:highlight w:val="none"/>
                <w:lang w:bidi="ar"/>
              </w:rPr>
              <w:t>三甲基戊烷</w:t>
            </w:r>
          </w:p>
        </w:tc>
      </w:tr>
      <w:tr w14:paraId="4DFB9DD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F50EB3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w:t>
            </w:r>
          </w:p>
        </w:tc>
        <w:tc>
          <w:tcPr>
            <w:tcW w:w="1858" w:type="pct"/>
            <w:tcBorders>
              <w:top w:val="single" w:color="000000" w:sz="4" w:space="0"/>
              <w:left w:val="single" w:color="000000" w:sz="4" w:space="0"/>
              <w:bottom w:val="single" w:color="000000" w:sz="4" w:space="0"/>
              <w:right w:val="single" w:color="000000" w:sz="4" w:space="0"/>
            </w:tcBorders>
            <w:vAlign w:val="center"/>
          </w:tcPr>
          <w:p w14:paraId="45B9266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乙炔</w:t>
            </w:r>
          </w:p>
        </w:tc>
        <w:tc>
          <w:tcPr>
            <w:tcW w:w="744" w:type="pct"/>
            <w:tcBorders>
              <w:top w:val="single" w:color="000000" w:sz="4" w:space="0"/>
              <w:left w:val="single" w:color="000000" w:sz="4" w:space="0"/>
              <w:bottom w:val="single" w:color="000000" w:sz="4" w:space="0"/>
              <w:right w:val="single" w:color="000000" w:sz="4" w:space="0"/>
            </w:tcBorders>
            <w:vAlign w:val="center"/>
          </w:tcPr>
          <w:p w14:paraId="6751994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35</w:t>
            </w:r>
          </w:p>
        </w:tc>
        <w:tc>
          <w:tcPr>
            <w:tcW w:w="1846" w:type="pct"/>
            <w:tcBorders>
              <w:top w:val="single" w:color="000000" w:sz="4" w:space="0"/>
              <w:left w:val="single" w:color="000000" w:sz="4" w:space="0"/>
              <w:bottom w:val="single" w:color="000000" w:sz="4" w:space="0"/>
              <w:right w:val="single" w:color="000000" w:sz="4" w:space="0"/>
            </w:tcBorders>
            <w:vAlign w:val="center"/>
          </w:tcPr>
          <w:p w14:paraId="62A99CD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甲苯</w:t>
            </w:r>
          </w:p>
        </w:tc>
      </w:tr>
      <w:tr w14:paraId="2DD1D2D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E5D17C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w:t>
            </w:r>
          </w:p>
        </w:tc>
        <w:tc>
          <w:tcPr>
            <w:tcW w:w="1858" w:type="pct"/>
            <w:tcBorders>
              <w:top w:val="single" w:color="000000" w:sz="4" w:space="0"/>
              <w:left w:val="single" w:color="000000" w:sz="4" w:space="0"/>
              <w:bottom w:val="single" w:color="000000" w:sz="4" w:space="0"/>
              <w:right w:val="single" w:color="000000" w:sz="4" w:space="0"/>
            </w:tcBorders>
            <w:vAlign w:val="center"/>
          </w:tcPr>
          <w:p w14:paraId="761E92E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反-2-</w:t>
            </w:r>
            <w:r>
              <w:rPr>
                <w:rStyle w:val="249"/>
                <w:rFonts w:hint="default" w:ascii="Times New Roman" w:hAnsi="Times New Roman" w:eastAsia="宋体" w:cs="Times New Roman"/>
                <w:color w:val="auto"/>
                <w:sz w:val="21"/>
                <w:szCs w:val="21"/>
                <w:highlight w:val="none"/>
                <w:lang w:bidi="ar"/>
              </w:rPr>
              <w:t>丁烯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B1DB09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36</w:t>
            </w:r>
          </w:p>
        </w:tc>
        <w:tc>
          <w:tcPr>
            <w:tcW w:w="1846" w:type="pct"/>
            <w:tcBorders>
              <w:top w:val="single" w:color="000000" w:sz="4" w:space="0"/>
              <w:left w:val="single" w:color="000000" w:sz="4" w:space="0"/>
              <w:bottom w:val="single" w:color="000000" w:sz="4" w:space="0"/>
              <w:right w:val="single" w:color="000000" w:sz="4" w:space="0"/>
            </w:tcBorders>
            <w:vAlign w:val="center"/>
          </w:tcPr>
          <w:p w14:paraId="7A4C2BA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甲基庚烷</w:t>
            </w:r>
          </w:p>
        </w:tc>
      </w:tr>
      <w:tr w14:paraId="4852A59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03F6E3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w:t>
            </w:r>
          </w:p>
        </w:tc>
        <w:tc>
          <w:tcPr>
            <w:tcW w:w="1858" w:type="pct"/>
            <w:tcBorders>
              <w:top w:val="single" w:color="000000" w:sz="4" w:space="0"/>
              <w:left w:val="single" w:color="000000" w:sz="4" w:space="0"/>
              <w:bottom w:val="single" w:color="000000" w:sz="4" w:space="0"/>
              <w:right w:val="single" w:color="000000" w:sz="4" w:space="0"/>
            </w:tcBorders>
            <w:vAlign w:val="center"/>
          </w:tcPr>
          <w:p w14:paraId="049418C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丁烯</w:t>
            </w:r>
          </w:p>
        </w:tc>
        <w:tc>
          <w:tcPr>
            <w:tcW w:w="744" w:type="pct"/>
            <w:tcBorders>
              <w:top w:val="single" w:color="000000" w:sz="4" w:space="0"/>
              <w:left w:val="single" w:color="000000" w:sz="4" w:space="0"/>
              <w:bottom w:val="single" w:color="000000" w:sz="4" w:space="0"/>
              <w:right w:val="single" w:color="000000" w:sz="4" w:space="0"/>
            </w:tcBorders>
            <w:vAlign w:val="center"/>
          </w:tcPr>
          <w:p w14:paraId="41F0584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37</w:t>
            </w:r>
          </w:p>
        </w:tc>
        <w:tc>
          <w:tcPr>
            <w:tcW w:w="1846" w:type="pct"/>
            <w:tcBorders>
              <w:top w:val="single" w:color="000000" w:sz="4" w:space="0"/>
              <w:left w:val="single" w:color="000000" w:sz="4" w:space="0"/>
              <w:bottom w:val="single" w:color="000000" w:sz="4" w:space="0"/>
              <w:right w:val="single" w:color="000000" w:sz="4" w:space="0"/>
            </w:tcBorders>
            <w:vAlign w:val="center"/>
          </w:tcPr>
          <w:p w14:paraId="7B114C6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r>
              <w:rPr>
                <w:rStyle w:val="249"/>
                <w:rFonts w:hint="default" w:ascii="Times New Roman" w:hAnsi="Times New Roman" w:eastAsia="宋体" w:cs="Times New Roman"/>
                <w:color w:val="auto"/>
                <w:sz w:val="21"/>
                <w:szCs w:val="21"/>
                <w:highlight w:val="none"/>
                <w:lang w:bidi="ar"/>
              </w:rPr>
              <w:t>甲基庚烷</w:t>
            </w:r>
          </w:p>
        </w:tc>
      </w:tr>
      <w:tr w14:paraId="7CBAA96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0E0653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w:t>
            </w:r>
          </w:p>
        </w:tc>
        <w:tc>
          <w:tcPr>
            <w:tcW w:w="1858" w:type="pct"/>
            <w:tcBorders>
              <w:top w:val="single" w:color="000000" w:sz="4" w:space="0"/>
              <w:left w:val="single" w:color="000000" w:sz="4" w:space="0"/>
              <w:bottom w:val="single" w:color="000000" w:sz="4" w:space="0"/>
              <w:right w:val="single" w:color="000000" w:sz="4" w:space="0"/>
            </w:tcBorders>
            <w:vAlign w:val="center"/>
          </w:tcPr>
          <w:p w14:paraId="0469232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顺-2-</w:t>
            </w:r>
            <w:r>
              <w:rPr>
                <w:rStyle w:val="249"/>
                <w:rFonts w:hint="default" w:ascii="Times New Roman" w:hAnsi="Times New Roman" w:eastAsia="宋体" w:cs="Times New Roman"/>
                <w:color w:val="auto"/>
                <w:sz w:val="21"/>
                <w:szCs w:val="21"/>
                <w:highlight w:val="none"/>
                <w:lang w:bidi="ar"/>
              </w:rPr>
              <w:t>丁烯</w:t>
            </w:r>
          </w:p>
        </w:tc>
        <w:tc>
          <w:tcPr>
            <w:tcW w:w="744" w:type="pct"/>
            <w:tcBorders>
              <w:top w:val="single" w:color="000000" w:sz="4" w:space="0"/>
              <w:left w:val="single" w:color="000000" w:sz="4" w:space="0"/>
              <w:bottom w:val="single" w:color="000000" w:sz="4" w:space="0"/>
              <w:right w:val="single" w:color="000000" w:sz="4" w:space="0"/>
            </w:tcBorders>
            <w:vAlign w:val="center"/>
          </w:tcPr>
          <w:p w14:paraId="3244417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38</w:t>
            </w:r>
          </w:p>
        </w:tc>
        <w:tc>
          <w:tcPr>
            <w:tcW w:w="1846" w:type="pct"/>
            <w:tcBorders>
              <w:top w:val="single" w:color="000000" w:sz="4" w:space="0"/>
              <w:left w:val="single" w:color="000000" w:sz="4" w:space="0"/>
              <w:bottom w:val="single" w:color="000000" w:sz="4" w:space="0"/>
              <w:right w:val="single" w:color="000000" w:sz="4" w:space="0"/>
            </w:tcBorders>
            <w:vAlign w:val="center"/>
          </w:tcPr>
          <w:p w14:paraId="38775CC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正辛烷</w:t>
            </w:r>
          </w:p>
        </w:tc>
      </w:tr>
      <w:tr w14:paraId="26208D7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3833F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w:t>
            </w:r>
          </w:p>
        </w:tc>
        <w:tc>
          <w:tcPr>
            <w:tcW w:w="1858" w:type="pct"/>
            <w:tcBorders>
              <w:top w:val="single" w:color="000000" w:sz="4" w:space="0"/>
              <w:left w:val="single" w:color="000000" w:sz="4" w:space="0"/>
              <w:bottom w:val="single" w:color="000000" w:sz="4" w:space="0"/>
              <w:right w:val="single" w:color="000000" w:sz="4" w:space="0"/>
            </w:tcBorders>
            <w:vAlign w:val="center"/>
          </w:tcPr>
          <w:p w14:paraId="0E2D662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环戊烷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BF5129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39</w:t>
            </w:r>
          </w:p>
        </w:tc>
        <w:tc>
          <w:tcPr>
            <w:tcW w:w="1846" w:type="pct"/>
            <w:tcBorders>
              <w:top w:val="single" w:color="000000" w:sz="4" w:space="0"/>
              <w:left w:val="single" w:color="000000" w:sz="4" w:space="0"/>
              <w:bottom w:val="single" w:color="000000" w:sz="4" w:space="0"/>
              <w:right w:val="single" w:color="000000" w:sz="4" w:space="0"/>
            </w:tcBorders>
            <w:vAlign w:val="center"/>
          </w:tcPr>
          <w:p w14:paraId="5C2433D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乙苯</w:t>
            </w:r>
          </w:p>
        </w:tc>
      </w:tr>
      <w:tr w14:paraId="5D903A89">
        <w:tblPrEx>
          <w:tblCellMar>
            <w:top w:w="0" w:type="dxa"/>
            <w:left w:w="108" w:type="dxa"/>
            <w:bottom w:w="0" w:type="dxa"/>
            <w:right w:w="108" w:type="dxa"/>
          </w:tblCellMar>
        </w:tblPrEx>
        <w:trPr>
          <w:trHeight w:val="362"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vAlign w:val="center"/>
          </w:tcPr>
          <w:p w14:paraId="6B6660A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p>
        </w:tc>
        <w:tc>
          <w:tcPr>
            <w:tcW w:w="1858" w:type="pct"/>
            <w:vMerge w:val="restart"/>
            <w:tcBorders>
              <w:top w:val="single" w:color="000000" w:sz="4" w:space="0"/>
              <w:left w:val="single" w:color="000000" w:sz="4" w:space="0"/>
              <w:bottom w:val="single" w:color="000000" w:sz="4" w:space="0"/>
              <w:right w:val="single" w:color="000000" w:sz="4" w:space="0"/>
            </w:tcBorders>
            <w:vAlign w:val="center"/>
          </w:tcPr>
          <w:p w14:paraId="21987B0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异戊烷</w:t>
            </w:r>
          </w:p>
        </w:tc>
        <w:tc>
          <w:tcPr>
            <w:tcW w:w="744" w:type="pct"/>
            <w:vMerge w:val="restart"/>
            <w:tcBorders>
              <w:top w:val="single" w:color="000000" w:sz="4" w:space="0"/>
              <w:left w:val="single" w:color="000000" w:sz="4" w:space="0"/>
              <w:bottom w:val="single" w:color="000000" w:sz="4" w:space="0"/>
              <w:right w:val="single" w:color="000000" w:sz="4" w:space="0"/>
            </w:tcBorders>
            <w:vAlign w:val="center"/>
          </w:tcPr>
          <w:p w14:paraId="6FF33D5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40/41</w:t>
            </w:r>
          </w:p>
        </w:tc>
        <w:tc>
          <w:tcPr>
            <w:tcW w:w="1846" w:type="pct"/>
            <w:vMerge w:val="restart"/>
            <w:tcBorders>
              <w:top w:val="single" w:color="000000" w:sz="4" w:space="0"/>
              <w:left w:val="single" w:color="000000" w:sz="4" w:space="0"/>
              <w:bottom w:val="single" w:color="000000" w:sz="4" w:space="0"/>
              <w:right w:val="single" w:color="000000" w:sz="4" w:space="0"/>
            </w:tcBorders>
            <w:vAlign w:val="center"/>
          </w:tcPr>
          <w:p w14:paraId="63E99D8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间、对-</w:t>
            </w:r>
            <w:r>
              <w:rPr>
                <w:rStyle w:val="249"/>
                <w:rFonts w:hint="default" w:ascii="Times New Roman" w:hAnsi="Times New Roman" w:eastAsia="宋体" w:cs="Times New Roman"/>
                <w:color w:val="auto"/>
                <w:sz w:val="21"/>
                <w:szCs w:val="21"/>
                <w:highlight w:val="none"/>
                <w:lang w:bidi="ar"/>
              </w:rPr>
              <w:t>二甲苯</w:t>
            </w:r>
          </w:p>
        </w:tc>
      </w:tr>
      <w:tr w14:paraId="6FACDC03">
        <w:tblPrEx>
          <w:tblCellMar>
            <w:top w:w="0" w:type="dxa"/>
            <w:left w:w="108" w:type="dxa"/>
            <w:bottom w:w="0" w:type="dxa"/>
            <w:right w:w="108" w:type="dxa"/>
          </w:tblCellMar>
        </w:tblPrEx>
        <w:trPr>
          <w:trHeight w:val="362"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vAlign w:val="center"/>
          </w:tcPr>
          <w:p w14:paraId="2B880C0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858" w:type="pct"/>
            <w:vMerge w:val="continue"/>
            <w:tcBorders>
              <w:top w:val="single" w:color="000000" w:sz="4" w:space="0"/>
              <w:left w:val="single" w:color="000000" w:sz="4" w:space="0"/>
              <w:bottom w:val="single" w:color="000000" w:sz="4" w:space="0"/>
              <w:right w:val="single" w:color="000000" w:sz="4" w:space="0"/>
            </w:tcBorders>
            <w:vAlign w:val="center"/>
          </w:tcPr>
          <w:p w14:paraId="49EFA0F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vAlign w:val="center"/>
          </w:tcPr>
          <w:p w14:paraId="570A15B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846" w:type="pct"/>
            <w:vMerge w:val="continue"/>
            <w:tcBorders>
              <w:top w:val="single" w:color="000000" w:sz="4" w:space="0"/>
              <w:left w:val="single" w:color="000000" w:sz="4" w:space="0"/>
              <w:bottom w:val="single" w:color="000000" w:sz="4" w:space="0"/>
              <w:right w:val="single" w:color="000000" w:sz="4" w:space="0"/>
            </w:tcBorders>
            <w:vAlign w:val="center"/>
          </w:tcPr>
          <w:p w14:paraId="32D40FB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33B876C5">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3D7001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13</w:t>
            </w:r>
          </w:p>
        </w:tc>
        <w:tc>
          <w:tcPr>
            <w:tcW w:w="1858" w:type="pct"/>
            <w:tcBorders>
              <w:top w:val="single" w:color="000000" w:sz="4" w:space="0"/>
              <w:left w:val="single" w:color="000000" w:sz="4" w:space="0"/>
              <w:bottom w:val="single" w:color="000000" w:sz="4" w:space="0"/>
              <w:right w:val="single" w:color="000000" w:sz="4" w:space="0"/>
            </w:tcBorders>
            <w:vAlign w:val="center"/>
          </w:tcPr>
          <w:p w14:paraId="65E7B89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CB6E3C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42</w:t>
            </w:r>
          </w:p>
        </w:tc>
        <w:tc>
          <w:tcPr>
            <w:tcW w:w="1846" w:type="pct"/>
            <w:tcBorders>
              <w:top w:val="single" w:color="000000" w:sz="4" w:space="0"/>
              <w:left w:val="single" w:color="000000" w:sz="4" w:space="0"/>
              <w:bottom w:val="single" w:color="000000" w:sz="4" w:space="0"/>
              <w:right w:val="single" w:color="000000" w:sz="4" w:space="0"/>
            </w:tcBorders>
            <w:vAlign w:val="center"/>
          </w:tcPr>
          <w:p w14:paraId="6909A36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苯乙烯</w:t>
            </w:r>
          </w:p>
        </w:tc>
      </w:tr>
      <w:tr w14:paraId="3CF68CA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C8626E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14</w:t>
            </w:r>
          </w:p>
        </w:tc>
        <w:tc>
          <w:tcPr>
            <w:tcW w:w="1858" w:type="pct"/>
            <w:tcBorders>
              <w:top w:val="single" w:color="000000" w:sz="4" w:space="0"/>
              <w:left w:val="single" w:color="000000" w:sz="4" w:space="0"/>
              <w:bottom w:val="single" w:color="000000" w:sz="4" w:space="0"/>
              <w:right w:val="single" w:color="000000" w:sz="4" w:space="0"/>
            </w:tcBorders>
            <w:vAlign w:val="center"/>
          </w:tcPr>
          <w:p w14:paraId="1BE6D45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反-2-</w:t>
            </w:r>
            <w:r>
              <w:rPr>
                <w:rStyle w:val="249"/>
                <w:rFonts w:hint="default" w:ascii="Times New Roman" w:hAnsi="Times New Roman" w:eastAsia="宋体" w:cs="Times New Roman"/>
                <w:color w:val="auto"/>
                <w:sz w:val="21"/>
                <w:szCs w:val="21"/>
                <w:highlight w:val="none"/>
                <w:lang w:bidi="ar"/>
              </w:rPr>
              <w:t>戊烯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36F697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43</w:t>
            </w:r>
          </w:p>
        </w:tc>
        <w:tc>
          <w:tcPr>
            <w:tcW w:w="1846" w:type="pct"/>
            <w:tcBorders>
              <w:top w:val="single" w:color="000000" w:sz="4" w:space="0"/>
              <w:left w:val="single" w:color="000000" w:sz="4" w:space="0"/>
              <w:bottom w:val="single" w:color="000000" w:sz="4" w:space="0"/>
              <w:right w:val="single" w:color="000000" w:sz="4" w:space="0"/>
            </w:tcBorders>
            <w:vAlign w:val="center"/>
          </w:tcPr>
          <w:p w14:paraId="3E5A4C5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邻-</w:t>
            </w:r>
            <w:r>
              <w:rPr>
                <w:rStyle w:val="249"/>
                <w:rFonts w:hint="default" w:ascii="Times New Roman" w:hAnsi="Times New Roman" w:eastAsia="宋体" w:cs="Times New Roman"/>
                <w:color w:val="auto"/>
                <w:sz w:val="21"/>
                <w:szCs w:val="21"/>
                <w:highlight w:val="none"/>
                <w:lang w:bidi="ar"/>
              </w:rPr>
              <w:t>二甲苯</w:t>
            </w:r>
          </w:p>
        </w:tc>
      </w:tr>
      <w:tr w14:paraId="61A3F8B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4EBF33A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15</w:t>
            </w:r>
          </w:p>
        </w:tc>
        <w:tc>
          <w:tcPr>
            <w:tcW w:w="1858" w:type="pct"/>
            <w:tcBorders>
              <w:top w:val="single" w:color="000000" w:sz="4" w:space="0"/>
              <w:left w:val="single" w:color="000000" w:sz="4" w:space="0"/>
              <w:bottom w:val="single" w:color="000000" w:sz="4" w:space="0"/>
              <w:right w:val="single" w:color="000000" w:sz="4" w:space="0"/>
            </w:tcBorders>
            <w:vAlign w:val="center"/>
          </w:tcPr>
          <w:p w14:paraId="0502934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戊烯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F12120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44</w:t>
            </w:r>
          </w:p>
        </w:tc>
        <w:tc>
          <w:tcPr>
            <w:tcW w:w="1846" w:type="pct"/>
            <w:tcBorders>
              <w:top w:val="single" w:color="000000" w:sz="4" w:space="0"/>
              <w:left w:val="single" w:color="000000" w:sz="4" w:space="0"/>
              <w:bottom w:val="single" w:color="000000" w:sz="4" w:space="0"/>
              <w:right w:val="single" w:color="000000" w:sz="4" w:space="0"/>
            </w:tcBorders>
            <w:vAlign w:val="center"/>
          </w:tcPr>
          <w:p w14:paraId="210D88E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正壬烷</w:t>
            </w:r>
          </w:p>
        </w:tc>
      </w:tr>
      <w:tr w14:paraId="2BCFFAE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69F6C1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16</w:t>
            </w:r>
          </w:p>
        </w:tc>
        <w:tc>
          <w:tcPr>
            <w:tcW w:w="1858" w:type="pct"/>
            <w:tcBorders>
              <w:top w:val="single" w:color="000000" w:sz="4" w:space="0"/>
              <w:left w:val="single" w:color="000000" w:sz="4" w:space="0"/>
              <w:bottom w:val="single" w:color="000000" w:sz="4" w:space="0"/>
              <w:right w:val="single" w:color="000000" w:sz="4" w:space="0"/>
            </w:tcBorders>
            <w:vAlign w:val="center"/>
          </w:tcPr>
          <w:p w14:paraId="504F22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顺-2-</w:t>
            </w:r>
            <w:r>
              <w:rPr>
                <w:rStyle w:val="249"/>
                <w:rFonts w:hint="default" w:ascii="Times New Roman" w:hAnsi="Times New Roman" w:eastAsia="宋体" w:cs="Times New Roman"/>
                <w:color w:val="auto"/>
                <w:sz w:val="21"/>
                <w:szCs w:val="21"/>
                <w:highlight w:val="none"/>
                <w:lang w:bidi="ar"/>
              </w:rPr>
              <w:t>戊烯</w:t>
            </w:r>
          </w:p>
        </w:tc>
        <w:tc>
          <w:tcPr>
            <w:tcW w:w="744" w:type="pct"/>
            <w:tcBorders>
              <w:top w:val="single" w:color="000000" w:sz="4" w:space="0"/>
              <w:left w:val="single" w:color="000000" w:sz="4" w:space="0"/>
              <w:bottom w:val="single" w:color="000000" w:sz="4" w:space="0"/>
              <w:right w:val="single" w:color="000000" w:sz="4" w:space="0"/>
            </w:tcBorders>
            <w:vAlign w:val="center"/>
          </w:tcPr>
          <w:p w14:paraId="3E68125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45</w:t>
            </w:r>
          </w:p>
        </w:tc>
        <w:tc>
          <w:tcPr>
            <w:tcW w:w="1846" w:type="pct"/>
            <w:tcBorders>
              <w:top w:val="single" w:color="000000" w:sz="4" w:space="0"/>
              <w:left w:val="single" w:color="000000" w:sz="4" w:space="0"/>
              <w:bottom w:val="single" w:color="000000" w:sz="4" w:space="0"/>
              <w:right w:val="single" w:color="000000" w:sz="4" w:space="0"/>
            </w:tcBorders>
            <w:vAlign w:val="center"/>
          </w:tcPr>
          <w:p w14:paraId="0547BB7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异丙苯</w:t>
            </w:r>
          </w:p>
        </w:tc>
      </w:tr>
      <w:tr w14:paraId="24DA605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D754D4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17</w:t>
            </w:r>
          </w:p>
        </w:tc>
        <w:tc>
          <w:tcPr>
            <w:tcW w:w="1858" w:type="pct"/>
            <w:tcBorders>
              <w:top w:val="single" w:color="000000" w:sz="4" w:space="0"/>
              <w:left w:val="single" w:color="000000" w:sz="4" w:space="0"/>
              <w:bottom w:val="single" w:color="000000" w:sz="4" w:space="0"/>
              <w:right w:val="single" w:color="000000" w:sz="4" w:space="0"/>
            </w:tcBorders>
            <w:vAlign w:val="center"/>
          </w:tcPr>
          <w:p w14:paraId="73E494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2,2-</w:t>
            </w:r>
            <w:r>
              <w:rPr>
                <w:rStyle w:val="249"/>
                <w:rFonts w:hint="default" w:ascii="Times New Roman" w:hAnsi="Times New Roman" w:eastAsia="宋体" w:cs="Times New Roman"/>
                <w:color w:val="auto"/>
                <w:sz w:val="21"/>
                <w:szCs w:val="21"/>
                <w:highlight w:val="none"/>
                <w:lang w:bidi="ar"/>
              </w:rPr>
              <w:t>二甲基丁烷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4C6BA9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46</w:t>
            </w:r>
          </w:p>
        </w:tc>
        <w:tc>
          <w:tcPr>
            <w:tcW w:w="1846" w:type="pct"/>
            <w:tcBorders>
              <w:top w:val="single" w:color="000000" w:sz="4" w:space="0"/>
              <w:left w:val="single" w:color="000000" w:sz="4" w:space="0"/>
              <w:bottom w:val="single" w:color="000000" w:sz="4" w:space="0"/>
              <w:right w:val="single" w:color="000000" w:sz="4" w:space="0"/>
            </w:tcBorders>
            <w:vAlign w:val="center"/>
          </w:tcPr>
          <w:p w14:paraId="7F9F8A2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正丙苯</w:t>
            </w:r>
          </w:p>
        </w:tc>
      </w:tr>
      <w:tr w14:paraId="7477603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F155F3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18</w:t>
            </w:r>
          </w:p>
        </w:tc>
        <w:tc>
          <w:tcPr>
            <w:tcW w:w="1858" w:type="pct"/>
            <w:tcBorders>
              <w:top w:val="single" w:color="000000" w:sz="4" w:space="0"/>
              <w:left w:val="single" w:color="000000" w:sz="4" w:space="0"/>
              <w:bottom w:val="single" w:color="000000" w:sz="4" w:space="0"/>
              <w:right w:val="single" w:color="000000" w:sz="4" w:space="0"/>
            </w:tcBorders>
            <w:vAlign w:val="center"/>
          </w:tcPr>
          <w:p w14:paraId="63E5488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w:t>
            </w:r>
            <w:r>
              <w:rPr>
                <w:rStyle w:val="249"/>
                <w:rFonts w:hint="default" w:ascii="Times New Roman" w:hAnsi="Times New Roman" w:eastAsia="宋体" w:cs="Times New Roman"/>
                <w:color w:val="auto"/>
                <w:sz w:val="21"/>
                <w:szCs w:val="21"/>
                <w:highlight w:val="none"/>
                <w:lang w:bidi="ar"/>
              </w:rPr>
              <w:t>二甲基丁烷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48700F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47</w:t>
            </w:r>
          </w:p>
        </w:tc>
        <w:tc>
          <w:tcPr>
            <w:tcW w:w="1846" w:type="pct"/>
            <w:tcBorders>
              <w:top w:val="single" w:color="000000" w:sz="4" w:space="0"/>
              <w:left w:val="single" w:color="000000" w:sz="4" w:space="0"/>
              <w:bottom w:val="single" w:color="000000" w:sz="4" w:space="0"/>
              <w:right w:val="single" w:color="000000" w:sz="4" w:space="0"/>
            </w:tcBorders>
            <w:vAlign w:val="center"/>
          </w:tcPr>
          <w:p w14:paraId="164248D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间乙基甲苯</w:t>
            </w:r>
          </w:p>
        </w:tc>
      </w:tr>
      <w:tr w14:paraId="3A354C15">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4F3927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19</w:t>
            </w:r>
          </w:p>
        </w:tc>
        <w:tc>
          <w:tcPr>
            <w:tcW w:w="1858" w:type="pct"/>
            <w:tcBorders>
              <w:top w:val="single" w:color="000000" w:sz="4" w:space="0"/>
              <w:left w:val="single" w:color="000000" w:sz="4" w:space="0"/>
              <w:bottom w:val="single" w:color="000000" w:sz="4" w:space="0"/>
              <w:right w:val="single" w:color="000000" w:sz="4" w:space="0"/>
            </w:tcBorders>
            <w:vAlign w:val="center"/>
          </w:tcPr>
          <w:p w14:paraId="6D0C6F0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甲基戊烷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FB381D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48</w:t>
            </w:r>
          </w:p>
        </w:tc>
        <w:tc>
          <w:tcPr>
            <w:tcW w:w="1846" w:type="pct"/>
            <w:tcBorders>
              <w:top w:val="single" w:color="000000" w:sz="4" w:space="0"/>
              <w:left w:val="single" w:color="000000" w:sz="4" w:space="0"/>
              <w:bottom w:val="single" w:color="000000" w:sz="4" w:space="0"/>
              <w:right w:val="single" w:color="000000" w:sz="4" w:space="0"/>
            </w:tcBorders>
            <w:vAlign w:val="center"/>
          </w:tcPr>
          <w:p w14:paraId="53F5793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对乙基甲苯</w:t>
            </w:r>
          </w:p>
        </w:tc>
      </w:tr>
      <w:tr w14:paraId="04273412">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250237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20</w:t>
            </w:r>
          </w:p>
        </w:tc>
        <w:tc>
          <w:tcPr>
            <w:tcW w:w="1858" w:type="pct"/>
            <w:tcBorders>
              <w:top w:val="single" w:color="000000" w:sz="4" w:space="0"/>
              <w:left w:val="single" w:color="000000" w:sz="4" w:space="0"/>
              <w:bottom w:val="single" w:color="000000" w:sz="4" w:space="0"/>
              <w:right w:val="single" w:color="000000" w:sz="4" w:space="0"/>
            </w:tcBorders>
            <w:vAlign w:val="center"/>
          </w:tcPr>
          <w:p w14:paraId="50127D8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r>
              <w:rPr>
                <w:rStyle w:val="249"/>
                <w:rFonts w:hint="default" w:ascii="Times New Roman" w:hAnsi="Times New Roman" w:eastAsia="宋体" w:cs="Times New Roman"/>
                <w:color w:val="auto"/>
                <w:sz w:val="21"/>
                <w:szCs w:val="21"/>
                <w:highlight w:val="none"/>
                <w:lang w:bidi="ar"/>
              </w:rPr>
              <w:t>甲基戊烷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0EC7CD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49</w:t>
            </w:r>
          </w:p>
        </w:tc>
        <w:tc>
          <w:tcPr>
            <w:tcW w:w="1846" w:type="pct"/>
            <w:tcBorders>
              <w:top w:val="single" w:color="000000" w:sz="4" w:space="0"/>
              <w:left w:val="single" w:color="000000" w:sz="4" w:space="0"/>
              <w:bottom w:val="single" w:color="000000" w:sz="4" w:space="0"/>
              <w:right w:val="single" w:color="000000" w:sz="4" w:space="0"/>
            </w:tcBorders>
            <w:vAlign w:val="center"/>
          </w:tcPr>
          <w:p w14:paraId="493EE21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1,3,5-</w:t>
            </w:r>
            <w:r>
              <w:rPr>
                <w:rStyle w:val="249"/>
                <w:rFonts w:hint="default" w:ascii="Times New Roman" w:hAnsi="Times New Roman" w:eastAsia="宋体" w:cs="Times New Roman"/>
                <w:color w:val="auto"/>
                <w:sz w:val="21"/>
                <w:szCs w:val="21"/>
                <w:highlight w:val="none"/>
                <w:lang w:bidi="ar"/>
              </w:rPr>
              <w:t>三甲基苯</w:t>
            </w:r>
          </w:p>
        </w:tc>
      </w:tr>
      <w:tr w14:paraId="6B3DC20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D0B243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21</w:t>
            </w:r>
          </w:p>
        </w:tc>
        <w:tc>
          <w:tcPr>
            <w:tcW w:w="1858" w:type="pct"/>
            <w:tcBorders>
              <w:top w:val="single" w:color="000000" w:sz="4" w:space="0"/>
              <w:left w:val="single" w:color="000000" w:sz="4" w:space="0"/>
              <w:bottom w:val="single" w:color="000000" w:sz="4" w:space="0"/>
              <w:right w:val="single" w:color="000000" w:sz="4" w:space="0"/>
            </w:tcBorders>
            <w:vAlign w:val="center"/>
          </w:tcPr>
          <w:p w14:paraId="55B6906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异戊二烯</w:t>
            </w:r>
          </w:p>
        </w:tc>
        <w:tc>
          <w:tcPr>
            <w:tcW w:w="744" w:type="pct"/>
            <w:tcBorders>
              <w:top w:val="single" w:color="000000" w:sz="4" w:space="0"/>
              <w:left w:val="single" w:color="000000" w:sz="4" w:space="0"/>
              <w:bottom w:val="single" w:color="000000" w:sz="4" w:space="0"/>
              <w:right w:val="single" w:color="000000" w:sz="4" w:space="0"/>
            </w:tcBorders>
            <w:vAlign w:val="center"/>
          </w:tcPr>
          <w:p w14:paraId="2882AF5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50</w:t>
            </w:r>
          </w:p>
        </w:tc>
        <w:tc>
          <w:tcPr>
            <w:tcW w:w="1846" w:type="pct"/>
            <w:tcBorders>
              <w:top w:val="single" w:color="000000" w:sz="4" w:space="0"/>
              <w:left w:val="single" w:color="000000" w:sz="4" w:space="0"/>
              <w:bottom w:val="single" w:color="000000" w:sz="4" w:space="0"/>
              <w:right w:val="single" w:color="000000" w:sz="4" w:space="0"/>
            </w:tcBorders>
            <w:vAlign w:val="center"/>
          </w:tcPr>
          <w:p w14:paraId="5B0AAC0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 4-</w:t>
            </w:r>
            <w:r>
              <w:rPr>
                <w:rStyle w:val="249"/>
                <w:rFonts w:hint="default" w:ascii="Times New Roman" w:hAnsi="Times New Roman" w:eastAsia="宋体" w:cs="Times New Roman"/>
                <w:color w:val="auto"/>
                <w:sz w:val="21"/>
                <w:szCs w:val="21"/>
                <w:highlight w:val="none"/>
                <w:lang w:bidi="ar"/>
              </w:rPr>
              <w:t>三甲基苯</w:t>
            </w:r>
          </w:p>
        </w:tc>
      </w:tr>
      <w:tr w14:paraId="151AA66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96D221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22</w:t>
            </w:r>
          </w:p>
        </w:tc>
        <w:tc>
          <w:tcPr>
            <w:tcW w:w="1858" w:type="pct"/>
            <w:tcBorders>
              <w:top w:val="single" w:color="000000" w:sz="4" w:space="0"/>
              <w:left w:val="single" w:color="000000" w:sz="4" w:space="0"/>
              <w:bottom w:val="single" w:color="000000" w:sz="4" w:space="0"/>
              <w:right w:val="single" w:color="000000" w:sz="4" w:space="0"/>
            </w:tcBorders>
            <w:vAlign w:val="center"/>
          </w:tcPr>
          <w:p w14:paraId="0EB5FAA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正己烷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FE6A0C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51</w:t>
            </w:r>
          </w:p>
        </w:tc>
        <w:tc>
          <w:tcPr>
            <w:tcW w:w="1846" w:type="pct"/>
            <w:tcBorders>
              <w:top w:val="single" w:color="000000" w:sz="4" w:space="0"/>
              <w:left w:val="single" w:color="000000" w:sz="4" w:space="0"/>
              <w:bottom w:val="single" w:color="000000" w:sz="4" w:space="0"/>
              <w:right w:val="single" w:color="000000" w:sz="4" w:space="0"/>
            </w:tcBorders>
            <w:vAlign w:val="center"/>
          </w:tcPr>
          <w:p w14:paraId="66C7401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1,2,3-</w:t>
            </w:r>
            <w:r>
              <w:rPr>
                <w:rStyle w:val="249"/>
                <w:rFonts w:hint="default" w:ascii="Times New Roman" w:hAnsi="Times New Roman" w:eastAsia="宋体" w:cs="Times New Roman"/>
                <w:color w:val="auto"/>
                <w:sz w:val="21"/>
                <w:szCs w:val="21"/>
                <w:highlight w:val="none"/>
                <w:lang w:bidi="ar"/>
              </w:rPr>
              <w:t>三甲基苯</w:t>
            </w:r>
          </w:p>
        </w:tc>
      </w:tr>
      <w:tr w14:paraId="43F2814A">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678771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w:t>
            </w:r>
          </w:p>
        </w:tc>
        <w:tc>
          <w:tcPr>
            <w:tcW w:w="1858" w:type="pct"/>
            <w:tcBorders>
              <w:top w:val="single" w:color="000000" w:sz="4" w:space="0"/>
              <w:left w:val="single" w:color="000000" w:sz="4" w:space="0"/>
              <w:bottom w:val="single" w:color="000000" w:sz="4" w:space="0"/>
              <w:right w:val="single" w:color="000000" w:sz="4" w:space="0"/>
            </w:tcBorders>
            <w:vAlign w:val="center"/>
          </w:tcPr>
          <w:p w14:paraId="68B1CBA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己烯</w:t>
            </w:r>
          </w:p>
        </w:tc>
        <w:tc>
          <w:tcPr>
            <w:tcW w:w="744" w:type="pct"/>
            <w:tcBorders>
              <w:top w:val="single" w:color="000000" w:sz="4" w:space="0"/>
              <w:left w:val="single" w:color="000000" w:sz="4" w:space="0"/>
              <w:bottom w:val="single" w:color="000000" w:sz="4" w:space="0"/>
              <w:right w:val="single" w:color="000000" w:sz="4" w:space="0"/>
            </w:tcBorders>
            <w:vAlign w:val="center"/>
          </w:tcPr>
          <w:p w14:paraId="1957701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52</w:t>
            </w:r>
          </w:p>
        </w:tc>
        <w:tc>
          <w:tcPr>
            <w:tcW w:w="1846" w:type="pct"/>
            <w:tcBorders>
              <w:top w:val="single" w:color="000000" w:sz="4" w:space="0"/>
              <w:left w:val="single" w:color="000000" w:sz="4" w:space="0"/>
              <w:bottom w:val="single" w:color="000000" w:sz="4" w:space="0"/>
              <w:right w:val="single" w:color="000000" w:sz="4" w:space="0"/>
            </w:tcBorders>
            <w:vAlign w:val="center"/>
          </w:tcPr>
          <w:p w14:paraId="29B6C5A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邻乙基甲苯</w:t>
            </w:r>
          </w:p>
        </w:tc>
      </w:tr>
      <w:tr w14:paraId="58B7542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4F341A6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24</w:t>
            </w:r>
          </w:p>
        </w:tc>
        <w:tc>
          <w:tcPr>
            <w:tcW w:w="1858" w:type="pct"/>
            <w:tcBorders>
              <w:top w:val="single" w:color="000000" w:sz="4" w:space="0"/>
              <w:left w:val="single" w:color="000000" w:sz="4" w:space="0"/>
              <w:bottom w:val="single" w:color="000000" w:sz="4" w:space="0"/>
              <w:right w:val="single" w:color="000000" w:sz="4" w:space="0"/>
            </w:tcBorders>
            <w:vAlign w:val="center"/>
          </w:tcPr>
          <w:p w14:paraId="3D02598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甲基环戊烷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086369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53</w:t>
            </w:r>
          </w:p>
        </w:tc>
        <w:tc>
          <w:tcPr>
            <w:tcW w:w="1846" w:type="pct"/>
            <w:tcBorders>
              <w:top w:val="single" w:color="000000" w:sz="4" w:space="0"/>
              <w:left w:val="single" w:color="000000" w:sz="4" w:space="0"/>
              <w:bottom w:val="single" w:color="000000" w:sz="4" w:space="0"/>
              <w:right w:val="single" w:color="000000" w:sz="4" w:space="0"/>
            </w:tcBorders>
            <w:vAlign w:val="center"/>
          </w:tcPr>
          <w:p w14:paraId="2E5780A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正癸烷</w:t>
            </w:r>
          </w:p>
        </w:tc>
      </w:tr>
      <w:tr w14:paraId="4217B08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B2192C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25</w:t>
            </w:r>
          </w:p>
        </w:tc>
        <w:tc>
          <w:tcPr>
            <w:tcW w:w="1858" w:type="pct"/>
            <w:tcBorders>
              <w:top w:val="single" w:color="000000" w:sz="4" w:space="0"/>
              <w:left w:val="single" w:color="000000" w:sz="4" w:space="0"/>
              <w:bottom w:val="single" w:color="000000" w:sz="4" w:space="0"/>
              <w:right w:val="single" w:color="000000" w:sz="4" w:space="0"/>
            </w:tcBorders>
            <w:vAlign w:val="center"/>
          </w:tcPr>
          <w:p w14:paraId="03A926C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2,4-</w:t>
            </w:r>
            <w:r>
              <w:rPr>
                <w:rStyle w:val="249"/>
                <w:rFonts w:hint="default" w:ascii="Times New Roman" w:hAnsi="Times New Roman" w:eastAsia="宋体" w:cs="Times New Roman"/>
                <w:color w:val="auto"/>
                <w:sz w:val="21"/>
                <w:szCs w:val="21"/>
                <w:highlight w:val="none"/>
                <w:lang w:bidi="ar"/>
              </w:rPr>
              <w:t>二甲基戊烷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AF509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54</w:t>
            </w:r>
          </w:p>
        </w:tc>
        <w:tc>
          <w:tcPr>
            <w:tcW w:w="1846" w:type="pct"/>
            <w:tcBorders>
              <w:top w:val="single" w:color="000000" w:sz="4" w:space="0"/>
              <w:left w:val="single" w:color="000000" w:sz="4" w:space="0"/>
              <w:bottom w:val="single" w:color="000000" w:sz="4" w:space="0"/>
              <w:right w:val="single" w:color="000000" w:sz="4" w:space="0"/>
            </w:tcBorders>
            <w:vAlign w:val="center"/>
          </w:tcPr>
          <w:p w14:paraId="1B7A95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间二乙基苯</w:t>
            </w:r>
          </w:p>
        </w:tc>
      </w:tr>
      <w:tr w14:paraId="3209D19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6474EF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26</w:t>
            </w:r>
          </w:p>
        </w:tc>
        <w:tc>
          <w:tcPr>
            <w:tcW w:w="1858" w:type="pct"/>
            <w:tcBorders>
              <w:top w:val="single" w:color="000000" w:sz="4" w:space="0"/>
              <w:left w:val="single" w:color="000000" w:sz="4" w:space="0"/>
              <w:bottom w:val="single" w:color="000000" w:sz="4" w:space="0"/>
              <w:right w:val="single" w:color="000000" w:sz="4" w:space="0"/>
            </w:tcBorders>
            <w:vAlign w:val="center"/>
          </w:tcPr>
          <w:p w14:paraId="438C478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苯</w:t>
            </w:r>
          </w:p>
        </w:tc>
        <w:tc>
          <w:tcPr>
            <w:tcW w:w="744" w:type="pct"/>
            <w:tcBorders>
              <w:top w:val="single" w:color="000000" w:sz="4" w:space="0"/>
              <w:left w:val="single" w:color="000000" w:sz="4" w:space="0"/>
              <w:bottom w:val="single" w:color="000000" w:sz="4" w:space="0"/>
              <w:right w:val="single" w:color="000000" w:sz="4" w:space="0"/>
            </w:tcBorders>
            <w:vAlign w:val="center"/>
          </w:tcPr>
          <w:p w14:paraId="3FCC876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55</w:t>
            </w:r>
          </w:p>
        </w:tc>
        <w:tc>
          <w:tcPr>
            <w:tcW w:w="1846" w:type="pct"/>
            <w:tcBorders>
              <w:top w:val="single" w:color="000000" w:sz="4" w:space="0"/>
              <w:left w:val="single" w:color="000000" w:sz="4" w:space="0"/>
              <w:bottom w:val="single" w:color="000000" w:sz="4" w:space="0"/>
              <w:right w:val="single" w:color="000000" w:sz="4" w:space="0"/>
            </w:tcBorders>
            <w:vAlign w:val="center"/>
          </w:tcPr>
          <w:p w14:paraId="3B9B176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对二乙基苯</w:t>
            </w:r>
          </w:p>
        </w:tc>
      </w:tr>
      <w:tr w14:paraId="77B738A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4A20289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27</w:t>
            </w:r>
          </w:p>
        </w:tc>
        <w:tc>
          <w:tcPr>
            <w:tcW w:w="1858" w:type="pct"/>
            <w:tcBorders>
              <w:top w:val="single" w:color="000000" w:sz="4" w:space="0"/>
              <w:left w:val="single" w:color="000000" w:sz="4" w:space="0"/>
              <w:bottom w:val="single" w:color="000000" w:sz="4" w:space="0"/>
              <w:right w:val="single" w:color="000000" w:sz="4" w:space="0"/>
            </w:tcBorders>
            <w:vAlign w:val="center"/>
          </w:tcPr>
          <w:p w14:paraId="5B24B6C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环己烷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C6CEFA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56</w:t>
            </w:r>
          </w:p>
        </w:tc>
        <w:tc>
          <w:tcPr>
            <w:tcW w:w="1846" w:type="pct"/>
            <w:tcBorders>
              <w:top w:val="single" w:color="000000" w:sz="4" w:space="0"/>
              <w:left w:val="single" w:color="000000" w:sz="4" w:space="0"/>
              <w:bottom w:val="single" w:color="000000" w:sz="4" w:space="0"/>
              <w:right w:val="single" w:color="000000" w:sz="4" w:space="0"/>
            </w:tcBorders>
            <w:vAlign w:val="center"/>
          </w:tcPr>
          <w:p w14:paraId="4056692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正十一烷</w:t>
            </w:r>
          </w:p>
        </w:tc>
      </w:tr>
      <w:tr w14:paraId="20EFB24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30E85D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28</w:t>
            </w:r>
          </w:p>
        </w:tc>
        <w:tc>
          <w:tcPr>
            <w:tcW w:w="1858" w:type="pct"/>
            <w:tcBorders>
              <w:top w:val="single" w:color="000000" w:sz="4" w:space="0"/>
              <w:left w:val="single" w:color="000000" w:sz="4" w:space="0"/>
              <w:bottom w:val="single" w:color="000000" w:sz="4" w:space="0"/>
              <w:right w:val="single" w:color="000000" w:sz="4" w:space="0"/>
            </w:tcBorders>
            <w:vAlign w:val="center"/>
          </w:tcPr>
          <w:p w14:paraId="38D21B3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甲基己烷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AD5F12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57</w:t>
            </w:r>
          </w:p>
        </w:tc>
        <w:tc>
          <w:tcPr>
            <w:tcW w:w="1846" w:type="pct"/>
            <w:tcBorders>
              <w:top w:val="single" w:color="000000" w:sz="4" w:space="0"/>
              <w:left w:val="single" w:color="000000" w:sz="4" w:space="0"/>
              <w:bottom w:val="single" w:color="000000" w:sz="4" w:space="0"/>
              <w:right w:val="single" w:color="000000" w:sz="4" w:space="0"/>
            </w:tcBorders>
            <w:vAlign w:val="center"/>
          </w:tcPr>
          <w:p w14:paraId="5353515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正十二烷</w:t>
            </w:r>
          </w:p>
        </w:tc>
      </w:tr>
      <w:tr w14:paraId="1E1E29A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9D7E2C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58</w:t>
            </w:r>
          </w:p>
        </w:tc>
        <w:tc>
          <w:tcPr>
            <w:tcW w:w="1858" w:type="pct"/>
            <w:tcBorders>
              <w:top w:val="single" w:color="000000" w:sz="4" w:space="0"/>
              <w:left w:val="single" w:color="000000" w:sz="4" w:space="0"/>
              <w:bottom w:val="single" w:color="000000" w:sz="4" w:space="0"/>
              <w:right w:val="single" w:color="000000" w:sz="4" w:space="0"/>
            </w:tcBorders>
            <w:vAlign w:val="center"/>
          </w:tcPr>
          <w:p w14:paraId="5667141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甲醛</w:t>
            </w:r>
          </w:p>
        </w:tc>
        <w:tc>
          <w:tcPr>
            <w:tcW w:w="744" w:type="pct"/>
            <w:tcBorders>
              <w:top w:val="single" w:color="000000" w:sz="4" w:space="0"/>
              <w:left w:val="single" w:color="000000" w:sz="4" w:space="0"/>
              <w:bottom w:val="single" w:color="000000" w:sz="4" w:space="0"/>
              <w:right w:val="single" w:color="000000" w:sz="4" w:space="0"/>
            </w:tcBorders>
            <w:vAlign w:val="center"/>
          </w:tcPr>
          <w:p w14:paraId="27E7F4B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65</w:t>
            </w:r>
          </w:p>
        </w:tc>
        <w:tc>
          <w:tcPr>
            <w:tcW w:w="1846" w:type="pct"/>
            <w:tcBorders>
              <w:top w:val="single" w:color="000000" w:sz="4" w:space="0"/>
              <w:left w:val="single" w:color="000000" w:sz="4" w:space="0"/>
              <w:bottom w:val="single" w:color="000000" w:sz="4" w:space="0"/>
              <w:right w:val="single" w:color="000000" w:sz="4" w:space="0"/>
            </w:tcBorders>
            <w:vAlign w:val="center"/>
          </w:tcPr>
          <w:p w14:paraId="447EFB2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2 -丁酮</w:t>
            </w:r>
          </w:p>
        </w:tc>
      </w:tr>
      <w:tr w14:paraId="11B7239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90C55A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59</w:t>
            </w:r>
          </w:p>
        </w:tc>
        <w:tc>
          <w:tcPr>
            <w:tcW w:w="1858" w:type="pct"/>
            <w:tcBorders>
              <w:top w:val="single" w:color="000000" w:sz="4" w:space="0"/>
              <w:left w:val="single" w:color="000000" w:sz="4" w:space="0"/>
              <w:bottom w:val="single" w:color="000000" w:sz="4" w:space="0"/>
              <w:right w:val="single" w:color="000000" w:sz="4" w:space="0"/>
            </w:tcBorders>
            <w:vAlign w:val="center"/>
          </w:tcPr>
          <w:p w14:paraId="3A31C38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乙醛</w:t>
            </w:r>
          </w:p>
        </w:tc>
        <w:tc>
          <w:tcPr>
            <w:tcW w:w="744" w:type="pct"/>
            <w:tcBorders>
              <w:top w:val="single" w:color="000000" w:sz="4" w:space="0"/>
              <w:left w:val="single" w:color="000000" w:sz="4" w:space="0"/>
              <w:bottom w:val="single" w:color="000000" w:sz="4" w:space="0"/>
              <w:right w:val="single" w:color="000000" w:sz="4" w:space="0"/>
            </w:tcBorders>
            <w:vAlign w:val="center"/>
          </w:tcPr>
          <w:p w14:paraId="02B1CA5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66</w:t>
            </w:r>
          </w:p>
        </w:tc>
        <w:tc>
          <w:tcPr>
            <w:tcW w:w="1846" w:type="pct"/>
            <w:tcBorders>
              <w:top w:val="single" w:color="000000" w:sz="4" w:space="0"/>
              <w:left w:val="single" w:color="000000" w:sz="4" w:space="0"/>
              <w:bottom w:val="single" w:color="000000" w:sz="4" w:space="0"/>
              <w:right w:val="single" w:color="000000" w:sz="4" w:space="0"/>
            </w:tcBorders>
            <w:vAlign w:val="center"/>
          </w:tcPr>
          <w:p w14:paraId="612088D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正丁醛</w:t>
            </w:r>
          </w:p>
        </w:tc>
      </w:tr>
      <w:tr w14:paraId="0C760AE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87B709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60</w:t>
            </w:r>
          </w:p>
        </w:tc>
        <w:tc>
          <w:tcPr>
            <w:tcW w:w="1858" w:type="pct"/>
            <w:tcBorders>
              <w:top w:val="single" w:color="000000" w:sz="4" w:space="0"/>
              <w:left w:val="single" w:color="000000" w:sz="4" w:space="0"/>
              <w:bottom w:val="single" w:color="000000" w:sz="4" w:space="0"/>
              <w:right w:val="single" w:color="000000" w:sz="4" w:space="0"/>
            </w:tcBorders>
            <w:vAlign w:val="center"/>
          </w:tcPr>
          <w:p w14:paraId="0EFB129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丙烯醛</w:t>
            </w:r>
          </w:p>
        </w:tc>
        <w:tc>
          <w:tcPr>
            <w:tcW w:w="744" w:type="pct"/>
            <w:tcBorders>
              <w:top w:val="single" w:color="000000" w:sz="4" w:space="0"/>
              <w:left w:val="single" w:color="000000" w:sz="4" w:space="0"/>
              <w:bottom w:val="single" w:color="000000" w:sz="4" w:space="0"/>
              <w:right w:val="single" w:color="000000" w:sz="4" w:space="0"/>
            </w:tcBorders>
            <w:vAlign w:val="center"/>
          </w:tcPr>
          <w:p w14:paraId="4FC819D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67</w:t>
            </w:r>
          </w:p>
        </w:tc>
        <w:tc>
          <w:tcPr>
            <w:tcW w:w="1846" w:type="pct"/>
            <w:tcBorders>
              <w:top w:val="single" w:color="000000" w:sz="4" w:space="0"/>
              <w:left w:val="single" w:color="000000" w:sz="4" w:space="0"/>
              <w:bottom w:val="single" w:color="000000" w:sz="4" w:space="0"/>
              <w:right w:val="single" w:color="000000" w:sz="4" w:space="0"/>
            </w:tcBorders>
            <w:vAlign w:val="center"/>
          </w:tcPr>
          <w:p w14:paraId="1E252C5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苯甲醛</w:t>
            </w:r>
          </w:p>
        </w:tc>
      </w:tr>
      <w:tr w14:paraId="106A3CB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2D18EB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61</w:t>
            </w:r>
          </w:p>
        </w:tc>
        <w:tc>
          <w:tcPr>
            <w:tcW w:w="1858" w:type="pct"/>
            <w:tcBorders>
              <w:top w:val="single" w:color="000000" w:sz="4" w:space="0"/>
              <w:left w:val="single" w:color="000000" w:sz="4" w:space="0"/>
              <w:bottom w:val="single" w:color="000000" w:sz="4" w:space="0"/>
              <w:right w:val="single" w:color="000000" w:sz="4" w:space="0"/>
            </w:tcBorders>
            <w:vAlign w:val="center"/>
          </w:tcPr>
          <w:p w14:paraId="7E5DED8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丙酮</w:t>
            </w:r>
          </w:p>
        </w:tc>
        <w:tc>
          <w:tcPr>
            <w:tcW w:w="744" w:type="pct"/>
            <w:tcBorders>
              <w:top w:val="single" w:color="000000" w:sz="4" w:space="0"/>
              <w:left w:val="single" w:color="000000" w:sz="4" w:space="0"/>
              <w:bottom w:val="single" w:color="000000" w:sz="4" w:space="0"/>
              <w:right w:val="single" w:color="000000" w:sz="4" w:space="0"/>
            </w:tcBorders>
            <w:vAlign w:val="center"/>
          </w:tcPr>
          <w:p w14:paraId="78C9160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68</w:t>
            </w:r>
          </w:p>
        </w:tc>
        <w:tc>
          <w:tcPr>
            <w:tcW w:w="1846" w:type="pct"/>
            <w:tcBorders>
              <w:top w:val="single" w:color="000000" w:sz="4" w:space="0"/>
              <w:left w:val="single" w:color="000000" w:sz="4" w:space="0"/>
              <w:bottom w:val="single" w:color="000000" w:sz="4" w:space="0"/>
              <w:right w:val="single" w:color="000000" w:sz="4" w:space="0"/>
            </w:tcBorders>
            <w:vAlign w:val="center"/>
          </w:tcPr>
          <w:p w14:paraId="5A214C7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戊醛</w:t>
            </w:r>
          </w:p>
        </w:tc>
      </w:tr>
      <w:tr w14:paraId="243B2B83">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4A9ACC2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62</w:t>
            </w:r>
          </w:p>
        </w:tc>
        <w:tc>
          <w:tcPr>
            <w:tcW w:w="1858" w:type="pct"/>
            <w:tcBorders>
              <w:top w:val="single" w:color="000000" w:sz="4" w:space="0"/>
              <w:left w:val="single" w:color="000000" w:sz="4" w:space="0"/>
              <w:bottom w:val="single" w:color="000000" w:sz="4" w:space="0"/>
              <w:right w:val="single" w:color="000000" w:sz="4" w:space="0"/>
            </w:tcBorders>
            <w:vAlign w:val="center"/>
          </w:tcPr>
          <w:p w14:paraId="029BFE3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丙醛</w:t>
            </w:r>
          </w:p>
        </w:tc>
        <w:tc>
          <w:tcPr>
            <w:tcW w:w="744" w:type="pct"/>
            <w:tcBorders>
              <w:top w:val="single" w:color="000000" w:sz="4" w:space="0"/>
              <w:left w:val="single" w:color="000000" w:sz="4" w:space="0"/>
              <w:bottom w:val="single" w:color="000000" w:sz="4" w:space="0"/>
              <w:right w:val="single" w:color="000000" w:sz="4" w:space="0"/>
            </w:tcBorders>
            <w:vAlign w:val="center"/>
          </w:tcPr>
          <w:p w14:paraId="468F619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69</w:t>
            </w:r>
          </w:p>
        </w:tc>
        <w:tc>
          <w:tcPr>
            <w:tcW w:w="1846" w:type="pct"/>
            <w:tcBorders>
              <w:top w:val="single" w:color="000000" w:sz="4" w:space="0"/>
              <w:left w:val="single" w:color="000000" w:sz="4" w:space="0"/>
              <w:bottom w:val="single" w:color="000000" w:sz="4" w:space="0"/>
              <w:right w:val="single" w:color="000000" w:sz="4" w:space="0"/>
            </w:tcBorders>
            <w:vAlign w:val="center"/>
          </w:tcPr>
          <w:p w14:paraId="2BEFB6F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间甲基苯甲醛</w:t>
            </w:r>
          </w:p>
        </w:tc>
      </w:tr>
      <w:tr w14:paraId="518A3CE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A5273D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63</w:t>
            </w:r>
          </w:p>
        </w:tc>
        <w:tc>
          <w:tcPr>
            <w:tcW w:w="1858" w:type="pct"/>
            <w:tcBorders>
              <w:top w:val="single" w:color="000000" w:sz="4" w:space="0"/>
              <w:left w:val="single" w:color="000000" w:sz="4" w:space="0"/>
              <w:bottom w:val="single" w:color="000000" w:sz="4" w:space="0"/>
              <w:right w:val="single" w:color="000000" w:sz="4" w:space="0"/>
            </w:tcBorders>
            <w:vAlign w:val="center"/>
          </w:tcPr>
          <w:p w14:paraId="7D65531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丁烯醛</w:t>
            </w:r>
          </w:p>
        </w:tc>
        <w:tc>
          <w:tcPr>
            <w:tcW w:w="744" w:type="pct"/>
            <w:tcBorders>
              <w:top w:val="single" w:color="000000" w:sz="4" w:space="0"/>
              <w:left w:val="single" w:color="000000" w:sz="4" w:space="0"/>
              <w:bottom w:val="single" w:color="000000" w:sz="4" w:space="0"/>
              <w:right w:val="single" w:color="000000" w:sz="4" w:space="0"/>
            </w:tcBorders>
            <w:vAlign w:val="center"/>
          </w:tcPr>
          <w:p w14:paraId="2564507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70</w:t>
            </w:r>
          </w:p>
        </w:tc>
        <w:tc>
          <w:tcPr>
            <w:tcW w:w="1846" w:type="pct"/>
            <w:tcBorders>
              <w:top w:val="single" w:color="000000" w:sz="4" w:space="0"/>
              <w:left w:val="single" w:color="000000" w:sz="4" w:space="0"/>
              <w:bottom w:val="single" w:color="000000" w:sz="4" w:space="0"/>
              <w:right w:val="single" w:color="000000" w:sz="4" w:space="0"/>
            </w:tcBorders>
            <w:vAlign w:val="center"/>
          </w:tcPr>
          <w:p w14:paraId="7955B0B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己醛</w:t>
            </w:r>
          </w:p>
        </w:tc>
      </w:tr>
      <w:tr w14:paraId="6AB2605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4361FAE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64</w:t>
            </w:r>
          </w:p>
        </w:tc>
        <w:tc>
          <w:tcPr>
            <w:tcW w:w="1858" w:type="pct"/>
            <w:tcBorders>
              <w:top w:val="single" w:color="000000" w:sz="4" w:space="0"/>
              <w:left w:val="single" w:color="000000" w:sz="4" w:space="0"/>
              <w:bottom w:val="single" w:color="000000" w:sz="4" w:space="0"/>
              <w:right w:val="single" w:color="000000" w:sz="4" w:space="0"/>
            </w:tcBorders>
            <w:vAlign w:val="center"/>
          </w:tcPr>
          <w:p w14:paraId="1C7DA68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甲基丙烯醛</w:t>
            </w:r>
          </w:p>
        </w:tc>
        <w:tc>
          <w:tcPr>
            <w:tcW w:w="744" w:type="pct"/>
            <w:tcBorders>
              <w:top w:val="single" w:color="000000" w:sz="4" w:space="0"/>
              <w:left w:val="single" w:color="000000" w:sz="4" w:space="0"/>
              <w:bottom w:val="single" w:color="000000" w:sz="4" w:space="0"/>
              <w:right w:val="single" w:color="000000" w:sz="4" w:space="0"/>
            </w:tcBorders>
            <w:vAlign w:val="center"/>
          </w:tcPr>
          <w:p w14:paraId="6192036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95</w:t>
            </w:r>
          </w:p>
        </w:tc>
        <w:tc>
          <w:tcPr>
            <w:tcW w:w="1846" w:type="pct"/>
            <w:tcBorders>
              <w:top w:val="single" w:color="000000" w:sz="4" w:space="0"/>
              <w:left w:val="single" w:color="000000" w:sz="4" w:space="0"/>
              <w:bottom w:val="single" w:color="000000" w:sz="4" w:space="0"/>
              <w:right w:val="single" w:color="000000" w:sz="4" w:space="0"/>
            </w:tcBorders>
            <w:vAlign w:val="center"/>
          </w:tcPr>
          <w:p w14:paraId="7F71EC9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一溴二氯甲烷</w:t>
            </w:r>
          </w:p>
        </w:tc>
      </w:tr>
      <w:tr w14:paraId="37C8AC3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1BDB01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71</w:t>
            </w:r>
          </w:p>
        </w:tc>
        <w:tc>
          <w:tcPr>
            <w:tcW w:w="1858" w:type="pct"/>
            <w:tcBorders>
              <w:top w:val="single" w:color="000000" w:sz="4" w:space="0"/>
              <w:left w:val="single" w:color="000000" w:sz="4" w:space="0"/>
              <w:bottom w:val="single" w:color="000000" w:sz="4" w:space="0"/>
              <w:right w:val="single" w:color="000000" w:sz="4" w:space="0"/>
            </w:tcBorders>
            <w:vAlign w:val="center"/>
          </w:tcPr>
          <w:p w14:paraId="1CDEAAF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二氟二氯甲烷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C0FC10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96</w:t>
            </w:r>
          </w:p>
        </w:tc>
        <w:tc>
          <w:tcPr>
            <w:tcW w:w="1846" w:type="pct"/>
            <w:tcBorders>
              <w:top w:val="single" w:color="000000" w:sz="4" w:space="0"/>
              <w:left w:val="single" w:color="000000" w:sz="4" w:space="0"/>
              <w:bottom w:val="single" w:color="000000" w:sz="4" w:space="0"/>
              <w:right w:val="single" w:color="000000" w:sz="4" w:space="0"/>
            </w:tcBorders>
            <w:vAlign w:val="center"/>
          </w:tcPr>
          <w:p w14:paraId="082797E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三氯乙烯</w:t>
            </w:r>
          </w:p>
        </w:tc>
      </w:tr>
      <w:tr w14:paraId="3718A51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389613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72</w:t>
            </w:r>
          </w:p>
        </w:tc>
        <w:tc>
          <w:tcPr>
            <w:tcW w:w="1858" w:type="pct"/>
            <w:tcBorders>
              <w:top w:val="single" w:color="000000" w:sz="4" w:space="0"/>
              <w:left w:val="single" w:color="000000" w:sz="4" w:space="0"/>
              <w:bottom w:val="single" w:color="000000" w:sz="4" w:space="0"/>
              <w:right w:val="single" w:color="000000" w:sz="4" w:space="0"/>
            </w:tcBorders>
            <w:vAlign w:val="center"/>
          </w:tcPr>
          <w:p w14:paraId="0EF1AB2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185240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97</w:t>
            </w:r>
          </w:p>
        </w:tc>
        <w:tc>
          <w:tcPr>
            <w:tcW w:w="1846" w:type="pct"/>
            <w:tcBorders>
              <w:top w:val="single" w:color="000000" w:sz="4" w:space="0"/>
              <w:left w:val="single" w:color="000000" w:sz="4" w:space="0"/>
              <w:bottom w:val="single" w:color="000000" w:sz="4" w:space="0"/>
              <w:right w:val="single" w:color="000000" w:sz="4" w:space="0"/>
            </w:tcBorders>
            <w:vAlign w:val="center"/>
          </w:tcPr>
          <w:p w14:paraId="65AD5E0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二氯丙烷</w:t>
            </w:r>
          </w:p>
        </w:tc>
      </w:tr>
      <w:tr w14:paraId="66DA6D3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0F12C0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73</w:t>
            </w:r>
          </w:p>
        </w:tc>
        <w:tc>
          <w:tcPr>
            <w:tcW w:w="1858" w:type="pct"/>
            <w:tcBorders>
              <w:top w:val="single" w:color="000000" w:sz="4" w:space="0"/>
              <w:left w:val="single" w:color="000000" w:sz="4" w:space="0"/>
              <w:bottom w:val="single" w:color="000000" w:sz="4" w:space="0"/>
              <w:right w:val="single" w:color="000000" w:sz="4" w:space="0"/>
            </w:tcBorders>
            <w:vAlign w:val="center"/>
          </w:tcPr>
          <w:p w14:paraId="1AA66BA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F7E3F3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98</w:t>
            </w:r>
          </w:p>
        </w:tc>
        <w:tc>
          <w:tcPr>
            <w:tcW w:w="1846" w:type="pct"/>
            <w:tcBorders>
              <w:top w:val="single" w:color="000000" w:sz="4" w:space="0"/>
              <w:left w:val="single" w:color="000000" w:sz="4" w:space="0"/>
              <w:bottom w:val="single" w:color="000000" w:sz="4" w:space="0"/>
              <w:right w:val="single" w:color="000000" w:sz="4" w:space="0"/>
            </w:tcBorders>
            <w:vAlign w:val="center"/>
          </w:tcPr>
          <w:p w14:paraId="52FB78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甲基丙烯酸甲酯</w:t>
            </w:r>
          </w:p>
        </w:tc>
      </w:tr>
      <w:tr w14:paraId="58D0707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781A89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74</w:t>
            </w:r>
          </w:p>
        </w:tc>
        <w:tc>
          <w:tcPr>
            <w:tcW w:w="1858" w:type="pct"/>
            <w:tcBorders>
              <w:top w:val="single" w:color="000000" w:sz="4" w:space="0"/>
              <w:left w:val="single" w:color="000000" w:sz="4" w:space="0"/>
              <w:bottom w:val="single" w:color="000000" w:sz="4" w:space="0"/>
              <w:right w:val="single" w:color="000000" w:sz="4" w:space="0"/>
            </w:tcBorders>
            <w:vAlign w:val="center"/>
          </w:tcPr>
          <w:p w14:paraId="2D0CC3F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丁二烯</w:t>
            </w:r>
          </w:p>
        </w:tc>
        <w:tc>
          <w:tcPr>
            <w:tcW w:w="744" w:type="pct"/>
            <w:tcBorders>
              <w:top w:val="single" w:color="000000" w:sz="4" w:space="0"/>
              <w:left w:val="single" w:color="000000" w:sz="4" w:space="0"/>
              <w:bottom w:val="single" w:color="000000" w:sz="4" w:space="0"/>
              <w:right w:val="single" w:color="000000" w:sz="4" w:space="0"/>
            </w:tcBorders>
            <w:vAlign w:val="center"/>
          </w:tcPr>
          <w:p w14:paraId="40F4932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99</w:t>
            </w:r>
          </w:p>
        </w:tc>
        <w:tc>
          <w:tcPr>
            <w:tcW w:w="1846" w:type="pct"/>
            <w:tcBorders>
              <w:top w:val="single" w:color="000000" w:sz="4" w:space="0"/>
              <w:left w:val="single" w:color="000000" w:sz="4" w:space="0"/>
              <w:bottom w:val="single" w:color="000000" w:sz="4" w:space="0"/>
              <w:right w:val="single" w:color="000000" w:sz="4" w:space="0"/>
            </w:tcBorders>
            <w:vAlign w:val="center"/>
          </w:tcPr>
          <w:p w14:paraId="44E98B7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1,4-</w:t>
            </w:r>
            <w:r>
              <w:rPr>
                <w:rStyle w:val="249"/>
                <w:rFonts w:hint="default" w:ascii="Times New Roman" w:hAnsi="Times New Roman" w:eastAsia="宋体" w:cs="Times New Roman"/>
                <w:color w:val="auto"/>
                <w:sz w:val="21"/>
                <w:szCs w:val="21"/>
                <w:highlight w:val="none"/>
                <w:lang w:bidi="ar"/>
              </w:rPr>
              <w:t>二氧六环</w:t>
            </w:r>
          </w:p>
        </w:tc>
      </w:tr>
      <w:tr w14:paraId="45CC38C5">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66B8EC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75</w:t>
            </w:r>
          </w:p>
        </w:tc>
        <w:tc>
          <w:tcPr>
            <w:tcW w:w="1858" w:type="pct"/>
            <w:tcBorders>
              <w:top w:val="single" w:color="000000" w:sz="4" w:space="0"/>
              <w:left w:val="single" w:color="000000" w:sz="4" w:space="0"/>
              <w:bottom w:val="single" w:color="000000" w:sz="4" w:space="0"/>
              <w:right w:val="single" w:color="000000" w:sz="4" w:space="0"/>
            </w:tcBorders>
            <w:vAlign w:val="center"/>
          </w:tcPr>
          <w:p w14:paraId="4A40537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一溴甲烷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99BF60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100</w:t>
            </w:r>
          </w:p>
        </w:tc>
        <w:tc>
          <w:tcPr>
            <w:tcW w:w="1846" w:type="pct"/>
            <w:tcBorders>
              <w:top w:val="single" w:color="000000" w:sz="4" w:space="0"/>
              <w:left w:val="single" w:color="000000" w:sz="4" w:space="0"/>
              <w:bottom w:val="single" w:color="000000" w:sz="4" w:space="0"/>
              <w:right w:val="single" w:color="000000" w:sz="4" w:space="0"/>
            </w:tcBorders>
            <w:vAlign w:val="center"/>
          </w:tcPr>
          <w:p w14:paraId="6E2A05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顺式</w:t>
            </w: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二氯</w:t>
            </w: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丙烯</w:t>
            </w:r>
          </w:p>
        </w:tc>
      </w:tr>
      <w:tr w14:paraId="2822819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445FC1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76</w:t>
            </w:r>
          </w:p>
        </w:tc>
        <w:tc>
          <w:tcPr>
            <w:tcW w:w="1858" w:type="pct"/>
            <w:tcBorders>
              <w:top w:val="single" w:color="000000" w:sz="4" w:space="0"/>
              <w:left w:val="single" w:color="000000" w:sz="4" w:space="0"/>
              <w:bottom w:val="single" w:color="000000" w:sz="4" w:space="0"/>
              <w:right w:val="single" w:color="000000" w:sz="4" w:space="0"/>
            </w:tcBorders>
            <w:vAlign w:val="center"/>
          </w:tcPr>
          <w:p w14:paraId="4054250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1,1,2,2-</w:t>
            </w:r>
            <w:r>
              <w:rPr>
                <w:rStyle w:val="249"/>
                <w:rFonts w:hint="default" w:ascii="Times New Roman" w:hAnsi="Times New Roman" w:eastAsia="宋体" w:cs="Times New Roman"/>
                <w:color w:val="auto"/>
                <w:sz w:val="21"/>
                <w:szCs w:val="21"/>
                <w:highlight w:val="none"/>
                <w:lang w:bidi="ar"/>
              </w:rPr>
              <w:t>四氟</w:t>
            </w: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15D370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101</w:t>
            </w:r>
          </w:p>
        </w:tc>
        <w:tc>
          <w:tcPr>
            <w:tcW w:w="1846" w:type="pct"/>
            <w:tcBorders>
              <w:top w:val="single" w:color="000000" w:sz="4" w:space="0"/>
              <w:left w:val="single" w:color="000000" w:sz="4" w:space="0"/>
              <w:bottom w:val="single" w:color="000000" w:sz="4" w:space="0"/>
              <w:right w:val="single" w:color="000000" w:sz="4" w:space="0"/>
            </w:tcBorders>
            <w:vAlign w:val="center"/>
          </w:tcPr>
          <w:p w14:paraId="42EB3AB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反式</w:t>
            </w: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二氯</w:t>
            </w: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丙烯</w:t>
            </w:r>
          </w:p>
        </w:tc>
      </w:tr>
      <w:tr w14:paraId="59EA55F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47E9A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77</w:t>
            </w:r>
          </w:p>
        </w:tc>
        <w:tc>
          <w:tcPr>
            <w:tcW w:w="1858" w:type="pct"/>
            <w:tcBorders>
              <w:top w:val="single" w:color="000000" w:sz="4" w:space="0"/>
              <w:left w:val="single" w:color="000000" w:sz="4" w:space="0"/>
              <w:bottom w:val="single" w:color="000000" w:sz="4" w:space="0"/>
              <w:right w:val="single" w:color="000000" w:sz="4" w:space="0"/>
            </w:tcBorders>
            <w:vAlign w:val="center"/>
          </w:tcPr>
          <w:p w14:paraId="13CD59D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EB8CE4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102</w:t>
            </w:r>
          </w:p>
        </w:tc>
        <w:tc>
          <w:tcPr>
            <w:tcW w:w="1846" w:type="pct"/>
            <w:tcBorders>
              <w:top w:val="single" w:color="000000" w:sz="4" w:space="0"/>
              <w:left w:val="single" w:color="000000" w:sz="4" w:space="0"/>
              <w:bottom w:val="single" w:color="000000" w:sz="4" w:space="0"/>
              <w:right w:val="single" w:color="000000" w:sz="4" w:space="0"/>
            </w:tcBorders>
            <w:vAlign w:val="center"/>
          </w:tcPr>
          <w:p w14:paraId="47B9794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w:t>
            </w:r>
            <w:r>
              <w:rPr>
                <w:rStyle w:val="249"/>
                <w:rFonts w:hint="default" w:ascii="Times New Roman" w:hAnsi="Times New Roman" w:eastAsia="宋体" w:cs="Times New Roman"/>
                <w:color w:val="auto"/>
                <w:sz w:val="21"/>
                <w:szCs w:val="21"/>
                <w:highlight w:val="none"/>
                <w:lang w:bidi="ar"/>
              </w:rPr>
              <w:t>三氯乙烷</w:t>
            </w:r>
          </w:p>
        </w:tc>
      </w:tr>
      <w:tr w14:paraId="698BDA8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E7A0EC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78</w:t>
            </w:r>
          </w:p>
        </w:tc>
        <w:tc>
          <w:tcPr>
            <w:tcW w:w="1858" w:type="pct"/>
            <w:tcBorders>
              <w:top w:val="single" w:color="000000" w:sz="4" w:space="0"/>
              <w:left w:val="single" w:color="000000" w:sz="4" w:space="0"/>
              <w:bottom w:val="single" w:color="000000" w:sz="4" w:space="0"/>
              <w:right w:val="single" w:color="000000" w:sz="4" w:space="0"/>
            </w:tcBorders>
            <w:vAlign w:val="center"/>
          </w:tcPr>
          <w:p w14:paraId="35F507F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一氟三氯甲烷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45D206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103</w:t>
            </w:r>
          </w:p>
        </w:tc>
        <w:tc>
          <w:tcPr>
            <w:tcW w:w="1846" w:type="pct"/>
            <w:tcBorders>
              <w:top w:val="single" w:color="000000" w:sz="4" w:space="0"/>
              <w:left w:val="single" w:color="000000" w:sz="4" w:space="0"/>
              <w:bottom w:val="single" w:color="000000" w:sz="4" w:space="0"/>
              <w:right w:val="single" w:color="000000" w:sz="4" w:space="0"/>
            </w:tcBorders>
            <w:vAlign w:val="center"/>
          </w:tcPr>
          <w:p w14:paraId="5FCD37A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w:t>
            </w:r>
            <w:r>
              <w:rPr>
                <w:rStyle w:val="249"/>
                <w:rFonts w:hint="default" w:ascii="Times New Roman" w:hAnsi="Times New Roman" w:eastAsia="宋体" w:cs="Times New Roman"/>
                <w:color w:val="auto"/>
                <w:sz w:val="21"/>
                <w:szCs w:val="21"/>
                <w:highlight w:val="none"/>
                <w:lang w:bidi="ar"/>
              </w:rPr>
              <w:t>甲基</w:t>
            </w: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戊酮</w:t>
            </w:r>
          </w:p>
        </w:tc>
      </w:tr>
      <w:tr w14:paraId="144D1832">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4549BD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79</w:t>
            </w:r>
          </w:p>
        </w:tc>
        <w:tc>
          <w:tcPr>
            <w:tcW w:w="1858" w:type="pct"/>
            <w:tcBorders>
              <w:top w:val="single" w:color="000000" w:sz="4" w:space="0"/>
              <w:left w:val="single" w:color="000000" w:sz="4" w:space="0"/>
              <w:bottom w:val="single" w:color="000000" w:sz="4" w:space="0"/>
              <w:right w:val="single" w:color="000000" w:sz="4" w:space="0"/>
            </w:tcBorders>
            <w:vAlign w:val="center"/>
          </w:tcPr>
          <w:p w14:paraId="1ED2C29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w:t>
            </w:r>
            <w:r>
              <w:rPr>
                <w:rStyle w:val="249"/>
                <w:rFonts w:hint="default" w:ascii="Times New Roman" w:hAnsi="Times New Roman" w:eastAsia="宋体" w:cs="Times New Roman"/>
                <w:color w:val="auto"/>
                <w:sz w:val="21"/>
                <w:szCs w:val="21"/>
                <w:highlight w:val="none"/>
                <w:lang w:bidi="ar"/>
              </w:rPr>
              <w:t>二氯乙烯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5B7676D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104</w:t>
            </w:r>
          </w:p>
        </w:tc>
        <w:tc>
          <w:tcPr>
            <w:tcW w:w="1846" w:type="pct"/>
            <w:tcBorders>
              <w:top w:val="single" w:color="000000" w:sz="4" w:space="0"/>
              <w:left w:val="single" w:color="000000" w:sz="4" w:space="0"/>
              <w:bottom w:val="single" w:color="000000" w:sz="4" w:space="0"/>
              <w:right w:val="single" w:color="000000" w:sz="4" w:space="0"/>
            </w:tcBorders>
            <w:vAlign w:val="center"/>
          </w:tcPr>
          <w:p w14:paraId="3638A0B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二溴一氯甲烷</w:t>
            </w:r>
          </w:p>
        </w:tc>
      </w:tr>
      <w:tr w14:paraId="760F0ED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73815A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80</w:t>
            </w:r>
          </w:p>
        </w:tc>
        <w:tc>
          <w:tcPr>
            <w:tcW w:w="1858" w:type="pct"/>
            <w:tcBorders>
              <w:top w:val="single" w:color="000000" w:sz="4" w:space="0"/>
              <w:left w:val="single" w:color="000000" w:sz="4" w:space="0"/>
              <w:bottom w:val="single" w:color="000000" w:sz="4" w:space="0"/>
              <w:right w:val="single" w:color="000000" w:sz="4" w:space="0"/>
            </w:tcBorders>
            <w:vAlign w:val="center"/>
          </w:tcPr>
          <w:p w14:paraId="2B51BCB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E616C8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105</w:t>
            </w:r>
          </w:p>
        </w:tc>
        <w:tc>
          <w:tcPr>
            <w:tcW w:w="1846" w:type="pct"/>
            <w:tcBorders>
              <w:top w:val="single" w:color="000000" w:sz="4" w:space="0"/>
              <w:left w:val="single" w:color="000000" w:sz="4" w:space="0"/>
              <w:bottom w:val="single" w:color="000000" w:sz="4" w:space="0"/>
              <w:right w:val="single" w:color="000000" w:sz="4" w:space="0"/>
            </w:tcBorders>
            <w:vAlign w:val="center"/>
          </w:tcPr>
          <w:p w14:paraId="0BCB681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四氯乙烯</w:t>
            </w:r>
          </w:p>
        </w:tc>
      </w:tr>
      <w:tr w14:paraId="6DFA0A32">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CA04B3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81</w:t>
            </w:r>
          </w:p>
        </w:tc>
        <w:tc>
          <w:tcPr>
            <w:tcW w:w="1858" w:type="pct"/>
            <w:tcBorders>
              <w:top w:val="single" w:color="000000" w:sz="4" w:space="0"/>
              <w:left w:val="single" w:color="000000" w:sz="4" w:space="0"/>
              <w:bottom w:val="single" w:color="000000" w:sz="4" w:space="0"/>
              <w:right w:val="single" w:color="000000" w:sz="4" w:space="0"/>
            </w:tcBorders>
            <w:vAlign w:val="center"/>
          </w:tcPr>
          <w:p w14:paraId="7D517F4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二硫化碳</w:t>
            </w:r>
          </w:p>
        </w:tc>
        <w:tc>
          <w:tcPr>
            <w:tcW w:w="744" w:type="pct"/>
            <w:tcBorders>
              <w:top w:val="single" w:color="000000" w:sz="4" w:space="0"/>
              <w:left w:val="single" w:color="000000" w:sz="4" w:space="0"/>
              <w:bottom w:val="single" w:color="000000" w:sz="4" w:space="0"/>
              <w:right w:val="single" w:color="000000" w:sz="4" w:space="0"/>
            </w:tcBorders>
            <w:vAlign w:val="center"/>
          </w:tcPr>
          <w:p w14:paraId="0041875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106</w:t>
            </w:r>
          </w:p>
        </w:tc>
        <w:tc>
          <w:tcPr>
            <w:tcW w:w="1846" w:type="pct"/>
            <w:tcBorders>
              <w:top w:val="single" w:color="000000" w:sz="4" w:space="0"/>
              <w:left w:val="single" w:color="000000" w:sz="4" w:space="0"/>
              <w:bottom w:val="single" w:color="000000" w:sz="4" w:space="0"/>
              <w:right w:val="single" w:color="000000" w:sz="4" w:space="0"/>
            </w:tcBorders>
            <w:vAlign w:val="center"/>
          </w:tcPr>
          <w:p w14:paraId="4F7CFF2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己酮</w:t>
            </w:r>
          </w:p>
        </w:tc>
      </w:tr>
      <w:tr w14:paraId="4AAB17DE">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78E95D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82</w:t>
            </w:r>
          </w:p>
        </w:tc>
        <w:tc>
          <w:tcPr>
            <w:tcW w:w="1858" w:type="pct"/>
            <w:tcBorders>
              <w:top w:val="single" w:color="000000" w:sz="4" w:space="0"/>
              <w:left w:val="single" w:color="000000" w:sz="4" w:space="0"/>
              <w:bottom w:val="single" w:color="000000" w:sz="4" w:space="0"/>
              <w:right w:val="single" w:color="000000" w:sz="4" w:space="0"/>
            </w:tcBorders>
            <w:vAlign w:val="center"/>
          </w:tcPr>
          <w:p w14:paraId="1A4A9E9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1,2,2-</w:t>
            </w:r>
            <w:r>
              <w:rPr>
                <w:rStyle w:val="249"/>
                <w:rFonts w:hint="default" w:ascii="Times New Roman" w:hAnsi="Times New Roman" w:eastAsia="宋体" w:cs="Times New Roman"/>
                <w:color w:val="auto"/>
                <w:sz w:val="21"/>
                <w:szCs w:val="21"/>
                <w:highlight w:val="none"/>
                <w:lang w:bidi="ar"/>
              </w:rPr>
              <w:t>三氯</w:t>
            </w:r>
            <w:r>
              <w:rPr>
                <w:rFonts w:hint="default" w:ascii="Times New Roman" w:hAnsi="Times New Roman" w:eastAsia="宋体" w:cs="Times New Roman"/>
                <w:szCs w:val="21"/>
                <w:highlight w:val="none"/>
                <w:lang w:bidi="ar"/>
              </w:rPr>
              <w:t>-1,1,2-</w:t>
            </w:r>
            <w:r>
              <w:rPr>
                <w:rStyle w:val="249"/>
                <w:rFonts w:hint="default" w:ascii="Times New Roman" w:hAnsi="Times New Roman" w:eastAsia="宋体" w:cs="Times New Roman"/>
                <w:color w:val="auto"/>
                <w:sz w:val="21"/>
                <w:szCs w:val="21"/>
                <w:highlight w:val="none"/>
                <w:lang w:bidi="ar"/>
              </w:rPr>
              <w:t>三氯乙烷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17B44A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107</w:t>
            </w:r>
          </w:p>
        </w:tc>
        <w:tc>
          <w:tcPr>
            <w:tcW w:w="1846" w:type="pct"/>
            <w:tcBorders>
              <w:top w:val="single" w:color="000000" w:sz="4" w:space="0"/>
              <w:left w:val="single" w:color="000000" w:sz="4" w:space="0"/>
              <w:bottom w:val="single" w:color="000000" w:sz="4" w:space="0"/>
              <w:right w:val="single" w:color="000000" w:sz="4" w:space="0"/>
            </w:tcBorders>
            <w:vAlign w:val="center"/>
          </w:tcPr>
          <w:p w14:paraId="726D7FE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二溴乙烷</w:t>
            </w:r>
          </w:p>
        </w:tc>
      </w:tr>
      <w:tr w14:paraId="54B6145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B0B9B6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83</w:t>
            </w:r>
          </w:p>
        </w:tc>
        <w:tc>
          <w:tcPr>
            <w:tcW w:w="1858" w:type="pct"/>
            <w:tcBorders>
              <w:top w:val="single" w:color="000000" w:sz="4" w:space="0"/>
              <w:left w:val="single" w:color="000000" w:sz="4" w:space="0"/>
              <w:bottom w:val="single" w:color="000000" w:sz="4" w:space="0"/>
              <w:right w:val="single" w:color="000000" w:sz="4" w:space="0"/>
            </w:tcBorders>
            <w:vAlign w:val="center"/>
          </w:tcPr>
          <w:p w14:paraId="7BF08D1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反</w:t>
            </w: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4F30A0F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108</w:t>
            </w:r>
          </w:p>
        </w:tc>
        <w:tc>
          <w:tcPr>
            <w:tcW w:w="1846" w:type="pct"/>
            <w:tcBorders>
              <w:top w:val="single" w:color="000000" w:sz="4" w:space="0"/>
              <w:left w:val="single" w:color="000000" w:sz="4" w:space="0"/>
              <w:bottom w:val="single" w:color="000000" w:sz="4" w:space="0"/>
              <w:right w:val="single" w:color="000000" w:sz="4" w:space="0"/>
            </w:tcBorders>
            <w:vAlign w:val="center"/>
          </w:tcPr>
          <w:p w14:paraId="24AA9BF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氯苯</w:t>
            </w:r>
          </w:p>
        </w:tc>
      </w:tr>
      <w:tr w14:paraId="0242708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283E7E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84</w:t>
            </w:r>
          </w:p>
        </w:tc>
        <w:tc>
          <w:tcPr>
            <w:tcW w:w="1858" w:type="pct"/>
            <w:tcBorders>
              <w:top w:val="single" w:color="000000" w:sz="4" w:space="0"/>
              <w:left w:val="single" w:color="000000" w:sz="4" w:space="0"/>
              <w:bottom w:val="single" w:color="000000" w:sz="4" w:space="0"/>
              <w:right w:val="single" w:color="000000" w:sz="4" w:space="0"/>
            </w:tcBorders>
            <w:vAlign w:val="center"/>
          </w:tcPr>
          <w:p w14:paraId="77641D4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甲基叔丁基醚</w:t>
            </w:r>
          </w:p>
        </w:tc>
        <w:tc>
          <w:tcPr>
            <w:tcW w:w="744" w:type="pct"/>
            <w:tcBorders>
              <w:top w:val="single" w:color="000000" w:sz="4" w:space="0"/>
              <w:left w:val="single" w:color="000000" w:sz="4" w:space="0"/>
              <w:bottom w:val="single" w:color="000000" w:sz="4" w:space="0"/>
              <w:right w:val="single" w:color="000000" w:sz="4" w:space="0"/>
            </w:tcBorders>
            <w:vAlign w:val="center"/>
          </w:tcPr>
          <w:p w14:paraId="05C11E1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109</w:t>
            </w:r>
          </w:p>
        </w:tc>
        <w:tc>
          <w:tcPr>
            <w:tcW w:w="1846" w:type="pct"/>
            <w:tcBorders>
              <w:top w:val="single" w:color="000000" w:sz="4" w:space="0"/>
              <w:left w:val="single" w:color="000000" w:sz="4" w:space="0"/>
              <w:bottom w:val="single" w:color="000000" w:sz="4" w:space="0"/>
              <w:right w:val="single" w:color="000000" w:sz="4" w:space="0"/>
            </w:tcBorders>
            <w:vAlign w:val="center"/>
          </w:tcPr>
          <w:p w14:paraId="119AA88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四氯乙烷</w:t>
            </w:r>
          </w:p>
        </w:tc>
      </w:tr>
      <w:tr w14:paraId="6C751D8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8027BE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85</w:t>
            </w:r>
          </w:p>
        </w:tc>
        <w:tc>
          <w:tcPr>
            <w:tcW w:w="1858" w:type="pct"/>
            <w:tcBorders>
              <w:top w:val="single" w:color="000000" w:sz="4" w:space="0"/>
              <w:left w:val="single" w:color="000000" w:sz="4" w:space="0"/>
              <w:bottom w:val="single" w:color="000000" w:sz="4" w:space="0"/>
              <w:right w:val="single" w:color="000000" w:sz="4" w:space="0"/>
            </w:tcBorders>
            <w:vAlign w:val="center"/>
          </w:tcPr>
          <w:p w14:paraId="2457DC1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顺</w:t>
            </w: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2551C9F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110</w:t>
            </w:r>
          </w:p>
        </w:tc>
        <w:tc>
          <w:tcPr>
            <w:tcW w:w="1846" w:type="pct"/>
            <w:tcBorders>
              <w:top w:val="single" w:color="000000" w:sz="4" w:space="0"/>
              <w:left w:val="single" w:color="000000" w:sz="4" w:space="0"/>
              <w:bottom w:val="single" w:color="000000" w:sz="4" w:space="0"/>
              <w:right w:val="single" w:color="000000" w:sz="4" w:space="0"/>
            </w:tcBorders>
            <w:vAlign w:val="center"/>
          </w:tcPr>
          <w:p w14:paraId="6D2FD1E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三溴甲烷</w:t>
            </w:r>
          </w:p>
        </w:tc>
      </w:tr>
      <w:tr w14:paraId="6A70CBC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144B69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86</w:t>
            </w:r>
          </w:p>
        </w:tc>
        <w:tc>
          <w:tcPr>
            <w:tcW w:w="1858" w:type="pct"/>
            <w:tcBorders>
              <w:top w:val="single" w:color="000000" w:sz="4" w:space="0"/>
              <w:left w:val="single" w:color="000000" w:sz="4" w:space="0"/>
              <w:bottom w:val="single" w:color="000000" w:sz="4" w:space="0"/>
              <w:right w:val="single" w:color="000000" w:sz="4" w:space="0"/>
            </w:tcBorders>
            <w:vAlign w:val="center"/>
          </w:tcPr>
          <w:p w14:paraId="13F5950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三氯甲烷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D7890E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111</w:t>
            </w:r>
          </w:p>
        </w:tc>
        <w:tc>
          <w:tcPr>
            <w:tcW w:w="1846" w:type="pct"/>
            <w:tcBorders>
              <w:top w:val="single" w:color="000000" w:sz="4" w:space="0"/>
              <w:left w:val="single" w:color="000000" w:sz="4" w:space="0"/>
              <w:bottom w:val="single" w:color="000000" w:sz="4" w:space="0"/>
              <w:right w:val="single" w:color="000000" w:sz="4" w:space="0"/>
            </w:tcBorders>
            <w:vAlign w:val="center"/>
          </w:tcPr>
          <w:p w14:paraId="2213A6E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二氯苯</w:t>
            </w:r>
          </w:p>
        </w:tc>
      </w:tr>
      <w:tr w14:paraId="0D29B4FA">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144714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87</w:t>
            </w:r>
          </w:p>
        </w:tc>
        <w:tc>
          <w:tcPr>
            <w:tcW w:w="1858" w:type="pct"/>
            <w:tcBorders>
              <w:top w:val="single" w:color="000000" w:sz="4" w:space="0"/>
              <w:left w:val="single" w:color="000000" w:sz="4" w:space="0"/>
              <w:bottom w:val="single" w:color="000000" w:sz="4" w:space="0"/>
              <w:right w:val="single" w:color="000000" w:sz="4" w:space="0"/>
            </w:tcBorders>
            <w:vAlign w:val="center"/>
          </w:tcPr>
          <w:p w14:paraId="163A137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四氢呋喃</w:t>
            </w:r>
          </w:p>
        </w:tc>
        <w:tc>
          <w:tcPr>
            <w:tcW w:w="744" w:type="pct"/>
            <w:tcBorders>
              <w:top w:val="single" w:color="000000" w:sz="4" w:space="0"/>
              <w:left w:val="single" w:color="000000" w:sz="4" w:space="0"/>
              <w:bottom w:val="single" w:color="000000" w:sz="4" w:space="0"/>
              <w:right w:val="single" w:color="000000" w:sz="4" w:space="0"/>
            </w:tcBorders>
            <w:vAlign w:val="center"/>
          </w:tcPr>
          <w:p w14:paraId="323A388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w:t>
            </w:r>
          </w:p>
        </w:tc>
        <w:tc>
          <w:tcPr>
            <w:tcW w:w="1846" w:type="pct"/>
            <w:tcBorders>
              <w:top w:val="single" w:color="000000" w:sz="4" w:space="0"/>
              <w:left w:val="single" w:color="000000" w:sz="4" w:space="0"/>
              <w:bottom w:val="single" w:color="000000" w:sz="4" w:space="0"/>
              <w:right w:val="single" w:color="000000" w:sz="4" w:space="0"/>
            </w:tcBorders>
            <w:vAlign w:val="center"/>
          </w:tcPr>
          <w:p w14:paraId="02AA98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对二氯苯</w:t>
            </w:r>
          </w:p>
        </w:tc>
      </w:tr>
      <w:tr w14:paraId="55198432">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DEBAFF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88</w:t>
            </w:r>
          </w:p>
        </w:tc>
        <w:tc>
          <w:tcPr>
            <w:tcW w:w="1858" w:type="pct"/>
            <w:tcBorders>
              <w:top w:val="single" w:color="000000" w:sz="4" w:space="0"/>
              <w:left w:val="single" w:color="000000" w:sz="4" w:space="0"/>
              <w:bottom w:val="single" w:color="000000" w:sz="4" w:space="0"/>
              <w:right w:val="single" w:color="000000" w:sz="4" w:space="0"/>
            </w:tcBorders>
            <w:vAlign w:val="center"/>
          </w:tcPr>
          <w:p w14:paraId="6C76A93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乙酸乙烯酯</w:t>
            </w:r>
          </w:p>
        </w:tc>
        <w:tc>
          <w:tcPr>
            <w:tcW w:w="744" w:type="pct"/>
            <w:tcBorders>
              <w:top w:val="single" w:color="000000" w:sz="4" w:space="0"/>
              <w:left w:val="single" w:color="000000" w:sz="4" w:space="0"/>
              <w:bottom w:val="single" w:color="000000" w:sz="4" w:space="0"/>
              <w:right w:val="single" w:color="000000" w:sz="4" w:space="0"/>
            </w:tcBorders>
            <w:vAlign w:val="center"/>
          </w:tcPr>
          <w:p w14:paraId="5AD2FA8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113</w:t>
            </w:r>
          </w:p>
        </w:tc>
        <w:tc>
          <w:tcPr>
            <w:tcW w:w="1846" w:type="pct"/>
            <w:tcBorders>
              <w:top w:val="single" w:color="000000" w:sz="4" w:space="0"/>
              <w:left w:val="single" w:color="000000" w:sz="4" w:space="0"/>
              <w:bottom w:val="single" w:color="000000" w:sz="4" w:space="0"/>
              <w:right w:val="single" w:color="000000" w:sz="4" w:space="0"/>
            </w:tcBorders>
            <w:vAlign w:val="center"/>
          </w:tcPr>
          <w:p w14:paraId="20886C2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氯代甲苯</w:t>
            </w:r>
          </w:p>
        </w:tc>
      </w:tr>
      <w:tr w14:paraId="7F5F177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62FCE7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89</w:t>
            </w:r>
          </w:p>
        </w:tc>
        <w:tc>
          <w:tcPr>
            <w:tcW w:w="1858" w:type="pct"/>
            <w:tcBorders>
              <w:top w:val="single" w:color="000000" w:sz="4" w:space="0"/>
              <w:left w:val="single" w:color="000000" w:sz="4" w:space="0"/>
              <w:bottom w:val="single" w:color="000000" w:sz="4" w:space="0"/>
              <w:right w:val="single" w:color="000000" w:sz="4" w:space="0"/>
            </w:tcBorders>
            <w:vAlign w:val="center"/>
          </w:tcPr>
          <w:p w14:paraId="2BD8AEF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1,1,1-</w:t>
            </w:r>
            <w:r>
              <w:rPr>
                <w:rStyle w:val="249"/>
                <w:rFonts w:hint="default" w:ascii="Times New Roman" w:hAnsi="Times New Roman" w:eastAsia="宋体" w:cs="Times New Roman"/>
                <w:color w:val="auto"/>
                <w:sz w:val="21"/>
                <w:szCs w:val="21"/>
                <w:highlight w:val="none"/>
                <w:lang w:bidi="ar"/>
              </w:rPr>
              <w:t>三氯乙烷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37C27E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114</w:t>
            </w:r>
          </w:p>
        </w:tc>
        <w:tc>
          <w:tcPr>
            <w:tcW w:w="1846" w:type="pct"/>
            <w:tcBorders>
              <w:top w:val="single" w:color="000000" w:sz="4" w:space="0"/>
              <w:left w:val="single" w:color="000000" w:sz="4" w:space="0"/>
              <w:bottom w:val="single" w:color="000000" w:sz="4" w:space="0"/>
              <w:right w:val="single" w:color="000000" w:sz="4" w:space="0"/>
            </w:tcBorders>
            <w:vAlign w:val="center"/>
          </w:tcPr>
          <w:p w14:paraId="2256DEB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邻二氯苯</w:t>
            </w:r>
          </w:p>
        </w:tc>
      </w:tr>
      <w:tr w14:paraId="4ED62FF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1204A6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90</w:t>
            </w:r>
          </w:p>
        </w:tc>
        <w:tc>
          <w:tcPr>
            <w:tcW w:w="1858" w:type="pct"/>
            <w:tcBorders>
              <w:top w:val="single" w:color="000000" w:sz="4" w:space="0"/>
              <w:left w:val="single" w:color="000000" w:sz="4" w:space="0"/>
              <w:bottom w:val="single" w:color="000000" w:sz="4" w:space="0"/>
              <w:right w:val="single" w:color="000000" w:sz="4" w:space="0"/>
            </w:tcBorders>
            <w:vAlign w:val="center"/>
          </w:tcPr>
          <w:p w14:paraId="69C2389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四氯化碳</w:t>
            </w:r>
          </w:p>
        </w:tc>
        <w:tc>
          <w:tcPr>
            <w:tcW w:w="744" w:type="pct"/>
            <w:tcBorders>
              <w:top w:val="single" w:color="000000" w:sz="4" w:space="0"/>
              <w:left w:val="single" w:color="000000" w:sz="4" w:space="0"/>
              <w:bottom w:val="single" w:color="000000" w:sz="4" w:space="0"/>
              <w:right w:val="single" w:color="000000" w:sz="4" w:space="0"/>
            </w:tcBorders>
            <w:vAlign w:val="center"/>
          </w:tcPr>
          <w:p w14:paraId="4599304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115</w:t>
            </w:r>
          </w:p>
        </w:tc>
        <w:tc>
          <w:tcPr>
            <w:tcW w:w="1846" w:type="pct"/>
            <w:tcBorders>
              <w:top w:val="single" w:color="000000" w:sz="4" w:space="0"/>
              <w:left w:val="single" w:color="000000" w:sz="4" w:space="0"/>
              <w:bottom w:val="single" w:color="000000" w:sz="4" w:space="0"/>
              <w:right w:val="single" w:color="000000" w:sz="4" w:space="0"/>
            </w:tcBorders>
            <w:vAlign w:val="center"/>
          </w:tcPr>
          <w:p w14:paraId="1D887AE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1,1,2,3,4,4-</w:t>
            </w:r>
            <w:r>
              <w:rPr>
                <w:rStyle w:val="249"/>
                <w:rFonts w:hint="default" w:ascii="Times New Roman" w:hAnsi="Times New Roman" w:eastAsia="宋体" w:cs="Times New Roman"/>
                <w:color w:val="auto"/>
                <w:sz w:val="21"/>
                <w:szCs w:val="21"/>
                <w:highlight w:val="none"/>
                <w:lang w:bidi="ar"/>
              </w:rPr>
              <w:t>六氯</w:t>
            </w: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丁二烯</w:t>
            </w:r>
          </w:p>
        </w:tc>
      </w:tr>
      <w:tr w14:paraId="332B436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CBF4EC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91</w:t>
            </w:r>
          </w:p>
        </w:tc>
        <w:tc>
          <w:tcPr>
            <w:tcW w:w="1858" w:type="pct"/>
            <w:tcBorders>
              <w:top w:val="single" w:color="000000" w:sz="4" w:space="0"/>
              <w:left w:val="single" w:color="000000" w:sz="4" w:space="0"/>
              <w:bottom w:val="single" w:color="000000" w:sz="4" w:space="0"/>
              <w:right w:val="single" w:color="000000" w:sz="4" w:space="0"/>
            </w:tcBorders>
            <w:vAlign w:val="center"/>
          </w:tcPr>
          <w:p w14:paraId="54A8798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乙酸乙酯</w:t>
            </w:r>
          </w:p>
        </w:tc>
        <w:tc>
          <w:tcPr>
            <w:tcW w:w="744" w:type="pct"/>
            <w:tcBorders>
              <w:top w:val="single" w:color="000000" w:sz="4" w:space="0"/>
              <w:left w:val="single" w:color="000000" w:sz="4" w:space="0"/>
              <w:bottom w:val="single" w:color="000000" w:sz="4" w:space="0"/>
              <w:right w:val="single" w:color="000000" w:sz="4" w:space="0"/>
            </w:tcBorders>
            <w:vAlign w:val="center"/>
          </w:tcPr>
          <w:p w14:paraId="176F997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116</w:t>
            </w:r>
          </w:p>
        </w:tc>
        <w:tc>
          <w:tcPr>
            <w:tcW w:w="1846" w:type="pct"/>
            <w:tcBorders>
              <w:top w:val="single" w:color="000000" w:sz="4" w:space="0"/>
              <w:left w:val="single" w:color="000000" w:sz="4" w:space="0"/>
              <w:bottom w:val="single" w:color="000000" w:sz="4" w:space="0"/>
              <w:right w:val="single" w:color="000000" w:sz="4" w:space="0"/>
            </w:tcBorders>
            <w:vAlign w:val="center"/>
          </w:tcPr>
          <w:p w14:paraId="635AF67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萘</w:t>
            </w:r>
          </w:p>
        </w:tc>
      </w:tr>
      <w:tr w14:paraId="25064F4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EE3330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92</w:t>
            </w:r>
          </w:p>
        </w:tc>
        <w:tc>
          <w:tcPr>
            <w:tcW w:w="1858" w:type="pct"/>
            <w:tcBorders>
              <w:top w:val="single" w:color="000000" w:sz="4" w:space="0"/>
              <w:left w:val="single" w:color="000000" w:sz="4" w:space="0"/>
              <w:bottom w:val="single" w:color="000000" w:sz="4" w:space="0"/>
              <w:right w:val="single" w:color="000000" w:sz="4" w:space="0"/>
            </w:tcBorders>
            <w:vAlign w:val="center"/>
          </w:tcPr>
          <w:p w14:paraId="463E5ED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异丙醇</w:t>
            </w:r>
          </w:p>
        </w:tc>
        <w:tc>
          <w:tcPr>
            <w:tcW w:w="744" w:type="pct"/>
            <w:tcBorders>
              <w:top w:val="single" w:color="000000" w:sz="4" w:space="0"/>
              <w:left w:val="single" w:color="000000" w:sz="4" w:space="0"/>
              <w:bottom w:val="single" w:color="000000" w:sz="4" w:space="0"/>
              <w:right w:val="single" w:color="000000" w:sz="4" w:space="0"/>
            </w:tcBorders>
            <w:vAlign w:val="center"/>
          </w:tcPr>
          <w:p w14:paraId="3419AB3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c>
          <w:tcPr>
            <w:tcW w:w="1846" w:type="pct"/>
            <w:tcBorders>
              <w:top w:val="single" w:color="000000" w:sz="4" w:space="0"/>
              <w:left w:val="single" w:color="000000" w:sz="4" w:space="0"/>
              <w:bottom w:val="single" w:color="000000" w:sz="4" w:space="0"/>
              <w:right w:val="single" w:color="000000" w:sz="4" w:space="0"/>
            </w:tcBorders>
            <w:vAlign w:val="center"/>
          </w:tcPr>
          <w:p w14:paraId="67B9E47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r>
      <w:tr w14:paraId="53B81154">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B08461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93</w:t>
            </w:r>
          </w:p>
        </w:tc>
        <w:tc>
          <w:tcPr>
            <w:tcW w:w="1858" w:type="pct"/>
            <w:tcBorders>
              <w:top w:val="single" w:color="000000" w:sz="4" w:space="0"/>
              <w:left w:val="single" w:color="000000" w:sz="4" w:space="0"/>
              <w:bottom w:val="single" w:color="000000" w:sz="4" w:space="0"/>
              <w:right w:val="single" w:color="000000" w:sz="4" w:space="0"/>
            </w:tcBorders>
            <w:vAlign w:val="center"/>
          </w:tcPr>
          <w:p w14:paraId="3925176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w:t>
            </w:r>
            <w:r>
              <w:rPr>
                <w:rStyle w:val="249"/>
                <w:rFonts w:hint="default" w:ascii="Times New Roman" w:hAnsi="Times New Roman" w:eastAsia="宋体" w:cs="Times New Roman"/>
                <w:color w:val="auto"/>
                <w:sz w:val="21"/>
                <w:szCs w:val="21"/>
                <w:highlight w:val="none"/>
                <w:lang w:bidi="ar"/>
              </w:rPr>
              <w:t>二氯乙烷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4E0CE2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c>
          <w:tcPr>
            <w:tcW w:w="1846" w:type="pct"/>
            <w:tcBorders>
              <w:top w:val="single" w:color="000000" w:sz="4" w:space="0"/>
              <w:left w:val="single" w:color="000000" w:sz="4" w:space="0"/>
              <w:bottom w:val="single" w:color="000000" w:sz="4" w:space="0"/>
              <w:right w:val="single" w:color="000000" w:sz="4" w:space="0"/>
            </w:tcBorders>
            <w:noWrap/>
            <w:vAlign w:val="center"/>
          </w:tcPr>
          <w:p w14:paraId="0A759A3F">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p>
        </w:tc>
      </w:tr>
      <w:tr w14:paraId="7A9FB55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050A28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94</w:t>
            </w:r>
          </w:p>
        </w:tc>
        <w:tc>
          <w:tcPr>
            <w:tcW w:w="1858" w:type="pct"/>
            <w:tcBorders>
              <w:top w:val="single" w:color="000000" w:sz="4" w:space="0"/>
              <w:left w:val="single" w:color="000000" w:sz="4" w:space="0"/>
              <w:bottom w:val="single" w:color="000000" w:sz="4" w:space="0"/>
              <w:right w:val="single" w:color="000000" w:sz="4" w:space="0"/>
            </w:tcBorders>
            <w:vAlign w:val="center"/>
          </w:tcPr>
          <w:p w14:paraId="7498D59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775EF7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c>
          <w:tcPr>
            <w:tcW w:w="1846" w:type="pct"/>
            <w:tcBorders>
              <w:top w:val="single" w:color="000000" w:sz="4" w:space="0"/>
              <w:left w:val="single" w:color="000000" w:sz="4" w:space="0"/>
              <w:bottom w:val="single" w:color="000000" w:sz="4" w:space="0"/>
              <w:right w:val="single" w:color="000000" w:sz="4" w:space="0"/>
            </w:tcBorders>
            <w:noWrap/>
            <w:vAlign w:val="center"/>
          </w:tcPr>
          <w:p w14:paraId="5E8BCC38">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p>
        </w:tc>
      </w:tr>
    </w:tbl>
    <w:p w14:paraId="1BE211B7">
      <w:pPr>
        <w:pageBreakBefore w:val="0"/>
        <w:kinsoku/>
        <w:wordWrap/>
        <w:overflowPunct/>
        <w:topLinePunct w:val="0"/>
        <w:bidi w:val="0"/>
        <w:spacing w:line="360" w:lineRule="auto"/>
        <w:rPr>
          <w:rFonts w:hint="default" w:ascii="Times New Roman" w:hAnsi="Times New Roman" w:eastAsia="宋体" w:cs="Times New Roman"/>
          <w:highlight w:val="none"/>
        </w:rPr>
      </w:pPr>
    </w:p>
    <w:p w14:paraId="5DF14AEF">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25C65209">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包6：质控实验室及温室气体质控等相关运维服务</w:t>
      </w:r>
    </w:p>
    <w:p w14:paraId="48C96394">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一、项目概况</w:t>
      </w:r>
    </w:p>
    <w:p w14:paraId="37E06B5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本项目包含省建站数据联网及远程质控服务及省级大气质控实验室维护服务。</w:t>
      </w:r>
    </w:p>
    <w:p w14:paraId="11210F4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1.1省建站数据联网及远程质控运维服务：本项目为江苏省空气质量自动监测质控管理硬件维保及软件升级服务，主要包括数据库维护、系统漏洞修复、二次开发、服务器延保等。</w:t>
      </w:r>
    </w:p>
    <w:p w14:paraId="755CE446">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表1-1 省建站数据联网及远程质控运维服务清单</w:t>
      </w:r>
    </w:p>
    <w:tbl>
      <w:tblPr>
        <w:tblStyle w:val="4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908"/>
        <w:gridCol w:w="2808"/>
      </w:tblGrid>
      <w:tr w14:paraId="706B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91" w:type="dxa"/>
            <w:vAlign w:val="center"/>
          </w:tcPr>
          <w:p w14:paraId="092B67B0">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序号</w:t>
            </w:r>
          </w:p>
        </w:tc>
        <w:tc>
          <w:tcPr>
            <w:tcW w:w="4970" w:type="dxa"/>
            <w:vAlign w:val="center"/>
          </w:tcPr>
          <w:p w14:paraId="0BB952DF">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运维项目</w:t>
            </w:r>
          </w:p>
        </w:tc>
        <w:tc>
          <w:tcPr>
            <w:tcW w:w="2839" w:type="dxa"/>
            <w:vAlign w:val="center"/>
          </w:tcPr>
          <w:p w14:paraId="5EE9B800">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分项预算</w:t>
            </w:r>
          </w:p>
          <w:p w14:paraId="55A3DD63">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（万元/年）</w:t>
            </w:r>
          </w:p>
        </w:tc>
      </w:tr>
      <w:tr w14:paraId="5EF4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1" w:type="dxa"/>
            <w:vAlign w:val="center"/>
          </w:tcPr>
          <w:p w14:paraId="4219D387">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70" w:type="dxa"/>
            <w:vAlign w:val="center"/>
          </w:tcPr>
          <w:p w14:paraId="160681A6">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江苏省空气质量自动监测质控管理维护</w:t>
            </w:r>
          </w:p>
        </w:tc>
        <w:tc>
          <w:tcPr>
            <w:tcW w:w="2839" w:type="dxa"/>
            <w:vAlign w:val="center"/>
          </w:tcPr>
          <w:p w14:paraId="636A98FF">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9</w:t>
            </w:r>
          </w:p>
        </w:tc>
      </w:tr>
      <w:tr w14:paraId="7C67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91" w:type="dxa"/>
            <w:vAlign w:val="center"/>
          </w:tcPr>
          <w:p w14:paraId="63659D56">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w:t>
            </w:r>
          </w:p>
        </w:tc>
        <w:tc>
          <w:tcPr>
            <w:tcW w:w="4970" w:type="dxa"/>
            <w:vAlign w:val="center"/>
          </w:tcPr>
          <w:p w14:paraId="10683A75">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服务器延保服务（一年）</w:t>
            </w:r>
          </w:p>
        </w:tc>
        <w:tc>
          <w:tcPr>
            <w:tcW w:w="2839" w:type="dxa"/>
            <w:vAlign w:val="center"/>
          </w:tcPr>
          <w:p w14:paraId="03E1F088">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6</w:t>
            </w:r>
          </w:p>
        </w:tc>
      </w:tr>
      <w:tr w14:paraId="26B9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61" w:type="dxa"/>
            <w:gridSpan w:val="2"/>
            <w:vAlign w:val="center"/>
          </w:tcPr>
          <w:p w14:paraId="2CFDC5ED">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合计</w:t>
            </w:r>
          </w:p>
        </w:tc>
        <w:tc>
          <w:tcPr>
            <w:tcW w:w="2839" w:type="dxa"/>
            <w:vAlign w:val="center"/>
          </w:tcPr>
          <w:p w14:paraId="7DCD2AFF">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15</w:t>
            </w:r>
          </w:p>
        </w:tc>
      </w:tr>
    </w:tbl>
    <w:p w14:paraId="01355A9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1.2质控实验室运维服务：本项目包含江苏省环境监测中心于2012年建设的省级大气质控实验室及省控站质控能力提升两个项目配备的NIST原级标准光度计（SRP 52#）、流量计、颗粒物手工采样器、颗粒物自动比对分析仪等各类质控设备的运维服务，共48台套，目前上述设备运行正常。</w:t>
      </w:r>
    </w:p>
    <w:p w14:paraId="45708C83">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表1-2质控实验室设备清单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63"/>
        <w:gridCol w:w="2825"/>
        <w:gridCol w:w="2078"/>
        <w:gridCol w:w="1440"/>
        <w:gridCol w:w="1410"/>
      </w:tblGrid>
      <w:tr w14:paraId="2F18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63" w:type="dxa"/>
            <w:shd w:val="clear" w:color="auto" w:fill="FFFFFF"/>
            <w:vAlign w:val="center"/>
          </w:tcPr>
          <w:p w14:paraId="2FA3ABB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序号</w:t>
            </w:r>
          </w:p>
        </w:tc>
        <w:tc>
          <w:tcPr>
            <w:tcW w:w="2825" w:type="dxa"/>
            <w:shd w:val="clear" w:color="auto" w:fill="FFFFFF"/>
            <w:vAlign w:val="center"/>
          </w:tcPr>
          <w:p w14:paraId="533B5C9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仪器名称</w:t>
            </w:r>
          </w:p>
        </w:tc>
        <w:tc>
          <w:tcPr>
            <w:tcW w:w="2078" w:type="dxa"/>
            <w:shd w:val="clear" w:color="auto" w:fill="FFFFFF"/>
            <w:vAlign w:val="center"/>
          </w:tcPr>
          <w:p w14:paraId="77EAECA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型号规格</w:t>
            </w:r>
          </w:p>
        </w:tc>
        <w:tc>
          <w:tcPr>
            <w:tcW w:w="1440" w:type="dxa"/>
            <w:shd w:val="clear" w:color="auto" w:fill="FFFFFF"/>
            <w:vAlign w:val="center"/>
          </w:tcPr>
          <w:p w14:paraId="072652B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数量</w:t>
            </w:r>
          </w:p>
          <w:p w14:paraId="5EC898D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(台/套)</w:t>
            </w:r>
          </w:p>
        </w:tc>
        <w:tc>
          <w:tcPr>
            <w:tcW w:w="1410" w:type="dxa"/>
            <w:shd w:val="clear" w:color="auto" w:fill="FFFFFF"/>
            <w:vAlign w:val="center"/>
          </w:tcPr>
          <w:p w14:paraId="1A669BE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分项预算</w:t>
            </w:r>
          </w:p>
          <w:p w14:paraId="60D3E2FF">
            <w:pPr>
              <w:pStyle w:val="6"/>
              <w:pageBreakBefore w:val="0"/>
              <w:kinsoku/>
              <w:wordWrap/>
              <w:overflowPunct/>
              <w:topLinePunct w:val="0"/>
              <w:bidi w:val="0"/>
              <w:spacing w:before="0" w:after="0"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b w:val="0"/>
                <w:sz w:val="21"/>
                <w:szCs w:val="21"/>
                <w:highlight w:val="none"/>
              </w:rPr>
              <w:t>（万元/年）</w:t>
            </w:r>
          </w:p>
        </w:tc>
      </w:tr>
      <w:tr w14:paraId="30EA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FFFFFF"/>
            <w:vAlign w:val="center"/>
          </w:tcPr>
          <w:p w14:paraId="3919D7C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c>
          <w:tcPr>
            <w:tcW w:w="2825" w:type="dxa"/>
            <w:shd w:val="clear" w:color="auto" w:fill="FFFFFF"/>
            <w:vAlign w:val="center"/>
          </w:tcPr>
          <w:p w14:paraId="533D3AC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NIST臭氧原级标准光度计</w:t>
            </w:r>
          </w:p>
        </w:tc>
        <w:tc>
          <w:tcPr>
            <w:tcW w:w="2078" w:type="dxa"/>
            <w:shd w:val="clear" w:color="auto" w:fill="FFFFFF"/>
            <w:vAlign w:val="center"/>
          </w:tcPr>
          <w:p w14:paraId="144CEB2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NIST SRP</w:t>
            </w:r>
          </w:p>
        </w:tc>
        <w:tc>
          <w:tcPr>
            <w:tcW w:w="1440" w:type="dxa"/>
            <w:shd w:val="clear" w:color="auto" w:fill="FFFFFF"/>
            <w:vAlign w:val="center"/>
          </w:tcPr>
          <w:p w14:paraId="52F6DAF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c>
          <w:tcPr>
            <w:tcW w:w="1410" w:type="dxa"/>
            <w:shd w:val="clear" w:color="auto" w:fill="FFFFFF"/>
          </w:tcPr>
          <w:p w14:paraId="4749151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r>
      <w:tr w14:paraId="06A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FFFFFF"/>
            <w:vAlign w:val="center"/>
          </w:tcPr>
          <w:p w14:paraId="7B88B5B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c>
          <w:tcPr>
            <w:tcW w:w="2825" w:type="dxa"/>
            <w:shd w:val="clear" w:color="auto" w:fill="FFFFFF"/>
            <w:vAlign w:val="center"/>
          </w:tcPr>
          <w:p w14:paraId="0FA16A2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BIOS Lab高精度流量计</w:t>
            </w:r>
          </w:p>
        </w:tc>
        <w:tc>
          <w:tcPr>
            <w:tcW w:w="2078" w:type="dxa"/>
            <w:shd w:val="clear" w:color="auto" w:fill="FFFFFF"/>
            <w:vAlign w:val="center"/>
          </w:tcPr>
          <w:p w14:paraId="2159D1B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BIOS ML800</w:t>
            </w:r>
          </w:p>
        </w:tc>
        <w:tc>
          <w:tcPr>
            <w:tcW w:w="1440" w:type="dxa"/>
            <w:shd w:val="clear" w:color="auto" w:fill="FFFFFF"/>
            <w:vAlign w:val="center"/>
          </w:tcPr>
          <w:p w14:paraId="78FFCFA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c>
          <w:tcPr>
            <w:tcW w:w="1410" w:type="dxa"/>
            <w:shd w:val="clear" w:color="auto" w:fill="FFFFFF"/>
          </w:tcPr>
          <w:p w14:paraId="3BAC99C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6EEF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FFFFFF"/>
            <w:vAlign w:val="center"/>
          </w:tcPr>
          <w:p w14:paraId="06FB343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p>
        </w:tc>
        <w:tc>
          <w:tcPr>
            <w:tcW w:w="2825" w:type="dxa"/>
            <w:shd w:val="clear" w:color="auto" w:fill="FFFFFF"/>
            <w:vAlign w:val="center"/>
          </w:tcPr>
          <w:p w14:paraId="653FE62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BIOS 流量计</w:t>
            </w:r>
          </w:p>
        </w:tc>
        <w:tc>
          <w:tcPr>
            <w:tcW w:w="2078" w:type="dxa"/>
            <w:shd w:val="clear" w:color="auto" w:fill="FFFFFF"/>
            <w:vAlign w:val="center"/>
          </w:tcPr>
          <w:p w14:paraId="4C6F759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530L-530M-530H</w:t>
            </w:r>
          </w:p>
        </w:tc>
        <w:tc>
          <w:tcPr>
            <w:tcW w:w="1440" w:type="dxa"/>
            <w:shd w:val="clear" w:color="auto" w:fill="FFFFFF"/>
            <w:vAlign w:val="center"/>
          </w:tcPr>
          <w:p w14:paraId="02AD910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w:t>
            </w:r>
          </w:p>
        </w:tc>
        <w:tc>
          <w:tcPr>
            <w:tcW w:w="1410" w:type="dxa"/>
            <w:shd w:val="clear" w:color="auto" w:fill="FFFFFF"/>
          </w:tcPr>
          <w:p w14:paraId="6B32AD4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r>
      <w:tr w14:paraId="6DD0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FFFFFF"/>
            <w:vAlign w:val="center"/>
          </w:tcPr>
          <w:p w14:paraId="127AE5B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w:t>
            </w:r>
          </w:p>
        </w:tc>
        <w:tc>
          <w:tcPr>
            <w:tcW w:w="2825" w:type="dxa"/>
            <w:shd w:val="clear" w:color="auto" w:fill="FFFFFF"/>
            <w:vAlign w:val="center"/>
          </w:tcPr>
          <w:p w14:paraId="0F28F5F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颗粒物自动比对分析仪</w:t>
            </w:r>
          </w:p>
        </w:tc>
        <w:tc>
          <w:tcPr>
            <w:tcW w:w="2078" w:type="dxa"/>
            <w:shd w:val="clear" w:color="auto" w:fill="FFFFFF"/>
            <w:vAlign w:val="center"/>
          </w:tcPr>
          <w:p w14:paraId="5A1CBFF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METONE EBAM</w:t>
            </w:r>
          </w:p>
        </w:tc>
        <w:tc>
          <w:tcPr>
            <w:tcW w:w="1440" w:type="dxa"/>
            <w:shd w:val="clear" w:color="auto" w:fill="FFFFFF"/>
            <w:vAlign w:val="center"/>
          </w:tcPr>
          <w:p w14:paraId="392473E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w:t>
            </w:r>
          </w:p>
        </w:tc>
        <w:tc>
          <w:tcPr>
            <w:tcW w:w="1410" w:type="dxa"/>
            <w:shd w:val="clear" w:color="auto" w:fill="FFFFFF"/>
          </w:tcPr>
          <w:p w14:paraId="05BFA44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r>
      <w:tr w14:paraId="5EA4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FFFFFF"/>
            <w:vAlign w:val="center"/>
          </w:tcPr>
          <w:p w14:paraId="2AAC50B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w:t>
            </w:r>
          </w:p>
        </w:tc>
        <w:tc>
          <w:tcPr>
            <w:tcW w:w="2825" w:type="dxa"/>
            <w:shd w:val="clear" w:color="auto" w:fill="FFFFFF"/>
            <w:vAlign w:val="center"/>
          </w:tcPr>
          <w:p w14:paraId="68F0DC2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颗粒物手工采样器</w:t>
            </w:r>
          </w:p>
        </w:tc>
        <w:tc>
          <w:tcPr>
            <w:tcW w:w="2078" w:type="dxa"/>
            <w:shd w:val="clear" w:color="auto" w:fill="FFFFFF"/>
            <w:vAlign w:val="center"/>
          </w:tcPr>
          <w:p w14:paraId="73904B5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BGI PQ-200</w:t>
            </w:r>
          </w:p>
        </w:tc>
        <w:tc>
          <w:tcPr>
            <w:tcW w:w="1440" w:type="dxa"/>
            <w:shd w:val="clear" w:color="auto" w:fill="FFFFFF"/>
            <w:vAlign w:val="center"/>
          </w:tcPr>
          <w:p w14:paraId="238D088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30</w:t>
            </w:r>
          </w:p>
        </w:tc>
        <w:tc>
          <w:tcPr>
            <w:tcW w:w="1410" w:type="dxa"/>
            <w:shd w:val="clear" w:color="auto" w:fill="FFFFFF"/>
          </w:tcPr>
          <w:p w14:paraId="44BC945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w:t>
            </w:r>
          </w:p>
        </w:tc>
      </w:tr>
      <w:tr w14:paraId="3FF5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8" w:type="dxa"/>
            <w:gridSpan w:val="2"/>
            <w:shd w:val="clear" w:color="auto" w:fill="FFFFFF"/>
            <w:vAlign w:val="center"/>
          </w:tcPr>
          <w:p w14:paraId="79BEFF1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合计</w:t>
            </w:r>
          </w:p>
        </w:tc>
        <w:tc>
          <w:tcPr>
            <w:tcW w:w="3518" w:type="dxa"/>
            <w:gridSpan w:val="2"/>
            <w:shd w:val="clear" w:color="auto" w:fill="FFFFFF"/>
            <w:vAlign w:val="center"/>
          </w:tcPr>
          <w:p w14:paraId="573153A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48台（套）</w:t>
            </w:r>
          </w:p>
        </w:tc>
        <w:tc>
          <w:tcPr>
            <w:tcW w:w="1410" w:type="dxa"/>
            <w:shd w:val="clear" w:color="auto" w:fill="FFFFFF"/>
          </w:tcPr>
          <w:p w14:paraId="16FA624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15</w:t>
            </w:r>
          </w:p>
        </w:tc>
      </w:tr>
    </w:tbl>
    <w:p w14:paraId="02AA78DC">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w:t>
      </w:r>
      <w:bookmarkStart w:id="124" w:name="OLE_LINK3"/>
      <w:r>
        <w:rPr>
          <w:rFonts w:hint="default" w:ascii="Times New Roman" w:hAnsi="Times New Roman" w:eastAsia="宋体" w:cs="Times New Roman"/>
          <w:highlight w:val="none"/>
        </w:rPr>
        <w:t>3</w:t>
      </w:r>
      <w:r>
        <w:rPr>
          <w:rFonts w:hint="default" w:ascii="Times New Roman" w:hAnsi="Times New Roman" w:eastAsia="宋体" w:cs="Times New Roman"/>
          <w:bCs/>
          <w:highlight w:val="none"/>
        </w:rPr>
        <w:t>温室气体</w:t>
      </w:r>
      <w:r>
        <w:rPr>
          <w:rFonts w:hint="default" w:ascii="Times New Roman" w:hAnsi="Times New Roman" w:eastAsia="宋体" w:cs="Times New Roman"/>
          <w:highlight w:val="none"/>
        </w:rPr>
        <w:t>质控设备运维服务</w:t>
      </w:r>
      <w:bookmarkEnd w:id="124"/>
      <w:r>
        <w:rPr>
          <w:rFonts w:hint="default" w:ascii="Times New Roman" w:hAnsi="Times New Roman" w:eastAsia="宋体" w:cs="Times New Roman"/>
          <w:highlight w:val="none"/>
        </w:rPr>
        <w:t>：</w:t>
      </w:r>
      <w:r>
        <w:rPr>
          <w:rFonts w:hint="default" w:ascii="Times New Roman" w:hAnsi="Times New Roman" w:eastAsia="宋体" w:cs="Times New Roman"/>
          <w:bCs/>
          <w:highlight w:val="none"/>
        </w:rPr>
        <w:t>本项目包含温室气体质控设备主机和温室气体质控设备辅助设施，其中温室气体质控设备主机包括</w:t>
      </w:r>
      <w:r>
        <w:rPr>
          <w:rFonts w:hint="default" w:ascii="Times New Roman" w:hAnsi="Times New Roman" w:eastAsia="宋体" w:cs="Times New Roman"/>
          <w:highlight w:val="none"/>
        </w:rPr>
        <w:t>高精度气体浓度分析仪（CO</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、CH</w:t>
      </w:r>
      <w:r>
        <w:rPr>
          <w:rFonts w:hint="default" w:ascii="Times New Roman" w:hAnsi="Times New Roman" w:eastAsia="宋体" w:cs="Times New Roman"/>
          <w:highlight w:val="none"/>
          <w:vertAlign w:val="subscript"/>
        </w:rPr>
        <w:t>4</w:t>
      </w:r>
      <w:r>
        <w:rPr>
          <w:rFonts w:hint="default" w:ascii="Times New Roman" w:hAnsi="Times New Roman" w:eastAsia="宋体" w:cs="Times New Roman"/>
          <w:highlight w:val="none"/>
        </w:rPr>
        <w:t>、H</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O）和高精度气体浓度分析仪（N</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O、CO、H</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O）</w:t>
      </w:r>
      <w:r>
        <w:rPr>
          <w:rFonts w:hint="default" w:ascii="Times New Roman" w:hAnsi="Times New Roman" w:eastAsia="宋体" w:cs="Times New Roman"/>
          <w:bCs/>
          <w:highlight w:val="none"/>
        </w:rPr>
        <w:t>，共3台套，目前上述设备运行正常。</w:t>
      </w:r>
    </w:p>
    <w:p w14:paraId="47F1D753">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表1-3 温室气体质控设备运维清单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43"/>
        <w:gridCol w:w="1877"/>
        <w:gridCol w:w="2353"/>
        <w:gridCol w:w="1082"/>
        <w:gridCol w:w="1173"/>
        <w:gridCol w:w="1388"/>
      </w:tblGrid>
      <w:tr w14:paraId="3F56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43" w:type="dxa"/>
            <w:shd w:val="clear" w:color="auto" w:fill="FFFFFF"/>
            <w:vAlign w:val="center"/>
          </w:tcPr>
          <w:p w14:paraId="1A563A74">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序号</w:t>
            </w:r>
          </w:p>
        </w:tc>
        <w:tc>
          <w:tcPr>
            <w:tcW w:w="1877" w:type="dxa"/>
            <w:shd w:val="clear" w:color="auto" w:fill="FFFFFF"/>
            <w:vAlign w:val="center"/>
          </w:tcPr>
          <w:p w14:paraId="1EBE9F41">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产品名称</w:t>
            </w:r>
          </w:p>
        </w:tc>
        <w:tc>
          <w:tcPr>
            <w:tcW w:w="2353" w:type="dxa"/>
            <w:shd w:val="clear" w:color="auto" w:fill="FFFFFF"/>
            <w:vAlign w:val="center"/>
          </w:tcPr>
          <w:p w14:paraId="5A5A115B">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设备名称</w:t>
            </w:r>
          </w:p>
        </w:tc>
        <w:tc>
          <w:tcPr>
            <w:tcW w:w="1082" w:type="dxa"/>
            <w:shd w:val="clear" w:color="auto" w:fill="FFFFFF"/>
            <w:vAlign w:val="center"/>
          </w:tcPr>
          <w:p w14:paraId="0DCB6621">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型号规格</w:t>
            </w:r>
          </w:p>
        </w:tc>
        <w:tc>
          <w:tcPr>
            <w:tcW w:w="1173" w:type="dxa"/>
            <w:shd w:val="clear" w:color="auto" w:fill="FFFFFF"/>
            <w:vAlign w:val="center"/>
          </w:tcPr>
          <w:p w14:paraId="6892B64D">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数量</w:t>
            </w:r>
          </w:p>
          <w:p w14:paraId="6B9AA00D">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default" w:ascii="Times New Roman" w:hAnsi="Times New Roman" w:eastAsia="宋体" w:cs="Times New Roman"/>
                <w:highlight w:val="none"/>
              </w:rPr>
              <w:t>台/套</w:t>
            </w:r>
            <w:r>
              <w:rPr>
                <w:rFonts w:hint="eastAsia" w:ascii="Times New Roman" w:hAnsi="Times New Roman" w:eastAsia="宋体" w:cs="Times New Roman"/>
                <w:highlight w:val="none"/>
                <w:lang w:eastAsia="zh-CN"/>
              </w:rPr>
              <w:t>）</w:t>
            </w:r>
          </w:p>
        </w:tc>
        <w:tc>
          <w:tcPr>
            <w:tcW w:w="1388" w:type="dxa"/>
            <w:shd w:val="clear" w:color="auto" w:fill="FFFFFF"/>
            <w:vAlign w:val="center"/>
          </w:tcPr>
          <w:p w14:paraId="3373B5B3">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分项预算</w:t>
            </w:r>
          </w:p>
          <w:p w14:paraId="28CA2BD7">
            <w:pPr>
              <w:pageBreakBefore w:val="0"/>
              <w:kinsoku/>
              <w:wordWrap/>
              <w:overflowPunct/>
              <w:topLinePunct w:val="0"/>
              <w:bidi w:val="0"/>
              <w:spacing w:line="360" w:lineRule="auto"/>
              <w:jc w:val="center"/>
              <w:rPr>
                <w:rFonts w:hint="default" w:ascii="Times New Roman" w:hAnsi="Times New Roman" w:eastAsia="宋体" w:cs="Times New Roman"/>
                <w:b/>
                <w:bCs/>
                <w:highlight w:val="none"/>
              </w:rPr>
            </w:pPr>
            <w:r>
              <w:rPr>
                <w:rFonts w:hint="default" w:ascii="Times New Roman" w:hAnsi="Times New Roman" w:eastAsia="宋体" w:cs="Times New Roman"/>
                <w:bCs/>
                <w:highlight w:val="none"/>
              </w:rPr>
              <w:t>（万元/年）</w:t>
            </w:r>
          </w:p>
        </w:tc>
      </w:tr>
      <w:tr w14:paraId="79D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restart"/>
            <w:shd w:val="clear" w:color="auto" w:fill="FFFFFF"/>
            <w:vAlign w:val="center"/>
          </w:tcPr>
          <w:p w14:paraId="5B05CD5A">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1877" w:type="dxa"/>
            <w:vMerge w:val="restart"/>
            <w:shd w:val="clear" w:color="auto" w:fill="FFFFFF"/>
            <w:vAlign w:val="center"/>
          </w:tcPr>
          <w:p w14:paraId="13122BD2">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温室气体质控设备主机</w:t>
            </w:r>
          </w:p>
        </w:tc>
        <w:tc>
          <w:tcPr>
            <w:tcW w:w="2353" w:type="dxa"/>
            <w:shd w:val="clear" w:color="auto" w:fill="FFFFFF"/>
          </w:tcPr>
          <w:p w14:paraId="665CA4AE">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高精度气体浓度分析仪（CO</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、CH</w:t>
            </w:r>
            <w:r>
              <w:rPr>
                <w:rFonts w:hint="default" w:ascii="Times New Roman" w:hAnsi="Times New Roman" w:eastAsia="宋体" w:cs="Times New Roman"/>
                <w:highlight w:val="none"/>
                <w:vertAlign w:val="subscript"/>
              </w:rPr>
              <w:t>4</w:t>
            </w:r>
            <w:r>
              <w:rPr>
                <w:rFonts w:hint="default" w:ascii="Times New Roman" w:hAnsi="Times New Roman" w:eastAsia="宋体" w:cs="Times New Roman"/>
                <w:highlight w:val="none"/>
              </w:rPr>
              <w:t>、H</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O）</w:t>
            </w:r>
          </w:p>
        </w:tc>
        <w:tc>
          <w:tcPr>
            <w:tcW w:w="1082" w:type="dxa"/>
            <w:shd w:val="clear" w:color="auto" w:fill="FFFFFF"/>
            <w:vAlign w:val="center"/>
          </w:tcPr>
          <w:p w14:paraId="7D1C5E4F">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G2301</w:t>
            </w:r>
          </w:p>
        </w:tc>
        <w:tc>
          <w:tcPr>
            <w:tcW w:w="1173" w:type="dxa"/>
            <w:shd w:val="clear" w:color="auto" w:fill="FFFFFF"/>
            <w:vAlign w:val="center"/>
          </w:tcPr>
          <w:p w14:paraId="5CA5D637">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1388" w:type="dxa"/>
            <w:shd w:val="clear" w:color="auto" w:fill="FFFFFF"/>
            <w:vAlign w:val="center"/>
          </w:tcPr>
          <w:p w14:paraId="7BE21F0A">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4</w:t>
            </w:r>
          </w:p>
        </w:tc>
      </w:tr>
      <w:tr w14:paraId="7EE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43" w:type="dxa"/>
            <w:vMerge w:val="continue"/>
            <w:shd w:val="clear" w:color="auto" w:fill="FFFFFF"/>
            <w:vAlign w:val="center"/>
          </w:tcPr>
          <w:p w14:paraId="59229969">
            <w:pPr>
              <w:pageBreakBefore w:val="0"/>
              <w:kinsoku/>
              <w:wordWrap/>
              <w:overflowPunct/>
              <w:topLinePunct w:val="0"/>
              <w:bidi w:val="0"/>
              <w:spacing w:line="360" w:lineRule="auto"/>
              <w:rPr>
                <w:rFonts w:hint="default" w:ascii="Times New Roman" w:hAnsi="Times New Roman" w:eastAsia="宋体" w:cs="Times New Roman"/>
                <w:highlight w:val="none"/>
              </w:rPr>
            </w:pPr>
          </w:p>
        </w:tc>
        <w:tc>
          <w:tcPr>
            <w:tcW w:w="1877" w:type="dxa"/>
            <w:vMerge w:val="continue"/>
            <w:shd w:val="clear" w:color="auto" w:fill="FFFFFF"/>
            <w:vAlign w:val="center"/>
          </w:tcPr>
          <w:p w14:paraId="24B3CBC6">
            <w:pPr>
              <w:pageBreakBefore w:val="0"/>
              <w:kinsoku/>
              <w:wordWrap/>
              <w:overflowPunct/>
              <w:topLinePunct w:val="0"/>
              <w:bidi w:val="0"/>
              <w:spacing w:line="360" w:lineRule="auto"/>
              <w:rPr>
                <w:rFonts w:hint="default" w:ascii="Times New Roman" w:hAnsi="Times New Roman" w:eastAsia="宋体" w:cs="Times New Roman"/>
                <w:highlight w:val="none"/>
              </w:rPr>
            </w:pPr>
          </w:p>
        </w:tc>
        <w:tc>
          <w:tcPr>
            <w:tcW w:w="2353" w:type="dxa"/>
            <w:shd w:val="clear" w:color="auto" w:fill="FFFFFF"/>
          </w:tcPr>
          <w:p w14:paraId="229D39FD">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高精度气体浓度分析仪（N</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O、CO、H</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rPr>
              <w:t>O）</w:t>
            </w:r>
          </w:p>
        </w:tc>
        <w:tc>
          <w:tcPr>
            <w:tcW w:w="1082" w:type="dxa"/>
            <w:shd w:val="clear" w:color="auto" w:fill="FFFFFF"/>
            <w:vAlign w:val="center"/>
          </w:tcPr>
          <w:p w14:paraId="57F28CE7">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PI5310</w:t>
            </w:r>
          </w:p>
        </w:tc>
        <w:tc>
          <w:tcPr>
            <w:tcW w:w="1173" w:type="dxa"/>
            <w:shd w:val="clear" w:color="auto" w:fill="FFFFFF"/>
            <w:vAlign w:val="center"/>
          </w:tcPr>
          <w:p w14:paraId="446A8EFF">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1388" w:type="dxa"/>
            <w:shd w:val="clear" w:color="auto" w:fill="FFFFFF"/>
            <w:vAlign w:val="center"/>
          </w:tcPr>
          <w:p w14:paraId="69F9CF15">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4</w:t>
            </w:r>
          </w:p>
        </w:tc>
      </w:tr>
      <w:tr w14:paraId="548F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shd w:val="clear" w:color="auto" w:fill="FFFFFF"/>
            <w:vAlign w:val="center"/>
          </w:tcPr>
          <w:p w14:paraId="56C8A04E">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2</w:t>
            </w:r>
          </w:p>
        </w:tc>
        <w:tc>
          <w:tcPr>
            <w:tcW w:w="1877" w:type="dxa"/>
            <w:shd w:val="clear" w:color="auto" w:fill="FFFFFF"/>
            <w:vAlign w:val="center"/>
          </w:tcPr>
          <w:p w14:paraId="70884A42">
            <w:pPr>
              <w:pageBreakBefore w:val="0"/>
              <w:kinsoku/>
              <w:wordWrap/>
              <w:overflowPunct/>
              <w:topLinePunct w:val="0"/>
              <w:bidi w:val="0"/>
              <w:spacing w:line="360" w:lineRule="auto"/>
              <w:rPr>
                <w:rFonts w:hint="default" w:ascii="Times New Roman" w:hAnsi="Times New Roman" w:eastAsia="宋体" w:cs="Times New Roman"/>
                <w:highlight w:val="none"/>
              </w:rPr>
            </w:pPr>
            <w:bookmarkStart w:id="125" w:name="OLE_LINK1"/>
            <w:bookmarkStart w:id="126" w:name="OLE_LINK2"/>
            <w:r>
              <w:rPr>
                <w:rFonts w:hint="default" w:ascii="Times New Roman" w:hAnsi="Times New Roman" w:eastAsia="宋体" w:cs="Times New Roman"/>
                <w:highlight w:val="none"/>
              </w:rPr>
              <w:t>温室气体质控设备辅助设施</w:t>
            </w:r>
            <w:bookmarkEnd w:id="125"/>
            <w:bookmarkEnd w:id="126"/>
          </w:p>
        </w:tc>
        <w:tc>
          <w:tcPr>
            <w:tcW w:w="2353" w:type="dxa"/>
            <w:shd w:val="clear" w:color="auto" w:fill="FFFFFF"/>
            <w:vAlign w:val="center"/>
          </w:tcPr>
          <w:p w14:paraId="0A4201B6">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冷阱等</w:t>
            </w:r>
          </w:p>
        </w:tc>
        <w:tc>
          <w:tcPr>
            <w:tcW w:w="1082" w:type="dxa"/>
            <w:shd w:val="clear" w:color="auto" w:fill="FFFFFF"/>
            <w:vAlign w:val="center"/>
          </w:tcPr>
          <w:p w14:paraId="30AACC6C">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定制</w:t>
            </w:r>
          </w:p>
        </w:tc>
        <w:tc>
          <w:tcPr>
            <w:tcW w:w="1173" w:type="dxa"/>
            <w:shd w:val="clear" w:color="auto" w:fill="FFFFFF"/>
            <w:vAlign w:val="center"/>
          </w:tcPr>
          <w:p w14:paraId="368AA255">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1388" w:type="dxa"/>
            <w:shd w:val="clear" w:color="auto" w:fill="FFFFFF"/>
            <w:vAlign w:val="center"/>
          </w:tcPr>
          <w:p w14:paraId="5B61C81B">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w:t>
            </w:r>
          </w:p>
        </w:tc>
      </w:tr>
      <w:tr w14:paraId="4B10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3" w:type="dxa"/>
            <w:gridSpan w:val="3"/>
            <w:shd w:val="clear" w:color="auto" w:fill="FFFFFF"/>
            <w:vAlign w:val="center"/>
          </w:tcPr>
          <w:p w14:paraId="4F743088">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合计</w:t>
            </w:r>
          </w:p>
        </w:tc>
        <w:tc>
          <w:tcPr>
            <w:tcW w:w="2255" w:type="dxa"/>
            <w:gridSpan w:val="2"/>
            <w:shd w:val="clear" w:color="auto" w:fill="FFFFFF"/>
            <w:vAlign w:val="center"/>
          </w:tcPr>
          <w:p w14:paraId="5C5E6539">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3台（套）</w:t>
            </w:r>
          </w:p>
        </w:tc>
        <w:tc>
          <w:tcPr>
            <w:tcW w:w="1388" w:type="dxa"/>
            <w:shd w:val="clear" w:color="auto" w:fill="FFFFFF"/>
          </w:tcPr>
          <w:p w14:paraId="20B82F01">
            <w:pPr>
              <w:pageBreakBefore w:val="0"/>
              <w:kinsoku/>
              <w:wordWrap/>
              <w:overflowPunct/>
              <w:topLinePunct w:val="0"/>
              <w:bidi w:val="0"/>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10</w:t>
            </w:r>
          </w:p>
        </w:tc>
      </w:tr>
    </w:tbl>
    <w:p w14:paraId="1A6D7076">
      <w:pPr>
        <w:pageBreakBefore w:val="0"/>
        <w:kinsoku/>
        <w:wordWrap/>
        <w:overflowPunct/>
        <w:topLinePunct w:val="0"/>
        <w:bidi w:val="0"/>
        <w:spacing w:line="360" w:lineRule="auto"/>
        <w:rPr>
          <w:rFonts w:hint="default" w:ascii="Times New Roman" w:hAnsi="Times New Roman" w:eastAsia="宋体" w:cs="Times New Roman"/>
          <w:highlight w:val="none"/>
        </w:rPr>
      </w:pPr>
    </w:p>
    <w:p w14:paraId="5DF5A84E">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二、总体需求</w:t>
      </w:r>
    </w:p>
    <w:p w14:paraId="3781EA8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2.1投标人应配备运维工作所需要的专用仪器维修工具（包括万用表、工具箱等）、通讯调试工具（包括各种硬件接口线、改线工具、接口调试软件及常用零部件等）。</w:t>
      </w:r>
    </w:p>
    <w:p w14:paraId="46E3657B">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2.2投标人应提供完整的运维人员管理方案，具备应对人员流动的应急预案，提出解决技术人员队伍稳定的措施。</w:t>
      </w:r>
    </w:p>
    <w:p w14:paraId="58E88E6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2.3投标人</w:t>
      </w:r>
      <w:r>
        <w:rPr>
          <w:rFonts w:hint="default" w:ascii="Times New Roman" w:hAnsi="Times New Roman" w:eastAsia="宋体" w:cs="Times New Roman"/>
          <w:szCs w:val="20"/>
          <w:highlight w:val="none"/>
        </w:rPr>
        <w:t>在运维区域2小时车程范围内至少设立1个运维技术支持机构，</w:t>
      </w:r>
      <w:r>
        <w:rPr>
          <w:rFonts w:hint="default" w:ascii="Times New Roman" w:hAnsi="Times New Roman" w:eastAsia="宋体" w:cs="Times New Roman"/>
          <w:bCs/>
          <w:highlight w:val="none"/>
        </w:rPr>
        <w:t>应提供详细的运维管理服务方案、质量控制方案和应急服务保障方案。</w:t>
      </w:r>
    </w:p>
    <w:p w14:paraId="5E93C290">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2.4在该设备代维及管理期间，投标人应严格按照招标人要求的操作规范和规章制度（详见运维项目需求部分），对所管理的系统及仪器设备进行规范操作和精心维护及必要维修，保证系统及仪器设备的正常运行，满足省环境监测中心提出的系统及仪器设备考核指标要求。</w:t>
      </w:r>
    </w:p>
    <w:p w14:paraId="7D9190A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2.5在该设备代维及管理期间，未经允许，承担运维单位不得以直接、间接、口头或书面等形式将观测数据披露给其他人员或第三方单位，因数据泄露而造成招标人损失，招标人将通过法律途径向投标人索赔。</w:t>
      </w:r>
    </w:p>
    <w:p w14:paraId="49034BF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w:t>
      </w:r>
      <w:r>
        <w:rPr>
          <w:rFonts w:hint="default" w:ascii="Times New Roman" w:hAnsi="Times New Roman" w:eastAsia="宋体" w:cs="Times New Roman"/>
          <w:szCs w:val="21"/>
          <w:highlight w:val="none"/>
        </w:rPr>
        <w:t>投标人</w:t>
      </w:r>
      <w:r>
        <w:rPr>
          <w:rFonts w:hint="default" w:ascii="Times New Roman" w:hAnsi="Times New Roman" w:eastAsia="宋体" w:cs="Times New Roman"/>
          <w:bCs/>
          <w:szCs w:val="21"/>
          <w:highlight w:val="none"/>
        </w:rPr>
        <w:t>需至少配备2名运维专业</w:t>
      </w:r>
      <w:r>
        <w:rPr>
          <w:rFonts w:hint="default" w:ascii="Times New Roman" w:hAnsi="Times New Roman" w:eastAsia="宋体" w:cs="Times New Roman"/>
          <w:szCs w:val="21"/>
          <w:highlight w:val="none"/>
        </w:rPr>
        <w:t>技术人员</w:t>
      </w:r>
      <w:r>
        <w:rPr>
          <w:rFonts w:hint="default" w:ascii="Times New Roman" w:hAnsi="Times New Roman" w:eastAsia="宋体" w:cs="Times New Roman"/>
          <w:highlight w:val="none"/>
        </w:rPr>
        <w:t>，</w:t>
      </w:r>
      <w:r>
        <w:rPr>
          <w:rFonts w:hint="default" w:ascii="Times New Roman" w:hAnsi="Times New Roman" w:eastAsia="宋体" w:cs="Times New Roman"/>
          <w:bCs/>
          <w:szCs w:val="21"/>
          <w:highlight w:val="none"/>
        </w:rPr>
        <w:t>运维技术人员应具备良好的教育背景与专业能力。鼓励团队中配置具有本科学历或环保类中级工程师及以上职称的专业人员。运维技术人员具有相关设备维修、检查与维护经验。同时确保1辆专车用于保障日常工作。</w:t>
      </w:r>
    </w:p>
    <w:p w14:paraId="6E178D0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2.7投标人需安排有经验的技术人员1人在项目进行期间常驻江苏省环境监测中心，同时负责协助平台开发设计的相关技术人员应随时响应，处理平台异常情况的处理。</w:t>
      </w:r>
    </w:p>
    <w:p w14:paraId="63C57C81">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三、质控实验室运维项目需求</w:t>
      </w:r>
    </w:p>
    <w:p w14:paraId="2D5D46D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该设备运维服务需求为技术运维服务，并包含仪器日常运行所使用的耗材、配件等，具体要求如下：</w:t>
      </w:r>
    </w:p>
    <w:p w14:paraId="5599B3D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3</w:t>
      </w:r>
      <w:r>
        <w:rPr>
          <w:rFonts w:hint="default" w:ascii="Times New Roman" w:hAnsi="Times New Roman" w:eastAsia="宋体" w:cs="Times New Roman"/>
          <w:bCs/>
          <w:szCs w:val="21"/>
          <w:highlight w:val="none"/>
        </w:rPr>
        <w:t>.1运行维护工作目标</w:t>
      </w:r>
    </w:p>
    <w:p w14:paraId="4E0A904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3.1.1保证standard Reference Photometer 52</w:t>
      </w:r>
      <w:r>
        <w:rPr>
          <w:rFonts w:hint="default" w:ascii="Times New Roman" w:hAnsi="Times New Roman" w:eastAsia="宋体" w:cs="Times New Roman"/>
          <w:bCs/>
          <w:szCs w:val="21"/>
          <w:highlight w:val="none"/>
          <w:vertAlign w:val="superscript"/>
        </w:rPr>
        <w:t>#</w:t>
      </w:r>
      <w:r>
        <w:rPr>
          <w:rFonts w:hint="default" w:ascii="Times New Roman" w:hAnsi="Times New Roman" w:eastAsia="宋体" w:cs="Times New Roman"/>
          <w:bCs/>
          <w:szCs w:val="21"/>
          <w:highlight w:val="none"/>
        </w:rPr>
        <w:t>（以下简称SRP）稳定运行，每年按时完成省内13个省辖城市、质控站及QA/QC检查组所使用的臭氧标准传递设备的量值溯源工作。有效工作时间不低于3个月。</w:t>
      </w:r>
    </w:p>
    <w:p w14:paraId="2A8246D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3.1.2保证BGI PQ-200型（FRM）颗粒物手工采样器在年度采样期间正常运行。</w:t>
      </w:r>
    </w:p>
    <w:p w14:paraId="0BF030A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3.1.3保证质控实验室其余设备满足招标人日常巡检使用要求。</w:t>
      </w:r>
    </w:p>
    <w:p w14:paraId="7BA4F5E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3.2技术运维内容</w:t>
      </w:r>
    </w:p>
    <w:p w14:paraId="5223E19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 SRP要求</w:t>
      </w:r>
    </w:p>
    <w:p w14:paraId="3D807A3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3.2.1.1每月启动SRP一次，连接招标人指定的臭氧二级传递设备，进行10个浓度点以上的期间核查，并填写校准记录；</w:t>
      </w:r>
    </w:p>
    <w:p w14:paraId="0B3ACD8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3.2.1.2每两月对SRP进行温度、压力校准，对两支紫外光度计进行稳定性校准，并填写校准、维护记录；</w:t>
      </w:r>
    </w:p>
    <w:p w14:paraId="5D4B963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3.2.1.3每月更换SRP检测器中的干燥剂，并对仪器DARKCOUNT值进行适当调整；</w:t>
      </w:r>
    </w:p>
    <w:p w14:paraId="555C008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3.2.1.4每半年更换SRP专用零气发生器中的填料；</w:t>
      </w:r>
    </w:p>
    <w:p w14:paraId="520CEC7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3.2.1.5每年度协助招标人进行全省的臭氧追溯传递工作，如遇到需要技术人员协助的，服务方应派遣相关技术人员前往现场协助相关工作的进行。</w:t>
      </w:r>
    </w:p>
    <w:p w14:paraId="11F8DCF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3.2.2 PQ-200型颗粒物手工采样器（FRM）</w:t>
      </w:r>
    </w:p>
    <w:p w14:paraId="6F9DC79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3.2.2.1每季度对PQ200型手工采样器进行预防性检查与维护，检查PQ200电磁阀、仪器气密性、工作点流量核查等，使用标准温度计、湿度计及压力计核查仪器内置温度、湿度及压力探头监测结果，填写校准记录（期间核查）；</w:t>
      </w:r>
    </w:p>
    <w:p w14:paraId="43EE931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3.2.2.2每年度整体维护PQ200采样泵，对有问题的采样泵进行维修，并重新校准采样流量，填写维护、维修记录，更换后的老旧泵组件留存备查；</w:t>
      </w:r>
    </w:p>
    <w:p w14:paraId="1A2A725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3.2.2.3每年度整体更换PQ200内置主板电池，填写维护记录。</w:t>
      </w:r>
    </w:p>
    <w:p w14:paraId="41F5E08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3.2.3其他质控设备</w:t>
      </w:r>
    </w:p>
    <w:p w14:paraId="64EDC12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3.2.3.1每两个月进行实验室内所有设备的开机检查及调试测试，如遇需要进行保养的设备，应进行保养及维护工作。针对实验中的流量计等便携设备，每次维护时应进行数量的清点，并协助招标人相关部门做好财产的管理工作；</w:t>
      </w:r>
    </w:p>
    <w:p w14:paraId="7344595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3.2.3.2每季度份对实验室内各台便携式在用设备内置进行检查，如遇充电不满，或电池效能不足的及时更换，并做好实验室备用电池的库存工作，填写维护记录，更换后的老旧电池组留存备查；</w:t>
      </w:r>
    </w:p>
    <w:p w14:paraId="039405A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3.2.3.3每年度协助江苏省环境监测中心开展流量计期间核查工作；</w:t>
      </w:r>
    </w:p>
    <w:p w14:paraId="52BBE0A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3.2.3.4每年度协助江苏省环境监测中心开展臭氧标准传递仪器的臭氧量值传递工作。</w:t>
      </w:r>
    </w:p>
    <w:p w14:paraId="1461382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3.3运维记录与报告</w:t>
      </w:r>
    </w:p>
    <w:p w14:paraId="0D48C00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3.3.1 依据仪器特性及上述运维要求，编制相应运维、质控记录表单。</w:t>
      </w:r>
    </w:p>
    <w:p w14:paraId="164DF8A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3.3.2 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6F2570E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3.3.3 依据运维总结报告制作汇报材料（PPT）向招标人进行总结性汇报。</w:t>
      </w:r>
    </w:p>
    <w:p w14:paraId="4948052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3.4 其它要求</w:t>
      </w:r>
    </w:p>
    <w:p w14:paraId="096DD4C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3.4.1 每次运维工作完成后对工作区域进行清洁整理。</w:t>
      </w:r>
    </w:p>
    <w:p w14:paraId="216CE4E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3.4.2 仪器发生故障时，配合招标人开展仪器维修相关工作。</w:t>
      </w:r>
    </w:p>
    <w:p w14:paraId="08E553B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3.4.3 运维期满后，配合招标人进行固定资产盘点及仪器交接，交接期间承担仪器正常运维工作。</w:t>
      </w:r>
    </w:p>
    <w:p w14:paraId="2CE30A39">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3.4.4 投标人应在运维期间为招标人提供一次质控仪器操作培训。</w:t>
      </w:r>
    </w:p>
    <w:p w14:paraId="44121A60">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3.4.5投标人应在运维期间内依托质控实验室，配合招标人完成空气自动站的的质控核查工作。</w:t>
      </w:r>
    </w:p>
    <w:p w14:paraId="150DA6AB">
      <w:pPr>
        <w:pageBreakBefore w:val="0"/>
        <w:kinsoku/>
        <w:wordWrap/>
        <w:overflowPunct/>
        <w:topLinePunct w:val="0"/>
        <w:bidi w:val="0"/>
        <w:spacing w:line="360" w:lineRule="auto"/>
        <w:ind w:firstLine="44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四、温室气体质控设备运维服务需求</w:t>
      </w:r>
    </w:p>
    <w:p w14:paraId="5C28C2A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4.1工作要求</w:t>
      </w:r>
    </w:p>
    <w:p w14:paraId="4B17ED3B">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4.1.1 投标人运维服务满足但不限于所提出的所有服务需求，应提供满足但不限于如下耗材，入颗粒物过滤器、3.6m膜式干燥器、3.6m水分子交换过滤器、picarro主机风扇、主机滤网等，标气由招标人另行采购。</w:t>
      </w:r>
    </w:p>
    <w:p w14:paraId="0E5A300F">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4.1.2 数据审核：按招标人要求，开展平台上每日数据在线审核工作。</w:t>
      </w:r>
    </w:p>
    <w:p w14:paraId="3371D5B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4.1.3 按招标人要求，在年度内有大型赛事、活动和检查等时间段内，提供加密质控保障工作。</w:t>
      </w:r>
    </w:p>
    <w:p w14:paraId="034D237A">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4.1.4  故障响应：投标人应保证服务与技术支持响应及时、解决问题迅速，并提供承诺函，承诺出现监测数据异常、仪器故障或通讯故障等异常情况时，提出排查方案并于12小时内完成故障处理，若远程无法排查时，24小时内前往现场解决并将信息反馈招标人；故障严重不能及时解决时，应关闭故障仪器的数据采集通道并告知招标人。如不能在72小时内排除故障，应更换备机，故障设备应及时修复，并做好相应的仪器质控工作和维修记录。</w:t>
      </w:r>
    </w:p>
    <w:p w14:paraId="323E14B5">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4.1.5  运维记录与报告</w:t>
      </w:r>
    </w:p>
    <w:p w14:paraId="5E0BC314">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4.1.5.1依据仪器特性及上述运维要求，编制相应运维、质控记录表单；</w:t>
      </w:r>
    </w:p>
    <w:p w14:paraId="6E23902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4.1.5.2依据技术运维要求，每月提交相应技术运维记录；</w:t>
      </w:r>
    </w:p>
    <w:p w14:paraId="4DCC63A8">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4.1.5.3每季运维结束后提交季度运维总结报告，全年运维结束后提交年度运维总结报告。运维总结报告至少包括系统运行维护情况、运行质控工作日志、设备故障及维修情况、数据有效获取率统计及缺失情况说明、总结及改进措施；</w:t>
      </w:r>
    </w:p>
    <w:p w14:paraId="10221113">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4.1.5.4依据运维总结报告制作汇报材料（PPT）向招标人进行总结性汇报。</w:t>
      </w:r>
    </w:p>
    <w:p w14:paraId="2B533AA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4.1.6  辅助服务要求</w:t>
      </w:r>
    </w:p>
    <w:p w14:paraId="33FCAD77">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4.1.6.1仪器发生故障时，配合招标人开展仪器维修相关工作；</w:t>
      </w:r>
    </w:p>
    <w:p w14:paraId="152FD57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4.1.6.2定期配合招标人开展配件和标气库存清点工作，制定采购规划；</w:t>
      </w:r>
    </w:p>
    <w:p w14:paraId="5CBAC771">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4.1.6.3每次运维工作完成后对工作区域进行清洁整理；</w:t>
      </w:r>
    </w:p>
    <w:p w14:paraId="172C02FD">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4.1.6.4运维期满后，配合招标人进行仪器交接，交接期间承担仪器正常运维工作（不包括质控工作；</w:t>
      </w:r>
    </w:p>
    <w:p w14:paraId="2CCBC3C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4.1.6.5配合招标人等进行站点质量保证和质量控制检查工作，随时接受其工作考核及质量考核。配合招标人完成其他相关工作。</w:t>
      </w:r>
    </w:p>
    <w:p w14:paraId="1C442116">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4.2运行维护工作目标</w:t>
      </w:r>
    </w:p>
    <w:p w14:paraId="4479D18F">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4.2.1设备在线率：开展运维服务期间，需确保仪器在线率不得低于90%（仪器在线率=仪器实际运行时间/仪器可运行时间）。</w:t>
      </w:r>
    </w:p>
    <w:p w14:paraId="25151B08">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注：仪器实际运行时间为仪器开机运行且仪器内能获取监测数据的时间；仪器可运行时间=约定的总时间-仪器停机维护时-仪器校准时间-不可抗力停机时间（如停电等）。</w:t>
      </w:r>
    </w:p>
    <w:p w14:paraId="4935217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4.2.2有效数据获取率：开展运维服务期间，需确保仪器有效数据获取率不得低于85%（有效数据获取率=有效监测数据量/获取监测数据量）。</w:t>
      </w:r>
    </w:p>
    <w:p w14:paraId="708FE316">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4.3技术运维要求</w:t>
      </w:r>
    </w:p>
    <w:p w14:paraId="59E8148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4.3.1 每日例行质量控制检查：运维技术人员每日查看仪器运行状况、工作参数、数据采集和传输情况是否正常（网络查看）。每日12点前完成前一日数据审核，整理各台仪器前一日的运行情况，并形成记录表汇报结果。发现异常，需及时开展应急现场服务。</w:t>
      </w:r>
    </w:p>
    <w:p w14:paraId="511F2168">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4.3.2每月预防性质量查核：</w:t>
      </w:r>
    </w:p>
    <w:p w14:paraId="7E40A77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检查站房内温度是否保持在25℃±5℃，建议24小时变化幅度不超过±2℃，相对湿度保持在80%以下。在冬、夏季节应注意站房内外温差，及时调整站房温度或对采样管采取适当的温控措施，防止因温差造成采样装置出现冷凝水的现象；</w:t>
      </w:r>
    </w:p>
    <w:p w14:paraId="4F53461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检查采样管进气、排气是否正常。检查抽气泵工作是否正常，检查进气总流量，采样流量是否正常；若配有阀箱，应检查阀箱是否正常，多口阀切换是否正常；检查前端多级除水装置是否正常。若配有阀箱，应检查阀箱是否正常，多口阀切换是否正常；</w:t>
      </w:r>
    </w:p>
    <w:p w14:paraId="13CAE1B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（3）检查站房排风排气装置工作是否正常，站房内有无异味；</w:t>
      </w:r>
    </w:p>
    <w:p w14:paraId="00187C9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检查标气瓶是否漏气，检查标气消耗情况，压力值接近500psi时需更换标气瓶。检查标气瓶二级分压是否在正常范围（一般在15-20psi）内，并与样气进样压力保持一致。若分析仪测量水汽浓度，则应检查标气水汽浓度值（一般在0-0.008%），如出现水汽浓度值显著增高，应检查瓶阀、管路、进样系统是否漏气；</w:t>
      </w:r>
    </w:p>
    <w:p w14:paraId="5D7DFDE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（5）检查数据采集、传输与网络通讯是否正常；</w:t>
      </w:r>
    </w:p>
    <w:p w14:paraId="3595C6B6">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（6）检查各种运维工具、仪器耗材、备件是否完好齐全；</w:t>
      </w:r>
    </w:p>
    <w:p w14:paraId="3E067F83">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（7）检查空调、电源等辅助设备的运行状况是否正常，检查站房空调机的过滤网是否清洁，必要时进行清洗；</w:t>
      </w:r>
    </w:p>
    <w:p w14:paraId="50D6814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（8）检查各种消防、安全设施是否完好齐全；</w:t>
      </w:r>
    </w:p>
    <w:p w14:paraId="75C963FF">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（9）对站房周围的杂草和积水应及时清除，对监测有影响的树枝应及时进行剪除；</w:t>
      </w:r>
    </w:p>
    <w:p w14:paraId="26C28EB4">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（10）检查避雷设施是否正常，子站房屋是否有漏雨现象。</w:t>
      </w:r>
    </w:p>
    <w:p w14:paraId="15D11533">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每月对监测仪器设备开展日常维护，主要内容包括：</w:t>
      </w:r>
    </w:p>
    <w:p w14:paraId="531ECBE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（1）每次运维进行仪器、数据采集系统时钟检查，确保时钟偏差不超过30秒。应注意时区设置情况，监测仪器可使用自带时区，数据采集系统应使用北京时区；</w:t>
      </w:r>
    </w:p>
    <w:p w14:paraId="320E845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（2）每次运维检查仪器配备的干燥系统等，包括设备工作状态参数、干燥后水汽浓度、耗材使用情况、积水情况等，及时维护、更换耗材。</w:t>
      </w:r>
    </w:p>
    <w:p w14:paraId="12B7296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4.3.3每季度预防性质量查核：</w:t>
      </w:r>
    </w:p>
    <w:p w14:paraId="05666A77">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每季度检查抽气泵泵膜、阀片，必要时更换；每年至少更换1次。</w:t>
      </w:r>
    </w:p>
    <w:p w14:paraId="634B8031">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每季度使用检漏液对气路正压部分进行气密性检查，负压部分采用在管路接口附近释放高浓度 CO</w:t>
      </w:r>
      <w:r>
        <w:rPr>
          <w:rFonts w:hint="default" w:ascii="Times New Roman" w:hAnsi="Times New Roman" w:eastAsia="宋体" w:cs="Times New Roman"/>
          <w:bCs/>
          <w:highlight w:val="none"/>
          <w:vertAlign w:val="subscript"/>
        </w:rPr>
        <w:t>2</w:t>
      </w:r>
      <w:r>
        <w:rPr>
          <w:rFonts w:hint="default" w:ascii="Times New Roman" w:hAnsi="Times New Roman" w:eastAsia="宋体" w:cs="Times New Roman"/>
          <w:bCs/>
          <w:highlight w:val="none"/>
        </w:rPr>
        <w:t>的方式进行检漏。</w:t>
      </w:r>
    </w:p>
    <w:p w14:paraId="68A8C530">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注：使用检漏液查看连接处是否漏气，漏气则有气泡出现；检漏液必须使用对连接处无腐蚀、无污染的专用液体。</w:t>
      </w:r>
    </w:p>
    <w:p w14:paraId="03C29581">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bookmarkStart w:id="127" w:name="OLE_LINK4"/>
      <w:bookmarkStart w:id="128" w:name="OLE_LINK5"/>
      <w:r>
        <w:rPr>
          <w:rFonts w:hint="default" w:ascii="Times New Roman" w:hAnsi="Times New Roman" w:eastAsia="宋体" w:cs="Times New Roman"/>
          <w:bCs/>
          <w:highlight w:val="none"/>
        </w:rPr>
        <w:t>4.3.4</w:t>
      </w:r>
      <w:bookmarkEnd w:id="127"/>
      <w:bookmarkEnd w:id="128"/>
      <w:r>
        <w:rPr>
          <w:rFonts w:hint="default" w:ascii="Times New Roman" w:hAnsi="Times New Roman" w:eastAsia="宋体" w:cs="Times New Roman"/>
          <w:bCs/>
          <w:highlight w:val="none"/>
        </w:rPr>
        <w:t>每年预防性质量查核：</w:t>
      </w:r>
    </w:p>
    <w:p w14:paraId="3A20029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根据仪器说明书的要求，定期更换和清洁仪器设备中的过滤装置。采样入口处和采样管路中的过滤器至少每年更换1次，颗粒物浓度较高地区或浓度较高季节，应视颗粒物过滤膜实际污染情况加大更换频次。</w:t>
      </w:r>
    </w:p>
    <w:p w14:paraId="50EA4E6B">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每年检查采样管线等辅助设施，每年清洁1次室外采样管，每次清洁后，应进行检漏测试。</w:t>
      </w:r>
    </w:p>
    <w:p w14:paraId="36B5D453">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注：（1）使用超纯水冲洗，并用大流量泵抽干（连续抽 0.5 天），抽干后分析仪水汽含量测定应&lt;0.05%。（2）检漏测试方法为将采样管上的一个支路接头接上压力计，并将其他支路接头和采样口封死，然后抽真空至大约1.25hPa，将抽气口密封，使整个采样系统不与外界相通，15 分钟内真空度不应有变化。</w:t>
      </w:r>
    </w:p>
    <w:p w14:paraId="6E91CADD">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每年配合招标人对系统至少进行一次精密度、准确度和可比性测试，计算并记录结果，填写相关表格存档。</w:t>
      </w:r>
    </w:p>
    <w:p w14:paraId="711225E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4.3.5根据仪器说明书的要求，定期检查、清洗、更换仪器重要部件。</w:t>
      </w:r>
    </w:p>
    <w:p w14:paraId="351CBDCA">
      <w:pPr>
        <w:pStyle w:val="19"/>
        <w:pageBreakBefore w:val="0"/>
        <w:kinsoku/>
        <w:wordWrap/>
        <w:overflowPunct/>
        <w:topLinePunct w:val="0"/>
        <w:bidi w:val="0"/>
        <w:spacing w:line="360" w:lineRule="auto"/>
        <w:ind w:firstLine="420" w:firstLineChars="200"/>
        <w:jc w:val="both"/>
        <w:rPr>
          <w:rFonts w:hint="default" w:ascii="Times New Roman" w:hAnsi="Times New Roman" w:eastAsia="宋体" w:cs="Times New Roman"/>
          <w:b w:val="0"/>
          <w:sz w:val="21"/>
          <w:highlight w:val="none"/>
        </w:rPr>
      </w:pPr>
      <w:r>
        <w:rPr>
          <w:rFonts w:hint="default" w:ascii="Times New Roman" w:hAnsi="Times New Roman" w:eastAsia="宋体" w:cs="Times New Roman"/>
          <w:b w:val="0"/>
          <w:sz w:val="21"/>
          <w:highlight w:val="none"/>
        </w:rPr>
        <w:t>4.4 温室气体质控运维服务考核要求</w:t>
      </w:r>
    </w:p>
    <w:p w14:paraId="2649365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招标人组织开展运维管理和质控考核，对达不到运维要求或违规操作的，扣减相应的运维费，并有权终止运维合同。</w:t>
      </w:r>
    </w:p>
    <w:p w14:paraId="4FEACCEF">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4.5 其他规定</w:t>
      </w:r>
    </w:p>
    <w:p w14:paraId="28C5AEF4">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投标人有下列情形之一的，扣除相应站点考核时间段运维经费：拖延、阻碍、拒绝质量检查或飞行检查的；发现采样、分析、数据采集和传输等过程人为干扰，未按要求及时向招标人报告的；因工作疏漏，未发现采样、分析、数据采集和传输等过程人为干扰的；其他不履行规定职责的情形。若情节严重，招标人有权终止运维合同。</w:t>
      </w:r>
    </w:p>
    <w:p w14:paraId="343A9407">
      <w:pPr>
        <w:pageBreakBefore w:val="0"/>
        <w:kinsoku/>
        <w:wordWrap/>
        <w:overflowPunct/>
        <w:topLinePunct w:val="0"/>
        <w:bidi w:val="0"/>
        <w:spacing w:line="360" w:lineRule="auto"/>
        <w:ind w:firstLine="420" w:firstLineChars="19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五、省建站数据联网及远程质控运维要求</w:t>
      </w:r>
    </w:p>
    <w:p w14:paraId="2E6365A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5.1主要工作需求</w:t>
      </w:r>
    </w:p>
    <w:p w14:paraId="3B05F7D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5.1.1每日远程测试各子站仪器端口是否正常，检查数据是否正常上传。</w:t>
      </w:r>
    </w:p>
    <w:p w14:paraId="59C4EF5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5.1.2负责数据库的维护，当数据库出现异常或因停电等原因造成数据库损坏的，应立刻响应，并尽快恢复。</w:t>
      </w:r>
    </w:p>
    <w:p w14:paraId="3656062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5.1.3负责现场服务器数据备份，包括免费提供备份用的数据载体与设备。</w:t>
      </w:r>
    </w:p>
    <w:p w14:paraId="2220214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5.1.4负责系统漏洞的修补。</w:t>
      </w:r>
    </w:p>
    <w:p w14:paraId="7861ED9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5.1.5负责数据范围内的二次开发及修改，按照江苏省环境监测中心的相关要求，完成相关的二次开发工作。</w:t>
      </w:r>
    </w:p>
    <w:p w14:paraId="1F630AF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5.1.6按江苏省环境监测中心要求，保证后续设备或者不同类型的设备顺利接入运维服务网络。</w:t>
      </w:r>
    </w:p>
    <w:p w14:paraId="126705A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5.1.7当子站现场端出现数据传输故障时，在远程可以处理的情况下，协助运维方检查与排除故障，或当运维人员在现场处理相关问题时，指导维护人员进行测站故障排查。</w:t>
      </w:r>
    </w:p>
    <w:p w14:paraId="0D945EC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5.1.8承担江苏省环境监测中心安排的其他与联网相关的工作。</w:t>
      </w:r>
    </w:p>
    <w:p w14:paraId="17E163B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5.2运维记录及报告</w:t>
      </w:r>
    </w:p>
    <w:p w14:paraId="3B6EFB5B">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5.2.1运维期满后15天内，提交运维总结报告。运维总结报告需包含履行运维工作期间开展的所有运维工作内容及相关技术记录。</w:t>
      </w:r>
    </w:p>
    <w:p w14:paraId="338D6362">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5.2.2应急方案</w:t>
      </w:r>
    </w:p>
    <w:p w14:paraId="730C0307">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投标人应提供详细的应急保障方案，当联网状态出现故障时，应在2小时内响应，4小时到达现场，8小时内完成维修。</w:t>
      </w:r>
    </w:p>
    <w:p w14:paraId="46AFC104">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5.2.3培训方案</w:t>
      </w:r>
    </w:p>
    <w:p w14:paraId="577B2541">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投标人提供详细的培训方案，为招标人管理人员及相关运维人员提供质控联网操作培训。</w:t>
      </w:r>
    </w:p>
    <w:p w14:paraId="5F2AB39C">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391AEDC3">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包7：传输通道站点2台挥发性有机物监测仪运维服务</w:t>
      </w:r>
    </w:p>
    <w:p w14:paraId="68AB3210">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一、项目概况</w:t>
      </w:r>
    </w:p>
    <w:p w14:paraId="6769E5F1">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江苏省环境监测中心于2023年7月购置广州禾信AC-GCMS型在线有机物监测仪（以下简称在线VOC）2台，设备于2023年底安装、试运行，至2024年通过技术验收。仪器主体配置如下：在线挥发性有机物监测仪主机、氢空一体机、校准系统等。目前该设备运行状况良好，处于连续采样、分析状态。</w:t>
      </w:r>
    </w:p>
    <w:p w14:paraId="73AF40D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表1-1挥发性有机物监测仪运维服务项目仪器清单</w:t>
      </w:r>
    </w:p>
    <w:tbl>
      <w:tblPr>
        <w:tblStyle w:val="48"/>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733"/>
        <w:gridCol w:w="2977"/>
        <w:gridCol w:w="2305"/>
        <w:gridCol w:w="1985"/>
      </w:tblGrid>
      <w:tr w14:paraId="7370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33" w:type="dxa"/>
            <w:shd w:val="clear" w:color="auto" w:fill="FFFFFF"/>
            <w:vAlign w:val="center"/>
          </w:tcPr>
          <w:p w14:paraId="7133DE7B">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仪器名称</w:t>
            </w:r>
          </w:p>
        </w:tc>
        <w:tc>
          <w:tcPr>
            <w:tcW w:w="2977" w:type="dxa"/>
            <w:shd w:val="clear" w:color="auto" w:fill="FFFFFF"/>
            <w:vAlign w:val="center"/>
          </w:tcPr>
          <w:p w14:paraId="27D377CB">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生产厂家（型号）</w:t>
            </w:r>
          </w:p>
        </w:tc>
        <w:tc>
          <w:tcPr>
            <w:tcW w:w="2305" w:type="dxa"/>
            <w:shd w:val="clear" w:color="auto" w:fill="FFFFFF"/>
            <w:vAlign w:val="center"/>
          </w:tcPr>
          <w:p w14:paraId="765E380F">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分项预算</w:t>
            </w:r>
          </w:p>
          <w:p w14:paraId="040C864C">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（万元/年）</w:t>
            </w:r>
          </w:p>
        </w:tc>
        <w:tc>
          <w:tcPr>
            <w:tcW w:w="1985" w:type="dxa"/>
            <w:shd w:val="clear" w:color="auto" w:fill="FFFFFF"/>
          </w:tcPr>
          <w:p w14:paraId="2F2CC4B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仪器存放站点</w:t>
            </w:r>
          </w:p>
        </w:tc>
      </w:tr>
      <w:tr w14:paraId="29DE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23740EE4">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在线有机物监测仪</w:t>
            </w:r>
          </w:p>
        </w:tc>
        <w:tc>
          <w:tcPr>
            <w:tcW w:w="2977" w:type="dxa"/>
            <w:shd w:val="clear" w:color="auto" w:fill="FFFFFF"/>
            <w:vAlign w:val="center"/>
          </w:tcPr>
          <w:p w14:paraId="1D34517A">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广州禾信（AC-GCMS）</w:t>
            </w:r>
          </w:p>
        </w:tc>
        <w:tc>
          <w:tcPr>
            <w:tcW w:w="2305" w:type="dxa"/>
            <w:shd w:val="clear" w:color="auto" w:fill="FFFFFF"/>
            <w:vAlign w:val="center"/>
          </w:tcPr>
          <w:p w14:paraId="4982528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16</w:t>
            </w:r>
          </w:p>
        </w:tc>
        <w:tc>
          <w:tcPr>
            <w:tcW w:w="1985" w:type="dxa"/>
            <w:shd w:val="clear" w:color="auto" w:fill="FFFFFF"/>
          </w:tcPr>
          <w:p w14:paraId="0F983517">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苏州西山</w:t>
            </w:r>
          </w:p>
        </w:tc>
      </w:tr>
      <w:tr w14:paraId="17F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3B23EF89">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在线有机物监测仪</w:t>
            </w:r>
          </w:p>
        </w:tc>
        <w:tc>
          <w:tcPr>
            <w:tcW w:w="2977" w:type="dxa"/>
            <w:shd w:val="clear" w:color="auto" w:fill="FFFFFF"/>
            <w:vAlign w:val="center"/>
          </w:tcPr>
          <w:p w14:paraId="17D2DF87">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广州禾信（AC-GCMS）</w:t>
            </w:r>
          </w:p>
        </w:tc>
        <w:tc>
          <w:tcPr>
            <w:tcW w:w="2305" w:type="dxa"/>
            <w:shd w:val="clear" w:color="auto" w:fill="FFFFFF"/>
            <w:vAlign w:val="center"/>
          </w:tcPr>
          <w:p w14:paraId="62E0DB1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16</w:t>
            </w:r>
          </w:p>
        </w:tc>
        <w:tc>
          <w:tcPr>
            <w:tcW w:w="1985" w:type="dxa"/>
            <w:shd w:val="clear" w:color="auto" w:fill="FFFFFF"/>
          </w:tcPr>
          <w:p w14:paraId="2716BC9E">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扬州宝应</w:t>
            </w:r>
          </w:p>
        </w:tc>
      </w:tr>
      <w:tr w14:paraId="66F1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710" w:type="dxa"/>
            <w:gridSpan w:val="2"/>
            <w:shd w:val="clear" w:color="auto" w:fill="FFFFFF"/>
            <w:vAlign w:val="center"/>
          </w:tcPr>
          <w:p w14:paraId="182D5F0B">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合计</w:t>
            </w:r>
          </w:p>
        </w:tc>
        <w:tc>
          <w:tcPr>
            <w:tcW w:w="4290" w:type="dxa"/>
            <w:gridSpan w:val="2"/>
            <w:shd w:val="clear" w:color="auto" w:fill="FFFFFF"/>
            <w:vAlign w:val="center"/>
          </w:tcPr>
          <w:p w14:paraId="19DAC6C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32</w:t>
            </w:r>
          </w:p>
        </w:tc>
      </w:tr>
    </w:tbl>
    <w:p w14:paraId="3B7BFE6E">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二、项目需求</w:t>
      </w:r>
    </w:p>
    <w:p w14:paraId="0645794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该设备运维服务需求为技术运维服务，包含仪器运行所使用的耗材、配件及维修等，不包含标气，具体要求如下：</w:t>
      </w:r>
    </w:p>
    <w:p w14:paraId="4C69DBA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2.1总体要求</w:t>
      </w:r>
    </w:p>
    <w:p w14:paraId="286C444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2.1.1投标人应配备运维工作所需要的专用仪器维修工具（包括万用表、工具箱等）、通讯调试工具（包括各种硬件接口线、改线工具、接口调试软件及常用零部件等）。</w:t>
      </w:r>
    </w:p>
    <w:p w14:paraId="1FC363C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2.1.2</w:t>
      </w:r>
      <w:r>
        <w:rPr>
          <w:rFonts w:hint="default" w:ascii="Times New Roman" w:hAnsi="Times New Roman" w:eastAsia="宋体" w:cs="Times New Roman"/>
          <w:szCs w:val="21"/>
          <w:highlight w:val="none"/>
        </w:rPr>
        <w:t>投标人</w:t>
      </w:r>
      <w:r>
        <w:rPr>
          <w:rFonts w:hint="default" w:ascii="Times New Roman" w:hAnsi="Times New Roman" w:eastAsia="宋体" w:cs="Times New Roman"/>
          <w:bCs/>
          <w:szCs w:val="21"/>
          <w:highlight w:val="none"/>
        </w:rPr>
        <w:t>需至少配备2名运维专业</w:t>
      </w:r>
      <w:r>
        <w:rPr>
          <w:rFonts w:hint="default" w:ascii="Times New Roman" w:hAnsi="Times New Roman" w:eastAsia="宋体" w:cs="Times New Roman"/>
          <w:szCs w:val="21"/>
          <w:highlight w:val="none"/>
        </w:rPr>
        <w:t>技术人员。</w:t>
      </w:r>
      <w:bookmarkStart w:id="129" w:name="_Hlk214523373"/>
      <w:r>
        <w:rPr>
          <w:rFonts w:hint="default" w:ascii="Times New Roman" w:hAnsi="Times New Roman" w:eastAsia="宋体" w:cs="Times New Roman"/>
          <w:bCs/>
          <w:szCs w:val="21"/>
          <w:highlight w:val="none"/>
        </w:rPr>
        <w:t>运维技术人员应具备良好的教育背景与专业能力。鼓励团队中配置具有硕士学历或环保类高级及以上职称的专业人员。运维技术人员须接受过所投产品生产厂家组织的专业系统培训，以确保其对设备性能、操作流程及日常维护具备充分的认知与实践能力。提供完整的运维人员管理方案，具备应对人员流动的应急预案，提出解决技术人员队伍稳定的措施。</w:t>
      </w:r>
      <w:bookmarkEnd w:id="129"/>
    </w:p>
    <w:p w14:paraId="214530D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w:t>
      </w:r>
      <w:r>
        <w:rPr>
          <w:rFonts w:hint="default" w:ascii="Times New Roman" w:hAnsi="Times New Roman" w:eastAsia="宋体" w:cs="Times New Roman"/>
          <w:szCs w:val="21"/>
          <w:highlight w:val="none"/>
        </w:rPr>
        <w:t>投标人在服务区域2小时车程范围内至少设立1个运维技术支持机构，需保证仪器发生故障时2小时电话响应，4小时现场响应。</w:t>
      </w:r>
      <w:r>
        <w:rPr>
          <w:rFonts w:hint="default" w:ascii="Times New Roman" w:hAnsi="Times New Roman" w:eastAsia="宋体" w:cs="Times New Roman"/>
          <w:bCs/>
          <w:szCs w:val="21"/>
          <w:highlight w:val="none"/>
        </w:rPr>
        <w:t>应提供详细的运维管理服务方案、质量控制方案和应急服务保障方案。</w:t>
      </w:r>
    </w:p>
    <w:p w14:paraId="7627A4B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2.1.4在该设备代维及管理期间，投标人应严格按照招标人要求的操作规范和规章制度（详见技术运维要求部分），对所管理的系统及仪器设备进行规范操作和精心维护及必要维修，保证系统及仪器设备的正常运行，满足省环境监测中心提出的系统及仪器设备考核指标要求。</w:t>
      </w:r>
    </w:p>
    <w:p w14:paraId="1640EAE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2.1.5在该设备代维及管理期间，未经允许，承担运维单位不得以直接、间接、口头或书面等形式将观测数据披露给其他人员或第三方单位，因数据泄露而造成招标人损失，招标人将通过法律途径向投标人索赔。</w:t>
      </w:r>
    </w:p>
    <w:p w14:paraId="1DB267F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2.1.6  数据分析和审核：按招标人要求，开展平台上每日数据在线审核工作。</w:t>
      </w:r>
    </w:p>
    <w:p w14:paraId="78FFC2F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highlight w:val="none"/>
        </w:rPr>
      </w:pPr>
      <w:r>
        <w:rPr>
          <w:rFonts w:hint="default" w:ascii="Times New Roman" w:hAnsi="Times New Roman" w:eastAsia="宋体" w:cs="Times New Roman"/>
          <w:bCs/>
          <w:szCs w:val="21"/>
          <w:highlight w:val="none"/>
        </w:rPr>
        <w:t>2.1.7投标人为实施本项目至少配置1辆专用车辆。</w:t>
      </w:r>
    </w:p>
    <w:p w14:paraId="45A2511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2.2运行维护工作目标</w:t>
      </w:r>
    </w:p>
    <w:p w14:paraId="2B4ABF3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2.2.1设备在线率：开展运维服务期间，需确保仪器在线率不得低于90%（仪器在线率=仪器实际运行时间/仪器可运行时间）。</w:t>
      </w:r>
    </w:p>
    <w:p w14:paraId="553B14D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367AC34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2.2.2有效数据获取率：开展运维服务期间，需确保仪器有效数据获取率不得低于80%（有效数据获取率=有效监测数据量/获取监测数据量）。</w:t>
      </w:r>
    </w:p>
    <w:p w14:paraId="1D45D1B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2.3技术运维要求</w:t>
      </w:r>
    </w:p>
    <w:p w14:paraId="133CE461">
      <w:pPr>
        <w:pageBreakBefore w:val="0"/>
        <w:tabs>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2.3.1每日例行质量控制检查：定期手动或自动使用外部标样验证系统的准确性，每日登陆仪器检查内外标响应，内外标和采样进气量，仪器状态，峰型状况，在仪器的运行过程中，当所需控制外标物种（详见表1）分析结果与目标标准品浓度超出允许误差范围（±20%）时，需及时使用外标法重新积分该物种监测数据；当上述误差范围超出±30%时，需重新编辑定量方法；每天观察仪器运行和数据运行情况，查看日校准数据，可根据日校准数据判断仪器是否需要重新标定，并及时更改积分参数文件，保证所有化合物积分正确，个别小时个别化合物可手动积分，及时填写日质控记录。</w:t>
      </w:r>
    </w:p>
    <w:p w14:paraId="0C4D8B5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2.3.2每周例行质控：对仪器所有配器及气体发生器（氢气发生器等）进行维护，对数据库数据检查、备份，检查内、外标准品压力，及时填写质量控制记录。</w:t>
      </w:r>
    </w:p>
    <w:p w14:paraId="6790755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2.3.3每月预防性质量查核：每月对整套系统（包括样品采集、预处理及分析单元）进行预防性质量查核，对样品预处理单元及分析单元系统进行验漏，检查各辅助设备（载气压力、配气系统运行状况等）是否正常运行，解析当月质控数据，填写预防性质量查核记录。</w:t>
      </w:r>
    </w:p>
    <w:p w14:paraId="0234EF4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2.3.4每季度质量控制：每季度对GC/MS进行一次自动调谐（保证仪器灵敏度、正确的峰宽、正确的质量分配，必要时清洗离子源），同时对工作曲线重新标定（数据标定主要包括全扫描、SIM分组、7点校准（包含零点））；及时填写系统维护与质控记录（若系统维护与质控期间出现秸秆焚烧、沙尘、雾霾等重污染特殊天气，上述质控工作可依据用户需求进行延期）。</w:t>
      </w:r>
    </w:p>
    <w:p w14:paraId="61E20A0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2.3.5每半年质量查核：每半年对GCMS进行检查，及时更换氧化去除剂、管路气密性配件，及时填写相关记录。</w:t>
      </w:r>
    </w:p>
    <w:p w14:paraId="6D26135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2.3.6每年质量评价：每年度对GC/MS/FID分析单元进行全年运行质量评价，对MS、FID检测器年度获取监测数据有效性进行分析与评价，评价前段样品采集及预处理单元运行质量（包括稳定性）及时填写相关记录，并编制年度质量控制报告。</w:t>
      </w:r>
    </w:p>
    <w:p w14:paraId="4CF4BB5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2.3.7数据分析与审核。按招标人要求，依据仪器性能及用户要求数据格式，定期开展数据统计上报工作。</w:t>
      </w:r>
    </w:p>
    <w:p w14:paraId="5C8D88E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2.3.7.1 按招标人要求完成数据上传平台仪器端配置并开展数据在线审核工作；</w:t>
      </w:r>
    </w:p>
    <w:p w14:paraId="3FF0ECA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2.3.7.2每周一10：00前上传上一周完整监测数据报表（excel格式），报表内容包含内标响应、外标校准、经质控审核的浓度数据，数据模板由用户提供；</w:t>
      </w:r>
    </w:p>
    <w:p w14:paraId="6B402E7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2.3.7.3每月第一周上传上月月度质控数据报表（excel格式）；</w:t>
      </w:r>
    </w:p>
    <w:p w14:paraId="0509B79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2.3.7.4每季度上传上一季度内、外标法质控结果和质控评价报表（excel格式）。</w:t>
      </w:r>
    </w:p>
    <w:p w14:paraId="6269201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2.3.8质控结果异常报警。发现设备质控数据异常后，2小时内远程检查监测数据质量，并告知用户异常情况，初步分析质控数据异常原因，为用户提供科学诊断仪器状态建议。</w:t>
      </w:r>
    </w:p>
    <w:p w14:paraId="34E7419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2.3.9大型活动保障。质控服务方依据用户提前通知的要求，在年度内有大型赛事、活动和重污染物天气时间段内，提供加密质控保障工作。</w:t>
      </w:r>
    </w:p>
    <w:p w14:paraId="749847C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2.4质控要求</w:t>
      </w:r>
    </w:p>
    <w:p w14:paraId="16499E6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2.4.1仪器运行期间，每天零点自动进入一定浓度PAMS标准品，用于考核前一日监测数据有效性，若相对误差在±30%以内，且内标响应均在允许误差范围内，视前一日数据有效。</w:t>
      </w:r>
    </w:p>
    <w:p w14:paraId="05299B1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2.4.2每月依据控制目标物种配置2ppb标准品，使用手工进样方式，进行外标核查，并手工积分标准品浓度，计算相对误差。</w:t>
      </w:r>
    </w:p>
    <w:p w14:paraId="2FF1BD0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2.4.3每半年重新统计、计算各目标化合物的检出限与不确定度。</w:t>
      </w:r>
    </w:p>
    <w:p w14:paraId="22C10F6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2.5运维记录与报告</w:t>
      </w:r>
    </w:p>
    <w:p w14:paraId="140A218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2.5.1依据仪器特性及上述运维要求，编制相应运维、质控记录表单。</w:t>
      </w:r>
    </w:p>
    <w:p w14:paraId="53F9074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2.5.2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636A2F0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2.5.3依据运维总结报告制作汇报材料向招标人进行总结性汇报。</w:t>
      </w:r>
    </w:p>
    <w:p w14:paraId="7066D4C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2.6辅助服务要求</w:t>
      </w:r>
    </w:p>
    <w:p w14:paraId="1D49FA3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2.6.1每次运维工作完成后对工作区域进行清洁整理。</w:t>
      </w:r>
    </w:p>
    <w:p w14:paraId="3A66C3F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2.6.2按招标人安排的值班表每周在站房值班1天，开展卫生清洁和安全检查工作。</w:t>
      </w:r>
    </w:p>
    <w:p w14:paraId="75F66A3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2.6.3仪器发生故障时，配合招标人开展仪器维修相关工作。</w:t>
      </w:r>
    </w:p>
    <w:p w14:paraId="2433FC9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2.6.4定期配合招标人开展仪器配件、耗材库存清点工作，制定采购规划。</w:t>
      </w:r>
    </w:p>
    <w:p w14:paraId="05A36BC9">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2.6.5运维期满后，配合招标人进行仪器交接，交接期间承担仪器正常运维工作（不包括质控工作）。</w:t>
      </w:r>
    </w:p>
    <w:p w14:paraId="669F6231">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2.6.6 协助招标人完成该设备在其它平台如方舱等的安装、调试、质控工作。</w:t>
      </w:r>
    </w:p>
    <w:p w14:paraId="737425A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表2-1  外标法（每日连续校准CC）所需控制物种清单</w:t>
      </w:r>
    </w:p>
    <w:tbl>
      <w:tblPr>
        <w:tblStyle w:val="48"/>
        <w:tblW w:w="4711" w:type="pct"/>
        <w:jc w:val="center"/>
        <w:tblLayout w:type="autofit"/>
        <w:tblCellMar>
          <w:top w:w="0" w:type="dxa"/>
          <w:left w:w="108" w:type="dxa"/>
          <w:bottom w:w="0" w:type="dxa"/>
          <w:right w:w="108" w:type="dxa"/>
        </w:tblCellMar>
      </w:tblPr>
      <w:tblGrid>
        <w:gridCol w:w="883"/>
        <w:gridCol w:w="2983"/>
        <w:gridCol w:w="1194"/>
        <w:gridCol w:w="2964"/>
      </w:tblGrid>
      <w:tr w14:paraId="2E9EF76A">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DE8413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序号</w:t>
            </w:r>
          </w:p>
        </w:tc>
        <w:tc>
          <w:tcPr>
            <w:tcW w:w="1858" w:type="pct"/>
            <w:tcBorders>
              <w:top w:val="single" w:color="000000" w:sz="4" w:space="0"/>
              <w:left w:val="single" w:color="000000" w:sz="4" w:space="0"/>
              <w:bottom w:val="single" w:color="000000" w:sz="4" w:space="0"/>
              <w:right w:val="single" w:color="000000" w:sz="4" w:space="0"/>
            </w:tcBorders>
            <w:vAlign w:val="center"/>
          </w:tcPr>
          <w:p w14:paraId="3C7895B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中文名</w:t>
            </w:r>
          </w:p>
        </w:tc>
        <w:tc>
          <w:tcPr>
            <w:tcW w:w="744" w:type="pct"/>
            <w:tcBorders>
              <w:top w:val="single" w:color="000000" w:sz="4" w:space="0"/>
              <w:left w:val="single" w:color="000000" w:sz="4" w:space="0"/>
              <w:bottom w:val="single" w:color="000000" w:sz="4" w:space="0"/>
              <w:right w:val="single" w:color="000000" w:sz="4" w:space="0"/>
            </w:tcBorders>
            <w:vAlign w:val="center"/>
          </w:tcPr>
          <w:p w14:paraId="2E58756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序号</w:t>
            </w:r>
          </w:p>
        </w:tc>
        <w:tc>
          <w:tcPr>
            <w:tcW w:w="1846" w:type="pct"/>
            <w:tcBorders>
              <w:top w:val="single" w:color="000000" w:sz="4" w:space="0"/>
              <w:left w:val="single" w:color="000000" w:sz="4" w:space="0"/>
              <w:bottom w:val="single" w:color="000000" w:sz="4" w:space="0"/>
              <w:right w:val="single" w:color="000000" w:sz="4" w:space="0"/>
            </w:tcBorders>
            <w:vAlign w:val="center"/>
          </w:tcPr>
          <w:p w14:paraId="1666C2D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中文名</w:t>
            </w:r>
          </w:p>
        </w:tc>
      </w:tr>
      <w:tr w14:paraId="4D3D046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B9DAAF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p>
        </w:tc>
        <w:tc>
          <w:tcPr>
            <w:tcW w:w="1858" w:type="pct"/>
            <w:tcBorders>
              <w:top w:val="single" w:color="000000" w:sz="4" w:space="0"/>
              <w:left w:val="single" w:color="000000" w:sz="4" w:space="0"/>
              <w:bottom w:val="single" w:color="000000" w:sz="4" w:space="0"/>
              <w:right w:val="single" w:color="000000" w:sz="4" w:space="0"/>
            </w:tcBorders>
            <w:vAlign w:val="center"/>
          </w:tcPr>
          <w:p w14:paraId="15FEA77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77A038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29</w:t>
            </w:r>
          </w:p>
        </w:tc>
        <w:tc>
          <w:tcPr>
            <w:tcW w:w="1846" w:type="pct"/>
            <w:tcBorders>
              <w:top w:val="single" w:color="000000" w:sz="4" w:space="0"/>
              <w:left w:val="single" w:color="000000" w:sz="4" w:space="0"/>
              <w:bottom w:val="single" w:color="000000" w:sz="4" w:space="0"/>
              <w:right w:val="single" w:color="000000" w:sz="4" w:space="0"/>
            </w:tcBorders>
            <w:vAlign w:val="center"/>
          </w:tcPr>
          <w:p w14:paraId="69E586B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w:t>
            </w:r>
            <w:r>
              <w:rPr>
                <w:rStyle w:val="249"/>
                <w:rFonts w:hint="default" w:ascii="Times New Roman" w:hAnsi="Times New Roman" w:eastAsia="宋体" w:cs="Times New Roman"/>
                <w:color w:val="auto"/>
                <w:sz w:val="21"/>
                <w:szCs w:val="21"/>
                <w:highlight w:val="none"/>
                <w:lang w:bidi="ar"/>
              </w:rPr>
              <w:t>二甲基戊烷</w:t>
            </w:r>
          </w:p>
        </w:tc>
      </w:tr>
      <w:tr w14:paraId="36930AD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A755C9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p>
        </w:tc>
        <w:tc>
          <w:tcPr>
            <w:tcW w:w="1858" w:type="pct"/>
            <w:tcBorders>
              <w:top w:val="single" w:color="000000" w:sz="4" w:space="0"/>
              <w:left w:val="single" w:color="000000" w:sz="4" w:space="0"/>
              <w:bottom w:val="single" w:color="000000" w:sz="4" w:space="0"/>
              <w:right w:val="single" w:color="000000" w:sz="4" w:space="0"/>
            </w:tcBorders>
            <w:vAlign w:val="center"/>
          </w:tcPr>
          <w:p w14:paraId="17DD9DB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89B6D6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30</w:t>
            </w:r>
          </w:p>
        </w:tc>
        <w:tc>
          <w:tcPr>
            <w:tcW w:w="1846" w:type="pct"/>
            <w:tcBorders>
              <w:top w:val="single" w:color="000000" w:sz="4" w:space="0"/>
              <w:left w:val="single" w:color="000000" w:sz="4" w:space="0"/>
              <w:bottom w:val="single" w:color="000000" w:sz="4" w:space="0"/>
              <w:right w:val="single" w:color="000000" w:sz="4" w:space="0"/>
            </w:tcBorders>
            <w:vAlign w:val="center"/>
          </w:tcPr>
          <w:p w14:paraId="00BA106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r>
              <w:rPr>
                <w:rStyle w:val="249"/>
                <w:rFonts w:hint="default" w:ascii="Times New Roman" w:hAnsi="Times New Roman" w:eastAsia="宋体" w:cs="Times New Roman"/>
                <w:color w:val="auto"/>
                <w:sz w:val="21"/>
                <w:szCs w:val="21"/>
                <w:highlight w:val="none"/>
                <w:lang w:bidi="ar"/>
              </w:rPr>
              <w:t>甲基己烷</w:t>
            </w:r>
          </w:p>
        </w:tc>
      </w:tr>
      <w:tr w14:paraId="2F14BE5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506CF2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p>
        </w:tc>
        <w:tc>
          <w:tcPr>
            <w:tcW w:w="1858" w:type="pct"/>
            <w:tcBorders>
              <w:top w:val="single" w:color="000000" w:sz="4" w:space="0"/>
              <w:left w:val="single" w:color="000000" w:sz="4" w:space="0"/>
              <w:bottom w:val="single" w:color="000000" w:sz="4" w:space="0"/>
              <w:right w:val="single" w:color="000000" w:sz="4" w:space="0"/>
            </w:tcBorders>
            <w:vAlign w:val="center"/>
          </w:tcPr>
          <w:p w14:paraId="7A198DF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0E33FA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31</w:t>
            </w:r>
          </w:p>
        </w:tc>
        <w:tc>
          <w:tcPr>
            <w:tcW w:w="1846" w:type="pct"/>
            <w:tcBorders>
              <w:top w:val="single" w:color="000000" w:sz="4" w:space="0"/>
              <w:left w:val="single" w:color="000000" w:sz="4" w:space="0"/>
              <w:bottom w:val="single" w:color="000000" w:sz="4" w:space="0"/>
              <w:right w:val="single" w:color="000000" w:sz="4" w:space="0"/>
            </w:tcBorders>
            <w:vAlign w:val="center"/>
          </w:tcPr>
          <w:p w14:paraId="3B8EB5C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2,2,4-</w:t>
            </w:r>
            <w:r>
              <w:rPr>
                <w:rStyle w:val="249"/>
                <w:rFonts w:hint="default" w:ascii="Times New Roman" w:hAnsi="Times New Roman" w:eastAsia="宋体" w:cs="Times New Roman"/>
                <w:color w:val="auto"/>
                <w:sz w:val="21"/>
                <w:szCs w:val="21"/>
                <w:highlight w:val="none"/>
                <w:lang w:bidi="ar"/>
              </w:rPr>
              <w:t>三甲基戊烷</w:t>
            </w:r>
          </w:p>
        </w:tc>
      </w:tr>
      <w:tr w14:paraId="31152ED4">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D02E85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w:t>
            </w:r>
          </w:p>
        </w:tc>
        <w:tc>
          <w:tcPr>
            <w:tcW w:w="1858" w:type="pct"/>
            <w:tcBorders>
              <w:top w:val="single" w:color="000000" w:sz="4" w:space="0"/>
              <w:left w:val="single" w:color="000000" w:sz="4" w:space="0"/>
              <w:bottom w:val="single" w:color="000000" w:sz="4" w:space="0"/>
              <w:right w:val="single" w:color="000000" w:sz="4" w:space="0"/>
            </w:tcBorders>
            <w:vAlign w:val="center"/>
          </w:tcPr>
          <w:p w14:paraId="148D9D3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87A864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32</w:t>
            </w:r>
          </w:p>
        </w:tc>
        <w:tc>
          <w:tcPr>
            <w:tcW w:w="1846" w:type="pct"/>
            <w:tcBorders>
              <w:top w:val="single" w:color="000000" w:sz="4" w:space="0"/>
              <w:left w:val="single" w:color="000000" w:sz="4" w:space="0"/>
              <w:bottom w:val="single" w:color="000000" w:sz="4" w:space="0"/>
              <w:right w:val="single" w:color="000000" w:sz="4" w:space="0"/>
            </w:tcBorders>
            <w:vAlign w:val="center"/>
          </w:tcPr>
          <w:p w14:paraId="30E7FA3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正庚烷</w:t>
            </w:r>
          </w:p>
        </w:tc>
      </w:tr>
      <w:tr w14:paraId="36CAEFF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974FFF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w:t>
            </w:r>
          </w:p>
        </w:tc>
        <w:tc>
          <w:tcPr>
            <w:tcW w:w="1858" w:type="pct"/>
            <w:tcBorders>
              <w:top w:val="single" w:color="000000" w:sz="4" w:space="0"/>
              <w:left w:val="single" w:color="000000" w:sz="4" w:space="0"/>
              <w:bottom w:val="single" w:color="000000" w:sz="4" w:space="0"/>
              <w:right w:val="single" w:color="000000" w:sz="4" w:space="0"/>
            </w:tcBorders>
            <w:vAlign w:val="center"/>
          </w:tcPr>
          <w:p w14:paraId="0D22F82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C06847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33</w:t>
            </w:r>
          </w:p>
        </w:tc>
        <w:tc>
          <w:tcPr>
            <w:tcW w:w="1846" w:type="pct"/>
            <w:tcBorders>
              <w:top w:val="single" w:color="000000" w:sz="4" w:space="0"/>
              <w:left w:val="single" w:color="000000" w:sz="4" w:space="0"/>
              <w:bottom w:val="single" w:color="000000" w:sz="4" w:space="0"/>
              <w:right w:val="single" w:color="000000" w:sz="4" w:space="0"/>
            </w:tcBorders>
            <w:vAlign w:val="center"/>
          </w:tcPr>
          <w:p w14:paraId="54EBC55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甲基环己烷</w:t>
            </w:r>
          </w:p>
        </w:tc>
      </w:tr>
      <w:tr w14:paraId="16FC76A4">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EE3796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w:t>
            </w:r>
          </w:p>
        </w:tc>
        <w:tc>
          <w:tcPr>
            <w:tcW w:w="1858" w:type="pct"/>
            <w:tcBorders>
              <w:top w:val="single" w:color="000000" w:sz="4" w:space="0"/>
              <w:left w:val="single" w:color="000000" w:sz="4" w:space="0"/>
              <w:bottom w:val="single" w:color="000000" w:sz="4" w:space="0"/>
              <w:right w:val="single" w:color="000000" w:sz="4" w:space="0"/>
            </w:tcBorders>
            <w:vAlign w:val="center"/>
          </w:tcPr>
          <w:p w14:paraId="04D20BA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F39122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34</w:t>
            </w:r>
          </w:p>
        </w:tc>
        <w:tc>
          <w:tcPr>
            <w:tcW w:w="1846" w:type="pct"/>
            <w:tcBorders>
              <w:top w:val="single" w:color="000000" w:sz="4" w:space="0"/>
              <w:left w:val="single" w:color="000000" w:sz="4" w:space="0"/>
              <w:bottom w:val="single" w:color="000000" w:sz="4" w:space="0"/>
              <w:right w:val="single" w:color="000000" w:sz="4" w:space="0"/>
            </w:tcBorders>
            <w:vAlign w:val="center"/>
          </w:tcPr>
          <w:p w14:paraId="31CB906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2,3,4-</w:t>
            </w:r>
            <w:r>
              <w:rPr>
                <w:rStyle w:val="249"/>
                <w:rFonts w:hint="default" w:ascii="Times New Roman" w:hAnsi="Times New Roman" w:eastAsia="宋体" w:cs="Times New Roman"/>
                <w:color w:val="auto"/>
                <w:sz w:val="21"/>
                <w:szCs w:val="21"/>
                <w:highlight w:val="none"/>
                <w:lang w:bidi="ar"/>
              </w:rPr>
              <w:t>三甲基戊烷</w:t>
            </w:r>
          </w:p>
        </w:tc>
      </w:tr>
      <w:tr w14:paraId="50237222">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98E76C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w:t>
            </w:r>
          </w:p>
        </w:tc>
        <w:tc>
          <w:tcPr>
            <w:tcW w:w="1858" w:type="pct"/>
            <w:tcBorders>
              <w:top w:val="single" w:color="000000" w:sz="4" w:space="0"/>
              <w:left w:val="single" w:color="000000" w:sz="4" w:space="0"/>
              <w:bottom w:val="single" w:color="000000" w:sz="4" w:space="0"/>
              <w:right w:val="single" w:color="000000" w:sz="4" w:space="0"/>
            </w:tcBorders>
            <w:vAlign w:val="center"/>
          </w:tcPr>
          <w:p w14:paraId="22E82A2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乙炔</w:t>
            </w:r>
          </w:p>
        </w:tc>
        <w:tc>
          <w:tcPr>
            <w:tcW w:w="744" w:type="pct"/>
            <w:tcBorders>
              <w:top w:val="single" w:color="000000" w:sz="4" w:space="0"/>
              <w:left w:val="single" w:color="000000" w:sz="4" w:space="0"/>
              <w:bottom w:val="single" w:color="000000" w:sz="4" w:space="0"/>
              <w:right w:val="single" w:color="000000" w:sz="4" w:space="0"/>
            </w:tcBorders>
            <w:vAlign w:val="center"/>
          </w:tcPr>
          <w:p w14:paraId="42FEFBB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35</w:t>
            </w:r>
          </w:p>
        </w:tc>
        <w:tc>
          <w:tcPr>
            <w:tcW w:w="1846" w:type="pct"/>
            <w:tcBorders>
              <w:top w:val="single" w:color="000000" w:sz="4" w:space="0"/>
              <w:left w:val="single" w:color="000000" w:sz="4" w:space="0"/>
              <w:bottom w:val="single" w:color="000000" w:sz="4" w:space="0"/>
              <w:right w:val="single" w:color="000000" w:sz="4" w:space="0"/>
            </w:tcBorders>
            <w:vAlign w:val="center"/>
          </w:tcPr>
          <w:p w14:paraId="22FE378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甲苯</w:t>
            </w:r>
          </w:p>
        </w:tc>
      </w:tr>
      <w:tr w14:paraId="63C03A8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A12778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w:t>
            </w:r>
          </w:p>
        </w:tc>
        <w:tc>
          <w:tcPr>
            <w:tcW w:w="1858" w:type="pct"/>
            <w:tcBorders>
              <w:top w:val="single" w:color="000000" w:sz="4" w:space="0"/>
              <w:left w:val="single" w:color="000000" w:sz="4" w:space="0"/>
              <w:bottom w:val="single" w:color="000000" w:sz="4" w:space="0"/>
              <w:right w:val="single" w:color="000000" w:sz="4" w:space="0"/>
            </w:tcBorders>
            <w:vAlign w:val="center"/>
          </w:tcPr>
          <w:p w14:paraId="6562106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反-2-</w:t>
            </w:r>
            <w:r>
              <w:rPr>
                <w:rStyle w:val="249"/>
                <w:rFonts w:hint="default" w:ascii="Times New Roman" w:hAnsi="Times New Roman" w:eastAsia="宋体" w:cs="Times New Roman"/>
                <w:color w:val="auto"/>
                <w:sz w:val="21"/>
                <w:szCs w:val="21"/>
                <w:highlight w:val="none"/>
                <w:lang w:bidi="ar"/>
              </w:rPr>
              <w:t>丁烯</w:t>
            </w:r>
          </w:p>
        </w:tc>
        <w:tc>
          <w:tcPr>
            <w:tcW w:w="744" w:type="pct"/>
            <w:tcBorders>
              <w:top w:val="single" w:color="000000" w:sz="4" w:space="0"/>
              <w:left w:val="single" w:color="000000" w:sz="4" w:space="0"/>
              <w:bottom w:val="single" w:color="000000" w:sz="4" w:space="0"/>
              <w:right w:val="single" w:color="000000" w:sz="4" w:space="0"/>
            </w:tcBorders>
            <w:vAlign w:val="center"/>
          </w:tcPr>
          <w:p w14:paraId="79CBE83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36</w:t>
            </w:r>
          </w:p>
        </w:tc>
        <w:tc>
          <w:tcPr>
            <w:tcW w:w="1846" w:type="pct"/>
            <w:tcBorders>
              <w:top w:val="single" w:color="000000" w:sz="4" w:space="0"/>
              <w:left w:val="single" w:color="000000" w:sz="4" w:space="0"/>
              <w:bottom w:val="single" w:color="000000" w:sz="4" w:space="0"/>
              <w:right w:val="single" w:color="000000" w:sz="4" w:space="0"/>
            </w:tcBorders>
            <w:vAlign w:val="center"/>
          </w:tcPr>
          <w:p w14:paraId="4A9FA94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甲基庚烷</w:t>
            </w:r>
          </w:p>
        </w:tc>
      </w:tr>
      <w:tr w14:paraId="5C5E724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26BAA7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w:t>
            </w:r>
          </w:p>
        </w:tc>
        <w:tc>
          <w:tcPr>
            <w:tcW w:w="1858" w:type="pct"/>
            <w:tcBorders>
              <w:top w:val="single" w:color="000000" w:sz="4" w:space="0"/>
              <w:left w:val="single" w:color="000000" w:sz="4" w:space="0"/>
              <w:bottom w:val="single" w:color="000000" w:sz="4" w:space="0"/>
              <w:right w:val="single" w:color="000000" w:sz="4" w:space="0"/>
            </w:tcBorders>
            <w:vAlign w:val="center"/>
          </w:tcPr>
          <w:p w14:paraId="45275B1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丁烯</w:t>
            </w:r>
          </w:p>
        </w:tc>
        <w:tc>
          <w:tcPr>
            <w:tcW w:w="744" w:type="pct"/>
            <w:tcBorders>
              <w:top w:val="single" w:color="000000" w:sz="4" w:space="0"/>
              <w:left w:val="single" w:color="000000" w:sz="4" w:space="0"/>
              <w:bottom w:val="single" w:color="000000" w:sz="4" w:space="0"/>
              <w:right w:val="single" w:color="000000" w:sz="4" w:space="0"/>
            </w:tcBorders>
            <w:vAlign w:val="center"/>
          </w:tcPr>
          <w:p w14:paraId="23BA48B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37</w:t>
            </w:r>
          </w:p>
        </w:tc>
        <w:tc>
          <w:tcPr>
            <w:tcW w:w="1846" w:type="pct"/>
            <w:tcBorders>
              <w:top w:val="single" w:color="000000" w:sz="4" w:space="0"/>
              <w:left w:val="single" w:color="000000" w:sz="4" w:space="0"/>
              <w:bottom w:val="single" w:color="000000" w:sz="4" w:space="0"/>
              <w:right w:val="single" w:color="000000" w:sz="4" w:space="0"/>
            </w:tcBorders>
            <w:vAlign w:val="center"/>
          </w:tcPr>
          <w:p w14:paraId="2C811C1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r>
              <w:rPr>
                <w:rStyle w:val="249"/>
                <w:rFonts w:hint="default" w:ascii="Times New Roman" w:hAnsi="Times New Roman" w:eastAsia="宋体" w:cs="Times New Roman"/>
                <w:color w:val="auto"/>
                <w:sz w:val="21"/>
                <w:szCs w:val="21"/>
                <w:highlight w:val="none"/>
                <w:lang w:bidi="ar"/>
              </w:rPr>
              <w:t>甲基庚烷</w:t>
            </w:r>
          </w:p>
        </w:tc>
      </w:tr>
      <w:tr w14:paraId="138DC76E">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45D24A2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w:t>
            </w:r>
          </w:p>
        </w:tc>
        <w:tc>
          <w:tcPr>
            <w:tcW w:w="1858" w:type="pct"/>
            <w:tcBorders>
              <w:top w:val="single" w:color="000000" w:sz="4" w:space="0"/>
              <w:left w:val="single" w:color="000000" w:sz="4" w:space="0"/>
              <w:bottom w:val="single" w:color="000000" w:sz="4" w:space="0"/>
              <w:right w:val="single" w:color="000000" w:sz="4" w:space="0"/>
            </w:tcBorders>
            <w:vAlign w:val="center"/>
          </w:tcPr>
          <w:p w14:paraId="0F933BA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顺-2-</w:t>
            </w:r>
            <w:r>
              <w:rPr>
                <w:rStyle w:val="249"/>
                <w:rFonts w:hint="default" w:ascii="Times New Roman" w:hAnsi="Times New Roman" w:eastAsia="宋体" w:cs="Times New Roman"/>
                <w:color w:val="auto"/>
                <w:sz w:val="21"/>
                <w:szCs w:val="21"/>
                <w:highlight w:val="none"/>
                <w:lang w:bidi="ar"/>
              </w:rPr>
              <w:t>丁烯</w:t>
            </w:r>
          </w:p>
        </w:tc>
        <w:tc>
          <w:tcPr>
            <w:tcW w:w="744" w:type="pct"/>
            <w:tcBorders>
              <w:top w:val="single" w:color="000000" w:sz="4" w:space="0"/>
              <w:left w:val="single" w:color="000000" w:sz="4" w:space="0"/>
              <w:bottom w:val="single" w:color="000000" w:sz="4" w:space="0"/>
              <w:right w:val="single" w:color="000000" w:sz="4" w:space="0"/>
            </w:tcBorders>
            <w:vAlign w:val="center"/>
          </w:tcPr>
          <w:p w14:paraId="2258B8E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38</w:t>
            </w:r>
          </w:p>
        </w:tc>
        <w:tc>
          <w:tcPr>
            <w:tcW w:w="1846" w:type="pct"/>
            <w:tcBorders>
              <w:top w:val="single" w:color="000000" w:sz="4" w:space="0"/>
              <w:left w:val="single" w:color="000000" w:sz="4" w:space="0"/>
              <w:bottom w:val="single" w:color="000000" w:sz="4" w:space="0"/>
              <w:right w:val="single" w:color="000000" w:sz="4" w:space="0"/>
            </w:tcBorders>
            <w:vAlign w:val="center"/>
          </w:tcPr>
          <w:p w14:paraId="271B2D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正辛烷</w:t>
            </w:r>
          </w:p>
        </w:tc>
      </w:tr>
      <w:tr w14:paraId="6E3C9D2A">
        <w:tblPrEx>
          <w:tblCellMar>
            <w:top w:w="0" w:type="dxa"/>
            <w:left w:w="108" w:type="dxa"/>
            <w:bottom w:w="0" w:type="dxa"/>
            <w:right w:w="108" w:type="dxa"/>
          </w:tblCellMar>
        </w:tblPrEx>
        <w:trPr>
          <w:trHeight w:val="147"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2F3BD9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w:t>
            </w:r>
          </w:p>
        </w:tc>
        <w:tc>
          <w:tcPr>
            <w:tcW w:w="1858" w:type="pct"/>
            <w:tcBorders>
              <w:top w:val="single" w:color="000000" w:sz="4" w:space="0"/>
              <w:left w:val="single" w:color="000000" w:sz="4" w:space="0"/>
              <w:bottom w:val="single" w:color="000000" w:sz="4" w:space="0"/>
              <w:right w:val="single" w:color="000000" w:sz="4" w:space="0"/>
            </w:tcBorders>
            <w:vAlign w:val="center"/>
          </w:tcPr>
          <w:p w14:paraId="1D28836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环戊烷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411AE08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39</w:t>
            </w:r>
          </w:p>
        </w:tc>
        <w:tc>
          <w:tcPr>
            <w:tcW w:w="1846" w:type="pct"/>
            <w:tcBorders>
              <w:top w:val="single" w:color="000000" w:sz="4" w:space="0"/>
              <w:left w:val="single" w:color="000000" w:sz="4" w:space="0"/>
              <w:bottom w:val="single" w:color="000000" w:sz="4" w:space="0"/>
              <w:right w:val="single" w:color="000000" w:sz="4" w:space="0"/>
            </w:tcBorders>
            <w:vAlign w:val="center"/>
          </w:tcPr>
          <w:p w14:paraId="61B0132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乙苯</w:t>
            </w:r>
          </w:p>
        </w:tc>
      </w:tr>
      <w:tr w14:paraId="553E5021">
        <w:tblPrEx>
          <w:tblCellMar>
            <w:top w:w="0" w:type="dxa"/>
            <w:left w:w="108" w:type="dxa"/>
            <w:bottom w:w="0" w:type="dxa"/>
            <w:right w:w="108" w:type="dxa"/>
          </w:tblCellMar>
        </w:tblPrEx>
        <w:trPr>
          <w:trHeight w:val="362"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vAlign w:val="center"/>
          </w:tcPr>
          <w:p w14:paraId="7672A61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p>
        </w:tc>
        <w:tc>
          <w:tcPr>
            <w:tcW w:w="1858" w:type="pct"/>
            <w:vMerge w:val="restart"/>
            <w:tcBorders>
              <w:top w:val="single" w:color="000000" w:sz="4" w:space="0"/>
              <w:left w:val="single" w:color="000000" w:sz="4" w:space="0"/>
              <w:bottom w:val="single" w:color="000000" w:sz="4" w:space="0"/>
              <w:right w:val="single" w:color="000000" w:sz="4" w:space="0"/>
            </w:tcBorders>
            <w:vAlign w:val="center"/>
          </w:tcPr>
          <w:p w14:paraId="2B35A95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异戊烷</w:t>
            </w:r>
          </w:p>
        </w:tc>
        <w:tc>
          <w:tcPr>
            <w:tcW w:w="744" w:type="pct"/>
            <w:vMerge w:val="restart"/>
            <w:tcBorders>
              <w:top w:val="single" w:color="000000" w:sz="4" w:space="0"/>
              <w:left w:val="single" w:color="000000" w:sz="4" w:space="0"/>
              <w:bottom w:val="single" w:color="000000" w:sz="4" w:space="0"/>
              <w:right w:val="single" w:color="000000" w:sz="4" w:space="0"/>
            </w:tcBorders>
            <w:vAlign w:val="center"/>
          </w:tcPr>
          <w:p w14:paraId="73D3100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40/41</w:t>
            </w:r>
          </w:p>
        </w:tc>
        <w:tc>
          <w:tcPr>
            <w:tcW w:w="1846" w:type="pct"/>
            <w:vMerge w:val="restart"/>
            <w:tcBorders>
              <w:top w:val="single" w:color="000000" w:sz="4" w:space="0"/>
              <w:left w:val="single" w:color="000000" w:sz="4" w:space="0"/>
              <w:bottom w:val="single" w:color="000000" w:sz="4" w:space="0"/>
              <w:right w:val="single" w:color="000000" w:sz="4" w:space="0"/>
            </w:tcBorders>
            <w:vAlign w:val="center"/>
          </w:tcPr>
          <w:p w14:paraId="782D8D1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间、对-</w:t>
            </w:r>
            <w:r>
              <w:rPr>
                <w:rStyle w:val="249"/>
                <w:rFonts w:hint="default" w:ascii="Times New Roman" w:hAnsi="Times New Roman" w:eastAsia="宋体" w:cs="Times New Roman"/>
                <w:color w:val="auto"/>
                <w:sz w:val="21"/>
                <w:szCs w:val="21"/>
                <w:highlight w:val="none"/>
                <w:lang w:bidi="ar"/>
              </w:rPr>
              <w:t>二甲苯</w:t>
            </w:r>
          </w:p>
        </w:tc>
      </w:tr>
      <w:tr w14:paraId="53061F85">
        <w:tblPrEx>
          <w:tblCellMar>
            <w:top w:w="0" w:type="dxa"/>
            <w:left w:w="108" w:type="dxa"/>
            <w:bottom w:w="0" w:type="dxa"/>
            <w:right w:w="108" w:type="dxa"/>
          </w:tblCellMar>
        </w:tblPrEx>
        <w:trPr>
          <w:trHeight w:val="362"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vAlign w:val="center"/>
          </w:tcPr>
          <w:p w14:paraId="3C4273F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858" w:type="pct"/>
            <w:vMerge w:val="continue"/>
            <w:tcBorders>
              <w:top w:val="single" w:color="000000" w:sz="4" w:space="0"/>
              <w:left w:val="single" w:color="000000" w:sz="4" w:space="0"/>
              <w:bottom w:val="single" w:color="000000" w:sz="4" w:space="0"/>
              <w:right w:val="single" w:color="000000" w:sz="4" w:space="0"/>
            </w:tcBorders>
            <w:vAlign w:val="center"/>
          </w:tcPr>
          <w:p w14:paraId="321C3FC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vAlign w:val="center"/>
          </w:tcPr>
          <w:p w14:paraId="4CA4B07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846" w:type="pct"/>
            <w:vMerge w:val="continue"/>
            <w:tcBorders>
              <w:top w:val="single" w:color="000000" w:sz="4" w:space="0"/>
              <w:left w:val="single" w:color="000000" w:sz="4" w:space="0"/>
              <w:bottom w:val="single" w:color="000000" w:sz="4" w:space="0"/>
              <w:right w:val="single" w:color="000000" w:sz="4" w:space="0"/>
            </w:tcBorders>
            <w:vAlign w:val="center"/>
          </w:tcPr>
          <w:p w14:paraId="000634F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170BD2E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63499F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13</w:t>
            </w:r>
          </w:p>
        </w:tc>
        <w:tc>
          <w:tcPr>
            <w:tcW w:w="1858" w:type="pct"/>
            <w:tcBorders>
              <w:top w:val="single" w:color="000000" w:sz="4" w:space="0"/>
              <w:left w:val="single" w:color="000000" w:sz="4" w:space="0"/>
              <w:bottom w:val="single" w:color="000000" w:sz="4" w:space="0"/>
              <w:right w:val="single" w:color="000000" w:sz="4" w:space="0"/>
            </w:tcBorders>
            <w:vAlign w:val="center"/>
          </w:tcPr>
          <w:p w14:paraId="71536C0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943FD2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42</w:t>
            </w:r>
          </w:p>
        </w:tc>
        <w:tc>
          <w:tcPr>
            <w:tcW w:w="1846" w:type="pct"/>
            <w:tcBorders>
              <w:top w:val="single" w:color="000000" w:sz="4" w:space="0"/>
              <w:left w:val="single" w:color="000000" w:sz="4" w:space="0"/>
              <w:bottom w:val="single" w:color="000000" w:sz="4" w:space="0"/>
              <w:right w:val="single" w:color="000000" w:sz="4" w:space="0"/>
            </w:tcBorders>
            <w:vAlign w:val="center"/>
          </w:tcPr>
          <w:p w14:paraId="3B47E03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苯乙烯</w:t>
            </w:r>
          </w:p>
        </w:tc>
      </w:tr>
      <w:tr w14:paraId="0FA2B59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2C65E5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14</w:t>
            </w:r>
          </w:p>
        </w:tc>
        <w:tc>
          <w:tcPr>
            <w:tcW w:w="1858" w:type="pct"/>
            <w:tcBorders>
              <w:top w:val="single" w:color="000000" w:sz="4" w:space="0"/>
              <w:left w:val="single" w:color="000000" w:sz="4" w:space="0"/>
              <w:bottom w:val="single" w:color="000000" w:sz="4" w:space="0"/>
              <w:right w:val="single" w:color="000000" w:sz="4" w:space="0"/>
            </w:tcBorders>
            <w:vAlign w:val="center"/>
          </w:tcPr>
          <w:p w14:paraId="2BF573C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反-2-</w:t>
            </w:r>
            <w:r>
              <w:rPr>
                <w:rStyle w:val="249"/>
                <w:rFonts w:hint="default" w:ascii="Times New Roman" w:hAnsi="Times New Roman" w:eastAsia="宋体" w:cs="Times New Roman"/>
                <w:color w:val="auto"/>
                <w:sz w:val="21"/>
                <w:szCs w:val="21"/>
                <w:highlight w:val="none"/>
                <w:lang w:bidi="ar"/>
              </w:rPr>
              <w:t>戊烯</w:t>
            </w:r>
          </w:p>
        </w:tc>
        <w:tc>
          <w:tcPr>
            <w:tcW w:w="744" w:type="pct"/>
            <w:tcBorders>
              <w:top w:val="single" w:color="000000" w:sz="4" w:space="0"/>
              <w:left w:val="single" w:color="000000" w:sz="4" w:space="0"/>
              <w:bottom w:val="single" w:color="000000" w:sz="4" w:space="0"/>
              <w:right w:val="single" w:color="000000" w:sz="4" w:space="0"/>
            </w:tcBorders>
            <w:vAlign w:val="center"/>
          </w:tcPr>
          <w:p w14:paraId="5FC3D7B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43</w:t>
            </w:r>
          </w:p>
        </w:tc>
        <w:tc>
          <w:tcPr>
            <w:tcW w:w="1846" w:type="pct"/>
            <w:tcBorders>
              <w:top w:val="single" w:color="000000" w:sz="4" w:space="0"/>
              <w:left w:val="single" w:color="000000" w:sz="4" w:space="0"/>
              <w:bottom w:val="single" w:color="000000" w:sz="4" w:space="0"/>
              <w:right w:val="single" w:color="000000" w:sz="4" w:space="0"/>
            </w:tcBorders>
            <w:vAlign w:val="center"/>
          </w:tcPr>
          <w:p w14:paraId="46136D5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邻-</w:t>
            </w:r>
            <w:r>
              <w:rPr>
                <w:rStyle w:val="249"/>
                <w:rFonts w:hint="default" w:ascii="Times New Roman" w:hAnsi="Times New Roman" w:eastAsia="宋体" w:cs="Times New Roman"/>
                <w:color w:val="auto"/>
                <w:sz w:val="21"/>
                <w:szCs w:val="21"/>
                <w:highlight w:val="none"/>
                <w:lang w:bidi="ar"/>
              </w:rPr>
              <w:t>二甲苯</w:t>
            </w:r>
          </w:p>
        </w:tc>
      </w:tr>
      <w:tr w14:paraId="5CC2A60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A2E690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15</w:t>
            </w:r>
          </w:p>
        </w:tc>
        <w:tc>
          <w:tcPr>
            <w:tcW w:w="1858" w:type="pct"/>
            <w:tcBorders>
              <w:top w:val="single" w:color="000000" w:sz="4" w:space="0"/>
              <w:left w:val="single" w:color="000000" w:sz="4" w:space="0"/>
              <w:bottom w:val="single" w:color="000000" w:sz="4" w:space="0"/>
              <w:right w:val="single" w:color="000000" w:sz="4" w:space="0"/>
            </w:tcBorders>
            <w:vAlign w:val="center"/>
          </w:tcPr>
          <w:p w14:paraId="269FF8B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戊烯</w:t>
            </w:r>
          </w:p>
        </w:tc>
        <w:tc>
          <w:tcPr>
            <w:tcW w:w="744" w:type="pct"/>
            <w:tcBorders>
              <w:top w:val="single" w:color="000000" w:sz="4" w:space="0"/>
              <w:left w:val="single" w:color="000000" w:sz="4" w:space="0"/>
              <w:bottom w:val="single" w:color="000000" w:sz="4" w:space="0"/>
              <w:right w:val="single" w:color="000000" w:sz="4" w:space="0"/>
            </w:tcBorders>
            <w:vAlign w:val="center"/>
          </w:tcPr>
          <w:p w14:paraId="5856B2B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44</w:t>
            </w:r>
          </w:p>
        </w:tc>
        <w:tc>
          <w:tcPr>
            <w:tcW w:w="1846" w:type="pct"/>
            <w:tcBorders>
              <w:top w:val="single" w:color="000000" w:sz="4" w:space="0"/>
              <w:left w:val="single" w:color="000000" w:sz="4" w:space="0"/>
              <w:bottom w:val="single" w:color="000000" w:sz="4" w:space="0"/>
              <w:right w:val="single" w:color="000000" w:sz="4" w:space="0"/>
            </w:tcBorders>
            <w:vAlign w:val="center"/>
          </w:tcPr>
          <w:p w14:paraId="4495CCA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正壬烷</w:t>
            </w:r>
          </w:p>
        </w:tc>
      </w:tr>
      <w:tr w14:paraId="0E4B32D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9ED922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16</w:t>
            </w:r>
          </w:p>
        </w:tc>
        <w:tc>
          <w:tcPr>
            <w:tcW w:w="1858" w:type="pct"/>
            <w:tcBorders>
              <w:top w:val="single" w:color="000000" w:sz="4" w:space="0"/>
              <w:left w:val="single" w:color="000000" w:sz="4" w:space="0"/>
              <w:bottom w:val="single" w:color="000000" w:sz="4" w:space="0"/>
              <w:right w:val="single" w:color="000000" w:sz="4" w:space="0"/>
            </w:tcBorders>
            <w:vAlign w:val="center"/>
          </w:tcPr>
          <w:p w14:paraId="6ED8ECF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顺-2-</w:t>
            </w:r>
            <w:r>
              <w:rPr>
                <w:rStyle w:val="249"/>
                <w:rFonts w:hint="default" w:ascii="Times New Roman" w:hAnsi="Times New Roman" w:eastAsia="宋体" w:cs="Times New Roman"/>
                <w:color w:val="auto"/>
                <w:sz w:val="21"/>
                <w:szCs w:val="21"/>
                <w:highlight w:val="none"/>
                <w:lang w:bidi="ar"/>
              </w:rPr>
              <w:t>戊烯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BAE25C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45</w:t>
            </w:r>
          </w:p>
        </w:tc>
        <w:tc>
          <w:tcPr>
            <w:tcW w:w="1846" w:type="pct"/>
            <w:tcBorders>
              <w:top w:val="single" w:color="000000" w:sz="4" w:space="0"/>
              <w:left w:val="single" w:color="000000" w:sz="4" w:space="0"/>
              <w:bottom w:val="single" w:color="000000" w:sz="4" w:space="0"/>
              <w:right w:val="single" w:color="000000" w:sz="4" w:space="0"/>
            </w:tcBorders>
            <w:vAlign w:val="center"/>
          </w:tcPr>
          <w:p w14:paraId="461B281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异丙苯</w:t>
            </w:r>
          </w:p>
        </w:tc>
      </w:tr>
      <w:tr w14:paraId="24CE140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3EDB52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17</w:t>
            </w:r>
          </w:p>
        </w:tc>
        <w:tc>
          <w:tcPr>
            <w:tcW w:w="1858" w:type="pct"/>
            <w:tcBorders>
              <w:top w:val="single" w:color="000000" w:sz="4" w:space="0"/>
              <w:left w:val="single" w:color="000000" w:sz="4" w:space="0"/>
              <w:bottom w:val="single" w:color="000000" w:sz="4" w:space="0"/>
              <w:right w:val="single" w:color="000000" w:sz="4" w:space="0"/>
            </w:tcBorders>
            <w:vAlign w:val="center"/>
          </w:tcPr>
          <w:p w14:paraId="3F3CF9F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2,2-</w:t>
            </w:r>
            <w:r>
              <w:rPr>
                <w:rStyle w:val="249"/>
                <w:rFonts w:hint="default" w:ascii="Times New Roman" w:hAnsi="Times New Roman" w:eastAsia="宋体" w:cs="Times New Roman"/>
                <w:color w:val="auto"/>
                <w:sz w:val="21"/>
                <w:szCs w:val="21"/>
                <w:highlight w:val="none"/>
                <w:lang w:bidi="ar"/>
              </w:rPr>
              <w:t>二甲基丁烷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39ABF0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46</w:t>
            </w:r>
          </w:p>
        </w:tc>
        <w:tc>
          <w:tcPr>
            <w:tcW w:w="1846" w:type="pct"/>
            <w:tcBorders>
              <w:top w:val="single" w:color="000000" w:sz="4" w:space="0"/>
              <w:left w:val="single" w:color="000000" w:sz="4" w:space="0"/>
              <w:bottom w:val="single" w:color="000000" w:sz="4" w:space="0"/>
              <w:right w:val="single" w:color="000000" w:sz="4" w:space="0"/>
            </w:tcBorders>
            <w:vAlign w:val="center"/>
          </w:tcPr>
          <w:p w14:paraId="783D7D2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正丙苯</w:t>
            </w:r>
          </w:p>
        </w:tc>
      </w:tr>
      <w:tr w14:paraId="211B83BE">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D4B72F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18</w:t>
            </w:r>
          </w:p>
        </w:tc>
        <w:tc>
          <w:tcPr>
            <w:tcW w:w="1858" w:type="pct"/>
            <w:tcBorders>
              <w:top w:val="single" w:color="000000" w:sz="4" w:space="0"/>
              <w:left w:val="single" w:color="000000" w:sz="4" w:space="0"/>
              <w:bottom w:val="single" w:color="000000" w:sz="4" w:space="0"/>
              <w:right w:val="single" w:color="000000" w:sz="4" w:space="0"/>
            </w:tcBorders>
            <w:vAlign w:val="center"/>
          </w:tcPr>
          <w:p w14:paraId="4B54418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w:t>
            </w:r>
            <w:r>
              <w:rPr>
                <w:rStyle w:val="249"/>
                <w:rFonts w:hint="default" w:ascii="Times New Roman" w:hAnsi="Times New Roman" w:eastAsia="宋体" w:cs="Times New Roman"/>
                <w:color w:val="auto"/>
                <w:sz w:val="21"/>
                <w:szCs w:val="21"/>
                <w:highlight w:val="none"/>
                <w:lang w:bidi="ar"/>
              </w:rPr>
              <w:t>二甲基丁烷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378A81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47</w:t>
            </w:r>
          </w:p>
        </w:tc>
        <w:tc>
          <w:tcPr>
            <w:tcW w:w="1846" w:type="pct"/>
            <w:tcBorders>
              <w:top w:val="single" w:color="000000" w:sz="4" w:space="0"/>
              <w:left w:val="single" w:color="000000" w:sz="4" w:space="0"/>
              <w:bottom w:val="single" w:color="000000" w:sz="4" w:space="0"/>
              <w:right w:val="single" w:color="000000" w:sz="4" w:space="0"/>
            </w:tcBorders>
            <w:vAlign w:val="center"/>
          </w:tcPr>
          <w:p w14:paraId="39D59A6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间乙基甲苯</w:t>
            </w:r>
          </w:p>
        </w:tc>
      </w:tr>
      <w:tr w14:paraId="734C1EE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589021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19</w:t>
            </w:r>
          </w:p>
        </w:tc>
        <w:tc>
          <w:tcPr>
            <w:tcW w:w="1858" w:type="pct"/>
            <w:tcBorders>
              <w:top w:val="single" w:color="000000" w:sz="4" w:space="0"/>
              <w:left w:val="single" w:color="000000" w:sz="4" w:space="0"/>
              <w:bottom w:val="single" w:color="000000" w:sz="4" w:space="0"/>
              <w:right w:val="single" w:color="000000" w:sz="4" w:space="0"/>
            </w:tcBorders>
            <w:vAlign w:val="center"/>
          </w:tcPr>
          <w:p w14:paraId="4CBAADD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甲基戊烷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5C871D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48</w:t>
            </w:r>
          </w:p>
        </w:tc>
        <w:tc>
          <w:tcPr>
            <w:tcW w:w="1846" w:type="pct"/>
            <w:tcBorders>
              <w:top w:val="single" w:color="000000" w:sz="4" w:space="0"/>
              <w:left w:val="single" w:color="000000" w:sz="4" w:space="0"/>
              <w:bottom w:val="single" w:color="000000" w:sz="4" w:space="0"/>
              <w:right w:val="single" w:color="000000" w:sz="4" w:space="0"/>
            </w:tcBorders>
            <w:vAlign w:val="center"/>
          </w:tcPr>
          <w:p w14:paraId="3DE4AF4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对乙基甲苯</w:t>
            </w:r>
          </w:p>
        </w:tc>
      </w:tr>
      <w:tr w14:paraId="2ADBFF9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EEA4EB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20</w:t>
            </w:r>
          </w:p>
        </w:tc>
        <w:tc>
          <w:tcPr>
            <w:tcW w:w="1858" w:type="pct"/>
            <w:tcBorders>
              <w:top w:val="single" w:color="000000" w:sz="4" w:space="0"/>
              <w:left w:val="single" w:color="000000" w:sz="4" w:space="0"/>
              <w:bottom w:val="single" w:color="000000" w:sz="4" w:space="0"/>
              <w:right w:val="single" w:color="000000" w:sz="4" w:space="0"/>
            </w:tcBorders>
            <w:vAlign w:val="center"/>
          </w:tcPr>
          <w:p w14:paraId="44FFBD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3-</w:t>
            </w:r>
            <w:r>
              <w:rPr>
                <w:rStyle w:val="249"/>
                <w:rFonts w:hint="default" w:ascii="Times New Roman" w:hAnsi="Times New Roman" w:eastAsia="宋体" w:cs="Times New Roman"/>
                <w:color w:val="auto"/>
                <w:sz w:val="21"/>
                <w:szCs w:val="21"/>
                <w:highlight w:val="none"/>
                <w:lang w:bidi="ar"/>
              </w:rPr>
              <w:t>甲基戊烷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4650C4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49</w:t>
            </w:r>
          </w:p>
        </w:tc>
        <w:tc>
          <w:tcPr>
            <w:tcW w:w="1846" w:type="pct"/>
            <w:tcBorders>
              <w:top w:val="single" w:color="000000" w:sz="4" w:space="0"/>
              <w:left w:val="single" w:color="000000" w:sz="4" w:space="0"/>
              <w:bottom w:val="single" w:color="000000" w:sz="4" w:space="0"/>
              <w:right w:val="single" w:color="000000" w:sz="4" w:space="0"/>
            </w:tcBorders>
            <w:vAlign w:val="center"/>
          </w:tcPr>
          <w:p w14:paraId="214C020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1,3,5-</w:t>
            </w:r>
            <w:r>
              <w:rPr>
                <w:rStyle w:val="249"/>
                <w:rFonts w:hint="default" w:ascii="Times New Roman" w:hAnsi="Times New Roman" w:eastAsia="宋体" w:cs="Times New Roman"/>
                <w:color w:val="auto"/>
                <w:sz w:val="21"/>
                <w:szCs w:val="21"/>
                <w:highlight w:val="none"/>
                <w:lang w:bidi="ar"/>
              </w:rPr>
              <w:t>三甲基苯</w:t>
            </w:r>
          </w:p>
        </w:tc>
      </w:tr>
      <w:tr w14:paraId="3D9CC87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828C54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21</w:t>
            </w:r>
          </w:p>
        </w:tc>
        <w:tc>
          <w:tcPr>
            <w:tcW w:w="1858" w:type="pct"/>
            <w:tcBorders>
              <w:top w:val="single" w:color="000000" w:sz="4" w:space="0"/>
              <w:left w:val="single" w:color="000000" w:sz="4" w:space="0"/>
              <w:bottom w:val="single" w:color="000000" w:sz="4" w:space="0"/>
              <w:right w:val="single" w:color="000000" w:sz="4" w:space="0"/>
            </w:tcBorders>
            <w:vAlign w:val="center"/>
          </w:tcPr>
          <w:p w14:paraId="3E99410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异戊二烯</w:t>
            </w:r>
          </w:p>
        </w:tc>
        <w:tc>
          <w:tcPr>
            <w:tcW w:w="744" w:type="pct"/>
            <w:tcBorders>
              <w:top w:val="single" w:color="000000" w:sz="4" w:space="0"/>
              <w:left w:val="single" w:color="000000" w:sz="4" w:space="0"/>
              <w:bottom w:val="single" w:color="000000" w:sz="4" w:space="0"/>
              <w:right w:val="single" w:color="000000" w:sz="4" w:space="0"/>
            </w:tcBorders>
            <w:vAlign w:val="center"/>
          </w:tcPr>
          <w:p w14:paraId="035CED6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50</w:t>
            </w:r>
          </w:p>
        </w:tc>
        <w:tc>
          <w:tcPr>
            <w:tcW w:w="1846" w:type="pct"/>
            <w:tcBorders>
              <w:top w:val="single" w:color="000000" w:sz="4" w:space="0"/>
              <w:left w:val="single" w:color="000000" w:sz="4" w:space="0"/>
              <w:bottom w:val="single" w:color="000000" w:sz="4" w:space="0"/>
              <w:right w:val="single" w:color="000000" w:sz="4" w:space="0"/>
            </w:tcBorders>
            <w:vAlign w:val="center"/>
          </w:tcPr>
          <w:p w14:paraId="2E6F7C6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 4-</w:t>
            </w:r>
            <w:r>
              <w:rPr>
                <w:rStyle w:val="249"/>
                <w:rFonts w:hint="default" w:ascii="Times New Roman" w:hAnsi="Times New Roman" w:eastAsia="宋体" w:cs="Times New Roman"/>
                <w:color w:val="auto"/>
                <w:sz w:val="21"/>
                <w:szCs w:val="21"/>
                <w:highlight w:val="none"/>
                <w:lang w:bidi="ar"/>
              </w:rPr>
              <w:t>三甲基苯</w:t>
            </w:r>
          </w:p>
        </w:tc>
      </w:tr>
      <w:tr w14:paraId="2B92996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519523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22</w:t>
            </w:r>
          </w:p>
        </w:tc>
        <w:tc>
          <w:tcPr>
            <w:tcW w:w="1858" w:type="pct"/>
            <w:tcBorders>
              <w:top w:val="single" w:color="000000" w:sz="4" w:space="0"/>
              <w:left w:val="single" w:color="000000" w:sz="4" w:space="0"/>
              <w:bottom w:val="single" w:color="000000" w:sz="4" w:space="0"/>
              <w:right w:val="single" w:color="000000" w:sz="4" w:space="0"/>
            </w:tcBorders>
            <w:vAlign w:val="center"/>
          </w:tcPr>
          <w:p w14:paraId="76A4B2F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正己烷</w:t>
            </w:r>
          </w:p>
        </w:tc>
        <w:tc>
          <w:tcPr>
            <w:tcW w:w="744" w:type="pct"/>
            <w:tcBorders>
              <w:top w:val="single" w:color="000000" w:sz="4" w:space="0"/>
              <w:left w:val="single" w:color="000000" w:sz="4" w:space="0"/>
              <w:bottom w:val="single" w:color="000000" w:sz="4" w:space="0"/>
              <w:right w:val="single" w:color="000000" w:sz="4" w:space="0"/>
            </w:tcBorders>
            <w:vAlign w:val="center"/>
          </w:tcPr>
          <w:p w14:paraId="6A7905E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51</w:t>
            </w:r>
          </w:p>
        </w:tc>
        <w:tc>
          <w:tcPr>
            <w:tcW w:w="1846" w:type="pct"/>
            <w:tcBorders>
              <w:top w:val="single" w:color="000000" w:sz="4" w:space="0"/>
              <w:left w:val="single" w:color="000000" w:sz="4" w:space="0"/>
              <w:bottom w:val="single" w:color="000000" w:sz="4" w:space="0"/>
              <w:right w:val="single" w:color="000000" w:sz="4" w:space="0"/>
            </w:tcBorders>
            <w:vAlign w:val="center"/>
          </w:tcPr>
          <w:p w14:paraId="5647327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1,2,3-</w:t>
            </w:r>
            <w:r>
              <w:rPr>
                <w:rStyle w:val="249"/>
                <w:rFonts w:hint="default" w:ascii="Times New Roman" w:hAnsi="Times New Roman" w:eastAsia="宋体" w:cs="Times New Roman"/>
                <w:color w:val="auto"/>
                <w:sz w:val="21"/>
                <w:szCs w:val="21"/>
                <w:highlight w:val="none"/>
                <w:lang w:bidi="ar"/>
              </w:rPr>
              <w:t>三甲基苯</w:t>
            </w:r>
          </w:p>
        </w:tc>
      </w:tr>
      <w:tr w14:paraId="1B0EDE3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A3C9FE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23</w:t>
            </w:r>
          </w:p>
        </w:tc>
        <w:tc>
          <w:tcPr>
            <w:tcW w:w="1858" w:type="pct"/>
            <w:tcBorders>
              <w:top w:val="single" w:color="000000" w:sz="4" w:space="0"/>
              <w:left w:val="single" w:color="000000" w:sz="4" w:space="0"/>
              <w:bottom w:val="single" w:color="000000" w:sz="4" w:space="0"/>
              <w:right w:val="single" w:color="000000" w:sz="4" w:space="0"/>
            </w:tcBorders>
            <w:vAlign w:val="center"/>
          </w:tcPr>
          <w:p w14:paraId="6F5A6B0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己烯</w:t>
            </w:r>
          </w:p>
        </w:tc>
        <w:tc>
          <w:tcPr>
            <w:tcW w:w="744" w:type="pct"/>
            <w:tcBorders>
              <w:top w:val="single" w:color="000000" w:sz="4" w:space="0"/>
              <w:left w:val="single" w:color="000000" w:sz="4" w:space="0"/>
              <w:bottom w:val="single" w:color="000000" w:sz="4" w:space="0"/>
              <w:right w:val="single" w:color="000000" w:sz="4" w:space="0"/>
            </w:tcBorders>
            <w:vAlign w:val="center"/>
          </w:tcPr>
          <w:p w14:paraId="1332072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52</w:t>
            </w:r>
          </w:p>
        </w:tc>
        <w:tc>
          <w:tcPr>
            <w:tcW w:w="1846" w:type="pct"/>
            <w:tcBorders>
              <w:top w:val="single" w:color="000000" w:sz="4" w:space="0"/>
              <w:left w:val="single" w:color="000000" w:sz="4" w:space="0"/>
              <w:bottom w:val="single" w:color="000000" w:sz="4" w:space="0"/>
              <w:right w:val="single" w:color="000000" w:sz="4" w:space="0"/>
            </w:tcBorders>
            <w:vAlign w:val="center"/>
          </w:tcPr>
          <w:p w14:paraId="64A47A0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邻乙基甲苯</w:t>
            </w:r>
          </w:p>
        </w:tc>
      </w:tr>
      <w:tr w14:paraId="5CCEBA54">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E44F39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24</w:t>
            </w:r>
          </w:p>
        </w:tc>
        <w:tc>
          <w:tcPr>
            <w:tcW w:w="1858" w:type="pct"/>
            <w:tcBorders>
              <w:top w:val="single" w:color="000000" w:sz="4" w:space="0"/>
              <w:left w:val="single" w:color="000000" w:sz="4" w:space="0"/>
              <w:bottom w:val="single" w:color="000000" w:sz="4" w:space="0"/>
              <w:right w:val="single" w:color="000000" w:sz="4" w:space="0"/>
            </w:tcBorders>
            <w:vAlign w:val="center"/>
          </w:tcPr>
          <w:p w14:paraId="409A3F4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甲基环戊烷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C7D685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53</w:t>
            </w:r>
          </w:p>
        </w:tc>
        <w:tc>
          <w:tcPr>
            <w:tcW w:w="1846" w:type="pct"/>
            <w:tcBorders>
              <w:top w:val="single" w:color="000000" w:sz="4" w:space="0"/>
              <w:left w:val="single" w:color="000000" w:sz="4" w:space="0"/>
              <w:bottom w:val="single" w:color="000000" w:sz="4" w:space="0"/>
              <w:right w:val="single" w:color="000000" w:sz="4" w:space="0"/>
            </w:tcBorders>
            <w:vAlign w:val="center"/>
          </w:tcPr>
          <w:p w14:paraId="37A47D1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正癸烷</w:t>
            </w:r>
          </w:p>
        </w:tc>
      </w:tr>
      <w:tr w14:paraId="470EDCF3">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177BE8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25</w:t>
            </w:r>
          </w:p>
        </w:tc>
        <w:tc>
          <w:tcPr>
            <w:tcW w:w="1858" w:type="pct"/>
            <w:tcBorders>
              <w:top w:val="single" w:color="000000" w:sz="4" w:space="0"/>
              <w:left w:val="single" w:color="000000" w:sz="4" w:space="0"/>
              <w:bottom w:val="single" w:color="000000" w:sz="4" w:space="0"/>
              <w:right w:val="single" w:color="000000" w:sz="4" w:space="0"/>
            </w:tcBorders>
            <w:vAlign w:val="center"/>
          </w:tcPr>
          <w:p w14:paraId="05BE088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2,4-</w:t>
            </w:r>
            <w:r>
              <w:rPr>
                <w:rStyle w:val="249"/>
                <w:rFonts w:hint="default" w:ascii="Times New Roman" w:hAnsi="Times New Roman" w:eastAsia="宋体" w:cs="Times New Roman"/>
                <w:color w:val="auto"/>
                <w:sz w:val="21"/>
                <w:szCs w:val="21"/>
                <w:highlight w:val="none"/>
                <w:lang w:bidi="ar"/>
              </w:rPr>
              <w:t>二甲基戊烷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242444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54</w:t>
            </w:r>
          </w:p>
        </w:tc>
        <w:tc>
          <w:tcPr>
            <w:tcW w:w="1846" w:type="pct"/>
            <w:tcBorders>
              <w:top w:val="single" w:color="000000" w:sz="4" w:space="0"/>
              <w:left w:val="single" w:color="000000" w:sz="4" w:space="0"/>
              <w:bottom w:val="single" w:color="000000" w:sz="4" w:space="0"/>
              <w:right w:val="single" w:color="000000" w:sz="4" w:space="0"/>
            </w:tcBorders>
            <w:vAlign w:val="center"/>
          </w:tcPr>
          <w:p w14:paraId="5F8CBF1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间二乙基苯</w:t>
            </w:r>
          </w:p>
        </w:tc>
      </w:tr>
      <w:tr w14:paraId="4EBCB33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921192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26</w:t>
            </w:r>
          </w:p>
        </w:tc>
        <w:tc>
          <w:tcPr>
            <w:tcW w:w="1858" w:type="pct"/>
            <w:tcBorders>
              <w:top w:val="single" w:color="000000" w:sz="4" w:space="0"/>
              <w:left w:val="single" w:color="000000" w:sz="4" w:space="0"/>
              <w:bottom w:val="single" w:color="000000" w:sz="4" w:space="0"/>
              <w:right w:val="single" w:color="000000" w:sz="4" w:space="0"/>
            </w:tcBorders>
            <w:vAlign w:val="center"/>
          </w:tcPr>
          <w:p w14:paraId="38FB560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苯</w:t>
            </w:r>
          </w:p>
        </w:tc>
        <w:tc>
          <w:tcPr>
            <w:tcW w:w="744" w:type="pct"/>
            <w:tcBorders>
              <w:top w:val="single" w:color="000000" w:sz="4" w:space="0"/>
              <w:left w:val="single" w:color="000000" w:sz="4" w:space="0"/>
              <w:bottom w:val="single" w:color="000000" w:sz="4" w:space="0"/>
              <w:right w:val="single" w:color="000000" w:sz="4" w:space="0"/>
            </w:tcBorders>
            <w:vAlign w:val="center"/>
          </w:tcPr>
          <w:p w14:paraId="66EFF9A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55</w:t>
            </w:r>
          </w:p>
        </w:tc>
        <w:tc>
          <w:tcPr>
            <w:tcW w:w="1846" w:type="pct"/>
            <w:tcBorders>
              <w:top w:val="single" w:color="000000" w:sz="4" w:space="0"/>
              <w:left w:val="single" w:color="000000" w:sz="4" w:space="0"/>
              <w:bottom w:val="single" w:color="000000" w:sz="4" w:space="0"/>
              <w:right w:val="single" w:color="000000" w:sz="4" w:space="0"/>
            </w:tcBorders>
            <w:vAlign w:val="center"/>
          </w:tcPr>
          <w:p w14:paraId="5BCE43F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对二乙基苯</w:t>
            </w:r>
          </w:p>
        </w:tc>
      </w:tr>
      <w:tr w14:paraId="559B271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E57216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27</w:t>
            </w:r>
          </w:p>
        </w:tc>
        <w:tc>
          <w:tcPr>
            <w:tcW w:w="1858" w:type="pct"/>
            <w:tcBorders>
              <w:top w:val="single" w:color="000000" w:sz="4" w:space="0"/>
              <w:left w:val="single" w:color="000000" w:sz="4" w:space="0"/>
              <w:bottom w:val="single" w:color="000000" w:sz="4" w:space="0"/>
              <w:right w:val="single" w:color="000000" w:sz="4" w:space="0"/>
            </w:tcBorders>
            <w:vAlign w:val="center"/>
          </w:tcPr>
          <w:p w14:paraId="7359436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环己烷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CC7844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56</w:t>
            </w:r>
          </w:p>
        </w:tc>
        <w:tc>
          <w:tcPr>
            <w:tcW w:w="1846" w:type="pct"/>
            <w:tcBorders>
              <w:top w:val="single" w:color="000000" w:sz="4" w:space="0"/>
              <w:left w:val="single" w:color="000000" w:sz="4" w:space="0"/>
              <w:bottom w:val="single" w:color="000000" w:sz="4" w:space="0"/>
              <w:right w:val="single" w:color="000000" w:sz="4" w:space="0"/>
            </w:tcBorders>
            <w:vAlign w:val="center"/>
          </w:tcPr>
          <w:p w14:paraId="14D77D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正十一烷</w:t>
            </w:r>
          </w:p>
        </w:tc>
      </w:tr>
      <w:tr w14:paraId="00C3EF8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1B4CC6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28</w:t>
            </w:r>
          </w:p>
        </w:tc>
        <w:tc>
          <w:tcPr>
            <w:tcW w:w="1858" w:type="pct"/>
            <w:tcBorders>
              <w:top w:val="single" w:color="000000" w:sz="4" w:space="0"/>
              <w:left w:val="single" w:color="000000" w:sz="4" w:space="0"/>
              <w:bottom w:val="single" w:color="000000" w:sz="4" w:space="0"/>
              <w:right w:val="single" w:color="000000" w:sz="4" w:space="0"/>
            </w:tcBorders>
            <w:vAlign w:val="center"/>
          </w:tcPr>
          <w:p w14:paraId="347A87C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甲基己烷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6B4C59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57</w:t>
            </w:r>
          </w:p>
        </w:tc>
        <w:tc>
          <w:tcPr>
            <w:tcW w:w="1846" w:type="pct"/>
            <w:tcBorders>
              <w:top w:val="single" w:color="000000" w:sz="4" w:space="0"/>
              <w:left w:val="single" w:color="000000" w:sz="4" w:space="0"/>
              <w:bottom w:val="single" w:color="000000" w:sz="4" w:space="0"/>
              <w:right w:val="single" w:color="000000" w:sz="4" w:space="0"/>
            </w:tcBorders>
            <w:vAlign w:val="center"/>
          </w:tcPr>
          <w:p w14:paraId="3D873F0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正十二烷</w:t>
            </w:r>
          </w:p>
        </w:tc>
      </w:tr>
      <w:tr w14:paraId="2258440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891F59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58</w:t>
            </w:r>
          </w:p>
        </w:tc>
        <w:tc>
          <w:tcPr>
            <w:tcW w:w="1858" w:type="pct"/>
            <w:tcBorders>
              <w:top w:val="single" w:color="000000" w:sz="4" w:space="0"/>
              <w:left w:val="single" w:color="000000" w:sz="4" w:space="0"/>
              <w:bottom w:val="single" w:color="000000" w:sz="4" w:space="0"/>
              <w:right w:val="single" w:color="000000" w:sz="4" w:space="0"/>
            </w:tcBorders>
            <w:vAlign w:val="center"/>
          </w:tcPr>
          <w:p w14:paraId="3A660DF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甲醛</w:t>
            </w:r>
          </w:p>
        </w:tc>
        <w:tc>
          <w:tcPr>
            <w:tcW w:w="744" w:type="pct"/>
            <w:tcBorders>
              <w:top w:val="single" w:color="000000" w:sz="4" w:space="0"/>
              <w:left w:val="single" w:color="000000" w:sz="4" w:space="0"/>
              <w:bottom w:val="single" w:color="000000" w:sz="4" w:space="0"/>
              <w:right w:val="single" w:color="000000" w:sz="4" w:space="0"/>
            </w:tcBorders>
            <w:vAlign w:val="center"/>
          </w:tcPr>
          <w:p w14:paraId="29F2F94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65</w:t>
            </w:r>
          </w:p>
        </w:tc>
        <w:tc>
          <w:tcPr>
            <w:tcW w:w="1846" w:type="pct"/>
            <w:tcBorders>
              <w:top w:val="single" w:color="000000" w:sz="4" w:space="0"/>
              <w:left w:val="single" w:color="000000" w:sz="4" w:space="0"/>
              <w:bottom w:val="single" w:color="000000" w:sz="4" w:space="0"/>
              <w:right w:val="single" w:color="000000" w:sz="4" w:space="0"/>
            </w:tcBorders>
            <w:vAlign w:val="center"/>
          </w:tcPr>
          <w:p w14:paraId="78BFBF3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2 -丁酮</w:t>
            </w:r>
          </w:p>
        </w:tc>
      </w:tr>
      <w:tr w14:paraId="3D02DC45">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5724D6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59</w:t>
            </w:r>
          </w:p>
        </w:tc>
        <w:tc>
          <w:tcPr>
            <w:tcW w:w="1858" w:type="pct"/>
            <w:tcBorders>
              <w:top w:val="single" w:color="000000" w:sz="4" w:space="0"/>
              <w:left w:val="single" w:color="000000" w:sz="4" w:space="0"/>
              <w:bottom w:val="single" w:color="000000" w:sz="4" w:space="0"/>
              <w:right w:val="single" w:color="000000" w:sz="4" w:space="0"/>
            </w:tcBorders>
            <w:vAlign w:val="center"/>
          </w:tcPr>
          <w:p w14:paraId="7D42924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乙醛</w:t>
            </w:r>
          </w:p>
        </w:tc>
        <w:tc>
          <w:tcPr>
            <w:tcW w:w="744" w:type="pct"/>
            <w:tcBorders>
              <w:top w:val="single" w:color="000000" w:sz="4" w:space="0"/>
              <w:left w:val="single" w:color="000000" w:sz="4" w:space="0"/>
              <w:bottom w:val="single" w:color="000000" w:sz="4" w:space="0"/>
              <w:right w:val="single" w:color="000000" w:sz="4" w:space="0"/>
            </w:tcBorders>
            <w:vAlign w:val="center"/>
          </w:tcPr>
          <w:p w14:paraId="0968F71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66</w:t>
            </w:r>
          </w:p>
        </w:tc>
        <w:tc>
          <w:tcPr>
            <w:tcW w:w="1846" w:type="pct"/>
            <w:tcBorders>
              <w:top w:val="single" w:color="000000" w:sz="4" w:space="0"/>
              <w:left w:val="single" w:color="000000" w:sz="4" w:space="0"/>
              <w:bottom w:val="single" w:color="000000" w:sz="4" w:space="0"/>
              <w:right w:val="single" w:color="000000" w:sz="4" w:space="0"/>
            </w:tcBorders>
            <w:vAlign w:val="center"/>
          </w:tcPr>
          <w:p w14:paraId="2730D08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正丁醛</w:t>
            </w:r>
          </w:p>
        </w:tc>
      </w:tr>
      <w:tr w14:paraId="11AE5C64">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4F5997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60</w:t>
            </w:r>
          </w:p>
        </w:tc>
        <w:tc>
          <w:tcPr>
            <w:tcW w:w="1858" w:type="pct"/>
            <w:tcBorders>
              <w:top w:val="single" w:color="000000" w:sz="4" w:space="0"/>
              <w:left w:val="single" w:color="000000" w:sz="4" w:space="0"/>
              <w:bottom w:val="single" w:color="000000" w:sz="4" w:space="0"/>
              <w:right w:val="single" w:color="000000" w:sz="4" w:space="0"/>
            </w:tcBorders>
            <w:vAlign w:val="center"/>
          </w:tcPr>
          <w:p w14:paraId="38EDB33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丙烯醛</w:t>
            </w:r>
          </w:p>
        </w:tc>
        <w:tc>
          <w:tcPr>
            <w:tcW w:w="744" w:type="pct"/>
            <w:tcBorders>
              <w:top w:val="single" w:color="000000" w:sz="4" w:space="0"/>
              <w:left w:val="single" w:color="000000" w:sz="4" w:space="0"/>
              <w:bottom w:val="single" w:color="000000" w:sz="4" w:space="0"/>
              <w:right w:val="single" w:color="000000" w:sz="4" w:space="0"/>
            </w:tcBorders>
            <w:vAlign w:val="center"/>
          </w:tcPr>
          <w:p w14:paraId="12B5E7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67</w:t>
            </w:r>
          </w:p>
        </w:tc>
        <w:tc>
          <w:tcPr>
            <w:tcW w:w="1846" w:type="pct"/>
            <w:tcBorders>
              <w:top w:val="single" w:color="000000" w:sz="4" w:space="0"/>
              <w:left w:val="single" w:color="000000" w:sz="4" w:space="0"/>
              <w:bottom w:val="single" w:color="000000" w:sz="4" w:space="0"/>
              <w:right w:val="single" w:color="000000" w:sz="4" w:space="0"/>
            </w:tcBorders>
            <w:vAlign w:val="center"/>
          </w:tcPr>
          <w:p w14:paraId="7E3963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苯甲醛</w:t>
            </w:r>
          </w:p>
        </w:tc>
      </w:tr>
      <w:tr w14:paraId="1E52ADC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5B2A57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61</w:t>
            </w:r>
          </w:p>
        </w:tc>
        <w:tc>
          <w:tcPr>
            <w:tcW w:w="1858" w:type="pct"/>
            <w:tcBorders>
              <w:top w:val="single" w:color="000000" w:sz="4" w:space="0"/>
              <w:left w:val="single" w:color="000000" w:sz="4" w:space="0"/>
              <w:bottom w:val="single" w:color="000000" w:sz="4" w:space="0"/>
              <w:right w:val="single" w:color="000000" w:sz="4" w:space="0"/>
            </w:tcBorders>
            <w:vAlign w:val="center"/>
          </w:tcPr>
          <w:p w14:paraId="7C27BC3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丙酮</w:t>
            </w:r>
          </w:p>
        </w:tc>
        <w:tc>
          <w:tcPr>
            <w:tcW w:w="744" w:type="pct"/>
            <w:tcBorders>
              <w:top w:val="single" w:color="000000" w:sz="4" w:space="0"/>
              <w:left w:val="single" w:color="000000" w:sz="4" w:space="0"/>
              <w:bottom w:val="single" w:color="000000" w:sz="4" w:space="0"/>
              <w:right w:val="single" w:color="000000" w:sz="4" w:space="0"/>
            </w:tcBorders>
            <w:vAlign w:val="center"/>
          </w:tcPr>
          <w:p w14:paraId="2D461FC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68</w:t>
            </w:r>
          </w:p>
        </w:tc>
        <w:tc>
          <w:tcPr>
            <w:tcW w:w="1846" w:type="pct"/>
            <w:tcBorders>
              <w:top w:val="single" w:color="000000" w:sz="4" w:space="0"/>
              <w:left w:val="single" w:color="000000" w:sz="4" w:space="0"/>
              <w:bottom w:val="single" w:color="000000" w:sz="4" w:space="0"/>
              <w:right w:val="single" w:color="000000" w:sz="4" w:space="0"/>
            </w:tcBorders>
            <w:vAlign w:val="center"/>
          </w:tcPr>
          <w:p w14:paraId="5504118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戊醛</w:t>
            </w:r>
          </w:p>
        </w:tc>
      </w:tr>
      <w:tr w14:paraId="421F541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3198CD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62</w:t>
            </w:r>
          </w:p>
        </w:tc>
        <w:tc>
          <w:tcPr>
            <w:tcW w:w="1858" w:type="pct"/>
            <w:tcBorders>
              <w:top w:val="single" w:color="000000" w:sz="4" w:space="0"/>
              <w:left w:val="single" w:color="000000" w:sz="4" w:space="0"/>
              <w:bottom w:val="single" w:color="000000" w:sz="4" w:space="0"/>
              <w:right w:val="single" w:color="000000" w:sz="4" w:space="0"/>
            </w:tcBorders>
            <w:vAlign w:val="center"/>
          </w:tcPr>
          <w:p w14:paraId="4582BF7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丙醛</w:t>
            </w:r>
          </w:p>
        </w:tc>
        <w:tc>
          <w:tcPr>
            <w:tcW w:w="744" w:type="pct"/>
            <w:tcBorders>
              <w:top w:val="single" w:color="000000" w:sz="4" w:space="0"/>
              <w:left w:val="single" w:color="000000" w:sz="4" w:space="0"/>
              <w:bottom w:val="single" w:color="000000" w:sz="4" w:space="0"/>
              <w:right w:val="single" w:color="000000" w:sz="4" w:space="0"/>
            </w:tcBorders>
            <w:vAlign w:val="center"/>
          </w:tcPr>
          <w:p w14:paraId="588F0B3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69</w:t>
            </w:r>
          </w:p>
        </w:tc>
        <w:tc>
          <w:tcPr>
            <w:tcW w:w="1846" w:type="pct"/>
            <w:tcBorders>
              <w:top w:val="single" w:color="000000" w:sz="4" w:space="0"/>
              <w:left w:val="single" w:color="000000" w:sz="4" w:space="0"/>
              <w:bottom w:val="single" w:color="000000" w:sz="4" w:space="0"/>
              <w:right w:val="single" w:color="000000" w:sz="4" w:space="0"/>
            </w:tcBorders>
            <w:vAlign w:val="center"/>
          </w:tcPr>
          <w:p w14:paraId="0D9B1CD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间甲基苯甲醛</w:t>
            </w:r>
          </w:p>
        </w:tc>
      </w:tr>
      <w:tr w14:paraId="0ECC31A5">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0955CA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63</w:t>
            </w:r>
          </w:p>
        </w:tc>
        <w:tc>
          <w:tcPr>
            <w:tcW w:w="1858" w:type="pct"/>
            <w:tcBorders>
              <w:top w:val="single" w:color="000000" w:sz="4" w:space="0"/>
              <w:left w:val="single" w:color="000000" w:sz="4" w:space="0"/>
              <w:bottom w:val="single" w:color="000000" w:sz="4" w:space="0"/>
              <w:right w:val="single" w:color="000000" w:sz="4" w:space="0"/>
            </w:tcBorders>
            <w:vAlign w:val="center"/>
          </w:tcPr>
          <w:p w14:paraId="736B9CC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丁烯醛</w:t>
            </w:r>
          </w:p>
        </w:tc>
        <w:tc>
          <w:tcPr>
            <w:tcW w:w="744" w:type="pct"/>
            <w:tcBorders>
              <w:top w:val="single" w:color="000000" w:sz="4" w:space="0"/>
              <w:left w:val="single" w:color="000000" w:sz="4" w:space="0"/>
              <w:bottom w:val="single" w:color="000000" w:sz="4" w:space="0"/>
              <w:right w:val="single" w:color="000000" w:sz="4" w:space="0"/>
            </w:tcBorders>
            <w:vAlign w:val="center"/>
          </w:tcPr>
          <w:p w14:paraId="4E9B8F1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70</w:t>
            </w:r>
          </w:p>
        </w:tc>
        <w:tc>
          <w:tcPr>
            <w:tcW w:w="1846" w:type="pct"/>
            <w:tcBorders>
              <w:top w:val="single" w:color="000000" w:sz="4" w:space="0"/>
              <w:left w:val="single" w:color="000000" w:sz="4" w:space="0"/>
              <w:bottom w:val="single" w:color="000000" w:sz="4" w:space="0"/>
              <w:right w:val="single" w:color="000000" w:sz="4" w:space="0"/>
            </w:tcBorders>
            <w:vAlign w:val="center"/>
          </w:tcPr>
          <w:p w14:paraId="4E9CBB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己醛</w:t>
            </w:r>
          </w:p>
        </w:tc>
      </w:tr>
      <w:tr w14:paraId="509FA809">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13B0B4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64</w:t>
            </w:r>
          </w:p>
        </w:tc>
        <w:tc>
          <w:tcPr>
            <w:tcW w:w="1858" w:type="pct"/>
            <w:tcBorders>
              <w:top w:val="single" w:color="000000" w:sz="4" w:space="0"/>
              <w:left w:val="single" w:color="000000" w:sz="4" w:space="0"/>
              <w:bottom w:val="single" w:color="000000" w:sz="4" w:space="0"/>
              <w:right w:val="single" w:color="000000" w:sz="4" w:space="0"/>
            </w:tcBorders>
            <w:vAlign w:val="center"/>
          </w:tcPr>
          <w:p w14:paraId="7233428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甲基丙烯醛</w:t>
            </w:r>
          </w:p>
        </w:tc>
        <w:tc>
          <w:tcPr>
            <w:tcW w:w="744" w:type="pct"/>
            <w:tcBorders>
              <w:top w:val="single" w:color="000000" w:sz="4" w:space="0"/>
              <w:left w:val="single" w:color="000000" w:sz="4" w:space="0"/>
              <w:bottom w:val="single" w:color="000000" w:sz="4" w:space="0"/>
              <w:right w:val="single" w:color="000000" w:sz="4" w:space="0"/>
            </w:tcBorders>
            <w:vAlign w:val="center"/>
          </w:tcPr>
          <w:p w14:paraId="74A30F1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95</w:t>
            </w:r>
          </w:p>
        </w:tc>
        <w:tc>
          <w:tcPr>
            <w:tcW w:w="1846" w:type="pct"/>
            <w:tcBorders>
              <w:top w:val="single" w:color="000000" w:sz="4" w:space="0"/>
              <w:left w:val="single" w:color="000000" w:sz="4" w:space="0"/>
              <w:bottom w:val="single" w:color="000000" w:sz="4" w:space="0"/>
              <w:right w:val="single" w:color="000000" w:sz="4" w:space="0"/>
            </w:tcBorders>
            <w:vAlign w:val="center"/>
          </w:tcPr>
          <w:p w14:paraId="5BC5165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一溴二氯甲烷</w:t>
            </w:r>
          </w:p>
        </w:tc>
      </w:tr>
      <w:tr w14:paraId="5CF77C6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85438F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71</w:t>
            </w:r>
          </w:p>
        </w:tc>
        <w:tc>
          <w:tcPr>
            <w:tcW w:w="1858" w:type="pct"/>
            <w:tcBorders>
              <w:top w:val="single" w:color="000000" w:sz="4" w:space="0"/>
              <w:left w:val="single" w:color="000000" w:sz="4" w:space="0"/>
              <w:bottom w:val="single" w:color="000000" w:sz="4" w:space="0"/>
              <w:right w:val="single" w:color="000000" w:sz="4" w:space="0"/>
            </w:tcBorders>
            <w:vAlign w:val="center"/>
          </w:tcPr>
          <w:p w14:paraId="188B76B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二氟二氯甲烷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42D94A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96</w:t>
            </w:r>
          </w:p>
        </w:tc>
        <w:tc>
          <w:tcPr>
            <w:tcW w:w="1846" w:type="pct"/>
            <w:tcBorders>
              <w:top w:val="single" w:color="000000" w:sz="4" w:space="0"/>
              <w:left w:val="single" w:color="000000" w:sz="4" w:space="0"/>
              <w:bottom w:val="single" w:color="000000" w:sz="4" w:space="0"/>
              <w:right w:val="single" w:color="000000" w:sz="4" w:space="0"/>
            </w:tcBorders>
            <w:vAlign w:val="center"/>
          </w:tcPr>
          <w:p w14:paraId="5C1387F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三氯乙烯</w:t>
            </w:r>
          </w:p>
        </w:tc>
      </w:tr>
      <w:tr w14:paraId="12FB393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216131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72</w:t>
            </w:r>
          </w:p>
        </w:tc>
        <w:tc>
          <w:tcPr>
            <w:tcW w:w="1858" w:type="pct"/>
            <w:tcBorders>
              <w:top w:val="single" w:color="000000" w:sz="4" w:space="0"/>
              <w:left w:val="single" w:color="000000" w:sz="4" w:space="0"/>
              <w:bottom w:val="single" w:color="000000" w:sz="4" w:space="0"/>
              <w:right w:val="single" w:color="000000" w:sz="4" w:space="0"/>
            </w:tcBorders>
            <w:vAlign w:val="center"/>
          </w:tcPr>
          <w:p w14:paraId="0D52AD0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4560A3F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97</w:t>
            </w:r>
          </w:p>
        </w:tc>
        <w:tc>
          <w:tcPr>
            <w:tcW w:w="1846" w:type="pct"/>
            <w:tcBorders>
              <w:top w:val="single" w:color="000000" w:sz="4" w:space="0"/>
              <w:left w:val="single" w:color="000000" w:sz="4" w:space="0"/>
              <w:bottom w:val="single" w:color="000000" w:sz="4" w:space="0"/>
              <w:right w:val="single" w:color="000000" w:sz="4" w:space="0"/>
            </w:tcBorders>
            <w:vAlign w:val="center"/>
          </w:tcPr>
          <w:p w14:paraId="05BF316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二氯丙烷</w:t>
            </w:r>
          </w:p>
        </w:tc>
      </w:tr>
      <w:tr w14:paraId="2AD84E3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BD2AC4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73</w:t>
            </w:r>
          </w:p>
        </w:tc>
        <w:tc>
          <w:tcPr>
            <w:tcW w:w="1858" w:type="pct"/>
            <w:tcBorders>
              <w:top w:val="single" w:color="000000" w:sz="4" w:space="0"/>
              <w:left w:val="single" w:color="000000" w:sz="4" w:space="0"/>
              <w:bottom w:val="single" w:color="000000" w:sz="4" w:space="0"/>
              <w:right w:val="single" w:color="000000" w:sz="4" w:space="0"/>
            </w:tcBorders>
            <w:vAlign w:val="center"/>
          </w:tcPr>
          <w:p w14:paraId="52086A4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734549C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98</w:t>
            </w:r>
          </w:p>
        </w:tc>
        <w:tc>
          <w:tcPr>
            <w:tcW w:w="1846" w:type="pct"/>
            <w:tcBorders>
              <w:top w:val="single" w:color="000000" w:sz="4" w:space="0"/>
              <w:left w:val="single" w:color="000000" w:sz="4" w:space="0"/>
              <w:bottom w:val="single" w:color="000000" w:sz="4" w:space="0"/>
              <w:right w:val="single" w:color="000000" w:sz="4" w:space="0"/>
            </w:tcBorders>
            <w:vAlign w:val="center"/>
          </w:tcPr>
          <w:p w14:paraId="05CF2B7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甲基丙烯酸甲酯</w:t>
            </w:r>
          </w:p>
        </w:tc>
      </w:tr>
      <w:tr w14:paraId="6874CA5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553D17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74</w:t>
            </w:r>
          </w:p>
        </w:tc>
        <w:tc>
          <w:tcPr>
            <w:tcW w:w="1858" w:type="pct"/>
            <w:tcBorders>
              <w:top w:val="single" w:color="000000" w:sz="4" w:space="0"/>
              <w:left w:val="single" w:color="000000" w:sz="4" w:space="0"/>
              <w:bottom w:val="single" w:color="000000" w:sz="4" w:space="0"/>
              <w:right w:val="single" w:color="000000" w:sz="4" w:space="0"/>
            </w:tcBorders>
            <w:vAlign w:val="center"/>
          </w:tcPr>
          <w:p w14:paraId="081EE68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丁二烯</w:t>
            </w:r>
          </w:p>
        </w:tc>
        <w:tc>
          <w:tcPr>
            <w:tcW w:w="744" w:type="pct"/>
            <w:tcBorders>
              <w:top w:val="single" w:color="000000" w:sz="4" w:space="0"/>
              <w:left w:val="single" w:color="000000" w:sz="4" w:space="0"/>
              <w:bottom w:val="single" w:color="000000" w:sz="4" w:space="0"/>
              <w:right w:val="single" w:color="000000" w:sz="4" w:space="0"/>
            </w:tcBorders>
            <w:vAlign w:val="center"/>
          </w:tcPr>
          <w:p w14:paraId="37B41E7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99</w:t>
            </w:r>
          </w:p>
        </w:tc>
        <w:tc>
          <w:tcPr>
            <w:tcW w:w="1846" w:type="pct"/>
            <w:tcBorders>
              <w:top w:val="single" w:color="000000" w:sz="4" w:space="0"/>
              <w:left w:val="single" w:color="000000" w:sz="4" w:space="0"/>
              <w:bottom w:val="single" w:color="000000" w:sz="4" w:space="0"/>
              <w:right w:val="single" w:color="000000" w:sz="4" w:space="0"/>
            </w:tcBorders>
            <w:vAlign w:val="center"/>
          </w:tcPr>
          <w:p w14:paraId="48288E6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1,4-</w:t>
            </w:r>
            <w:r>
              <w:rPr>
                <w:rStyle w:val="249"/>
                <w:rFonts w:hint="default" w:ascii="Times New Roman" w:hAnsi="Times New Roman" w:eastAsia="宋体" w:cs="Times New Roman"/>
                <w:color w:val="auto"/>
                <w:sz w:val="21"/>
                <w:szCs w:val="21"/>
                <w:highlight w:val="none"/>
                <w:lang w:bidi="ar"/>
              </w:rPr>
              <w:t>二氧六环</w:t>
            </w:r>
          </w:p>
        </w:tc>
      </w:tr>
      <w:tr w14:paraId="5390BBCE">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2D1782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75</w:t>
            </w:r>
          </w:p>
        </w:tc>
        <w:tc>
          <w:tcPr>
            <w:tcW w:w="1858" w:type="pct"/>
            <w:tcBorders>
              <w:top w:val="single" w:color="000000" w:sz="4" w:space="0"/>
              <w:left w:val="single" w:color="000000" w:sz="4" w:space="0"/>
              <w:bottom w:val="single" w:color="000000" w:sz="4" w:space="0"/>
              <w:right w:val="single" w:color="000000" w:sz="4" w:space="0"/>
            </w:tcBorders>
            <w:vAlign w:val="center"/>
          </w:tcPr>
          <w:p w14:paraId="38B74FC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一溴甲烷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89949F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100</w:t>
            </w:r>
          </w:p>
        </w:tc>
        <w:tc>
          <w:tcPr>
            <w:tcW w:w="1846" w:type="pct"/>
            <w:tcBorders>
              <w:top w:val="single" w:color="000000" w:sz="4" w:space="0"/>
              <w:left w:val="single" w:color="000000" w:sz="4" w:space="0"/>
              <w:bottom w:val="single" w:color="000000" w:sz="4" w:space="0"/>
              <w:right w:val="single" w:color="000000" w:sz="4" w:space="0"/>
            </w:tcBorders>
            <w:vAlign w:val="center"/>
          </w:tcPr>
          <w:p w14:paraId="30F7D61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顺式</w:t>
            </w: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二氯</w:t>
            </w: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丙烯</w:t>
            </w:r>
          </w:p>
        </w:tc>
      </w:tr>
      <w:tr w14:paraId="4863E38D">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1BF0550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76</w:t>
            </w:r>
          </w:p>
        </w:tc>
        <w:tc>
          <w:tcPr>
            <w:tcW w:w="1858" w:type="pct"/>
            <w:tcBorders>
              <w:top w:val="single" w:color="000000" w:sz="4" w:space="0"/>
              <w:left w:val="single" w:color="000000" w:sz="4" w:space="0"/>
              <w:bottom w:val="single" w:color="000000" w:sz="4" w:space="0"/>
              <w:right w:val="single" w:color="000000" w:sz="4" w:space="0"/>
            </w:tcBorders>
            <w:vAlign w:val="center"/>
          </w:tcPr>
          <w:p w14:paraId="4A462DB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1,1,2,2-</w:t>
            </w:r>
            <w:r>
              <w:rPr>
                <w:rStyle w:val="249"/>
                <w:rFonts w:hint="default" w:ascii="Times New Roman" w:hAnsi="Times New Roman" w:eastAsia="宋体" w:cs="Times New Roman"/>
                <w:color w:val="auto"/>
                <w:sz w:val="21"/>
                <w:szCs w:val="21"/>
                <w:highlight w:val="none"/>
                <w:lang w:bidi="ar"/>
              </w:rPr>
              <w:t>四氟</w:t>
            </w: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4B1A86D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101</w:t>
            </w:r>
          </w:p>
        </w:tc>
        <w:tc>
          <w:tcPr>
            <w:tcW w:w="1846" w:type="pct"/>
            <w:tcBorders>
              <w:top w:val="single" w:color="000000" w:sz="4" w:space="0"/>
              <w:left w:val="single" w:color="000000" w:sz="4" w:space="0"/>
              <w:bottom w:val="single" w:color="000000" w:sz="4" w:space="0"/>
              <w:right w:val="single" w:color="000000" w:sz="4" w:space="0"/>
            </w:tcBorders>
            <w:vAlign w:val="center"/>
          </w:tcPr>
          <w:p w14:paraId="2C4C7A4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反式</w:t>
            </w: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二氯</w:t>
            </w:r>
            <w:r>
              <w:rPr>
                <w:rFonts w:hint="default" w:ascii="Times New Roman" w:hAnsi="Times New Roman" w:eastAsia="宋体" w:cs="Times New Roman"/>
                <w:szCs w:val="21"/>
                <w:highlight w:val="none"/>
                <w:lang w:bidi="ar"/>
              </w:rPr>
              <w:t>-1-</w:t>
            </w:r>
            <w:r>
              <w:rPr>
                <w:rStyle w:val="249"/>
                <w:rFonts w:hint="default" w:ascii="Times New Roman" w:hAnsi="Times New Roman" w:eastAsia="宋体" w:cs="Times New Roman"/>
                <w:color w:val="auto"/>
                <w:sz w:val="21"/>
                <w:szCs w:val="21"/>
                <w:highlight w:val="none"/>
                <w:lang w:bidi="ar"/>
              </w:rPr>
              <w:t>丙烯</w:t>
            </w:r>
          </w:p>
        </w:tc>
      </w:tr>
      <w:tr w14:paraId="605DE84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B238DF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77</w:t>
            </w:r>
          </w:p>
        </w:tc>
        <w:tc>
          <w:tcPr>
            <w:tcW w:w="1858" w:type="pct"/>
            <w:tcBorders>
              <w:top w:val="single" w:color="000000" w:sz="4" w:space="0"/>
              <w:left w:val="single" w:color="000000" w:sz="4" w:space="0"/>
              <w:bottom w:val="single" w:color="000000" w:sz="4" w:space="0"/>
              <w:right w:val="single" w:color="000000" w:sz="4" w:space="0"/>
            </w:tcBorders>
            <w:vAlign w:val="center"/>
          </w:tcPr>
          <w:p w14:paraId="0B1EF0E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72A89A8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102</w:t>
            </w:r>
          </w:p>
        </w:tc>
        <w:tc>
          <w:tcPr>
            <w:tcW w:w="1846" w:type="pct"/>
            <w:tcBorders>
              <w:top w:val="single" w:color="000000" w:sz="4" w:space="0"/>
              <w:left w:val="single" w:color="000000" w:sz="4" w:space="0"/>
              <w:bottom w:val="single" w:color="000000" w:sz="4" w:space="0"/>
              <w:right w:val="single" w:color="000000" w:sz="4" w:space="0"/>
            </w:tcBorders>
            <w:vAlign w:val="center"/>
          </w:tcPr>
          <w:p w14:paraId="341F536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w:t>
            </w:r>
            <w:r>
              <w:rPr>
                <w:rStyle w:val="249"/>
                <w:rFonts w:hint="default" w:ascii="Times New Roman" w:hAnsi="Times New Roman" w:eastAsia="宋体" w:cs="Times New Roman"/>
                <w:color w:val="auto"/>
                <w:sz w:val="21"/>
                <w:szCs w:val="21"/>
                <w:highlight w:val="none"/>
                <w:lang w:bidi="ar"/>
              </w:rPr>
              <w:t>三氯乙烷</w:t>
            </w:r>
          </w:p>
        </w:tc>
      </w:tr>
      <w:tr w14:paraId="2987F6C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932762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78</w:t>
            </w:r>
          </w:p>
        </w:tc>
        <w:tc>
          <w:tcPr>
            <w:tcW w:w="1858" w:type="pct"/>
            <w:tcBorders>
              <w:top w:val="single" w:color="000000" w:sz="4" w:space="0"/>
              <w:left w:val="single" w:color="000000" w:sz="4" w:space="0"/>
              <w:bottom w:val="single" w:color="000000" w:sz="4" w:space="0"/>
              <w:right w:val="single" w:color="000000" w:sz="4" w:space="0"/>
            </w:tcBorders>
            <w:vAlign w:val="center"/>
          </w:tcPr>
          <w:p w14:paraId="6404534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一氟三氯甲烷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486D1C2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103</w:t>
            </w:r>
          </w:p>
        </w:tc>
        <w:tc>
          <w:tcPr>
            <w:tcW w:w="1846" w:type="pct"/>
            <w:tcBorders>
              <w:top w:val="single" w:color="000000" w:sz="4" w:space="0"/>
              <w:left w:val="single" w:color="000000" w:sz="4" w:space="0"/>
              <w:bottom w:val="single" w:color="000000" w:sz="4" w:space="0"/>
              <w:right w:val="single" w:color="000000" w:sz="4" w:space="0"/>
            </w:tcBorders>
            <w:vAlign w:val="center"/>
          </w:tcPr>
          <w:p w14:paraId="504C311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4-</w:t>
            </w:r>
            <w:r>
              <w:rPr>
                <w:rStyle w:val="249"/>
                <w:rFonts w:hint="default" w:ascii="Times New Roman" w:hAnsi="Times New Roman" w:eastAsia="宋体" w:cs="Times New Roman"/>
                <w:color w:val="auto"/>
                <w:sz w:val="21"/>
                <w:szCs w:val="21"/>
                <w:highlight w:val="none"/>
                <w:lang w:bidi="ar"/>
              </w:rPr>
              <w:t>甲基</w:t>
            </w: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戊酮</w:t>
            </w:r>
          </w:p>
        </w:tc>
      </w:tr>
      <w:tr w14:paraId="2391085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B9ADF4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79</w:t>
            </w:r>
          </w:p>
        </w:tc>
        <w:tc>
          <w:tcPr>
            <w:tcW w:w="1858" w:type="pct"/>
            <w:tcBorders>
              <w:top w:val="single" w:color="000000" w:sz="4" w:space="0"/>
              <w:left w:val="single" w:color="000000" w:sz="4" w:space="0"/>
              <w:bottom w:val="single" w:color="000000" w:sz="4" w:space="0"/>
              <w:right w:val="single" w:color="000000" w:sz="4" w:space="0"/>
            </w:tcBorders>
            <w:vAlign w:val="center"/>
          </w:tcPr>
          <w:p w14:paraId="70C59DB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w:t>
            </w:r>
            <w:r>
              <w:rPr>
                <w:rStyle w:val="249"/>
                <w:rFonts w:hint="default" w:ascii="Times New Roman" w:hAnsi="Times New Roman" w:eastAsia="宋体" w:cs="Times New Roman"/>
                <w:color w:val="auto"/>
                <w:sz w:val="21"/>
                <w:szCs w:val="21"/>
                <w:highlight w:val="none"/>
                <w:lang w:bidi="ar"/>
              </w:rPr>
              <w:t>二氯乙烯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4241D63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104</w:t>
            </w:r>
          </w:p>
        </w:tc>
        <w:tc>
          <w:tcPr>
            <w:tcW w:w="1846" w:type="pct"/>
            <w:tcBorders>
              <w:top w:val="single" w:color="000000" w:sz="4" w:space="0"/>
              <w:left w:val="single" w:color="000000" w:sz="4" w:space="0"/>
              <w:bottom w:val="single" w:color="000000" w:sz="4" w:space="0"/>
              <w:right w:val="single" w:color="000000" w:sz="4" w:space="0"/>
            </w:tcBorders>
            <w:vAlign w:val="center"/>
          </w:tcPr>
          <w:p w14:paraId="0480244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二溴一氯甲烷</w:t>
            </w:r>
          </w:p>
        </w:tc>
      </w:tr>
      <w:tr w14:paraId="6575D766">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7DEFE5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80</w:t>
            </w:r>
          </w:p>
        </w:tc>
        <w:tc>
          <w:tcPr>
            <w:tcW w:w="1858" w:type="pct"/>
            <w:tcBorders>
              <w:top w:val="single" w:color="000000" w:sz="4" w:space="0"/>
              <w:left w:val="single" w:color="000000" w:sz="4" w:space="0"/>
              <w:bottom w:val="single" w:color="000000" w:sz="4" w:space="0"/>
              <w:right w:val="single" w:color="000000" w:sz="4" w:space="0"/>
            </w:tcBorders>
            <w:vAlign w:val="center"/>
          </w:tcPr>
          <w:p w14:paraId="4929579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4834C9D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105</w:t>
            </w:r>
          </w:p>
        </w:tc>
        <w:tc>
          <w:tcPr>
            <w:tcW w:w="1846" w:type="pct"/>
            <w:tcBorders>
              <w:top w:val="single" w:color="000000" w:sz="4" w:space="0"/>
              <w:left w:val="single" w:color="000000" w:sz="4" w:space="0"/>
              <w:bottom w:val="single" w:color="000000" w:sz="4" w:space="0"/>
              <w:right w:val="single" w:color="000000" w:sz="4" w:space="0"/>
            </w:tcBorders>
            <w:vAlign w:val="center"/>
          </w:tcPr>
          <w:p w14:paraId="6C2D21A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四氯乙烯</w:t>
            </w:r>
          </w:p>
        </w:tc>
      </w:tr>
      <w:tr w14:paraId="53A06E0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F44E0A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81</w:t>
            </w:r>
          </w:p>
        </w:tc>
        <w:tc>
          <w:tcPr>
            <w:tcW w:w="1858" w:type="pct"/>
            <w:tcBorders>
              <w:top w:val="single" w:color="000000" w:sz="4" w:space="0"/>
              <w:left w:val="single" w:color="000000" w:sz="4" w:space="0"/>
              <w:bottom w:val="single" w:color="000000" w:sz="4" w:space="0"/>
              <w:right w:val="single" w:color="000000" w:sz="4" w:space="0"/>
            </w:tcBorders>
            <w:vAlign w:val="center"/>
          </w:tcPr>
          <w:p w14:paraId="15295F2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二硫化碳</w:t>
            </w:r>
          </w:p>
        </w:tc>
        <w:tc>
          <w:tcPr>
            <w:tcW w:w="744" w:type="pct"/>
            <w:tcBorders>
              <w:top w:val="single" w:color="000000" w:sz="4" w:space="0"/>
              <w:left w:val="single" w:color="000000" w:sz="4" w:space="0"/>
              <w:bottom w:val="single" w:color="000000" w:sz="4" w:space="0"/>
              <w:right w:val="single" w:color="000000" w:sz="4" w:space="0"/>
            </w:tcBorders>
            <w:vAlign w:val="center"/>
          </w:tcPr>
          <w:p w14:paraId="194B43D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106</w:t>
            </w:r>
          </w:p>
        </w:tc>
        <w:tc>
          <w:tcPr>
            <w:tcW w:w="1846" w:type="pct"/>
            <w:tcBorders>
              <w:top w:val="single" w:color="000000" w:sz="4" w:space="0"/>
              <w:left w:val="single" w:color="000000" w:sz="4" w:space="0"/>
              <w:bottom w:val="single" w:color="000000" w:sz="4" w:space="0"/>
              <w:right w:val="single" w:color="000000" w:sz="4" w:space="0"/>
            </w:tcBorders>
            <w:vAlign w:val="center"/>
          </w:tcPr>
          <w:p w14:paraId="73FC642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2-</w:t>
            </w:r>
            <w:r>
              <w:rPr>
                <w:rStyle w:val="249"/>
                <w:rFonts w:hint="default" w:ascii="Times New Roman" w:hAnsi="Times New Roman" w:eastAsia="宋体" w:cs="Times New Roman"/>
                <w:color w:val="auto"/>
                <w:sz w:val="21"/>
                <w:szCs w:val="21"/>
                <w:highlight w:val="none"/>
                <w:lang w:bidi="ar"/>
              </w:rPr>
              <w:t>己酮</w:t>
            </w:r>
          </w:p>
        </w:tc>
      </w:tr>
      <w:tr w14:paraId="129BD9CF">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2AB6BB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82</w:t>
            </w:r>
          </w:p>
        </w:tc>
        <w:tc>
          <w:tcPr>
            <w:tcW w:w="1858" w:type="pct"/>
            <w:tcBorders>
              <w:top w:val="single" w:color="000000" w:sz="4" w:space="0"/>
              <w:left w:val="single" w:color="000000" w:sz="4" w:space="0"/>
              <w:bottom w:val="single" w:color="000000" w:sz="4" w:space="0"/>
              <w:right w:val="single" w:color="000000" w:sz="4" w:space="0"/>
            </w:tcBorders>
            <w:vAlign w:val="center"/>
          </w:tcPr>
          <w:p w14:paraId="23DC47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1,2,2-</w:t>
            </w:r>
            <w:r>
              <w:rPr>
                <w:rStyle w:val="249"/>
                <w:rFonts w:hint="default" w:ascii="Times New Roman" w:hAnsi="Times New Roman" w:eastAsia="宋体" w:cs="Times New Roman"/>
                <w:color w:val="auto"/>
                <w:sz w:val="21"/>
                <w:szCs w:val="21"/>
                <w:highlight w:val="none"/>
                <w:lang w:bidi="ar"/>
              </w:rPr>
              <w:t>三氯</w:t>
            </w:r>
            <w:r>
              <w:rPr>
                <w:rFonts w:hint="default" w:ascii="Times New Roman" w:hAnsi="Times New Roman" w:eastAsia="宋体" w:cs="Times New Roman"/>
                <w:szCs w:val="21"/>
                <w:highlight w:val="none"/>
                <w:lang w:bidi="ar"/>
              </w:rPr>
              <w:t>-1,1,2-</w:t>
            </w:r>
            <w:r>
              <w:rPr>
                <w:rStyle w:val="249"/>
                <w:rFonts w:hint="default" w:ascii="Times New Roman" w:hAnsi="Times New Roman" w:eastAsia="宋体" w:cs="Times New Roman"/>
                <w:color w:val="auto"/>
                <w:sz w:val="21"/>
                <w:szCs w:val="21"/>
                <w:highlight w:val="none"/>
                <w:lang w:bidi="ar"/>
              </w:rPr>
              <w:t>三氯乙烷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2CDCFE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107</w:t>
            </w:r>
          </w:p>
        </w:tc>
        <w:tc>
          <w:tcPr>
            <w:tcW w:w="1846" w:type="pct"/>
            <w:tcBorders>
              <w:top w:val="single" w:color="000000" w:sz="4" w:space="0"/>
              <w:left w:val="single" w:color="000000" w:sz="4" w:space="0"/>
              <w:bottom w:val="single" w:color="000000" w:sz="4" w:space="0"/>
              <w:right w:val="single" w:color="000000" w:sz="4" w:space="0"/>
            </w:tcBorders>
            <w:vAlign w:val="center"/>
          </w:tcPr>
          <w:p w14:paraId="7014533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二溴乙烷</w:t>
            </w:r>
          </w:p>
        </w:tc>
      </w:tr>
      <w:tr w14:paraId="1CEB1CB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8920A0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83</w:t>
            </w:r>
          </w:p>
        </w:tc>
        <w:tc>
          <w:tcPr>
            <w:tcW w:w="1858" w:type="pct"/>
            <w:tcBorders>
              <w:top w:val="single" w:color="000000" w:sz="4" w:space="0"/>
              <w:left w:val="single" w:color="000000" w:sz="4" w:space="0"/>
              <w:bottom w:val="single" w:color="000000" w:sz="4" w:space="0"/>
              <w:right w:val="single" w:color="000000" w:sz="4" w:space="0"/>
            </w:tcBorders>
            <w:vAlign w:val="center"/>
          </w:tcPr>
          <w:p w14:paraId="0ED0026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反</w:t>
            </w: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2DA0494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108</w:t>
            </w:r>
          </w:p>
        </w:tc>
        <w:tc>
          <w:tcPr>
            <w:tcW w:w="1846" w:type="pct"/>
            <w:tcBorders>
              <w:top w:val="single" w:color="000000" w:sz="4" w:space="0"/>
              <w:left w:val="single" w:color="000000" w:sz="4" w:space="0"/>
              <w:bottom w:val="single" w:color="000000" w:sz="4" w:space="0"/>
              <w:right w:val="single" w:color="000000" w:sz="4" w:space="0"/>
            </w:tcBorders>
            <w:vAlign w:val="center"/>
          </w:tcPr>
          <w:p w14:paraId="65803F1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氯苯</w:t>
            </w:r>
          </w:p>
        </w:tc>
      </w:tr>
      <w:tr w14:paraId="6612EE44">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E6B786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84</w:t>
            </w:r>
          </w:p>
        </w:tc>
        <w:tc>
          <w:tcPr>
            <w:tcW w:w="1858" w:type="pct"/>
            <w:tcBorders>
              <w:top w:val="single" w:color="000000" w:sz="4" w:space="0"/>
              <w:left w:val="single" w:color="000000" w:sz="4" w:space="0"/>
              <w:bottom w:val="single" w:color="000000" w:sz="4" w:space="0"/>
              <w:right w:val="single" w:color="000000" w:sz="4" w:space="0"/>
            </w:tcBorders>
            <w:vAlign w:val="center"/>
          </w:tcPr>
          <w:p w14:paraId="29BF681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甲基叔丁基醚</w:t>
            </w:r>
          </w:p>
        </w:tc>
        <w:tc>
          <w:tcPr>
            <w:tcW w:w="744" w:type="pct"/>
            <w:tcBorders>
              <w:top w:val="single" w:color="000000" w:sz="4" w:space="0"/>
              <w:left w:val="single" w:color="000000" w:sz="4" w:space="0"/>
              <w:bottom w:val="single" w:color="000000" w:sz="4" w:space="0"/>
              <w:right w:val="single" w:color="000000" w:sz="4" w:space="0"/>
            </w:tcBorders>
            <w:vAlign w:val="center"/>
          </w:tcPr>
          <w:p w14:paraId="0B4B4E9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109</w:t>
            </w:r>
          </w:p>
        </w:tc>
        <w:tc>
          <w:tcPr>
            <w:tcW w:w="1846" w:type="pct"/>
            <w:tcBorders>
              <w:top w:val="single" w:color="000000" w:sz="4" w:space="0"/>
              <w:left w:val="single" w:color="000000" w:sz="4" w:space="0"/>
              <w:bottom w:val="single" w:color="000000" w:sz="4" w:space="0"/>
              <w:right w:val="single" w:color="000000" w:sz="4" w:space="0"/>
            </w:tcBorders>
            <w:vAlign w:val="center"/>
          </w:tcPr>
          <w:p w14:paraId="0DA93BE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四氯乙烷</w:t>
            </w:r>
          </w:p>
        </w:tc>
      </w:tr>
      <w:tr w14:paraId="67408B37">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252C6E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85</w:t>
            </w:r>
          </w:p>
        </w:tc>
        <w:tc>
          <w:tcPr>
            <w:tcW w:w="1858" w:type="pct"/>
            <w:tcBorders>
              <w:top w:val="single" w:color="000000" w:sz="4" w:space="0"/>
              <w:left w:val="single" w:color="000000" w:sz="4" w:space="0"/>
              <w:bottom w:val="single" w:color="000000" w:sz="4" w:space="0"/>
              <w:right w:val="single" w:color="000000" w:sz="4" w:space="0"/>
            </w:tcBorders>
            <w:vAlign w:val="center"/>
          </w:tcPr>
          <w:p w14:paraId="0E2A38B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顺</w:t>
            </w: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二氯乙烯</w:t>
            </w:r>
          </w:p>
        </w:tc>
        <w:tc>
          <w:tcPr>
            <w:tcW w:w="744" w:type="pct"/>
            <w:tcBorders>
              <w:top w:val="single" w:color="000000" w:sz="4" w:space="0"/>
              <w:left w:val="single" w:color="000000" w:sz="4" w:space="0"/>
              <w:bottom w:val="single" w:color="000000" w:sz="4" w:space="0"/>
              <w:right w:val="single" w:color="000000" w:sz="4" w:space="0"/>
            </w:tcBorders>
            <w:vAlign w:val="center"/>
          </w:tcPr>
          <w:p w14:paraId="69C38BD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110</w:t>
            </w:r>
          </w:p>
        </w:tc>
        <w:tc>
          <w:tcPr>
            <w:tcW w:w="1846" w:type="pct"/>
            <w:tcBorders>
              <w:top w:val="single" w:color="000000" w:sz="4" w:space="0"/>
              <w:left w:val="single" w:color="000000" w:sz="4" w:space="0"/>
              <w:bottom w:val="single" w:color="000000" w:sz="4" w:space="0"/>
              <w:right w:val="single" w:color="000000" w:sz="4" w:space="0"/>
            </w:tcBorders>
            <w:vAlign w:val="center"/>
          </w:tcPr>
          <w:p w14:paraId="2F439B6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三溴甲烷</w:t>
            </w:r>
          </w:p>
        </w:tc>
      </w:tr>
      <w:tr w14:paraId="33D34030">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9EBE96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86</w:t>
            </w:r>
          </w:p>
        </w:tc>
        <w:tc>
          <w:tcPr>
            <w:tcW w:w="1858" w:type="pct"/>
            <w:tcBorders>
              <w:top w:val="single" w:color="000000" w:sz="4" w:space="0"/>
              <w:left w:val="single" w:color="000000" w:sz="4" w:space="0"/>
              <w:bottom w:val="single" w:color="000000" w:sz="4" w:space="0"/>
              <w:right w:val="single" w:color="000000" w:sz="4" w:space="0"/>
            </w:tcBorders>
            <w:vAlign w:val="center"/>
          </w:tcPr>
          <w:p w14:paraId="0ED68C9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三氯甲烷</w:t>
            </w:r>
          </w:p>
        </w:tc>
        <w:tc>
          <w:tcPr>
            <w:tcW w:w="744" w:type="pct"/>
            <w:tcBorders>
              <w:top w:val="single" w:color="000000" w:sz="4" w:space="0"/>
              <w:left w:val="single" w:color="000000" w:sz="4" w:space="0"/>
              <w:bottom w:val="single" w:color="000000" w:sz="4" w:space="0"/>
              <w:right w:val="single" w:color="000000" w:sz="4" w:space="0"/>
            </w:tcBorders>
            <w:vAlign w:val="center"/>
          </w:tcPr>
          <w:p w14:paraId="272D57F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111</w:t>
            </w:r>
          </w:p>
        </w:tc>
        <w:tc>
          <w:tcPr>
            <w:tcW w:w="1846" w:type="pct"/>
            <w:tcBorders>
              <w:top w:val="single" w:color="000000" w:sz="4" w:space="0"/>
              <w:left w:val="single" w:color="000000" w:sz="4" w:space="0"/>
              <w:bottom w:val="single" w:color="000000" w:sz="4" w:space="0"/>
              <w:right w:val="single" w:color="000000" w:sz="4" w:space="0"/>
            </w:tcBorders>
            <w:vAlign w:val="center"/>
          </w:tcPr>
          <w:p w14:paraId="31223B5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二氯苯</w:t>
            </w:r>
          </w:p>
        </w:tc>
      </w:tr>
      <w:tr w14:paraId="7897006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822DED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87</w:t>
            </w:r>
          </w:p>
        </w:tc>
        <w:tc>
          <w:tcPr>
            <w:tcW w:w="1858" w:type="pct"/>
            <w:tcBorders>
              <w:top w:val="single" w:color="000000" w:sz="4" w:space="0"/>
              <w:left w:val="single" w:color="000000" w:sz="4" w:space="0"/>
              <w:bottom w:val="single" w:color="000000" w:sz="4" w:space="0"/>
              <w:right w:val="single" w:color="000000" w:sz="4" w:space="0"/>
            </w:tcBorders>
            <w:vAlign w:val="center"/>
          </w:tcPr>
          <w:p w14:paraId="4DCDAB0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四氢呋喃</w:t>
            </w:r>
          </w:p>
        </w:tc>
        <w:tc>
          <w:tcPr>
            <w:tcW w:w="744" w:type="pct"/>
            <w:tcBorders>
              <w:top w:val="single" w:color="000000" w:sz="4" w:space="0"/>
              <w:left w:val="single" w:color="000000" w:sz="4" w:space="0"/>
              <w:bottom w:val="single" w:color="000000" w:sz="4" w:space="0"/>
              <w:right w:val="single" w:color="000000" w:sz="4" w:space="0"/>
            </w:tcBorders>
            <w:vAlign w:val="center"/>
          </w:tcPr>
          <w:p w14:paraId="179E239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w:t>
            </w:r>
          </w:p>
        </w:tc>
        <w:tc>
          <w:tcPr>
            <w:tcW w:w="1846" w:type="pct"/>
            <w:tcBorders>
              <w:top w:val="single" w:color="000000" w:sz="4" w:space="0"/>
              <w:left w:val="single" w:color="000000" w:sz="4" w:space="0"/>
              <w:bottom w:val="single" w:color="000000" w:sz="4" w:space="0"/>
              <w:right w:val="single" w:color="000000" w:sz="4" w:space="0"/>
            </w:tcBorders>
            <w:vAlign w:val="center"/>
          </w:tcPr>
          <w:p w14:paraId="4568D2F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对二氯苯</w:t>
            </w:r>
          </w:p>
        </w:tc>
      </w:tr>
      <w:tr w14:paraId="0FD4E32A">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4DC0D4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88</w:t>
            </w:r>
          </w:p>
        </w:tc>
        <w:tc>
          <w:tcPr>
            <w:tcW w:w="1858" w:type="pct"/>
            <w:tcBorders>
              <w:top w:val="single" w:color="000000" w:sz="4" w:space="0"/>
              <w:left w:val="single" w:color="000000" w:sz="4" w:space="0"/>
              <w:bottom w:val="single" w:color="000000" w:sz="4" w:space="0"/>
              <w:right w:val="single" w:color="000000" w:sz="4" w:space="0"/>
            </w:tcBorders>
            <w:vAlign w:val="center"/>
          </w:tcPr>
          <w:p w14:paraId="2AC683F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乙酸乙烯酯</w:t>
            </w:r>
          </w:p>
        </w:tc>
        <w:tc>
          <w:tcPr>
            <w:tcW w:w="744" w:type="pct"/>
            <w:tcBorders>
              <w:top w:val="single" w:color="000000" w:sz="4" w:space="0"/>
              <w:left w:val="single" w:color="000000" w:sz="4" w:space="0"/>
              <w:bottom w:val="single" w:color="000000" w:sz="4" w:space="0"/>
              <w:right w:val="single" w:color="000000" w:sz="4" w:space="0"/>
            </w:tcBorders>
            <w:vAlign w:val="center"/>
          </w:tcPr>
          <w:p w14:paraId="1516B89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113</w:t>
            </w:r>
          </w:p>
        </w:tc>
        <w:tc>
          <w:tcPr>
            <w:tcW w:w="1846" w:type="pct"/>
            <w:tcBorders>
              <w:top w:val="single" w:color="000000" w:sz="4" w:space="0"/>
              <w:left w:val="single" w:color="000000" w:sz="4" w:space="0"/>
              <w:bottom w:val="single" w:color="000000" w:sz="4" w:space="0"/>
              <w:right w:val="single" w:color="000000" w:sz="4" w:space="0"/>
            </w:tcBorders>
            <w:vAlign w:val="center"/>
          </w:tcPr>
          <w:p w14:paraId="089B984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氯代甲苯</w:t>
            </w:r>
          </w:p>
        </w:tc>
      </w:tr>
      <w:tr w14:paraId="23ECE57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56C5B7A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89</w:t>
            </w:r>
          </w:p>
        </w:tc>
        <w:tc>
          <w:tcPr>
            <w:tcW w:w="1858" w:type="pct"/>
            <w:tcBorders>
              <w:top w:val="single" w:color="000000" w:sz="4" w:space="0"/>
              <w:left w:val="single" w:color="000000" w:sz="4" w:space="0"/>
              <w:bottom w:val="single" w:color="000000" w:sz="4" w:space="0"/>
              <w:right w:val="single" w:color="000000" w:sz="4" w:space="0"/>
            </w:tcBorders>
            <w:vAlign w:val="center"/>
          </w:tcPr>
          <w:p w14:paraId="3795B1C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1,1,1-</w:t>
            </w:r>
            <w:r>
              <w:rPr>
                <w:rStyle w:val="249"/>
                <w:rFonts w:hint="default" w:ascii="Times New Roman" w:hAnsi="Times New Roman" w:eastAsia="宋体" w:cs="Times New Roman"/>
                <w:color w:val="auto"/>
                <w:sz w:val="21"/>
                <w:szCs w:val="21"/>
                <w:highlight w:val="none"/>
                <w:lang w:bidi="ar"/>
              </w:rPr>
              <w:t>三氯乙烷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1F30D76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114</w:t>
            </w:r>
          </w:p>
        </w:tc>
        <w:tc>
          <w:tcPr>
            <w:tcW w:w="1846" w:type="pct"/>
            <w:tcBorders>
              <w:top w:val="single" w:color="000000" w:sz="4" w:space="0"/>
              <w:left w:val="single" w:color="000000" w:sz="4" w:space="0"/>
              <w:bottom w:val="single" w:color="000000" w:sz="4" w:space="0"/>
              <w:right w:val="single" w:color="000000" w:sz="4" w:space="0"/>
            </w:tcBorders>
            <w:vAlign w:val="center"/>
          </w:tcPr>
          <w:p w14:paraId="230D97D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邻二氯苯</w:t>
            </w:r>
          </w:p>
        </w:tc>
      </w:tr>
      <w:tr w14:paraId="67886A05">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06D0580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90</w:t>
            </w:r>
          </w:p>
        </w:tc>
        <w:tc>
          <w:tcPr>
            <w:tcW w:w="1858" w:type="pct"/>
            <w:tcBorders>
              <w:top w:val="single" w:color="000000" w:sz="4" w:space="0"/>
              <w:left w:val="single" w:color="000000" w:sz="4" w:space="0"/>
              <w:bottom w:val="single" w:color="000000" w:sz="4" w:space="0"/>
              <w:right w:val="single" w:color="000000" w:sz="4" w:space="0"/>
            </w:tcBorders>
            <w:vAlign w:val="center"/>
          </w:tcPr>
          <w:p w14:paraId="2CE5CAB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四氯化碳</w:t>
            </w:r>
          </w:p>
        </w:tc>
        <w:tc>
          <w:tcPr>
            <w:tcW w:w="744" w:type="pct"/>
            <w:tcBorders>
              <w:top w:val="single" w:color="000000" w:sz="4" w:space="0"/>
              <w:left w:val="single" w:color="000000" w:sz="4" w:space="0"/>
              <w:bottom w:val="single" w:color="000000" w:sz="4" w:space="0"/>
              <w:right w:val="single" w:color="000000" w:sz="4" w:space="0"/>
            </w:tcBorders>
            <w:vAlign w:val="center"/>
          </w:tcPr>
          <w:p w14:paraId="2ECE5B8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115</w:t>
            </w:r>
          </w:p>
        </w:tc>
        <w:tc>
          <w:tcPr>
            <w:tcW w:w="1846" w:type="pct"/>
            <w:tcBorders>
              <w:top w:val="single" w:color="000000" w:sz="4" w:space="0"/>
              <w:left w:val="single" w:color="000000" w:sz="4" w:space="0"/>
              <w:bottom w:val="single" w:color="000000" w:sz="4" w:space="0"/>
              <w:right w:val="single" w:color="000000" w:sz="4" w:space="0"/>
            </w:tcBorders>
            <w:vAlign w:val="center"/>
          </w:tcPr>
          <w:p w14:paraId="7EA0C24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1,1,2,3,4,4-</w:t>
            </w:r>
            <w:r>
              <w:rPr>
                <w:rStyle w:val="249"/>
                <w:rFonts w:hint="default" w:ascii="Times New Roman" w:hAnsi="Times New Roman" w:eastAsia="宋体" w:cs="Times New Roman"/>
                <w:color w:val="auto"/>
                <w:sz w:val="21"/>
                <w:szCs w:val="21"/>
                <w:highlight w:val="none"/>
                <w:lang w:bidi="ar"/>
              </w:rPr>
              <w:t>六氯</w:t>
            </w:r>
            <w:r>
              <w:rPr>
                <w:rFonts w:hint="default" w:ascii="Times New Roman" w:hAnsi="Times New Roman" w:eastAsia="宋体" w:cs="Times New Roman"/>
                <w:szCs w:val="21"/>
                <w:highlight w:val="none"/>
                <w:lang w:bidi="ar"/>
              </w:rPr>
              <w:t>-1,3-</w:t>
            </w:r>
            <w:r>
              <w:rPr>
                <w:rStyle w:val="249"/>
                <w:rFonts w:hint="default" w:ascii="Times New Roman" w:hAnsi="Times New Roman" w:eastAsia="宋体" w:cs="Times New Roman"/>
                <w:color w:val="auto"/>
                <w:sz w:val="21"/>
                <w:szCs w:val="21"/>
                <w:highlight w:val="none"/>
                <w:lang w:bidi="ar"/>
              </w:rPr>
              <w:t>丁二烯</w:t>
            </w:r>
          </w:p>
        </w:tc>
      </w:tr>
      <w:tr w14:paraId="08C31B3B">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267700E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91</w:t>
            </w:r>
          </w:p>
        </w:tc>
        <w:tc>
          <w:tcPr>
            <w:tcW w:w="1858" w:type="pct"/>
            <w:tcBorders>
              <w:top w:val="single" w:color="000000" w:sz="4" w:space="0"/>
              <w:left w:val="single" w:color="000000" w:sz="4" w:space="0"/>
              <w:bottom w:val="single" w:color="000000" w:sz="4" w:space="0"/>
              <w:right w:val="single" w:color="000000" w:sz="4" w:space="0"/>
            </w:tcBorders>
            <w:vAlign w:val="center"/>
          </w:tcPr>
          <w:p w14:paraId="5CCAF84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乙酸乙酯</w:t>
            </w:r>
          </w:p>
        </w:tc>
        <w:tc>
          <w:tcPr>
            <w:tcW w:w="744" w:type="pct"/>
            <w:tcBorders>
              <w:top w:val="single" w:color="000000" w:sz="4" w:space="0"/>
              <w:left w:val="single" w:color="000000" w:sz="4" w:space="0"/>
              <w:bottom w:val="single" w:color="000000" w:sz="4" w:space="0"/>
              <w:right w:val="single" w:color="000000" w:sz="4" w:space="0"/>
            </w:tcBorders>
            <w:vAlign w:val="center"/>
          </w:tcPr>
          <w:p w14:paraId="0FD5A59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116</w:t>
            </w:r>
          </w:p>
        </w:tc>
        <w:tc>
          <w:tcPr>
            <w:tcW w:w="1846" w:type="pct"/>
            <w:tcBorders>
              <w:top w:val="single" w:color="000000" w:sz="4" w:space="0"/>
              <w:left w:val="single" w:color="000000" w:sz="4" w:space="0"/>
              <w:bottom w:val="single" w:color="000000" w:sz="4" w:space="0"/>
              <w:right w:val="single" w:color="000000" w:sz="4" w:space="0"/>
            </w:tcBorders>
            <w:vAlign w:val="center"/>
          </w:tcPr>
          <w:p w14:paraId="14BDDD3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萘</w:t>
            </w:r>
          </w:p>
        </w:tc>
      </w:tr>
      <w:tr w14:paraId="07AA9318">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61638DF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92</w:t>
            </w:r>
          </w:p>
        </w:tc>
        <w:tc>
          <w:tcPr>
            <w:tcW w:w="1858" w:type="pct"/>
            <w:tcBorders>
              <w:top w:val="single" w:color="000000" w:sz="4" w:space="0"/>
              <w:left w:val="single" w:color="000000" w:sz="4" w:space="0"/>
              <w:bottom w:val="single" w:color="000000" w:sz="4" w:space="0"/>
              <w:right w:val="single" w:color="000000" w:sz="4" w:space="0"/>
            </w:tcBorders>
            <w:vAlign w:val="center"/>
          </w:tcPr>
          <w:p w14:paraId="0ED28C8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Style w:val="249"/>
                <w:rFonts w:hint="default" w:ascii="Times New Roman" w:hAnsi="Times New Roman" w:eastAsia="宋体" w:cs="Times New Roman"/>
                <w:color w:val="auto"/>
                <w:sz w:val="21"/>
                <w:szCs w:val="21"/>
                <w:highlight w:val="none"/>
                <w:lang w:bidi="ar"/>
              </w:rPr>
              <w:t>异丙醇</w:t>
            </w:r>
          </w:p>
        </w:tc>
        <w:tc>
          <w:tcPr>
            <w:tcW w:w="744" w:type="pct"/>
            <w:tcBorders>
              <w:top w:val="single" w:color="000000" w:sz="4" w:space="0"/>
              <w:left w:val="single" w:color="000000" w:sz="4" w:space="0"/>
              <w:bottom w:val="single" w:color="000000" w:sz="4" w:space="0"/>
              <w:right w:val="single" w:color="000000" w:sz="4" w:space="0"/>
            </w:tcBorders>
            <w:vAlign w:val="center"/>
          </w:tcPr>
          <w:p w14:paraId="766C44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c>
          <w:tcPr>
            <w:tcW w:w="1846" w:type="pct"/>
            <w:tcBorders>
              <w:top w:val="single" w:color="000000" w:sz="4" w:space="0"/>
              <w:left w:val="single" w:color="000000" w:sz="4" w:space="0"/>
              <w:bottom w:val="single" w:color="000000" w:sz="4" w:space="0"/>
              <w:right w:val="single" w:color="000000" w:sz="4" w:space="0"/>
            </w:tcBorders>
            <w:vAlign w:val="center"/>
          </w:tcPr>
          <w:p w14:paraId="397FCA6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r>
      <w:tr w14:paraId="15FF4BFC">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32537C0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93</w:t>
            </w:r>
          </w:p>
        </w:tc>
        <w:tc>
          <w:tcPr>
            <w:tcW w:w="1858" w:type="pct"/>
            <w:tcBorders>
              <w:top w:val="single" w:color="000000" w:sz="4" w:space="0"/>
              <w:left w:val="single" w:color="000000" w:sz="4" w:space="0"/>
              <w:bottom w:val="single" w:color="000000" w:sz="4" w:space="0"/>
              <w:right w:val="single" w:color="000000" w:sz="4" w:space="0"/>
            </w:tcBorders>
            <w:vAlign w:val="center"/>
          </w:tcPr>
          <w:p w14:paraId="684CF47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1,1-</w:t>
            </w:r>
            <w:r>
              <w:rPr>
                <w:rStyle w:val="249"/>
                <w:rFonts w:hint="default" w:ascii="Times New Roman" w:hAnsi="Times New Roman" w:eastAsia="宋体" w:cs="Times New Roman"/>
                <w:color w:val="auto"/>
                <w:sz w:val="21"/>
                <w:szCs w:val="21"/>
                <w:highlight w:val="none"/>
                <w:lang w:bidi="ar"/>
              </w:rPr>
              <w:t>二氯乙烷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0C08DC2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c>
          <w:tcPr>
            <w:tcW w:w="1846" w:type="pct"/>
            <w:tcBorders>
              <w:top w:val="single" w:color="000000" w:sz="4" w:space="0"/>
              <w:left w:val="single" w:color="000000" w:sz="4" w:space="0"/>
              <w:bottom w:val="single" w:color="000000" w:sz="4" w:space="0"/>
              <w:right w:val="single" w:color="000000" w:sz="4" w:space="0"/>
            </w:tcBorders>
            <w:noWrap/>
            <w:vAlign w:val="center"/>
          </w:tcPr>
          <w:p w14:paraId="54D8165C">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p>
        </w:tc>
      </w:tr>
      <w:tr w14:paraId="75C5E0D1">
        <w:tblPrEx>
          <w:tblCellMar>
            <w:top w:w="0" w:type="dxa"/>
            <w:left w:w="108" w:type="dxa"/>
            <w:bottom w:w="0" w:type="dxa"/>
            <w:right w:w="108" w:type="dxa"/>
          </w:tblCellMar>
        </w:tblPrEx>
        <w:trPr>
          <w:trHeight w:val="278" w:hRule="atLeast"/>
          <w:jc w:val="center"/>
        </w:trPr>
        <w:tc>
          <w:tcPr>
            <w:tcW w:w="550" w:type="pct"/>
            <w:tcBorders>
              <w:top w:val="single" w:color="000000" w:sz="4" w:space="0"/>
              <w:left w:val="single" w:color="000000" w:sz="4" w:space="0"/>
              <w:bottom w:val="single" w:color="000000" w:sz="4" w:space="0"/>
              <w:right w:val="single" w:color="000000" w:sz="4" w:space="0"/>
            </w:tcBorders>
            <w:vAlign w:val="center"/>
          </w:tcPr>
          <w:p w14:paraId="7140928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94</w:t>
            </w:r>
          </w:p>
        </w:tc>
        <w:tc>
          <w:tcPr>
            <w:tcW w:w="1858" w:type="pct"/>
            <w:tcBorders>
              <w:top w:val="single" w:color="000000" w:sz="4" w:space="0"/>
              <w:left w:val="single" w:color="000000" w:sz="4" w:space="0"/>
              <w:bottom w:val="single" w:color="000000" w:sz="4" w:space="0"/>
              <w:right w:val="single" w:color="000000" w:sz="4" w:space="0"/>
            </w:tcBorders>
            <w:vAlign w:val="center"/>
          </w:tcPr>
          <w:p w14:paraId="66E53FC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bidi="ar"/>
              </w:rPr>
              <w:t>1,2-</w:t>
            </w:r>
            <w:r>
              <w:rPr>
                <w:rStyle w:val="249"/>
                <w:rFonts w:hint="default" w:ascii="Times New Roman" w:hAnsi="Times New Roman" w:eastAsia="宋体" w:cs="Times New Roman"/>
                <w:color w:val="auto"/>
                <w:sz w:val="21"/>
                <w:szCs w:val="21"/>
                <w:highlight w:val="none"/>
                <w:lang w:bidi="ar"/>
              </w:rPr>
              <w:t>二氯乙烷</w:t>
            </w:r>
          </w:p>
        </w:tc>
        <w:tc>
          <w:tcPr>
            <w:tcW w:w="744" w:type="pct"/>
            <w:tcBorders>
              <w:top w:val="single" w:color="000000" w:sz="4" w:space="0"/>
              <w:left w:val="single" w:color="000000" w:sz="4" w:space="0"/>
              <w:bottom w:val="single" w:color="000000" w:sz="4" w:space="0"/>
              <w:right w:val="single" w:color="000000" w:sz="4" w:space="0"/>
            </w:tcBorders>
            <w:vAlign w:val="center"/>
          </w:tcPr>
          <w:p w14:paraId="368E0B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Cs w:val="21"/>
                <w:highlight w:val="none"/>
              </w:rPr>
            </w:pPr>
          </w:p>
        </w:tc>
        <w:tc>
          <w:tcPr>
            <w:tcW w:w="1846" w:type="pct"/>
            <w:tcBorders>
              <w:top w:val="single" w:color="000000" w:sz="4" w:space="0"/>
              <w:left w:val="single" w:color="000000" w:sz="4" w:space="0"/>
              <w:bottom w:val="single" w:color="000000" w:sz="4" w:space="0"/>
              <w:right w:val="single" w:color="000000" w:sz="4" w:space="0"/>
            </w:tcBorders>
            <w:noWrap/>
            <w:vAlign w:val="center"/>
          </w:tcPr>
          <w:p w14:paraId="2EE1833C">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szCs w:val="21"/>
                <w:highlight w:val="none"/>
              </w:rPr>
            </w:pPr>
          </w:p>
        </w:tc>
      </w:tr>
    </w:tbl>
    <w:p w14:paraId="3BA70300">
      <w:pPr>
        <w:pageBreakBefore w:val="0"/>
        <w:kinsoku/>
        <w:wordWrap/>
        <w:overflowPunct/>
        <w:topLinePunct w:val="0"/>
        <w:bidi w:val="0"/>
        <w:spacing w:line="360" w:lineRule="auto"/>
        <w:outlineLvl w:val="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1CCE6E58">
      <w:pPr>
        <w:pageBreakBefore w:val="0"/>
        <w:kinsoku/>
        <w:wordWrap/>
        <w:overflowPunct/>
        <w:topLinePunct w:val="0"/>
        <w:bidi w:val="0"/>
        <w:spacing w:line="360" w:lineRule="auto"/>
        <w:outlineLvl w:val="0"/>
        <w:rPr>
          <w:rFonts w:hint="default" w:ascii="Times New Roman" w:hAnsi="Times New Roman" w:eastAsia="宋体" w:cs="Times New Roman"/>
          <w:highlight w:val="none"/>
        </w:rPr>
      </w:pPr>
      <w:r>
        <w:rPr>
          <w:rFonts w:hint="default" w:ascii="Times New Roman" w:hAnsi="Times New Roman" w:eastAsia="宋体" w:cs="Times New Roman"/>
          <w:b/>
          <w:bCs/>
          <w:szCs w:val="21"/>
          <w:highlight w:val="none"/>
        </w:rPr>
        <w:t>包8：大气移动走航方舱及相关设备运维服务</w:t>
      </w:r>
    </w:p>
    <w:p w14:paraId="0A4C28DE">
      <w:pPr>
        <w:pageBreakBefore w:val="0"/>
        <w:kinsoku/>
        <w:wordWrap/>
        <w:overflowPunct/>
        <w:topLinePunct w:val="0"/>
        <w:bidi w:val="0"/>
        <w:spacing w:line="360" w:lineRule="auto"/>
        <w:ind w:firstLine="420"/>
        <w:outlineLvl w:val="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一、项目概况：</w:t>
      </w:r>
    </w:p>
    <w:p w14:paraId="210CA065">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项目包含移动走航方舱本体的运维服务，方舱内主要仪器的运维服务（颗粒物离子色谱、颗粒物OC/EC监测仪、温室气体）。走航方舱的位置不确定，根据监测任务及大气污染情况动态调整，本服务项目中包含走航方舱的搬运服务。</w:t>
      </w:r>
    </w:p>
    <w:p w14:paraId="0E05A304">
      <w:pPr>
        <w:pageBreakBefore w:val="0"/>
        <w:kinsoku/>
        <w:wordWrap/>
        <w:overflowPunct/>
        <w:topLinePunct w:val="0"/>
        <w:bidi w:val="0"/>
        <w:spacing w:line="360" w:lineRule="auto"/>
        <w:ind w:firstLine="420" w:firstLineChars="200"/>
        <w:jc w:val="center"/>
        <w:rPr>
          <w:rFonts w:hint="default" w:ascii="Times New Roman" w:hAnsi="Times New Roman" w:eastAsia="宋体" w:cs="Times New Roman"/>
          <w:szCs w:val="21"/>
          <w:highlight w:val="none"/>
        </w:rPr>
      </w:pPr>
      <w:bookmarkStart w:id="130" w:name="_Toc455152374"/>
      <w:bookmarkStart w:id="131" w:name="_Toc455153178"/>
      <w:bookmarkStart w:id="132" w:name="_Toc420511647"/>
      <w:r>
        <w:rPr>
          <w:rFonts w:hint="default" w:ascii="Times New Roman" w:hAnsi="Times New Roman" w:eastAsia="宋体" w:cs="Times New Roman"/>
          <w:bCs/>
          <w:szCs w:val="21"/>
          <w:highlight w:val="none"/>
        </w:rPr>
        <w:t>表1-1走航方舱项目仪器设备运维服务设备清单</w:t>
      </w:r>
      <w:bookmarkEnd w:id="130"/>
      <w:bookmarkEnd w:id="131"/>
      <w:bookmarkEnd w:id="132"/>
    </w:p>
    <w:tbl>
      <w:tblPr>
        <w:tblStyle w:val="48"/>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733"/>
        <w:gridCol w:w="2977"/>
        <w:gridCol w:w="2305"/>
      </w:tblGrid>
      <w:tr w14:paraId="1B5C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shd w:val="clear" w:color="auto" w:fill="FFFFFF"/>
            <w:vAlign w:val="center"/>
          </w:tcPr>
          <w:p w14:paraId="2B2EB7C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运维项目</w:t>
            </w:r>
          </w:p>
        </w:tc>
        <w:tc>
          <w:tcPr>
            <w:tcW w:w="2977" w:type="dxa"/>
            <w:shd w:val="clear" w:color="auto" w:fill="FFFFFF"/>
            <w:vAlign w:val="center"/>
          </w:tcPr>
          <w:p w14:paraId="599B96F7">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生产厂家（型号）</w:t>
            </w:r>
          </w:p>
        </w:tc>
        <w:tc>
          <w:tcPr>
            <w:tcW w:w="2305" w:type="dxa"/>
            <w:shd w:val="clear" w:color="auto" w:fill="FFFFFF"/>
            <w:vAlign w:val="center"/>
          </w:tcPr>
          <w:p w14:paraId="65F5783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分项预算</w:t>
            </w:r>
          </w:p>
          <w:p w14:paraId="704360BC">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（万元/年）</w:t>
            </w:r>
          </w:p>
        </w:tc>
      </w:tr>
      <w:tr w14:paraId="383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795AC7E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走航方舱本体运维服务（含重金属）</w:t>
            </w:r>
          </w:p>
        </w:tc>
        <w:tc>
          <w:tcPr>
            <w:tcW w:w="2977" w:type="dxa"/>
            <w:shd w:val="clear" w:color="auto" w:fill="FFFFFF"/>
            <w:vAlign w:val="center"/>
          </w:tcPr>
          <w:p w14:paraId="266791B0">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苏力</w:t>
            </w:r>
          </w:p>
        </w:tc>
        <w:tc>
          <w:tcPr>
            <w:tcW w:w="2305" w:type="dxa"/>
            <w:shd w:val="clear" w:color="auto" w:fill="FFFFFF"/>
            <w:vAlign w:val="center"/>
          </w:tcPr>
          <w:p w14:paraId="2BCFCCA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25</w:t>
            </w:r>
          </w:p>
        </w:tc>
      </w:tr>
      <w:tr w14:paraId="04E8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58C98DD6">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颗粒物OC/EC监测仪</w:t>
            </w:r>
          </w:p>
        </w:tc>
        <w:tc>
          <w:tcPr>
            <w:tcW w:w="2977" w:type="dxa"/>
            <w:shd w:val="clear" w:color="auto" w:fill="FFFFFF"/>
            <w:vAlign w:val="center"/>
          </w:tcPr>
          <w:p w14:paraId="3C6C947D">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先河</w:t>
            </w:r>
          </w:p>
        </w:tc>
        <w:tc>
          <w:tcPr>
            <w:tcW w:w="2305" w:type="dxa"/>
            <w:shd w:val="clear" w:color="auto" w:fill="FFFFFF"/>
            <w:vAlign w:val="center"/>
          </w:tcPr>
          <w:p w14:paraId="111A1678">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15</w:t>
            </w:r>
          </w:p>
        </w:tc>
      </w:tr>
      <w:tr w14:paraId="138B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237E35F5">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颗粒物离子色谱</w:t>
            </w:r>
          </w:p>
        </w:tc>
        <w:tc>
          <w:tcPr>
            <w:tcW w:w="2977" w:type="dxa"/>
            <w:shd w:val="clear" w:color="auto" w:fill="FFFFFF"/>
            <w:vAlign w:val="center"/>
          </w:tcPr>
          <w:p w14:paraId="453BF3C2">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URG</w:t>
            </w:r>
          </w:p>
        </w:tc>
        <w:tc>
          <w:tcPr>
            <w:tcW w:w="2305" w:type="dxa"/>
            <w:shd w:val="clear" w:color="auto" w:fill="FFFFFF"/>
            <w:vAlign w:val="center"/>
          </w:tcPr>
          <w:p w14:paraId="492E6511">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26</w:t>
            </w:r>
          </w:p>
        </w:tc>
      </w:tr>
      <w:tr w14:paraId="798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9" w:hRule="atLeast"/>
          <w:jc w:val="center"/>
        </w:trPr>
        <w:tc>
          <w:tcPr>
            <w:tcW w:w="2733" w:type="dxa"/>
            <w:shd w:val="clear" w:color="auto" w:fill="FFFFFF"/>
            <w:vAlign w:val="center"/>
          </w:tcPr>
          <w:p w14:paraId="1449D464">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温室气体运维</w:t>
            </w:r>
          </w:p>
        </w:tc>
        <w:tc>
          <w:tcPr>
            <w:tcW w:w="2977" w:type="dxa"/>
            <w:shd w:val="clear" w:color="auto" w:fill="FFFFFF"/>
            <w:vAlign w:val="center"/>
          </w:tcPr>
          <w:p w14:paraId="540DD67D">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唯思德</w:t>
            </w:r>
          </w:p>
        </w:tc>
        <w:tc>
          <w:tcPr>
            <w:tcW w:w="2305" w:type="dxa"/>
            <w:shd w:val="clear" w:color="auto" w:fill="FFFFFF"/>
            <w:vAlign w:val="center"/>
          </w:tcPr>
          <w:p w14:paraId="5A5B583A">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10</w:t>
            </w:r>
          </w:p>
        </w:tc>
      </w:tr>
      <w:tr w14:paraId="4FEB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710" w:type="dxa"/>
            <w:gridSpan w:val="2"/>
            <w:shd w:val="clear" w:color="auto" w:fill="FFFFFF"/>
            <w:vAlign w:val="center"/>
          </w:tcPr>
          <w:p w14:paraId="314D58C3">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合计</w:t>
            </w:r>
          </w:p>
        </w:tc>
        <w:tc>
          <w:tcPr>
            <w:tcW w:w="2305" w:type="dxa"/>
            <w:shd w:val="clear" w:color="auto" w:fill="FFFFFF"/>
            <w:vAlign w:val="center"/>
          </w:tcPr>
          <w:p w14:paraId="475D7D1F">
            <w:pPr>
              <w:pageBreakBefore w:val="0"/>
              <w:kinsoku/>
              <w:wordWrap/>
              <w:overflowPunct/>
              <w:topLinePunct w:val="0"/>
              <w:bidi w:val="0"/>
              <w:spacing w:line="36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76</w:t>
            </w:r>
          </w:p>
        </w:tc>
      </w:tr>
    </w:tbl>
    <w:p w14:paraId="344B7A90">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二、项目总体需求</w:t>
      </w:r>
    </w:p>
    <w:p w14:paraId="5922842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2.1投标人应提供详细的运维管理服务方案。包含运维过程中的耗材费用和维修费用。</w:t>
      </w:r>
    </w:p>
    <w:p w14:paraId="50C6AE5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2.2投标人应至少配备如下数量的质量控制设备，包括配套的流量计（须具备计量检定部门的校准报告）、各种标气、臭氧校准仪等。</w:t>
      </w:r>
    </w:p>
    <w:p w14:paraId="4B6CDBD6">
      <w:pPr>
        <w:pageBreakBefore w:val="0"/>
        <w:kinsoku/>
        <w:wordWrap/>
        <w:overflowPunct/>
        <w:topLinePunct w:val="0"/>
        <w:bidi w:val="0"/>
        <w:spacing w:line="360" w:lineRule="auto"/>
        <w:ind w:left="420" w:leftChars="200"/>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 xml:space="preserve">表2-1 </w:t>
      </w:r>
      <w:r>
        <w:rPr>
          <w:rFonts w:hint="default" w:ascii="Times New Roman" w:hAnsi="Times New Roman" w:eastAsia="宋体" w:cs="Times New Roman"/>
          <w:szCs w:val="21"/>
          <w:highlight w:val="none"/>
        </w:rPr>
        <w:t>投标人配备质量控制设备</w:t>
      </w:r>
      <w:r>
        <w:rPr>
          <w:rFonts w:hint="default" w:ascii="Times New Roman" w:hAnsi="Times New Roman" w:eastAsia="宋体" w:cs="Times New Roman"/>
          <w:bCs/>
          <w:szCs w:val="21"/>
          <w:highlight w:val="none"/>
        </w:rPr>
        <w:t>清单</w:t>
      </w:r>
    </w:p>
    <w:tbl>
      <w:tblPr>
        <w:tblStyle w:val="48"/>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4708"/>
      </w:tblGrid>
      <w:tr w14:paraId="1EB7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3250" w:type="dxa"/>
            <w:shd w:val="clear" w:color="auto" w:fill="BFBFBF"/>
            <w:vAlign w:val="center"/>
          </w:tcPr>
          <w:p w14:paraId="7E4CEBE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质控设备名称</w:t>
            </w:r>
          </w:p>
        </w:tc>
        <w:tc>
          <w:tcPr>
            <w:tcW w:w="4708" w:type="dxa"/>
            <w:shd w:val="clear" w:color="auto" w:fill="BFBFBF"/>
            <w:vAlign w:val="center"/>
          </w:tcPr>
          <w:p w14:paraId="6DFE822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数量</w:t>
            </w:r>
          </w:p>
        </w:tc>
      </w:tr>
      <w:tr w14:paraId="0E44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3250" w:type="dxa"/>
            <w:vAlign w:val="center"/>
          </w:tcPr>
          <w:p w14:paraId="4C26CD4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标准流量计</w:t>
            </w:r>
          </w:p>
          <w:p w14:paraId="7A30A8B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4708" w:type="dxa"/>
            <w:vAlign w:val="center"/>
          </w:tcPr>
          <w:p w14:paraId="4C82924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大、小流量各1套</w:t>
            </w:r>
          </w:p>
        </w:tc>
      </w:tr>
      <w:tr w14:paraId="6D91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jc w:val="center"/>
        </w:trPr>
        <w:tc>
          <w:tcPr>
            <w:tcW w:w="3250" w:type="dxa"/>
            <w:vAlign w:val="center"/>
          </w:tcPr>
          <w:p w14:paraId="18B3D49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标准气压计</w:t>
            </w:r>
          </w:p>
        </w:tc>
        <w:tc>
          <w:tcPr>
            <w:tcW w:w="4708" w:type="dxa"/>
            <w:vAlign w:val="center"/>
          </w:tcPr>
          <w:p w14:paraId="1A3397C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308C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exact"/>
          <w:jc w:val="center"/>
        </w:trPr>
        <w:tc>
          <w:tcPr>
            <w:tcW w:w="3250" w:type="dxa"/>
            <w:vAlign w:val="center"/>
          </w:tcPr>
          <w:p w14:paraId="4F5EEA5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标准温度计</w:t>
            </w:r>
          </w:p>
        </w:tc>
        <w:tc>
          <w:tcPr>
            <w:tcW w:w="4708" w:type="dxa"/>
            <w:vAlign w:val="center"/>
          </w:tcPr>
          <w:p w14:paraId="4F1896E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2620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3250" w:type="dxa"/>
            <w:vAlign w:val="center"/>
          </w:tcPr>
          <w:p w14:paraId="5C6153B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各种标准气体</w:t>
            </w:r>
          </w:p>
        </w:tc>
        <w:tc>
          <w:tcPr>
            <w:tcW w:w="4708" w:type="dxa"/>
            <w:vAlign w:val="center"/>
          </w:tcPr>
          <w:p w14:paraId="1B548D0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根据使用情况</w:t>
            </w:r>
          </w:p>
        </w:tc>
      </w:tr>
      <w:tr w14:paraId="5CE5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3250" w:type="dxa"/>
            <w:vAlign w:val="center"/>
          </w:tcPr>
          <w:p w14:paraId="655A43F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零气发生器</w:t>
            </w:r>
          </w:p>
        </w:tc>
        <w:tc>
          <w:tcPr>
            <w:tcW w:w="4708" w:type="dxa"/>
            <w:vAlign w:val="center"/>
          </w:tcPr>
          <w:p w14:paraId="073516F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5CA2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3250" w:type="dxa"/>
            <w:vAlign w:val="center"/>
          </w:tcPr>
          <w:p w14:paraId="316E58A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动态校准仪</w:t>
            </w:r>
          </w:p>
        </w:tc>
        <w:tc>
          <w:tcPr>
            <w:tcW w:w="4708" w:type="dxa"/>
            <w:vAlign w:val="center"/>
          </w:tcPr>
          <w:p w14:paraId="0241D70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2A1A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exact"/>
          <w:jc w:val="center"/>
        </w:trPr>
        <w:tc>
          <w:tcPr>
            <w:tcW w:w="3250" w:type="dxa"/>
            <w:vAlign w:val="center"/>
          </w:tcPr>
          <w:p w14:paraId="343F953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臭氧校准仪</w:t>
            </w:r>
          </w:p>
        </w:tc>
        <w:tc>
          <w:tcPr>
            <w:tcW w:w="4708" w:type="dxa"/>
            <w:vAlign w:val="center"/>
          </w:tcPr>
          <w:p w14:paraId="30681E1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bl>
    <w:p w14:paraId="55E9363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2.3投标人应为运维人员配备专用仪器维修工具（包括万用表、工具箱等）、通讯调试工具（包括各种硬件接口线、改线工具、接口调试软件及常用零部件等）。</w:t>
      </w:r>
    </w:p>
    <w:p w14:paraId="1EE1E5F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2.4投标人</w:t>
      </w:r>
      <w:r>
        <w:rPr>
          <w:rFonts w:hint="default" w:ascii="Times New Roman" w:hAnsi="Times New Roman" w:eastAsia="宋体" w:cs="Times New Roman"/>
          <w:szCs w:val="21"/>
          <w:highlight w:val="none"/>
        </w:rPr>
        <w:t>在服务区域2小时车程范围内至少设立1个运维技术支持机构，</w:t>
      </w:r>
      <w:r>
        <w:rPr>
          <w:rFonts w:hint="default" w:ascii="Times New Roman" w:hAnsi="Times New Roman" w:eastAsia="宋体" w:cs="Times New Roman"/>
          <w:bCs/>
          <w:szCs w:val="21"/>
          <w:highlight w:val="none"/>
        </w:rPr>
        <w:t>应制定本地化的运维服务方案，需保证仪器故障发生时间48小时内赶到现场进行处理。对于一些易于排除的故障，维修时间不应超过12小时；对不易诊断和维修的仪器故障。</w:t>
      </w:r>
    </w:p>
    <w:p w14:paraId="618C944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w:t>
      </w:r>
      <w:r>
        <w:rPr>
          <w:rFonts w:hint="default" w:ascii="Times New Roman" w:hAnsi="Times New Roman" w:eastAsia="宋体" w:cs="Times New Roman"/>
          <w:szCs w:val="21"/>
          <w:highlight w:val="none"/>
        </w:rPr>
        <w:t>投标人</w:t>
      </w:r>
      <w:r>
        <w:rPr>
          <w:rFonts w:hint="default" w:ascii="Times New Roman" w:hAnsi="Times New Roman" w:eastAsia="宋体" w:cs="Times New Roman"/>
          <w:bCs/>
          <w:szCs w:val="21"/>
          <w:highlight w:val="none"/>
        </w:rPr>
        <w:t>需至少配备2名运维专业</w:t>
      </w:r>
      <w:r>
        <w:rPr>
          <w:rFonts w:hint="default" w:ascii="Times New Roman" w:hAnsi="Times New Roman" w:eastAsia="宋体" w:cs="Times New Roman"/>
          <w:szCs w:val="21"/>
          <w:highlight w:val="none"/>
        </w:rPr>
        <w:t>技术人员</w:t>
      </w:r>
      <w:r>
        <w:rPr>
          <w:rFonts w:hint="default" w:ascii="Times New Roman" w:hAnsi="Times New Roman" w:eastAsia="宋体" w:cs="Times New Roman"/>
          <w:bCs/>
          <w:szCs w:val="21"/>
          <w:highlight w:val="none"/>
        </w:rPr>
        <w:t>。运维技术人员应具备良好的教育背景与专业能力。鼓励团队中配置具有硕士学历或环保类高级及以上职称的专业人员。运维技术人员须接受过所投分包下相关产品生产厂家组织的专业系统培训，以确保其对设备性能、操作流程及日常维护具备充分的认知与实践能力。提供完整的运维人员管理方案，具备应对人员流动的应急预案，提出解决技术人员队伍稳定的措施。</w:t>
      </w:r>
    </w:p>
    <w:p w14:paraId="0C52861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在空气自动监测系统代维及管理期间，投标人应严格按照招标人制订的操作规范和规章制度，对所管理的系统及仪器设备进行规范操作和精心维护及必要维修，保证系统及仪器设备的正常运行，达到省环境监测中心提出的系统及仪器设备考核指标要求。中标运行维护商必须接受中国环境监测总站、江苏省环境监测中心、第三方质控、用户的定期、不定期检查和考核。</w:t>
      </w:r>
    </w:p>
    <w:p w14:paraId="68CF4C84">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szCs w:val="21"/>
          <w:highlight w:val="none"/>
        </w:rPr>
        <w:t>2.7在该设备代维及管理期间，未经允许，承担运维单位不得以直接、间接、口头或书面等形式将观测数据披露给其他人员或第三方单位，因数据泄露而造成招标人损失，招标人将通过法律途径向投标人索赔。</w:t>
      </w:r>
    </w:p>
    <w:p w14:paraId="50DB38FF">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2.8除高精度甲烷分析仪标气由招标人另行采购外，投标人中标后需承担该项目所运维设备的所有耗材及设备维修。</w:t>
      </w:r>
    </w:p>
    <w:p w14:paraId="7B9FD09C">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2.9投标人中标应根据所运维仪器特性，编制相应的运维、质控记录表单，每月提交运维记录。</w:t>
      </w:r>
    </w:p>
    <w:p w14:paraId="7CCD3533">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2.10</w:t>
      </w:r>
      <w:r>
        <w:rPr>
          <w:rFonts w:hint="default" w:ascii="Times New Roman" w:hAnsi="Times New Roman" w:eastAsia="宋体" w:cs="Times New Roman"/>
          <w:highlight w:val="none"/>
        </w:rPr>
        <w:t>投标人</w:t>
      </w:r>
      <w:r>
        <w:rPr>
          <w:rFonts w:hint="default" w:ascii="Times New Roman" w:hAnsi="Times New Roman" w:eastAsia="宋体" w:cs="Times New Roman"/>
          <w:bCs/>
          <w:szCs w:val="21"/>
          <w:highlight w:val="none"/>
        </w:rPr>
        <w:t>需具备一定的数据分析能力，重污染天气发生时，运维单位需根据招标人要求开展数据分析工作，并编制相关分析报告。</w:t>
      </w:r>
    </w:p>
    <w:p w14:paraId="19D74885">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并依据运维总结报告制作汇报材料（PPT）向招标人进行总结性汇报。</w:t>
      </w:r>
    </w:p>
    <w:p w14:paraId="33362D21">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2.12辅助服务要求。</w:t>
      </w:r>
    </w:p>
    <w:p w14:paraId="60E98D03">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2.13仪器发生故障时，配合招标人开展仪器维修相关工作。</w:t>
      </w:r>
    </w:p>
    <w:p w14:paraId="1688B001">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2.14 运维期满后，配合招标人进行仪器交接，交接期间承担仪器正常运维工作。</w:t>
      </w:r>
    </w:p>
    <w:p w14:paraId="6B1C0A9D">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2.15投标人为实施本项目至少配置1辆专用车辆。</w:t>
      </w:r>
    </w:p>
    <w:p w14:paraId="73AAF463">
      <w:pPr>
        <w:pageBreakBefore w:val="0"/>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b/>
          <w:highlight w:val="none"/>
        </w:rPr>
        <w:t>三、</w:t>
      </w:r>
      <w:r>
        <w:rPr>
          <w:rFonts w:hint="default" w:ascii="Times New Roman" w:hAnsi="Times New Roman" w:eastAsia="宋体" w:cs="Times New Roman"/>
          <w:b/>
          <w:szCs w:val="21"/>
          <w:highlight w:val="none"/>
        </w:rPr>
        <w:t>走航方舱本体运维服务</w:t>
      </w:r>
    </w:p>
    <w:p w14:paraId="445D466D">
      <w:pPr>
        <w:pageBreakBefore w:val="0"/>
        <w:kinsoku/>
        <w:wordWrap/>
        <w:overflowPunct/>
        <w:topLinePunct w:val="0"/>
        <w:bidi w:val="0"/>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3.1 运行维护期内，中标后应派至少1名有方舱仪器维护经验人员开展运行维护工作，安放地点电源扩容耗材费用由中标方承担。</w:t>
      </w:r>
    </w:p>
    <w:p w14:paraId="0ECD5B39">
      <w:pPr>
        <w:pageBreakBefore w:val="0"/>
        <w:kinsoku/>
        <w:wordWrap/>
        <w:overflowPunct/>
        <w:topLinePunct w:val="0"/>
        <w:bidi w:val="0"/>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3.2 配合用户完成走航方舱的搬运服务。</w:t>
      </w:r>
    </w:p>
    <w:p w14:paraId="040FFA01">
      <w:pPr>
        <w:pageBreakBefore w:val="0"/>
        <w:kinsoku/>
        <w:wordWrap/>
        <w:overflowPunct/>
        <w:topLinePunct w:val="0"/>
        <w:bidi w:val="0"/>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3.3 走航方舱执行任务期间，负责定期查看方舱上每台仪器的运行状态。</w:t>
      </w:r>
    </w:p>
    <w:p w14:paraId="48B63501">
      <w:pPr>
        <w:pageBreakBefore w:val="0"/>
        <w:kinsoku/>
        <w:wordWrap/>
        <w:overflowPunct/>
        <w:topLinePunct w:val="0"/>
        <w:bidi w:val="0"/>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3.4方舱建设、运行出现的安全问题（电池安全事故、雷击安全事故等），中标方负责赔偿。</w:t>
      </w:r>
      <w:r>
        <w:rPr>
          <w:rFonts w:hint="default" w:ascii="Times New Roman" w:hAnsi="Times New Roman" w:eastAsia="宋体" w:cs="Times New Roman"/>
          <w:color w:val="000000"/>
          <w:highlight w:val="none"/>
        </w:rPr>
        <w:t>中标方</w:t>
      </w:r>
      <w:r>
        <w:rPr>
          <w:rFonts w:hint="default" w:ascii="Times New Roman" w:hAnsi="Times New Roman" w:eastAsia="宋体" w:cs="Times New Roman"/>
          <w:color w:val="000000"/>
          <w:szCs w:val="21"/>
          <w:highlight w:val="none"/>
        </w:rPr>
        <w:t>公司提供承诺书。</w:t>
      </w:r>
    </w:p>
    <w:p w14:paraId="16E686CF">
      <w:pPr>
        <w:pageBreakBefore w:val="0"/>
        <w:kinsoku/>
        <w:wordWrap/>
        <w:overflowPunct/>
        <w:topLinePunct w:val="0"/>
        <w:bidi w:val="0"/>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3.5保障要求：大型活动保障：仪器生命周期内，</w:t>
      </w:r>
      <w:r>
        <w:rPr>
          <w:rFonts w:hint="default" w:ascii="Times New Roman" w:hAnsi="Times New Roman" w:eastAsia="宋体" w:cs="Times New Roman"/>
          <w:color w:val="000000"/>
          <w:highlight w:val="none"/>
        </w:rPr>
        <w:t>中标方</w:t>
      </w:r>
      <w:r>
        <w:rPr>
          <w:rFonts w:hint="default" w:ascii="Times New Roman" w:hAnsi="Times New Roman" w:eastAsia="宋体" w:cs="Times New Roman"/>
          <w:color w:val="000000"/>
          <w:szCs w:val="21"/>
          <w:highlight w:val="none"/>
        </w:rPr>
        <w:t>应根据用户提前通知，在大型赛事活动保障期间，对仪器设备的保障工作提供专业的技术和人员支持。</w:t>
      </w:r>
    </w:p>
    <w:p w14:paraId="080D226F">
      <w:pPr>
        <w:pStyle w:val="399"/>
        <w:pageBreakBefore w:val="0"/>
        <w:kinsoku/>
        <w:wordWrap/>
        <w:overflowPunct/>
        <w:topLinePunct w:val="0"/>
        <w:bidi w:val="0"/>
        <w:adjustRightInd w:val="0"/>
        <w:snapToGrid w:val="0"/>
        <w:spacing w:line="360" w:lineRule="auto"/>
        <w:rPr>
          <w:rFonts w:hint="default" w:ascii="Times New Roman" w:hAnsi="Times New Roman" w:eastAsia="宋体" w:cs="Times New Roman"/>
          <w:b w:val="0"/>
          <w:highlight w:val="none"/>
        </w:rPr>
      </w:pPr>
      <w:r>
        <w:rPr>
          <w:rFonts w:hint="default" w:ascii="Times New Roman" w:hAnsi="Times New Roman" w:eastAsia="宋体" w:cs="Times New Roman"/>
          <w:b w:val="0"/>
          <w:color w:val="000000"/>
          <w:highlight w:val="none"/>
        </w:rPr>
        <w:t xml:space="preserve">3.6 </w:t>
      </w:r>
      <w:r>
        <w:rPr>
          <w:rFonts w:hint="default" w:ascii="Times New Roman" w:hAnsi="Times New Roman" w:eastAsia="宋体" w:cs="Times New Roman"/>
          <w:b w:val="0"/>
          <w:highlight w:val="none"/>
        </w:rPr>
        <w:t>周巡检与运维内容</w:t>
      </w:r>
    </w:p>
    <w:p w14:paraId="7209AA18">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应对仪器辅助设备定期巡检，每2周至少巡检1次，巡检工作主要包括：</w:t>
      </w:r>
    </w:p>
    <w:p w14:paraId="1D26E37B">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（1）检查方舱内温度是否保持在25℃±5℃，建议24小时变化幅度不超过±2℃，相对湿度保持在80%以下。在冬、夏季节应注意方舱内外温差，及时调整方舱温度或对</w:t>
      </w:r>
      <w:r>
        <w:rPr>
          <w:rFonts w:hint="default" w:ascii="Times New Roman" w:hAnsi="Times New Roman" w:eastAsia="宋体" w:cs="Times New Roman"/>
          <w:color w:val="000000"/>
          <w:highlight w:val="none"/>
        </w:rPr>
        <w:t>气体总采样管系统</w:t>
      </w:r>
      <w:r>
        <w:rPr>
          <w:rFonts w:hint="default" w:ascii="Times New Roman" w:hAnsi="Times New Roman" w:eastAsia="宋体" w:cs="Times New Roman"/>
          <w:bCs/>
          <w:szCs w:val="21"/>
          <w:highlight w:val="none"/>
        </w:rPr>
        <w:t>采取适当的温控措施，防止因温差造成采样装置出现冷凝水的现象；</w:t>
      </w:r>
    </w:p>
    <w:p w14:paraId="40D1882C">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（2）检查方舱外观是否有剐蹭、划痕；</w:t>
      </w:r>
    </w:p>
    <w:p w14:paraId="4240FC8A">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（3）检查</w:t>
      </w:r>
      <w:r>
        <w:rPr>
          <w:rFonts w:hint="default" w:ascii="Times New Roman" w:hAnsi="Times New Roman" w:eastAsia="宋体" w:cs="Times New Roman"/>
          <w:color w:val="000000"/>
          <w:highlight w:val="none"/>
        </w:rPr>
        <w:t>气体总采样管系统</w:t>
      </w:r>
      <w:r>
        <w:rPr>
          <w:rFonts w:hint="default" w:ascii="Times New Roman" w:hAnsi="Times New Roman" w:eastAsia="宋体" w:cs="Times New Roman"/>
          <w:bCs/>
          <w:szCs w:val="21"/>
          <w:highlight w:val="none"/>
        </w:rPr>
        <w:t>进气、排气是否正常，</w:t>
      </w:r>
      <w:r>
        <w:rPr>
          <w:rFonts w:hint="default" w:ascii="Times New Roman" w:hAnsi="Times New Roman" w:eastAsia="宋体" w:cs="Times New Roman"/>
          <w:szCs w:val="21"/>
          <w:highlight w:val="none"/>
        </w:rPr>
        <w:t>防渗水结构、</w:t>
      </w:r>
      <w:r>
        <w:rPr>
          <w:rFonts w:hint="default" w:ascii="Times New Roman" w:hAnsi="Times New Roman" w:eastAsia="宋体" w:cs="Times New Roman"/>
          <w:color w:val="000000"/>
          <w:szCs w:val="21"/>
          <w:highlight w:val="none"/>
        </w:rPr>
        <w:t>控温装置、</w:t>
      </w:r>
      <w:r>
        <w:rPr>
          <w:rFonts w:hint="default" w:ascii="Times New Roman" w:hAnsi="Times New Roman" w:eastAsia="宋体" w:cs="Times New Roman"/>
          <w:szCs w:val="21"/>
          <w:highlight w:val="none"/>
        </w:rPr>
        <w:t>流量计和压力传感器是否正常；</w:t>
      </w:r>
    </w:p>
    <w:p w14:paraId="7536E0DE">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（4）检查</w:t>
      </w:r>
      <w:r>
        <w:rPr>
          <w:rFonts w:hint="default" w:ascii="Times New Roman" w:hAnsi="Times New Roman" w:eastAsia="宋体" w:cs="Times New Roman"/>
          <w:color w:val="000000"/>
          <w:highlight w:val="none"/>
        </w:rPr>
        <w:t>激光雷达观测天窗密闭性情况，是否出现裂痕；</w:t>
      </w:r>
    </w:p>
    <w:p w14:paraId="1EE11A41">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（5）检查</w:t>
      </w:r>
      <w:r>
        <w:rPr>
          <w:rFonts w:hint="default" w:ascii="Times New Roman" w:hAnsi="Times New Roman" w:eastAsia="宋体" w:cs="Times New Roman"/>
          <w:color w:val="000000"/>
          <w:highlight w:val="none"/>
        </w:rPr>
        <w:t>动态稀释加湿配气系统气体管路</w:t>
      </w:r>
      <w:r>
        <w:rPr>
          <w:rFonts w:hint="default" w:ascii="Times New Roman" w:hAnsi="Times New Roman" w:eastAsia="宋体" w:cs="Times New Roman"/>
          <w:bCs/>
          <w:szCs w:val="21"/>
          <w:highlight w:val="none"/>
        </w:rPr>
        <w:t>是否正常；</w:t>
      </w:r>
    </w:p>
    <w:p w14:paraId="60B2BE0C">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（6）检查方舱电力系统、照明系统、空调排风排气系统装置工作是否正常；</w:t>
      </w:r>
    </w:p>
    <w:p w14:paraId="43D6A191">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（7）检查</w:t>
      </w:r>
      <w:r>
        <w:rPr>
          <w:rFonts w:hint="default" w:ascii="Times New Roman" w:hAnsi="Times New Roman" w:eastAsia="宋体" w:cs="Times New Roman"/>
          <w:szCs w:val="21"/>
          <w:highlight w:val="none"/>
        </w:rPr>
        <w:t>工控机及远程监控与采集系统运行、通讯功能</w:t>
      </w:r>
      <w:r>
        <w:rPr>
          <w:rFonts w:hint="default" w:ascii="Times New Roman" w:hAnsi="Times New Roman" w:eastAsia="宋体" w:cs="Times New Roman"/>
          <w:bCs/>
          <w:szCs w:val="21"/>
          <w:highlight w:val="none"/>
        </w:rPr>
        <w:t>是否正常；</w:t>
      </w:r>
    </w:p>
    <w:p w14:paraId="3DA864C0">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（8）检查各种消防、安全设施是否完好齐全；</w:t>
      </w:r>
    </w:p>
    <w:p w14:paraId="7FF32B58">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（9）检查</w:t>
      </w:r>
      <w:r>
        <w:rPr>
          <w:rFonts w:hint="default" w:ascii="Times New Roman" w:hAnsi="Times New Roman" w:eastAsia="宋体" w:cs="Times New Roman"/>
          <w:color w:val="000000"/>
          <w:szCs w:val="21"/>
          <w:highlight w:val="none"/>
        </w:rPr>
        <w:t>接地系统、</w:t>
      </w:r>
      <w:r>
        <w:rPr>
          <w:rFonts w:hint="default" w:ascii="Times New Roman" w:hAnsi="Times New Roman" w:eastAsia="宋体" w:cs="Times New Roman"/>
          <w:bCs/>
          <w:szCs w:val="21"/>
          <w:highlight w:val="none"/>
        </w:rPr>
        <w:t>防雷装置是否正常；</w:t>
      </w:r>
    </w:p>
    <w:p w14:paraId="7EE2AE2B">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（10）检查录像监控系统运行情况，调取完整录像进行查看；</w:t>
      </w:r>
    </w:p>
    <w:p w14:paraId="428F74C1">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（11）记录巡检情况，填写记录表格。</w:t>
      </w:r>
    </w:p>
    <w:p w14:paraId="14615C92">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3.7 每月巡检与运维工作</w:t>
      </w:r>
    </w:p>
    <w:p w14:paraId="0E309C81">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（1）检查</w:t>
      </w:r>
      <w:r>
        <w:rPr>
          <w:rFonts w:hint="default" w:ascii="Times New Roman" w:hAnsi="Times New Roman" w:eastAsia="宋体" w:cs="Times New Roman"/>
          <w:color w:val="000000"/>
          <w:highlight w:val="none"/>
        </w:rPr>
        <w:t>气体总采样管系统</w:t>
      </w:r>
      <w:r>
        <w:rPr>
          <w:rFonts w:hint="default" w:ascii="Times New Roman" w:hAnsi="Times New Roman" w:eastAsia="宋体" w:cs="Times New Roman"/>
          <w:bCs/>
          <w:szCs w:val="21"/>
          <w:highlight w:val="none"/>
        </w:rPr>
        <w:t>输送给气体分析模块的流量是否稳定，检查外观是否有破损，管道内是否无异物，每月进行清障工作；</w:t>
      </w:r>
    </w:p>
    <w:p w14:paraId="40D2F739">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（2）检查各改装部分是否牢固，</w:t>
      </w:r>
      <w:r>
        <w:rPr>
          <w:rFonts w:hint="default" w:ascii="Times New Roman" w:hAnsi="Times New Roman" w:eastAsia="宋体" w:cs="Times New Roman"/>
          <w:szCs w:val="21"/>
          <w:highlight w:val="none"/>
        </w:rPr>
        <w:t>减震底座是否偏移</w:t>
      </w:r>
      <w:r>
        <w:rPr>
          <w:rFonts w:hint="default" w:ascii="Times New Roman" w:hAnsi="Times New Roman" w:eastAsia="宋体" w:cs="Times New Roman"/>
          <w:bCs/>
          <w:szCs w:val="21"/>
          <w:highlight w:val="none"/>
        </w:rPr>
        <w:t>；</w:t>
      </w:r>
    </w:p>
    <w:p w14:paraId="120AAFD3">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（3）检查各个气路是否工作正常，有无存在漏气、连接不紧等情况。如有发现立即处理，否则分析系统将无法正常测量；</w:t>
      </w:r>
    </w:p>
    <w:p w14:paraId="0A5EB888">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（4）检查</w:t>
      </w:r>
      <w:r>
        <w:rPr>
          <w:rFonts w:hint="default" w:ascii="Times New Roman" w:hAnsi="Times New Roman" w:eastAsia="宋体" w:cs="Times New Roman"/>
          <w:szCs w:val="21"/>
          <w:highlight w:val="none"/>
        </w:rPr>
        <w:t>触摸屏面板，电流电压、开关控制、温度显示情况，与手工测量值是否一致；</w:t>
      </w:r>
    </w:p>
    <w:p w14:paraId="012450D4">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（5）检查整套方舱内系统电源连接，检查电源线路，检查电池柜内电池运行情况；</w:t>
      </w:r>
    </w:p>
    <w:p w14:paraId="434E2F82">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（6）检查整套传输软件运行情况，如数据异常、网络故障需及时维修并登记上报；</w:t>
      </w:r>
    </w:p>
    <w:p w14:paraId="1E1E2591">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（7）安全性检查，包括方舱内所有防雷、供电、气体安全等检查；</w:t>
      </w:r>
    </w:p>
    <w:p w14:paraId="764C283C">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bCs/>
          <w:szCs w:val="21"/>
          <w:highlight w:val="none"/>
        </w:rPr>
        <w:t>（8）对方舱内外卫生问题进行打扫，保证监测环境的整洁。</w:t>
      </w:r>
    </w:p>
    <w:p w14:paraId="29AF73EB">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3.8 季度巡检和运维</w:t>
      </w:r>
    </w:p>
    <w:p w14:paraId="117DF099">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（1）检查仪器是否有较明显的影响仪器运行质量的情况。如：接头松动、管路断裂和堵塞、严重的积尘；</w:t>
      </w:r>
    </w:p>
    <w:p w14:paraId="4F575725">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（2）检查各站点的接地线路是否可靠，排风排气装置工作是否正常，必要时清洁风扇及滤网。检查标准气瓶阀门是否漏气，标准气的消耗情况；</w:t>
      </w:r>
    </w:p>
    <w:p w14:paraId="62C136A4">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（3）仪器采样流量是否正常，流量计测量值是否正确，并对流量计做流量校准；</w:t>
      </w:r>
    </w:p>
    <w:p w14:paraId="7E9EE967">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（4）检查电路、通讯、防雷、报警系统，保证系统供电正常，电压稳定，所有的功能能够正常使用；</w:t>
      </w:r>
    </w:p>
    <w:p w14:paraId="30F324C5">
      <w:pPr>
        <w:pStyle w:val="14"/>
        <w:pageBreakBefore w:val="0"/>
        <w:kinsoku/>
        <w:wordWrap/>
        <w:overflowPunct/>
        <w:topLinePunct w:val="0"/>
        <w:bidi w:val="0"/>
        <w:adjustRightInd w:val="0"/>
        <w:snapToGrid w:val="0"/>
        <w:spacing w:line="360" w:lineRule="auto"/>
        <w:ind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 w:val="0"/>
          <w:sz w:val="21"/>
          <w:szCs w:val="21"/>
          <w:highlight w:val="none"/>
        </w:rPr>
        <w:t>（5）</w:t>
      </w:r>
      <w:r>
        <w:rPr>
          <w:rFonts w:hint="default" w:ascii="Times New Roman" w:hAnsi="Times New Roman" w:eastAsia="宋体" w:cs="Times New Roman"/>
          <w:b w:val="0"/>
          <w:bCs/>
          <w:sz w:val="21"/>
          <w:szCs w:val="21"/>
          <w:highlight w:val="none"/>
        </w:rPr>
        <w:t>检查方舱拓展舱体是否可以正常收展，</w:t>
      </w:r>
      <w:r>
        <w:rPr>
          <w:rFonts w:hint="default" w:ascii="Times New Roman" w:hAnsi="Times New Roman" w:eastAsia="宋体" w:cs="Times New Roman"/>
          <w:b w:val="0"/>
          <w:bCs/>
          <w:color w:val="000000"/>
          <w:sz w:val="21"/>
          <w:szCs w:val="21"/>
          <w:highlight w:val="none"/>
        </w:rPr>
        <w:t>舱体升降装置运行是否正常</w:t>
      </w:r>
      <w:r>
        <w:rPr>
          <w:rFonts w:hint="default" w:ascii="Times New Roman" w:hAnsi="Times New Roman" w:eastAsia="宋体" w:cs="Times New Roman"/>
          <w:b w:val="0"/>
          <w:bCs/>
          <w:sz w:val="21"/>
          <w:szCs w:val="21"/>
          <w:highlight w:val="none"/>
        </w:rPr>
        <w:t>。（如有连续采样需求，此项检查内容可不开展）</w:t>
      </w:r>
    </w:p>
    <w:p w14:paraId="76071D9A">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3.9半年度巡检和运维</w:t>
      </w:r>
    </w:p>
    <w:p w14:paraId="06D30EB6">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（1）维护保养采样泵，检查采气流速，并酌情更换泵膜校准仪器；</w:t>
      </w:r>
    </w:p>
    <w:p w14:paraId="6D5794D4">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（2）检查并维护采气管路；</w:t>
      </w:r>
    </w:p>
    <w:p w14:paraId="0F64FEC8">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（3）调整各个管路、固定结构螺丝松紧度；</w:t>
      </w:r>
    </w:p>
    <w:p w14:paraId="60E8863D">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（4）如果有电涌保护器，进行维护检查；</w:t>
      </w:r>
    </w:p>
    <w:p w14:paraId="7BFA6479">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（5）清理垃圾杂物，如果积水严重及时挖通排水。</w:t>
      </w:r>
    </w:p>
    <w:p w14:paraId="75149B07">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3.10年度巡检和运维</w:t>
      </w:r>
    </w:p>
    <w:p w14:paraId="2C38E4AA">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（1）检查维护</w:t>
      </w:r>
      <w:r>
        <w:rPr>
          <w:rFonts w:hint="default" w:ascii="Times New Roman" w:hAnsi="Times New Roman" w:eastAsia="宋体" w:cs="Times New Roman"/>
          <w:color w:val="000000"/>
          <w:highlight w:val="none"/>
        </w:rPr>
        <w:t>气体总采样管系统</w:t>
      </w:r>
      <w:r>
        <w:rPr>
          <w:rFonts w:hint="default" w:ascii="Times New Roman" w:hAnsi="Times New Roman" w:eastAsia="宋体" w:cs="Times New Roman"/>
          <w:bCs/>
          <w:szCs w:val="21"/>
          <w:highlight w:val="none"/>
        </w:rPr>
        <w:t>，更换抽气泵等配件；</w:t>
      </w:r>
    </w:p>
    <w:p w14:paraId="7B6D2143">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（2）对</w:t>
      </w:r>
      <w:r>
        <w:rPr>
          <w:rFonts w:hint="default" w:ascii="Times New Roman" w:hAnsi="Times New Roman" w:eastAsia="宋体" w:cs="Times New Roman"/>
          <w:bCs/>
          <w:color w:val="000000"/>
          <w:szCs w:val="21"/>
          <w:highlight w:val="none"/>
        </w:rPr>
        <w:t>预制安装仪器采样口进行</w:t>
      </w:r>
      <w:r>
        <w:rPr>
          <w:rFonts w:hint="default" w:ascii="Times New Roman" w:hAnsi="Times New Roman" w:eastAsia="宋体" w:cs="Times New Roman"/>
          <w:bCs/>
          <w:szCs w:val="21"/>
          <w:highlight w:val="none"/>
        </w:rPr>
        <w:t>检查，确保装置能够被随时取用；</w:t>
      </w:r>
    </w:p>
    <w:p w14:paraId="6E210070">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（3）对</w:t>
      </w:r>
      <w:r>
        <w:rPr>
          <w:rFonts w:hint="default" w:ascii="Times New Roman" w:hAnsi="Times New Roman" w:eastAsia="宋体" w:cs="Times New Roman"/>
          <w:color w:val="000000"/>
          <w:highlight w:val="none"/>
        </w:rPr>
        <w:t>动态稀释加湿配气系统进行校准；</w:t>
      </w:r>
    </w:p>
    <w:p w14:paraId="5C415F35">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（4）检查整套系统气体管路连接，检查气密性；</w:t>
      </w:r>
    </w:p>
    <w:p w14:paraId="2EA29559">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（5）检查整套系统电源连接，检查电源线路；</w:t>
      </w:r>
    </w:p>
    <w:p w14:paraId="18823C30">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（6）安全性检查，包括防雷、供电、气体安全等检查，对电池进行年度维护保养；</w:t>
      </w:r>
    </w:p>
    <w:p w14:paraId="216EFF83">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bCs/>
          <w:szCs w:val="21"/>
          <w:highlight w:val="none"/>
        </w:rPr>
        <w:t>（7）对方舱拓展舱体、</w:t>
      </w:r>
      <w:r>
        <w:rPr>
          <w:rFonts w:hint="default" w:ascii="Times New Roman" w:hAnsi="Times New Roman" w:eastAsia="宋体" w:cs="Times New Roman"/>
          <w:color w:val="000000"/>
          <w:highlight w:val="none"/>
        </w:rPr>
        <w:t>舱体升降装置进行结构性加固维护。</w:t>
      </w:r>
    </w:p>
    <w:p w14:paraId="5BB9B3C9">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3.11临时巡检和运维</w:t>
      </w:r>
    </w:p>
    <w:p w14:paraId="44EF7A09">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当遇到灾害性天气（例如台风、暴雨、大雪、冰雹等）来临前，需要做好站点的抗灾防护工作。如有必要征得委托方同意后，予以方舱系统关机，避免危险。当灾害性天气过后，及时到站点检查情况，并把设备恢复正常；</w:t>
      </w:r>
    </w:p>
    <w:p w14:paraId="244A157A">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（2）当遇到特殊情况（如沙尘暴等），需要及时检查和清洗采样装置，对采样系统进行清障；</w:t>
      </w:r>
    </w:p>
    <w:p w14:paraId="25A0332F">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bCs/>
          <w:szCs w:val="21"/>
          <w:highlight w:val="none"/>
        </w:rPr>
        <w:t>（3）当遇到考核和参观等服务需求时，及时响应，配合委托方做好相应的工作。</w:t>
      </w:r>
    </w:p>
    <w:p w14:paraId="04D70A8B">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3.12 重金属监测仪运维服务</w:t>
      </w:r>
    </w:p>
    <w:p w14:paraId="30E68D9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3.12.1技术运维要求</w:t>
      </w:r>
    </w:p>
    <w:p w14:paraId="721BD785">
      <w:pPr>
        <w:pageBreakBefore w:val="0"/>
        <w:kinsoku/>
        <w:wordWrap/>
        <w:overflowPunct/>
        <w:topLinePunct w:val="0"/>
        <w:bidi w:val="0"/>
        <w:spacing w:line="360" w:lineRule="auto"/>
        <w:ind w:firstLine="412" w:firstLineChars="200"/>
        <w:rPr>
          <w:rFonts w:hint="default" w:ascii="Times New Roman" w:hAnsi="Times New Roman" w:eastAsia="宋体" w:cs="Times New Roman"/>
          <w:szCs w:val="21"/>
          <w:highlight w:val="none"/>
        </w:rPr>
      </w:pP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日</w:t>
      </w:r>
      <w:r>
        <w:rPr>
          <w:rFonts w:hint="default" w:ascii="Times New Roman" w:hAnsi="Times New Roman" w:eastAsia="宋体" w:cs="Times New Roman"/>
          <w:spacing w:val="-2"/>
          <w:position w:val="-1"/>
          <w:szCs w:val="21"/>
          <w:highlight w:val="none"/>
        </w:rPr>
        <w:t>监</w:t>
      </w:r>
      <w:r>
        <w:rPr>
          <w:rFonts w:hint="default" w:ascii="Times New Roman" w:hAnsi="Times New Roman" w:eastAsia="宋体" w:cs="Times New Roman"/>
          <w:position w:val="-1"/>
          <w:szCs w:val="21"/>
          <w:highlight w:val="none"/>
        </w:rPr>
        <w:t>控</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容：</w:t>
      </w:r>
      <w:r>
        <w:rPr>
          <w:rFonts w:hint="default" w:ascii="Times New Roman" w:hAnsi="Times New Roman" w:eastAsia="宋体" w:cs="Times New Roman"/>
          <w:szCs w:val="21"/>
          <w:highlight w:val="none"/>
        </w:rPr>
        <w:t>检</w:t>
      </w:r>
      <w:r>
        <w:rPr>
          <w:rFonts w:hint="default" w:ascii="Times New Roman" w:hAnsi="Times New Roman" w:eastAsia="宋体" w:cs="Times New Roman"/>
          <w:spacing w:val="-2"/>
          <w:szCs w:val="21"/>
          <w:highlight w:val="none"/>
        </w:rPr>
        <w:t>查</w:t>
      </w:r>
      <w:r>
        <w:rPr>
          <w:rFonts w:hint="default" w:ascii="Times New Roman" w:hAnsi="Times New Roman" w:eastAsia="宋体" w:cs="Times New Roman"/>
          <w:szCs w:val="21"/>
          <w:highlight w:val="none"/>
        </w:rPr>
        <w:t>仪</w:t>
      </w:r>
      <w:r>
        <w:rPr>
          <w:rFonts w:hint="default" w:ascii="Times New Roman" w:hAnsi="Times New Roman" w:eastAsia="宋体" w:cs="Times New Roman"/>
          <w:spacing w:val="-2"/>
          <w:szCs w:val="21"/>
          <w:highlight w:val="none"/>
        </w:rPr>
        <w:t>器</w:t>
      </w:r>
      <w:r>
        <w:rPr>
          <w:rFonts w:hint="default" w:ascii="Times New Roman" w:hAnsi="Times New Roman" w:eastAsia="宋体" w:cs="Times New Roman"/>
          <w:szCs w:val="21"/>
          <w:highlight w:val="none"/>
        </w:rPr>
        <w:t>运</w:t>
      </w:r>
      <w:r>
        <w:rPr>
          <w:rFonts w:hint="default" w:ascii="Times New Roman" w:hAnsi="Times New Roman" w:eastAsia="宋体" w:cs="Times New Roman"/>
          <w:spacing w:val="-2"/>
          <w:szCs w:val="21"/>
          <w:highlight w:val="none"/>
        </w:rPr>
        <w:t>行</w:t>
      </w:r>
      <w:r>
        <w:rPr>
          <w:rFonts w:hint="default" w:ascii="Times New Roman" w:hAnsi="Times New Roman" w:eastAsia="宋体" w:cs="Times New Roman"/>
          <w:szCs w:val="21"/>
          <w:highlight w:val="none"/>
        </w:rPr>
        <w:t>状</w:t>
      </w:r>
      <w:r>
        <w:rPr>
          <w:rFonts w:hint="default" w:ascii="Times New Roman" w:hAnsi="Times New Roman" w:eastAsia="宋体" w:cs="Times New Roman"/>
          <w:spacing w:val="-2"/>
          <w:szCs w:val="21"/>
          <w:highlight w:val="none"/>
        </w:rPr>
        <w:t>态</w:t>
      </w:r>
      <w:r>
        <w:rPr>
          <w:rFonts w:hint="default" w:ascii="Times New Roman" w:hAnsi="Times New Roman" w:eastAsia="宋体" w:cs="Times New Roman"/>
          <w:spacing w:val="-12"/>
          <w:szCs w:val="21"/>
          <w:highlight w:val="none"/>
        </w:rPr>
        <w:t>，</w:t>
      </w:r>
      <w:r>
        <w:rPr>
          <w:rFonts w:hint="default" w:ascii="Times New Roman" w:hAnsi="Times New Roman" w:eastAsia="宋体" w:cs="Times New Roman"/>
          <w:szCs w:val="21"/>
          <w:highlight w:val="none"/>
        </w:rPr>
        <w:t>包括</w:t>
      </w:r>
      <w:r>
        <w:rPr>
          <w:rFonts w:hint="default" w:ascii="Times New Roman" w:hAnsi="Times New Roman" w:eastAsia="宋体" w:cs="Times New Roman"/>
          <w:spacing w:val="-2"/>
          <w:szCs w:val="21"/>
          <w:highlight w:val="none"/>
        </w:rPr>
        <w:t>采</w:t>
      </w:r>
      <w:r>
        <w:rPr>
          <w:rFonts w:hint="default" w:ascii="Times New Roman" w:hAnsi="Times New Roman" w:eastAsia="宋体" w:cs="Times New Roman"/>
          <w:szCs w:val="21"/>
          <w:highlight w:val="none"/>
        </w:rPr>
        <w:t>样</w:t>
      </w:r>
      <w:r>
        <w:rPr>
          <w:rFonts w:hint="default" w:ascii="Times New Roman" w:hAnsi="Times New Roman" w:eastAsia="宋体" w:cs="Times New Roman"/>
          <w:spacing w:val="-2"/>
          <w:szCs w:val="21"/>
          <w:highlight w:val="none"/>
        </w:rPr>
        <w:t>流</w:t>
      </w:r>
      <w:r>
        <w:rPr>
          <w:rFonts w:hint="default" w:ascii="Times New Roman" w:hAnsi="Times New Roman" w:eastAsia="宋体" w:cs="Times New Roman"/>
          <w:szCs w:val="21"/>
          <w:highlight w:val="none"/>
        </w:rPr>
        <w:t>量</w:t>
      </w:r>
      <w:r>
        <w:rPr>
          <w:rFonts w:hint="default" w:ascii="Times New Roman" w:hAnsi="Times New Roman" w:eastAsia="宋体" w:cs="Times New Roman"/>
          <w:spacing w:val="-12"/>
          <w:szCs w:val="21"/>
          <w:highlight w:val="none"/>
        </w:rPr>
        <w:t>、</w:t>
      </w:r>
      <w:r>
        <w:rPr>
          <w:rFonts w:hint="default" w:ascii="Times New Roman" w:hAnsi="Times New Roman" w:eastAsia="宋体" w:cs="Times New Roman"/>
          <w:szCs w:val="21"/>
          <w:highlight w:val="none"/>
        </w:rPr>
        <w:t>环</w:t>
      </w:r>
      <w:r>
        <w:rPr>
          <w:rFonts w:hint="default" w:ascii="Times New Roman" w:hAnsi="Times New Roman" w:eastAsia="宋体" w:cs="Times New Roman"/>
          <w:spacing w:val="-2"/>
          <w:szCs w:val="21"/>
          <w:highlight w:val="none"/>
        </w:rPr>
        <w:t>境</w:t>
      </w:r>
      <w:r>
        <w:rPr>
          <w:rFonts w:hint="default" w:ascii="Times New Roman" w:hAnsi="Times New Roman" w:eastAsia="宋体" w:cs="Times New Roman"/>
          <w:szCs w:val="21"/>
          <w:highlight w:val="none"/>
        </w:rPr>
        <w:t>压</w:t>
      </w:r>
      <w:r>
        <w:rPr>
          <w:rFonts w:hint="default" w:ascii="Times New Roman" w:hAnsi="Times New Roman" w:eastAsia="宋体" w:cs="Times New Roman"/>
          <w:spacing w:val="-2"/>
          <w:szCs w:val="21"/>
          <w:highlight w:val="none"/>
        </w:rPr>
        <w:t>力</w:t>
      </w:r>
      <w:r>
        <w:rPr>
          <w:rFonts w:hint="default" w:ascii="Times New Roman" w:hAnsi="Times New Roman" w:eastAsia="宋体" w:cs="Times New Roman"/>
          <w:spacing w:val="-10"/>
          <w:szCs w:val="21"/>
          <w:highlight w:val="none"/>
        </w:rPr>
        <w:t>、</w:t>
      </w:r>
      <w:r>
        <w:rPr>
          <w:rFonts w:hint="default" w:ascii="Times New Roman" w:hAnsi="Times New Roman" w:eastAsia="宋体" w:cs="Times New Roman"/>
          <w:szCs w:val="21"/>
          <w:highlight w:val="none"/>
        </w:rPr>
        <w:t>环</w:t>
      </w:r>
      <w:r>
        <w:rPr>
          <w:rFonts w:hint="default" w:ascii="Times New Roman" w:hAnsi="Times New Roman" w:eastAsia="宋体" w:cs="Times New Roman"/>
          <w:spacing w:val="-2"/>
          <w:szCs w:val="21"/>
          <w:highlight w:val="none"/>
        </w:rPr>
        <w:t>境</w:t>
      </w:r>
      <w:r>
        <w:rPr>
          <w:rFonts w:hint="default" w:ascii="Times New Roman" w:hAnsi="Times New Roman" w:eastAsia="宋体" w:cs="Times New Roman"/>
          <w:szCs w:val="21"/>
          <w:highlight w:val="none"/>
        </w:rPr>
        <w:t>温</w:t>
      </w:r>
      <w:r>
        <w:rPr>
          <w:rFonts w:hint="default" w:ascii="Times New Roman" w:hAnsi="Times New Roman" w:eastAsia="宋体" w:cs="Times New Roman"/>
          <w:spacing w:val="-2"/>
          <w:szCs w:val="21"/>
          <w:highlight w:val="none"/>
        </w:rPr>
        <w:t>度</w:t>
      </w:r>
      <w:r>
        <w:rPr>
          <w:rFonts w:hint="default" w:ascii="Times New Roman" w:hAnsi="Times New Roman" w:eastAsia="宋体" w:cs="Times New Roman"/>
          <w:spacing w:val="-9"/>
          <w:szCs w:val="21"/>
          <w:highlight w:val="none"/>
        </w:rPr>
        <w:t>、</w:t>
      </w:r>
      <w:r>
        <w:rPr>
          <w:rFonts w:hint="default" w:ascii="Times New Roman" w:hAnsi="Times New Roman" w:eastAsia="宋体" w:cs="Times New Roman"/>
          <w:w w:val="75"/>
          <w:szCs w:val="21"/>
          <w:highlight w:val="none"/>
        </w:rPr>
        <w:t>X</w:t>
      </w:r>
      <w:r>
        <w:rPr>
          <w:rFonts w:hint="default" w:ascii="Times New Roman" w:hAnsi="Times New Roman" w:eastAsia="宋体" w:cs="Times New Roman"/>
          <w:spacing w:val="-8"/>
          <w:szCs w:val="21"/>
          <w:highlight w:val="none"/>
        </w:rPr>
        <w:t xml:space="preserve"> </w:t>
      </w:r>
      <w:r>
        <w:rPr>
          <w:rFonts w:hint="default" w:ascii="Times New Roman" w:hAnsi="Times New Roman" w:eastAsia="宋体" w:cs="Times New Roman"/>
          <w:szCs w:val="21"/>
          <w:highlight w:val="none"/>
        </w:rPr>
        <w:t>射</w:t>
      </w:r>
      <w:r>
        <w:rPr>
          <w:rFonts w:hint="default" w:ascii="Times New Roman" w:hAnsi="Times New Roman" w:eastAsia="宋体" w:cs="Times New Roman"/>
          <w:spacing w:val="-2"/>
          <w:szCs w:val="21"/>
          <w:highlight w:val="none"/>
        </w:rPr>
        <w:t>线</w:t>
      </w:r>
      <w:r>
        <w:rPr>
          <w:rFonts w:hint="default" w:ascii="Times New Roman" w:hAnsi="Times New Roman" w:eastAsia="宋体" w:cs="Times New Roman"/>
          <w:szCs w:val="21"/>
          <w:highlight w:val="none"/>
        </w:rPr>
        <w:t>管</w:t>
      </w:r>
      <w:r>
        <w:rPr>
          <w:rFonts w:hint="default" w:ascii="Times New Roman" w:hAnsi="Times New Roman" w:eastAsia="宋体" w:cs="Times New Roman"/>
          <w:spacing w:val="-2"/>
          <w:szCs w:val="21"/>
          <w:highlight w:val="none"/>
        </w:rPr>
        <w:t>温度</w:t>
      </w:r>
      <w:r>
        <w:rPr>
          <w:rFonts w:hint="default" w:ascii="Times New Roman" w:hAnsi="Times New Roman" w:eastAsia="宋体" w:cs="Times New Roman"/>
          <w:szCs w:val="21"/>
          <w:highlight w:val="none"/>
        </w:rPr>
        <w:t>等是</w:t>
      </w:r>
      <w:r>
        <w:rPr>
          <w:rFonts w:hint="default" w:ascii="Times New Roman" w:hAnsi="Times New Roman" w:eastAsia="宋体" w:cs="Times New Roman"/>
          <w:spacing w:val="-2"/>
          <w:szCs w:val="21"/>
          <w:highlight w:val="none"/>
        </w:rPr>
        <w:t>否</w:t>
      </w:r>
      <w:r>
        <w:rPr>
          <w:rFonts w:hint="default" w:ascii="Times New Roman" w:hAnsi="Times New Roman" w:eastAsia="宋体" w:cs="Times New Roman"/>
          <w:szCs w:val="21"/>
          <w:highlight w:val="none"/>
        </w:rPr>
        <w:t>正</w:t>
      </w:r>
      <w:r>
        <w:rPr>
          <w:rFonts w:hint="default" w:ascii="Times New Roman" w:hAnsi="Times New Roman" w:eastAsia="宋体" w:cs="Times New Roman"/>
          <w:spacing w:val="-2"/>
          <w:szCs w:val="21"/>
          <w:highlight w:val="none"/>
        </w:rPr>
        <w:t>常</w:t>
      </w:r>
      <w:r>
        <w:rPr>
          <w:rFonts w:hint="default" w:ascii="Times New Roman" w:hAnsi="Times New Roman" w:eastAsia="宋体" w:cs="Times New Roman"/>
          <w:spacing w:val="-10"/>
          <w:szCs w:val="21"/>
          <w:highlight w:val="none"/>
        </w:rPr>
        <w:t>，</w:t>
      </w:r>
      <w:r>
        <w:rPr>
          <w:rFonts w:hint="default" w:ascii="Times New Roman" w:hAnsi="Times New Roman" w:eastAsia="宋体" w:cs="Times New Roman"/>
          <w:spacing w:val="-2"/>
          <w:szCs w:val="21"/>
          <w:highlight w:val="none"/>
        </w:rPr>
        <w:t>仪</w:t>
      </w:r>
      <w:r>
        <w:rPr>
          <w:rFonts w:hint="default" w:ascii="Times New Roman" w:hAnsi="Times New Roman" w:eastAsia="宋体" w:cs="Times New Roman"/>
          <w:szCs w:val="21"/>
          <w:highlight w:val="none"/>
        </w:rPr>
        <w:t>器报 警及</w:t>
      </w:r>
      <w:r>
        <w:rPr>
          <w:rFonts w:hint="default" w:ascii="Times New Roman" w:hAnsi="Times New Roman" w:eastAsia="宋体" w:cs="Times New Roman"/>
          <w:spacing w:val="-2"/>
          <w:szCs w:val="21"/>
          <w:highlight w:val="none"/>
        </w:rPr>
        <w:t>时</w:t>
      </w:r>
      <w:r>
        <w:rPr>
          <w:rFonts w:hint="default" w:ascii="Times New Roman" w:hAnsi="Times New Roman" w:eastAsia="宋体" w:cs="Times New Roman"/>
          <w:szCs w:val="21"/>
          <w:highlight w:val="none"/>
        </w:rPr>
        <w:t>处</w:t>
      </w:r>
      <w:r>
        <w:rPr>
          <w:rFonts w:hint="default" w:ascii="Times New Roman" w:hAnsi="Times New Roman" w:eastAsia="宋体" w:cs="Times New Roman"/>
          <w:spacing w:val="-2"/>
          <w:szCs w:val="21"/>
          <w:highlight w:val="none"/>
        </w:rPr>
        <w:t>理</w:t>
      </w:r>
      <w:r>
        <w:rPr>
          <w:rFonts w:hint="default" w:ascii="Times New Roman" w:hAnsi="Times New Roman" w:eastAsia="宋体" w:cs="Times New Roman"/>
          <w:szCs w:val="21"/>
          <w:highlight w:val="none"/>
        </w:rPr>
        <w:t>。</w:t>
      </w:r>
    </w:p>
    <w:p w14:paraId="4A928BA1">
      <w:pPr>
        <w:pageBreakBefore w:val="0"/>
        <w:kinsoku/>
        <w:wordWrap/>
        <w:overflowPunct/>
        <w:topLinePunct w:val="0"/>
        <w:bidi w:val="0"/>
        <w:spacing w:line="360" w:lineRule="auto"/>
        <w:ind w:firstLine="412" w:firstLineChars="200"/>
        <w:rPr>
          <w:rFonts w:hint="default" w:ascii="Times New Roman" w:hAnsi="Times New Roman" w:eastAsia="宋体" w:cs="Times New Roman"/>
          <w:szCs w:val="21"/>
          <w:highlight w:val="none"/>
        </w:rPr>
      </w:pP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周</w:t>
      </w:r>
      <w:r>
        <w:rPr>
          <w:rFonts w:hint="default" w:ascii="Times New Roman" w:hAnsi="Times New Roman" w:eastAsia="宋体" w:cs="Times New Roman"/>
          <w:spacing w:val="-2"/>
          <w:position w:val="-1"/>
          <w:szCs w:val="21"/>
          <w:highlight w:val="none"/>
        </w:rPr>
        <w:t>维</w:t>
      </w:r>
      <w:r>
        <w:rPr>
          <w:rFonts w:hint="default" w:ascii="Times New Roman" w:hAnsi="Times New Roman" w:eastAsia="宋体" w:cs="Times New Roman"/>
          <w:position w:val="-1"/>
          <w:szCs w:val="21"/>
          <w:highlight w:val="none"/>
        </w:rPr>
        <w:t>护</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容：</w:t>
      </w:r>
    </w:p>
    <w:p w14:paraId="777A3B7B">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每</w:t>
      </w:r>
      <w:r>
        <w:rPr>
          <w:rFonts w:hint="default" w:ascii="Times New Roman" w:hAnsi="Times New Roman" w:eastAsia="宋体" w:cs="Times New Roman"/>
          <w:spacing w:val="-2"/>
          <w:position w:val="-1"/>
          <w:szCs w:val="21"/>
          <w:highlight w:val="none"/>
        </w:rPr>
        <w:t>周</w:t>
      </w:r>
      <w:r>
        <w:rPr>
          <w:rFonts w:hint="default" w:ascii="Times New Roman" w:hAnsi="Times New Roman" w:eastAsia="宋体" w:cs="Times New Roman"/>
          <w:position w:val="-1"/>
          <w:szCs w:val="21"/>
          <w:highlight w:val="none"/>
        </w:rPr>
        <w:t>至</w:t>
      </w:r>
      <w:r>
        <w:rPr>
          <w:rFonts w:hint="default" w:ascii="Times New Roman" w:hAnsi="Times New Roman" w:eastAsia="宋体" w:cs="Times New Roman"/>
          <w:spacing w:val="-2"/>
          <w:position w:val="-1"/>
          <w:szCs w:val="21"/>
          <w:highlight w:val="none"/>
        </w:rPr>
        <w:t>少</w:t>
      </w:r>
      <w:r>
        <w:rPr>
          <w:rFonts w:hint="default" w:ascii="Times New Roman" w:hAnsi="Times New Roman" w:eastAsia="宋体" w:cs="Times New Roman"/>
          <w:position w:val="-1"/>
          <w:szCs w:val="21"/>
          <w:highlight w:val="none"/>
        </w:rPr>
        <w:t>一</w:t>
      </w:r>
      <w:r>
        <w:rPr>
          <w:rFonts w:hint="default" w:ascii="Times New Roman" w:hAnsi="Times New Roman" w:eastAsia="宋体" w:cs="Times New Roman"/>
          <w:spacing w:val="-2"/>
          <w:position w:val="-1"/>
          <w:szCs w:val="21"/>
          <w:highlight w:val="none"/>
        </w:rPr>
        <w:t>次</w:t>
      </w:r>
      <w:r>
        <w:rPr>
          <w:rFonts w:hint="default" w:ascii="Times New Roman" w:hAnsi="Times New Roman" w:eastAsia="宋体" w:cs="Times New Roman"/>
          <w:position w:val="-1"/>
          <w:szCs w:val="21"/>
          <w:highlight w:val="none"/>
        </w:rPr>
        <w:t>现</w:t>
      </w:r>
      <w:r>
        <w:rPr>
          <w:rFonts w:hint="default" w:ascii="Times New Roman" w:hAnsi="Times New Roman" w:eastAsia="宋体" w:cs="Times New Roman"/>
          <w:spacing w:val="-2"/>
          <w:position w:val="-1"/>
          <w:szCs w:val="21"/>
          <w:highlight w:val="none"/>
        </w:rPr>
        <w:t>场巡</w:t>
      </w:r>
      <w:r>
        <w:rPr>
          <w:rFonts w:hint="default" w:ascii="Times New Roman" w:hAnsi="Times New Roman" w:eastAsia="宋体" w:cs="Times New Roman"/>
          <w:position w:val="-1"/>
          <w:szCs w:val="21"/>
          <w:highlight w:val="none"/>
        </w:rPr>
        <w:t>查，</w:t>
      </w:r>
      <w:r>
        <w:rPr>
          <w:rFonts w:hint="default" w:ascii="Times New Roman" w:hAnsi="Times New Roman" w:eastAsia="宋体" w:cs="Times New Roman"/>
          <w:spacing w:val="-2"/>
          <w:position w:val="-1"/>
          <w:szCs w:val="21"/>
          <w:highlight w:val="none"/>
        </w:rPr>
        <w:t>检</w:t>
      </w:r>
      <w:r>
        <w:rPr>
          <w:rFonts w:hint="default" w:ascii="Times New Roman" w:hAnsi="Times New Roman" w:eastAsia="宋体" w:cs="Times New Roman"/>
          <w:position w:val="-1"/>
          <w:szCs w:val="21"/>
          <w:highlight w:val="none"/>
        </w:rPr>
        <w:t>查</w:t>
      </w:r>
      <w:r>
        <w:rPr>
          <w:rFonts w:hint="default" w:ascii="Times New Roman" w:hAnsi="Times New Roman" w:eastAsia="宋体" w:cs="Times New Roman"/>
          <w:spacing w:val="-2"/>
          <w:position w:val="-1"/>
          <w:szCs w:val="21"/>
          <w:highlight w:val="none"/>
        </w:rPr>
        <w:t>仪</w:t>
      </w:r>
      <w:r>
        <w:rPr>
          <w:rFonts w:hint="default" w:ascii="Times New Roman" w:hAnsi="Times New Roman" w:eastAsia="宋体" w:cs="Times New Roman"/>
          <w:position w:val="-1"/>
          <w:szCs w:val="21"/>
          <w:highlight w:val="none"/>
        </w:rPr>
        <w:t>器</w:t>
      </w:r>
      <w:r>
        <w:rPr>
          <w:rFonts w:hint="default" w:ascii="Times New Roman" w:hAnsi="Times New Roman" w:eastAsia="宋体" w:cs="Times New Roman"/>
          <w:spacing w:val="-2"/>
          <w:position w:val="-1"/>
          <w:szCs w:val="21"/>
          <w:highlight w:val="none"/>
        </w:rPr>
        <w:t>运</w:t>
      </w:r>
      <w:r>
        <w:rPr>
          <w:rFonts w:hint="default" w:ascii="Times New Roman" w:hAnsi="Times New Roman" w:eastAsia="宋体" w:cs="Times New Roman"/>
          <w:position w:val="-1"/>
          <w:szCs w:val="21"/>
          <w:highlight w:val="none"/>
        </w:rPr>
        <w:t>行</w:t>
      </w:r>
      <w:r>
        <w:rPr>
          <w:rFonts w:hint="default" w:ascii="Times New Roman" w:hAnsi="Times New Roman" w:eastAsia="宋体" w:cs="Times New Roman"/>
          <w:spacing w:val="-2"/>
          <w:position w:val="-1"/>
          <w:szCs w:val="21"/>
          <w:highlight w:val="none"/>
        </w:rPr>
        <w:t>状</w:t>
      </w:r>
      <w:r>
        <w:rPr>
          <w:rFonts w:hint="default" w:ascii="Times New Roman" w:hAnsi="Times New Roman" w:eastAsia="宋体" w:cs="Times New Roman"/>
          <w:position w:val="-1"/>
          <w:szCs w:val="21"/>
          <w:highlight w:val="none"/>
        </w:rPr>
        <w:t>态。</w:t>
      </w:r>
    </w:p>
    <w:p w14:paraId="035AA16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每</w:t>
      </w:r>
      <w:r>
        <w:rPr>
          <w:rFonts w:hint="default" w:ascii="Times New Roman" w:hAnsi="Times New Roman" w:eastAsia="宋体" w:cs="Times New Roman"/>
          <w:spacing w:val="-2"/>
          <w:position w:val="-1"/>
          <w:szCs w:val="21"/>
          <w:highlight w:val="none"/>
        </w:rPr>
        <w:t>周</w:t>
      </w:r>
      <w:r>
        <w:rPr>
          <w:rFonts w:hint="default" w:ascii="Times New Roman" w:hAnsi="Times New Roman" w:eastAsia="宋体" w:cs="Times New Roman"/>
          <w:position w:val="-1"/>
          <w:szCs w:val="21"/>
          <w:highlight w:val="none"/>
        </w:rPr>
        <w:t>检</w:t>
      </w:r>
      <w:r>
        <w:rPr>
          <w:rFonts w:hint="default" w:ascii="Times New Roman" w:hAnsi="Times New Roman" w:eastAsia="宋体" w:cs="Times New Roman"/>
          <w:spacing w:val="-2"/>
          <w:position w:val="-1"/>
          <w:szCs w:val="21"/>
          <w:highlight w:val="none"/>
        </w:rPr>
        <w:t>查</w:t>
      </w:r>
      <w:r>
        <w:rPr>
          <w:rFonts w:hint="default" w:ascii="Times New Roman" w:hAnsi="Times New Roman" w:eastAsia="宋体" w:cs="Times New Roman"/>
          <w:position w:val="-1"/>
          <w:szCs w:val="21"/>
          <w:highlight w:val="none"/>
        </w:rPr>
        <w:t>户</w:t>
      </w:r>
      <w:r>
        <w:rPr>
          <w:rFonts w:hint="default" w:ascii="Times New Roman" w:hAnsi="Times New Roman" w:eastAsia="宋体" w:cs="Times New Roman"/>
          <w:spacing w:val="-2"/>
          <w:position w:val="-1"/>
          <w:szCs w:val="21"/>
          <w:highlight w:val="none"/>
        </w:rPr>
        <w:t>外</w:t>
      </w:r>
      <w:r>
        <w:rPr>
          <w:rFonts w:hint="default" w:ascii="Times New Roman" w:hAnsi="Times New Roman" w:eastAsia="宋体" w:cs="Times New Roman"/>
          <w:position w:val="-1"/>
          <w:szCs w:val="21"/>
          <w:highlight w:val="none"/>
        </w:rPr>
        <w:t>滤</w:t>
      </w:r>
      <w:r>
        <w:rPr>
          <w:rFonts w:hint="default" w:ascii="Times New Roman" w:hAnsi="Times New Roman" w:eastAsia="宋体" w:cs="Times New Roman"/>
          <w:spacing w:val="-2"/>
          <w:position w:val="-1"/>
          <w:szCs w:val="21"/>
          <w:highlight w:val="none"/>
        </w:rPr>
        <w:t>水杯</w:t>
      </w:r>
      <w:r>
        <w:rPr>
          <w:rFonts w:hint="default" w:ascii="Times New Roman" w:hAnsi="Times New Roman" w:eastAsia="宋体" w:cs="Times New Roman"/>
          <w:position w:val="-1"/>
          <w:szCs w:val="21"/>
          <w:highlight w:val="none"/>
        </w:rPr>
        <w:t>积水</w:t>
      </w:r>
      <w:r>
        <w:rPr>
          <w:rFonts w:hint="default" w:ascii="Times New Roman" w:hAnsi="Times New Roman" w:eastAsia="宋体" w:cs="Times New Roman"/>
          <w:spacing w:val="-2"/>
          <w:position w:val="-1"/>
          <w:szCs w:val="21"/>
          <w:highlight w:val="none"/>
        </w:rPr>
        <w:t>情</w:t>
      </w:r>
      <w:r>
        <w:rPr>
          <w:rFonts w:hint="default" w:ascii="Times New Roman" w:hAnsi="Times New Roman" w:eastAsia="宋体" w:cs="Times New Roman"/>
          <w:position w:val="-1"/>
          <w:szCs w:val="21"/>
          <w:highlight w:val="none"/>
        </w:rPr>
        <w:t>况</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风</w:t>
      </w:r>
      <w:r>
        <w:rPr>
          <w:rFonts w:hint="default" w:ascii="Times New Roman" w:hAnsi="Times New Roman" w:eastAsia="宋体" w:cs="Times New Roman"/>
          <w:spacing w:val="-2"/>
          <w:position w:val="-1"/>
          <w:szCs w:val="21"/>
          <w:highlight w:val="none"/>
        </w:rPr>
        <w:t>扇</w:t>
      </w:r>
      <w:r>
        <w:rPr>
          <w:rFonts w:hint="default" w:ascii="Times New Roman" w:hAnsi="Times New Roman" w:eastAsia="宋体" w:cs="Times New Roman"/>
          <w:position w:val="-1"/>
          <w:szCs w:val="21"/>
          <w:highlight w:val="none"/>
        </w:rPr>
        <w:t>滤</w:t>
      </w:r>
      <w:r>
        <w:rPr>
          <w:rFonts w:hint="default" w:ascii="Times New Roman" w:hAnsi="Times New Roman" w:eastAsia="宋体" w:cs="Times New Roman"/>
          <w:spacing w:val="-2"/>
          <w:position w:val="-1"/>
          <w:szCs w:val="21"/>
          <w:highlight w:val="none"/>
        </w:rPr>
        <w:t>网</w:t>
      </w:r>
      <w:r>
        <w:rPr>
          <w:rFonts w:hint="default" w:ascii="Times New Roman" w:hAnsi="Times New Roman" w:eastAsia="宋体" w:cs="Times New Roman"/>
          <w:position w:val="-1"/>
          <w:szCs w:val="21"/>
          <w:highlight w:val="none"/>
        </w:rPr>
        <w:t>积</w:t>
      </w:r>
      <w:r>
        <w:rPr>
          <w:rFonts w:hint="default" w:ascii="Times New Roman" w:hAnsi="Times New Roman" w:eastAsia="宋体" w:cs="Times New Roman"/>
          <w:spacing w:val="-2"/>
          <w:position w:val="-1"/>
          <w:szCs w:val="21"/>
          <w:highlight w:val="none"/>
        </w:rPr>
        <w:t>尘</w:t>
      </w:r>
      <w:r>
        <w:rPr>
          <w:rFonts w:hint="default" w:ascii="Times New Roman" w:hAnsi="Times New Roman" w:eastAsia="宋体" w:cs="Times New Roman"/>
          <w:position w:val="-1"/>
          <w:szCs w:val="21"/>
          <w:highlight w:val="none"/>
        </w:rPr>
        <w:t>情况</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采</w:t>
      </w:r>
      <w:r>
        <w:rPr>
          <w:rFonts w:hint="default" w:ascii="Times New Roman" w:hAnsi="Times New Roman" w:eastAsia="宋体" w:cs="Times New Roman"/>
          <w:spacing w:val="-2"/>
          <w:position w:val="-1"/>
          <w:szCs w:val="21"/>
          <w:highlight w:val="none"/>
        </w:rPr>
        <w:t>样</w:t>
      </w:r>
      <w:r>
        <w:rPr>
          <w:rFonts w:hint="default" w:ascii="Times New Roman" w:hAnsi="Times New Roman" w:eastAsia="宋体" w:cs="Times New Roman"/>
          <w:position w:val="-1"/>
          <w:szCs w:val="21"/>
          <w:highlight w:val="none"/>
        </w:rPr>
        <w:t>管</w:t>
      </w:r>
      <w:r>
        <w:rPr>
          <w:rFonts w:hint="default" w:ascii="Times New Roman" w:hAnsi="Times New Roman" w:eastAsia="宋体" w:cs="Times New Roman"/>
          <w:spacing w:val="-2"/>
          <w:position w:val="-1"/>
          <w:szCs w:val="21"/>
          <w:highlight w:val="none"/>
        </w:rPr>
        <w:t>加</w:t>
      </w:r>
      <w:r>
        <w:rPr>
          <w:rFonts w:hint="default" w:ascii="Times New Roman" w:hAnsi="Times New Roman" w:eastAsia="宋体" w:cs="Times New Roman"/>
          <w:position w:val="-1"/>
          <w:szCs w:val="21"/>
          <w:highlight w:val="none"/>
        </w:rPr>
        <w:t>热</w:t>
      </w:r>
      <w:r>
        <w:rPr>
          <w:rFonts w:hint="default" w:ascii="Times New Roman" w:hAnsi="Times New Roman" w:eastAsia="宋体" w:cs="Times New Roman"/>
          <w:spacing w:val="-2"/>
          <w:position w:val="-1"/>
          <w:szCs w:val="21"/>
          <w:highlight w:val="none"/>
        </w:rPr>
        <w:t>器</w:t>
      </w:r>
      <w:r>
        <w:rPr>
          <w:rFonts w:hint="default" w:ascii="Times New Roman" w:hAnsi="Times New Roman" w:eastAsia="宋体" w:cs="Times New Roman"/>
          <w:position w:val="-1"/>
          <w:szCs w:val="21"/>
          <w:highlight w:val="none"/>
        </w:rPr>
        <w:t>和</w:t>
      </w:r>
      <w:r>
        <w:rPr>
          <w:rFonts w:hint="default" w:ascii="Times New Roman" w:hAnsi="Times New Roman" w:eastAsia="宋体" w:cs="Times New Roman"/>
          <w:spacing w:val="-2"/>
          <w:position w:val="-1"/>
          <w:szCs w:val="21"/>
          <w:highlight w:val="none"/>
        </w:rPr>
        <w:t>采</w:t>
      </w:r>
      <w:r>
        <w:rPr>
          <w:rFonts w:hint="default" w:ascii="Times New Roman" w:hAnsi="Times New Roman" w:eastAsia="宋体" w:cs="Times New Roman"/>
          <w:position w:val="-1"/>
          <w:szCs w:val="21"/>
          <w:highlight w:val="none"/>
        </w:rPr>
        <w:t>样泵</w:t>
      </w:r>
      <w:r>
        <w:rPr>
          <w:rFonts w:hint="default" w:ascii="Times New Roman" w:hAnsi="Times New Roman" w:eastAsia="宋体" w:cs="Times New Roman"/>
          <w:spacing w:val="-2"/>
          <w:position w:val="-1"/>
          <w:szCs w:val="21"/>
          <w:highlight w:val="none"/>
        </w:rPr>
        <w:t>工</w:t>
      </w:r>
      <w:r>
        <w:rPr>
          <w:rFonts w:hint="default" w:ascii="Times New Roman" w:hAnsi="Times New Roman" w:eastAsia="宋体" w:cs="Times New Roman"/>
          <w:position w:val="-1"/>
          <w:szCs w:val="21"/>
          <w:highlight w:val="none"/>
        </w:rPr>
        <w:t>作</w:t>
      </w:r>
      <w:r>
        <w:rPr>
          <w:rFonts w:hint="default" w:ascii="Times New Roman" w:hAnsi="Times New Roman" w:eastAsia="宋体" w:cs="Times New Roman"/>
          <w:spacing w:val="-2"/>
          <w:position w:val="-1"/>
          <w:szCs w:val="21"/>
          <w:highlight w:val="none"/>
        </w:rPr>
        <w:t>状</w:t>
      </w:r>
      <w:r>
        <w:rPr>
          <w:rFonts w:hint="default" w:ascii="Times New Roman" w:hAnsi="Times New Roman" w:eastAsia="宋体" w:cs="Times New Roman"/>
          <w:position w:val="-1"/>
          <w:szCs w:val="21"/>
          <w:highlight w:val="none"/>
        </w:rPr>
        <w:t>态。</w:t>
      </w:r>
    </w:p>
    <w:p w14:paraId="57BCFD3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应</w:t>
      </w:r>
      <w:r>
        <w:rPr>
          <w:rFonts w:hint="default" w:ascii="Times New Roman" w:hAnsi="Times New Roman" w:eastAsia="宋体" w:cs="Times New Roman"/>
          <w:spacing w:val="-2"/>
          <w:position w:val="-1"/>
          <w:szCs w:val="21"/>
          <w:highlight w:val="none"/>
        </w:rPr>
        <w:t>及</w:t>
      </w:r>
      <w:r>
        <w:rPr>
          <w:rFonts w:hint="default" w:ascii="Times New Roman" w:hAnsi="Times New Roman" w:eastAsia="宋体" w:cs="Times New Roman"/>
          <w:position w:val="-1"/>
          <w:szCs w:val="21"/>
          <w:highlight w:val="none"/>
        </w:rPr>
        <w:t>时</w:t>
      </w:r>
      <w:r>
        <w:rPr>
          <w:rFonts w:hint="default" w:ascii="Times New Roman" w:hAnsi="Times New Roman" w:eastAsia="宋体" w:cs="Times New Roman"/>
          <w:spacing w:val="-2"/>
          <w:position w:val="-1"/>
          <w:szCs w:val="21"/>
          <w:highlight w:val="none"/>
        </w:rPr>
        <w:t>清</w:t>
      </w:r>
      <w:r>
        <w:rPr>
          <w:rFonts w:hint="default" w:ascii="Times New Roman" w:hAnsi="Times New Roman" w:eastAsia="宋体" w:cs="Times New Roman"/>
          <w:position w:val="-1"/>
          <w:szCs w:val="21"/>
          <w:highlight w:val="none"/>
        </w:rPr>
        <w:t>空</w:t>
      </w:r>
      <w:r>
        <w:rPr>
          <w:rFonts w:hint="default" w:ascii="Times New Roman" w:hAnsi="Times New Roman" w:eastAsia="宋体" w:cs="Times New Roman"/>
          <w:spacing w:val="-2"/>
          <w:position w:val="-1"/>
          <w:szCs w:val="21"/>
          <w:highlight w:val="none"/>
        </w:rPr>
        <w:t>冷</w:t>
      </w:r>
      <w:r>
        <w:rPr>
          <w:rFonts w:hint="default" w:ascii="Times New Roman" w:hAnsi="Times New Roman" w:eastAsia="宋体" w:cs="Times New Roman"/>
          <w:position w:val="-1"/>
          <w:szCs w:val="21"/>
          <w:highlight w:val="none"/>
        </w:rPr>
        <w:t>风</w:t>
      </w:r>
      <w:r>
        <w:rPr>
          <w:rFonts w:hint="default" w:ascii="Times New Roman" w:hAnsi="Times New Roman" w:eastAsia="宋体" w:cs="Times New Roman"/>
          <w:spacing w:val="-2"/>
          <w:position w:val="-1"/>
          <w:szCs w:val="21"/>
          <w:highlight w:val="none"/>
        </w:rPr>
        <w:t>机储</w:t>
      </w:r>
      <w:r>
        <w:rPr>
          <w:rFonts w:hint="default" w:ascii="Times New Roman" w:hAnsi="Times New Roman" w:eastAsia="宋体" w:cs="Times New Roman"/>
          <w:position w:val="-1"/>
          <w:szCs w:val="21"/>
          <w:highlight w:val="none"/>
        </w:rPr>
        <w:t>水箱。</w:t>
      </w:r>
    </w:p>
    <w:p w14:paraId="579BDBDD">
      <w:pPr>
        <w:pageBreakBefore w:val="0"/>
        <w:kinsoku/>
        <w:wordWrap/>
        <w:overflowPunct/>
        <w:topLinePunct w:val="0"/>
        <w:bidi w:val="0"/>
        <w:spacing w:line="360" w:lineRule="auto"/>
        <w:ind w:firstLine="412" w:firstLineChars="200"/>
        <w:rPr>
          <w:rFonts w:hint="default" w:ascii="Times New Roman" w:hAnsi="Times New Roman" w:eastAsia="宋体" w:cs="Times New Roman"/>
          <w:szCs w:val="21"/>
          <w:highlight w:val="none"/>
        </w:rPr>
      </w:pP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月</w:t>
      </w:r>
      <w:r>
        <w:rPr>
          <w:rFonts w:hint="default" w:ascii="Times New Roman" w:hAnsi="Times New Roman" w:eastAsia="宋体" w:cs="Times New Roman"/>
          <w:spacing w:val="-2"/>
          <w:position w:val="-1"/>
          <w:szCs w:val="21"/>
          <w:highlight w:val="none"/>
        </w:rPr>
        <w:t>维</w:t>
      </w:r>
      <w:r>
        <w:rPr>
          <w:rFonts w:hint="default" w:ascii="Times New Roman" w:hAnsi="Times New Roman" w:eastAsia="宋体" w:cs="Times New Roman"/>
          <w:position w:val="-1"/>
          <w:szCs w:val="21"/>
          <w:highlight w:val="none"/>
        </w:rPr>
        <w:t>护</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容：</w:t>
      </w:r>
    </w:p>
    <w:p w14:paraId="2D5D4A23">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每</w:t>
      </w:r>
      <w:r>
        <w:rPr>
          <w:rFonts w:hint="default" w:ascii="Times New Roman" w:hAnsi="Times New Roman" w:eastAsia="宋体" w:cs="Times New Roman"/>
          <w:spacing w:val="-2"/>
          <w:position w:val="-1"/>
          <w:szCs w:val="21"/>
          <w:highlight w:val="none"/>
        </w:rPr>
        <w:t>月</w:t>
      </w:r>
      <w:r>
        <w:rPr>
          <w:rFonts w:hint="default" w:ascii="Times New Roman" w:hAnsi="Times New Roman" w:eastAsia="宋体" w:cs="Times New Roman"/>
          <w:position w:val="-1"/>
          <w:szCs w:val="21"/>
          <w:highlight w:val="none"/>
        </w:rPr>
        <w:t>对</w:t>
      </w:r>
      <w:r>
        <w:rPr>
          <w:rFonts w:hint="default" w:ascii="Times New Roman" w:hAnsi="Times New Roman" w:eastAsia="宋体" w:cs="Times New Roman"/>
          <w:spacing w:val="-2"/>
          <w:position w:val="-1"/>
          <w:szCs w:val="21"/>
          <w:highlight w:val="none"/>
        </w:rPr>
        <w:t>仪</w:t>
      </w:r>
      <w:r>
        <w:rPr>
          <w:rFonts w:hint="default" w:ascii="Times New Roman" w:hAnsi="Times New Roman" w:eastAsia="宋体" w:cs="Times New Roman"/>
          <w:position w:val="-1"/>
          <w:szCs w:val="21"/>
          <w:highlight w:val="none"/>
        </w:rPr>
        <w:t>器</w:t>
      </w:r>
      <w:r>
        <w:rPr>
          <w:rFonts w:hint="default" w:ascii="Times New Roman" w:hAnsi="Times New Roman" w:eastAsia="宋体" w:cs="Times New Roman"/>
          <w:spacing w:val="-2"/>
          <w:position w:val="-1"/>
          <w:szCs w:val="21"/>
          <w:highlight w:val="none"/>
        </w:rPr>
        <w:t>散</w:t>
      </w:r>
      <w:r>
        <w:rPr>
          <w:rFonts w:hint="default" w:ascii="Times New Roman" w:hAnsi="Times New Roman" w:eastAsia="宋体" w:cs="Times New Roman"/>
          <w:position w:val="-1"/>
          <w:szCs w:val="21"/>
          <w:highlight w:val="none"/>
        </w:rPr>
        <w:t>热</w:t>
      </w:r>
      <w:r>
        <w:rPr>
          <w:rFonts w:hint="default" w:ascii="Times New Roman" w:hAnsi="Times New Roman" w:eastAsia="宋体" w:cs="Times New Roman"/>
          <w:spacing w:val="-2"/>
          <w:position w:val="-1"/>
          <w:szCs w:val="21"/>
          <w:highlight w:val="none"/>
        </w:rPr>
        <w:t>风扇</w:t>
      </w:r>
      <w:r>
        <w:rPr>
          <w:rFonts w:hint="default" w:ascii="Times New Roman" w:hAnsi="Times New Roman" w:eastAsia="宋体" w:cs="Times New Roman"/>
          <w:position w:val="-1"/>
          <w:szCs w:val="21"/>
          <w:highlight w:val="none"/>
        </w:rPr>
        <w:t>过滤</w:t>
      </w:r>
      <w:r>
        <w:rPr>
          <w:rFonts w:hint="default" w:ascii="Times New Roman" w:hAnsi="Times New Roman" w:eastAsia="宋体" w:cs="Times New Roman"/>
          <w:spacing w:val="-2"/>
          <w:position w:val="-1"/>
          <w:szCs w:val="21"/>
          <w:highlight w:val="none"/>
        </w:rPr>
        <w:t>网</w:t>
      </w:r>
      <w:r>
        <w:rPr>
          <w:rFonts w:hint="default" w:ascii="Times New Roman" w:hAnsi="Times New Roman" w:eastAsia="宋体" w:cs="Times New Roman"/>
          <w:position w:val="-1"/>
          <w:szCs w:val="21"/>
          <w:highlight w:val="none"/>
        </w:rPr>
        <w:t>进</w:t>
      </w:r>
      <w:r>
        <w:rPr>
          <w:rFonts w:hint="default" w:ascii="Times New Roman" w:hAnsi="Times New Roman" w:eastAsia="宋体" w:cs="Times New Roman"/>
          <w:spacing w:val="-2"/>
          <w:position w:val="-1"/>
          <w:szCs w:val="21"/>
          <w:highlight w:val="none"/>
        </w:rPr>
        <w:t>行</w:t>
      </w:r>
      <w:r>
        <w:rPr>
          <w:rFonts w:hint="default" w:ascii="Times New Roman" w:hAnsi="Times New Roman" w:eastAsia="宋体" w:cs="Times New Roman"/>
          <w:position w:val="-1"/>
          <w:szCs w:val="21"/>
          <w:highlight w:val="none"/>
        </w:rPr>
        <w:t>清</w:t>
      </w:r>
      <w:r>
        <w:rPr>
          <w:rFonts w:hint="default" w:ascii="Times New Roman" w:hAnsi="Times New Roman" w:eastAsia="宋体" w:cs="Times New Roman"/>
          <w:spacing w:val="-2"/>
          <w:position w:val="-1"/>
          <w:szCs w:val="21"/>
          <w:highlight w:val="none"/>
        </w:rPr>
        <w:t>洗</w:t>
      </w:r>
      <w:r>
        <w:rPr>
          <w:rFonts w:hint="default" w:ascii="Times New Roman" w:hAnsi="Times New Roman" w:eastAsia="宋体" w:cs="Times New Roman"/>
          <w:position w:val="-1"/>
          <w:szCs w:val="21"/>
          <w:highlight w:val="none"/>
        </w:rPr>
        <w:t>。</w:t>
      </w:r>
    </w:p>
    <w:p w14:paraId="7495E579">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每</w:t>
      </w:r>
      <w:r>
        <w:rPr>
          <w:rFonts w:hint="default" w:ascii="Times New Roman" w:hAnsi="Times New Roman" w:eastAsia="宋体" w:cs="Times New Roman"/>
          <w:spacing w:val="-2"/>
          <w:position w:val="-1"/>
          <w:szCs w:val="21"/>
          <w:highlight w:val="none"/>
        </w:rPr>
        <w:t>月</w:t>
      </w:r>
      <w:r>
        <w:rPr>
          <w:rFonts w:hint="default" w:ascii="Times New Roman" w:hAnsi="Times New Roman" w:eastAsia="宋体" w:cs="Times New Roman"/>
          <w:position w:val="-1"/>
          <w:szCs w:val="21"/>
          <w:highlight w:val="none"/>
        </w:rPr>
        <w:t>检</w:t>
      </w:r>
      <w:r>
        <w:rPr>
          <w:rFonts w:hint="default" w:ascii="Times New Roman" w:hAnsi="Times New Roman" w:eastAsia="宋体" w:cs="Times New Roman"/>
          <w:spacing w:val="-2"/>
          <w:position w:val="-1"/>
          <w:szCs w:val="21"/>
          <w:highlight w:val="none"/>
        </w:rPr>
        <w:t>查</w:t>
      </w:r>
      <w:r>
        <w:rPr>
          <w:rFonts w:hint="default" w:ascii="Times New Roman" w:hAnsi="Times New Roman" w:eastAsia="宋体" w:cs="Times New Roman"/>
          <w:position w:val="-1"/>
          <w:szCs w:val="21"/>
          <w:highlight w:val="none"/>
        </w:rPr>
        <w:t>冷</w:t>
      </w:r>
      <w:r>
        <w:rPr>
          <w:rFonts w:hint="default" w:ascii="Times New Roman" w:hAnsi="Times New Roman" w:eastAsia="宋体" w:cs="Times New Roman"/>
          <w:spacing w:val="-2"/>
          <w:position w:val="-1"/>
          <w:szCs w:val="21"/>
          <w:highlight w:val="none"/>
        </w:rPr>
        <w:t>风</w:t>
      </w:r>
      <w:r>
        <w:rPr>
          <w:rFonts w:hint="default" w:ascii="Times New Roman" w:hAnsi="Times New Roman" w:eastAsia="宋体" w:cs="Times New Roman"/>
          <w:position w:val="-1"/>
          <w:szCs w:val="21"/>
          <w:highlight w:val="none"/>
        </w:rPr>
        <w:t>机</w:t>
      </w:r>
      <w:r>
        <w:rPr>
          <w:rFonts w:hint="default" w:ascii="Times New Roman" w:hAnsi="Times New Roman" w:eastAsia="宋体" w:cs="Times New Roman"/>
          <w:spacing w:val="-2"/>
          <w:position w:val="-1"/>
          <w:szCs w:val="21"/>
          <w:highlight w:val="none"/>
        </w:rPr>
        <w:t>排风</w:t>
      </w:r>
      <w:r>
        <w:rPr>
          <w:rFonts w:hint="default" w:ascii="Times New Roman" w:hAnsi="Times New Roman" w:eastAsia="宋体" w:cs="Times New Roman"/>
          <w:position w:val="-1"/>
          <w:szCs w:val="21"/>
          <w:highlight w:val="none"/>
        </w:rPr>
        <w:t>扇或</w:t>
      </w:r>
      <w:r>
        <w:rPr>
          <w:rFonts w:hint="default" w:ascii="Times New Roman" w:hAnsi="Times New Roman" w:eastAsia="宋体" w:cs="Times New Roman"/>
          <w:spacing w:val="-2"/>
          <w:position w:val="-1"/>
          <w:szCs w:val="21"/>
          <w:highlight w:val="none"/>
        </w:rPr>
        <w:t>过</w:t>
      </w:r>
      <w:r>
        <w:rPr>
          <w:rFonts w:hint="default" w:ascii="Times New Roman" w:hAnsi="Times New Roman" w:eastAsia="宋体" w:cs="Times New Roman"/>
          <w:position w:val="-1"/>
          <w:szCs w:val="21"/>
          <w:highlight w:val="none"/>
        </w:rPr>
        <w:t>滤</w:t>
      </w:r>
      <w:r>
        <w:rPr>
          <w:rFonts w:hint="default" w:ascii="Times New Roman" w:hAnsi="Times New Roman" w:eastAsia="宋体" w:cs="Times New Roman"/>
          <w:spacing w:val="-2"/>
          <w:position w:val="-1"/>
          <w:szCs w:val="21"/>
          <w:highlight w:val="none"/>
        </w:rPr>
        <w:t>器</w:t>
      </w:r>
      <w:r>
        <w:rPr>
          <w:rFonts w:hint="default" w:ascii="Times New Roman" w:hAnsi="Times New Roman" w:eastAsia="宋体" w:cs="Times New Roman"/>
          <w:position w:val="-1"/>
          <w:szCs w:val="21"/>
          <w:highlight w:val="none"/>
        </w:rPr>
        <w:t>，</w:t>
      </w:r>
      <w:r>
        <w:rPr>
          <w:rFonts w:hint="default" w:ascii="Times New Roman" w:hAnsi="Times New Roman" w:eastAsia="宋体" w:cs="Times New Roman"/>
          <w:spacing w:val="-2"/>
          <w:position w:val="-1"/>
          <w:szCs w:val="21"/>
          <w:highlight w:val="none"/>
        </w:rPr>
        <w:t>防</w:t>
      </w:r>
      <w:r>
        <w:rPr>
          <w:rFonts w:hint="default" w:ascii="Times New Roman" w:hAnsi="Times New Roman" w:eastAsia="宋体" w:cs="Times New Roman"/>
          <w:position w:val="-1"/>
          <w:szCs w:val="21"/>
          <w:highlight w:val="none"/>
        </w:rPr>
        <w:t>止</w:t>
      </w:r>
      <w:r>
        <w:rPr>
          <w:rFonts w:hint="default" w:ascii="Times New Roman" w:hAnsi="Times New Roman" w:eastAsia="宋体" w:cs="Times New Roman"/>
          <w:spacing w:val="-2"/>
          <w:position w:val="-1"/>
          <w:szCs w:val="21"/>
          <w:highlight w:val="none"/>
        </w:rPr>
        <w:t>堵</w:t>
      </w:r>
      <w:r>
        <w:rPr>
          <w:rFonts w:hint="default" w:ascii="Times New Roman" w:hAnsi="Times New Roman" w:eastAsia="宋体" w:cs="Times New Roman"/>
          <w:position w:val="-1"/>
          <w:szCs w:val="21"/>
          <w:highlight w:val="none"/>
        </w:rPr>
        <w:t>塞。</w:t>
      </w:r>
    </w:p>
    <w:p w14:paraId="7888F300">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检</w:t>
      </w:r>
      <w:r>
        <w:rPr>
          <w:rFonts w:hint="default" w:ascii="Times New Roman" w:hAnsi="Times New Roman" w:eastAsia="宋体" w:cs="Times New Roman"/>
          <w:spacing w:val="-2"/>
          <w:szCs w:val="21"/>
          <w:highlight w:val="none"/>
        </w:rPr>
        <w:t>查</w:t>
      </w:r>
      <w:r>
        <w:rPr>
          <w:rFonts w:hint="default" w:ascii="Times New Roman" w:hAnsi="Times New Roman" w:eastAsia="宋体" w:cs="Times New Roman"/>
          <w:szCs w:val="21"/>
          <w:highlight w:val="none"/>
        </w:rPr>
        <w:t>纸</w:t>
      </w:r>
      <w:r>
        <w:rPr>
          <w:rFonts w:hint="default" w:ascii="Times New Roman" w:hAnsi="Times New Roman" w:eastAsia="宋体" w:cs="Times New Roman"/>
          <w:spacing w:val="-2"/>
          <w:szCs w:val="21"/>
          <w:highlight w:val="none"/>
        </w:rPr>
        <w:t>带</w:t>
      </w:r>
      <w:r>
        <w:rPr>
          <w:rFonts w:hint="default" w:ascii="Times New Roman" w:hAnsi="Times New Roman" w:eastAsia="宋体" w:cs="Times New Roman"/>
          <w:szCs w:val="21"/>
          <w:highlight w:val="none"/>
        </w:rPr>
        <w:t>位</w:t>
      </w:r>
      <w:r>
        <w:rPr>
          <w:rFonts w:hint="default" w:ascii="Times New Roman" w:hAnsi="Times New Roman" w:eastAsia="宋体" w:cs="Times New Roman"/>
          <w:spacing w:val="-2"/>
          <w:szCs w:val="21"/>
          <w:highlight w:val="none"/>
        </w:rPr>
        <w:t>置</w:t>
      </w:r>
      <w:r>
        <w:rPr>
          <w:rFonts w:hint="default" w:ascii="Times New Roman" w:hAnsi="Times New Roman" w:eastAsia="宋体" w:cs="Times New Roman"/>
          <w:szCs w:val="21"/>
          <w:highlight w:val="none"/>
        </w:rPr>
        <w:t>是</w:t>
      </w:r>
      <w:r>
        <w:rPr>
          <w:rFonts w:hint="default" w:ascii="Times New Roman" w:hAnsi="Times New Roman" w:eastAsia="宋体" w:cs="Times New Roman"/>
          <w:spacing w:val="-2"/>
          <w:szCs w:val="21"/>
          <w:highlight w:val="none"/>
        </w:rPr>
        <w:t>否正</w:t>
      </w:r>
      <w:r>
        <w:rPr>
          <w:rFonts w:hint="default" w:ascii="Times New Roman" w:hAnsi="Times New Roman" w:eastAsia="宋体" w:cs="Times New Roman"/>
          <w:szCs w:val="21"/>
          <w:highlight w:val="none"/>
        </w:rPr>
        <w:t>常</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采</w:t>
      </w:r>
      <w:r>
        <w:rPr>
          <w:rFonts w:hint="default" w:ascii="Times New Roman" w:hAnsi="Times New Roman" w:eastAsia="宋体" w:cs="Times New Roman"/>
          <w:spacing w:val="-2"/>
          <w:szCs w:val="21"/>
          <w:highlight w:val="none"/>
        </w:rPr>
        <w:t>样</w:t>
      </w:r>
      <w:r>
        <w:rPr>
          <w:rFonts w:hint="default" w:ascii="Times New Roman" w:hAnsi="Times New Roman" w:eastAsia="宋体" w:cs="Times New Roman"/>
          <w:szCs w:val="21"/>
          <w:highlight w:val="none"/>
        </w:rPr>
        <w:t>斑</w:t>
      </w:r>
      <w:r>
        <w:rPr>
          <w:rFonts w:hint="default" w:ascii="Times New Roman" w:hAnsi="Times New Roman" w:eastAsia="宋体" w:cs="Times New Roman"/>
          <w:spacing w:val="-2"/>
          <w:szCs w:val="21"/>
          <w:highlight w:val="none"/>
        </w:rPr>
        <w:t>点</w:t>
      </w:r>
      <w:r>
        <w:rPr>
          <w:rFonts w:hint="default" w:ascii="Times New Roman" w:hAnsi="Times New Roman" w:eastAsia="宋体" w:cs="Times New Roman"/>
          <w:szCs w:val="21"/>
          <w:highlight w:val="none"/>
        </w:rPr>
        <w:t>是</w:t>
      </w:r>
      <w:r>
        <w:rPr>
          <w:rFonts w:hint="default" w:ascii="Times New Roman" w:hAnsi="Times New Roman" w:eastAsia="宋体" w:cs="Times New Roman"/>
          <w:spacing w:val="-2"/>
          <w:szCs w:val="21"/>
          <w:highlight w:val="none"/>
        </w:rPr>
        <w:t>否</w:t>
      </w:r>
      <w:r>
        <w:rPr>
          <w:rFonts w:hint="default" w:ascii="Times New Roman" w:hAnsi="Times New Roman" w:eastAsia="宋体" w:cs="Times New Roman"/>
          <w:szCs w:val="21"/>
          <w:highlight w:val="none"/>
        </w:rPr>
        <w:t>圆</w:t>
      </w:r>
      <w:r>
        <w:rPr>
          <w:rFonts w:hint="default" w:ascii="Times New Roman" w:hAnsi="Times New Roman" w:eastAsia="宋体" w:cs="Times New Roman"/>
          <w:spacing w:val="-2"/>
          <w:szCs w:val="21"/>
          <w:highlight w:val="none"/>
        </w:rPr>
        <w:t>滑（</w:t>
      </w:r>
      <w:r>
        <w:rPr>
          <w:rFonts w:hint="default" w:ascii="Times New Roman" w:hAnsi="Times New Roman" w:eastAsia="宋体" w:cs="Times New Roman"/>
          <w:szCs w:val="21"/>
          <w:highlight w:val="none"/>
        </w:rPr>
        <w:t>边界</w:t>
      </w:r>
      <w:r>
        <w:rPr>
          <w:rFonts w:hint="default" w:ascii="Times New Roman" w:hAnsi="Times New Roman" w:eastAsia="宋体" w:cs="Times New Roman"/>
          <w:spacing w:val="-2"/>
          <w:szCs w:val="21"/>
          <w:highlight w:val="none"/>
        </w:rPr>
        <w:t>清</w:t>
      </w:r>
      <w:r>
        <w:rPr>
          <w:rFonts w:hint="default" w:ascii="Times New Roman" w:hAnsi="Times New Roman" w:eastAsia="宋体" w:cs="Times New Roman"/>
          <w:szCs w:val="21"/>
          <w:highlight w:val="none"/>
        </w:rPr>
        <w:t>晰</w:t>
      </w:r>
      <w:r>
        <w:rPr>
          <w:rFonts w:hint="default" w:ascii="Times New Roman" w:hAnsi="Times New Roman" w:eastAsia="宋体" w:cs="Times New Roman"/>
          <w:spacing w:val="-108"/>
          <w:szCs w:val="21"/>
          <w:highlight w:val="none"/>
        </w:rPr>
        <w:t>）</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均匀</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完</w:t>
      </w:r>
      <w:r>
        <w:rPr>
          <w:rFonts w:hint="default" w:ascii="Times New Roman" w:hAnsi="Times New Roman" w:eastAsia="宋体" w:cs="Times New Roman"/>
          <w:szCs w:val="21"/>
          <w:highlight w:val="none"/>
        </w:rPr>
        <w:t>整</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及时</w:t>
      </w:r>
      <w:r>
        <w:rPr>
          <w:rFonts w:hint="default" w:ascii="Times New Roman" w:hAnsi="Times New Roman" w:eastAsia="宋体" w:cs="Times New Roman"/>
          <w:spacing w:val="-2"/>
          <w:szCs w:val="21"/>
          <w:highlight w:val="none"/>
        </w:rPr>
        <w:t>更</w:t>
      </w:r>
      <w:r>
        <w:rPr>
          <w:rFonts w:hint="default" w:ascii="Times New Roman" w:hAnsi="Times New Roman" w:eastAsia="宋体" w:cs="Times New Roman"/>
          <w:szCs w:val="21"/>
          <w:highlight w:val="none"/>
        </w:rPr>
        <w:t>换</w:t>
      </w:r>
      <w:r>
        <w:rPr>
          <w:rFonts w:hint="default" w:ascii="Times New Roman" w:hAnsi="Times New Roman" w:eastAsia="宋体" w:cs="Times New Roman"/>
          <w:spacing w:val="-2"/>
          <w:szCs w:val="21"/>
          <w:highlight w:val="none"/>
        </w:rPr>
        <w:t>纸带</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应</w:t>
      </w:r>
      <w:r>
        <w:rPr>
          <w:rFonts w:hint="default" w:ascii="Times New Roman" w:hAnsi="Times New Roman" w:eastAsia="宋体" w:cs="Times New Roman"/>
          <w:szCs w:val="21"/>
          <w:highlight w:val="none"/>
        </w:rPr>
        <w:t>佩戴丁</w:t>
      </w:r>
      <w:r>
        <w:rPr>
          <w:rFonts w:hint="default" w:ascii="Times New Roman" w:hAnsi="Times New Roman" w:eastAsia="宋体" w:cs="Times New Roman"/>
          <w:spacing w:val="-2"/>
          <w:szCs w:val="21"/>
          <w:highlight w:val="none"/>
        </w:rPr>
        <w:t>腈</w:t>
      </w:r>
      <w:r>
        <w:rPr>
          <w:rFonts w:hint="default" w:ascii="Times New Roman" w:hAnsi="Times New Roman" w:eastAsia="宋体" w:cs="Times New Roman"/>
          <w:szCs w:val="21"/>
          <w:highlight w:val="none"/>
        </w:rPr>
        <w:t>手</w:t>
      </w:r>
      <w:r>
        <w:rPr>
          <w:rFonts w:hint="default" w:ascii="Times New Roman" w:hAnsi="Times New Roman" w:eastAsia="宋体" w:cs="Times New Roman"/>
          <w:spacing w:val="-2"/>
          <w:szCs w:val="21"/>
          <w:highlight w:val="none"/>
        </w:rPr>
        <w:t>套</w:t>
      </w:r>
      <w:r>
        <w:rPr>
          <w:rFonts w:hint="default" w:ascii="Times New Roman" w:hAnsi="Times New Roman" w:eastAsia="宋体" w:cs="Times New Roman"/>
          <w:spacing w:val="-106"/>
          <w:szCs w:val="21"/>
          <w:highlight w:val="none"/>
        </w:rPr>
        <w:t>）</w:t>
      </w:r>
      <w:r>
        <w:rPr>
          <w:rFonts w:hint="default" w:ascii="Times New Roman" w:hAnsi="Times New Roman" w:eastAsia="宋体" w:cs="Times New Roman"/>
          <w:szCs w:val="21"/>
          <w:highlight w:val="none"/>
        </w:rPr>
        <w:t>）。</w:t>
      </w:r>
    </w:p>
    <w:p w14:paraId="1F001B0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每</w:t>
      </w:r>
      <w:r>
        <w:rPr>
          <w:rFonts w:hint="default" w:ascii="Times New Roman" w:hAnsi="Times New Roman" w:eastAsia="宋体" w:cs="Times New Roman"/>
          <w:spacing w:val="-2"/>
          <w:position w:val="-1"/>
          <w:szCs w:val="21"/>
          <w:highlight w:val="none"/>
        </w:rPr>
        <w:t>月</w:t>
      </w:r>
      <w:r>
        <w:rPr>
          <w:rFonts w:hint="default" w:ascii="Times New Roman" w:hAnsi="Times New Roman" w:eastAsia="宋体" w:cs="Times New Roman"/>
          <w:position w:val="-1"/>
          <w:szCs w:val="21"/>
          <w:highlight w:val="none"/>
        </w:rPr>
        <w:t>至</w:t>
      </w:r>
      <w:r>
        <w:rPr>
          <w:rFonts w:hint="default" w:ascii="Times New Roman" w:hAnsi="Times New Roman" w:eastAsia="宋体" w:cs="Times New Roman"/>
          <w:spacing w:val="-2"/>
          <w:position w:val="-1"/>
          <w:szCs w:val="21"/>
          <w:highlight w:val="none"/>
        </w:rPr>
        <w:t>少</w:t>
      </w:r>
      <w:r>
        <w:rPr>
          <w:rFonts w:hint="default" w:ascii="Times New Roman" w:hAnsi="Times New Roman" w:eastAsia="宋体" w:cs="Times New Roman"/>
          <w:position w:val="-1"/>
          <w:szCs w:val="21"/>
          <w:highlight w:val="none"/>
        </w:rPr>
        <w:t>清</w:t>
      </w:r>
      <w:r>
        <w:rPr>
          <w:rFonts w:hint="default" w:ascii="Times New Roman" w:hAnsi="Times New Roman" w:eastAsia="宋体" w:cs="Times New Roman"/>
          <w:spacing w:val="-2"/>
          <w:position w:val="-1"/>
          <w:szCs w:val="21"/>
          <w:highlight w:val="none"/>
        </w:rPr>
        <w:t>洁</w:t>
      </w:r>
      <w:r>
        <w:rPr>
          <w:rFonts w:hint="default" w:ascii="Times New Roman" w:hAnsi="Times New Roman" w:eastAsia="宋体" w:cs="Times New Roman"/>
          <w:position w:val="-1"/>
          <w:szCs w:val="21"/>
          <w:highlight w:val="none"/>
        </w:rPr>
        <w:t>一</w:t>
      </w:r>
      <w:r>
        <w:rPr>
          <w:rFonts w:hint="default" w:ascii="Times New Roman" w:hAnsi="Times New Roman" w:eastAsia="宋体" w:cs="Times New Roman"/>
          <w:spacing w:val="-2"/>
          <w:position w:val="-1"/>
          <w:szCs w:val="21"/>
          <w:highlight w:val="none"/>
        </w:rPr>
        <w:t>次采</w:t>
      </w:r>
      <w:r>
        <w:rPr>
          <w:rFonts w:hint="default" w:ascii="Times New Roman" w:hAnsi="Times New Roman" w:eastAsia="宋体" w:cs="Times New Roman"/>
          <w:position w:val="-1"/>
          <w:szCs w:val="21"/>
          <w:highlight w:val="none"/>
        </w:rPr>
        <w:t>样头</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户</w:t>
      </w:r>
      <w:r>
        <w:rPr>
          <w:rFonts w:hint="default" w:ascii="Times New Roman" w:hAnsi="Times New Roman" w:eastAsia="宋体" w:cs="Times New Roman"/>
          <w:spacing w:val="-2"/>
          <w:position w:val="-1"/>
          <w:szCs w:val="21"/>
          <w:highlight w:val="none"/>
        </w:rPr>
        <w:t>外</w:t>
      </w:r>
      <w:r>
        <w:rPr>
          <w:rFonts w:hint="default" w:ascii="Times New Roman" w:hAnsi="Times New Roman" w:eastAsia="宋体" w:cs="Times New Roman"/>
          <w:position w:val="-1"/>
          <w:szCs w:val="21"/>
          <w:highlight w:val="none"/>
        </w:rPr>
        <w:t>传</w:t>
      </w:r>
      <w:r>
        <w:rPr>
          <w:rFonts w:hint="default" w:ascii="Times New Roman" w:hAnsi="Times New Roman" w:eastAsia="宋体" w:cs="Times New Roman"/>
          <w:spacing w:val="-2"/>
          <w:position w:val="-1"/>
          <w:szCs w:val="21"/>
          <w:highlight w:val="none"/>
        </w:rPr>
        <w:t>感</w:t>
      </w:r>
      <w:r>
        <w:rPr>
          <w:rFonts w:hint="default" w:ascii="Times New Roman" w:hAnsi="Times New Roman" w:eastAsia="宋体" w:cs="Times New Roman"/>
          <w:position w:val="-1"/>
          <w:szCs w:val="21"/>
          <w:highlight w:val="none"/>
        </w:rPr>
        <w:t>器</w:t>
      </w:r>
      <w:r>
        <w:rPr>
          <w:rFonts w:hint="default" w:ascii="Times New Roman" w:hAnsi="Times New Roman" w:eastAsia="宋体" w:cs="Times New Roman"/>
          <w:spacing w:val="-2"/>
          <w:position w:val="-1"/>
          <w:szCs w:val="21"/>
          <w:highlight w:val="none"/>
        </w:rPr>
        <w:t>与</w:t>
      </w:r>
      <w:r>
        <w:rPr>
          <w:rFonts w:hint="default" w:ascii="Times New Roman" w:hAnsi="Times New Roman" w:eastAsia="宋体" w:cs="Times New Roman"/>
          <w:position w:val="-1"/>
          <w:szCs w:val="21"/>
          <w:highlight w:val="none"/>
        </w:rPr>
        <w:t>测</w:t>
      </w:r>
      <w:r>
        <w:rPr>
          <w:rFonts w:hint="default" w:ascii="Times New Roman" w:hAnsi="Times New Roman" w:eastAsia="宋体" w:cs="Times New Roman"/>
          <w:spacing w:val="-2"/>
          <w:position w:val="-1"/>
          <w:szCs w:val="21"/>
          <w:highlight w:val="none"/>
        </w:rPr>
        <w:t>量</w:t>
      </w:r>
      <w:r>
        <w:rPr>
          <w:rFonts w:hint="default" w:ascii="Times New Roman" w:hAnsi="Times New Roman" w:eastAsia="宋体" w:cs="Times New Roman"/>
          <w:position w:val="-1"/>
          <w:szCs w:val="21"/>
          <w:highlight w:val="none"/>
        </w:rPr>
        <w:t>平台</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并</w:t>
      </w:r>
      <w:r>
        <w:rPr>
          <w:rFonts w:hint="default" w:ascii="Times New Roman" w:hAnsi="Times New Roman" w:eastAsia="宋体" w:cs="Times New Roman"/>
          <w:spacing w:val="-2"/>
          <w:position w:val="-1"/>
          <w:szCs w:val="21"/>
          <w:highlight w:val="none"/>
        </w:rPr>
        <w:t>根</w:t>
      </w:r>
      <w:r>
        <w:rPr>
          <w:rFonts w:hint="default" w:ascii="Times New Roman" w:hAnsi="Times New Roman" w:eastAsia="宋体" w:cs="Times New Roman"/>
          <w:position w:val="-1"/>
          <w:szCs w:val="21"/>
          <w:highlight w:val="none"/>
        </w:rPr>
        <w:t>据</w:t>
      </w:r>
      <w:r>
        <w:rPr>
          <w:rFonts w:hint="default" w:ascii="Times New Roman" w:hAnsi="Times New Roman" w:eastAsia="宋体" w:cs="Times New Roman"/>
          <w:spacing w:val="-2"/>
          <w:position w:val="-1"/>
          <w:szCs w:val="21"/>
          <w:highlight w:val="none"/>
        </w:rPr>
        <w:t>当</w:t>
      </w:r>
      <w:r>
        <w:rPr>
          <w:rFonts w:hint="default" w:ascii="Times New Roman" w:hAnsi="Times New Roman" w:eastAsia="宋体" w:cs="Times New Roman"/>
          <w:position w:val="-1"/>
          <w:szCs w:val="21"/>
          <w:highlight w:val="none"/>
        </w:rPr>
        <w:t>地</w:t>
      </w:r>
      <w:r>
        <w:rPr>
          <w:rFonts w:hint="default" w:ascii="Times New Roman" w:hAnsi="Times New Roman" w:eastAsia="宋体" w:cs="Times New Roman"/>
          <w:spacing w:val="-2"/>
          <w:position w:val="-1"/>
          <w:szCs w:val="21"/>
          <w:highlight w:val="none"/>
        </w:rPr>
        <w:t>污</w:t>
      </w:r>
      <w:r>
        <w:rPr>
          <w:rFonts w:hint="default" w:ascii="Times New Roman" w:hAnsi="Times New Roman" w:eastAsia="宋体" w:cs="Times New Roman"/>
          <w:position w:val="-1"/>
          <w:szCs w:val="21"/>
          <w:highlight w:val="none"/>
        </w:rPr>
        <w:t>染</w:t>
      </w:r>
      <w:r>
        <w:rPr>
          <w:rFonts w:hint="default" w:ascii="Times New Roman" w:hAnsi="Times New Roman" w:eastAsia="宋体" w:cs="Times New Roman"/>
          <w:spacing w:val="-2"/>
          <w:position w:val="-1"/>
          <w:szCs w:val="21"/>
          <w:highlight w:val="none"/>
        </w:rPr>
        <w:t>程</w:t>
      </w:r>
      <w:r>
        <w:rPr>
          <w:rFonts w:hint="default" w:ascii="Times New Roman" w:hAnsi="Times New Roman" w:eastAsia="宋体" w:cs="Times New Roman"/>
          <w:position w:val="-1"/>
          <w:szCs w:val="21"/>
          <w:highlight w:val="none"/>
        </w:rPr>
        <w:t>度加</w:t>
      </w:r>
      <w:r>
        <w:rPr>
          <w:rFonts w:hint="default" w:ascii="Times New Roman" w:hAnsi="Times New Roman" w:eastAsia="宋体" w:cs="Times New Roman"/>
          <w:spacing w:val="-2"/>
          <w:position w:val="-1"/>
          <w:szCs w:val="21"/>
          <w:highlight w:val="none"/>
        </w:rPr>
        <w:t>大</w:t>
      </w:r>
      <w:r>
        <w:rPr>
          <w:rFonts w:hint="default" w:ascii="Times New Roman" w:hAnsi="Times New Roman" w:eastAsia="宋体" w:cs="Times New Roman"/>
          <w:position w:val="-1"/>
          <w:szCs w:val="21"/>
          <w:highlight w:val="none"/>
        </w:rPr>
        <w:t>清</w:t>
      </w:r>
      <w:r>
        <w:rPr>
          <w:rFonts w:hint="default" w:ascii="Times New Roman" w:hAnsi="Times New Roman" w:eastAsia="宋体" w:cs="Times New Roman"/>
          <w:spacing w:val="-2"/>
          <w:position w:val="-1"/>
          <w:szCs w:val="21"/>
          <w:highlight w:val="none"/>
        </w:rPr>
        <w:t>洁</w:t>
      </w:r>
      <w:r>
        <w:rPr>
          <w:rFonts w:hint="default" w:ascii="Times New Roman" w:hAnsi="Times New Roman" w:eastAsia="宋体" w:cs="Times New Roman"/>
          <w:position w:val="-1"/>
          <w:szCs w:val="21"/>
          <w:highlight w:val="none"/>
        </w:rPr>
        <w:t>频</w:t>
      </w:r>
      <w:r>
        <w:rPr>
          <w:rFonts w:hint="default" w:ascii="Times New Roman" w:hAnsi="Times New Roman" w:eastAsia="宋体" w:cs="Times New Roman"/>
          <w:spacing w:val="-2"/>
          <w:position w:val="-1"/>
          <w:szCs w:val="21"/>
          <w:highlight w:val="none"/>
        </w:rPr>
        <w:t>率</w:t>
      </w:r>
      <w:r>
        <w:rPr>
          <w:rFonts w:hint="default" w:ascii="Times New Roman" w:hAnsi="Times New Roman" w:eastAsia="宋体" w:cs="Times New Roman"/>
          <w:position w:val="-1"/>
          <w:szCs w:val="21"/>
          <w:highlight w:val="none"/>
        </w:rPr>
        <w:t>。</w:t>
      </w:r>
    </w:p>
    <w:p w14:paraId="4BFA5E6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3.12</w:t>
      </w:r>
      <w:r>
        <w:rPr>
          <w:rFonts w:hint="default" w:ascii="Times New Roman" w:hAnsi="Times New Roman" w:eastAsia="宋体" w:cs="Times New Roman"/>
          <w:w w:val="90"/>
          <w:szCs w:val="21"/>
          <w:highlight w:val="none"/>
        </w:rPr>
        <w:t>.</w:t>
      </w:r>
      <w:r>
        <w:rPr>
          <w:rFonts w:hint="default" w:ascii="Times New Roman" w:hAnsi="Times New Roman" w:eastAsia="宋体" w:cs="Times New Roman"/>
          <w:bCs/>
          <w:szCs w:val="21"/>
          <w:highlight w:val="none"/>
        </w:rPr>
        <w:t xml:space="preserve"> 2</w:t>
      </w:r>
      <w:r>
        <w:rPr>
          <w:rFonts w:hint="default" w:ascii="Times New Roman" w:hAnsi="Times New Roman" w:eastAsia="宋体" w:cs="Times New Roman"/>
          <w:szCs w:val="21"/>
          <w:highlight w:val="none"/>
        </w:rPr>
        <w:t>质</w:t>
      </w:r>
      <w:r>
        <w:rPr>
          <w:rFonts w:hint="default" w:ascii="Times New Roman" w:hAnsi="Times New Roman" w:eastAsia="宋体" w:cs="Times New Roman"/>
          <w:spacing w:val="-2"/>
          <w:szCs w:val="21"/>
          <w:highlight w:val="none"/>
        </w:rPr>
        <w:t>量</w:t>
      </w:r>
      <w:r>
        <w:rPr>
          <w:rFonts w:hint="default" w:ascii="Times New Roman" w:hAnsi="Times New Roman" w:eastAsia="宋体" w:cs="Times New Roman"/>
          <w:szCs w:val="21"/>
          <w:highlight w:val="none"/>
        </w:rPr>
        <w:t>控</w:t>
      </w:r>
      <w:r>
        <w:rPr>
          <w:rFonts w:hint="default" w:ascii="Times New Roman" w:hAnsi="Times New Roman" w:eastAsia="宋体" w:cs="Times New Roman"/>
          <w:spacing w:val="-2"/>
          <w:szCs w:val="21"/>
          <w:highlight w:val="none"/>
        </w:rPr>
        <w:t>制</w:t>
      </w:r>
      <w:r>
        <w:rPr>
          <w:rFonts w:hint="default" w:ascii="Times New Roman" w:hAnsi="Times New Roman" w:eastAsia="宋体" w:cs="Times New Roman"/>
          <w:szCs w:val="21"/>
          <w:highlight w:val="none"/>
        </w:rPr>
        <w:t>要求</w:t>
      </w:r>
    </w:p>
    <w:p w14:paraId="1346EFC5">
      <w:pPr>
        <w:pageBreakBefore w:val="0"/>
        <w:kinsoku/>
        <w:wordWrap/>
        <w:overflowPunct/>
        <w:topLinePunct w:val="0"/>
        <w:bidi w:val="0"/>
        <w:spacing w:line="360" w:lineRule="auto"/>
        <w:ind w:firstLine="420" w:firstLineChars="200"/>
        <w:rPr>
          <w:rFonts w:hint="default" w:ascii="Times New Roman" w:hAnsi="Times New Roman" w:eastAsia="宋体" w:cs="Times New Roman"/>
          <w:position w:val="-1"/>
          <w:szCs w:val="21"/>
          <w:highlight w:val="none"/>
        </w:rPr>
      </w:pPr>
      <w:r>
        <w:rPr>
          <w:rFonts w:hint="default" w:ascii="Times New Roman" w:hAnsi="Times New Roman" w:eastAsia="宋体" w:cs="Times New Roman"/>
          <w:position w:val="-1"/>
          <w:szCs w:val="21"/>
          <w:highlight w:val="none"/>
        </w:rPr>
        <w:t>按照国家大气颗粒物组分网、《大气超级站质控质保体系技术规范》、仪器使用用户以及仪器制造商（生产者）推荐的运行维护内容执行。</w:t>
      </w:r>
    </w:p>
    <w:p w14:paraId="18C16854">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3.13 走航方舱一年内里程应超过1000公里，有效数据天数应大于150天。由中标人负责方舱移动过程中的相关费用及保障。</w:t>
      </w:r>
    </w:p>
    <w:p w14:paraId="3374E1BD">
      <w:pPr>
        <w:pageBreakBefore w:val="0"/>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四、颗粒物OC/EC分析仪运维项目需求：</w:t>
      </w:r>
    </w:p>
    <w:p w14:paraId="5EB1661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4.1运行维护工作目标</w:t>
      </w:r>
    </w:p>
    <w:p w14:paraId="50D92FD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4.1.1设备在线率：开展运维服务期间，需确保仪器在线率不得低于90%（仪器在线率=仪器实际运行时间/仪器可运行时间）。</w:t>
      </w:r>
    </w:p>
    <w:p w14:paraId="040C750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2B99686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4.1.2有效数据获取率：开展运维服务期间，需确保仪器有效数据获取率不得低于80%（有效数据获取率=有效监测数据量/获取监测数据量）。</w:t>
      </w:r>
    </w:p>
    <w:p w14:paraId="12721D5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4.2技术运维要求</w:t>
      </w:r>
    </w:p>
    <w:p w14:paraId="181FC19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4.2.1每日例行检查</w:t>
      </w:r>
    </w:p>
    <w:p w14:paraId="13D13D8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运维人员每天需远程登录一次查看仪器各项参数是否正常。</w:t>
      </w:r>
    </w:p>
    <w:p w14:paraId="313187F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4.2.2每周进行一次巡检，检查仪器运行参数、进行滤膜更换、采样流量调整、空白检查并做好原始记录，同时根据监测数据分析仪器切割点是否正常。</w:t>
      </w:r>
    </w:p>
    <w:p w14:paraId="0A5BD3F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4.2.3每季度进行denuder的碳膜更换与检查。</w:t>
      </w:r>
    </w:p>
    <w:p w14:paraId="1511C2D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4.2.4根据颗粒物污染情况，定期采样头清洗（最少每个月清洗一次），确保数据的正常性。</w:t>
      </w:r>
    </w:p>
    <w:p w14:paraId="7D38B19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4.2.5每年度进行仪器保养，采样系统气路清洁。</w:t>
      </w:r>
    </w:p>
    <w:p w14:paraId="6825361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4.2.6钢瓶气体损耗统计，一用一备，确保仪器连续正常运转。</w:t>
      </w:r>
    </w:p>
    <w:p w14:paraId="55FF5C8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4.2.7分析仪如果遇到故障，及时报备招标人并进行故障排查，积极配合厂家进行设备维修。</w:t>
      </w:r>
    </w:p>
    <w:p w14:paraId="6E56042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4.2.8发现设备数据异常后，2小时内远程检查监测数据质量，并告知用户异常情况，初步分析质控数据异常原因，为用户提供科学诊断仪器状态建议。</w:t>
      </w:r>
    </w:p>
    <w:p w14:paraId="6A0DEEE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4.2.9大型活动保障，质控服务方依据用户提前通知的要求，在年度内有大型赛事、活动和重污染物天气时间段内，提供加密质控保障工作。</w:t>
      </w:r>
    </w:p>
    <w:p w14:paraId="0981CC1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4.2.10夏季每周进行冷凝水的检查，确保设备的运转正常与数据的可靠。</w:t>
      </w:r>
    </w:p>
    <w:p w14:paraId="7B3B667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4.3质控要求</w:t>
      </w:r>
    </w:p>
    <w:p w14:paraId="6A44D97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4.3.1仪器运行期间，每月进行载气流量传感器校准，并做好相应记录。</w:t>
      </w:r>
    </w:p>
    <w:p w14:paraId="2C9C4D5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4.3.2每二个月进行标准蔗糖溶液标定，偏差不得超过10%。</w:t>
      </w:r>
    </w:p>
    <w:p w14:paraId="44C45A75">
      <w:pPr>
        <w:pageBreakBefore w:val="0"/>
        <w:kinsoku/>
        <w:wordWrap/>
        <w:overflowPunct/>
        <w:topLinePunct w:val="0"/>
        <w:bidi w:val="0"/>
        <w:spacing w:line="360" w:lineRule="auto"/>
        <w:ind w:firstLine="42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五、颗粒物离子色谱运维项目需求</w:t>
      </w:r>
    </w:p>
    <w:p w14:paraId="3002DCF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5.1运行维护工作目标</w:t>
      </w:r>
    </w:p>
    <w:p w14:paraId="383D3B4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5.1.1设备在线率：开展运维服务期间，需确保仪器在线率不得低于90%（仪器在线率=仪器实际运行时间/仪器可运行时间）。</w:t>
      </w:r>
    </w:p>
    <w:p w14:paraId="62599A8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0873D89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5.1.2有效数据获取率：开展运维服务期间，需确保仪器有效数据获取率不得低于80%（有效数据获取率=有效监测数据量/获取监测数据量）。</w:t>
      </w:r>
    </w:p>
    <w:p w14:paraId="5AF787F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5.2技术运维要求</w:t>
      </w:r>
    </w:p>
    <w:p w14:paraId="5C66111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5.2.1每日例行质量控制检查：每日远程登陆仪器检查阴、阳离子柱压，采样流量，内标响应状况等仪器参数，及时填写日质控记录。</w:t>
      </w:r>
    </w:p>
    <w:p w14:paraId="202D924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每周例行质控：现场更换仪器工作所需的纯水和配制相应的试剂，依据周期更换采样单元过滤头、吸收液和淋洗液，检查进样系统是否有气泡，数据库数据检查、备份，负责对仪器工作区域进行保洁，及时填写质量控制记录。</w:t>
      </w:r>
    </w:p>
    <w:p w14:paraId="0C5FB58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5.2.3每月预防性质量查核：清洗室外切割器，排除管路气泡，更换保护柱滤芯，对各传动部件进行相应的清理和润滑工作，保证仪器良好的状况，填写预防性维护记录。每月进行一次采样流量核查工作，确保与仪器规定的采样流量相符，如果流量误差超出5%的偏差需进行多点校准。</w:t>
      </w:r>
    </w:p>
    <w:p w14:paraId="7CD97EC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5.2.4每季度系统性质量控制：每季度需进行一次分析单元标定及采样单元的清洗工作。</w:t>
      </w:r>
    </w:p>
    <w:p w14:paraId="38BAC74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5.2.4.1每季度清洗采样总管一次，依据阴、阳离子柱状态，在需要的情况下及时更换色谱柱，对所有配制和储存溶液的容器进行除菌，及时填写相关记录；</w:t>
      </w:r>
    </w:p>
    <w:p w14:paraId="0FD2D29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5.2.4.2每季度进行一次采样单元与样品前端收集单元清洗，每次清洗时间不得低于12小时，系统自清洗状态恢复至分析状态不得低于4小时；</w:t>
      </w:r>
    </w:p>
    <w:p w14:paraId="153046C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5.2.4.3根据用户需求配置不同浓度标液对分析单元进行标定并及时填写记录，若系统维护与质控期间出现秸秆焚烧、沙尘、重污染等特殊天气时，上述维护和质控工作可依据用户需求进行延期。</w:t>
      </w:r>
    </w:p>
    <w:p w14:paraId="57B8A67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5.2.5每半年质量查核：每半年更换阴阳离子进样系统定量环，更换阴阳离子柱淋洗液过滤头，及时填写相关记录。</w:t>
      </w:r>
    </w:p>
    <w:p w14:paraId="7D56F90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5.2.6每年核查一次Marga的系统背景值，并根据用户需求配置不同浓度的SO2标准品，验证全系统对SO2的回收效率，并及时填写记录。</w:t>
      </w:r>
    </w:p>
    <w:p w14:paraId="5A55090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5.2.7每年质量评价：每年度对MARGA进行全年运行质量评价，及时填写相关记录，并编制年度质量控制报告。</w:t>
      </w:r>
    </w:p>
    <w:p w14:paraId="48B8758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5.2.8根据仪器状况及时更换仪器所需的配件，以保证仪器正常运行。</w:t>
      </w:r>
    </w:p>
    <w:p w14:paraId="161B570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5.2.9辅助设备保障：依据周期更换颗粒物水溶性组分质控比对分析仪的淋洗液、保护柱滤芯、阴、阳离子色谱柱等耗材，定期开展设备标定工作，保证仪器正常稳定运行。</w:t>
      </w:r>
    </w:p>
    <w:p w14:paraId="5FA87BD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5.3质控要求</w:t>
      </w:r>
    </w:p>
    <w:p w14:paraId="012FD01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5.3.1仪器运行期间，根据用户需求每季度配置不同浓度标液对分析单元进行标定并及时填写记录。</w:t>
      </w:r>
    </w:p>
    <w:p w14:paraId="7DFBB37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5.3.2每月进行一次采样流量核查工作，如果流量误差超出5%的偏差需进行多点校准。</w:t>
      </w:r>
    </w:p>
    <w:p w14:paraId="0A9BFCF3">
      <w:pPr>
        <w:pageBreakBefore w:val="0"/>
        <w:kinsoku/>
        <w:wordWrap/>
        <w:overflowPunct/>
        <w:topLinePunct w:val="0"/>
        <w:bidi w:val="0"/>
        <w:spacing w:line="360" w:lineRule="auto"/>
        <w:ind w:firstLine="440"/>
        <w:outlineLvl w:val="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六、温室气体仪器运维服务需求</w:t>
      </w:r>
    </w:p>
    <w:p w14:paraId="485ABCE8">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表6-1 温室气体仪器运维服务要求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45"/>
        <w:gridCol w:w="2480"/>
        <w:gridCol w:w="2198"/>
        <w:gridCol w:w="1501"/>
        <w:gridCol w:w="1692"/>
      </w:tblGrid>
      <w:tr w14:paraId="3C5A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shd w:val="clear" w:color="auto" w:fill="FFFFFF"/>
            <w:vAlign w:val="center"/>
          </w:tcPr>
          <w:p w14:paraId="2A53BB61">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序号</w:t>
            </w:r>
          </w:p>
        </w:tc>
        <w:tc>
          <w:tcPr>
            <w:tcW w:w="2553" w:type="dxa"/>
            <w:shd w:val="clear" w:color="auto" w:fill="FFFFFF"/>
            <w:vAlign w:val="center"/>
          </w:tcPr>
          <w:p w14:paraId="0AF781FF">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产品名称</w:t>
            </w:r>
          </w:p>
        </w:tc>
        <w:tc>
          <w:tcPr>
            <w:tcW w:w="2249" w:type="dxa"/>
            <w:shd w:val="clear" w:color="auto" w:fill="FFFFFF"/>
            <w:vAlign w:val="center"/>
          </w:tcPr>
          <w:p w14:paraId="0C6E13C3">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型号规格</w:t>
            </w:r>
          </w:p>
        </w:tc>
        <w:tc>
          <w:tcPr>
            <w:tcW w:w="1537" w:type="dxa"/>
            <w:shd w:val="clear" w:color="auto" w:fill="FFFFFF"/>
            <w:vAlign w:val="center"/>
          </w:tcPr>
          <w:p w14:paraId="579E0B3A">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数量</w:t>
            </w:r>
          </w:p>
          <w:p w14:paraId="0FA82FD5">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(台/套)</w:t>
            </w:r>
          </w:p>
        </w:tc>
        <w:tc>
          <w:tcPr>
            <w:tcW w:w="1728" w:type="dxa"/>
            <w:shd w:val="clear" w:color="auto" w:fill="FFFFFF"/>
            <w:vAlign w:val="center"/>
          </w:tcPr>
          <w:p w14:paraId="07A90FB2">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分项预算</w:t>
            </w:r>
          </w:p>
          <w:p w14:paraId="0CC4559E">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（万元/年）</w:t>
            </w:r>
          </w:p>
        </w:tc>
      </w:tr>
      <w:tr w14:paraId="0C48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53" w:type="dxa"/>
            <w:shd w:val="clear" w:color="auto" w:fill="FFFFFF"/>
            <w:vAlign w:val="center"/>
          </w:tcPr>
          <w:p w14:paraId="6837CBD5">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2553" w:type="dxa"/>
            <w:shd w:val="clear" w:color="auto" w:fill="FFFFFF"/>
            <w:vAlign w:val="center"/>
          </w:tcPr>
          <w:p w14:paraId="3D433687">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高精度甲烷分析仪</w:t>
            </w:r>
          </w:p>
        </w:tc>
        <w:tc>
          <w:tcPr>
            <w:tcW w:w="2249" w:type="dxa"/>
            <w:shd w:val="clear" w:color="auto" w:fill="FFFFFF"/>
            <w:vAlign w:val="center"/>
          </w:tcPr>
          <w:p w14:paraId="5AF591D1">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GGA-WSD-GHG</w:t>
            </w:r>
          </w:p>
        </w:tc>
        <w:tc>
          <w:tcPr>
            <w:tcW w:w="1537" w:type="dxa"/>
            <w:shd w:val="clear" w:color="auto" w:fill="FFFFFF"/>
            <w:vAlign w:val="center"/>
          </w:tcPr>
          <w:p w14:paraId="3A8F839A">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1728" w:type="dxa"/>
            <w:shd w:val="clear" w:color="auto" w:fill="FFFFFF"/>
            <w:vAlign w:val="center"/>
          </w:tcPr>
          <w:p w14:paraId="58093317">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w:t>
            </w:r>
          </w:p>
        </w:tc>
      </w:tr>
      <w:tr w14:paraId="1EA0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shd w:val="clear" w:color="auto" w:fill="FFFFFF"/>
            <w:vAlign w:val="center"/>
          </w:tcPr>
          <w:p w14:paraId="17A324FB">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p>
        </w:tc>
        <w:tc>
          <w:tcPr>
            <w:tcW w:w="2553" w:type="dxa"/>
            <w:shd w:val="clear" w:color="auto" w:fill="FFFFFF"/>
            <w:vAlign w:val="center"/>
          </w:tcPr>
          <w:p w14:paraId="54EB3CBB">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高精度甲烷分析仪辅助设施</w:t>
            </w:r>
          </w:p>
        </w:tc>
        <w:tc>
          <w:tcPr>
            <w:tcW w:w="2249" w:type="dxa"/>
            <w:shd w:val="clear" w:color="auto" w:fill="FFFFFF"/>
            <w:vAlign w:val="center"/>
          </w:tcPr>
          <w:p w14:paraId="4915DAED">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定制</w:t>
            </w:r>
          </w:p>
        </w:tc>
        <w:tc>
          <w:tcPr>
            <w:tcW w:w="1537" w:type="dxa"/>
            <w:shd w:val="clear" w:color="auto" w:fill="FFFFFF"/>
            <w:vAlign w:val="center"/>
          </w:tcPr>
          <w:p w14:paraId="1D771D12">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1728" w:type="dxa"/>
            <w:shd w:val="clear" w:color="auto" w:fill="FFFFFF"/>
            <w:vAlign w:val="center"/>
          </w:tcPr>
          <w:p w14:paraId="577E9643">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p>
        </w:tc>
      </w:tr>
      <w:tr w14:paraId="1EC0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6" w:type="dxa"/>
            <w:gridSpan w:val="2"/>
            <w:shd w:val="clear" w:color="auto" w:fill="FFFFFF"/>
            <w:vAlign w:val="center"/>
          </w:tcPr>
          <w:p w14:paraId="2EC64AAB">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合计</w:t>
            </w:r>
          </w:p>
        </w:tc>
        <w:tc>
          <w:tcPr>
            <w:tcW w:w="3786" w:type="dxa"/>
            <w:gridSpan w:val="2"/>
            <w:shd w:val="clear" w:color="auto" w:fill="FFFFFF"/>
            <w:vAlign w:val="center"/>
          </w:tcPr>
          <w:p w14:paraId="39973372">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2台（套）</w:t>
            </w:r>
          </w:p>
        </w:tc>
        <w:tc>
          <w:tcPr>
            <w:tcW w:w="1728" w:type="dxa"/>
            <w:shd w:val="clear" w:color="auto" w:fill="FFFFFF"/>
          </w:tcPr>
          <w:p w14:paraId="28F0E9FA">
            <w:pPr>
              <w:pStyle w:val="19"/>
              <w:pageBreakBefore w:val="0"/>
              <w:kinsoku/>
              <w:wordWrap/>
              <w:overflowPunct/>
              <w:topLinePunct w:val="0"/>
              <w:bidi w:val="0"/>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w:t>
            </w:r>
          </w:p>
        </w:tc>
      </w:tr>
    </w:tbl>
    <w:p w14:paraId="26BA2B27">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6.1工作要求</w:t>
      </w:r>
    </w:p>
    <w:p w14:paraId="195C8C4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6.1.1 数据审核：按招标人要求，开展平台上每日数据在线审核工作。</w:t>
      </w:r>
    </w:p>
    <w:p w14:paraId="3FE47DBB">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6.1.2 按招标人要求，在年度内有大型赛事、活动和检查等时间段内，提供加密质控保障工作。</w:t>
      </w:r>
    </w:p>
    <w:p w14:paraId="6228A48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6.1.3 故障响应：投标人应保证服务与技术支持响应及时、解决问题迅速，并提供承诺函，承诺出现监测数据异常、仪器故障或通讯故障等异常情况时，提出排查方案并于12小时内完成故障处理，若远程无法排查时，24小时内前往现场解决并将信息反馈招标人；故障严重不能及时解决时，应关闭故障仪器的数据采集通道并告知招标人。如不能在72小时内排除故障，应更换备机，故障设备应及时修复，并做好相应的仪器质控工作和维修记录。</w:t>
      </w:r>
    </w:p>
    <w:p w14:paraId="4DD5839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6.1.4  辅助服务要求</w:t>
      </w:r>
    </w:p>
    <w:p w14:paraId="1CCFC62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6.1.4.1仪器发生故障时，配合招标人开展仪器维修相关工作；</w:t>
      </w:r>
    </w:p>
    <w:p w14:paraId="3521029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6.1.4.2定期配合招标人开展配件和标气库存清点工作，制定采购规划；</w:t>
      </w:r>
    </w:p>
    <w:p w14:paraId="3DA226ED">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6.1.4.3每次运维工作完成后对工作区域进行清洁整理；</w:t>
      </w:r>
    </w:p>
    <w:p w14:paraId="12F1A7A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6.1.4.4运维期满后，配合招标人进行仪器交接，交接期间承担仪器正常运维工作（不包括质控工作；</w:t>
      </w:r>
    </w:p>
    <w:p w14:paraId="030647B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6.1.4.5配合招标人等进行站点质量保证和质量控制检查工作，随时接受其工作考核及质量考核。配合招标人完成其他相关工作。</w:t>
      </w:r>
    </w:p>
    <w:p w14:paraId="7A696F16">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6.2运行维护工作目标</w:t>
      </w:r>
    </w:p>
    <w:p w14:paraId="038FB161">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6.2.1设备在线率：开展运维服务期间，需确保仪器在线率不得低于90%（仪器在线率=仪器实际运行时间/仪器可运行时间）。</w:t>
      </w:r>
    </w:p>
    <w:p w14:paraId="5BF3519A">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注：仪器实际运行时间为仪器开机运行且仪器内能获取监测数据的时间；仪器可运行时间=约定的总时间-仪器停机维护时-仪器校准时间-不可抗力停机时间（如停电等）。</w:t>
      </w:r>
    </w:p>
    <w:p w14:paraId="123FAEA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6.2.2有效数据获取率：开展运维服务期间，需确保仪器有效数据获取率不得低于85%（有效数据获取率=有效监测数据量/获取监测数据量）。</w:t>
      </w:r>
    </w:p>
    <w:p w14:paraId="168EB921">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6.3技术运维要求</w:t>
      </w:r>
    </w:p>
    <w:p w14:paraId="0F28F43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6.3.1 每日例行质量控制检查：运维技术人员每日查看仪器运行状况、工作参数、数据采集和传输情况是否正常（网络查看）。每日12点前完成前一日数据审核，整理各台仪器前一日的运行情况，并形成记录表汇报结果。发现异常，需及时开展应急现场服务。</w:t>
      </w:r>
    </w:p>
    <w:p w14:paraId="772A3938">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6.3.2每周预防性质量查核：</w:t>
      </w:r>
    </w:p>
    <w:p w14:paraId="419CAAF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6.3.2.1应对子站站房及辅助设备定期巡检，每周至少巡检1次，巡检工作主要包括：：</w:t>
      </w:r>
    </w:p>
    <w:p w14:paraId="62308CE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检查站房内温度是否保持在25℃±5℃，建议24小时变化幅度不超过±2℃，相对湿度保持在80%以下。在冬、夏季节应注意站房内外温差，及时调整站房温度或对采样管采取适当的温控措施，防止因温差造成采样装置出现冷凝水的现象；</w:t>
      </w:r>
    </w:p>
    <w:p w14:paraId="79FA31C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检查采样管进气、排气是否正常。检查抽气泵工作是否正常，检查进气总流量，采样流量是否正常；若配有阀箱，应检查阀箱是否正常，多口阀切换是否正常；检查前端多级除水装置是否正常。若配有阀箱，应检查阀箱是否正常，多口阀切换是否正常；</w:t>
      </w:r>
    </w:p>
    <w:p w14:paraId="33085397">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（3）检查站房排风排气装置工作是否正常，站房内有无异味；</w:t>
      </w:r>
    </w:p>
    <w:p w14:paraId="496FAECD">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4）检查标气瓶是否漏气，检查标气消耗情况，压力值接近500psi时需更换标气瓶。检查标气瓶二级分压是否在正常范围（一般在15-20psi）内，并与样气进样压力保持一致。若分析仪测量水汽浓度，则应检查标气水汽浓度值（一般在0-0.008%），如出现水汽浓度值显著增高，应检查瓶阀、管路、进样系统是否漏气；</w:t>
      </w:r>
    </w:p>
    <w:p w14:paraId="31B2ADFD">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（5）检查数据采集、传输与网络通讯是否正常；</w:t>
      </w:r>
    </w:p>
    <w:p w14:paraId="533068AA">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（6）检查各种运维工具、仪器耗材、备件是否完好齐全；</w:t>
      </w:r>
    </w:p>
    <w:p w14:paraId="1EAF00D0">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（7）检查空调、电源等辅助设备的运行状况是否正常，检查站房空调机的过滤网是否清洁，必要时进行清洗；</w:t>
      </w:r>
    </w:p>
    <w:p w14:paraId="734C8F5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（8）检查各种消防、安全设施是否完好齐全；</w:t>
      </w:r>
    </w:p>
    <w:p w14:paraId="5E0AF576">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（9）对站房周围的杂草和积水应及时清除，对监测有影响的树枝应及时进行剪除；</w:t>
      </w:r>
    </w:p>
    <w:p w14:paraId="1939546F">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（10）检查避雷设施是否正常，子站房屋是否有漏雨现象。</w:t>
      </w:r>
    </w:p>
    <w:p w14:paraId="14F2754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6.3.2.2每周对监测仪器设备开展日常维护，主要内容包括：</w:t>
      </w:r>
    </w:p>
    <w:p w14:paraId="2156179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（1）每次运维进行仪器、数据采集系统时钟检查，确保时钟偏差不超过30秒。应注意时区设置情况，监测仪器可使用自带时区，数据采集系统应使用北京时区；</w:t>
      </w:r>
    </w:p>
    <w:p w14:paraId="0C311927">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（2）每次运维检查仪器配备的干燥系统等，包括设备工作状态参数、干燥后水汽浓度、耗材使用情况、积水情况等，及时维护、更换耗材。</w:t>
      </w:r>
    </w:p>
    <w:p w14:paraId="3A86208A">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6.3.3每季度预防性质量查核：</w:t>
      </w:r>
    </w:p>
    <w:p w14:paraId="29E25AF8">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6.3.3.1每季度检查抽气泵泵膜、阀片，必要时更换；每年至少更换1次；</w:t>
      </w:r>
    </w:p>
    <w:p w14:paraId="762BC63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6.3.3.2每季度使用检漏液对气路正压部分进行气密性检查，负压部分采用在管路接口附近释放高浓度 CO2的方式进行检漏。</w:t>
      </w:r>
    </w:p>
    <w:p w14:paraId="0B1DFA3E">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注：使用检漏液查看连接处是否漏气，漏气则有气泡出现；检漏液必须使用对连接处无腐蚀、无污染的专用液体。</w:t>
      </w:r>
    </w:p>
    <w:p w14:paraId="7FC80DAA">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6.3.4每年预防性质量查核：</w:t>
      </w:r>
    </w:p>
    <w:p w14:paraId="789E8ADF">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6.3.4.1根据仪器说明书的要求，定期更换和清洁仪器设备中的过滤装置。采样入口处和采样管路中的过滤器至少每年更换1次，颗粒物浓度较高地区或浓度较高季节，应视颗粒物过滤膜实际污染情况加大更换频次；</w:t>
      </w:r>
    </w:p>
    <w:p w14:paraId="6BB5DD40">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6.3.4.2每年检查采样管线等辅助设施，做好清洁气象设备及采样塔维护工作，每年清洁1次室外采样管，每次清洁后，应进行检漏测试；</w:t>
      </w:r>
    </w:p>
    <w:p w14:paraId="4A4E03B4">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注：（1）使用超纯水冲洗，并用大流量泵抽干（连续抽 0.5 天），抽干后分析仪水汽含量测定应&lt;0.05%。（2）检漏测试方法为将采样管上的一个支路接头接上压力计，并将其他支路接头和采样口封死，然后抽真空至大约1.25hPa，将抽气口密封，使整个采样系统不与外界相通，15 分钟内真空度不应有变化。</w:t>
      </w:r>
    </w:p>
    <w:p w14:paraId="4A0DDBFD">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6.3.4.3每年配合招标人对系统至少进行一次精密度、准确度和可比性测试，计算并记录结果，填写相关表格存档。</w:t>
      </w:r>
    </w:p>
    <w:p w14:paraId="57A7E6BC">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bookmarkStart w:id="133" w:name="OLE_LINK6"/>
      <w:bookmarkStart w:id="134" w:name="OLE_LINK7"/>
      <w:r>
        <w:rPr>
          <w:rFonts w:hint="default" w:ascii="Times New Roman" w:hAnsi="Times New Roman" w:eastAsia="宋体" w:cs="Times New Roman"/>
          <w:bCs/>
          <w:highlight w:val="none"/>
        </w:rPr>
        <w:t>6.3.5</w:t>
      </w:r>
      <w:bookmarkEnd w:id="133"/>
      <w:bookmarkEnd w:id="134"/>
      <w:r>
        <w:rPr>
          <w:rFonts w:hint="default" w:ascii="Times New Roman" w:hAnsi="Times New Roman" w:eastAsia="宋体" w:cs="Times New Roman"/>
          <w:bCs/>
          <w:highlight w:val="none"/>
        </w:rPr>
        <w:t>根据仪器说明书的要求，定期检查、清洗、更换仪器重要部件。</w:t>
      </w:r>
    </w:p>
    <w:p w14:paraId="29CB3E08">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6.4 考核要求</w:t>
      </w:r>
    </w:p>
    <w:p w14:paraId="7A098A09">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招标人组织开展运维管理和质控考核，对达不到运维要求或违规操作的，扣减相应的运维费，并有权终止运维合同。</w:t>
      </w:r>
    </w:p>
    <w:p w14:paraId="7D4890D3">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6.5其他规定</w:t>
      </w:r>
    </w:p>
    <w:p w14:paraId="26AD94D2">
      <w:pPr>
        <w:pageBreakBefore w:val="0"/>
        <w:tabs>
          <w:tab w:val="left" w:pos="540"/>
          <w:tab w:val="left" w:pos="900"/>
        </w:tabs>
        <w:kinsoku/>
        <w:wordWrap/>
        <w:overflowPunct/>
        <w:topLinePunct w:val="0"/>
        <w:bidi w:val="0"/>
        <w:spacing w:line="360" w:lineRule="auto"/>
        <w:ind w:firstLine="420"/>
        <w:rPr>
          <w:rFonts w:hint="default" w:ascii="Times New Roman" w:hAnsi="Times New Roman" w:eastAsia="宋体" w:cs="Times New Roman"/>
          <w:bCs/>
          <w:highlight w:val="none"/>
        </w:rPr>
        <w:sectPr>
          <w:pgSz w:w="11906" w:h="16838"/>
          <w:pgMar w:top="1440" w:right="1803" w:bottom="1440" w:left="1803" w:header="227" w:footer="720" w:gutter="0"/>
          <w:pgNumType w:fmt="decimal"/>
          <w:cols w:space="0" w:num="1"/>
          <w:docGrid w:linePitch="360" w:charSpace="0"/>
        </w:sectPr>
      </w:pPr>
      <w:r>
        <w:rPr>
          <w:rFonts w:hint="default" w:ascii="Times New Roman" w:hAnsi="Times New Roman" w:eastAsia="宋体" w:cs="Times New Roman"/>
          <w:bCs/>
          <w:highlight w:val="none"/>
        </w:rPr>
        <w:t>投标人有下列情形之一的，扣除相应站点考核时间段运维经费：拖延、阻碍、拒绝质量检查或飞行检查的；发现采样、分析、数据采集和传输等过程人为干扰，未按要求及时向招标人报告的；因工作疏漏，未发现采样、分析、数据采集和传输等过程人为干扰的；其他不履行规定职责的情形。若情节严重，招标人有权终止运维合同。</w:t>
      </w:r>
    </w:p>
    <w:p w14:paraId="106057F4">
      <w:pPr>
        <w:pageBreakBefore w:val="0"/>
        <w:kinsoku/>
        <w:wordWrap/>
        <w:overflowPunct/>
        <w:topLinePunct w:val="0"/>
        <w:bidi w:val="0"/>
        <w:spacing w:line="360" w:lineRule="auto"/>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包9：汾湖超级站及省级大气多参数站常规监测设备运维服务</w:t>
      </w:r>
    </w:p>
    <w:p w14:paraId="5B1AEE1A">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一、项目概况</w:t>
      </w:r>
    </w:p>
    <w:p w14:paraId="332D39B5">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项目包含汾湖大气超级站常规监测仪器、太阳辐射强度计、颗粒物重金属分析仪、颗粒物OC/EC分析仪及省中心大气多参数站新增的颗粒物OC/EC分析仪、非甲烷总烃分析仪等相关仪器设备的运维服务，其中汾湖超级站位于苏州市芦墟大渠荡生态公园、省级大气多参数站位于南京市建邺区中和路100号江苏省环境监测中心。（详见表1-1）</w:t>
      </w:r>
    </w:p>
    <w:p w14:paraId="690B9B8F">
      <w:pPr>
        <w:pageBreakBefore w:val="0"/>
        <w:kinsoku/>
        <w:wordWrap/>
        <w:overflowPunct/>
        <w:topLinePunct w:val="0"/>
        <w:bidi w:val="0"/>
        <w:spacing w:line="360" w:lineRule="auto"/>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表1-1汾湖超级站及省级大气多参数站仪器设备运维服务设备清单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1714"/>
        <w:gridCol w:w="1286"/>
        <w:gridCol w:w="1366"/>
        <w:gridCol w:w="1498"/>
        <w:gridCol w:w="1246"/>
      </w:tblGrid>
      <w:tr w14:paraId="1A04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7D5BAFB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序号</w:t>
            </w:r>
          </w:p>
        </w:tc>
        <w:tc>
          <w:tcPr>
            <w:tcW w:w="791" w:type="dxa"/>
            <w:vAlign w:val="center"/>
          </w:tcPr>
          <w:p w14:paraId="4171C9F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仪器类型</w:t>
            </w:r>
          </w:p>
        </w:tc>
        <w:tc>
          <w:tcPr>
            <w:tcW w:w="1714" w:type="dxa"/>
            <w:vAlign w:val="center"/>
          </w:tcPr>
          <w:p w14:paraId="455ED12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仪器名称</w:t>
            </w:r>
          </w:p>
        </w:tc>
        <w:tc>
          <w:tcPr>
            <w:tcW w:w="1286" w:type="dxa"/>
            <w:vAlign w:val="center"/>
          </w:tcPr>
          <w:p w14:paraId="618A30F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品牌</w:t>
            </w:r>
          </w:p>
        </w:tc>
        <w:tc>
          <w:tcPr>
            <w:tcW w:w="1366" w:type="dxa"/>
            <w:vAlign w:val="center"/>
          </w:tcPr>
          <w:p w14:paraId="0D843F6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型号</w:t>
            </w:r>
          </w:p>
        </w:tc>
        <w:tc>
          <w:tcPr>
            <w:tcW w:w="1498" w:type="dxa"/>
            <w:vAlign w:val="center"/>
          </w:tcPr>
          <w:p w14:paraId="25803E1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位置</w:t>
            </w:r>
          </w:p>
        </w:tc>
        <w:tc>
          <w:tcPr>
            <w:tcW w:w="1246" w:type="dxa"/>
            <w:vAlign w:val="center"/>
          </w:tcPr>
          <w:p w14:paraId="43D9ACC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分项预算</w:t>
            </w:r>
          </w:p>
          <w:p w14:paraId="10C6144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（万元/年）</w:t>
            </w:r>
          </w:p>
        </w:tc>
      </w:tr>
      <w:tr w14:paraId="506F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99" w:type="dxa"/>
            <w:vAlign w:val="center"/>
          </w:tcPr>
          <w:p w14:paraId="41858C8B">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w:t>
            </w:r>
          </w:p>
        </w:tc>
        <w:tc>
          <w:tcPr>
            <w:tcW w:w="791" w:type="dxa"/>
            <w:vMerge w:val="restart"/>
            <w:vAlign w:val="center"/>
          </w:tcPr>
          <w:p w14:paraId="3B6D8E88">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汾湖超站常规监测设备</w:t>
            </w:r>
          </w:p>
        </w:tc>
        <w:tc>
          <w:tcPr>
            <w:tcW w:w="1714" w:type="dxa"/>
            <w:vAlign w:val="center"/>
          </w:tcPr>
          <w:p w14:paraId="7501CFAB">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PM</w:t>
            </w:r>
            <w:r>
              <w:rPr>
                <w:rFonts w:hint="default" w:ascii="Times New Roman" w:hAnsi="Times New Roman" w:eastAsia="宋体" w:cs="Times New Roman"/>
                <w:color w:val="000000"/>
                <w:szCs w:val="21"/>
                <w:highlight w:val="none"/>
                <w:vertAlign w:val="subscript"/>
              </w:rPr>
              <w:t>2.5</w:t>
            </w:r>
            <w:r>
              <w:rPr>
                <w:rFonts w:hint="default" w:ascii="Times New Roman" w:hAnsi="Times New Roman" w:eastAsia="宋体" w:cs="Times New Roman"/>
                <w:color w:val="000000"/>
                <w:szCs w:val="21"/>
                <w:highlight w:val="none"/>
              </w:rPr>
              <w:t>监测仪</w:t>
            </w:r>
          </w:p>
        </w:tc>
        <w:tc>
          <w:tcPr>
            <w:tcW w:w="1286" w:type="dxa"/>
            <w:vAlign w:val="center"/>
          </w:tcPr>
          <w:p w14:paraId="6188D246">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58F7AAB5">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5030i</w:t>
            </w:r>
          </w:p>
        </w:tc>
        <w:tc>
          <w:tcPr>
            <w:tcW w:w="1498" w:type="dxa"/>
            <w:vAlign w:val="center"/>
          </w:tcPr>
          <w:p w14:paraId="305CD57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restart"/>
            <w:vAlign w:val="center"/>
          </w:tcPr>
          <w:p w14:paraId="74753B4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w:t>
            </w:r>
          </w:p>
        </w:tc>
      </w:tr>
      <w:tr w14:paraId="2D4F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6AABBBAC">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w:t>
            </w:r>
          </w:p>
        </w:tc>
        <w:tc>
          <w:tcPr>
            <w:tcW w:w="791" w:type="dxa"/>
            <w:vMerge w:val="continue"/>
            <w:vAlign w:val="center"/>
          </w:tcPr>
          <w:p w14:paraId="594B9BD6">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44A63F3A">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PM</w:t>
            </w:r>
            <w:r>
              <w:rPr>
                <w:rFonts w:hint="default" w:ascii="Times New Roman" w:hAnsi="Times New Roman" w:eastAsia="宋体" w:cs="Times New Roman"/>
                <w:color w:val="000000"/>
                <w:szCs w:val="21"/>
                <w:highlight w:val="none"/>
                <w:vertAlign w:val="subscript"/>
              </w:rPr>
              <w:t>10</w:t>
            </w:r>
            <w:r>
              <w:rPr>
                <w:rFonts w:hint="default" w:ascii="Times New Roman" w:hAnsi="Times New Roman" w:eastAsia="宋体" w:cs="Times New Roman"/>
                <w:color w:val="000000"/>
                <w:szCs w:val="21"/>
                <w:highlight w:val="none"/>
              </w:rPr>
              <w:t>监测仪</w:t>
            </w:r>
          </w:p>
        </w:tc>
        <w:tc>
          <w:tcPr>
            <w:tcW w:w="1286" w:type="dxa"/>
            <w:vAlign w:val="center"/>
          </w:tcPr>
          <w:p w14:paraId="38D46FC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48D13215">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5030i</w:t>
            </w:r>
          </w:p>
        </w:tc>
        <w:tc>
          <w:tcPr>
            <w:tcW w:w="1498" w:type="dxa"/>
            <w:vAlign w:val="center"/>
          </w:tcPr>
          <w:p w14:paraId="1C7B351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3DB03E3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16DB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99" w:type="dxa"/>
            <w:vAlign w:val="center"/>
          </w:tcPr>
          <w:p w14:paraId="6A175A5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w:t>
            </w:r>
          </w:p>
        </w:tc>
        <w:tc>
          <w:tcPr>
            <w:tcW w:w="791" w:type="dxa"/>
            <w:vMerge w:val="continue"/>
            <w:vAlign w:val="center"/>
          </w:tcPr>
          <w:p w14:paraId="1CF2D7DD">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2B4FFB99">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NO</w:t>
            </w:r>
            <w:r>
              <w:rPr>
                <w:rFonts w:hint="default" w:ascii="Times New Roman" w:hAnsi="Times New Roman" w:eastAsia="宋体" w:cs="Times New Roman"/>
                <w:color w:val="000000"/>
                <w:szCs w:val="21"/>
                <w:highlight w:val="none"/>
                <w:vertAlign w:val="subscript"/>
              </w:rPr>
              <w:t>2</w:t>
            </w:r>
            <w:r>
              <w:rPr>
                <w:rFonts w:hint="default" w:ascii="Times New Roman" w:hAnsi="Times New Roman" w:eastAsia="宋体" w:cs="Times New Roman"/>
                <w:color w:val="000000"/>
                <w:szCs w:val="21"/>
                <w:highlight w:val="none"/>
              </w:rPr>
              <w:t>监测仪</w:t>
            </w:r>
          </w:p>
        </w:tc>
        <w:tc>
          <w:tcPr>
            <w:tcW w:w="1286" w:type="dxa"/>
            <w:vAlign w:val="center"/>
          </w:tcPr>
          <w:p w14:paraId="3673ECE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18544F55">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42i</w:t>
            </w:r>
          </w:p>
        </w:tc>
        <w:tc>
          <w:tcPr>
            <w:tcW w:w="1498" w:type="dxa"/>
            <w:vAlign w:val="center"/>
          </w:tcPr>
          <w:p w14:paraId="75743B8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071DA1F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2869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6E5E15BD">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w:t>
            </w:r>
          </w:p>
        </w:tc>
        <w:tc>
          <w:tcPr>
            <w:tcW w:w="791" w:type="dxa"/>
            <w:vMerge w:val="continue"/>
            <w:vAlign w:val="center"/>
          </w:tcPr>
          <w:p w14:paraId="2A74EF12">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63043F4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O</w:t>
            </w:r>
            <w:r>
              <w:rPr>
                <w:rFonts w:hint="default" w:ascii="Times New Roman" w:hAnsi="Times New Roman" w:eastAsia="宋体" w:cs="Times New Roman"/>
                <w:color w:val="000000"/>
                <w:szCs w:val="21"/>
                <w:highlight w:val="none"/>
                <w:vertAlign w:val="subscript"/>
              </w:rPr>
              <w:t>3</w:t>
            </w:r>
            <w:r>
              <w:rPr>
                <w:rFonts w:hint="default" w:ascii="Times New Roman" w:hAnsi="Times New Roman" w:eastAsia="宋体" w:cs="Times New Roman"/>
                <w:color w:val="000000"/>
                <w:szCs w:val="21"/>
                <w:highlight w:val="none"/>
              </w:rPr>
              <w:t>监测仪</w:t>
            </w:r>
          </w:p>
        </w:tc>
        <w:tc>
          <w:tcPr>
            <w:tcW w:w="1286" w:type="dxa"/>
            <w:vAlign w:val="center"/>
          </w:tcPr>
          <w:p w14:paraId="34FD954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7F5403D4">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49i</w:t>
            </w:r>
          </w:p>
        </w:tc>
        <w:tc>
          <w:tcPr>
            <w:tcW w:w="1498" w:type="dxa"/>
            <w:vAlign w:val="center"/>
          </w:tcPr>
          <w:p w14:paraId="5523C9B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58FE21F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491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99" w:type="dxa"/>
            <w:vAlign w:val="center"/>
          </w:tcPr>
          <w:p w14:paraId="7772E69C">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w:t>
            </w:r>
          </w:p>
        </w:tc>
        <w:tc>
          <w:tcPr>
            <w:tcW w:w="791" w:type="dxa"/>
            <w:vMerge w:val="continue"/>
            <w:vAlign w:val="center"/>
          </w:tcPr>
          <w:p w14:paraId="0E05D447">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10AD66F6">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SO</w:t>
            </w:r>
            <w:r>
              <w:rPr>
                <w:rFonts w:hint="default" w:ascii="Times New Roman" w:hAnsi="Times New Roman" w:eastAsia="宋体" w:cs="Times New Roman"/>
                <w:color w:val="000000"/>
                <w:szCs w:val="21"/>
                <w:highlight w:val="none"/>
                <w:vertAlign w:val="subscript"/>
              </w:rPr>
              <w:t>2</w:t>
            </w:r>
            <w:r>
              <w:rPr>
                <w:rFonts w:hint="default" w:ascii="Times New Roman" w:hAnsi="Times New Roman" w:eastAsia="宋体" w:cs="Times New Roman"/>
                <w:color w:val="000000"/>
                <w:szCs w:val="21"/>
                <w:highlight w:val="none"/>
              </w:rPr>
              <w:t>监测仪</w:t>
            </w:r>
          </w:p>
        </w:tc>
        <w:tc>
          <w:tcPr>
            <w:tcW w:w="1286" w:type="dxa"/>
            <w:vAlign w:val="center"/>
          </w:tcPr>
          <w:p w14:paraId="6753A39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0EB6ADF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43i</w:t>
            </w:r>
          </w:p>
        </w:tc>
        <w:tc>
          <w:tcPr>
            <w:tcW w:w="1498" w:type="dxa"/>
            <w:vAlign w:val="center"/>
          </w:tcPr>
          <w:p w14:paraId="113DCB9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0AB7D29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710F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0E671A15">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6</w:t>
            </w:r>
          </w:p>
        </w:tc>
        <w:tc>
          <w:tcPr>
            <w:tcW w:w="791" w:type="dxa"/>
            <w:vMerge w:val="continue"/>
            <w:vAlign w:val="center"/>
          </w:tcPr>
          <w:p w14:paraId="24605512">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1EAC6B48">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CO监测仪</w:t>
            </w:r>
          </w:p>
        </w:tc>
        <w:tc>
          <w:tcPr>
            <w:tcW w:w="1286" w:type="dxa"/>
            <w:vAlign w:val="center"/>
          </w:tcPr>
          <w:p w14:paraId="579C778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28A27619">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48i</w:t>
            </w:r>
          </w:p>
        </w:tc>
        <w:tc>
          <w:tcPr>
            <w:tcW w:w="1498" w:type="dxa"/>
            <w:vAlign w:val="center"/>
          </w:tcPr>
          <w:p w14:paraId="7B9960D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4624138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355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6CAB624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w:t>
            </w:r>
          </w:p>
        </w:tc>
        <w:tc>
          <w:tcPr>
            <w:tcW w:w="791" w:type="dxa"/>
            <w:vMerge w:val="continue"/>
            <w:vAlign w:val="center"/>
          </w:tcPr>
          <w:p w14:paraId="05E5958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53A7541B">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动态校准仪</w:t>
            </w:r>
          </w:p>
        </w:tc>
        <w:tc>
          <w:tcPr>
            <w:tcW w:w="1286" w:type="dxa"/>
            <w:vAlign w:val="center"/>
          </w:tcPr>
          <w:p w14:paraId="555282B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596ECBA7">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146i</w:t>
            </w:r>
          </w:p>
        </w:tc>
        <w:tc>
          <w:tcPr>
            <w:tcW w:w="1498" w:type="dxa"/>
            <w:vAlign w:val="center"/>
          </w:tcPr>
          <w:p w14:paraId="0A879F9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1001EFC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3BAD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12E33958">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8</w:t>
            </w:r>
          </w:p>
        </w:tc>
        <w:tc>
          <w:tcPr>
            <w:tcW w:w="791" w:type="dxa"/>
            <w:vMerge w:val="continue"/>
            <w:vAlign w:val="center"/>
          </w:tcPr>
          <w:p w14:paraId="321BAD3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6AD05B4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 w:val="18"/>
                <w:szCs w:val="18"/>
                <w:highlight w:val="none"/>
              </w:rPr>
              <w:t>▲</w:t>
            </w:r>
            <w:r>
              <w:rPr>
                <w:rFonts w:hint="default" w:ascii="Times New Roman" w:hAnsi="Times New Roman" w:eastAsia="宋体" w:cs="Times New Roman"/>
                <w:color w:val="000000"/>
                <w:szCs w:val="21"/>
                <w:highlight w:val="none"/>
              </w:rPr>
              <w:t>零气发生器</w:t>
            </w:r>
          </w:p>
        </w:tc>
        <w:tc>
          <w:tcPr>
            <w:tcW w:w="1286" w:type="dxa"/>
            <w:vAlign w:val="center"/>
          </w:tcPr>
          <w:p w14:paraId="5649FC1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赛默飞</w:t>
            </w:r>
          </w:p>
        </w:tc>
        <w:tc>
          <w:tcPr>
            <w:tcW w:w="1366" w:type="dxa"/>
            <w:vAlign w:val="center"/>
          </w:tcPr>
          <w:p w14:paraId="6F590E24">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111</w:t>
            </w:r>
          </w:p>
        </w:tc>
        <w:tc>
          <w:tcPr>
            <w:tcW w:w="1498" w:type="dxa"/>
            <w:vAlign w:val="center"/>
          </w:tcPr>
          <w:p w14:paraId="46806AB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478B078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5E1F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17037AFB">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9</w:t>
            </w:r>
          </w:p>
        </w:tc>
        <w:tc>
          <w:tcPr>
            <w:tcW w:w="791" w:type="dxa"/>
            <w:vMerge w:val="continue"/>
            <w:vAlign w:val="center"/>
          </w:tcPr>
          <w:p w14:paraId="7B91A055">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1CC0E314">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气象五参数</w:t>
            </w:r>
          </w:p>
        </w:tc>
        <w:tc>
          <w:tcPr>
            <w:tcW w:w="1286" w:type="dxa"/>
            <w:vAlign w:val="center"/>
          </w:tcPr>
          <w:p w14:paraId="2ED43608">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智翔宇</w:t>
            </w:r>
          </w:p>
        </w:tc>
        <w:tc>
          <w:tcPr>
            <w:tcW w:w="1366" w:type="dxa"/>
            <w:vAlign w:val="center"/>
          </w:tcPr>
          <w:p w14:paraId="1E299A7D">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MULTI-5P</w:t>
            </w:r>
          </w:p>
        </w:tc>
        <w:tc>
          <w:tcPr>
            <w:tcW w:w="1498" w:type="dxa"/>
            <w:vAlign w:val="center"/>
          </w:tcPr>
          <w:p w14:paraId="3D186F1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Merge w:val="continue"/>
            <w:vAlign w:val="center"/>
          </w:tcPr>
          <w:p w14:paraId="6D6BDD9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3E93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0514FEA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10</w:t>
            </w:r>
          </w:p>
        </w:tc>
        <w:tc>
          <w:tcPr>
            <w:tcW w:w="791" w:type="dxa"/>
            <w:vMerge w:val="continue"/>
            <w:vAlign w:val="center"/>
          </w:tcPr>
          <w:p w14:paraId="11797501">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7B8A6D4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太阳光度计</w:t>
            </w:r>
          </w:p>
        </w:tc>
        <w:tc>
          <w:tcPr>
            <w:tcW w:w="1286" w:type="dxa"/>
            <w:vAlign w:val="center"/>
          </w:tcPr>
          <w:p w14:paraId="088EDBF8">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KIPPZONEN</w:t>
            </w:r>
          </w:p>
        </w:tc>
        <w:tc>
          <w:tcPr>
            <w:tcW w:w="1366" w:type="dxa"/>
            <w:vAlign w:val="center"/>
          </w:tcPr>
          <w:p w14:paraId="6B995BC9">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CUV5、CMP6</w:t>
            </w:r>
          </w:p>
        </w:tc>
        <w:tc>
          <w:tcPr>
            <w:tcW w:w="1498" w:type="dxa"/>
            <w:vAlign w:val="center"/>
          </w:tcPr>
          <w:p w14:paraId="75630BA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Align w:val="center"/>
          </w:tcPr>
          <w:p w14:paraId="73C3EE2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6BBB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4E57F0F7">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11</w:t>
            </w:r>
          </w:p>
        </w:tc>
        <w:tc>
          <w:tcPr>
            <w:tcW w:w="791" w:type="dxa"/>
            <w:vAlign w:val="center"/>
          </w:tcPr>
          <w:p w14:paraId="1EC40F4C">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628B88BC">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颗粒物OC/EC分析仪</w:t>
            </w:r>
          </w:p>
        </w:tc>
        <w:tc>
          <w:tcPr>
            <w:tcW w:w="1286" w:type="dxa"/>
            <w:vAlign w:val="center"/>
          </w:tcPr>
          <w:p w14:paraId="1E0981F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SUNSET</w:t>
            </w:r>
          </w:p>
        </w:tc>
        <w:tc>
          <w:tcPr>
            <w:tcW w:w="1366" w:type="dxa"/>
            <w:vAlign w:val="center"/>
          </w:tcPr>
          <w:p w14:paraId="6DCCC41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RT-4</w:t>
            </w:r>
          </w:p>
        </w:tc>
        <w:tc>
          <w:tcPr>
            <w:tcW w:w="1498" w:type="dxa"/>
            <w:vAlign w:val="center"/>
          </w:tcPr>
          <w:p w14:paraId="638C7A6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Align w:val="center"/>
          </w:tcPr>
          <w:p w14:paraId="1F3FC02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w:t>
            </w:r>
          </w:p>
        </w:tc>
      </w:tr>
      <w:tr w14:paraId="04C0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262AB566">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12</w:t>
            </w:r>
          </w:p>
        </w:tc>
        <w:tc>
          <w:tcPr>
            <w:tcW w:w="791" w:type="dxa"/>
            <w:vAlign w:val="center"/>
          </w:tcPr>
          <w:p w14:paraId="4F7DC313">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26B1928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颗粒物重金属分析仪</w:t>
            </w:r>
          </w:p>
        </w:tc>
        <w:tc>
          <w:tcPr>
            <w:tcW w:w="1286" w:type="dxa"/>
            <w:vAlign w:val="center"/>
          </w:tcPr>
          <w:p w14:paraId="054E6091">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Cooper</w:t>
            </w:r>
          </w:p>
        </w:tc>
        <w:tc>
          <w:tcPr>
            <w:tcW w:w="1366" w:type="dxa"/>
            <w:vAlign w:val="center"/>
          </w:tcPr>
          <w:p w14:paraId="2ADB5E4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Xact 625</w:t>
            </w:r>
          </w:p>
        </w:tc>
        <w:tc>
          <w:tcPr>
            <w:tcW w:w="1498" w:type="dxa"/>
            <w:vAlign w:val="center"/>
          </w:tcPr>
          <w:p w14:paraId="3CBC040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汾湖超级站</w:t>
            </w:r>
          </w:p>
        </w:tc>
        <w:tc>
          <w:tcPr>
            <w:tcW w:w="1246" w:type="dxa"/>
            <w:vAlign w:val="center"/>
          </w:tcPr>
          <w:p w14:paraId="13F3A2F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w:t>
            </w:r>
          </w:p>
        </w:tc>
      </w:tr>
      <w:tr w14:paraId="7151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6B45ADDF">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13</w:t>
            </w:r>
          </w:p>
        </w:tc>
        <w:tc>
          <w:tcPr>
            <w:tcW w:w="791" w:type="dxa"/>
            <w:vAlign w:val="center"/>
          </w:tcPr>
          <w:p w14:paraId="6B2C23FE">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176DBB57">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颗粒物OC/EC分析仪</w:t>
            </w:r>
          </w:p>
        </w:tc>
        <w:tc>
          <w:tcPr>
            <w:tcW w:w="1286" w:type="dxa"/>
            <w:vAlign w:val="center"/>
          </w:tcPr>
          <w:p w14:paraId="67B8BA04">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SUNSET</w:t>
            </w:r>
          </w:p>
        </w:tc>
        <w:tc>
          <w:tcPr>
            <w:tcW w:w="1366" w:type="dxa"/>
            <w:vAlign w:val="center"/>
          </w:tcPr>
          <w:p w14:paraId="34C51B3F">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RT-4</w:t>
            </w:r>
          </w:p>
        </w:tc>
        <w:tc>
          <w:tcPr>
            <w:tcW w:w="1498" w:type="dxa"/>
            <w:vAlign w:val="center"/>
          </w:tcPr>
          <w:p w14:paraId="08B31A0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大气多参数站</w:t>
            </w:r>
          </w:p>
        </w:tc>
        <w:tc>
          <w:tcPr>
            <w:tcW w:w="1246" w:type="dxa"/>
            <w:vAlign w:val="center"/>
          </w:tcPr>
          <w:p w14:paraId="59FA45B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w:t>
            </w:r>
          </w:p>
        </w:tc>
      </w:tr>
      <w:tr w14:paraId="48C1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9" w:type="dxa"/>
            <w:vAlign w:val="center"/>
          </w:tcPr>
          <w:p w14:paraId="67454D0B">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14</w:t>
            </w:r>
          </w:p>
        </w:tc>
        <w:tc>
          <w:tcPr>
            <w:tcW w:w="791" w:type="dxa"/>
            <w:vAlign w:val="center"/>
          </w:tcPr>
          <w:p w14:paraId="68A98306">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714" w:type="dxa"/>
            <w:vAlign w:val="center"/>
          </w:tcPr>
          <w:p w14:paraId="4A1469D3">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甲烷-非甲烷总烃分析仪</w:t>
            </w:r>
          </w:p>
        </w:tc>
        <w:tc>
          <w:tcPr>
            <w:tcW w:w="1286" w:type="dxa"/>
            <w:vAlign w:val="center"/>
          </w:tcPr>
          <w:p w14:paraId="0C2CAC08">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谱育科技</w:t>
            </w:r>
          </w:p>
        </w:tc>
        <w:tc>
          <w:tcPr>
            <w:tcW w:w="1366" w:type="dxa"/>
            <w:vAlign w:val="center"/>
          </w:tcPr>
          <w:p w14:paraId="28D0635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EXPEC 2000</w:t>
            </w:r>
          </w:p>
        </w:tc>
        <w:tc>
          <w:tcPr>
            <w:tcW w:w="1498" w:type="dxa"/>
            <w:vAlign w:val="center"/>
          </w:tcPr>
          <w:p w14:paraId="5D80799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大气多参数站</w:t>
            </w:r>
          </w:p>
        </w:tc>
        <w:tc>
          <w:tcPr>
            <w:tcW w:w="1246" w:type="dxa"/>
            <w:vAlign w:val="center"/>
          </w:tcPr>
          <w:p w14:paraId="24C5866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w:t>
            </w:r>
          </w:p>
        </w:tc>
      </w:tr>
      <w:tr w14:paraId="45A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254" w:type="dxa"/>
            <w:gridSpan w:val="6"/>
            <w:vAlign w:val="center"/>
          </w:tcPr>
          <w:p w14:paraId="166215E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合计</w:t>
            </w:r>
          </w:p>
        </w:tc>
        <w:tc>
          <w:tcPr>
            <w:tcW w:w="1246" w:type="dxa"/>
            <w:vAlign w:val="center"/>
          </w:tcPr>
          <w:p w14:paraId="4BEFB29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w:t>
            </w:r>
          </w:p>
        </w:tc>
      </w:tr>
    </w:tbl>
    <w:p w14:paraId="4D74FE81">
      <w:pPr>
        <w:pageBreakBefore w:val="0"/>
        <w:kinsoku/>
        <w:wordWrap/>
        <w:overflowPunct/>
        <w:topLinePunct w:val="0"/>
        <w:bidi w:val="0"/>
        <w:spacing w:line="360" w:lineRule="auto"/>
        <w:rPr>
          <w:rFonts w:hint="default" w:ascii="Times New Roman" w:hAnsi="Times New Roman" w:eastAsia="宋体" w:cs="Times New Roman"/>
          <w:szCs w:val="21"/>
          <w:highlight w:val="none"/>
        </w:rPr>
      </w:pPr>
    </w:p>
    <w:p w14:paraId="1C546784">
      <w:pPr>
        <w:pageBreakBefore w:val="0"/>
        <w:kinsoku/>
        <w:wordWrap/>
        <w:overflowPunct/>
        <w:topLinePunct w:val="0"/>
        <w:bidi w:val="0"/>
        <w:spacing w:line="360" w:lineRule="auto"/>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二、项目总体需求</w:t>
      </w:r>
    </w:p>
    <w:p w14:paraId="6D1405D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2.1投标人应提供详细的运维管理服务方案。</w:t>
      </w:r>
    </w:p>
    <w:p w14:paraId="3430457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2.2投标人应至少配备如下数量的质量控制设备，包括配套的流量计（须具备计量检定部门的校准报告）、各种标气、臭氧校准仪等。</w:t>
      </w:r>
    </w:p>
    <w:p w14:paraId="3AE4FF81">
      <w:pPr>
        <w:pageBreakBefore w:val="0"/>
        <w:kinsoku/>
        <w:wordWrap/>
        <w:overflowPunct/>
        <w:topLinePunct w:val="0"/>
        <w:bidi w:val="0"/>
        <w:spacing w:line="360" w:lineRule="auto"/>
        <w:ind w:left="420" w:leftChars="200"/>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表2-1</w:t>
      </w:r>
      <w:r>
        <w:rPr>
          <w:rFonts w:hint="default" w:ascii="Times New Roman" w:hAnsi="Times New Roman" w:eastAsia="宋体" w:cs="Times New Roman"/>
          <w:szCs w:val="21"/>
          <w:highlight w:val="none"/>
        </w:rPr>
        <w:t>投标人配备质量控制设备</w:t>
      </w:r>
      <w:r>
        <w:rPr>
          <w:rFonts w:hint="default" w:ascii="Times New Roman" w:hAnsi="Times New Roman" w:eastAsia="宋体" w:cs="Times New Roman"/>
          <w:bCs/>
          <w:szCs w:val="21"/>
          <w:highlight w:val="none"/>
        </w:rPr>
        <w:t>清单</w:t>
      </w:r>
    </w:p>
    <w:tbl>
      <w:tblPr>
        <w:tblStyle w:val="48"/>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4708"/>
      </w:tblGrid>
      <w:tr w14:paraId="0570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3250" w:type="dxa"/>
            <w:shd w:val="clear" w:color="auto" w:fill="BFBFBF"/>
            <w:vAlign w:val="center"/>
          </w:tcPr>
          <w:p w14:paraId="7E2AD09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质控设备名称</w:t>
            </w:r>
          </w:p>
        </w:tc>
        <w:tc>
          <w:tcPr>
            <w:tcW w:w="4708" w:type="dxa"/>
            <w:shd w:val="clear" w:color="auto" w:fill="BFBFBF"/>
            <w:vAlign w:val="center"/>
          </w:tcPr>
          <w:p w14:paraId="4B909A0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数量</w:t>
            </w:r>
          </w:p>
        </w:tc>
      </w:tr>
      <w:tr w14:paraId="7B51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3250" w:type="dxa"/>
            <w:vAlign w:val="center"/>
          </w:tcPr>
          <w:p w14:paraId="56BE20F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标准流量计</w:t>
            </w:r>
          </w:p>
          <w:p w14:paraId="5702BA0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4708" w:type="dxa"/>
            <w:vAlign w:val="center"/>
          </w:tcPr>
          <w:p w14:paraId="1EA6AD4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大、小流量各1套</w:t>
            </w:r>
          </w:p>
        </w:tc>
      </w:tr>
      <w:tr w14:paraId="447A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jc w:val="center"/>
        </w:trPr>
        <w:tc>
          <w:tcPr>
            <w:tcW w:w="3250" w:type="dxa"/>
            <w:vAlign w:val="center"/>
          </w:tcPr>
          <w:p w14:paraId="7AA50E3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标准气压计</w:t>
            </w:r>
          </w:p>
        </w:tc>
        <w:tc>
          <w:tcPr>
            <w:tcW w:w="4708" w:type="dxa"/>
            <w:vAlign w:val="center"/>
          </w:tcPr>
          <w:p w14:paraId="291FCFF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1C6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exact"/>
          <w:jc w:val="center"/>
        </w:trPr>
        <w:tc>
          <w:tcPr>
            <w:tcW w:w="3250" w:type="dxa"/>
            <w:vAlign w:val="center"/>
          </w:tcPr>
          <w:p w14:paraId="190B8C0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标准温度计</w:t>
            </w:r>
          </w:p>
        </w:tc>
        <w:tc>
          <w:tcPr>
            <w:tcW w:w="4708" w:type="dxa"/>
            <w:vAlign w:val="center"/>
          </w:tcPr>
          <w:p w14:paraId="6B07916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5F39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3250" w:type="dxa"/>
            <w:vAlign w:val="center"/>
          </w:tcPr>
          <w:p w14:paraId="52AA015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各种标准气体</w:t>
            </w:r>
          </w:p>
        </w:tc>
        <w:tc>
          <w:tcPr>
            <w:tcW w:w="4708" w:type="dxa"/>
            <w:vAlign w:val="center"/>
          </w:tcPr>
          <w:p w14:paraId="5F01B2E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根据使用情况</w:t>
            </w:r>
          </w:p>
        </w:tc>
      </w:tr>
      <w:tr w14:paraId="2783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3250" w:type="dxa"/>
            <w:vAlign w:val="center"/>
          </w:tcPr>
          <w:p w14:paraId="31A7F4E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零气发生器</w:t>
            </w:r>
          </w:p>
        </w:tc>
        <w:tc>
          <w:tcPr>
            <w:tcW w:w="4708" w:type="dxa"/>
            <w:vAlign w:val="center"/>
          </w:tcPr>
          <w:p w14:paraId="136BBEC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7357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3250" w:type="dxa"/>
            <w:vAlign w:val="center"/>
          </w:tcPr>
          <w:p w14:paraId="7EADA44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动态校准仪</w:t>
            </w:r>
          </w:p>
        </w:tc>
        <w:tc>
          <w:tcPr>
            <w:tcW w:w="4708" w:type="dxa"/>
            <w:vAlign w:val="center"/>
          </w:tcPr>
          <w:p w14:paraId="66840F9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r w14:paraId="778D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exact"/>
          <w:jc w:val="center"/>
        </w:trPr>
        <w:tc>
          <w:tcPr>
            <w:tcW w:w="3250" w:type="dxa"/>
            <w:vAlign w:val="center"/>
          </w:tcPr>
          <w:p w14:paraId="04FBD40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臭氧校准仪</w:t>
            </w:r>
          </w:p>
        </w:tc>
        <w:tc>
          <w:tcPr>
            <w:tcW w:w="4708" w:type="dxa"/>
            <w:vAlign w:val="center"/>
          </w:tcPr>
          <w:p w14:paraId="4C01AE70">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r>
    </w:tbl>
    <w:p w14:paraId="1A73054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2.3投标人应为运维人员配备专用仪器维修工具（包括万用表、工具箱等）、通讯调试工具（包括各种硬件接口线、改线工具、接口调试软件及常用零部件等）。</w:t>
      </w:r>
    </w:p>
    <w:p w14:paraId="499EBD6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投标人应制定本地化的运维服务方案，需保证仪器故障发生时间4小时内(8:00-22:00)或8小时内（22:00-8:00）赶到现场进行处理。对于一些易于排除的故障，维修时间不应超过12小时；对不易诊断和维修的仪器故障，若48小时内无法排除，应安装备用仪器（限表1-1打▲部分）。</w:t>
      </w:r>
    </w:p>
    <w:p w14:paraId="69D3EF6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2.5投标人至少配备与表1-1中打▲部分的分析仪备机各1套。</w:t>
      </w:r>
    </w:p>
    <w:p w14:paraId="02933E7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2.6投标人应提供完整的运维人员管理方案，具备应对人员流动的应急预案，提出解决技术人员队伍稳定的措施，并配备2台专用车辆用于保障。</w:t>
      </w:r>
    </w:p>
    <w:p w14:paraId="65D0607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2.7在空气自动监测系统代维及管理期间，投标人应严格按照业主制订的操作规范和规章制度，对所管理的系统及仪器设备进行规范操作和精心维护及必要维修，保证系统及仪器设备的正常运行，达到业主提出的系统及仪器设备考核指标要求。中标运行维护商必须接受中国环境监测总站、江苏省环境监测中心、第三方质控、用户的定期、不定期检查和考核。</w:t>
      </w:r>
    </w:p>
    <w:p w14:paraId="06111A5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2.8在该设备代维及管理期间，未经允许，承担运维单位不得以直接、间接、口头或书面等形式将观测数据披露给其他人员或第三方单位，因数据泄露而造成业主损失，业主将通过法律途径向投标人索赔。</w:t>
      </w:r>
    </w:p>
    <w:p w14:paraId="592C17B4">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2.9 投标人中标后需承担该项目所运维设备的所有耗材及设备维修。</w:t>
      </w:r>
    </w:p>
    <w:p w14:paraId="0B9632A7">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2.10投标人中标后需承担合同期内汾湖超站运行35%的电费支出。</w:t>
      </w:r>
    </w:p>
    <w:p w14:paraId="1C21F77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2.11投标人中标应根据所运维仪器特性，编制相应的运维、质控记录表单，每月提交运维记录。</w:t>
      </w:r>
    </w:p>
    <w:p w14:paraId="0571B6B8">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2.12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并依据运维总结报告制作汇报材料（PPT）向业主进行总结性汇报。</w:t>
      </w:r>
    </w:p>
    <w:p w14:paraId="767B6CA2">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2.13辅助服务要求</w:t>
      </w:r>
    </w:p>
    <w:p w14:paraId="7803811A">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2.13.1仪器发生故障时，配合业主开展仪器维修相关工作；</w:t>
      </w:r>
    </w:p>
    <w:p w14:paraId="550845E9">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2.13.2运维期满后，配合业主进行仪器交接，交接期间承担仪器正常运维工作。</w:t>
      </w:r>
    </w:p>
    <w:p w14:paraId="397CC532">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bookmarkStart w:id="135" w:name="_Hlk213405278"/>
      <w:r>
        <w:rPr>
          <w:rFonts w:hint="default" w:ascii="Times New Roman" w:hAnsi="Times New Roman" w:eastAsia="宋体" w:cs="Times New Roman"/>
          <w:bCs/>
          <w:szCs w:val="21"/>
          <w:highlight w:val="none"/>
        </w:rPr>
        <w:t>2.14 网络安全： 投标人须确保站点网络使用安全，未经同意严禁在工控机中加装各类远程软件，QQ、微信等数据传输、聊天软件。</w:t>
      </w:r>
    </w:p>
    <w:bookmarkEnd w:id="135"/>
    <w:p w14:paraId="1952F56E">
      <w:pPr>
        <w:pStyle w:val="2"/>
        <w:pageBreakBefore w:val="0"/>
        <w:kinsoku/>
        <w:wordWrap/>
        <w:overflowPunct/>
        <w:topLinePunct w:val="0"/>
        <w:bidi w:val="0"/>
        <w:spacing w:line="360" w:lineRule="auto"/>
        <w:ind w:left="1260"/>
        <w:rPr>
          <w:rFonts w:hint="default" w:ascii="Times New Roman" w:hAnsi="Times New Roman" w:eastAsia="宋体" w:cs="Times New Roman"/>
          <w:szCs w:val="21"/>
          <w:highlight w:val="none"/>
        </w:rPr>
      </w:pPr>
    </w:p>
    <w:p w14:paraId="31B4DF5D">
      <w:pPr>
        <w:pageBreakBefore w:val="0"/>
        <w:kinsoku/>
        <w:wordWrap/>
        <w:overflowPunct/>
        <w:topLinePunct w:val="0"/>
        <w:bidi w:val="0"/>
        <w:spacing w:line="360" w:lineRule="auto"/>
        <w:ind w:firstLine="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三、汾湖超站常规监测设备运维项目需求</w:t>
      </w:r>
    </w:p>
    <w:p w14:paraId="02E9C9A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3.1运行维护工作目标</w:t>
      </w:r>
    </w:p>
    <w:p w14:paraId="5DE903F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3.1.1设备在线率：开展运维服务期间，需确保表1中常规6参数分析仪在线率不得低于90%（仪器在线率=仪器实际运行时间/仪器可运行时间）</w:t>
      </w:r>
    </w:p>
    <w:p w14:paraId="4F4A432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6EFFC60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3.1.2有效数据获取率：开展运维服务期间，需确保表1-1中常规6参数分析仪有效数据获取率不得低于80%（有效数据获取率=有效监测数据量/获取监测数据量）</w:t>
      </w:r>
    </w:p>
    <w:p w14:paraId="655DBD1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3.2运维工作内容</w:t>
      </w:r>
    </w:p>
    <w:p w14:paraId="582CB3A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3.2.1站点的日常运行维护；</w:t>
      </w:r>
    </w:p>
    <w:p w14:paraId="45F5481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3.2.2协助完成站点的设备维修工作（相关维修费用由甲方支出）；</w:t>
      </w:r>
    </w:p>
    <w:p w14:paraId="6DDB7132">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3.2.3定期开展汾湖超级站的站房维护工作，包括站房本体维护、空调系统维护、电路维护、站房防雷防水等；</w:t>
      </w:r>
    </w:p>
    <w:p w14:paraId="1692790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3.3运维工作要求</w:t>
      </w:r>
    </w:p>
    <w:p w14:paraId="0C3926A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bookmarkStart w:id="136" w:name="_Toc420511653"/>
      <w:r>
        <w:rPr>
          <w:rFonts w:hint="default" w:ascii="Times New Roman" w:hAnsi="Times New Roman" w:eastAsia="宋体" w:cs="Times New Roman"/>
          <w:bCs/>
          <w:szCs w:val="21"/>
          <w:highlight w:val="none"/>
        </w:rPr>
        <w:t>3.3.1每日检查</w:t>
      </w:r>
      <w:bookmarkEnd w:id="136"/>
      <w:r>
        <w:rPr>
          <w:rFonts w:hint="default" w:ascii="Times New Roman" w:hAnsi="Times New Roman" w:eastAsia="宋体" w:cs="Times New Roman"/>
          <w:bCs/>
          <w:szCs w:val="21"/>
          <w:highlight w:val="none"/>
        </w:rPr>
        <w:t>;：每两小时远程查看一次监测数据，分析监测数据异常情况，对站点运行情况进行远程诊断和运行管理，同时做好记录；</w:t>
      </w:r>
    </w:p>
    <w:p w14:paraId="078CC83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3.3.2每周巡检：运维人员每周至少巡检空气自动监测站1次，并做好巡查记录，主要工作包括站房基本功能检查、监测仪运行参数检查和维护等、安全检查和卫生打扫。按业主安排的值班表每周在站房值班一天，开展清洁卫生和安全检查工作。</w:t>
      </w:r>
    </w:p>
    <w:p w14:paraId="3EE9768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3.3.2.1站房基本功能及安全检查：运维人员进入站房后，应对站点内外环境及站房基本功能是否正常做出检查，并填写相关记录：</w:t>
      </w:r>
    </w:p>
    <w:p w14:paraId="1D756B7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（1）站房照明系统是否正常；</w:t>
      </w:r>
    </w:p>
    <w:p w14:paraId="3CA7A9B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（2）室内温湿度是否正常；</w:t>
      </w:r>
    </w:p>
    <w:p w14:paraId="0725A46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（3）站房有无漏水、破损现象；</w:t>
      </w:r>
    </w:p>
    <w:p w14:paraId="4A20A04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（4）检查排气扇是否正常运转、废气排放口管线等是否正常；</w:t>
      </w:r>
    </w:p>
    <w:p w14:paraId="60B127E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（5）检查文件（包括维护报表及操作手册）是否归定位；</w:t>
      </w:r>
    </w:p>
    <w:p w14:paraId="07554CB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（6）站点周边有无新增或减少污染源（建筑工地、烟囱等）；</w:t>
      </w:r>
    </w:p>
    <w:p w14:paraId="6E6C18D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3.3.2.2仪器设备功能参数检查及维护：运维人员应对各仪器设备参数进行检查，包括：</w:t>
      </w:r>
    </w:p>
    <w:p w14:paraId="4401B13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（1）查看设备是否齐备，是否有丢失和损坏；检查接地线路是否可靠，排风排气装置工作是否正常，标准气钢瓶阀门是否漏气，标准气的消耗情况；检查各仪器的运行状况，保证系统运行顺畅。</w:t>
      </w:r>
    </w:p>
    <w:p w14:paraId="0FF8855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（2）检查采样和排气管路是否有漏气或堵塞现象，各分析仪器采样流量是否正常。</w:t>
      </w:r>
    </w:p>
    <w:p w14:paraId="4C2025D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（3）检查站点的通讯系统，保证站点与远程监控中心的连接正常，数据传输正常；</w:t>
      </w:r>
    </w:p>
    <w:p w14:paraId="0858444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（4）检查监测仪器的采样入口与采样支路管线结合部之间安装的过滤膜的污染情况，每周更换滤膜；</w:t>
      </w:r>
    </w:p>
    <w:p w14:paraId="3D413BB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（5）对颗粒物的采样纸带或滤膜进行检查，如纸带即将用尽，及时进行更换；检查颗粒物分析仪的温度、压力传感器和时钟。</w:t>
      </w:r>
    </w:p>
    <w:p w14:paraId="0A9C3A4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（6）对二氧化硫、一氧化碳、臭氧、氮氧化物等分析仪进行零点及标点检查，如果漂移超过国家相关规范要求，需要进行手工校准。</w:t>
      </w:r>
    </w:p>
    <w:p w14:paraId="2674F0D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（7）对气象仪器及太阳辐射强度计的运行情况进行检查；</w:t>
      </w:r>
    </w:p>
    <w:p w14:paraId="6F4743C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（8）在冬、夏季节应注意站点房室内外温差，若温差较大，应及时改变站房温度或对采样总管采取适当的控制措施，防止冷凝现象。</w:t>
      </w:r>
    </w:p>
    <w:p w14:paraId="1C00694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3.3.3月度巡检：</w:t>
      </w:r>
    </w:p>
    <w:p w14:paraId="56D2F0E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3.3.3.1清洗颗粒物分析仪切割器，检查β法颗粒物分析仪仪器喷嘴、压环等部件，当出现AQI值大于等于200以上的重污染天气后，应及时清洗切割器，任何情况下应保证切割器的清洁；</w:t>
      </w:r>
    </w:p>
    <w:p w14:paraId="7570A54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3.3.3.2检查颗粒物分析仪监测仪、气态污染物分析仪、动态校准仪流量，如果超过国家相关规范要求，需要进行校准，检查仪器是否漏气。校准和检查颗粒物分析仪的温度、气压和时钟。</w:t>
      </w:r>
    </w:p>
    <w:p w14:paraId="7D81B36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3.3.3.3 检查仪器显示的数据和采集仪的数据之间的一致性；</w:t>
      </w:r>
    </w:p>
    <w:p w14:paraId="73CCD7E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3.3.3.4对数据进行备份。</w:t>
      </w:r>
    </w:p>
    <w:p w14:paraId="14829BA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3.3.3.5使用指北针或指南针核查气象参数监测仪指北是否无误（偏差超过15°需进行校准）</w:t>
      </w:r>
    </w:p>
    <w:p w14:paraId="7199D8B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3.3.4季度巡检：</w:t>
      </w:r>
    </w:p>
    <w:p w14:paraId="361CB5A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3.3.4.1至少清洗一次采样总管及采样风机；</w:t>
      </w:r>
    </w:p>
    <w:p w14:paraId="0671D68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3.3.4.2对气态分析仪进行多点线性检查。</w:t>
      </w:r>
    </w:p>
    <w:p w14:paraId="5840EE5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3.3.4.3对颗粒物进行标准膜检查或K0值检查，如果超过国家规范或说明书规定的限值，需要进行校准。</w:t>
      </w:r>
    </w:p>
    <w:p w14:paraId="4E04308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3.3.5半年巡检：</w:t>
      </w:r>
    </w:p>
    <w:p w14:paraId="11C6C2B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3.3.5.1检查颗粒物分析仪相对湿度、温度传感器和动态加热装置是否正常工作；</w:t>
      </w:r>
    </w:p>
    <w:p w14:paraId="1128191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3.3.5.2对动态校准仪流量进行检查，必要时校准，采用经省环境监测中心溯源的臭氧标准传递设备对站点校准设备进行传递，更换零气源净化剂和氧化剂，对零气性能进行检查；</w:t>
      </w:r>
    </w:p>
    <w:p w14:paraId="4A56FC1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3.3.5.3 检查氮氧化物分析仪钼炉转化率。</w:t>
      </w:r>
    </w:p>
    <w:p w14:paraId="0612DB4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3.3.5.4每半年使用原厂校准设备校准能见度分析仪，并提交校准报告</w:t>
      </w:r>
    </w:p>
    <w:p w14:paraId="1C73C8A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3.3.6年度巡检：</w:t>
      </w:r>
    </w:p>
    <w:p w14:paraId="20E4900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3.3.6.1对所有仪器进行预防性维护，按仪器说明书的要求更换备件。</w:t>
      </w:r>
    </w:p>
    <w:p w14:paraId="7B76E1B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3.3.6.2维护所有泵组件（易损件），必要时更换。</w:t>
      </w:r>
    </w:p>
    <w:p w14:paraId="1ABF1782">
      <w:pPr>
        <w:pageBreakBefore w:val="0"/>
        <w:kinsoku/>
        <w:wordWrap/>
        <w:overflowPunct/>
        <w:topLinePunct w:val="0"/>
        <w:bidi w:val="0"/>
        <w:spacing w:line="360" w:lineRule="auto"/>
        <w:ind w:firstLine="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四、EC/OC分析仪运维项目需求：</w:t>
      </w:r>
    </w:p>
    <w:p w14:paraId="2FF595D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4.1运行维护工作目标</w:t>
      </w:r>
    </w:p>
    <w:p w14:paraId="7B823B1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4.1.1设备在线率：开展运维服务期间，需确保仪器在线率不得低于90%（仪器在线率=仪器实际运行时间/仪器可运行时间）</w:t>
      </w:r>
    </w:p>
    <w:p w14:paraId="4E22917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1F344D0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4.1.2有效数据获取率：开展运维服务期间，需确保仪器有效数据获取率不得低于80%（有效数据获取率=有效监测数据量/获取监测数据量）</w:t>
      </w:r>
    </w:p>
    <w:p w14:paraId="347C504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4.2技术运维要求</w:t>
      </w:r>
    </w:p>
    <w:p w14:paraId="2021616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4.2.1每日例行检查</w:t>
      </w:r>
    </w:p>
    <w:p w14:paraId="3BA1A40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运维人员每天需远程登录一次查看仪器各项参数是否正常</w:t>
      </w:r>
    </w:p>
    <w:p w14:paraId="431F4A1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4.2.2每周进行一次巡检，检查仪器运行参数、进行滤膜更换、采样流量调整、空白检查并做好原始记录，同时根据监测数据分析仪器切割点是否正常；</w:t>
      </w:r>
    </w:p>
    <w:p w14:paraId="2269ECC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4.2.3每季度进行denuder的碳膜更换与检查；</w:t>
      </w:r>
    </w:p>
    <w:p w14:paraId="54AD96B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4.2.4根据颗粒物污染情况，定期采样头清洗（最少每个月清洗一次），确保数据的正常性；</w:t>
      </w:r>
    </w:p>
    <w:p w14:paraId="227CA19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4.2.5每年度进行仪器保养，采样系统气路清洁。</w:t>
      </w:r>
    </w:p>
    <w:p w14:paraId="224FB19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4.2.6钢瓶气体损耗统计，一用一备，确保仪器连续正常运转；</w:t>
      </w:r>
    </w:p>
    <w:p w14:paraId="665BB26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4.2.7分析仪如果遇到故障，及时报备业主并进行故障排查，积极配合厂家进行设备维修。</w:t>
      </w:r>
    </w:p>
    <w:p w14:paraId="66D747F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4.2.8发现设备数据异常后，2小时内远程检查监测数据质量，并告知用户异常情况，初步分析质控数据异常原因，为用户提供科学诊断仪器状态建议。</w:t>
      </w:r>
    </w:p>
    <w:p w14:paraId="6BF0E44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4.2.9大型活动保障，质控服务方依据用户提前通知的要求，在年度内有大型赛事、活动和重污染物天气时间段内，提供加密质控保障工作。</w:t>
      </w:r>
    </w:p>
    <w:p w14:paraId="1372B3A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4.2.10夏季每周进行冷凝水的检查，确保设备的运转正常与数据的可靠。</w:t>
      </w:r>
    </w:p>
    <w:p w14:paraId="32625C7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4.3质控要求</w:t>
      </w:r>
    </w:p>
    <w:p w14:paraId="028127E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4.3.1仪器运行期间，每月进行载气流量传感器校准，并做好相应记录。</w:t>
      </w:r>
    </w:p>
    <w:p w14:paraId="2FE596E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4.3.2每两个月进行标准蔗糖溶液标定，偏差不得超过10%。</w:t>
      </w:r>
    </w:p>
    <w:p w14:paraId="15D9D8CF">
      <w:pPr>
        <w:pageBreakBefore w:val="0"/>
        <w:kinsoku/>
        <w:wordWrap/>
        <w:overflowPunct/>
        <w:topLinePunct w:val="0"/>
        <w:bidi w:val="0"/>
        <w:spacing w:line="360" w:lineRule="auto"/>
        <w:ind w:firstLine="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五、无机元素分析仪运维项目需求：</w:t>
      </w:r>
    </w:p>
    <w:p w14:paraId="615F47F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5.1运行维护工作目标</w:t>
      </w:r>
    </w:p>
    <w:p w14:paraId="1F59264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5.1.1设备在线率：开展运维服务期间，需确保仪器在线率不得低于90%（仪器在线率=仪器实际运行时间/仪器可运行时间）</w:t>
      </w:r>
    </w:p>
    <w:p w14:paraId="3A1F21B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575CC60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5.1.2有效数据获取率：开展运维服务期间，需确保仪器有效数据获取率不得低于80%（有效数据获取率=有效监测数据量/获取监测数据量）</w:t>
      </w:r>
    </w:p>
    <w:p w14:paraId="1D264AB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5.2技术运维要求</w:t>
      </w:r>
    </w:p>
    <w:p w14:paraId="610C591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5.2.1</w:t>
      </w: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日</w:t>
      </w:r>
      <w:r>
        <w:rPr>
          <w:rFonts w:hint="default" w:ascii="Times New Roman" w:hAnsi="Times New Roman" w:eastAsia="宋体" w:cs="Times New Roman"/>
          <w:spacing w:val="-2"/>
          <w:position w:val="-1"/>
          <w:szCs w:val="21"/>
          <w:highlight w:val="none"/>
        </w:rPr>
        <w:t>监</w:t>
      </w:r>
      <w:r>
        <w:rPr>
          <w:rFonts w:hint="default" w:ascii="Times New Roman" w:hAnsi="Times New Roman" w:eastAsia="宋体" w:cs="Times New Roman"/>
          <w:position w:val="-1"/>
          <w:szCs w:val="21"/>
          <w:highlight w:val="none"/>
        </w:rPr>
        <w:t>控</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容：</w:t>
      </w:r>
      <w:r>
        <w:rPr>
          <w:rFonts w:hint="default" w:ascii="Times New Roman" w:hAnsi="Times New Roman" w:eastAsia="宋体" w:cs="Times New Roman"/>
          <w:szCs w:val="21"/>
          <w:highlight w:val="none"/>
        </w:rPr>
        <w:t>检</w:t>
      </w:r>
      <w:r>
        <w:rPr>
          <w:rFonts w:hint="default" w:ascii="Times New Roman" w:hAnsi="Times New Roman" w:eastAsia="宋体" w:cs="Times New Roman"/>
          <w:spacing w:val="-2"/>
          <w:szCs w:val="21"/>
          <w:highlight w:val="none"/>
        </w:rPr>
        <w:t>查</w:t>
      </w:r>
      <w:r>
        <w:rPr>
          <w:rFonts w:hint="default" w:ascii="Times New Roman" w:hAnsi="Times New Roman" w:eastAsia="宋体" w:cs="Times New Roman"/>
          <w:szCs w:val="21"/>
          <w:highlight w:val="none"/>
        </w:rPr>
        <w:t>仪</w:t>
      </w:r>
      <w:r>
        <w:rPr>
          <w:rFonts w:hint="default" w:ascii="Times New Roman" w:hAnsi="Times New Roman" w:eastAsia="宋体" w:cs="Times New Roman"/>
          <w:spacing w:val="-2"/>
          <w:szCs w:val="21"/>
          <w:highlight w:val="none"/>
        </w:rPr>
        <w:t>器</w:t>
      </w:r>
      <w:r>
        <w:rPr>
          <w:rFonts w:hint="default" w:ascii="Times New Roman" w:hAnsi="Times New Roman" w:eastAsia="宋体" w:cs="Times New Roman"/>
          <w:szCs w:val="21"/>
          <w:highlight w:val="none"/>
        </w:rPr>
        <w:t>运</w:t>
      </w:r>
      <w:r>
        <w:rPr>
          <w:rFonts w:hint="default" w:ascii="Times New Roman" w:hAnsi="Times New Roman" w:eastAsia="宋体" w:cs="Times New Roman"/>
          <w:spacing w:val="-2"/>
          <w:szCs w:val="21"/>
          <w:highlight w:val="none"/>
        </w:rPr>
        <w:t>行</w:t>
      </w:r>
      <w:r>
        <w:rPr>
          <w:rFonts w:hint="default" w:ascii="Times New Roman" w:hAnsi="Times New Roman" w:eastAsia="宋体" w:cs="Times New Roman"/>
          <w:szCs w:val="21"/>
          <w:highlight w:val="none"/>
        </w:rPr>
        <w:t>状</w:t>
      </w:r>
      <w:r>
        <w:rPr>
          <w:rFonts w:hint="default" w:ascii="Times New Roman" w:hAnsi="Times New Roman" w:eastAsia="宋体" w:cs="Times New Roman"/>
          <w:spacing w:val="-2"/>
          <w:szCs w:val="21"/>
          <w:highlight w:val="none"/>
        </w:rPr>
        <w:t>态</w:t>
      </w:r>
      <w:r>
        <w:rPr>
          <w:rFonts w:hint="default" w:ascii="Times New Roman" w:hAnsi="Times New Roman" w:eastAsia="宋体" w:cs="Times New Roman"/>
          <w:spacing w:val="-12"/>
          <w:szCs w:val="21"/>
          <w:highlight w:val="none"/>
        </w:rPr>
        <w:t>，</w:t>
      </w:r>
      <w:r>
        <w:rPr>
          <w:rFonts w:hint="default" w:ascii="Times New Roman" w:hAnsi="Times New Roman" w:eastAsia="宋体" w:cs="Times New Roman"/>
          <w:szCs w:val="21"/>
          <w:highlight w:val="none"/>
        </w:rPr>
        <w:t>包括</w:t>
      </w:r>
      <w:r>
        <w:rPr>
          <w:rFonts w:hint="default" w:ascii="Times New Roman" w:hAnsi="Times New Roman" w:eastAsia="宋体" w:cs="Times New Roman"/>
          <w:spacing w:val="-2"/>
          <w:szCs w:val="21"/>
          <w:highlight w:val="none"/>
        </w:rPr>
        <w:t>采</w:t>
      </w:r>
      <w:r>
        <w:rPr>
          <w:rFonts w:hint="default" w:ascii="Times New Roman" w:hAnsi="Times New Roman" w:eastAsia="宋体" w:cs="Times New Roman"/>
          <w:szCs w:val="21"/>
          <w:highlight w:val="none"/>
        </w:rPr>
        <w:t>样</w:t>
      </w:r>
      <w:r>
        <w:rPr>
          <w:rFonts w:hint="default" w:ascii="Times New Roman" w:hAnsi="Times New Roman" w:eastAsia="宋体" w:cs="Times New Roman"/>
          <w:spacing w:val="-2"/>
          <w:szCs w:val="21"/>
          <w:highlight w:val="none"/>
        </w:rPr>
        <w:t>流</w:t>
      </w:r>
      <w:r>
        <w:rPr>
          <w:rFonts w:hint="default" w:ascii="Times New Roman" w:hAnsi="Times New Roman" w:eastAsia="宋体" w:cs="Times New Roman"/>
          <w:szCs w:val="21"/>
          <w:highlight w:val="none"/>
        </w:rPr>
        <w:t>量</w:t>
      </w:r>
      <w:r>
        <w:rPr>
          <w:rFonts w:hint="default" w:ascii="Times New Roman" w:hAnsi="Times New Roman" w:eastAsia="宋体" w:cs="Times New Roman"/>
          <w:spacing w:val="-12"/>
          <w:szCs w:val="21"/>
          <w:highlight w:val="none"/>
        </w:rPr>
        <w:t>、</w:t>
      </w:r>
      <w:r>
        <w:rPr>
          <w:rFonts w:hint="default" w:ascii="Times New Roman" w:hAnsi="Times New Roman" w:eastAsia="宋体" w:cs="Times New Roman"/>
          <w:szCs w:val="21"/>
          <w:highlight w:val="none"/>
        </w:rPr>
        <w:t>环</w:t>
      </w:r>
      <w:r>
        <w:rPr>
          <w:rFonts w:hint="default" w:ascii="Times New Roman" w:hAnsi="Times New Roman" w:eastAsia="宋体" w:cs="Times New Roman"/>
          <w:spacing w:val="-2"/>
          <w:szCs w:val="21"/>
          <w:highlight w:val="none"/>
        </w:rPr>
        <w:t>境</w:t>
      </w:r>
      <w:r>
        <w:rPr>
          <w:rFonts w:hint="default" w:ascii="Times New Roman" w:hAnsi="Times New Roman" w:eastAsia="宋体" w:cs="Times New Roman"/>
          <w:szCs w:val="21"/>
          <w:highlight w:val="none"/>
        </w:rPr>
        <w:t>压</w:t>
      </w:r>
      <w:r>
        <w:rPr>
          <w:rFonts w:hint="default" w:ascii="Times New Roman" w:hAnsi="Times New Roman" w:eastAsia="宋体" w:cs="Times New Roman"/>
          <w:spacing w:val="-2"/>
          <w:szCs w:val="21"/>
          <w:highlight w:val="none"/>
        </w:rPr>
        <w:t>力</w:t>
      </w:r>
      <w:r>
        <w:rPr>
          <w:rFonts w:hint="default" w:ascii="Times New Roman" w:hAnsi="Times New Roman" w:eastAsia="宋体" w:cs="Times New Roman"/>
          <w:spacing w:val="-10"/>
          <w:szCs w:val="21"/>
          <w:highlight w:val="none"/>
        </w:rPr>
        <w:t>、</w:t>
      </w:r>
      <w:r>
        <w:rPr>
          <w:rFonts w:hint="default" w:ascii="Times New Roman" w:hAnsi="Times New Roman" w:eastAsia="宋体" w:cs="Times New Roman"/>
          <w:szCs w:val="21"/>
          <w:highlight w:val="none"/>
        </w:rPr>
        <w:t>环</w:t>
      </w:r>
      <w:r>
        <w:rPr>
          <w:rFonts w:hint="default" w:ascii="Times New Roman" w:hAnsi="Times New Roman" w:eastAsia="宋体" w:cs="Times New Roman"/>
          <w:spacing w:val="-2"/>
          <w:szCs w:val="21"/>
          <w:highlight w:val="none"/>
        </w:rPr>
        <w:t>境</w:t>
      </w:r>
      <w:r>
        <w:rPr>
          <w:rFonts w:hint="default" w:ascii="Times New Roman" w:hAnsi="Times New Roman" w:eastAsia="宋体" w:cs="Times New Roman"/>
          <w:szCs w:val="21"/>
          <w:highlight w:val="none"/>
        </w:rPr>
        <w:t>温</w:t>
      </w:r>
      <w:r>
        <w:rPr>
          <w:rFonts w:hint="default" w:ascii="Times New Roman" w:hAnsi="Times New Roman" w:eastAsia="宋体" w:cs="Times New Roman"/>
          <w:spacing w:val="-2"/>
          <w:szCs w:val="21"/>
          <w:highlight w:val="none"/>
        </w:rPr>
        <w:t>度</w:t>
      </w:r>
      <w:r>
        <w:rPr>
          <w:rFonts w:hint="default" w:ascii="Times New Roman" w:hAnsi="Times New Roman" w:eastAsia="宋体" w:cs="Times New Roman"/>
          <w:spacing w:val="-9"/>
          <w:szCs w:val="21"/>
          <w:highlight w:val="none"/>
        </w:rPr>
        <w:t>、</w:t>
      </w:r>
      <w:r>
        <w:rPr>
          <w:rFonts w:hint="default" w:ascii="Times New Roman" w:hAnsi="Times New Roman" w:eastAsia="宋体" w:cs="Times New Roman"/>
          <w:w w:val="75"/>
          <w:szCs w:val="21"/>
          <w:highlight w:val="none"/>
        </w:rPr>
        <w:t>X</w:t>
      </w:r>
      <w:r>
        <w:rPr>
          <w:rFonts w:hint="default" w:ascii="Times New Roman" w:hAnsi="Times New Roman" w:eastAsia="宋体" w:cs="Times New Roman"/>
          <w:spacing w:val="-8"/>
          <w:szCs w:val="21"/>
          <w:highlight w:val="none"/>
        </w:rPr>
        <w:t xml:space="preserve"> </w:t>
      </w:r>
      <w:r>
        <w:rPr>
          <w:rFonts w:hint="default" w:ascii="Times New Roman" w:hAnsi="Times New Roman" w:eastAsia="宋体" w:cs="Times New Roman"/>
          <w:szCs w:val="21"/>
          <w:highlight w:val="none"/>
        </w:rPr>
        <w:t>射</w:t>
      </w:r>
      <w:r>
        <w:rPr>
          <w:rFonts w:hint="default" w:ascii="Times New Roman" w:hAnsi="Times New Roman" w:eastAsia="宋体" w:cs="Times New Roman"/>
          <w:spacing w:val="-2"/>
          <w:szCs w:val="21"/>
          <w:highlight w:val="none"/>
        </w:rPr>
        <w:t>线</w:t>
      </w:r>
      <w:r>
        <w:rPr>
          <w:rFonts w:hint="default" w:ascii="Times New Roman" w:hAnsi="Times New Roman" w:eastAsia="宋体" w:cs="Times New Roman"/>
          <w:szCs w:val="21"/>
          <w:highlight w:val="none"/>
        </w:rPr>
        <w:t>管</w:t>
      </w:r>
      <w:r>
        <w:rPr>
          <w:rFonts w:hint="default" w:ascii="Times New Roman" w:hAnsi="Times New Roman" w:eastAsia="宋体" w:cs="Times New Roman"/>
          <w:spacing w:val="-2"/>
          <w:szCs w:val="21"/>
          <w:highlight w:val="none"/>
        </w:rPr>
        <w:t>温度</w:t>
      </w:r>
      <w:r>
        <w:rPr>
          <w:rFonts w:hint="default" w:ascii="Times New Roman" w:hAnsi="Times New Roman" w:eastAsia="宋体" w:cs="Times New Roman"/>
          <w:szCs w:val="21"/>
          <w:highlight w:val="none"/>
        </w:rPr>
        <w:t>等是</w:t>
      </w:r>
      <w:r>
        <w:rPr>
          <w:rFonts w:hint="default" w:ascii="Times New Roman" w:hAnsi="Times New Roman" w:eastAsia="宋体" w:cs="Times New Roman"/>
          <w:spacing w:val="-2"/>
          <w:szCs w:val="21"/>
          <w:highlight w:val="none"/>
        </w:rPr>
        <w:t>否</w:t>
      </w:r>
      <w:r>
        <w:rPr>
          <w:rFonts w:hint="default" w:ascii="Times New Roman" w:hAnsi="Times New Roman" w:eastAsia="宋体" w:cs="Times New Roman"/>
          <w:szCs w:val="21"/>
          <w:highlight w:val="none"/>
        </w:rPr>
        <w:t>正</w:t>
      </w:r>
      <w:r>
        <w:rPr>
          <w:rFonts w:hint="default" w:ascii="Times New Roman" w:hAnsi="Times New Roman" w:eastAsia="宋体" w:cs="Times New Roman"/>
          <w:spacing w:val="-2"/>
          <w:szCs w:val="21"/>
          <w:highlight w:val="none"/>
        </w:rPr>
        <w:t>常</w:t>
      </w:r>
      <w:r>
        <w:rPr>
          <w:rFonts w:hint="default" w:ascii="Times New Roman" w:hAnsi="Times New Roman" w:eastAsia="宋体" w:cs="Times New Roman"/>
          <w:spacing w:val="-10"/>
          <w:szCs w:val="21"/>
          <w:highlight w:val="none"/>
        </w:rPr>
        <w:t>，</w:t>
      </w:r>
      <w:r>
        <w:rPr>
          <w:rFonts w:hint="default" w:ascii="Times New Roman" w:hAnsi="Times New Roman" w:eastAsia="宋体" w:cs="Times New Roman"/>
          <w:spacing w:val="-2"/>
          <w:szCs w:val="21"/>
          <w:highlight w:val="none"/>
        </w:rPr>
        <w:t>仪</w:t>
      </w:r>
      <w:r>
        <w:rPr>
          <w:rFonts w:hint="default" w:ascii="Times New Roman" w:hAnsi="Times New Roman" w:eastAsia="宋体" w:cs="Times New Roman"/>
          <w:szCs w:val="21"/>
          <w:highlight w:val="none"/>
        </w:rPr>
        <w:t>器报 警及</w:t>
      </w:r>
      <w:r>
        <w:rPr>
          <w:rFonts w:hint="default" w:ascii="Times New Roman" w:hAnsi="Times New Roman" w:eastAsia="宋体" w:cs="Times New Roman"/>
          <w:spacing w:val="-2"/>
          <w:szCs w:val="21"/>
          <w:highlight w:val="none"/>
        </w:rPr>
        <w:t>时</w:t>
      </w:r>
      <w:r>
        <w:rPr>
          <w:rFonts w:hint="default" w:ascii="Times New Roman" w:hAnsi="Times New Roman" w:eastAsia="宋体" w:cs="Times New Roman"/>
          <w:szCs w:val="21"/>
          <w:highlight w:val="none"/>
        </w:rPr>
        <w:t>处</w:t>
      </w:r>
      <w:r>
        <w:rPr>
          <w:rFonts w:hint="default" w:ascii="Times New Roman" w:hAnsi="Times New Roman" w:eastAsia="宋体" w:cs="Times New Roman"/>
          <w:spacing w:val="-2"/>
          <w:szCs w:val="21"/>
          <w:highlight w:val="none"/>
        </w:rPr>
        <w:t>理</w:t>
      </w:r>
      <w:r>
        <w:rPr>
          <w:rFonts w:hint="default" w:ascii="Times New Roman" w:hAnsi="Times New Roman" w:eastAsia="宋体" w:cs="Times New Roman"/>
          <w:szCs w:val="21"/>
          <w:highlight w:val="none"/>
        </w:rPr>
        <w:t>。</w:t>
      </w:r>
    </w:p>
    <w:p w14:paraId="31C1C92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5.2.2</w:t>
      </w: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周</w:t>
      </w:r>
      <w:r>
        <w:rPr>
          <w:rFonts w:hint="default" w:ascii="Times New Roman" w:hAnsi="Times New Roman" w:eastAsia="宋体" w:cs="Times New Roman"/>
          <w:spacing w:val="-2"/>
          <w:position w:val="-1"/>
          <w:szCs w:val="21"/>
          <w:highlight w:val="none"/>
        </w:rPr>
        <w:t>维</w:t>
      </w:r>
      <w:r>
        <w:rPr>
          <w:rFonts w:hint="default" w:ascii="Times New Roman" w:hAnsi="Times New Roman" w:eastAsia="宋体" w:cs="Times New Roman"/>
          <w:position w:val="-1"/>
          <w:szCs w:val="21"/>
          <w:highlight w:val="none"/>
        </w:rPr>
        <w:t>护</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容：</w:t>
      </w:r>
    </w:p>
    <w:p w14:paraId="724FA1A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5.2.2.1每</w:t>
      </w:r>
      <w:r>
        <w:rPr>
          <w:rFonts w:hint="default" w:ascii="Times New Roman" w:hAnsi="Times New Roman" w:eastAsia="宋体" w:cs="Times New Roman"/>
          <w:spacing w:val="-2"/>
          <w:position w:val="-1"/>
          <w:szCs w:val="21"/>
          <w:highlight w:val="none"/>
        </w:rPr>
        <w:t>周</w:t>
      </w:r>
      <w:r>
        <w:rPr>
          <w:rFonts w:hint="default" w:ascii="Times New Roman" w:hAnsi="Times New Roman" w:eastAsia="宋体" w:cs="Times New Roman"/>
          <w:position w:val="-1"/>
          <w:szCs w:val="21"/>
          <w:highlight w:val="none"/>
        </w:rPr>
        <w:t>至</w:t>
      </w:r>
      <w:r>
        <w:rPr>
          <w:rFonts w:hint="default" w:ascii="Times New Roman" w:hAnsi="Times New Roman" w:eastAsia="宋体" w:cs="Times New Roman"/>
          <w:spacing w:val="-2"/>
          <w:position w:val="-1"/>
          <w:szCs w:val="21"/>
          <w:highlight w:val="none"/>
        </w:rPr>
        <w:t>少</w:t>
      </w:r>
      <w:r>
        <w:rPr>
          <w:rFonts w:hint="default" w:ascii="Times New Roman" w:hAnsi="Times New Roman" w:eastAsia="宋体" w:cs="Times New Roman"/>
          <w:position w:val="-1"/>
          <w:szCs w:val="21"/>
          <w:highlight w:val="none"/>
        </w:rPr>
        <w:t>一</w:t>
      </w:r>
      <w:r>
        <w:rPr>
          <w:rFonts w:hint="default" w:ascii="Times New Roman" w:hAnsi="Times New Roman" w:eastAsia="宋体" w:cs="Times New Roman"/>
          <w:spacing w:val="-2"/>
          <w:position w:val="-1"/>
          <w:szCs w:val="21"/>
          <w:highlight w:val="none"/>
        </w:rPr>
        <w:t>次</w:t>
      </w:r>
      <w:r>
        <w:rPr>
          <w:rFonts w:hint="default" w:ascii="Times New Roman" w:hAnsi="Times New Roman" w:eastAsia="宋体" w:cs="Times New Roman"/>
          <w:position w:val="-1"/>
          <w:szCs w:val="21"/>
          <w:highlight w:val="none"/>
        </w:rPr>
        <w:t>现</w:t>
      </w:r>
      <w:r>
        <w:rPr>
          <w:rFonts w:hint="default" w:ascii="Times New Roman" w:hAnsi="Times New Roman" w:eastAsia="宋体" w:cs="Times New Roman"/>
          <w:spacing w:val="-2"/>
          <w:position w:val="-1"/>
          <w:szCs w:val="21"/>
          <w:highlight w:val="none"/>
        </w:rPr>
        <w:t>场巡</w:t>
      </w:r>
      <w:r>
        <w:rPr>
          <w:rFonts w:hint="default" w:ascii="Times New Roman" w:hAnsi="Times New Roman" w:eastAsia="宋体" w:cs="Times New Roman"/>
          <w:position w:val="-1"/>
          <w:szCs w:val="21"/>
          <w:highlight w:val="none"/>
        </w:rPr>
        <w:t>查，</w:t>
      </w:r>
      <w:r>
        <w:rPr>
          <w:rFonts w:hint="default" w:ascii="Times New Roman" w:hAnsi="Times New Roman" w:eastAsia="宋体" w:cs="Times New Roman"/>
          <w:spacing w:val="-2"/>
          <w:position w:val="-1"/>
          <w:szCs w:val="21"/>
          <w:highlight w:val="none"/>
        </w:rPr>
        <w:t>检</w:t>
      </w:r>
      <w:r>
        <w:rPr>
          <w:rFonts w:hint="default" w:ascii="Times New Roman" w:hAnsi="Times New Roman" w:eastAsia="宋体" w:cs="Times New Roman"/>
          <w:position w:val="-1"/>
          <w:szCs w:val="21"/>
          <w:highlight w:val="none"/>
        </w:rPr>
        <w:t>查</w:t>
      </w:r>
      <w:r>
        <w:rPr>
          <w:rFonts w:hint="default" w:ascii="Times New Roman" w:hAnsi="Times New Roman" w:eastAsia="宋体" w:cs="Times New Roman"/>
          <w:spacing w:val="-2"/>
          <w:position w:val="-1"/>
          <w:szCs w:val="21"/>
          <w:highlight w:val="none"/>
        </w:rPr>
        <w:t>仪</w:t>
      </w:r>
      <w:r>
        <w:rPr>
          <w:rFonts w:hint="default" w:ascii="Times New Roman" w:hAnsi="Times New Roman" w:eastAsia="宋体" w:cs="Times New Roman"/>
          <w:position w:val="-1"/>
          <w:szCs w:val="21"/>
          <w:highlight w:val="none"/>
        </w:rPr>
        <w:t>器</w:t>
      </w:r>
      <w:r>
        <w:rPr>
          <w:rFonts w:hint="default" w:ascii="Times New Roman" w:hAnsi="Times New Roman" w:eastAsia="宋体" w:cs="Times New Roman"/>
          <w:spacing w:val="-2"/>
          <w:position w:val="-1"/>
          <w:szCs w:val="21"/>
          <w:highlight w:val="none"/>
        </w:rPr>
        <w:t>运</w:t>
      </w:r>
      <w:r>
        <w:rPr>
          <w:rFonts w:hint="default" w:ascii="Times New Roman" w:hAnsi="Times New Roman" w:eastAsia="宋体" w:cs="Times New Roman"/>
          <w:position w:val="-1"/>
          <w:szCs w:val="21"/>
          <w:highlight w:val="none"/>
        </w:rPr>
        <w:t>行</w:t>
      </w:r>
      <w:r>
        <w:rPr>
          <w:rFonts w:hint="default" w:ascii="Times New Roman" w:hAnsi="Times New Roman" w:eastAsia="宋体" w:cs="Times New Roman"/>
          <w:spacing w:val="-2"/>
          <w:position w:val="-1"/>
          <w:szCs w:val="21"/>
          <w:highlight w:val="none"/>
        </w:rPr>
        <w:t>状</w:t>
      </w:r>
      <w:r>
        <w:rPr>
          <w:rFonts w:hint="default" w:ascii="Times New Roman" w:hAnsi="Times New Roman" w:eastAsia="宋体" w:cs="Times New Roman"/>
          <w:position w:val="-1"/>
          <w:szCs w:val="21"/>
          <w:highlight w:val="none"/>
        </w:rPr>
        <w:t>态。</w:t>
      </w:r>
    </w:p>
    <w:p w14:paraId="73FA8459">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5.2.2.2每</w:t>
      </w:r>
      <w:r>
        <w:rPr>
          <w:rFonts w:hint="default" w:ascii="Times New Roman" w:hAnsi="Times New Roman" w:eastAsia="宋体" w:cs="Times New Roman"/>
          <w:spacing w:val="-2"/>
          <w:position w:val="-1"/>
          <w:szCs w:val="21"/>
          <w:highlight w:val="none"/>
        </w:rPr>
        <w:t>周</w:t>
      </w:r>
      <w:r>
        <w:rPr>
          <w:rFonts w:hint="default" w:ascii="Times New Roman" w:hAnsi="Times New Roman" w:eastAsia="宋体" w:cs="Times New Roman"/>
          <w:position w:val="-1"/>
          <w:szCs w:val="21"/>
          <w:highlight w:val="none"/>
        </w:rPr>
        <w:t>检</w:t>
      </w:r>
      <w:r>
        <w:rPr>
          <w:rFonts w:hint="default" w:ascii="Times New Roman" w:hAnsi="Times New Roman" w:eastAsia="宋体" w:cs="Times New Roman"/>
          <w:spacing w:val="-2"/>
          <w:position w:val="-1"/>
          <w:szCs w:val="21"/>
          <w:highlight w:val="none"/>
        </w:rPr>
        <w:t>查</w:t>
      </w:r>
      <w:r>
        <w:rPr>
          <w:rFonts w:hint="default" w:ascii="Times New Roman" w:hAnsi="Times New Roman" w:eastAsia="宋体" w:cs="Times New Roman"/>
          <w:position w:val="-1"/>
          <w:szCs w:val="21"/>
          <w:highlight w:val="none"/>
        </w:rPr>
        <w:t>户</w:t>
      </w:r>
      <w:r>
        <w:rPr>
          <w:rFonts w:hint="default" w:ascii="Times New Roman" w:hAnsi="Times New Roman" w:eastAsia="宋体" w:cs="Times New Roman"/>
          <w:spacing w:val="-2"/>
          <w:position w:val="-1"/>
          <w:szCs w:val="21"/>
          <w:highlight w:val="none"/>
        </w:rPr>
        <w:t>外</w:t>
      </w:r>
      <w:r>
        <w:rPr>
          <w:rFonts w:hint="default" w:ascii="Times New Roman" w:hAnsi="Times New Roman" w:eastAsia="宋体" w:cs="Times New Roman"/>
          <w:position w:val="-1"/>
          <w:szCs w:val="21"/>
          <w:highlight w:val="none"/>
        </w:rPr>
        <w:t>滤</w:t>
      </w:r>
      <w:r>
        <w:rPr>
          <w:rFonts w:hint="default" w:ascii="Times New Roman" w:hAnsi="Times New Roman" w:eastAsia="宋体" w:cs="Times New Roman"/>
          <w:spacing w:val="-2"/>
          <w:position w:val="-1"/>
          <w:szCs w:val="21"/>
          <w:highlight w:val="none"/>
        </w:rPr>
        <w:t>水杯</w:t>
      </w:r>
      <w:r>
        <w:rPr>
          <w:rFonts w:hint="default" w:ascii="Times New Roman" w:hAnsi="Times New Roman" w:eastAsia="宋体" w:cs="Times New Roman"/>
          <w:position w:val="-1"/>
          <w:szCs w:val="21"/>
          <w:highlight w:val="none"/>
        </w:rPr>
        <w:t>积水</w:t>
      </w:r>
      <w:r>
        <w:rPr>
          <w:rFonts w:hint="default" w:ascii="Times New Roman" w:hAnsi="Times New Roman" w:eastAsia="宋体" w:cs="Times New Roman"/>
          <w:spacing w:val="-2"/>
          <w:position w:val="-1"/>
          <w:szCs w:val="21"/>
          <w:highlight w:val="none"/>
        </w:rPr>
        <w:t>情</w:t>
      </w:r>
      <w:r>
        <w:rPr>
          <w:rFonts w:hint="default" w:ascii="Times New Roman" w:hAnsi="Times New Roman" w:eastAsia="宋体" w:cs="Times New Roman"/>
          <w:position w:val="-1"/>
          <w:szCs w:val="21"/>
          <w:highlight w:val="none"/>
        </w:rPr>
        <w:t>况</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风</w:t>
      </w:r>
      <w:r>
        <w:rPr>
          <w:rFonts w:hint="default" w:ascii="Times New Roman" w:hAnsi="Times New Roman" w:eastAsia="宋体" w:cs="Times New Roman"/>
          <w:spacing w:val="-2"/>
          <w:position w:val="-1"/>
          <w:szCs w:val="21"/>
          <w:highlight w:val="none"/>
        </w:rPr>
        <w:t>扇</w:t>
      </w:r>
      <w:r>
        <w:rPr>
          <w:rFonts w:hint="default" w:ascii="Times New Roman" w:hAnsi="Times New Roman" w:eastAsia="宋体" w:cs="Times New Roman"/>
          <w:position w:val="-1"/>
          <w:szCs w:val="21"/>
          <w:highlight w:val="none"/>
        </w:rPr>
        <w:t>滤</w:t>
      </w:r>
      <w:r>
        <w:rPr>
          <w:rFonts w:hint="default" w:ascii="Times New Roman" w:hAnsi="Times New Roman" w:eastAsia="宋体" w:cs="Times New Roman"/>
          <w:spacing w:val="-2"/>
          <w:position w:val="-1"/>
          <w:szCs w:val="21"/>
          <w:highlight w:val="none"/>
        </w:rPr>
        <w:t>网</w:t>
      </w:r>
      <w:r>
        <w:rPr>
          <w:rFonts w:hint="default" w:ascii="Times New Roman" w:hAnsi="Times New Roman" w:eastAsia="宋体" w:cs="Times New Roman"/>
          <w:position w:val="-1"/>
          <w:szCs w:val="21"/>
          <w:highlight w:val="none"/>
        </w:rPr>
        <w:t>积</w:t>
      </w:r>
      <w:r>
        <w:rPr>
          <w:rFonts w:hint="default" w:ascii="Times New Roman" w:hAnsi="Times New Roman" w:eastAsia="宋体" w:cs="Times New Roman"/>
          <w:spacing w:val="-2"/>
          <w:position w:val="-1"/>
          <w:szCs w:val="21"/>
          <w:highlight w:val="none"/>
        </w:rPr>
        <w:t>尘</w:t>
      </w:r>
      <w:r>
        <w:rPr>
          <w:rFonts w:hint="default" w:ascii="Times New Roman" w:hAnsi="Times New Roman" w:eastAsia="宋体" w:cs="Times New Roman"/>
          <w:position w:val="-1"/>
          <w:szCs w:val="21"/>
          <w:highlight w:val="none"/>
        </w:rPr>
        <w:t>情况</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采</w:t>
      </w:r>
      <w:r>
        <w:rPr>
          <w:rFonts w:hint="default" w:ascii="Times New Roman" w:hAnsi="Times New Roman" w:eastAsia="宋体" w:cs="Times New Roman"/>
          <w:spacing w:val="-2"/>
          <w:position w:val="-1"/>
          <w:szCs w:val="21"/>
          <w:highlight w:val="none"/>
        </w:rPr>
        <w:t>样</w:t>
      </w:r>
      <w:r>
        <w:rPr>
          <w:rFonts w:hint="default" w:ascii="Times New Roman" w:hAnsi="Times New Roman" w:eastAsia="宋体" w:cs="Times New Roman"/>
          <w:position w:val="-1"/>
          <w:szCs w:val="21"/>
          <w:highlight w:val="none"/>
        </w:rPr>
        <w:t>管</w:t>
      </w:r>
      <w:r>
        <w:rPr>
          <w:rFonts w:hint="default" w:ascii="Times New Roman" w:hAnsi="Times New Roman" w:eastAsia="宋体" w:cs="Times New Roman"/>
          <w:spacing w:val="-2"/>
          <w:position w:val="-1"/>
          <w:szCs w:val="21"/>
          <w:highlight w:val="none"/>
        </w:rPr>
        <w:t>加</w:t>
      </w:r>
      <w:r>
        <w:rPr>
          <w:rFonts w:hint="default" w:ascii="Times New Roman" w:hAnsi="Times New Roman" w:eastAsia="宋体" w:cs="Times New Roman"/>
          <w:position w:val="-1"/>
          <w:szCs w:val="21"/>
          <w:highlight w:val="none"/>
        </w:rPr>
        <w:t>热</w:t>
      </w:r>
      <w:r>
        <w:rPr>
          <w:rFonts w:hint="default" w:ascii="Times New Roman" w:hAnsi="Times New Roman" w:eastAsia="宋体" w:cs="Times New Roman"/>
          <w:spacing w:val="-2"/>
          <w:position w:val="-1"/>
          <w:szCs w:val="21"/>
          <w:highlight w:val="none"/>
        </w:rPr>
        <w:t>器</w:t>
      </w:r>
      <w:r>
        <w:rPr>
          <w:rFonts w:hint="default" w:ascii="Times New Roman" w:hAnsi="Times New Roman" w:eastAsia="宋体" w:cs="Times New Roman"/>
          <w:position w:val="-1"/>
          <w:szCs w:val="21"/>
          <w:highlight w:val="none"/>
        </w:rPr>
        <w:t>和</w:t>
      </w:r>
      <w:r>
        <w:rPr>
          <w:rFonts w:hint="default" w:ascii="Times New Roman" w:hAnsi="Times New Roman" w:eastAsia="宋体" w:cs="Times New Roman"/>
          <w:spacing w:val="-2"/>
          <w:position w:val="-1"/>
          <w:szCs w:val="21"/>
          <w:highlight w:val="none"/>
        </w:rPr>
        <w:t>采</w:t>
      </w:r>
      <w:r>
        <w:rPr>
          <w:rFonts w:hint="default" w:ascii="Times New Roman" w:hAnsi="Times New Roman" w:eastAsia="宋体" w:cs="Times New Roman"/>
          <w:position w:val="-1"/>
          <w:szCs w:val="21"/>
          <w:highlight w:val="none"/>
        </w:rPr>
        <w:t>样泵</w:t>
      </w:r>
      <w:r>
        <w:rPr>
          <w:rFonts w:hint="default" w:ascii="Times New Roman" w:hAnsi="Times New Roman" w:eastAsia="宋体" w:cs="Times New Roman"/>
          <w:spacing w:val="-2"/>
          <w:position w:val="-1"/>
          <w:szCs w:val="21"/>
          <w:highlight w:val="none"/>
        </w:rPr>
        <w:t>工</w:t>
      </w:r>
      <w:r>
        <w:rPr>
          <w:rFonts w:hint="default" w:ascii="Times New Roman" w:hAnsi="Times New Roman" w:eastAsia="宋体" w:cs="Times New Roman"/>
          <w:position w:val="-1"/>
          <w:szCs w:val="21"/>
          <w:highlight w:val="none"/>
        </w:rPr>
        <w:t>作</w:t>
      </w:r>
      <w:r>
        <w:rPr>
          <w:rFonts w:hint="default" w:ascii="Times New Roman" w:hAnsi="Times New Roman" w:eastAsia="宋体" w:cs="Times New Roman"/>
          <w:spacing w:val="-2"/>
          <w:position w:val="-1"/>
          <w:szCs w:val="21"/>
          <w:highlight w:val="none"/>
        </w:rPr>
        <w:t>状</w:t>
      </w:r>
      <w:r>
        <w:rPr>
          <w:rFonts w:hint="default" w:ascii="Times New Roman" w:hAnsi="Times New Roman" w:eastAsia="宋体" w:cs="Times New Roman"/>
          <w:position w:val="-1"/>
          <w:szCs w:val="21"/>
          <w:highlight w:val="none"/>
        </w:rPr>
        <w:t>态。</w:t>
      </w:r>
    </w:p>
    <w:p w14:paraId="6CB43926">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5.2.2.3应</w:t>
      </w:r>
      <w:r>
        <w:rPr>
          <w:rFonts w:hint="default" w:ascii="Times New Roman" w:hAnsi="Times New Roman" w:eastAsia="宋体" w:cs="Times New Roman"/>
          <w:spacing w:val="-2"/>
          <w:position w:val="-1"/>
          <w:szCs w:val="21"/>
          <w:highlight w:val="none"/>
        </w:rPr>
        <w:t>及</w:t>
      </w:r>
      <w:r>
        <w:rPr>
          <w:rFonts w:hint="default" w:ascii="Times New Roman" w:hAnsi="Times New Roman" w:eastAsia="宋体" w:cs="Times New Roman"/>
          <w:position w:val="-1"/>
          <w:szCs w:val="21"/>
          <w:highlight w:val="none"/>
        </w:rPr>
        <w:t>时</w:t>
      </w:r>
      <w:r>
        <w:rPr>
          <w:rFonts w:hint="default" w:ascii="Times New Roman" w:hAnsi="Times New Roman" w:eastAsia="宋体" w:cs="Times New Roman"/>
          <w:spacing w:val="-2"/>
          <w:position w:val="-1"/>
          <w:szCs w:val="21"/>
          <w:highlight w:val="none"/>
        </w:rPr>
        <w:t>清</w:t>
      </w:r>
      <w:r>
        <w:rPr>
          <w:rFonts w:hint="default" w:ascii="Times New Roman" w:hAnsi="Times New Roman" w:eastAsia="宋体" w:cs="Times New Roman"/>
          <w:position w:val="-1"/>
          <w:szCs w:val="21"/>
          <w:highlight w:val="none"/>
        </w:rPr>
        <w:t>空</w:t>
      </w:r>
      <w:r>
        <w:rPr>
          <w:rFonts w:hint="default" w:ascii="Times New Roman" w:hAnsi="Times New Roman" w:eastAsia="宋体" w:cs="Times New Roman"/>
          <w:spacing w:val="-2"/>
          <w:position w:val="-1"/>
          <w:szCs w:val="21"/>
          <w:highlight w:val="none"/>
        </w:rPr>
        <w:t>冷</w:t>
      </w:r>
      <w:r>
        <w:rPr>
          <w:rFonts w:hint="default" w:ascii="Times New Roman" w:hAnsi="Times New Roman" w:eastAsia="宋体" w:cs="Times New Roman"/>
          <w:position w:val="-1"/>
          <w:szCs w:val="21"/>
          <w:highlight w:val="none"/>
        </w:rPr>
        <w:t>风</w:t>
      </w:r>
      <w:r>
        <w:rPr>
          <w:rFonts w:hint="default" w:ascii="Times New Roman" w:hAnsi="Times New Roman" w:eastAsia="宋体" w:cs="Times New Roman"/>
          <w:spacing w:val="-2"/>
          <w:position w:val="-1"/>
          <w:szCs w:val="21"/>
          <w:highlight w:val="none"/>
        </w:rPr>
        <w:t>机储</w:t>
      </w:r>
      <w:r>
        <w:rPr>
          <w:rFonts w:hint="default" w:ascii="Times New Roman" w:hAnsi="Times New Roman" w:eastAsia="宋体" w:cs="Times New Roman"/>
          <w:position w:val="-1"/>
          <w:szCs w:val="21"/>
          <w:highlight w:val="none"/>
        </w:rPr>
        <w:t>水箱。</w:t>
      </w:r>
    </w:p>
    <w:p w14:paraId="59015985">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5.2.3</w:t>
      </w: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月</w:t>
      </w:r>
      <w:r>
        <w:rPr>
          <w:rFonts w:hint="default" w:ascii="Times New Roman" w:hAnsi="Times New Roman" w:eastAsia="宋体" w:cs="Times New Roman"/>
          <w:spacing w:val="-2"/>
          <w:position w:val="-1"/>
          <w:szCs w:val="21"/>
          <w:highlight w:val="none"/>
        </w:rPr>
        <w:t>维</w:t>
      </w:r>
      <w:r>
        <w:rPr>
          <w:rFonts w:hint="default" w:ascii="Times New Roman" w:hAnsi="Times New Roman" w:eastAsia="宋体" w:cs="Times New Roman"/>
          <w:position w:val="-1"/>
          <w:szCs w:val="21"/>
          <w:highlight w:val="none"/>
        </w:rPr>
        <w:t>护</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容：</w:t>
      </w:r>
    </w:p>
    <w:p w14:paraId="23D420C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5.2.3.1每</w:t>
      </w:r>
      <w:r>
        <w:rPr>
          <w:rFonts w:hint="default" w:ascii="Times New Roman" w:hAnsi="Times New Roman" w:eastAsia="宋体" w:cs="Times New Roman"/>
          <w:spacing w:val="-2"/>
          <w:position w:val="-1"/>
          <w:szCs w:val="21"/>
          <w:highlight w:val="none"/>
        </w:rPr>
        <w:t>月</w:t>
      </w:r>
      <w:r>
        <w:rPr>
          <w:rFonts w:hint="default" w:ascii="Times New Roman" w:hAnsi="Times New Roman" w:eastAsia="宋体" w:cs="Times New Roman"/>
          <w:position w:val="-1"/>
          <w:szCs w:val="21"/>
          <w:highlight w:val="none"/>
        </w:rPr>
        <w:t>对</w:t>
      </w:r>
      <w:r>
        <w:rPr>
          <w:rFonts w:hint="default" w:ascii="Times New Roman" w:hAnsi="Times New Roman" w:eastAsia="宋体" w:cs="Times New Roman"/>
          <w:spacing w:val="-2"/>
          <w:position w:val="-1"/>
          <w:szCs w:val="21"/>
          <w:highlight w:val="none"/>
        </w:rPr>
        <w:t>仪</w:t>
      </w:r>
      <w:r>
        <w:rPr>
          <w:rFonts w:hint="default" w:ascii="Times New Roman" w:hAnsi="Times New Roman" w:eastAsia="宋体" w:cs="Times New Roman"/>
          <w:position w:val="-1"/>
          <w:szCs w:val="21"/>
          <w:highlight w:val="none"/>
        </w:rPr>
        <w:t>器</w:t>
      </w:r>
      <w:r>
        <w:rPr>
          <w:rFonts w:hint="default" w:ascii="Times New Roman" w:hAnsi="Times New Roman" w:eastAsia="宋体" w:cs="Times New Roman"/>
          <w:spacing w:val="-2"/>
          <w:position w:val="-1"/>
          <w:szCs w:val="21"/>
          <w:highlight w:val="none"/>
        </w:rPr>
        <w:t>散</w:t>
      </w:r>
      <w:r>
        <w:rPr>
          <w:rFonts w:hint="default" w:ascii="Times New Roman" w:hAnsi="Times New Roman" w:eastAsia="宋体" w:cs="Times New Roman"/>
          <w:position w:val="-1"/>
          <w:szCs w:val="21"/>
          <w:highlight w:val="none"/>
        </w:rPr>
        <w:t>热</w:t>
      </w:r>
      <w:r>
        <w:rPr>
          <w:rFonts w:hint="default" w:ascii="Times New Roman" w:hAnsi="Times New Roman" w:eastAsia="宋体" w:cs="Times New Roman"/>
          <w:spacing w:val="-2"/>
          <w:position w:val="-1"/>
          <w:szCs w:val="21"/>
          <w:highlight w:val="none"/>
        </w:rPr>
        <w:t>风扇</w:t>
      </w:r>
      <w:r>
        <w:rPr>
          <w:rFonts w:hint="default" w:ascii="Times New Roman" w:hAnsi="Times New Roman" w:eastAsia="宋体" w:cs="Times New Roman"/>
          <w:position w:val="-1"/>
          <w:szCs w:val="21"/>
          <w:highlight w:val="none"/>
        </w:rPr>
        <w:t>过滤</w:t>
      </w:r>
      <w:r>
        <w:rPr>
          <w:rFonts w:hint="default" w:ascii="Times New Roman" w:hAnsi="Times New Roman" w:eastAsia="宋体" w:cs="Times New Roman"/>
          <w:spacing w:val="-2"/>
          <w:position w:val="-1"/>
          <w:szCs w:val="21"/>
          <w:highlight w:val="none"/>
        </w:rPr>
        <w:t>网</w:t>
      </w:r>
      <w:r>
        <w:rPr>
          <w:rFonts w:hint="default" w:ascii="Times New Roman" w:hAnsi="Times New Roman" w:eastAsia="宋体" w:cs="Times New Roman"/>
          <w:position w:val="-1"/>
          <w:szCs w:val="21"/>
          <w:highlight w:val="none"/>
        </w:rPr>
        <w:t>进</w:t>
      </w:r>
      <w:r>
        <w:rPr>
          <w:rFonts w:hint="default" w:ascii="Times New Roman" w:hAnsi="Times New Roman" w:eastAsia="宋体" w:cs="Times New Roman"/>
          <w:spacing w:val="-2"/>
          <w:position w:val="-1"/>
          <w:szCs w:val="21"/>
          <w:highlight w:val="none"/>
        </w:rPr>
        <w:t>行</w:t>
      </w:r>
      <w:r>
        <w:rPr>
          <w:rFonts w:hint="default" w:ascii="Times New Roman" w:hAnsi="Times New Roman" w:eastAsia="宋体" w:cs="Times New Roman"/>
          <w:position w:val="-1"/>
          <w:szCs w:val="21"/>
          <w:highlight w:val="none"/>
        </w:rPr>
        <w:t>清</w:t>
      </w:r>
      <w:r>
        <w:rPr>
          <w:rFonts w:hint="default" w:ascii="Times New Roman" w:hAnsi="Times New Roman" w:eastAsia="宋体" w:cs="Times New Roman"/>
          <w:spacing w:val="-2"/>
          <w:position w:val="-1"/>
          <w:szCs w:val="21"/>
          <w:highlight w:val="none"/>
        </w:rPr>
        <w:t>洗</w:t>
      </w:r>
      <w:r>
        <w:rPr>
          <w:rFonts w:hint="default" w:ascii="Times New Roman" w:hAnsi="Times New Roman" w:eastAsia="宋体" w:cs="Times New Roman"/>
          <w:position w:val="-1"/>
          <w:szCs w:val="21"/>
          <w:highlight w:val="none"/>
        </w:rPr>
        <w:t>。</w:t>
      </w:r>
    </w:p>
    <w:p w14:paraId="1BF952FF">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5.2.3.2每</w:t>
      </w:r>
      <w:r>
        <w:rPr>
          <w:rFonts w:hint="default" w:ascii="Times New Roman" w:hAnsi="Times New Roman" w:eastAsia="宋体" w:cs="Times New Roman"/>
          <w:spacing w:val="-2"/>
          <w:position w:val="-1"/>
          <w:szCs w:val="21"/>
          <w:highlight w:val="none"/>
        </w:rPr>
        <w:t>月</w:t>
      </w:r>
      <w:r>
        <w:rPr>
          <w:rFonts w:hint="default" w:ascii="Times New Roman" w:hAnsi="Times New Roman" w:eastAsia="宋体" w:cs="Times New Roman"/>
          <w:position w:val="-1"/>
          <w:szCs w:val="21"/>
          <w:highlight w:val="none"/>
        </w:rPr>
        <w:t>检</w:t>
      </w:r>
      <w:r>
        <w:rPr>
          <w:rFonts w:hint="default" w:ascii="Times New Roman" w:hAnsi="Times New Roman" w:eastAsia="宋体" w:cs="Times New Roman"/>
          <w:spacing w:val="-2"/>
          <w:position w:val="-1"/>
          <w:szCs w:val="21"/>
          <w:highlight w:val="none"/>
        </w:rPr>
        <w:t>查</w:t>
      </w:r>
      <w:r>
        <w:rPr>
          <w:rFonts w:hint="default" w:ascii="Times New Roman" w:hAnsi="Times New Roman" w:eastAsia="宋体" w:cs="Times New Roman"/>
          <w:position w:val="-1"/>
          <w:szCs w:val="21"/>
          <w:highlight w:val="none"/>
        </w:rPr>
        <w:t>冷</w:t>
      </w:r>
      <w:r>
        <w:rPr>
          <w:rFonts w:hint="default" w:ascii="Times New Roman" w:hAnsi="Times New Roman" w:eastAsia="宋体" w:cs="Times New Roman"/>
          <w:spacing w:val="-2"/>
          <w:position w:val="-1"/>
          <w:szCs w:val="21"/>
          <w:highlight w:val="none"/>
        </w:rPr>
        <w:t>风</w:t>
      </w:r>
      <w:r>
        <w:rPr>
          <w:rFonts w:hint="default" w:ascii="Times New Roman" w:hAnsi="Times New Roman" w:eastAsia="宋体" w:cs="Times New Roman"/>
          <w:position w:val="-1"/>
          <w:szCs w:val="21"/>
          <w:highlight w:val="none"/>
        </w:rPr>
        <w:t>机</w:t>
      </w:r>
      <w:r>
        <w:rPr>
          <w:rFonts w:hint="default" w:ascii="Times New Roman" w:hAnsi="Times New Roman" w:eastAsia="宋体" w:cs="Times New Roman"/>
          <w:spacing w:val="-2"/>
          <w:position w:val="-1"/>
          <w:szCs w:val="21"/>
          <w:highlight w:val="none"/>
        </w:rPr>
        <w:t>排风</w:t>
      </w:r>
      <w:r>
        <w:rPr>
          <w:rFonts w:hint="default" w:ascii="Times New Roman" w:hAnsi="Times New Roman" w:eastAsia="宋体" w:cs="Times New Roman"/>
          <w:position w:val="-1"/>
          <w:szCs w:val="21"/>
          <w:highlight w:val="none"/>
        </w:rPr>
        <w:t>扇或</w:t>
      </w:r>
      <w:r>
        <w:rPr>
          <w:rFonts w:hint="default" w:ascii="Times New Roman" w:hAnsi="Times New Roman" w:eastAsia="宋体" w:cs="Times New Roman"/>
          <w:spacing w:val="-2"/>
          <w:position w:val="-1"/>
          <w:szCs w:val="21"/>
          <w:highlight w:val="none"/>
        </w:rPr>
        <w:t>过</w:t>
      </w:r>
      <w:r>
        <w:rPr>
          <w:rFonts w:hint="default" w:ascii="Times New Roman" w:hAnsi="Times New Roman" w:eastAsia="宋体" w:cs="Times New Roman"/>
          <w:position w:val="-1"/>
          <w:szCs w:val="21"/>
          <w:highlight w:val="none"/>
        </w:rPr>
        <w:t>滤</w:t>
      </w:r>
      <w:r>
        <w:rPr>
          <w:rFonts w:hint="default" w:ascii="Times New Roman" w:hAnsi="Times New Roman" w:eastAsia="宋体" w:cs="Times New Roman"/>
          <w:spacing w:val="-2"/>
          <w:position w:val="-1"/>
          <w:szCs w:val="21"/>
          <w:highlight w:val="none"/>
        </w:rPr>
        <w:t>器</w:t>
      </w:r>
      <w:r>
        <w:rPr>
          <w:rFonts w:hint="default" w:ascii="Times New Roman" w:hAnsi="Times New Roman" w:eastAsia="宋体" w:cs="Times New Roman"/>
          <w:position w:val="-1"/>
          <w:szCs w:val="21"/>
          <w:highlight w:val="none"/>
        </w:rPr>
        <w:t>，</w:t>
      </w:r>
      <w:r>
        <w:rPr>
          <w:rFonts w:hint="default" w:ascii="Times New Roman" w:hAnsi="Times New Roman" w:eastAsia="宋体" w:cs="Times New Roman"/>
          <w:spacing w:val="-2"/>
          <w:position w:val="-1"/>
          <w:szCs w:val="21"/>
          <w:highlight w:val="none"/>
        </w:rPr>
        <w:t>防</w:t>
      </w:r>
      <w:r>
        <w:rPr>
          <w:rFonts w:hint="default" w:ascii="Times New Roman" w:hAnsi="Times New Roman" w:eastAsia="宋体" w:cs="Times New Roman"/>
          <w:position w:val="-1"/>
          <w:szCs w:val="21"/>
          <w:highlight w:val="none"/>
        </w:rPr>
        <w:t>止</w:t>
      </w:r>
      <w:r>
        <w:rPr>
          <w:rFonts w:hint="default" w:ascii="Times New Roman" w:hAnsi="Times New Roman" w:eastAsia="宋体" w:cs="Times New Roman"/>
          <w:spacing w:val="-2"/>
          <w:position w:val="-1"/>
          <w:szCs w:val="21"/>
          <w:highlight w:val="none"/>
        </w:rPr>
        <w:t>堵</w:t>
      </w:r>
      <w:r>
        <w:rPr>
          <w:rFonts w:hint="default" w:ascii="Times New Roman" w:hAnsi="Times New Roman" w:eastAsia="宋体" w:cs="Times New Roman"/>
          <w:position w:val="-1"/>
          <w:szCs w:val="21"/>
          <w:highlight w:val="none"/>
        </w:rPr>
        <w:t>塞。</w:t>
      </w:r>
    </w:p>
    <w:p w14:paraId="46F1D408">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5.2.3.3</w:t>
      </w:r>
      <w:r>
        <w:rPr>
          <w:rFonts w:hint="default" w:ascii="Times New Roman" w:hAnsi="Times New Roman" w:eastAsia="宋体" w:cs="Times New Roman"/>
          <w:szCs w:val="21"/>
          <w:highlight w:val="none"/>
        </w:rPr>
        <w:t>检</w:t>
      </w:r>
      <w:r>
        <w:rPr>
          <w:rFonts w:hint="default" w:ascii="Times New Roman" w:hAnsi="Times New Roman" w:eastAsia="宋体" w:cs="Times New Roman"/>
          <w:spacing w:val="-2"/>
          <w:szCs w:val="21"/>
          <w:highlight w:val="none"/>
        </w:rPr>
        <w:t>查</w:t>
      </w:r>
      <w:r>
        <w:rPr>
          <w:rFonts w:hint="default" w:ascii="Times New Roman" w:hAnsi="Times New Roman" w:eastAsia="宋体" w:cs="Times New Roman"/>
          <w:szCs w:val="21"/>
          <w:highlight w:val="none"/>
        </w:rPr>
        <w:t>纸</w:t>
      </w:r>
      <w:r>
        <w:rPr>
          <w:rFonts w:hint="default" w:ascii="Times New Roman" w:hAnsi="Times New Roman" w:eastAsia="宋体" w:cs="Times New Roman"/>
          <w:spacing w:val="-2"/>
          <w:szCs w:val="21"/>
          <w:highlight w:val="none"/>
        </w:rPr>
        <w:t>带</w:t>
      </w:r>
      <w:r>
        <w:rPr>
          <w:rFonts w:hint="default" w:ascii="Times New Roman" w:hAnsi="Times New Roman" w:eastAsia="宋体" w:cs="Times New Roman"/>
          <w:szCs w:val="21"/>
          <w:highlight w:val="none"/>
        </w:rPr>
        <w:t>位</w:t>
      </w:r>
      <w:r>
        <w:rPr>
          <w:rFonts w:hint="default" w:ascii="Times New Roman" w:hAnsi="Times New Roman" w:eastAsia="宋体" w:cs="Times New Roman"/>
          <w:spacing w:val="-2"/>
          <w:szCs w:val="21"/>
          <w:highlight w:val="none"/>
        </w:rPr>
        <w:t>置</w:t>
      </w:r>
      <w:r>
        <w:rPr>
          <w:rFonts w:hint="default" w:ascii="Times New Roman" w:hAnsi="Times New Roman" w:eastAsia="宋体" w:cs="Times New Roman"/>
          <w:szCs w:val="21"/>
          <w:highlight w:val="none"/>
        </w:rPr>
        <w:t>是</w:t>
      </w:r>
      <w:r>
        <w:rPr>
          <w:rFonts w:hint="default" w:ascii="Times New Roman" w:hAnsi="Times New Roman" w:eastAsia="宋体" w:cs="Times New Roman"/>
          <w:spacing w:val="-2"/>
          <w:szCs w:val="21"/>
          <w:highlight w:val="none"/>
        </w:rPr>
        <w:t>否正</w:t>
      </w:r>
      <w:r>
        <w:rPr>
          <w:rFonts w:hint="default" w:ascii="Times New Roman" w:hAnsi="Times New Roman" w:eastAsia="宋体" w:cs="Times New Roman"/>
          <w:szCs w:val="21"/>
          <w:highlight w:val="none"/>
        </w:rPr>
        <w:t>常</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采</w:t>
      </w:r>
      <w:r>
        <w:rPr>
          <w:rFonts w:hint="default" w:ascii="Times New Roman" w:hAnsi="Times New Roman" w:eastAsia="宋体" w:cs="Times New Roman"/>
          <w:spacing w:val="-2"/>
          <w:szCs w:val="21"/>
          <w:highlight w:val="none"/>
        </w:rPr>
        <w:t>样</w:t>
      </w:r>
      <w:r>
        <w:rPr>
          <w:rFonts w:hint="default" w:ascii="Times New Roman" w:hAnsi="Times New Roman" w:eastAsia="宋体" w:cs="Times New Roman"/>
          <w:szCs w:val="21"/>
          <w:highlight w:val="none"/>
        </w:rPr>
        <w:t>斑</w:t>
      </w:r>
      <w:r>
        <w:rPr>
          <w:rFonts w:hint="default" w:ascii="Times New Roman" w:hAnsi="Times New Roman" w:eastAsia="宋体" w:cs="Times New Roman"/>
          <w:spacing w:val="-2"/>
          <w:szCs w:val="21"/>
          <w:highlight w:val="none"/>
        </w:rPr>
        <w:t>点</w:t>
      </w:r>
      <w:r>
        <w:rPr>
          <w:rFonts w:hint="default" w:ascii="Times New Roman" w:hAnsi="Times New Roman" w:eastAsia="宋体" w:cs="Times New Roman"/>
          <w:szCs w:val="21"/>
          <w:highlight w:val="none"/>
        </w:rPr>
        <w:t>是</w:t>
      </w:r>
      <w:r>
        <w:rPr>
          <w:rFonts w:hint="default" w:ascii="Times New Roman" w:hAnsi="Times New Roman" w:eastAsia="宋体" w:cs="Times New Roman"/>
          <w:spacing w:val="-2"/>
          <w:szCs w:val="21"/>
          <w:highlight w:val="none"/>
        </w:rPr>
        <w:t>否</w:t>
      </w:r>
      <w:r>
        <w:rPr>
          <w:rFonts w:hint="default" w:ascii="Times New Roman" w:hAnsi="Times New Roman" w:eastAsia="宋体" w:cs="Times New Roman"/>
          <w:szCs w:val="21"/>
          <w:highlight w:val="none"/>
        </w:rPr>
        <w:t>圆</w:t>
      </w:r>
      <w:r>
        <w:rPr>
          <w:rFonts w:hint="default" w:ascii="Times New Roman" w:hAnsi="Times New Roman" w:eastAsia="宋体" w:cs="Times New Roman"/>
          <w:spacing w:val="-2"/>
          <w:szCs w:val="21"/>
          <w:highlight w:val="none"/>
        </w:rPr>
        <w:t>滑（</w:t>
      </w:r>
      <w:r>
        <w:rPr>
          <w:rFonts w:hint="default" w:ascii="Times New Roman" w:hAnsi="Times New Roman" w:eastAsia="宋体" w:cs="Times New Roman"/>
          <w:szCs w:val="21"/>
          <w:highlight w:val="none"/>
        </w:rPr>
        <w:t>边界</w:t>
      </w:r>
      <w:r>
        <w:rPr>
          <w:rFonts w:hint="default" w:ascii="Times New Roman" w:hAnsi="Times New Roman" w:eastAsia="宋体" w:cs="Times New Roman"/>
          <w:spacing w:val="-2"/>
          <w:szCs w:val="21"/>
          <w:highlight w:val="none"/>
        </w:rPr>
        <w:t>清</w:t>
      </w:r>
      <w:r>
        <w:rPr>
          <w:rFonts w:hint="default" w:ascii="Times New Roman" w:hAnsi="Times New Roman" w:eastAsia="宋体" w:cs="Times New Roman"/>
          <w:szCs w:val="21"/>
          <w:highlight w:val="none"/>
        </w:rPr>
        <w:t>晰</w:t>
      </w:r>
      <w:r>
        <w:rPr>
          <w:rFonts w:hint="default" w:ascii="Times New Roman" w:hAnsi="Times New Roman" w:eastAsia="宋体" w:cs="Times New Roman"/>
          <w:spacing w:val="-108"/>
          <w:szCs w:val="21"/>
          <w:highlight w:val="none"/>
        </w:rPr>
        <w:t>）</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均匀</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完</w:t>
      </w:r>
      <w:r>
        <w:rPr>
          <w:rFonts w:hint="default" w:ascii="Times New Roman" w:hAnsi="Times New Roman" w:eastAsia="宋体" w:cs="Times New Roman"/>
          <w:szCs w:val="21"/>
          <w:highlight w:val="none"/>
        </w:rPr>
        <w:t>整</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及时</w:t>
      </w:r>
      <w:r>
        <w:rPr>
          <w:rFonts w:hint="default" w:ascii="Times New Roman" w:hAnsi="Times New Roman" w:eastAsia="宋体" w:cs="Times New Roman"/>
          <w:spacing w:val="-2"/>
          <w:szCs w:val="21"/>
          <w:highlight w:val="none"/>
        </w:rPr>
        <w:t>更</w:t>
      </w:r>
      <w:r>
        <w:rPr>
          <w:rFonts w:hint="default" w:ascii="Times New Roman" w:hAnsi="Times New Roman" w:eastAsia="宋体" w:cs="Times New Roman"/>
          <w:szCs w:val="21"/>
          <w:highlight w:val="none"/>
        </w:rPr>
        <w:t>换</w:t>
      </w:r>
      <w:r>
        <w:rPr>
          <w:rFonts w:hint="default" w:ascii="Times New Roman" w:hAnsi="Times New Roman" w:eastAsia="宋体" w:cs="Times New Roman"/>
          <w:spacing w:val="-2"/>
          <w:szCs w:val="21"/>
          <w:highlight w:val="none"/>
        </w:rPr>
        <w:t>纸带</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应</w:t>
      </w:r>
      <w:r>
        <w:rPr>
          <w:rFonts w:hint="default" w:ascii="Times New Roman" w:hAnsi="Times New Roman" w:eastAsia="宋体" w:cs="Times New Roman"/>
          <w:szCs w:val="21"/>
          <w:highlight w:val="none"/>
        </w:rPr>
        <w:t>佩 戴丁</w:t>
      </w:r>
      <w:r>
        <w:rPr>
          <w:rFonts w:hint="default" w:ascii="Times New Roman" w:hAnsi="Times New Roman" w:eastAsia="宋体" w:cs="Times New Roman"/>
          <w:spacing w:val="-2"/>
          <w:szCs w:val="21"/>
          <w:highlight w:val="none"/>
        </w:rPr>
        <w:t>腈</w:t>
      </w:r>
      <w:r>
        <w:rPr>
          <w:rFonts w:hint="default" w:ascii="Times New Roman" w:hAnsi="Times New Roman" w:eastAsia="宋体" w:cs="Times New Roman"/>
          <w:szCs w:val="21"/>
          <w:highlight w:val="none"/>
        </w:rPr>
        <w:t>手</w:t>
      </w:r>
      <w:r>
        <w:rPr>
          <w:rFonts w:hint="default" w:ascii="Times New Roman" w:hAnsi="Times New Roman" w:eastAsia="宋体" w:cs="Times New Roman"/>
          <w:spacing w:val="-2"/>
          <w:szCs w:val="21"/>
          <w:highlight w:val="none"/>
        </w:rPr>
        <w:t>套</w:t>
      </w:r>
      <w:r>
        <w:rPr>
          <w:rFonts w:hint="default" w:ascii="Times New Roman" w:hAnsi="Times New Roman" w:eastAsia="宋体" w:cs="Times New Roman"/>
          <w:spacing w:val="-106"/>
          <w:szCs w:val="21"/>
          <w:highlight w:val="none"/>
        </w:rPr>
        <w:t>）</w:t>
      </w:r>
      <w:r>
        <w:rPr>
          <w:rFonts w:hint="default" w:ascii="Times New Roman" w:hAnsi="Times New Roman" w:eastAsia="宋体" w:cs="Times New Roman"/>
          <w:szCs w:val="21"/>
          <w:highlight w:val="none"/>
        </w:rPr>
        <w:t>；</w:t>
      </w:r>
    </w:p>
    <w:p w14:paraId="4660171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5.2.3.4每</w:t>
      </w:r>
      <w:r>
        <w:rPr>
          <w:rFonts w:hint="default" w:ascii="Times New Roman" w:hAnsi="Times New Roman" w:eastAsia="宋体" w:cs="Times New Roman"/>
          <w:spacing w:val="-2"/>
          <w:position w:val="-1"/>
          <w:szCs w:val="21"/>
          <w:highlight w:val="none"/>
        </w:rPr>
        <w:t>月</w:t>
      </w:r>
      <w:r>
        <w:rPr>
          <w:rFonts w:hint="default" w:ascii="Times New Roman" w:hAnsi="Times New Roman" w:eastAsia="宋体" w:cs="Times New Roman"/>
          <w:position w:val="-1"/>
          <w:szCs w:val="21"/>
          <w:highlight w:val="none"/>
        </w:rPr>
        <w:t>至</w:t>
      </w:r>
      <w:r>
        <w:rPr>
          <w:rFonts w:hint="default" w:ascii="Times New Roman" w:hAnsi="Times New Roman" w:eastAsia="宋体" w:cs="Times New Roman"/>
          <w:spacing w:val="-2"/>
          <w:position w:val="-1"/>
          <w:szCs w:val="21"/>
          <w:highlight w:val="none"/>
        </w:rPr>
        <w:t>少</w:t>
      </w:r>
      <w:r>
        <w:rPr>
          <w:rFonts w:hint="default" w:ascii="Times New Roman" w:hAnsi="Times New Roman" w:eastAsia="宋体" w:cs="Times New Roman"/>
          <w:position w:val="-1"/>
          <w:szCs w:val="21"/>
          <w:highlight w:val="none"/>
        </w:rPr>
        <w:t>清</w:t>
      </w:r>
      <w:r>
        <w:rPr>
          <w:rFonts w:hint="default" w:ascii="Times New Roman" w:hAnsi="Times New Roman" w:eastAsia="宋体" w:cs="Times New Roman"/>
          <w:spacing w:val="-2"/>
          <w:position w:val="-1"/>
          <w:szCs w:val="21"/>
          <w:highlight w:val="none"/>
        </w:rPr>
        <w:t>洁</w:t>
      </w:r>
      <w:r>
        <w:rPr>
          <w:rFonts w:hint="default" w:ascii="Times New Roman" w:hAnsi="Times New Roman" w:eastAsia="宋体" w:cs="Times New Roman"/>
          <w:position w:val="-1"/>
          <w:szCs w:val="21"/>
          <w:highlight w:val="none"/>
        </w:rPr>
        <w:t>一</w:t>
      </w:r>
      <w:r>
        <w:rPr>
          <w:rFonts w:hint="default" w:ascii="Times New Roman" w:hAnsi="Times New Roman" w:eastAsia="宋体" w:cs="Times New Roman"/>
          <w:spacing w:val="-2"/>
          <w:position w:val="-1"/>
          <w:szCs w:val="21"/>
          <w:highlight w:val="none"/>
        </w:rPr>
        <w:t>次采</w:t>
      </w:r>
      <w:r>
        <w:rPr>
          <w:rFonts w:hint="default" w:ascii="Times New Roman" w:hAnsi="Times New Roman" w:eastAsia="宋体" w:cs="Times New Roman"/>
          <w:position w:val="-1"/>
          <w:szCs w:val="21"/>
          <w:highlight w:val="none"/>
        </w:rPr>
        <w:t>样头</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户</w:t>
      </w:r>
      <w:r>
        <w:rPr>
          <w:rFonts w:hint="default" w:ascii="Times New Roman" w:hAnsi="Times New Roman" w:eastAsia="宋体" w:cs="Times New Roman"/>
          <w:spacing w:val="-2"/>
          <w:position w:val="-1"/>
          <w:szCs w:val="21"/>
          <w:highlight w:val="none"/>
        </w:rPr>
        <w:t>外</w:t>
      </w:r>
      <w:r>
        <w:rPr>
          <w:rFonts w:hint="default" w:ascii="Times New Roman" w:hAnsi="Times New Roman" w:eastAsia="宋体" w:cs="Times New Roman"/>
          <w:position w:val="-1"/>
          <w:szCs w:val="21"/>
          <w:highlight w:val="none"/>
        </w:rPr>
        <w:t>传</w:t>
      </w:r>
      <w:r>
        <w:rPr>
          <w:rFonts w:hint="default" w:ascii="Times New Roman" w:hAnsi="Times New Roman" w:eastAsia="宋体" w:cs="Times New Roman"/>
          <w:spacing w:val="-2"/>
          <w:position w:val="-1"/>
          <w:szCs w:val="21"/>
          <w:highlight w:val="none"/>
        </w:rPr>
        <w:t>感</w:t>
      </w:r>
      <w:r>
        <w:rPr>
          <w:rFonts w:hint="default" w:ascii="Times New Roman" w:hAnsi="Times New Roman" w:eastAsia="宋体" w:cs="Times New Roman"/>
          <w:position w:val="-1"/>
          <w:szCs w:val="21"/>
          <w:highlight w:val="none"/>
        </w:rPr>
        <w:t>器</w:t>
      </w:r>
      <w:r>
        <w:rPr>
          <w:rFonts w:hint="default" w:ascii="Times New Roman" w:hAnsi="Times New Roman" w:eastAsia="宋体" w:cs="Times New Roman"/>
          <w:spacing w:val="-2"/>
          <w:position w:val="-1"/>
          <w:szCs w:val="21"/>
          <w:highlight w:val="none"/>
        </w:rPr>
        <w:t>与</w:t>
      </w:r>
      <w:r>
        <w:rPr>
          <w:rFonts w:hint="default" w:ascii="Times New Roman" w:hAnsi="Times New Roman" w:eastAsia="宋体" w:cs="Times New Roman"/>
          <w:position w:val="-1"/>
          <w:szCs w:val="21"/>
          <w:highlight w:val="none"/>
        </w:rPr>
        <w:t>测</w:t>
      </w:r>
      <w:r>
        <w:rPr>
          <w:rFonts w:hint="default" w:ascii="Times New Roman" w:hAnsi="Times New Roman" w:eastAsia="宋体" w:cs="Times New Roman"/>
          <w:spacing w:val="-2"/>
          <w:position w:val="-1"/>
          <w:szCs w:val="21"/>
          <w:highlight w:val="none"/>
        </w:rPr>
        <w:t>量</w:t>
      </w:r>
      <w:r>
        <w:rPr>
          <w:rFonts w:hint="default" w:ascii="Times New Roman" w:hAnsi="Times New Roman" w:eastAsia="宋体" w:cs="Times New Roman"/>
          <w:position w:val="-1"/>
          <w:szCs w:val="21"/>
          <w:highlight w:val="none"/>
        </w:rPr>
        <w:t>平台</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并</w:t>
      </w:r>
      <w:r>
        <w:rPr>
          <w:rFonts w:hint="default" w:ascii="Times New Roman" w:hAnsi="Times New Roman" w:eastAsia="宋体" w:cs="Times New Roman"/>
          <w:spacing w:val="-2"/>
          <w:position w:val="-1"/>
          <w:szCs w:val="21"/>
          <w:highlight w:val="none"/>
        </w:rPr>
        <w:t>根</w:t>
      </w:r>
      <w:r>
        <w:rPr>
          <w:rFonts w:hint="default" w:ascii="Times New Roman" w:hAnsi="Times New Roman" w:eastAsia="宋体" w:cs="Times New Roman"/>
          <w:position w:val="-1"/>
          <w:szCs w:val="21"/>
          <w:highlight w:val="none"/>
        </w:rPr>
        <w:t>据</w:t>
      </w:r>
      <w:r>
        <w:rPr>
          <w:rFonts w:hint="default" w:ascii="Times New Roman" w:hAnsi="Times New Roman" w:eastAsia="宋体" w:cs="Times New Roman"/>
          <w:spacing w:val="-2"/>
          <w:position w:val="-1"/>
          <w:szCs w:val="21"/>
          <w:highlight w:val="none"/>
        </w:rPr>
        <w:t>当</w:t>
      </w:r>
      <w:r>
        <w:rPr>
          <w:rFonts w:hint="default" w:ascii="Times New Roman" w:hAnsi="Times New Roman" w:eastAsia="宋体" w:cs="Times New Roman"/>
          <w:position w:val="-1"/>
          <w:szCs w:val="21"/>
          <w:highlight w:val="none"/>
        </w:rPr>
        <w:t>地</w:t>
      </w:r>
      <w:r>
        <w:rPr>
          <w:rFonts w:hint="default" w:ascii="Times New Roman" w:hAnsi="Times New Roman" w:eastAsia="宋体" w:cs="Times New Roman"/>
          <w:spacing w:val="-2"/>
          <w:position w:val="-1"/>
          <w:szCs w:val="21"/>
          <w:highlight w:val="none"/>
        </w:rPr>
        <w:t>污</w:t>
      </w:r>
      <w:r>
        <w:rPr>
          <w:rFonts w:hint="default" w:ascii="Times New Roman" w:hAnsi="Times New Roman" w:eastAsia="宋体" w:cs="Times New Roman"/>
          <w:position w:val="-1"/>
          <w:szCs w:val="21"/>
          <w:highlight w:val="none"/>
        </w:rPr>
        <w:t>染</w:t>
      </w:r>
      <w:r>
        <w:rPr>
          <w:rFonts w:hint="default" w:ascii="Times New Roman" w:hAnsi="Times New Roman" w:eastAsia="宋体" w:cs="Times New Roman"/>
          <w:spacing w:val="-2"/>
          <w:position w:val="-1"/>
          <w:szCs w:val="21"/>
          <w:highlight w:val="none"/>
        </w:rPr>
        <w:t>程</w:t>
      </w:r>
      <w:r>
        <w:rPr>
          <w:rFonts w:hint="default" w:ascii="Times New Roman" w:hAnsi="Times New Roman" w:eastAsia="宋体" w:cs="Times New Roman"/>
          <w:position w:val="-1"/>
          <w:szCs w:val="21"/>
          <w:highlight w:val="none"/>
        </w:rPr>
        <w:t>度加</w:t>
      </w:r>
      <w:r>
        <w:rPr>
          <w:rFonts w:hint="default" w:ascii="Times New Roman" w:hAnsi="Times New Roman" w:eastAsia="宋体" w:cs="Times New Roman"/>
          <w:spacing w:val="-2"/>
          <w:position w:val="-1"/>
          <w:szCs w:val="21"/>
          <w:highlight w:val="none"/>
        </w:rPr>
        <w:t>大</w:t>
      </w:r>
      <w:r>
        <w:rPr>
          <w:rFonts w:hint="default" w:ascii="Times New Roman" w:hAnsi="Times New Roman" w:eastAsia="宋体" w:cs="Times New Roman"/>
          <w:position w:val="-1"/>
          <w:szCs w:val="21"/>
          <w:highlight w:val="none"/>
        </w:rPr>
        <w:t>清</w:t>
      </w:r>
      <w:r>
        <w:rPr>
          <w:rFonts w:hint="default" w:ascii="Times New Roman" w:hAnsi="Times New Roman" w:eastAsia="宋体" w:cs="Times New Roman"/>
          <w:spacing w:val="-2"/>
          <w:position w:val="-1"/>
          <w:szCs w:val="21"/>
          <w:highlight w:val="none"/>
        </w:rPr>
        <w:t>洁</w:t>
      </w:r>
      <w:r>
        <w:rPr>
          <w:rFonts w:hint="default" w:ascii="Times New Roman" w:hAnsi="Times New Roman" w:eastAsia="宋体" w:cs="Times New Roman"/>
          <w:position w:val="-1"/>
          <w:szCs w:val="21"/>
          <w:highlight w:val="none"/>
        </w:rPr>
        <w:t>频</w:t>
      </w:r>
      <w:r>
        <w:rPr>
          <w:rFonts w:hint="default" w:ascii="Times New Roman" w:hAnsi="Times New Roman" w:eastAsia="宋体" w:cs="Times New Roman"/>
          <w:spacing w:val="-2"/>
          <w:position w:val="-1"/>
          <w:szCs w:val="21"/>
          <w:highlight w:val="none"/>
        </w:rPr>
        <w:t>率</w:t>
      </w:r>
      <w:r>
        <w:rPr>
          <w:rFonts w:hint="default" w:ascii="Times New Roman" w:hAnsi="Times New Roman" w:eastAsia="宋体" w:cs="Times New Roman"/>
          <w:position w:val="-1"/>
          <w:szCs w:val="21"/>
          <w:highlight w:val="none"/>
        </w:rPr>
        <w:t>。</w:t>
      </w:r>
    </w:p>
    <w:p w14:paraId="6F639610">
      <w:pPr>
        <w:pageBreakBefore w:val="0"/>
        <w:kinsoku/>
        <w:wordWrap/>
        <w:overflowPunct/>
        <w:topLinePunct w:val="0"/>
        <w:bidi w:val="0"/>
        <w:spacing w:line="360" w:lineRule="auto"/>
        <w:ind w:firstLine="378" w:firstLineChars="200"/>
        <w:rPr>
          <w:rFonts w:hint="default" w:ascii="Times New Roman" w:hAnsi="Times New Roman" w:eastAsia="宋体" w:cs="Times New Roman"/>
          <w:szCs w:val="21"/>
          <w:highlight w:val="none"/>
        </w:rPr>
      </w:pPr>
      <w:r>
        <w:rPr>
          <w:rFonts w:hint="default" w:ascii="Times New Roman" w:hAnsi="Times New Roman" w:eastAsia="宋体" w:cs="Times New Roman"/>
          <w:w w:val="90"/>
          <w:szCs w:val="21"/>
          <w:highlight w:val="none"/>
        </w:rPr>
        <w:t>5.3</w:t>
      </w:r>
      <w:r>
        <w:rPr>
          <w:rFonts w:hint="default" w:ascii="Times New Roman" w:hAnsi="Times New Roman" w:eastAsia="宋体" w:cs="Times New Roman"/>
          <w:szCs w:val="21"/>
          <w:highlight w:val="none"/>
        </w:rPr>
        <w:t>质</w:t>
      </w:r>
      <w:r>
        <w:rPr>
          <w:rFonts w:hint="default" w:ascii="Times New Roman" w:hAnsi="Times New Roman" w:eastAsia="宋体" w:cs="Times New Roman"/>
          <w:spacing w:val="-2"/>
          <w:szCs w:val="21"/>
          <w:highlight w:val="none"/>
        </w:rPr>
        <w:t>量</w:t>
      </w:r>
      <w:r>
        <w:rPr>
          <w:rFonts w:hint="default" w:ascii="Times New Roman" w:hAnsi="Times New Roman" w:eastAsia="宋体" w:cs="Times New Roman"/>
          <w:szCs w:val="21"/>
          <w:highlight w:val="none"/>
        </w:rPr>
        <w:t>控</w:t>
      </w:r>
      <w:r>
        <w:rPr>
          <w:rFonts w:hint="default" w:ascii="Times New Roman" w:hAnsi="Times New Roman" w:eastAsia="宋体" w:cs="Times New Roman"/>
          <w:spacing w:val="-2"/>
          <w:szCs w:val="21"/>
          <w:highlight w:val="none"/>
        </w:rPr>
        <w:t>制</w:t>
      </w:r>
      <w:r>
        <w:rPr>
          <w:rFonts w:hint="default" w:ascii="Times New Roman" w:hAnsi="Times New Roman" w:eastAsia="宋体" w:cs="Times New Roman"/>
          <w:szCs w:val="21"/>
          <w:highlight w:val="none"/>
        </w:rPr>
        <w:t>要求</w:t>
      </w:r>
    </w:p>
    <w:p w14:paraId="5A80DE8B">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5.3.1</w:t>
      </w:r>
      <w:r>
        <w:rPr>
          <w:rFonts w:hint="default" w:ascii="Times New Roman" w:hAnsi="Times New Roman" w:eastAsia="宋体" w:cs="Times New Roman"/>
          <w:spacing w:val="17"/>
          <w:position w:val="-1"/>
          <w:szCs w:val="21"/>
          <w:highlight w:val="none"/>
        </w:rPr>
        <w:t xml:space="preserve"> </w:t>
      </w:r>
      <w:r>
        <w:rPr>
          <w:rFonts w:hint="default" w:ascii="Times New Roman" w:hAnsi="Times New Roman" w:eastAsia="宋体" w:cs="Times New Roman"/>
          <w:spacing w:val="-2"/>
          <w:position w:val="-1"/>
          <w:szCs w:val="21"/>
          <w:highlight w:val="none"/>
        </w:rPr>
        <w:t>质</w:t>
      </w:r>
      <w:r>
        <w:rPr>
          <w:rFonts w:hint="default" w:ascii="Times New Roman" w:hAnsi="Times New Roman" w:eastAsia="宋体" w:cs="Times New Roman"/>
          <w:position w:val="-1"/>
          <w:szCs w:val="21"/>
          <w:highlight w:val="none"/>
        </w:rPr>
        <w:t>控</w:t>
      </w:r>
      <w:r>
        <w:rPr>
          <w:rFonts w:hint="default" w:ascii="Times New Roman" w:hAnsi="Times New Roman" w:eastAsia="宋体" w:cs="Times New Roman"/>
          <w:spacing w:val="-2"/>
          <w:position w:val="-1"/>
          <w:szCs w:val="21"/>
          <w:highlight w:val="none"/>
        </w:rPr>
        <w:t>元</w:t>
      </w:r>
      <w:r>
        <w:rPr>
          <w:rFonts w:hint="default" w:ascii="Times New Roman" w:hAnsi="Times New Roman" w:eastAsia="宋体" w:cs="Times New Roman"/>
          <w:position w:val="-1"/>
          <w:szCs w:val="21"/>
          <w:highlight w:val="none"/>
        </w:rPr>
        <w:t>素</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标</w:t>
      </w:r>
      <w:r>
        <w:rPr>
          <w:rFonts w:hint="default" w:ascii="Times New Roman" w:hAnsi="Times New Roman" w:eastAsia="宋体" w:cs="Times New Roman"/>
          <w:spacing w:val="-2"/>
          <w:position w:val="-1"/>
          <w:szCs w:val="21"/>
          <w:highlight w:val="none"/>
        </w:rPr>
        <w:t>准</w:t>
      </w:r>
      <w:r>
        <w:rPr>
          <w:rFonts w:hint="default" w:ascii="Times New Roman" w:hAnsi="Times New Roman" w:eastAsia="宋体" w:cs="Times New Roman"/>
          <w:position w:val="-1"/>
          <w:szCs w:val="21"/>
          <w:highlight w:val="none"/>
        </w:rPr>
        <w:t>品</w:t>
      </w:r>
      <w:r>
        <w:rPr>
          <w:rFonts w:hint="default" w:ascii="Times New Roman" w:hAnsi="Times New Roman" w:eastAsia="宋体" w:cs="Times New Roman"/>
          <w:spacing w:val="-2"/>
          <w:position w:val="-1"/>
          <w:szCs w:val="21"/>
          <w:highlight w:val="none"/>
        </w:rPr>
        <w:t>）</w:t>
      </w:r>
      <w:r>
        <w:rPr>
          <w:rFonts w:hint="default" w:ascii="Times New Roman" w:hAnsi="Times New Roman" w:eastAsia="宋体" w:cs="Times New Roman"/>
          <w:position w:val="-1"/>
          <w:szCs w:val="21"/>
          <w:highlight w:val="none"/>
        </w:rPr>
        <w:t>测量</w:t>
      </w:r>
      <w:r>
        <w:rPr>
          <w:rFonts w:hint="default" w:ascii="Times New Roman" w:hAnsi="Times New Roman" w:eastAsia="宋体" w:cs="Times New Roman"/>
          <w:spacing w:val="-2"/>
          <w:position w:val="-1"/>
          <w:szCs w:val="21"/>
          <w:highlight w:val="none"/>
        </w:rPr>
        <w:t>相</w:t>
      </w:r>
      <w:r>
        <w:rPr>
          <w:rFonts w:hint="default" w:ascii="Times New Roman" w:hAnsi="Times New Roman" w:eastAsia="宋体" w:cs="Times New Roman"/>
          <w:position w:val="-1"/>
          <w:szCs w:val="21"/>
          <w:highlight w:val="none"/>
        </w:rPr>
        <w:t>对</w:t>
      </w:r>
      <w:r>
        <w:rPr>
          <w:rFonts w:hint="default" w:ascii="Times New Roman" w:hAnsi="Times New Roman" w:eastAsia="宋体" w:cs="Times New Roman"/>
          <w:spacing w:val="-2"/>
          <w:position w:val="-1"/>
          <w:szCs w:val="21"/>
          <w:highlight w:val="none"/>
        </w:rPr>
        <w:t>误</w:t>
      </w:r>
      <w:r>
        <w:rPr>
          <w:rFonts w:hint="default" w:ascii="Times New Roman" w:hAnsi="Times New Roman" w:eastAsia="宋体" w:cs="Times New Roman"/>
          <w:w w:val="115"/>
          <w:position w:val="-1"/>
          <w:szCs w:val="21"/>
          <w:highlight w:val="none"/>
        </w:rPr>
        <w:t>差</w:t>
      </w:r>
      <w:r>
        <w:rPr>
          <w:rFonts w:hint="default" w:ascii="Times New Roman" w:hAnsi="Times New Roman" w:eastAsia="宋体" w:cs="Times New Roman"/>
          <w:spacing w:val="-2"/>
          <w:w w:val="115"/>
          <w:position w:val="-1"/>
          <w:szCs w:val="21"/>
          <w:highlight w:val="none"/>
        </w:rPr>
        <w:t>≤</w:t>
      </w:r>
      <w:r>
        <w:rPr>
          <w:rFonts w:hint="default" w:ascii="Times New Roman" w:hAnsi="Times New Roman" w:eastAsia="宋体" w:cs="Times New Roman"/>
          <w:w w:val="135"/>
          <w:position w:val="-1"/>
          <w:szCs w:val="21"/>
          <w:highlight w:val="none"/>
        </w:rPr>
        <w:t>±</w:t>
      </w:r>
      <w:r>
        <w:rPr>
          <w:rFonts w:hint="default" w:ascii="Times New Roman" w:hAnsi="Times New Roman" w:eastAsia="宋体" w:cs="Times New Roman"/>
          <w:w w:val="90"/>
          <w:position w:val="-1"/>
          <w:szCs w:val="21"/>
          <w:highlight w:val="none"/>
        </w:rPr>
        <w:t>1</w:t>
      </w:r>
      <w:r>
        <w:rPr>
          <w:rFonts w:hint="default" w:ascii="Times New Roman" w:hAnsi="Times New Roman" w:eastAsia="宋体" w:cs="Times New Roman"/>
          <w:spacing w:val="-2"/>
          <w:w w:val="90"/>
          <w:position w:val="-1"/>
          <w:szCs w:val="21"/>
          <w:highlight w:val="none"/>
        </w:rPr>
        <w:t>0</w:t>
      </w:r>
      <w:r>
        <w:rPr>
          <w:rFonts w:hint="default" w:ascii="Times New Roman" w:hAnsi="Times New Roman" w:eastAsia="宋体" w:cs="Times New Roman"/>
          <w:w w:val="56"/>
          <w:position w:val="-1"/>
          <w:szCs w:val="21"/>
          <w:highlight w:val="none"/>
        </w:rPr>
        <w:t>%</w:t>
      </w:r>
      <w:r>
        <w:rPr>
          <w:rFonts w:hint="default" w:ascii="Times New Roman" w:hAnsi="Times New Roman" w:eastAsia="宋体" w:cs="Times New Roman"/>
          <w:spacing w:val="-2"/>
          <w:position w:val="-1"/>
          <w:szCs w:val="21"/>
          <w:highlight w:val="none"/>
        </w:rPr>
        <w:t>，流</w:t>
      </w:r>
      <w:r>
        <w:rPr>
          <w:rFonts w:hint="default" w:ascii="Times New Roman" w:hAnsi="Times New Roman" w:eastAsia="宋体" w:cs="Times New Roman"/>
          <w:position w:val="-1"/>
          <w:szCs w:val="21"/>
          <w:highlight w:val="none"/>
        </w:rPr>
        <w:t>量相</w:t>
      </w:r>
      <w:r>
        <w:rPr>
          <w:rFonts w:hint="default" w:ascii="Times New Roman" w:hAnsi="Times New Roman" w:eastAsia="宋体" w:cs="Times New Roman"/>
          <w:spacing w:val="-2"/>
          <w:position w:val="-1"/>
          <w:szCs w:val="21"/>
          <w:highlight w:val="none"/>
        </w:rPr>
        <w:t>对</w:t>
      </w:r>
      <w:r>
        <w:rPr>
          <w:rFonts w:hint="default" w:ascii="Times New Roman" w:hAnsi="Times New Roman" w:eastAsia="宋体" w:cs="Times New Roman"/>
          <w:position w:val="-1"/>
          <w:szCs w:val="21"/>
          <w:highlight w:val="none"/>
        </w:rPr>
        <w:t>误</w:t>
      </w:r>
      <w:r>
        <w:rPr>
          <w:rFonts w:hint="default" w:ascii="Times New Roman" w:hAnsi="Times New Roman" w:eastAsia="宋体" w:cs="Times New Roman"/>
          <w:spacing w:val="-2"/>
          <w:position w:val="-1"/>
          <w:szCs w:val="21"/>
          <w:highlight w:val="none"/>
        </w:rPr>
        <w:t>差</w:t>
      </w:r>
      <w:r>
        <w:rPr>
          <w:rFonts w:hint="default" w:ascii="Times New Roman" w:hAnsi="Times New Roman" w:eastAsia="宋体" w:cs="Times New Roman"/>
          <w:w w:val="135"/>
          <w:position w:val="-1"/>
          <w:szCs w:val="21"/>
          <w:highlight w:val="none"/>
        </w:rPr>
        <w:t>≤</w:t>
      </w:r>
      <w:r>
        <w:rPr>
          <w:rFonts w:hint="default" w:ascii="Times New Roman" w:hAnsi="Times New Roman" w:eastAsia="宋体" w:cs="Times New Roman"/>
          <w:spacing w:val="-2"/>
          <w:w w:val="135"/>
          <w:position w:val="-1"/>
          <w:szCs w:val="21"/>
          <w:highlight w:val="none"/>
        </w:rPr>
        <w:t>±</w:t>
      </w:r>
      <w:r>
        <w:rPr>
          <w:rFonts w:hint="default" w:ascii="Times New Roman" w:hAnsi="Times New Roman" w:eastAsia="宋体" w:cs="Times New Roman"/>
          <w:w w:val="90"/>
          <w:position w:val="-1"/>
          <w:szCs w:val="21"/>
          <w:highlight w:val="none"/>
        </w:rPr>
        <w:t>5</w:t>
      </w:r>
      <w:r>
        <w:rPr>
          <w:rFonts w:hint="default" w:ascii="Times New Roman" w:hAnsi="Times New Roman" w:eastAsia="宋体" w:cs="Times New Roman"/>
          <w:w w:val="56"/>
          <w:position w:val="-1"/>
          <w:szCs w:val="21"/>
          <w:highlight w:val="none"/>
        </w:rPr>
        <w:t>%</w:t>
      </w:r>
      <w:r>
        <w:rPr>
          <w:rFonts w:hint="default" w:ascii="Times New Roman" w:hAnsi="Times New Roman" w:eastAsia="宋体" w:cs="Times New Roman"/>
          <w:position w:val="-1"/>
          <w:szCs w:val="21"/>
          <w:highlight w:val="none"/>
        </w:rPr>
        <w:t>。</w:t>
      </w:r>
    </w:p>
    <w:p w14:paraId="1CE668B8">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5.3.2</w:t>
      </w:r>
      <w:r>
        <w:rPr>
          <w:rFonts w:hint="default" w:ascii="Times New Roman" w:hAnsi="Times New Roman" w:eastAsia="宋体" w:cs="Times New Roman"/>
          <w:spacing w:val="17"/>
          <w:szCs w:val="21"/>
          <w:highlight w:val="none"/>
        </w:rPr>
        <w:t xml:space="preserve"> </w:t>
      </w:r>
      <w:r>
        <w:rPr>
          <w:rFonts w:hint="default" w:ascii="Times New Roman" w:hAnsi="Times New Roman" w:eastAsia="宋体" w:cs="Times New Roman"/>
          <w:spacing w:val="-2"/>
          <w:szCs w:val="21"/>
          <w:highlight w:val="none"/>
        </w:rPr>
        <w:t>每</w:t>
      </w:r>
      <w:r>
        <w:rPr>
          <w:rFonts w:hint="default" w:ascii="Times New Roman" w:hAnsi="Times New Roman" w:eastAsia="宋体" w:cs="Times New Roman"/>
          <w:szCs w:val="21"/>
          <w:highlight w:val="none"/>
        </w:rPr>
        <w:t>月</w:t>
      </w:r>
      <w:r>
        <w:rPr>
          <w:rFonts w:hint="default" w:ascii="Times New Roman" w:hAnsi="Times New Roman" w:eastAsia="宋体" w:cs="Times New Roman"/>
          <w:spacing w:val="-2"/>
          <w:szCs w:val="21"/>
          <w:highlight w:val="none"/>
        </w:rPr>
        <w:t>质</w:t>
      </w:r>
      <w:r>
        <w:rPr>
          <w:rFonts w:hint="default" w:ascii="Times New Roman" w:hAnsi="Times New Roman" w:eastAsia="宋体" w:cs="Times New Roman"/>
          <w:szCs w:val="21"/>
          <w:highlight w:val="none"/>
        </w:rPr>
        <w:t>控</w:t>
      </w:r>
      <w:r>
        <w:rPr>
          <w:rFonts w:hint="default" w:ascii="Times New Roman" w:hAnsi="Times New Roman" w:eastAsia="宋体" w:cs="Times New Roman"/>
          <w:spacing w:val="-2"/>
          <w:szCs w:val="21"/>
          <w:highlight w:val="none"/>
        </w:rPr>
        <w:t>内</w:t>
      </w:r>
      <w:r>
        <w:rPr>
          <w:rFonts w:hint="default" w:ascii="Times New Roman" w:hAnsi="Times New Roman" w:eastAsia="宋体" w:cs="Times New Roman"/>
          <w:szCs w:val="21"/>
          <w:highlight w:val="none"/>
        </w:rPr>
        <w:t>容：</w:t>
      </w:r>
    </w:p>
    <w:p w14:paraId="4E4C15BD">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5.3.2.1 空白</w:t>
      </w:r>
      <w:r>
        <w:rPr>
          <w:rFonts w:hint="default" w:ascii="Times New Roman" w:hAnsi="Times New Roman" w:eastAsia="宋体" w:cs="Times New Roman"/>
          <w:spacing w:val="-2"/>
          <w:szCs w:val="21"/>
          <w:highlight w:val="none"/>
        </w:rPr>
        <w:t>测</w:t>
      </w:r>
      <w:r>
        <w:rPr>
          <w:rFonts w:hint="default" w:ascii="Times New Roman" w:hAnsi="Times New Roman" w:eastAsia="宋体" w:cs="Times New Roman"/>
          <w:szCs w:val="21"/>
          <w:highlight w:val="none"/>
        </w:rPr>
        <w:t>试</w:t>
      </w:r>
      <w:r>
        <w:rPr>
          <w:rFonts w:hint="default" w:ascii="Times New Roman" w:hAnsi="Times New Roman" w:eastAsia="宋体" w:cs="Times New Roman"/>
          <w:spacing w:val="-55"/>
          <w:szCs w:val="21"/>
          <w:highlight w:val="none"/>
        </w:rPr>
        <w:t>，</w:t>
      </w:r>
      <w:r>
        <w:rPr>
          <w:rFonts w:hint="default" w:ascii="Times New Roman" w:hAnsi="Times New Roman" w:eastAsia="宋体" w:cs="Times New Roman"/>
          <w:spacing w:val="-2"/>
          <w:w w:val="90"/>
          <w:szCs w:val="21"/>
          <w:highlight w:val="none"/>
        </w:rPr>
        <w:t>8</w:t>
      </w:r>
      <w:r>
        <w:rPr>
          <w:rFonts w:hint="default" w:ascii="Times New Roman" w:hAnsi="Times New Roman" w:eastAsia="宋体" w:cs="Times New Roman"/>
          <w:w w:val="69"/>
          <w:szCs w:val="21"/>
          <w:highlight w:val="none"/>
        </w:rPr>
        <w:t>0%</w:t>
      </w:r>
      <w:r>
        <w:rPr>
          <w:rFonts w:hint="default" w:ascii="Times New Roman" w:hAnsi="Times New Roman" w:eastAsia="宋体" w:cs="Times New Roman"/>
          <w:spacing w:val="-2"/>
          <w:szCs w:val="21"/>
          <w:highlight w:val="none"/>
        </w:rPr>
        <w:t>的</w:t>
      </w:r>
      <w:r>
        <w:rPr>
          <w:rFonts w:hint="default" w:ascii="Times New Roman" w:hAnsi="Times New Roman" w:eastAsia="宋体" w:cs="Times New Roman"/>
          <w:szCs w:val="21"/>
          <w:highlight w:val="none"/>
        </w:rPr>
        <w:t>目</w:t>
      </w:r>
      <w:r>
        <w:rPr>
          <w:rFonts w:hint="default" w:ascii="Times New Roman" w:hAnsi="Times New Roman" w:eastAsia="宋体" w:cs="Times New Roman"/>
          <w:spacing w:val="-2"/>
          <w:szCs w:val="21"/>
          <w:highlight w:val="none"/>
        </w:rPr>
        <w:t>标</w:t>
      </w:r>
      <w:r>
        <w:rPr>
          <w:rFonts w:hint="default" w:ascii="Times New Roman" w:hAnsi="Times New Roman" w:eastAsia="宋体" w:cs="Times New Roman"/>
          <w:szCs w:val="21"/>
          <w:highlight w:val="none"/>
        </w:rPr>
        <w:t>物</w:t>
      </w:r>
      <w:r>
        <w:rPr>
          <w:rFonts w:hint="default" w:ascii="Times New Roman" w:hAnsi="Times New Roman" w:eastAsia="宋体" w:cs="Times New Roman"/>
          <w:spacing w:val="-2"/>
          <w:szCs w:val="21"/>
          <w:highlight w:val="none"/>
        </w:rPr>
        <w:t>质</w:t>
      </w:r>
      <w:r>
        <w:rPr>
          <w:rFonts w:hint="default" w:ascii="Times New Roman" w:hAnsi="Times New Roman" w:eastAsia="宋体" w:cs="Times New Roman"/>
          <w:szCs w:val="21"/>
          <w:highlight w:val="none"/>
        </w:rPr>
        <w:t>空白</w:t>
      </w:r>
      <w:r>
        <w:rPr>
          <w:rFonts w:hint="default" w:ascii="Times New Roman" w:hAnsi="Times New Roman" w:eastAsia="宋体" w:cs="Times New Roman"/>
          <w:spacing w:val="-2"/>
          <w:szCs w:val="21"/>
          <w:highlight w:val="none"/>
        </w:rPr>
        <w:t>测</w:t>
      </w:r>
      <w:r>
        <w:rPr>
          <w:rFonts w:hint="default" w:ascii="Times New Roman" w:hAnsi="Times New Roman" w:eastAsia="宋体" w:cs="Times New Roman"/>
          <w:szCs w:val="21"/>
          <w:highlight w:val="none"/>
        </w:rPr>
        <w:t>试</w:t>
      </w:r>
      <w:r>
        <w:rPr>
          <w:rFonts w:hint="default" w:ascii="Times New Roman" w:hAnsi="Times New Roman" w:eastAsia="宋体" w:cs="Times New Roman"/>
          <w:spacing w:val="-2"/>
          <w:szCs w:val="21"/>
          <w:highlight w:val="none"/>
        </w:rPr>
        <w:t>结</w:t>
      </w:r>
      <w:r>
        <w:rPr>
          <w:rFonts w:hint="default" w:ascii="Times New Roman" w:hAnsi="Times New Roman" w:eastAsia="宋体" w:cs="Times New Roman"/>
          <w:szCs w:val="21"/>
          <w:highlight w:val="none"/>
        </w:rPr>
        <w:t>果</w:t>
      </w:r>
      <w:r>
        <w:rPr>
          <w:rFonts w:hint="default" w:ascii="Times New Roman" w:hAnsi="Times New Roman" w:eastAsia="宋体" w:cs="Times New Roman"/>
          <w:spacing w:val="-2"/>
          <w:szCs w:val="21"/>
          <w:highlight w:val="none"/>
        </w:rPr>
        <w:t>应</w:t>
      </w:r>
      <w:r>
        <w:rPr>
          <w:rFonts w:hint="default" w:ascii="Times New Roman" w:hAnsi="Times New Roman" w:eastAsia="宋体" w:cs="Times New Roman"/>
          <w:szCs w:val="21"/>
          <w:highlight w:val="none"/>
        </w:rPr>
        <w:t>小</w:t>
      </w:r>
      <w:r>
        <w:rPr>
          <w:rFonts w:hint="default" w:ascii="Times New Roman" w:hAnsi="Times New Roman" w:eastAsia="宋体" w:cs="Times New Roman"/>
          <w:spacing w:val="-2"/>
          <w:szCs w:val="21"/>
          <w:highlight w:val="none"/>
        </w:rPr>
        <w:t>于</w:t>
      </w:r>
      <w:r>
        <w:rPr>
          <w:rFonts w:hint="default" w:ascii="Times New Roman" w:hAnsi="Times New Roman" w:eastAsia="宋体" w:cs="Times New Roman"/>
          <w:szCs w:val="21"/>
          <w:highlight w:val="none"/>
        </w:rPr>
        <w:t>仪</w:t>
      </w:r>
      <w:r>
        <w:rPr>
          <w:rFonts w:hint="default" w:ascii="Times New Roman" w:hAnsi="Times New Roman" w:eastAsia="宋体" w:cs="Times New Roman"/>
          <w:spacing w:val="-2"/>
          <w:szCs w:val="21"/>
          <w:highlight w:val="none"/>
        </w:rPr>
        <w:t>器</w:t>
      </w:r>
      <w:r>
        <w:rPr>
          <w:rFonts w:hint="default" w:ascii="Times New Roman" w:hAnsi="Times New Roman" w:eastAsia="宋体" w:cs="Times New Roman"/>
          <w:szCs w:val="21"/>
          <w:highlight w:val="none"/>
        </w:rPr>
        <w:t>检出</w:t>
      </w:r>
      <w:r>
        <w:rPr>
          <w:rFonts w:hint="default" w:ascii="Times New Roman" w:hAnsi="Times New Roman" w:eastAsia="宋体" w:cs="Times New Roman"/>
          <w:spacing w:val="-2"/>
          <w:szCs w:val="21"/>
          <w:highlight w:val="none"/>
        </w:rPr>
        <w:t>限</w:t>
      </w:r>
      <w:r>
        <w:rPr>
          <w:rFonts w:hint="default" w:ascii="Times New Roman" w:hAnsi="Times New Roman" w:eastAsia="宋体" w:cs="Times New Roman"/>
          <w:spacing w:val="-55"/>
          <w:szCs w:val="21"/>
          <w:highlight w:val="none"/>
        </w:rPr>
        <w:t>，</w:t>
      </w:r>
      <w:r>
        <w:rPr>
          <w:rFonts w:hint="default" w:ascii="Times New Roman" w:hAnsi="Times New Roman" w:eastAsia="宋体" w:cs="Times New Roman"/>
          <w:spacing w:val="-2"/>
          <w:szCs w:val="21"/>
          <w:highlight w:val="none"/>
        </w:rPr>
        <w:t>所</w:t>
      </w:r>
      <w:r>
        <w:rPr>
          <w:rFonts w:hint="default" w:ascii="Times New Roman" w:hAnsi="Times New Roman" w:eastAsia="宋体" w:cs="Times New Roman"/>
          <w:szCs w:val="21"/>
          <w:highlight w:val="none"/>
        </w:rPr>
        <w:t>有</w:t>
      </w:r>
      <w:r>
        <w:rPr>
          <w:rFonts w:hint="default" w:ascii="Times New Roman" w:hAnsi="Times New Roman" w:eastAsia="宋体" w:cs="Times New Roman"/>
          <w:spacing w:val="-2"/>
          <w:szCs w:val="21"/>
          <w:highlight w:val="none"/>
        </w:rPr>
        <w:t>目</w:t>
      </w:r>
      <w:r>
        <w:rPr>
          <w:rFonts w:hint="default" w:ascii="Times New Roman" w:hAnsi="Times New Roman" w:eastAsia="宋体" w:cs="Times New Roman"/>
          <w:szCs w:val="21"/>
          <w:highlight w:val="none"/>
        </w:rPr>
        <w:t>标</w:t>
      </w:r>
      <w:r>
        <w:rPr>
          <w:rFonts w:hint="default" w:ascii="Times New Roman" w:hAnsi="Times New Roman" w:eastAsia="宋体" w:cs="Times New Roman"/>
          <w:spacing w:val="-2"/>
          <w:szCs w:val="21"/>
          <w:highlight w:val="none"/>
        </w:rPr>
        <w:t>物</w:t>
      </w:r>
      <w:r>
        <w:rPr>
          <w:rFonts w:hint="default" w:ascii="Times New Roman" w:hAnsi="Times New Roman" w:eastAsia="宋体" w:cs="Times New Roman"/>
          <w:szCs w:val="21"/>
          <w:highlight w:val="none"/>
        </w:rPr>
        <w:t>质</w:t>
      </w:r>
      <w:r>
        <w:rPr>
          <w:rFonts w:hint="default" w:ascii="Times New Roman" w:hAnsi="Times New Roman" w:eastAsia="宋体" w:cs="Times New Roman"/>
          <w:spacing w:val="-2"/>
          <w:szCs w:val="21"/>
          <w:highlight w:val="none"/>
        </w:rPr>
        <w:t>空</w:t>
      </w:r>
      <w:r>
        <w:rPr>
          <w:rFonts w:hint="default" w:ascii="Times New Roman" w:hAnsi="Times New Roman" w:eastAsia="宋体" w:cs="Times New Roman"/>
          <w:szCs w:val="21"/>
          <w:highlight w:val="none"/>
        </w:rPr>
        <w:t>白测</w:t>
      </w:r>
      <w:r>
        <w:rPr>
          <w:rFonts w:hint="default" w:ascii="Times New Roman" w:hAnsi="Times New Roman" w:eastAsia="宋体" w:cs="Times New Roman"/>
          <w:spacing w:val="-2"/>
          <w:szCs w:val="21"/>
          <w:highlight w:val="none"/>
        </w:rPr>
        <w:t>试</w:t>
      </w:r>
      <w:r>
        <w:rPr>
          <w:rFonts w:hint="default" w:ascii="Times New Roman" w:hAnsi="Times New Roman" w:eastAsia="宋体" w:cs="Times New Roman"/>
          <w:szCs w:val="21"/>
          <w:highlight w:val="none"/>
        </w:rPr>
        <w:t>结</w:t>
      </w:r>
      <w:r>
        <w:rPr>
          <w:rFonts w:hint="default" w:ascii="Times New Roman" w:hAnsi="Times New Roman" w:eastAsia="宋体" w:cs="Times New Roman"/>
          <w:spacing w:val="-2"/>
          <w:szCs w:val="21"/>
          <w:highlight w:val="none"/>
        </w:rPr>
        <w:t>果</w:t>
      </w:r>
      <w:r>
        <w:rPr>
          <w:rFonts w:hint="default" w:ascii="Times New Roman" w:hAnsi="Times New Roman" w:eastAsia="宋体" w:cs="Times New Roman"/>
          <w:szCs w:val="21"/>
          <w:highlight w:val="none"/>
        </w:rPr>
        <w:t>应</w:t>
      </w:r>
      <w:r>
        <w:rPr>
          <w:rFonts w:hint="default" w:ascii="Times New Roman" w:hAnsi="Times New Roman" w:eastAsia="宋体" w:cs="Times New Roman"/>
          <w:spacing w:val="-2"/>
          <w:szCs w:val="21"/>
          <w:highlight w:val="none"/>
        </w:rPr>
        <w:t>小</w:t>
      </w:r>
      <w:r>
        <w:rPr>
          <w:rFonts w:hint="default" w:ascii="Times New Roman" w:hAnsi="Times New Roman" w:eastAsia="宋体" w:cs="Times New Roman"/>
          <w:szCs w:val="21"/>
          <w:highlight w:val="none"/>
        </w:rPr>
        <w:t>于</w:t>
      </w:r>
      <w:r>
        <w:rPr>
          <w:rFonts w:hint="default" w:ascii="Times New Roman" w:hAnsi="Times New Roman" w:eastAsia="宋体" w:cs="Times New Roman"/>
          <w:spacing w:val="-2"/>
          <w:szCs w:val="21"/>
          <w:highlight w:val="none"/>
        </w:rPr>
        <w:t>仪</w:t>
      </w:r>
      <w:r>
        <w:rPr>
          <w:rFonts w:hint="default" w:ascii="Times New Roman" w:hAnsi="Times New Roman" w:eastAsia="宋体" w:cs="Times New Roman"/>
          <w:szCs w:val="21"/>
          <w:highlight w:val="none"/>
        </w:rPr>
        <w:t>器测定</w:t>
      </w:r>
      <w:r>
        <w:rPr>
          <w:rFonts w:hint="default" w:ascii="Times New Roman" w:hAnsi="Times New Roman" w:eastAsia="宋体" w:cs="Times New Roman"/>
          <w:spacing w:val="-2"/>
          <w:szCs w:val="21"/>
          <w:highlight w:val="none"/>
        </w:rPr>
        <w:t>下</w:t>
      </w:r>
      <w:r>
        <w:rPr>
          <w:rFonts w:hint="default" w:ascii="Times New Roman" w:hAnsi="Times New Roman" w:eastAsia="宋体" w:cs="Times New Roman"/>
          <w:szCs w:val="21"/>
          <w:highlight w:val="none"/>
        </w:rPr>
        <w:t>限。 采样</w:t>
      </w:r>
      <w:r>
        <w:rPr>
          <w:rFonts w:hint="default" w:ascii="Times New Roman" w:hAnsi="Times New Roman" w:eastAsia="宋体" w:cs="Times New Roman"/>
          <w:spacing w:val="-2"/>
          <w:szCs w:val="21"/>
          <w:highlight w:val="none"/>
        </w:rPr>
        <w:t>流</w:t>
      </w:r>
      <w:r>
        <w:rPr>
          <w:rFonts w:hint="default" w:ascii="Times New Roman" w:hAnsi="Times New Roman" w:eastAsia="宋体" w:cs="Times New Roman"/>
          <w:szCs w:val="21"/>
          <w:highlight w:val="none"/>
        </w:rPr>
        <w:t>量</w:t>
      </w:r>
      <w:r>
        <w:rPr>
          <w:rFonts w:hint="default" w:ascii="Times New Roman" w:hAnsi="Times New Roman" w:eastAsia="宋体" w:cs="Times New Roman"/>
          <w:spacing w:val="-2"/>
          <w:szCs w:val="21"/>
          <w:highlight w:val="none"/>
        </w:rPr>
        <w:t>核</w:t>
      </w:r>
      <w:r>
        <w:rPr>
          <w:rFonts w:hint="default" w:ascii="Times New Roman" w:hAnsi="Times New Roman" w:eastAsia="宋体" w:cs="Times New Roman"/>
          <w:szCs w:val="21"/>
          <w:highlight w:val="none"/>
        </w:rPr>
        <w:t>查</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流</w:t>
      </w:r>
      <w:r>
        <w:rPr>
          <w:rFonts w:hint="default" w:ascii="Times New Roman" w:hAnsi="Times New Roman" w:eastAsia="宋体" w:cs="Times New Roman"/>
          <w:spacing w:val="-2"/>
          <w:szCs w:val="21"/>
          <w:highlight w:val="none"/>
        </w:rPr>
        <w:t>量</w:t>
      </w:r>
      <w:r>
        <w:rPr>
          <w:rFonts w:hint="default" w:ascii="Times New Roman" w:hAnsi="Times New Roman" w:eastAsia="宋体" w:cs="Times New Roman"/>
          <w:szCs w:val="21"/>
          <w:highlight w:val="none"/>
        </w:rPr>
        <w:t>偏</w:t>
      </w:r>
      <w:r>
        <w:rPr>
          <w:rFonts w:hint="default" w:ascii="Times New Roman" w:hAnsi="Times New Roman" w:eastAsia="宋体" w:cs="Times New Roman"/>
          <w:spacing w:val="-2"/>
          <w:szCs w:val="21"/>
          <w:highlight w:val="none"/>
        </w:rPr>
        <w:t>差</w:t>
      </w:r>
      <w:r>
        <w:rPr>
          <w:rFonts w:hint="default" w:ascii="Times New Roman" w:hAnsi="Times New Roman" w:eastAsia="宋体" w:cs="Times New Roman"/>
          <w:w w:val="115"/>
          <w:szCs w:val="21"/>
          <w:highlight w:val="none"/>
        </w:rPr>
        <w:t>在±</w:t>
      </w:r>
      <w:r>
        <w:rPr>
          <w:rFonts w:hint="default" w:ascii="Times New Roman" w:hAnsi="Times New Roman" w:eastAsia="宋体" w:cs="Times New Roman"/>
          <w:w w:val="69"/>
          <w:szCs w:val="21"/>
          <w:highlight w:val="none"/>
        </w:rPr>
        <w:t>5</w:t>
      </w:r>
      <w:r>
        <w:rPr>
          <w:rFonts w:hint="default" w:ascii="Times New Roman" w:hAnsi="Times New Roman" w:eastAsia="宋体" w:cs="Times New Roman"/>
          <w:spacing w:val="-2"/>
          <w:w w:val="69"/>
          <w:szCs w:val="21"/>
          <w:highlight w:val="none"/>
        </w:rPr>
        <w:t>%</w:t>
      </w:r>
      <w:r>
        <w:rPr>
          <w:rFonts w:hint="default" w:ascii="Times New Roman" w:hAnsi="Times New Roman" w:eastAsia="宋体" w:cs="Times New Roman"/>
          <w:szCs w:val="21"/>
          <w:highlight w:val="none"/>
        </w:rPr>
        <w:t>以</w:t>
      </w:r>
      <w:r>
        <w:rPr>
          <w:rFonts w:hint="default" w:ascii="Times New Roman" w:hAnsi="Times New Roman" w:eastAsia="宋体" w:cs="Times New Roman"/>
          <w:spacing w:val="-2"/>
          <w:szCs w:val="21"/>
          <w:highlight w:val="none"/>
        </w:rPr>
        <w:t>内</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超</w:t>
      </w:r>
      <w:r>
        <w:rPr>
          <w:rFonts w:hint="default" w:ascii="Times New Roman" w:hAnsi="Times New Roman" w:eastAsia="宋体" w:cs="Times New Roman"/>
          <w:w w:val="115"/>
          <w:szCs w:val="21"/>
          <w:highlight w:val="none"/>
        </w:rPr>
        <w:t>过</w:t>
      </w:r>
      <w:r>
        <w:rPr>
          <w:rFonts w:hint="default" w:ascii="Times New Roman" w:hAnsi="Times New Roman" w:eastAsia="宋体" w:cs="Times New Roman"/>
          <w:spacing w:val="-3"/>
          <w:w w:val="115"/>
          <w:szCs w:val="21"/>
          <w:highlight w:val="none"/>
        </w:rPr>
        <w:t>±</w:t>
      </w:r>
      <w:r>
        <w:rPr>
          <w:rFonts w:hint="default" w:ascii="Times New Roman" w:hAnsi="Times New Roman" w:eastAsia="宋体" w:cs="Times New Roman"/>
          <w:w w:val="69"/>
          <w:szCs w:val="21"/>
          <w:highlight w:val="none"/>
        </w:rPr>
        <w:t>5%</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需进</w:t>
      </w:r>
      <w:r>
        <w:rPr>
          <w:rFonts w:hint="default" w:ascii="Times New Roman" w:hAnsi="Times New Roman" w:eastAsia="宋体" w:cs="Times New Roman"/>
          <w:spacing w:val="-2"/>
          <w:szCs w:val="21"/>
          <w:highlight w:val="none"/>
        </w:rPr>
        <w:t>行</w:t>
      </w:r>
      <w:r>
        <w:rPr>
          <w:rFonts w:hint="default" w:ascii="Times New Roman" w:hAnsi="Times New Roman" w:eastAsia="宋体" w:cs="Times New Roman"/>
          <w:szCs w:val="21"/>
          <w:highlight w:val="none"/>
        </w:rPr>
        <w:t>校</w:t>
      </w:r>
      <w:r>
        <w:rPr>
          <w:rFonts w:hint="default" w:ascii="Times New Roman" w:hAnsi="Times New Roman" w:eastAsia="宋体" w:cs="Times New Roman"/>
          <w:spacing w:val="-2"/>
          <w:szCs w:val="21"/>
          <w:highlight w:val="none"/>
        </w:rPr>
        <w:t>准</w:t>
      </w:r>
      <w:r>
        <w:rPr>
          <w:rFonts w:hint="default" w:ascii="Times New Roman" w:hAnsi="Times New Roman" w:eastAsia="宋体" w:cs="Times New Roman"/>
          <w:szCs w:val="21"/>
          <w:highlight w:val="none"/>
        </w:rPr>
        <w:t>； 环境</w:t>
      </w:r>
      <w:r>
        <w:rPr>
          <w:rFonts w:hint="default" w:ascii="Times New Roman" w:hAnsi="Times New Roman" w:eastAsia="宋体" w:cs="Times New Roman"/>
          <w:spacing w:val="-2"/>
          <w:szCs w:val="21"/>
          <w:highlight w:val="none"/>
        </w:rPr>
        <w:t>温</w:t>
      </w:r>
      <w:r>
        <w:rPr>
          <w:rFonts w:hint="default" w:ascii="Times New Roman" w:hAnsi="Times New Roman" w:eastAsia="宋体" w:cs="Times New Roman"/>
          <w:szCs w:val="21"/>
          <w:highlight w:val="none"/>
        </w:rPr>
        <w:t>度</w:t>
      </w:r>
      <w:r>
        <w:rPr>
          <w:rFonts w:hint="default" w:ascii="Times New Roman" w:hAnsi="Times New Roman" w:eastAsia="宋体" w:cs="Times New Roman"/>
          <w:spacing w:val="-2"/>
          <w:szCs w:val="21"/>
          <w:highlight w:val="none"/>
        </w:rPr>
        <w:t>和</w:t>
      </w:r>
      <w:r>
        <w:rPr>
          <w:rFonts w:hint="default" w:ascii="Times New Roman" w:hAnsi="Times New Roman" w:eastAsia="宋体" w:cs="Times New Roman"/>
          <w:szCs w:val="21"/>
          <w:highlight w:val="none"/>
        </w:rPr>
        <w:t>气</w:t>
      </w:r>
      <w:r>
        <w:rPr>
          <w:rFonts w:hint="default" w:ascii="Times New Roman" w:hAnsi="Times New Roman" w:eastAsia="宋体" w:cs="Times New Roman"/>
          <w:spacing w:val="-2"/>
          <w:szCs w:val="21"/>
          <w:highlight w:val="none"/>
        </w:rPr>
        <w:t>压</w:t>
      </w:r>
      <w:r>
        <w:rPr>
          <w:rFonts w:hint="default" w:ascii="Times New Roman" w:hAnsi="Times New Roman" w:eastAsia="宋体" w:cs="Times New Roman"/>
          <w:szCs w:val="21"/>
          <w:highlight w:val="none"/>
        </w:rPr>
        <w:t>核查</w:t>
      </w:r>
      <w:r>
        <w:rPr>
          <w:rFonts w:hint="default" w:ascii="Times New Roman" w:hAnsi="Times New Roman" w:eastAsia="宋体" w:cs="Times New Roman"/>
          <w:spacing w:val="-7"/>
          <w:szCs w:val="21"/>
          <w:highlight w:val="none"/>
        </w:rPr>
        <w:t>，</w:t>
      </w:r>
      <w:r>
        <w:rPr>
          <w:rFonts w:hint="default" w:ascii="Times New Roman" w:hAnsi="Times New Roman" w:eastAsia="宋体" w:cs="Times New Roman"/>
          <w:spacing w:val="-2"/>
          <w:szCs w:val="21"/>
          <w:highlight w:val="none"/>
        </w:rPr>
        <w:t>环</w:t>
      </w:r>
      <w:r>
        <w:rPr>
          <w:rFonts w:hint="default" w:ascii="Times New Roman" w:hAnsi="Times New Roman" w:eastAsia="宋体" w:cs="Times New Roman"/>
          <w:szCs w:val="21"/>
          <w:highlight w:val="none"/>
        </w:rPr>
        <w:t>境温</w:t>
      </w:r>
      <w:r>
        <w:rPr>
          <w:rFonts w:hint="default" w:ascii="Times New Roman" w:hAnsi="Times New Roman" w:eastAsia="宋体" w:cs="Times New Roman"/>
          <w:spacing w:val="-2"/>
          <w:szCs w:val="21"/>
          <w:highlight w:val="none"/>
        </w:rPr>
        <w:t>度</w:t>
      </w:r>
      <w:r>
        <w:rPr>
          <w:rFonts w:hint="default" w:ascii="Times New Roman" w:hAnsi="Times New Roman" w:eastAsia="宋体" w:cs="Times New Roman"/>
          <w:szCs w:val="21"/>
          <w:highlight w:val="none"/>
        </w:rPr>
        <w:t>偏</w:t>
      </w:r>
      <w:r>
        <w:rPr>
          <w:rFonts w:hint="default" w:ascii="Times New Roman" w:hAnsi="Times New Roman" w:eastAsia="宋体" w:cs="Times New Roman"/>
          <w:spacing w:val="-2"/>
          <w:szCs w:val="21"/>
          <w:highlight w:val="none"/>
        </w:rPr>
        <w:t>差</w:t>
      </w:r>
      <w:r>
        <w:rPr>
          <w:rFonts w:hint="default" w:ascii="Times New Roman" w:hAnsi="Times New Roman" w:eastAsia="宋体" w:cs="Times New Roman"/>
          <w:w w:val="115"/>
          <w:szCs w:val="21"/>
          <w:highlight w:val="none"/>
        </w:rPr>
        <w:t>在</w:t>
      </w:r>
      <w:r>
        <w:rPr>
          <w:rFonts w:hint="default" w:ascii="Times New Roman" w:hAnsi="Times New Roman" w:eastAsia="宋体" w:cs="Times New Roman"/>
          <w:spacing w:val="-2"/>
          <w:w w:val="115"/>
          <w:szCs w:val="21"/>
          <w:highlight w:val="none"/>
        </w:rPr>
        <w:t>±</w:t>
      </w:r>
      <w:r>
        <w:rPr>
          <w:rFonts w:hint="default" w:ascii="Times New Roman" w:hAnsi="Times New Roman" w:eastAsia="宋体" w:cs="Times New Roman"/>
          <w:w w:val="90"/>
          <w:szCs w:val="21"/>
          <w:highlight w:val="none"/>
        </w:rPr>
        <w:t>2</w:t>
      </w:r>
      <w:r>
        <w:rPr>
          <w:rFonts w:hint="default" w:ascii="Times New Roman" w:hAnsi="Times New Roman" w:eastAsia="宋体" w:cs="Times New Roman"/>
          <w:w w:val="40"/>
          <w:szCs w:val="21"/>
          <w:highlight w:val="none"/>
        </w:rPr>
        <w:t></w:t>
      </w:r>
      <w:r>
        <w:rPr>
          <w:rFonts w:hint="default" w:ascii="Times New Roman" w:hAnsi="Times New Roman" w:eastAsia="宋体" w:cs="Times New Roman"/>
          <w:w w:val="69"/>
          <w:szCs w:val="21"/>
          <w:highlight w:val="none"/>
        </w:rPr>
        <w:t>℃</w:t>
      </w:r>
      <w:r>
        <w:rPr>
          <w:rFonts w:hint="default" w:ascii="Times New Roman" w:hAnsi="Times New Roman" w:eastAsia="宋体" w:cs="Times New Roman"/>
          <w:spacing w:val="-8"/>
          <w:szCs w:val="21"/>
          <w:highlight w:val="none"/>
        </w:rPr>
        <w:t xml:space="preserve"> </w:t>
      </w:r>
      <w:r>
        <w:rPr>
          <w:rFonts w:hint="default" w:ascii="Times New Roman" w:hAnsi="Times New Roman" w:eastAsia="宋体" w:cs="Times New Roman"/>
          <w:szCs w:val="21"/>
          <w:highlight w:val="none"/>
        </w:rPr>
        <w:t>以内</w:t>
      </w:r>
      <w:r>
        <w:rPr>
          <w:rFonts w:hint="default" w:ascii="Times New Roman" w:hAnsi="Times New Roman" w:eastAsia="宋体" w:cs="Times New Roman"/>
          <w:spacing w:val="-7"/>
          <w:szCs w:val="21"/>
          <w:highlight w:val="none"/>
        </w:rPr>
        <w:t>，</w:t>
      </w:r>
      <w:r>
        <w:rPr>
          <w:rFonts w:hint="default" w:ascii="Times New Roman" w:hAnsi="Times New Roman" w:eastAsia="宋体" w:cs="Times New Roman"/>
          <w:szCs w:val="21"/>
          <w:highlight w:val="none"/>
        </w:rPr>
        <w:t>偏差</w:t>
      </w:r>
      <w:r>
        <w:rPr>
          <w:rFonts w:hint="default" w:ascii="Times New Roman" w:hAnsi="Times New Roman" w:eastAsia="宋体" w:cs="Times New Roman"/>
          <w:spacing w:val="-2"/>
          <w:szCs w:val="21"/>
          <w:highlight w:val="none"/>
        </w:rPr>
        <w:t>超</w:t>
      </w:r>
      <w:r>
        <w:rPr>
          <w:rFonts w:hint="default" w:ascii="Times New Roman" w:hAnsi="Times New Roman" w:eastAsia="宋体" w:cs="Times New Roman"/>
          <w:w w:val="115"/>
          <w:szCs w:val="21"/>
          <w:highlight w:val="none"/>
        </w:rPr>
        <w:t>过</w:t>
      </w:r>
      <w:r>
        <w:rPr>
          <w:rFonts w:hint="default" w:ascii="Times New Roman" w:hAnsi="Times New Roman" w:eastAsia="宋体" w:cs="Times New Roman"/>
          <w:spacing w:val="-2"/>
          <w:w w:val="115"/>
          <w:szCs w:val="21"/>
          <w:highlight w:val="none"/>
        </w:rPr>
        <w:t>±</w:t>
      </w:r>
      <w:r>
        <w:rPr>
          <w:rFonts w:hint="default" w:ascii="Times New Roman" w:hAnsi="Times New Roman" w:eastAsia="宋体" w:cs="Times New Roman"/>
          <w:w w:val="90"/>
          <w:szCs w:val="21"/>
          <w:highlight w:val="none"/>
        </w:rPr>
        <w:t>2</w:t>
      </w:r>
      <w:r>
        <w:rPr>
          <w:rFonts w:hint="default" w:ascii="Times New Roman" w:hAnsi="Times New Roman" w:eastAsia="宋体" w:cs="Times New Roman"/>
          <w:w w:val="40"/>
          <w:szCs w:val="21"/>
          <w:highlight w:val="none"/>
        </w:rPr>
        <w:t></w:t>
      </w:r>
      <w:r>
        <w:rPr>
          <w:rFonts w:hint="default" w:ascii="Times New Roman" w:hAnsi="Times New Roman" w:eastAsia="宋体" w:cs="Times New Roman"/>
          <w:w w:val="69"/>
          <w:szCs w:val="21"/>
          <w:highlight w:val="none"/>
        </w:rPr>
        <w:t>℃</w:t>
      </w:r>
      <w:r>
        <w:rPr>
          <w:rFonts w:hint="default" w:ascii="Times New Roman" w:hAnsi="Times New Roman" w:eastAsia="宋体" w:cs="Times New Roman"/>
          <w:spacing w:val="-5"/>
          <w:szCs w:val="21"/>
          <w:highlight w:val="none"/>
        </w:rPr>
        <w:t>，</w:t>
      </w:r>
      <w:r>
        <w:rPr>
          <w:rFonts w:hint="default" w:ascii="Times New Roman" w:hAnsi="Times New Roman" w:eastAsia="宋体" w:cs="Times New Roman"/>
          <w:spacing w:val="-2"/>
          <w:szCs w:val="21"/>
          <w:highlight w:val="none"/>
        </w:rPr>
        <w:t>则</w:t>
      </w:r>
      <w:r>
        <w:rPr>
          <w:rFonts w:hint="default" w:ascii="Times New Roman" w:hAnsi="Times New Roman" w:eastAsia="宋体" w:cs="Times New Roman"/>
          <w:szCs w:val="21"/>
          <w:highlight w:val="none"/>
        </w:rPr>
        <w:t>进</w:t>
      </w:r>
      <w:r>
        <w:rPr>
          <w:rFonts w:hint="default" w:ascii="Times New Roman" w:hAnsi="Times New Roman" w:eastAsia="宋体" w:cs="Times New Roman"/>
          <w:spacing w:val="-2"/>
          <w:szCs w:val="21"/>
          <w:highlight w:val="none"/>
        </w:rPr>
        <w:t>行校</w:t>
      </w:r>
      <w:r>
        <w:rPr>
          <w:rFonts w:hint="default" w:ascii="Times New Roman" w:hAnsi="Times New Roman" w:eastAsia="宋体" w:cs="Times New Roman"/>
          <w:szCs w:val="21"/>
          <w:highlight w:val="none"/>
        </w:rPr>
        <w:t>准</w:t>
      </w:r>
      <w:r>
        <w:rPr>
          <w:rFonts w:hint="default" w:ascii="Times New Roman" w:hAnsi="Times New Roman" w:eastAsia="宋体" w:cs="Times New Roman"/>
          <w:spacing w:val="-5"/>
          <w:szCs w:val="21"/>
          <w:highlight w:val="none"/>
        </w:rPr>
        <w:t>；</w:t>
      </w:r>
      <w:r>
        <w:rPr>
          <w:rFonts w:hint="default" w:ascii="Times New Roman" w:hAnsi="Times New Roman" w:eastAsia="宋体" w:cs="Times New Roman"/>
          <w:szCs w:val="21"/>
          <w:highlight w:val="none"/>
        </w:rPr>
        <w:t>环</w:t>
      </w:r>
      <w:r>
        <w:rPr>
          <w:rFonts w:hint="default" w:ascii="Times New Roman" w:hAnsi="Times New Roman" w:eastAsia="宋体" w:cs="Times New Roman"/>
          <w:spacing w:val="-2"/>
          <w:szCs w:val="21"/>
          <w:highlight w:val="none"/>
        </w:rPr>
        <w:t>境</w:t>
      </w:r>
      <w:r>
        <w:rPr>
          <w:rFonts w:hint="default" w:ascii="Times New Roman" w:hAnsi="Times New Roman" w:eastAsia="宋体" w:cs="Times New Roman"/>
          <w:szCs w:val="21"/>
          <w:highlight w:val="none"/>
        </w:rPr>
        <w:t>气</w:t>
      </w:r>
      <w:r>
        <w:rPr>
          <w:rFonts w:hint="default" w:ascii="Times New Roman" w:hAnsi="Times New Roman" w:eastAsia="宋体" w:cs="Times New Roman"/>
          <w:spacing w:val="-2"/>
          <w:szCs w:val="21"/>
          <w:highlight w:val="none"/>
        </w:rPr>
        <w:t>压</w:t>
      </w:r>
      <w:r>
        <w:rPr>
          <w:rFonts w:hint="default" w:ascii="Times New Roman" w:hAnsi="Times New Roman" w:eastAsia="宋体" w:cs="Times New Roman"/>
          <w:szCs w:val="21"/>
          <w:highlight w:val="none"/>
        </w:rPr>
        <w:t>偏</w:t>
      </w:r>
      <w:r>
        <w:rPr>
          <w:rFonts w:hint="default" w:ascii="Times New Roman" w:hAnsi="Times New Roman" w:eastAsia="宋体" w:cs="Times New Roman"/>
          <w:spacing w:val="-2"/>
          <w:szCs w:val="21"/>
          <w:highlight w:val="none"/>
        </w:rPr>
        <w:t>差</w:t>
      </w:r>
      <w:r>
        <w:rPr>
          <w:rFonts w:hint="default" w:ascii="Times New Roman" w:hAnsi="Times New Roman" w:eastAsia="宋体" w:cs="Times New Roman"/>
          <w:szCs w:val="21"/>
          <w:highlight w:val="none"/>
        </w:rPr>
        <w:t>在</w:t>
      </w:r>
      <w:r>
        <w:rPr>
          <w:rFonts w:hint="default" w:ascii="Times New Roman" w:hAnsi="Times New Roman" w:eastAsia="宋体" w:cs="Times New Roman"/>
          <w:w w:val="135"/>
          <w:szCs w:val="21"/>
          <w:highlight w:val="none"/>
        </w:rPr>
        <w:t>±</w:t>
      </w:r>
      <w:r>
        <w:rPr>
          <w:rFonts w:hint="default" w:ascii="Times New Roman" w:hAnsi="Times New Roman" w:eastAsia="宋体" w:cs="Times New Roman"/>
          <w:w w:val="90"/>
          <w:szCs w:val="21"/>
          <w:highlight w:val="none"/>
        </w:rPr>
        <w:t>10h</w:t>
      </w:r>
      <w:r>
        <w:rPr>
          <w:rFonts w:hint="default" w:ascii="Times New Roman" w:hAnsi="Times New Roman" w:eastAsia="宋体" w:cs="Times New Roman"/>
          <w:spacing w:val="-2"/>
          <w:w w:val="90"/>
          <w:szCs w:val="21"/>
          <w:highlight w:val="none"/>
        </w:rPr>
        <w:t>p</w:t>
      </w:r>
      <w:r>
        <w:rPr>
          <w:rFonts w:hint="default" w:ascii="Times New Roman" w:hAnsi="Times New Roman" w:eastAsia="宋体" w:cs="Times New Roman"/>
          <w:w w:val="90"/>
          <w:szCs w:val="21"/>
          <w:highlight w:val="none"/>
        </w:rPr>
        <w:t>a</w:t>
      </w:r>
      <w:r>
        <w:rPr>
          <w:rFonts w:hint="default" w:ascii="Times New Roman" w:hAnsi="Times New Roman" w:eastAsia="宋体" w:cs="Times New Roman"/>
          <w:spacing w:val="-6"/>
          <w:szCs w:val="21"/>
          <w:highlight w:val="none"/>
        </w:rPr>
        <w:t xml:space="preserve"> </w:t>
      </w:r>
      <w:r>
        <w:rPr>
          <w:rFonts w:hint="default" w:ascii="Times New Roman" w:hAnsi="Times New Roman" w:eastAsia="宋体" w:cs="Times New Roman"/>
          <w:spacing w:val="-2"/>
          <w:szCs w:val="21"/>
          <w:highlight w:val="none"/>
        </w:rPr>
        <w:t>以</w:t>
      </w:r>
      <w:r>
        <w:rPr>
          <w:rFonts w:hint="default" w:ascii="Times New Roman" w:hAnsi="Times New Roman" w:eastAsia="宋体" w:cs="Times New Roman"/>
          <w:szCs w:val="21"/>
          <w:highlight w:val="none"/>
        </w:rPr>
        <w:t>内</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偏</w:t>
      </w:r>
      <w:r>
        <w:rPr>
          <w:rFonts w:hint="default" w:ascii="Times New Roman" w:hAnsi="Times New Roman" w:eastAsia="宋体" w:cs="Times New Roman"/>
          <w:spacing w:val="-2"/>
          <w:szCs w:val="21"/>
          <w:highlight w:val="none"/>
        </w:rPr>
        <w:t>差</w:t>
      </w:r>
      <w:r>
        <w:rPr>
          <w:rFonts w:hint="default" w:ascii="Times New Roman" w:hAnsi="Times New Roman" w:eastAsia="宋体" w:cs="Times New Roman"/>
          <w:szCs w:val="21"/>
          <w:highlight w:val="none"/>
        </w:rPr>
        <w:t>超</w:t>
      </w:r>
      <w:r>
        <w:rPr>
          <w:rFonts w:hint="default" w:ascii="Times New Roman" w:hAnsi="Times New Roman" w:eastAsia="宋体" w:cs="Times New Roman"/>
          <w:spacing w:val="-2"/>
          <w:szCs w:val="21"/>
          <w:highlight w:val="none"/>
        </w:rPr>
        <w:t>过</w:t>
      </w:r>
      <w:r>
        <w:rPr>
          <w:rFonts w:hint="default" w:ascii="Times New Roman" w:hAnsi="Times New Roman" w:eastAsia="宋体" w:cs="Times New Roman"/>
          <w:w w:val="135"/>
          <w:szCs w:val="21"/>
          <w:highlight w:val="none"/>
        </w:rPr>
        <w:t>±</w:t>
      </w:r>
      <w:r>
        <w:rPr>
          <w:rFonts w:hint="default" w:ascii="Times New Roman" w:hAnsi="Times New Roman" w:eastAsia="宋体" w:cs="Times New Roman"/>
          <w:w w:val="90"/>
          <w:szCs w:val="21"/>
          <w:highlight w:val="none"/>
        </w:rPr>
        <w:t>10h</w:t>
      </w:r>
      <w:r>
        <w:rPr>
          <w:rFonts w:hint="default" w:ascii="Times New Roman" w:hAnsi="Times New Roman" w:eastAsia="宋体" w:cs="Times New Roman"/>
          <w:spacing w:val="-2"/>
          <w:w w:val="90"/>
          <w:szCs w:val="21"/>
          <w:highlight w:val="none"/>
        </w:rPr>
        <w:t>p</w:t>
      </w:r>
      <w:r>
        <w:rPr>
          <w:rFonts w:hint="default" w:ascii="Times New Roman" w:hAnsi="Times New Roman" w:eastAsia="宋体" w:cs="Times New Roman"/>
          <w:w w:val="90"/>
          <w:szCs w:val="21"/>
          <w:highlight w:val="none"/>
        </w:rPr>
        <w:t>a</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则</w:t>
      </w:r>
      <w:r>
        <w:rPr>
          <w:rFonts w:hint="default" w:ascii="Times New Roman" w:hAnsi="Times New Roman" w:eastAsia="宋体" w:cs="Times New Roman"/>
          <w:spacing w:val="-2"/>
          <w:szCs w:val="21"/>
          <w:highlight w:val="none"/>
        </w:rPr>
        <w:t>进</w:t>
      </w:r>
      <w:r>
        <w:rPr>
          <w:rFonts w:hint="default" w:ascii="Times New Roman" w:hAnsi="Times New Roman" w:eastAsia="宋体" w:cs="Times New Roman"/>
          <w:szCs w:val="21"/>
          <w:highlight w:val="none"/>
        </w:rPr>
        <w:t>行</w:t>
      </w:r>
      <w:r>
        <w:rPr>
          <w:rFonts w:hint="default" w:ascii="Times New Roman" w:hAnsi="Times New Roman" w:eastAsia="宋体" w:cs="Times New Roman"/>
          <w:spacing w:val="-2"/>
          <w:szCs w:val="21"/>
          <w:highlight w:val="none"/>
        </w:rPr>
        <w:t>校</w:t>
      </w:r>
      <w:r>
        <w:rPr>
          <w:rFonts w:hint="default" w:ascii="Times New Roman" w:hAnsi="Times New Roman" w:eastAsia="宋体" w:cs="Times New Roman"/>
          <w:szCs w:val="21"/>
          <w:highlight w:val="none"/>
        </w:rPr>
        <w:t>准。每月</w:t>
      </w:r>
      <w:r>
        <w:rPr>
          <w:rFonts w:hint="default" w:ascii="Times New Roman" w:hAnsi="Times New Roman" w:eastAsia="宋体" w:cs="Times New Roman"/>
          <w:spacing w:val="-2"/>
          <w:szCs w:val="21"/>
          <w:highlight w:val="none"/>
        </w:rPr>
        <w:t>至</w:t>
      </w:r>
      <w:r>
        <w:rPr>
          <w:rFonts w:hint="default" w:ascii="Times New Roman" w:hAnsi="Times New Roman" w:eastAsia="宋体" w:cs="Times New Roman"/>
          <w:szCs w:val="21"/>
          <w:highlight w:val="none"/>
        </w:rPr>
        <w:t>少</w:t>
      </w:r>
      <w:r>
        <w:rPr>
          <w:rFonts w:hint="default" w:ascii="Times New Roman" w:hAnsi="Times New Roman" w:eastAsia="宋体" w:cs="Times New Roman"/>
          <w:spacing w:val="-2"/>
          <w:szCs w:val="21"/>
          <w:highlight w:val="none"/>
        </w:rPr>
        <w:t>进</w:t>
      </w:r>
      <w:r>
        <w:rPr>
          <w:rFonts w:hint="default" w:ascii="Times New Roman" w:hAnsi="Times New Roman" w:eastAsia="宋体" w:cs="Times New Roman"/>
          <w:szCs w:val="21"/>
          <w:highlight w:val="none"/>
        </w:rPr>
        <w:t>行</w:t>
      </w:r>
      <w:r>
        <w:rPr>
          <w:rFonts w:hint="default" w:ascii="Times New Roman" w:hAnsi="Times New Roman" w:eastAsia="宋体" w:cs="Times New Roman"/>
          <w:spacing w:val="-2"/>
          <w:szCs w:val="21"/>
          <w:highlight w:val="none"/>
        </w:rPr>
        <w:t>一</w:t>
      </w:r>
      <w:r>
        <w:rPr>
          <w:rFonts w:hint="default" w:ascii="Times New Roman" w:hAnsi="Times New Roman" w:eastAsia="宋体" w:cs="Times New Roman"/>
          <w:szCs w:val="21"/>
          <w:highlight w:val="none"/>
        </w:rPr>
        <w:t>次</w:t>
      </w:r>
      <w:r>
        <w:rPr>
          <w:rFonts w:hint="default" w:ascii="Times New Roman" w:hAnsi="Times New Roman" w:eastAsia="宋体" w:cs="Times New Roman"/>
          <w:spacing w:val="-2"/>
          <w:szCs w:val="21"/>
          <w:highlight w:val="none"/>
        </w:rPr>
        <w:t>仪</w:t>
      </w:r>
      <w:r>
        <w:rPr>
          <w:rFonts w:hint="default" w:ascii="Times New Roman" w:hAnsi="Times New Roman" w:eastAsia="宋体" w:cs="Times New Roman"/>
          <w:szCs w:val="21"/>
          <w:highlight w:val="none"/>
        </w:rPr>
        <w:t>器</w:t>
      </w:r>
      <w:r>
        <w:rPr>
          <w:rFonts w:hint="default" w:ascii="Times New Roman" w:hAnsi="Times New Roman" w:eastAsia="宋体" w:cs="Times New Roman"/>
          <w:spacing w:val="-2"/>
          <w:szCs w:val="21"/>
          <w:highlight w:val="none"/>
        </w:rPr>
        <w:t>原</w:t>
      </w:r>
      <w:r>
        <w:rPr>
          <w:rFonts w:hint="default" w:ascii="Times New Roman" w:hAnsi="Times New Roman" w:eastAsia="宋体" w:cs="Times New Roman"/>
          <w:szCs w:val="21"/>
          <w:highlight w:val="none"/>
        </w:rPr>
        <w:t>始数</w:t>
      </w:r>
      <w:r>
        <w:rPr>
          <w:rFonts w:hint="default" w:ascii="Times New Roman" w:hAnsi="Times New Roman" w:eastAsia="宋体" w:cs="Times New Roman"/>
          <w:spacing w:val="-2"/>
          <w:szCs w:val="21"/>
          <w:highlight w:val="none"/>
        </w:rPr>
        <w:t>据</w:t>
      </w:r>
      <w:r>
        <w:rPr>
          <w:rFonts w:hint="default" w:ascii="Times New Roman" w:hAnsi="Times New Roman" w:eastAsia="宋体" w:cs="Times New Roman"/>
          <w:szCs w:val="21"/>
          <w:highlight w:val="none"/>
        </w:rPr>
        <w:t>备</w:t>
      </w:r>
      <w:r>
        <w:rPr>
          <w:rFonts w:hint="default" w:ascii="Times New Roman" w:hAnsi="Times New Roman" w:eastAsia="宋体" w:cs="Times New Roman"/>
          <w:spacing w:val="-2"/>
          <w:szCs w:val="21"/>
          <w:highlight w:val="none"/>
        </w:rPr>
        <w:t>份</w:t>
      </w:r>
      <w:r>
        <w:rPr>
          <w:rFonts w:hint="default" w:ascii="Times New Roman" w:hAnsi="Times New Roman" w:eastAsia="宋体" w:cs="Times New Roman"/>
          <w:szCs w:val="21"/>
          <w:highlight w:val="none"/>
        </w:rPr>
        <w:t>。</w:t>
      </w:r>
    </w:p>
    <w:p w14:paraId="57EAC4A8">
      <w:pPr>
        <w:pageBreakBefore w:val="0"/>
        <w:kinsoku/>
        <w:wordWrap/>
        <w:overflowPunct/>
        <w:topLinePunct w:val="0"/>
        <w:bidi w:val="0"/>
        <w:spacing w:line="360" w:lineRule="auto"/>
        <w:ind w:firstLine="378" w:firstLineChars="200"/>
        <w:rPr>
          <w:rFonts w:hint="default" w:ascii="Times New Roman" w:hAnsi="Times New Roman" w:eastAsia="宋体" w:cs="Times New Roman"/>
          <w:szCs w:val="21"/>
          <w:highlight w:val="none"/>
        </w:rPr>
      </w:pPr>
      <w:r>
        <w:rPr>
          <w:rFonts w:hint="default" w:ascii="Times New Roman" w:hAnsi="Times New Roman" w:eastAsia="宋体" w:cs="Times New Roman"/>
          <w:w w:val="90"/>
          <w:position w:val="-1"/>
          <w:szCs w:val="21"/>
          <w:highlight w:val="none"/>
        </w:rPr>
        <w:t>5.3.3</w:t>
      </w:r>
      <w:r>
        <w:rPr>
          <w:rFonts w:hint="default" w:ascii="Times New Roman" w:hAnsi="Times New Roman" w:eastAsia="宋体" w:cs="Times New Roman"/>
          <w:spacing w:val="-6"/>
          <w:position w:val="-1"/>
          <w:szCs w:val="21"/>
          <w:highlight w:val="none"/>
        </w:rPr>
        <w:t xml:space="preserve"> </w:t>
      </w:r>
      <w:r>
        <w:rPr>
          <w:rFonts w:hint="default" w:ascii="Times New Roman" w:hAnsi="Times New Roman" w:eastAsia="宋体" w:cs="Times New Roman"/>
          <w:spacing w:val="-2"/>
          <w:position w:val="-1"/>
          <w:szCs w:val="21"/>
          <w:highlight w:val="none"/>
        </w:rPr>
        <w:t>每</w:t>
      </w:r>
      <w:r>
        <w:rPr>
          <w:rFonts w:hint="default" w:ascii="Times New Roman" w:hAnsi="Times New Roman" w:eastAsia="宋体" w:cs="Times New Roman"/>
          <w:position w:val="-1"/>
          <w:szCs w:val="21"/>
          <w:highlight w:val="none"/>
        </w:rPr>
        <w:t>季</w:t>
      </w:r>
      <w:r>
        <w:rPr>
          <w:rFonts w:hint="default" w:ascii="Times New Roman" w:hAnsi="Times New Roman" w:eastAsia="宋体" w:cs="Times New Roman"/>
          <w:spacing w:val="-2"/>
          <w:position w:val="-1"/>
          <w:szCs w:val="21"/>
          <w:highlight w:val="none"/>
        </w:rPr>
        <w:t>度</w:t>
      </w:r>
      <w:r>
        <w:rPr>
          <w:rFonts w:hint="default" w:ascii="Times New Roman" w:hAnsi="Times New Roman" w:eastAsia="宋体" w:cs="Times New Roman"/>
          <w:position w:val="-1"/>
          <w:szCs w:val="21"/>
          <w:highlight w:val="none"/>
        </w:rPr>
        <w:t>质</w:t>
      </w:r>
      <w:r>
        <w:rPr>
          <w:rFonts w:hint="default" w:ascii="Times New Roman" w:hAnsi="Times New Roman" w:eastAsia="宋体" w:cs="Times New Roman"/>
          <w:spacing w:val="-2"/>
          <w:position w:val="-1"/>
          <w:szCs w:val="21"/>
          <w:highlight w:val="none"/>
        </w:rPr>
        <w:t>控</w:t>
      </w:r>
      <w:r>
        <w:rPr>
          <w:rFonts w:hint="default" w:ascii="Times New Roman" w:hAnsi="Times New Roman" w:eastAsia="宋体" w:cs="Times New Roman"/>
          <w:position w:val="-1"/>
          <w:szCs w:val="21"/>
          <w:highlight w:val="none"/>
        </w:rPr>
        <w:t>内</w:t>
      </w:r>
      <w:r>
        <w:rPr>
          <w:rFonts w:hint="default" w:ascii="Times New Roman" w:hAnsi="Times New Roman" w:eastAsia="宋体" w:cs="Times New Roman"/>
          <w:spacing w:val="-2"/>
          <w:position w:val="-1"/>
          <w:szCs w:val="21"/>
          <w:highlight w:val="none"/>
        </w:rPr>
        <w:t>容</w:t>
      </w:r>
      <w:r>
        <w:rPr>
          <w:rFonts w:hint="default" w:ascii="Times New Roman" w:hAnsi="Times New Roman" w:eastAsia="宋体" w:cs="Times New Roman"/>
          <w:position w:val="-1"/>
          <w:szCs w:val="21"/>
          <w:highlight w:val="none"/>
        </w:rPr>
        <w:t>：对应</w:t>
      </w:r>
      <w:r>
        <w:rPr>
          <w:rFonts w:hint="default" w:ascii="Times New Roman" w:hAnsi="Times New Roman" w:eastAsia="宋体" w:cs="Times New Roman"/>
          <w:spacing w:val="-2"/>
          <w:position w:val="-1"/>
          <w:szCs w:val="21"/>
          <w:highlight w:val="none"/>
        </w:rPr>
        <w:t>不</w:t>
      </w:r>
      <w:r>
        <w:rPr>
          <w:rFonts w:hint="default" w:ascii="Times New Roman" w:hAnsi="Times New Roman" w:eastAsia="宋体" w:cs="Times New Roman"/>
          <w:position w:val="-1"/>
          <w:szCs w:val="21"/>
          <w:highlight w:val="none"/>
        </w:rPr>
        <w:t>同</w:t>
      </w:r>
      <w:r>
        <w:rPr>
          <w:rFonts w:hint="default" w:ascii="Times New Roman" w:hAnsi="Times New Roman" w:eastAsia="宋体" w:cs="Times New Roman"/>
          <w:spacing w:val="-2"/>
          <w:position w:val="-1"/>
          <w:szCs w:val="21"/>
          <w:highlight w:val="none"/>
        </w:rPr>
        <w:t>能</w:t>
      </w:r>
      <w:r>
        <w:rPr>
          <w:rFonts w:hint="default" w:ascii="Times New Roman" w:hAnsi="Times New Roman" w:eastAsia="宋体" w:cs="Times New Roman"/>
          <w:position w:val="-1"/>
          <w:szCs w:val="21"/>
          <w:highlight w:val="none"/>
        </w:rPr>
        <w:t>量</w:t>
      </w:r>
      <w:r>
        <w:rPr>
          <w:rFonts w:hint="default" w:ascii="Times New Roman" w:hAnsi="Times New Roman" w:eastAsia="宋体" w:cs="Times New Roman"/>
          <w:spacing w:val="-2"/>
          <w:position w:val="-1"/>
          <w:szCs w:val="21"/>
          <w:highlight w:val="none"/>
        </w:rPr>
        <w:t>级</w:t>
      </w:r>
      <w:r>
        <w:rPr>
          <w:rFonts w:hint="default" w:ascii="Times New Roman" w:hAnsi="Times New Roman" w:eastAsia="宋体" w:cs="Times New Roman"/>
          <w:position w:val="-1"/>
          <w:szCs w:val="21"/>
          <w:highlight w:val="none"/>
        </w:rPr>
        <w:t>别</w:t>
      </w:r>
      <w:r>
        <w:rPr>
          <w:rFonts w:hint="default" w:ascii="Times New Roman" w:hAnsi="Times New Roman" w:eastAsia="宋体" w:cs="Times New Roman"/>
          <w:spacing w:val="-5"/>
          <w:position w:val="-1"/>
          <w:szCs w:val="21"/>
          <w:highlight w:val="none"/>
        </w:rPr>
        <w:t>，</w:t>
      </w:r>
      <w:r>
        <w:rPr>
          <w:rFonts w:hint="default" w:ascii="Times New Roman" w:hAnsi="Times New Roman" w:eastAsia="宋体" w:cs="Times New Roman"/>
          <w:position w:val="-1"/>
          <w:szCs w:val="21"/>
          <w:highlight w:val="none"/>
        </w:rPr>
        <w:t>随</w:t>
      </w:r>
      <w:r>
        <w:rPr>
          <w:rFonts w:hint="default" w:ascii="Times New Roman" w:hAnsi="Times New Roman" w:eastAsia="宋体" w:cs="Times New Roman"/>
          <w:spacing w:val="-2"/>
          <w:position w:val="-1"/>
          <w:szCs w:val="21"/>
          <w:highlight w:val="none"/>
        </w:rPr>
        <w:t>机</w:t>
      </w:r>
      <w:r>
        <w:rPr>
          <w:rFonts w:hint="default" w:ascii="Times New Roman" w:hAnsi="Times New Roman" w:eastAsia="宋体" w:cs="Times New Roman"/>
          <w:position w:val="-1"/>
          <w:szCs w:val="21"/>
          <w:highlight w:val="none"/>
        </w:rPr>
        <w:t>选择</w:t>
      </w:r>
      <w:r>
        <w:rPr>
          <w:rFonts w:hint="default" w:ascii="Times New Roman" w:hAnsi="Times New Roman" w:eastAsia="宋体" w:cs="Times New Roman"/>
          <w:spacing w:val="-2"/>
          <w:position w:val="-1"/>
          <w:szCs w:val="21"/>
          <w:highlight w:val="none"/>
        </w:rPr>
        <w:t>至</w:t>
      </w:r>
      <w:r>
        <w:rPr>
          <w:rFonts w:hint="default" w:ascii="Times New Roman" w:hAnsi="Times New Roman" w:eastAsia="宋体" w:cs="Times New Roman"/>
          <w:position w:val="-1"/>
          <w:szCs w:val="21"/>
          <w:highlight w:val="none"/>
        </w:rPr>
        <w:t>少</w:t>
      </w:r>
      <w:r>
        <w:rPr>
          <w:rFonts w:hint="default" w:ascii="Times New Roman" w:hAnsi="Times New Roman" w:eastAsia="宋体" w:cs="Times New Roman"/>
          <w:spacing w:val="-9"/>
          <w:position w:val="-1"/>
          <w:szCs w:val="21"/>
          <w:highlight w:val="none"/>
        </w:rPr>
        <w:t xml:space="preserve"> </w:t>
      </w:r>
      <w:r>
        <w:rPr>
          <w:rFonts w:hint="default" w:ascii="Times New Roman" w:hAnsi="Times New Roman" w:eastAsia="宋体" w:cs="Times New Roman"/>
          <w:position w:val="-1"/>
          <w:szCs w:val="21"/>
          <w:highlight w:val="none"/>
        </w:rPr>
        <w:t>2</w:t>
      </w:r>
      <w:r>
        <w:rPr>
          <w:rFonts w:hint="default" w:ascii="Times New Roman" w:hAnsi="Times New Roman" w:eastAsia="宋体" w:cs="Times New Roman"/>
          <w:spacing w:val="-20"/>
          <w:position w:val="-1"/>
          <w:szCs w:val="21"/>
          <w:highlight w:val="none"/>
        </w:rPr>
        <w:t xml:space="preserve"> </w:t>
      </w:r>
      <w:r>
        <w:rPr>
          <w:rFonts w:hint="default" w:ascii="Times New Roman" w:hAnsi="Times New Roman" w:eastAsia="宋体" w:cs="Times New Roman"/>
          <w:position w:val="-1"/>
          <w:szCs w:val="21"/>
          <w:highlight w:val="none"/>
        </w:rPr>
        <w:t>种</w:t>
      </w:r>
      <w:r>
        <w:rPr>
          <w:rFonts w:hint="default" w:ascii="Times New Roman" w:hAnsi="Times New Roman" w:eastAsia="宋体" w:cs="Times New Roman"/>
          <w:spacing w:val="-2"/>
          <w:position w:val="-1"/>
          <w:szCs w:val="21"/>
          <w:highlight w:val="none"/>
        </w:rPr>
        <w:t>元</w:t>
      </w:r>
      <w:r>
        <w:rPr>
          <w:rFonts w:hint="default" w:ascii="Times New Roman" w:hAnsi="Times New Roman" w:eastAsia="宋体" w:cs="Times New Roman"/>
          <w:position w:val="-1"/>
          <w:szCs w:val="21"/>
          <w:highlight w:val="none"/>
        </w:rPr>
        <w:t>素</w:t>
      </w:r>
      <w:r>
        <w:rPr>
          <w:rFonts w:hint="default" w:ascii="Times New Roman" w:hAnsi="Times New Roman" w:eastAsia="宋体" w:cs="Times New Roman"/>
          <w:spacing w:val="-2"/>
          <w:position w:val="-1"/>
          <w:szCs w:val="21"/>
          <w:highlight w:val="none"/>
        </w:rPr>
        <w:t>标</w:t>
      </w:r>
      <w:r>
        <w:rPr>
          <w:rFonts w:hint="default" w:ascii="Times New Roman" w:hAnsi="Times New Roman" w:eastAsia="宋体" w:cs="Times New Roman"/>
          <w:position w:val="-1"/>
          <w:szCs w:val="21"/>
          <w:highlight w:val="none"/>
        </w:rPr>
        <w:t>准</w:t>
      </w:r>
      <w:r>
        <w:rPr>
          <w:rFonts w:hint="default" w:ascii="Times New Roman" w:hAnsi="Times New Roman" w:eastAsia="宋体" w:cs="Times New Roman"/>
          <w:spacing w:val="-2"/>
          <w:position w:val="-1"/>
          <w:szCs w:val="21"/>
          <w:highlight w:val="none"/>
        </w:rPr>
        <w:t>膜</w:t>
      </w:r>
      <w:r>
        <w:rPr>
          <w:rFonts w:hint="default" w:ascii="Times New Roman" w:hAnsi="Times New Roman" w:eastAsia="宋体" w:cs="Times New Roman"/>
          <w:position w:val="-1"/>
          <w:szCs w:val="21"/>
          <w:highlight w:val="none"/>
        </w:rPr>
        <w:t>片进</w:t>
      </w:r>
      <w:r>
        <w:rPr>
          <w:rFonts w:hint="default" w:ascii="Times New Roman" w:hAnsi="Times New Roman" w:eastAsia="宋体" w:cs="Times New Roman"/>
          <w:spacing w:val="-2"/>
          <w:position w:val="-1"/>
          <w:szCs w:val="21"/>
          <w:highlight w:val="none"/>
        </w:rPr>
        <w:t>行</w:t>
      </w:r>
      <w:r>
        <w:rPr>
          <w:rFonts w:hint="default" w:ascii="Times New Roman" w:hAnsi="Times New Roman" w:eastAsia="宋体" w:cs="Times New Roman"/>
          <w:position w:val="-1"/>
          <w:szCs w:val="21"/>
          <w:highlight w:val="none"/>
        </w:rPr>
        <w:t>测</w:t>
      </w:r>
      <w:r>
        <w:rPr>
          <w:rFonts w:hint="default" w:ascii="Times New Roman" w:hAnsi="Times New Roman" w:eastAsia="宋体" w:cs="Times New Roman"/>
          <w:spacing w:val="-2"/>
          <w:position w:val="-1"/>
          <w:szCs w:val="21"/>
          <w:highlight w:val="none"/>
        </w:rPr>
        <w:t>试，测</w:t>
      </w:r>
      <w:r>
        <w:rPr>
          <w:rFonts w:hint="default" w:ascii="Times New Roman" w:hAnsi="Times New Roman" w:eastAsia="宋体" w:cs="Times New Roman"/>
          <w:position w:val="-1"/>
          <w:szCs w:val="21"/>
          <w:highlight w:val="none"/>
        </w:rPr>
        <w:t>量</w:t>
      </w:r>
      <w:r>
        <w:rPr>
          <w:rFonts w:hint="default" w:ascii="Times New Roman" w:hAnsi="Times New Roman" w:eastAsia="宋体" w:cs="Times New Roman"/>
          <w:spacing w:val="-2"/>
          <w:position w:val="-1"/>
          <w:szCs w:val="21"/>
          <w:highlight w:val="none"/>
        </w:rPr>
        <w:t>值</w:t>
      </w:r>
      <w:r>
        <w:rPr>
          <w:rFonts w:hint="default" w:ascii="Times New Roman" w:hAnsi="Times New Roman" w:eastAsia="宋体" w:cs="Times New Roman"/>
          <w:position w:val="-1"/>
          <w:szCs w:val="21"/>
          <w:highlight w:val="none"/>
        </w:rPr>
        <w:t>与</w:t>
      </w:r>
      <w:r>
        <w:rPr>
          <w:rFonts w:hint="default" w:ascii="Times New Roman" w:hAnsi="Times New Roman" w:eastAsia="宋体" w:cs="Times New Roman"/>
          <w:spacing w:val="-2"/>
          <w:position w:val="-1"/>
          <w:szCs w:val="21"/>
          <w:highlight w:val="none"/>
        </w:rPr>
        <w:t>标</w:t>
      </w:r>
      <w:r>
        <w:rPr>
          <w:rFonts w:hint="default" w:ascii="Times New Roman" w:hAnsi="Times New Roman" w:eastAsia="宋体" w:cs="Times New Roman"/>
          <w:position w:val="-1"/>
          <w:szCs w:val="21"/>
          <w:highlight w:val="none"/>
        </w:rPr>
        <w:t>准值</w:t>
      </w:r>
      <w:r>
        <w:rPr>
          <w:rFonts w:hint="default" w:ascii="Times New Roman" w:hAnsi="Times New Roman" w:eastAsia="宋体" w:cs="Times New Roman"/>
          <w:spacing w:val="-2"/>
          <w:position w:val="-1"/>
          <w:szCs w:val="21"/>
          <w:highlight w:val="none"/>
        </w:rPr>
        <w:t>的</w:t>
      </w:r>
      <w:r>
        <w:rPr>
          <w:rFonts w:hint="default" w:ascii="Times New Roman" w:hAnsi="Times New Roman" w:eastAsia="宋体" w:cs="Times New Roman"/>
          <w:position w:val="-1"/>
          <w:szCs w:val="21"/>
          <w:highlight w:val="none"/>
        </w:rPr>
        <w:t>相</w:t>
      </w:r>
      <w:r>
        <w:rPr>
          <w:rFonts w:hint="default" w:ascii="Times New Roman" w:hAnsi="Times New Roman" w:eastAsia="宋体" w:cs="Times New Roman"/>
          <w:spacing w:val="-2"/>
          <w:position w:val="-1"/>
          <w:szCs w:val="21"/>
          <w:highlight w:val="none"/>
        </w:rPr>
        <w:t>对</w:t>
      </w:r>
      <w:r>
        <w:rPr>
          <w:rFonts w:hint="default" w:ascii="Times New Roman" w:hAnsi="Times New Roman" w:eastAsia="宋体" w:cs="Times New Roman"/>
          <w:position w:val="-1"/>
          <w:szCs w:val="21"/>
          <w:highlight w:val="none"/>
        </w:rPr>
        <w:t>误</w:t>
      </w:r>
      <w:r>
        <w:rPr>
          <w:rFonts w:hint="default" w:ascii="Times New Roman" w:hAnsi="Times New Roman" w:eastAsia="宋体" w:cs="Times New Roman"/>
          <w:spacing w:val="-2"/>
          <w:position w:val="-1"/>
          <w:szCs w:val="21"/>
          <w:highlight w:val="none"/>
        </w:rPr>
        <w:t>差</w:t>
      </w:r>
      <w:r>
        <w:rPr>
          <w:rFonts w:hint="default" w:ascii="Times New Roman" w:hAnsi="Times New Roman" w:eastAsia="宋体" w:cs="Times New Roman"/>
          <w:position w:val="-1"/>
          <w:szCs w:val="21"/>
          <w:highlight w:val="none"/>
        </w:rPr>
        <w:t>应</w:t>
      </w:r>
      <w:r>
        <w:rPr>
          <w:rFonts w:hint="default" w:ascii="Times New Roman" w:hAnsi="Times New Roman" w:eastAsia="宋体" w:cs="Times New Roman"/>
          <w:spacing w:val="-2"/>
          <w:position w:val="-1"/>
          <w:szCs w:val="21"/>
          <w:highlight w:val="none"/>
        </w:rPr>
        <w:t>在</w:t>
      </w:r>
      <w:r>
        <w:rPr>
          <w:rFonts w:hint="default" w:ascii="Times New Roman" w:hAnsi="Times New Roman" w:eastAsia="宋体" w:cs="Times New Roman"/>
          <w:w w:val="135"/>
          <w:position w:val="-1"/>
          <w:szCs w:val="21"/>
          <w:highlight w:val="none"/>
        </w:rPr>
        <w:t>±</w:t>
      </w:r>
      <w:r>
        <w:rPr>
          <w:rFonts w:hint="default" w:ascii="Times New Roman" w:hAnsi="Times New Roman" w:eastAsia="宋体" w:cs="Times New Roman"/>
          <w:w w:val="90"/>
          <w:position w:val="-1"/>
          <w:szCs w:val="21"/>
          <w:highlight w:val="none"/>
        </w:rPr>
        <w:t>10</w:t>
      </w:r>
      <w:r>
        <w:rPr>
          <w:rFonts w:hint="default" w:ascii="Times New Roman" w:hAnsi="Times New Roman" w:eastAsia="宋体" w:cs="Times New Roman"/>
          <w:w w:val="56"/>
          <w:position w:val="-1"/>
          <w:szCs w:val="21"/>
          <w:highlight w:val="none"/>
        </w:rPr>
        <w:t>%</w:t>
      </w:r>
      <w:r>
        <w:rPr>
          <w:rFonts w:hint="default" w:ascii="Times New Roman" w:hAnsi="Times New Roman" w:eastAsia="宋体" w:cs="Times New Roman"/>
          <w:spacing w:val="-2"/>
          <w:position w:val="-1"/>
          <w:szCs w:val="21"/>
          <w:highlight w:val="none"/>
        </w:rPr>
        <w:t>范</w:t>
      </w:r>
      <w:r>
        <w:rPr>
          <w:rFonts w:hint="default" w:ascii="Times New Roman" w:hAnsi="Times New Roman" w:eastAsia="宋体" w:cs="Times New Roman"/>
          <w:position w:val="-1"/>
          <w:szCs w:val="21"/>
          <w:highlight w:val="none"/>
        </w:rPr>
        <w:t>围</w:t>
      </w:r>
      <w:r>
        <w:rPr>
          <w:rFonts w:hint="default" w:ascii="Times New Roman" w:hAnsi="Times New Roman" w:eastAsia="宋体" w:cs="Times New Roman"/>
          <w:spacing w:val="-2"/>
          <w:position w:val="-1"/>
          <w:szCs w:val="21"/>
          <w:highlight w:val="none"/>
        </w:rPr>
        <w:t>内</w:t>
      </w:r>
      <w:r>
        <w:rPr>
          <w:rFonts w:hint="default" w:ascii="Times New Roman" w:hAnsi="Times New Roman" w:eastAsia="宋体" w:cs="Times New Roman"/>
          <w:position w:val="-1"/>
          <w:szCs w:val="21"/>
          <w:highlight w:val="none"/>
        </w:rPr>
        <w:t>。</w:t>
      </w:r>
    </w:p>
    <w:p w14:paraId="6487486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5.3.4</w:t>
      </w:r>
      <w:r>
        <w:rPr>
          <w:rFonts w:hint="default" w:ascii="Times New Roman" w:hAnsi="Times New Roman" w:eastAsia="宋体" w:cs="Times New Roman"/>
          <w:spacing w:val="-6"/>
          <w:szCs w:val="21"/>
          <w:highlight w:val="none"/>
        </w:rPr>
        <w:t xml:space="preserve"> </w:t>
      </w:r>
      <w:r>
        <w:rPr>
          <w:rFonts w:hint="default" w:ascii="Times New Roman" w:hAnsi="Times New Roman" w:eastAsia="宋体" w:cs="Times New Roman"/>
          <w:spacing w:val="-2"/>
          <w:szCs w:val="21"/>
          <w:highlight w:val="none"/>
        </w:rPr>
        <w:t>每</w:t>
      </w:r>
      <w:r>
        <w:rPr>
          <w:rFonts w:hint="default" w:ascii="Times New Roman" w:hAnsi="Times New Roman" w:eastAsia="宋体" w:cs="Times New Roman"/>
          <w:szCs w:val="21"/>
          <w:highlight w:val="none"/>
        </w:rPr>
        <w:t>年</w:t>
      </w:r>
      <w:r>
        <w:rPr>
          <w:rFonts w:hint="default" w:ascii="Times New Roman" w:hAnsi="Times New Roman" w:eastAsia="宋体" w:cs="Times New Roman"/>
          <w:spacing w:val="-2"/>
          <w:szCs w:val="21"/>
          <w:highlight w:val="none"/>
        </w:rPr>
        <w:t>质</w:t>
      </w:r>
      <w:r>
        <w:rPr>
          <w:rFonts w:hint="default" w:ascii="Times New Roman" w:hAnsi="Times New Roman" w:eastAsia="宋体" w:cs="Times New Roman"/>
          <w:szCs w:val="21"/>
          <w:highlight w:val="none"/>
        </w:rPr>
        <w:t>控</w:t>
      </w:r>
      <w:r>
        <w:rPr>
          <w:rFonts w:hint="default" w:ascii="Times New Roman" w:hAnsi="Times New Roman" w:eastAsia="宋体" w:cs="Times New Roman"/>
          <w:spacing w:val="-2"/>
          <w:szCs w:val="21"/>
          <w:highlight w:val="none"/>
        </w:rPr>
        <w:t>内</w:t>
      </w:r>
      <w:r>
        <w:rPr>
          <w:rFonts w:hint="default" w:ascii="Times New Roman" w:hAnsi="Times New Roman" w:eastAsia="宋体" w:cs="Times New Roman"/>
          <w:szCs w:val="21"/>
          <w:highlight w:val="none"/>
        </w:rPr>
        <w:t>容： 每年</w:t>
      </w:r>
      <w:r>
        <w:rPr>
          <w:rFonts w:hint="default" w:ascii="Times New Roman" w:hAnsi="Times New Roman" w:eastAsia="宋体" w:cs="Times New Roman"/>
          <w:spacing w:val="-2"/>
          <w:szCs w:val="21"/>
          <w:highlight w:val="none"/>
        </w:rPr>
        <w:t>至</w:t>
      </w:r>
      <w:r>
        <w:rPr>
          <w:rFonts w:hint="default" w:ascii="Times New Roman" w:hAnsi="Times New Roman" w:eastAsia="宋体" w:cs="Times New Roman"/>
          <w:szCs w:val="21"/>
          <w:highlight w:val="none"/>
        </w:rPr>
        <w:t>少</w:t>
      </w:r>
      <w:r>
        <w:rPr>
          <w:rFonts w:hint="default" w:ascii="Times New Roman" w:hAnsi="Times New Roman" w:eastAsia="宋体" w:cs="Times New Roman"/>
          <w:spacing w:val="-2"/>
          <w:szCs w:val="21"/>
          <w:highlight w:val="none"/>
        </w:rPr>
        <w:t>进</w:t>
      </w:r>
      <w:r>
        <w:rPr>
          <w:rFonts w:hint="default" w:ascii="Times New Roman" w:hAnsi="Times New Roman" w:eastAsia="宋体" w:cs="Times New Roman"/>
          <w:szCs w:val="21"/>
          <w:highlight w:val="none"/>
        </w:rPr>
        <w:t>行</w:t>
      </w:r>
      <w:r>
        <w:rPr>
          <w:rFonts w:hint="default" w:ascii="Times New Roman" w:hAnsi="Times New Roman" w:eastAsia="宋体" w:cs="Times New Roman"/>
          <w:spacing w:val="-2"/>
          <w:szCs w:val="21"/>
          <w:highlight w:val="none"/>
        </w:rPr>
        <w:t>一</w:t>
      </w:r>
      <w:r>
        <w:rPr>
          <w:rFonts w:hint="default" w:ascii="Times New Roman" w:hAnsi="Times New Roman" w:eastAsia="宋体" w:cs="Times New Roman"/>
          <w:szCs w:val="21"/>
          <w:highlight w:val="none"/>
        </w:rPr>
        <w:t>次</w:t>
      </w:r>
      <w:r>
        <w:rPr>
          <w:rFonts w:hint="default" w:ascii="Times New Roman" w:hAnsi="Times New Roman" w:eastAsia="宋体" w:cs="Times New Roman"/>
          <w:spacing w:val="-2"/>
          <w:szCs w:val="21"/>
          <w:highlight w:val="none"/>
        </w:rPr>
        <w:t>全</w:t>
      </w:r>
      <w:r>
        <w:rPr>
          <w:rFonts w:hint="default" w:ascii="Times New Roman" w:hAnsi="Times New Roman" w:eastAsia="宋体" w:cs="Times New Roman"/>
          <w:szCs w:val="21"/>
          <w:highlight w:val="none"/>
        </w:rPr>
        <w:t>部</w:t>
      </w:r>
      <w:r>
        <w:rPr>
          <w:rFonts w:hint="default" w:ascii="Times New Roman" w:hAnsi="Times New Roman" w:eastAsia="宋体" w:cs="Times New Roman"/>
          <w:spacing w:val="-2"/>
          <w:szCs w:val="21"/>
          <w:highlight w:val="none"/>
        </w:rPr>
        <w:t>元</w:t>
      </w:r>
      <w:r>
        <w:rPr>
          <w:rFonts w:hint="default" w:ascii="Times New Roman" w:hAnsi="Times New Roman" w:eastAsia="宋体" w:cs="Times New Roman"/>
          <w:szCs w:val="21"/>
          <w:highlight w:val="none"/>
        </w:rPr>
        <w:t>素标</w:t>
      </w:r>
      <w:r>
        <w:rPr>
          <w:rFonts w:hint="default" w:ascii="Times New Roman" w:hAnsi="Times New Roman" w:eastAsia="宋体" w:cs="Times New Roman"/>
          <w:spacing w:val="-2"/>
          <w:szCs w:val="21"/>
          <w:highlight w:val="none"/>
        </w:rPr>
        <w:t>准</w:t>
      </w:r>
      <w:r>
        <w:rPr>
          <w:rFonts w:hint="default" w:ascii="Times New Roman" w:hAnsi="Times New Roman" w:eastAsia="宋体" w:cs="Times New Roman"/>
          <w:szCs w:val="21"/>
          <w:highlight w:val="none"/>
        </w:rPr>
        <w:t>膜</w:t>
      </w:r>
      <w:r>
        <w:rPr>
          <w:rFonts w:hint="default" w:ascii="Times New Roman" w:hAnsi="Times New Roman" w:eastAsia="宋体" w:cs="Times New Roman"/>
          <w:spacing w:val="-2"/>
          <w:szCs w:val="21"/>
          <w:highlight w:val="none"/>
        </w:rPr>
        <w:t>片</w:t>
      </w:r>
      <w:r>
        <w:rPr>
          <w:rFonts w:hint="default" w:ascii="Times New Roman" w:hAnsi="Times New Roman" w:eastAsia="宋体" w:cs="Times New Roman"/>
          <w:szCs w:val="21"/>
          <w:highlight w:val="none"/>
        </w:rPr>
        <w:t>核</w:t>
      </w:r>
      <w:r>
        <w:rPr>
          <w:rFonts w:hint="default" w:ascii="Times New Roman" w:hAnsi="Times New Roman" w:eastAsia="宋体" w:cs="Times New Roman"/>
          <w:spacing w:val="-2"/>
          <w:szCs w:val="21"/>
          <w:highlight w:val="none"/>
        </w:rPr>
        <w:t>查</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测</w:t>
      </w:r>
      <w:r>
        <w:rPr>
          <w:rFonts w:hint="default" w:ascii="Times New Roman" w:hAnsi="Times New Roman" w:eastAsia="宋体" w:cs="Times New Roman"/>
          <w:szCs w:val="21"/>
          <w:highlight w:val="none"/>
        </w:rPr>
        <w:t>量</w:t>
      </w:r>
      <w:r>
        <w:rPr>
          <w:rFonts w:hint="default" w:ascii="Times New Roman" w:hAnsi="Times New Roman" w:eastAsia="宋体" w:cs="Times New Roman"/>
          <w:spacing w:val="-2"/>
          <w:szCs w:val="21"/>
          <w:highlight w:val="none"/>
        </w:rPr>
        <w:t>值</w:t>
      </w:r>
      <w:r>
        <w:rPr>
          <w:rFonts w:hint="default" w:ascii="Times New Roman" w:hAnsi="Times New Roman" w:eastAsia="宋体" w:cs="Times New Roman"/>
          <w:szCs w:val="21"/>
          <w:highlight w:val="none"/>
        </w:rPr>
        <w:t>与标</w:t>
      </w:r>
      <w:r>
        <w:rPr>
          <w:rFonts w:hint="default" w:ascii="Times New Roman" w:hAnsi="Times New Roman" w:eastAsia="宋体" w:cs="Times New Roman"/>
          <w:spacing w:val="-2"/>
          <w:szCs w:val="21"/>
          <w:highlight w:val="none"/>
        </w:rPr>
        <w:t>准</w:t>
      </w:r>
      <w:r>
        <w:rPr>
          <w:rFonts w:hint="default" w:ascii="Times New Roman" w:hAnsi="Times New Roman" w:eastAsia="宋体" w:cs="Times New Roman"/>
          <w:szCs w:val="21"/>
          <w:highlight w:val="none"/>
        </w:rPr>
        <w:t>值</w:t>
      </w:r>
      <w:r>
        <w:rPr>
          <w:rFonts w:hint="default" w:ascii="Times New Roman" w:hAnsi="Times New Roman" w:eastAsia="宋体" w:cs="Times New Roman"/>
          <w:spacing w:val="-2"/>
          <w:szCs w:val="21"/>
          <w:highlight w:val="none"/>
        </w:rPr>
        <w:t>的</w:t>
      </w:r>
      <w:r>
        <w:rPr>
          <w:rFonts w:hint="default" w:ascii="Times New Roman" w:hAnsi="Times New Roman" w:eastAsia="宋体" w:cs="Times New Roman"/>
          <w:szCs w:val="21"/>
          <w:highlight w:val="none"/>
        </w:rPr>
        <w:t>相</w:t>
      </w:r>
      <w:r>
        <w:rPr>
          <w:rFonts w:hint="default" w:ascii="Times New Roman" w:hAnsi="Times New Roman" w:eastAsia="宋体" w:cs="Times New Roman"/>
          <w:spacing w:val="-2"/>
          <w:szCs w:val="21"/>
          <w:highlight w:val="none"/>
        </w:rPr>
        <w:t>对</w:t>
      </w:r>
      <w:r>
        <w:rPr>
          <w:rFonts w:hint="default" w:ascii="Times New Roman" w:hAnsi="Times New Roman" w:eastAsia="宋体" w:cs="Times New Roman"/>
          <w:szCs w:val="21"/>
          <w:highlight w:val="none"/>
        </w:rPr>
        <w:t>误</w:t>
      </w:r>
      <w:r>
        <w:rPr>
          <w:rFonts w:hint="default" w:ascii="Times New Roman" w:hAnsi="Times New Roman" w:eastAsia="宋体" w:cs="Times New Roman"/>
          <w:spacing w:val="-2"/>
          <w:szCs w:val="21"/>
          <w:highlight w:val="none"/>
        </w:rPr>
        <w:t>差</w:t>
      </w:r>
      <w:r>
        <w:rPr>
          <w:rFonts w:hint="default" w:ascii="Times New Roman" w:hAnsi="Times New Roman" w:eastAsia="宋体" w:cs="Times New Roman"/>
          <w:szCs w:val="21"/>
          <w:highlight w:val="none"/>
        </w:rPr>
        <w:t>应</w:t>
      </w:r>
      <w:r>
        <w:rPr>
          <w:rFonts w:hint="default" w:ascii="Times New Roman" w:hAnsi="Times New Roman" w:eastAsia="宋体" w:cs="Times New Roman"/>
          <w:spacing w:val="-2"/>
          <w:szCs w:val="21"/>
          <w:highlight w:val="none"/>
        </w:rPr>
        <w:t>在</w:t>
      </w:r>
      <w:r>
        <w:rPr>
          <w:rFonts w:hint="default" w:ascii="Times New Roman" w:hAnsi="Times New Roman" w:eastAsia="宋体" w:cs="Times New Roman"/>
          <w:w w:val="135"/>
          <w:szCs w:val="21"/>
          <w:highlight w:val="none"/>
        </w:rPr>
        <w:t>±</w:t>
      </w:r>
      <w:r>
        <w:rPr>
          <w:rFonts w:hint="default" w:ascii="Times New Roman" w:hAnsi="Times New Roman" w:eastAsia="宋体" w:cs="Times New Roman"/>
          <w:w w:val="90"/>
          <w:szCs w:val="21"/>
          <w:highlight w:val="none"/>
        </w:rPr>
        <w:t>1</w:t>
      </w:r>
      <w:r>
        <w:rPr>
          <w:rFonts w:hint="default" w:ascii="Times New Roman" w:hAnsi="Times New Roman" w:eastAsia="宋体" w:cs="Times New Roman"/>
          <w:spacing w:val="1"/>
          <w:w w:val="90"/>
          <w:szCs w:val="21"/>
          <w:highlight w:val="none"/>
        </w:rPr>
        <w:t>0</w:t>
      </w:r>
      <w:r>
        <w:rPr>
          <w:rFonts w:hint="default" w:ascii="Times New Roman" w:hAnsi="Times New Roman" w:eastAsia="宋体" w:cs="Times New Roman"/>
          <w:spacing w:val="-2"/>
          <w:w w:val="56"/>
          <w:szCs w:val="21"/>
          <w:highlight w:val="none"/>
        </w:rPr>
        <w:t>%</w:t>
      </w:r>
      <w:r>
        <w:rPr>
          <w:rFonts w:hint="default" w:ascii="Times New Roman" w:hAnsi="Times New Roman" w:eastAsia="宋体" w:cs="Times New Roman"/>
          <w:szCs w:val="21"/>
          <w:highlight w:val="none"/>
        </w:rPr>
        <w:t>范</w:t>
      </w:r>
      <w:r>
        <w:rPr>
          <w:rFonts w:hint="default" w:ascii="Times New Roman" w:hAnsi="Times New Roman" w:eastAsia="宋体" w:cs="Times New Roman"/>
          <w:spacing w:val="-2"/>
          <w:szCs w:val="21"/>
          <w:highlight w:val="none"/>
        </w:rPr>
        <w:t>围</w:t>
      </w:r>
      <w:r>
        <w:rPr>
          <w:rFonts w:hint="default" w:ascii="Times New Roman" w:hAnsi="Times New Roman" w:eastAsia="宋体" w:cs="Times New Roman"/>
          <w:szCs w:val="21"/>
          <w:highlight w:val="none"/>
        </w:rPr>
        <w:t>内。</w:t>
      </w:r>
    </w:p>
    <w:p w14:paraId="34F29747">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position w:val="-1"/>
          <w:szCs w:val="21"/>
          <w:highlight w:val="none"/>
        </w:rPr>
        <w:t>5.3.5</w:t>
      </w:r>
      <w:r>
        <w:rPr>
          <w:rFonts w:hint="default" w:ascii="Times New Roman" w:hAnsi="Times New Roman" w:eastAsia="宋体" w:cs="Times New Roman"/>
          <w:spacing w:val="-2"/>
          <w:position w:val="-1"/>
          <w:szCs w:val="21"/>
          <w:highlight w:val="none"/>
        </w:rPr>
        <w:t>其</w:t>
      </w:r>
      <w:r>
        <w:rPr>
          <w:rFonts w:hint="default" w:ascii="Times New Roman" w:hAnsi="Times New Roman" w:eastAsia="宋体" w:cs="Times New Roman"/>
          <w:position w:val="-1"/>
          <w:szCs w:val="21"/>
          <w:highlight w:val="none"/>
        </w:rPr>
        <w:t>他</w:t>
      </w:r>
      <w:r>
        <w:rPr>
          <w:rFonts w:hint="default" w:ascii="Times New Roman" w:hAnsi="Times New Roman" w:eastAsia="宋体" w:cs="Times New Roman"/>
          <w:spacing w:val="-2"/>
          <w:position w:val="-1"/>
          <w:szCs w:val="21"/>
          <w:highlight w:val="none"/>
        </w:rPr>
        <w:t>质</w:t>
      </w:r>
      <w:r>
        <w:rPr>
          <w:rFonts w:hint="default" w:ascii="Times New Roman" w:hAnsi="Times New Roman" w:eastAsia="宋体" w:cs="Times New Roman"/>
          <w:position w:val="-1"/>
          <w:szCs w:val="21"/>
          <w:highlight w:val="none"/>
        </w:rPr>
        <w:t>控</w:t>
      </w:r>
      <w:r>
        <w:rPr>
          <w:rFonts w:hint="default" w:ascii="Times New Roman" w:hAnsi="Times New Roman" w:eastAsia="宋体" w:cs="Times New Roman"/>
          <w:spacing w:val="-2"/>
          <w:position w:val="-1"/>
          <w:szCs w:val="21"/>
          <w:highlight w:val="none"/>
        </w:rPr>
        <w:t>要</w:t>
      </w:r>
      <w:r>
        <w:rPr>
          <w:rFonts w:hint="default" w:ascii="Times New Roman" w:hAnsi="Times New Roman" w:eastAsia="宋体" w:cs="Times New Roman"/>
          <w:position w:val="-1"/>
          <w:szCs w:val="21"/>
          <w:highlight w:val="none"/>
        </w:rPr>
        <w:t>求：</w:t>
      </w:r>
      <w:r>
        <w:rPr>
          <w:rFonts w:hint="default" w:ascii="Times New Roman" w:hAnsi="Times New Roman" w:eastAsia="宋体" w:cs="Times New Roman"/>
          <w:szCs w:val="21"/>
          <w:highlight w:val="none"/>
        </w:rPr>
        <w:t>按</w:t>
      </w:r>
      <w:r>
        <w:rPr>
          <w:rFonts w:hint="default" w:ascii="Times New Roman" w:hAnsi="Times New Roman" w:eastAsia="宋体" w:cs="Times New Roman"/>
          <w:spacing w:val="-2"/>
          <w:szCs w:val="21"/>
          <w:highlight w:val="none"/>
        </w:rPr>
        <w:t>照</w:t>
      </w:r>
      <w:r>
        <w:rPr>
          <w:rFonts w:hint="default" w:ascii="Times New Roman" w:hAnsi="Times New Roman" w:eastAsia="宋体" w:cs="Times New Roman"/>
          <w:szCs w:val="21"/>
          <w:highlight w:val="none"/>
        </w:rPr>
        <w:t>国</w:t>
      </w:r>
      <w:r>
        <w:rPr>
          <w:rFonts w:hint="default" w:ascii="Times New Roman" w:hAnsi="Times New Roman" w:eastAsia="宋体" w:cs="Times New Roman"/>
          <w:spacing w:val="-2"/>
          <w:szCs w:val="21"/>
          <w:highlight w:val="none"/>
        </w:rPr>
        <w:t>家</w:t>
      </w:r>
      <w:r>
        <w:rPr>
          <w:rFonts w:hint="default" w:ascii="Times New Roman" w:hAnsi="Times New Roman" w:eastAsia="宋体" w:cs="Times New Roman"/>
          <w:szCs w:val="21"/>
          <w:highlight w:val="none"/>
        </w:rPr>
        <w:t>大</w:t>
      </w:r>
      <w:r>
        <w:rPr>
          <w:rFonts w:hint="default" w:ascii="Times New Roman" w:hAnsi="Times New Roman" w:eastAsia="宋体" w:cs="Times New Roman"/>
          <w:spacing w:val="-2"/>
          <w:szCs w:val="21"/>
          <w:highlight w:val="none"/>
        </w:rPr>
        <w:t>气</w:t>
      </w:r>
      <w:r>
        <w:rPr>
          <w:rFonts w:hint="default" w:ascii="Times New Roman" w:hAnsi="Times New Roman" w:eastAsia="宋体" w:cs="Times New Roman"/>
          <w:szCs w:val="21"/>
          <w:highlight w:val="none"/>
        </w:rPr>
        <w:t>颗</w:t>
      </w:r>
      <w:r>
        <w:rPr>
          <w:rFonts w:hint="default" w:ascii="Times New Roman" w:hAnsi="Times New Roman" w:eastAsia="宋体" w:cs="Times New Roman"/>
          <w:spacing w:val="-2"/>
          <w:szCs w:val="21"/>
          <w:highlight w:val="none"/>
        </w:rPr>
        <w:t>粒物</w:t>
      </w:r>
      <w:r>
        <w:rPr>
          <w:rFonts w:hint="default" w:ascii="Times New Roman" w:hAnsi="Times New Roman" w:eastAsia="宋体" w:cs="Times New Roman"/>
          <w:szCs w:val="21"/>
          <w:highlight w:val="none"/>
        </w:rPr>
        <w:t>组分</w:t>
      </w:r>
      <w:r>
        <w:rPr>
          <w:rFonts w:hint="default" w:ascii="Times New Roman" w:hAnsi="Times New Roman" w:eastAsia="宋体" w:cs="Times New Roman"/>
          <w:spacing w:val="-2"/>
          <w:szCs w:val="21"/>
          <w:highlight w:val="none"/>
        </w:rPr>
        <w:t>网</w:t>
      </w:r>
      <w:r>
        <w:rPr>
          <w:rFonts w:hint="default" w:ascii="Times New Roman" w:hAnsi="Times New Roman" w:eastAsia="宋体" w:cs="Times New Roman"/>
          <w:spacing w:val="-142"/>
          <w:szCs w:val="21"/>
          <w:highlight w:val="none"/>
        </w:rPr>
        <w:t>、</w:t>
      </w:r>
      <w:r>
        <w:rPr>
          <w:rFonts w:hint="default" w:ascii="Times New Roman" w:hAnsi="Times New Roman" w:eastAsia="宋体" w:cs="Times New Roman"/>
          <w:spacing w:val="-2"/>
          <w:szCs w:val="21"/>
          <w:highlight w:val="none"/>
        </w:rPr>
        <w:t>《</w:t>
      </w:r>
      <w:r>
        <w:rPr>
          <w:rFonts w:hint="default" w:ascii="Times New Roman" w:hAnsi="Times New Roman" w:eastAsia="宋体" w:cs="Times New Roman"/>
          <w:szCs w:val="21"/>
          <w:highlight w:val="none"/>
        </w:rPr>
        <w:t>大</w:t>
      </w:r>
      <w:r>
        <w:rPr>
          <w:rFonts w:hint="default" w:ascii="Times New Roman" w:hAnsi="Times New Roman" w:eastAsia="宋体" w:cs="Times New Roman"/>
          <w:spacing w:val="-2"/>
          <w:szCs w:val="21"/>
          <w:highlight w:val="none"/>
        </w:rPr>
        <w:t>气</w:t>
      </w:r>
      <w:r>
        <w:rPr>
          <w:rFonts w:hint="default" w:ascii="Times New Roman" w:hAnsi="Times New Roman" w:eastAsia="宋体" w:cs="Times New Roman"/>
          <w:szCs w:val="21"/>
          <w:highlight w:val="none"/>
        </w:rPr>
        <w:t>超</w:t>
      </w:r>
      <w:r>
        <w:rPr>
          <w:rFonts w:hint="default" w:ascii="Times New Roman" w:hAnsi="Times New Roman" w:eastAsia="宋体" w:cs="Times New Roman"/>
          <w:spacing w:val="-2"/>
          <w:szCs w:val="21"/>
          <w:highlight w:val="none"/>
        </w:rPr>
        <w:t>级</w:t>
      </w:r>
      <w:r>
        <w:rPr>
          <w:rFonts w:hint="default" w:ascii="Times New Roman" w:hAnsi="Times New Roman" w:eastAsia="宋体" w:cs="Times New Roman"/>
          <w:szCs w:val="21"/>
          <w:highlight w:val="none"/>
        </w:rPr>
        <w:t>站</w:t>
      </w:r>
      <w:r>
        <w:rPr>
          <w:rFonts w:hint="default" w:ascii="Times New Roman" w:hAnsi="Times New Roman" w:eastAsia="宋体" w:cs="Times New Roman"/>
          <w:spacing w:val="-2"/>
          <w:szCs w:val="21"/>
          <w:highlight w:val="none"/>
        </w:rPr>
        <w:t>质控</w:t>
      </w:r>
      <w:r>
        <w:rPr>
          <w:rFonts w:hint="default" w:ascii="Times New Roman" w:hAnsi="Times New Roman" w:eastAsia="宋体" w:cs="Times New Roman"/>
          <w:szCs w:val="21"/>
          <w:highlight w:val="none"/>
        </w:rPr>
        <w:t>质保</w:t>
      </w:r>
      <w:r>
        <w:rPr>
          <w:rFonts w:hint="default" w:ascii="Times New Roman" w:hAnsi="Times New Roman" w:eastAsia="宋体" w:cs="Times New Roman"/>
          <w:spacing w:val="-2"/>
          <w:szCs w:val="21"/>
          <w:highlight w:val="none"/>
        </w:rPr>
        <w:t>体</w:t>
      </w:r>
      <w:r>
        <w:rPr>
          <w:rFonts w:hint="default" w:ascii="Times New Roman" w:hAnsi="Times New Roman" w:eastAsia="宋体" w:cs="Times New Roman"/>
          <w:szCs w:val="21"/>
          <w:highlight w:val="none"/>
        </w:rPr>
        <w:t>系</w:t>
      </w:r>
      <w:r>
        <w:rPr>
          <w:rFonts w:hint="default" w:ascii="Times New Roman" w:hAnsi="Times New Roman" w:eastAsia="宋体" w:cs="Times New Roman"/>
          <w:spacing w:val="-2"/>
          <w:szCs w:val="21"/>
          <w:highlight w:val="none"/>
        </w:rPr>
        <w:t>技</w:t>
      </w:r>
      <w:r>
        <w:rPr>
          <w:rFonts w:hint="default" w:ascii="Times New Roman" w:hAnsi="Times New Roman" w:eastAsia="宋体" w:cs="Times New Roman"/>
          <w:szCs w:val="21"/>
          <w:highlight w:val="none"/>
        </w:rPr>
        <w:t>术</w:t>
      </w:r>
      <w:r>
        <w:rPr>
          <w:rFonts w:hint="default" w:ascii="Times New Roman" w:hAnsi="Times New Roman" w:eastAsia="宋体" w:cs="Times New Roman"/>
          <w:spacing w:val="-2"/>
          <w:szCs w:val="21"/>
          <w:highlight w:val="none"/>
        </w:rPr>
        <w:t>规</w:t>
      </w:r>
      <w:r>
        <w:rPr>
          <w:rFonts w:hint="default" w:ascii="Times New Roman" w:hAnsi="Times New Roman" w:eastAsia="宋体" w:cs="Times New Roman"/>
          <w:szCs w:val="21"/>
          <w:highlight w:val="none"/>
        </w:rPr>
        <w:t>范</w:t>
      </w:r>
      <w:r>
        <w:rPr>
          <w:rFonts w:hint="default" w:ascii="Times New Roman" w:hAnsi="Times New Roman" w:eastAsia="宋体" w:cs="Times New Roman"/>
          <w:spacing w:val="-108"/>
          <w:szCs w:val="21"/>
          <w:highlight w:val="none"/>
        </w:rPr>
        <w:t>》</w:t>
      </w:r>
      <w:r>
        <w:rPr>
          <w:rFonts w:hint="default" w:ascii="Times New Roman" w:hAnsi="Times New Roman" w:eastAsia="宋体" w:cs="Times New Roman"/>
          <w:spacing w:val="-36"/>
          <w:szCs w:val="21"/>
          <w:highlight w:val="none"/>
        </w:rPr>
        <w:t>、</w:t>
      </w:r>
      <w:r>
        <w:rPr>
          <w:rFonts w:hint="default" w:ascii="Times New Roman" w:hAnsi="Times New Roman" w:eastAsia="宋体" w:cs="Times New Roman"/>
          <w:spacing w:val="-2"/>
          <w:szCs w:val="21"/>
          <w:highlight w:val="none"/>
        </w:rPr>
        <w:t>仪器</w:t>
      </w:r>
      <w:r>
        <w:rPr>
          <w:rFonts w:hint="default" w:ascii="Times New Roman" w:hAnsi="Times New Roman" w:eastAsia="宋体" w:cs="Times New Roman"/>
          <w:szCs w:val="21"/>
          <w:highlight w:val="none"/>
        </w:rPr>
        <w:t>使用</w:t>
      </w:r>
      <w:r>
        <w:rPr>
          <w:rFonts w:hint="default" w:ascii="Times New Roman" w:hAnsi="Times New Roman" w:eastAsia="宋体" w:cs="Times New Roman"/>
          <w:spacing w:val="-2"/>
          <w:szCs w:val="21"/>
          <w:highlight w:val="none"/>
        </w:rPr>
        <w:t>用</w:t>
      </w:r>
      <w:r>
        <w:rPr>
          <w:rFonts w:hint="default" w:ascii="Times New Roman" w:hAnsi="Times New Roman" w:eastAsia="宋体" w:cs="Times New Roman"/>
          <w:szCs w:val="21"/>
          <w:highlight w:val="none"/>
        </w:rPr>
        <w:t>户</w:t>
      </w:r>
      <w:r>
        <w:rPr>
          <w:rFonts w:hint="default" w:ascii="Times New Roman" w:hAnsi="Times New Roman" w:eastAsia="宋体" w:cs="Times New Roman"/>
          <w:spacing w:val="-2"/>
          <w:szCs w:val="21"/>
          <w:highlight w:val="none"/>
        </w:rPr>
        <w:t>以</w:t>
      </w:r>
      <w:r>
        <w:rPr>
          <w:rFonts w:hint="default" w:ascii="Times New Roman" w:hAnsi="Times New Roman" w:eastAsia="宋体" w:cs="Times New Roman"/>
          <w:szCs w:val="21"/>
          <w:highlight w:val="none"/>
        </w:rPr>
        <w:t>及</w:t>
      </w:r>
      <w:r>
        <w:rPr>
          <w:rFonts w:hint="default" w:ascii="Times New Roman" w:hAnsi="Times New Roman" w:eastAsia="宋体" w:cs="Times New Roman"/>
          <w:spacing w:val="-2"/>
          <w:szCs w:val="21"/>
          <w:highlight w:val="none"/>
        </w:rPr>
        <w:t>仪</w:t>
      </w:r>
      <w:r>
        <w:rPr>
          <w:rFonts w:hint="default" w:ascii="Times New Roman" w:hAnsi="Times New Roman" w:eastAsia="宋体" w:cs="Times New Roman"/>
          <w:szCs w:val="21"/>
          <w:highlight w:val="none"/>
        </w:rPr>
        <w:t>器制造</w:t>
      </w:r>
      <w:r>
        <w:rPr>
          <w:rFonts w:hint="default" w:ascii="Times New Roman" w:hAnsi="Times New Roman" w:eastAsia="宋体" w:cs="Times New Roman"/>
          <w:spacing w:val="-2"/>
          <w:szCs w:val="21"/>
          <w:highlight w:val="none"/>
        </w:rPr>
        <w:t>商</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生</w:t>
      </w:r>
      <w:r>
        <w:rPr>
          <w:rFonts w:hint="default" w:ascii="Times New Roman" w:hAnsi="Times New Roman" w:eastAsia="宋体" w:cs="Times New Roman"/>
          <w:szCs w:val="21"/>
          <w:highlight w:val="none"/>
        </w:rPr>
        <w:t>产</w:t>
      </w:r>
      <w:r>
        <w:rPr>
          <w:rFonts w:hint="default" w:ascii="Times New Roman" w:hAnsi="Times New Roman" w:eastAsia="宋体" w:cs="Times New Roman"/>
          <w:spacing w:val="-2"/>
          <w:szCs w:val="21"/>
          <w:highlight w:val="none"/>
        </w:rPr>
        <w:t>者）</w:t>
      </w:r>
      <w:r>
        <w:rPr>
          <w:rFonts w:hint="default" w:ascii="Times New Roman" w:hAnsi="Times New Roman" w:eastAsia="宋体" w:cs="Times New Roman"/>
          <w:szCs w:val="21"/>
          <w:highlight w:val="none"/>
        </w:rPr>
        <w:t>推</w:t>
      </w:r>
      <w:r>
        <w:rPr>
          <w:rFonts w:hint="default" w:ascii="Times New Roman" w:hAnsi="Times New Roman" w:eastAsia="宋体" w:cs="Times New Roman"/>
          <w:spacing w:val="-2"/>
          <w:szCs w:val="21"/>
          <w:highlight w:val="none"/>
        </w:rPr>
        <w:t>荐</w:t>
      </w:r>
      <w:r>
        <w:rPr>
          <w:rFonts w:hint="default" w:ascii="Times New Roman" w:hAnsi="Times New Roman" w:eastAsia="宋体" w:cs="Times New Roman"/>
          <w:szCs w:val="21"/>
          <w:highlight w:val="none"/>
        </w:rPr>
        <w:t>的</w:t>
      </w:r>
      <w:r>
        <w:rPr>
          <w:rFonts w:hint="default" w:ascii="Times New Roman" w:hAnsi="Times New Roman" w:eastAsia="宋体" w:cs="Times New Roman"/>
          <w:spacing w:val="-2"/>
          <w:szCs w:val="21"/>
          <w:highlight w:val="none"/>
        </w:rPr>
        <w:t>运</w:t>
      </w:r>
      <w:r>
        <w:rPr>
          <w:rFonts w:hint="default" w:ascii="Times New Roman" w:hAnsi="Times New Roman" w:eastAsia="宋体" w:cs="Times New Roman"/>
          <w:szCs w:val="21"/>
          <w:highlight w:val="none"/>
        </w:rPr>
        <w:t>行维</w:t>
      </w:r>
      <w:r>
        <w:rPr>
          <w:rFonts w:hint="default" w:ascii="Times New Roman" w:hAnsi="Times New Roman" w:eastAsia="宋体" w:cs="Times New Roman"/>
          <w:spacing w:val="-2"/>
          <w:szCs w:val="21"/>
          <w:highlight w:val="none"/>
        </w:rPr>
        <w:t>护</w:t>
      </w:r>
      <w:r>
        <w:rPr>
          <w:rFonts w:hint="default" w:ascii="Times New Roman" w:hAnsi="Times New Roman" w:eastAsia="宋体" w:cs="Times New Roman"/>
          <w:szCs w:val="21"/>
          <w:highlight w:val="none"/>
        </w:rPr>
        <w:t>内</w:t>
      </w:r>
      <w:r>
        <w:rPr>
          <w:rFonts w:hint="default" w:ascii="Times New Roman" w:hAnsi="Times New Roman" w:eastAsia="宋体" w:cs="Times New Roman"/>
          <w:spacing w:val="-2"/>
          <w:szCs w:val="21"/>
          <w:highlight w:val="none"/>
        </w:rPr>
        <w:t>容</w:t>
      </w:r>
      <w:r>
        <w:rPr>
          <w:rFonts w:hint="default" w:ascii="Times New Roman" w:hAnsi="Times New Roman" w:eastAsia="宋体" w:cs="Times New Roman"/>
          <w:szCs w:val="21"/>
          <w:highlight w:val="none"/>
        </w:rPr>
        <w:t>执</w:t>
      </w:r>
      <w:r>
        <w:rPr>
          <w:rFonts w:hint="default" w:ascii="Times New Roman" w:hAnsi="Times New Roman" w:eastAsia="宋体" w:cs="Times New Roman"/>
          <w:spacing w:val="-2"/>
          <w:szCs w:val="21"/>
          <w:highlight w:val="none"/>
        </w:rPr>
        <w:t>行，</w:t>
      </w:r>
      <w:r>
        <w:rPr>
          <w:rFonts w:hint="default" w:ascii="Times New Roman" w:hAnsi="Times New Roman" w:eastAsia="宋体" w:cs="Times New Roman"/>
          <w:szCs w:val="21"/>
          <w:highlight w:val="none"/>
        </w:rPr>
        <w:t>倘</w:t>
      </w:r>
      <w:r>
        <w:rPr>
          <w:rFonts w:hint="default" w:ascii="Times New Roman" w:hAnsi="Times New Roman" w:eastAsia="宋体" w:cs="Times New Roman"/>
          <w:spacing w:val="-2"/>
          <w:szCs w:val="21"/>
          <w:highlight w:val="none"/>
        </w:rPr>
        <w:t>若运</w:t>
      </w:r>
      <w:r>
        <w:rPr>
          <w:rFonts w:hint="default" w:ascii="Times New Roman" w:hAnsi="Times New Roman" w:eastAsia="宋体" w:cs="Times New Roman"/>
          <w:szCs w:val="21"/>
          <w:highlight w:val="none"/>
        </w:rPr>
        <w:t>行维</w:t>
      </w:r>
      <w:r>
        <w:rPr>
          <w:rFonts w:hint="default" w:ascii="Times New Roman" w:hAnsi="Times New Roman" w:eastAsia="宋体" w:cs="Times New Roman"/>
          <w:spacing w:val="-2"/>
          <w:szCs w:val="21"/>
          <w:highlight w:val="none"/>
        </w:rPr>
        <w:t>护</w:t>
      </w:r>
      <w:r>
        <w:rPr>
          <w:rFonts w:hint="default" w:ascii="Times New Roman" w:hAnsi="Times New Roman" w:eastAsia="宋体" w:cs="Times New Roman"/>
          <w:szCs w:val="21"/>
          <w:highlight w:val="none"/>
        </w:rPr>
        <w:t>和</w:t>
      </w:r>
      <w:r>
        <w:rPr>
          <w:rFonts w:hint="default" w:ascii="Times New Roman" w:hAnsi="Times New Roman" w:eastAsia="宋体" w:cs="Times New Roman"/>
          <w:spacing w:val="-2"/>
          <w:szCs w:val="21"/>
          <w:highlight w:val="none"/>
        </w:rPr>
        <w:t>质</w:t>
      </w:r>
      <w:r>
        <w:rPr>
          <w:rFonts w:hint="default" w:ascii="Times New Roman" w:hAnsi="Times New Roman" w:eastAsia="宋体" w:cs="Times New Roman"/>
          <w:szCs w:val="21"/>
          <w:highlight w:val="none"/>
        </w:rPr>
        <w:t>控</w:t>
      </w:r>
      <w:r>
        <w:rPr>
          <w:rFonts w:hint="default" w:ascii="Times New Roman" w:hAnsi="Times New Roman" w:eastAsia="宋体" w:cs="Times New Roman"/>
          <w:spacing w:val="-2"/>
          <w:szCs w:val="21"/>
          <w:highlight w:val="none"/>
        </w:rPr>
        <w:t>频</w:t>
      </w:r>
      <w:r>
        <w:rPr>
          <w:rFonts w:hint="default" w:ascii="Times New Roman" w:hAnsi="Times New Roman" w:eastAsia="宋体" w:cs="Times New Roman"/>
          <w:szCs w:val="21"/>
          <w:highlight w:val="none"/>
        </w:rPr>
        <w:t>次</w:t>
      </w:r>
      <w:r>
        <w:rPr>
          <w:rFonts w:hint="default" w:ascii="Times New Roman" w:hAnsi="Times New Roman" w:eastAsia="宋体" w:cs="Times New Roman"/>
          <w:spacing w:val="-2"/>
          <w:szCs w:val="21"/>
          <w:highlight w:val="none"/>
        </w:rPr>
        <w:t>存</w:t>
      </w:r>
      <w:r>
        <w:rPr>
          <w:rFonts w:hint="default" w:ascii="Times New Roman" w:hAnsi="Times New Roman" w:eastAsia="宋体" w:cs="Times New Roman"/>
          <w:szCs w:val="21"/>
          <w:highlight w:val="none"/>
        </w:rPr>
        <w:t>在</w:t>
      </w:r>
      <w:r>
        <w:rPr>
          <w:rFonts w:hint="default" w:ascii="Times New Roman" w:hAnsi="Times New Roman" w:eastAsia="宋体" w:cs="Times New Roman"/>
          <w:spacing w:val="-2"/>
          <w:szCs w:val="21"/>
          <w:highlight w:val="none"/>
        </w:rPr>
        <w:t>偏</w:t>
      </w:r>
      <w:r>
        <w:rPr>
          <w:rFonts w:hint="default" w:ascii="Times New Roman" w:hAnsi="Times New Roman" w:eastAsia="宋体" w:cs="Times New Roman"/>
          <w:szCs w:val="21"/>
          <w:highlight w:val="none"/>
        </w:rPr>
        <w:t>差</w:t>
      </w:r>
      <w:r>
        <w:rPr>
          <w:rFonts w:hint="default" w:ascii="Times New Roman" w:hAnsi="Times New Roman" w:eastAsia="宋体" w:cs="Times New Roman"/>
          <w:spacing w:val="-2"/>
          <w:szCs w:val="21"/>
          <w:highlight w:val="none"/>
        </w:rPr>
        <w:t>时</w:t>
      </w:r>
      <w:r>
        <w:rPr>
          <w:rFonts w:hint="default" w:ascii="Times New Roman" w:hAnsi="Times New Roman" w:eastAsia="宋体" w:cs="Times New Roman"/>
          <w:szCs w:val="21"/>
          <w:highlight w:val="none"/>
        </w:rPr>
        <w:t>，</w:t>
      </w:r>
      <w:r>
        <w:rPr>
          <w:rFonts w:hint="default" w:ascii="Times New Roman" w:hAnsi="Times New Roman" w:eastAsia="宋体" w:cs="Times New Roman"/>
          <w:spacing w:val="-2"/>
          <w:szCs w:val="21"/>
          <w:highlight w:val="none"/>
        </w:rPr>
        <w:t>实</w:t>
      </w:r>
      <w:r>
        <w:rPr>
          <w:rFonts w:hint="default" w:ascii="Times New Roman" w:hAnsi="Times New Roman" w:eastAsia="宋体" w:cs="Times New Roman"/>
          <w:szCs w:val="21"/>
          <w:highlight w:val="none"/>
        </w:rPr>
        <w:t>际</w:t>
      </w:r>
      <w:r>
        <w:rPr>
          <w:rFonts w:hint="default" w:ascii="Times New Roman" w:hAnsi="Times New Roman" w:eastAsia="宋体" w:cs="Times New Roman"/>
          <w:spacing w:val="-2"/>
          <w:szCs w:val="21"/>
          <w:highlight w:val="none"/>
        </w:rPr>
        <w:t>运</w:t>
      </w:r>
      <w:r>
        <w:rPr>
          <w:rFonts w:hint="default" w:ascii="Times New Roman" w:hAnsi="Times New Roman" w:eastAsia="宋体" w:cs="Times New Roman"/>
          <w:szCs w:val="21"/>
          <w:highlight w:val="none"/>
        </w:rPr>
        <w:t>行</w:t>
      </w:r>
      <w:r>
        <w:rPr>
          <w:rFonts w:hint="default" w:ascii="Times New Roman" w:hAnsi="Times New Roman" w:eastAsia="宋体" w:cs="Times New Roman"/>
          <w:spacing w:val="-2"/>
          <w:szCs w:val="21"/>
          <w:highlight w:val="none"/>
        </w:rPr>
        <w:t>维</w:t>
      </w:r>
      <w:r>
        <w:rPr>
          <w:rFonts w:hint="default" w:ascii="Times New Roman" w:hAnsi="Times New Roman" w:eastAsia="宋体" w:cs="Times New Roman"/>
          <w:szCs w:val="21"/>
          <w:highlight w:val="none"/>
        </w:rPr>
        <w:t>护和质控</w:t>
      </w:r>
      <w:r>
        <w:rPr>
          <w:rFonts w:hint="default" w:ascii="Times New Roman" w:hAnsi="Times New Roman" w:eastAsia="宋体" w:cs="Times New Roman"/>
          <w:spacing w:val="-2"/>
          <w:szCs w:val="21"/>
          <w:highlight w:val="none"/>
        </w:rPr>
        <w:t>频</w:t>
      </w:r>
      <w:r>
        <w:rPr>
          <w:rFonts w:hint="default" w:ascii="Times New Roman" w:hAnsi="Times New Roman" w:eastAsia="宋体" w:cs="Times New Roman"/>
          <w:szCs w:val="21"/>
          <w:highlight w:val="none"/>
        </w:rPr>
        <w:t>次</w:t>
      </w:r>
      <w:r>
        <w:rPr>
          <w:rFonts w:hint="default" w:ascii="Times New Roman" w:hAnsi="Times New Roman" w:eastAsia="宋体" w:cs="Times New Roman"/>
          <w:spacing w:val="-2"/>
          <w:szCs w:val="21"/>
          <w:highlight w:val="none"/>
        </w:rPr>
        <w:t>按</w:t>
      </w:r>
      <w:r>
        <w:rPr>
          <w:rFonts w:hint="default" w:ascii="Times New Roman" w:hAnsi="Times New Roman" w:eastAsia="宋体" w:cs="Times New Roman"/>
          <w:szCs w:val="21"/>
          <w:highlight w:val="none"/>
        </w:rPr>
        <w:t>照</w:t>
      </w:r>
      <w:r>
        <w:rPr>
          <w:rFonts w:hint="default" w:ascii="Times New Roman" w:hAnsi="Times New Roman" w:eastAsia="宋体" w:cs="Times New Roman"/>
          <w:spacing w:val="-2"/>
          <w:szCs w:val="21"/>
          <w:highlight w:val="none"/>
        </w:rPr>
        <w:t>最</w:t>
      </w:r>
      <w:r>
        <w:rPr>
          <w:rFonts w:hint="default" w:ascii="Times New Roman" w:hAnsi="Times New Roman" w:eastAsia="宋体" w:cs="Times New Roman"/>
          <w:szCs w:val="21"/>
          <w:highlight w:val="none"/>
        </w:rPr>
        <w:t>严</w:t>
      </w:r>
      <w:r>
        <w:rPr>
          <w:rFonts w:hint="default" w:ascii="Times New Roman" w:hAnsi="Times New Roman" w:eastAsia="宋体" w:cs="Times New Roman"/>
          <w:spacing w:val="-2"/>
          <w:szCs w:val="21"/>
          <w:highlight w:val="none"/>
        </w:rPr>
        <w:t>格</w:t>
      </w:r>
      <w:r>
        <w:rPr>
          <w:rFonts w:hint="default" w:ascii="Times New Roman" w:hAnsi="Times New Roman" w:eastAsia="宋体" w:cs="Times New Roman"/>
          <w:szCs w:val="21"/>
          <w:highlight w:val="none"/>
        </w:rPr>
        <w:t>的</w:t>
      </w:r>
      <w:r>
        <w:rPr>
          <w:rFonts w:hint="default" w:ascii="Times New Roman" w:hAnsi="Times New Roman" w:eastAsia="宋体" w:cs="Times New Roman"/>
          <w:spacing w:val="-2"/>
          <w:szCs w:val="21"/>
          <w:highlight w:val="none"/>
        </w:rPr>
        <w:t>要</w:t>
      </w:r>
      <w:r>
        <w:rPr>
          <w:rFonts w:hint="default" w:ascii="Times New Roman" w:hAnsi="Times New Roman" w:eastAsia="宋体" w:cs="Times New Roman"/>
          <w:szCs w:val="21"/>
          <w:highlight w:val="none"/>
        </w:rPr>
        <w:t>求执</w:t>
      </w:r>
      <w:r>
        <w:rPr>
          <w:rFonts w:hint="default" w:ascii="Times New Roman" w:hAnsi="Times New Roman" w:eastAsia="宋体" w:cs="Times New Roman"/>
          <w:spacing w:val="-2"/>
          <w:szCs w:val="21"/>
          <w:highlight w:val="none"/>
        </w:rPr>
        <w:t>行</w:t>
      </w:r>
      <w:r>
        <w:rPr>
          <w:rFonts w:hint="default" w:ascii="Times New Roman" w:hAnsi="Times New Roman" w:eastAsia="宋体" w:cs="Times New Roman"/>
          <w:szCs w:val="21"/>
          <w:highlight w:val="none"/>
        </w:rPr>
        <w:t>。</w:t>
      </w:r>
    </w:p>
    <w:p w14:paraId="59A2472C">
      <w:pPr>
        <w:pageBreakBefore w:val="0"/>
        <w:kinsoku/>
        <w:wordWrap/>
        <w:overflowPunct/>
        <w:topLinePunct w:val="0"/>
        <w:bidi w:val="0"/>
        <w:spacing w:line="360" w:lineRule="auto"/>
        <w:ind w:firstLine="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六、甲烷-非甲烷总烃分析仪运维项目需求：</w:t>
      </w:r>
    </w:p>
    <w:p w14:paraId="41914EA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6.1运行维护工作目标</w:t>
      </w:r>
    </w:p>
    <w:p w14:paraId="7E835D8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6.1.1设备在线率：开展运维服务期间，需确保仪器在线率不得低于90%（仪器在线率=仪器实际运行时间/仪器可运行时间）</w:t>
      </w:r>
    </w:p>
    <w:p w14:paraId="10A8878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注：仪器实际运行时间为仪器开机运行且仪器内能获取监测数据的时间；仪器可运行时间=约定的总时间-仪器停机维护时间-仪器校准时间-不可抗力停机时间（如停电等）</w:t>
      </w:r>
    </w:p>
    <w:p w14:paraId="2C63D40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6.1.2有效数据获取率：开展运维服务期间，需确保仪器有效数据获取率不得低于80%（有效数据获取率=有效监测数据量/获取监测数据量）</w:t>
      </w:r>
    </w:p>
    <w:p w14:paraId="0CCAF5A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6.2技术运维要求</w:t>
      </w:r>
    </w:p>
    <w:p w14:paraId="613ED5F7">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6.3 每日维护内容</w:t>
      </w:r>
    </w:p>
    <w:p w14:paraId="42A35DD1">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6.3.1 系统状态检查</w:t>
      </w:r>
    </w:p>
    <w:p w14:paraId="1052E2C9">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检查系统是否有报警等异常提示，以及分析模块的FID 温度、柱箱温度、柱前压、保留时间等重要参数是否正常。系统状态检查可通过远程或者现场检查的方式完成。</w:t>
      </w:r>
    </w:p>
    <w:p w14:paraId="56D2F3E9">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6.3.2 基线检查</w:t>
      </w:r>
    </w:p>
    <w:p w14:paraId="75E42901">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按照厂家说明书或作业指导书要求检查图谱基线是否存在异常漂移和波动。如存在异常漂移和波动，应及时标识或剔除异常数据或对受影响的物质进行重积分。</w:t>
      </w:r>
    </w:p>
    <w:p w14:paraId="4D05F2C4">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6.3.3 保留时间漂移</w:t>
      </w:r>
    </w:p>
    <w:p w14:paraId="783F1627">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检查仪器保留时间漂移情况，以确保非甲烷总烃测量的准确性。重点关注漂移是否影响监测物质的自动积分，如有影响，应进行调整。</w:t>
      </w:r>
    </w:p>
    <w:p w14:paraId="2741C4EA">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6.4每周巡检内容</w:t>
      </w:r>
    </w:p>
    <w:p w14:paraId="212C0A78">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6.4.1气相色谱、检测器参数设置检查。检查氢火焰离子化检测器氢气与空气输入压力与流量、载气流量与压力等是否与说明书、作业指导书一致。</w:t>
      </w:r>
    </w:p>
    <w:p w14:paraId="319A5FAF">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6.4.2气相色谱、检测器运行情况检查。检查载气净化装置（如除烃等），如有异常应及时更换。根据系统验收或非甲烷总烃测试时使用的参数，检查色谱炉温控制程序、载气流量或压力控制程序、氢火焰离子化检测器等是否正常，如有异常应及时停机检查，排查问题。</w:t>
      </w:r>
    </w:p>
    <w:p w14:paraId="0A5577FF">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6.5其他维护内容</w:t>
      </w:r>
    </w:p>
    <w:p w14:paraId="0BE926B1">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按照系统说明书或作业指导书要求定期更换阀膜、色谱柱等重要耗材。做好周期性维护，及时清洁气动阀阀芯、散热风扇、氢火焰离子化检测器等重要部件。</w:t>
      </w:r>
    </w:p>
    <w:p w14:paraId="0A7DF87F">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如运行维护涉及对气路上的关键硬件部分进行拆卸、打开，维护操作完成后，应按照系统说明书、作业指导书等要求对系统进行验漏。</w:t>
      </w:r>
    </w:p>
    <w:p w14:paraId="1DB2C95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6.6系统质量控制要求</w:t>
      </w:r>
    </w:p>
    <w:p w14:paraId="6EE3316C">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6.6.1每日质控</w:t>
      </w:r>
    </w:p>
    <w:p w14:paraId="1CEBF120">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检查仪器保留时间漂移情况，以确保非甲烷总烃测量的准确性。</w:t>
      </w:r>
    </w:p>
    <w:p w14:paraId="228E19E4">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6.6.2 每周质控</w:t>
      </w:r>
    </w:p>
    <w:p w14:paraId="4083FB52">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完成点检并做好记录，包括：氢气发生器、载气和零空气供应情况以及主要性能指标检查，并做好定量保留时间范围校准记录；开展空白检查，若甲烷和非甲烷总烃测定浓度大于方法检出限，应重新校准；开展标点（甲烷2000 ppb 和丙烷500 ppb）检查，若定量误差超出 ±10%，应重新校准。</w:t>
      </w:r>
    </w:p>
    <w:p w14:paraId="224D5B2C">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6.6.3 每月质控</w:t>
      </w:r>
    </w:p>
    <w:p w14:paraId="0CAF6D6C">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至少进行一次采样流量检查，当误差超过±10%，应对仪器流量进行校准。</w:t>
      </w:r>
    </w:p>
    <w:p w14:paraId="410571D2">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6.6.4 每季质控</w:t>
      </w:r>
    </w:p>
    <w:p w14:paraId="08EC57DD">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使用标准气体更新多点校准曲线。要求甲烷和非甲烷总烃校准曲线的相关系数R</w:t>
      </w:r>
      <w:r>
        <w:rPr>
          <w:rFonts w:hint="default" w:ascii="Times New Roman" w:hAnsi="Times New Roman" w:eastAsia="宋体" w:cs="Times New Roman"/>
          <w:color w:val="333333"/>
          <w:sz w:val="21"/>
          <w:szCs w:val="21"/>
          <w:highlight w:val="none"/>
          <w:vertAlign w:val="superscript"/>
        </w:rPr>
        <w:t>2</w:t>
      </w:r>
      <w:r>
        <w:rPr>
          <w:rFonts w:hint="default" w:ascii="Times New Roman" w:hAnsi="Times New Roman" w:eastAsia="宋体" w:cs="Times New Roman"/>
          <w:color w:val="333333"/>
          <w:sz w:val="21"/>
          <w:szCs w:val="21"/>
          <w:highlight w:val="none"/>
        </w:rPr>
        <w:t>≥0.999，校准曲线上各浓度点残差与理论浓度的比值应在±10%以内。</w:t>
      </w:r>
    </w:p>
    <w:p w14:paraId="6DF37334">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6.6.5半年质控</w:t>
      </w:r>
    </w:p>
    <w:p w14:paraId="2F977B64">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应每半年至少对动态校准仪进行一次质量流量准确度检查。标准气体应为国家二级气体标准物质及以上。</w:t>
      </w:r>
    </w:p>
    <w:p w14:paraId="61657B93">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6.6.6 每年质控</w:t>
      </w:r>
    </w:p>
    <w:p w14:paraId="0D42A4DA">
      <w:pPr>
        <w:pStyle w:val="44"/>
        <w:pageBreakBefore w:val="0"/>
        <w:shd w:val="clear" w:color="auto" w:fill="FFFFFF"/>
        <w:kinsoku/>
        <w:wordWrap/>
        <w:overflowPunct/>
        <w:topLinePunct w:val="0"/>
        <w:bidi w:val="0"/>
        <w:spacing w:before="0" w:beforeAutospacing="0" w:after="0" w:afterAutospacing="0" w:line="360" w:lineRule="auto"/>
        <w:ind w:firstLine="420" w:firstLineChars="200"/>
        <w:jc w:val="both"/>
        <w:rPr>
          <w:rFonts w:hint="default" w:ascii="Times New Roman" w:hAnsi="Times New Roman" w:eastAsia="宋体" w:cs="Times New Roman"/>
          <w:color w:val="333333"/>
          <w:sz w:val="21"/>
          <w:szCs w:val="21"/>
          <w:highlight w:val="none"/>
        </w:rPr>
      </w:pPr>
      <w:r>
        <w:rPr>
          <w:rFonts w:hint="default" w:ascii="Times New Roman" w:hAnsi="Times New Roman" w:eastAsia="宋体" w:cs="Times New Roman"/>
          <w:color w:val="333333"/>
          <w:sz w:val="21"/>
          <w:szCs w:val="21"/>
          <w:highlight w:val="none"/>
        </w:rPr>
        <w:t>应至少进行一次监测仪器的系统保养，对采样管路、仪器内部进样管路和检测器进行清洗等；更换必要的耗材与配件。保养及维修后，应进行多点校准以及重复性和检出限的测定，以确保仪器在维护前后数据的准确性和可比性。</w:t>
      </w:r>
    </w:p>
    <w:p w14:paraId="7C0F884D">
      <w:pPr>
        <w:pageBreakBefore w:val="0"/>
        <w:kinsoku/>
        <w:wordWrap/>
        <w:overflowPunct/>
        <w:topLinePunct w:val="0"/>
        <w:bidi w:val="0"/>
        <w:spacing w:line="360" w:lineRule="auto"/>
        <w:ind w:firstLine="422" w:firstLineChars="20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2D7B537D">
      <w:pPr>
        <w:pageBreakBefore w:val="0"/>
        <w:kinsoku/>
        <w:wordWrap/>
        <w:overflowPunct/>
        <w:topLinePunct w:val="0"/>
        <w:bidi w:val="0"/>
        <w:spacing w:line="360" w:lineRule="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包10：省中心及汾湖超站新增颗粒物组分特征仪器（水溶性离子在线分析仪、气溶胶质谱仪）运维服务</w:t>
      </w:r>
    </w:p>
    <w:p w14:paraId="6F3EA492">
      <w:pPr>
        <w:pageBreakBefore w:val="0"/>
        <w:kinsoku/>
        <w:wordWrap/>
        <w:overflowPunct/>
        <w:topLinePunct w:val="0"/>
        <w:bidi w:val="0"/>
        <w:spacing w:line="360" w:lineRule="auto"/>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一、基本概况：</w:t>
      </w:r>
    </w:p>
    <w:p w14:paraId="513C5DC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2022年以来，江苏省环境监测中心通过填平补齐项目为汾湖超站配置了在线气体组分及气溶胶监测系统——MARGA、飞行时间-细颗粒物质谱仪（TOF-ACSM），目前上述设备运行状况良好，处于连续采样、分析状态（详见表1-1）。汾湖超级站位于苏州市芦墟大渠荡生态公园、省级大气多参数站位于南京市建邺区中和路100号江苏省环境监测中心。</w:t>
      </w:r>
    </w:p>
    <w:p w14:paraId="13E6E5D4">
      <w:pPr>
        <w:pageBreakBefore w:val="0"/>
        <w:kinsoku/>
        <w:wordWrap/>
        <w:overflowPunct/>
        <w:topLinePunct w:val="0"/>
        <w:bidi w:val="0"/>
        <w:spacing w:line="360" w:lineRule="auto"/>
        <w:ind w:left="420" w:leftChars="200"/>
        <w:jc w:val="center"/>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 xml:space="preserve">表1-1 </w:t>
      </w:r>
      <w:r>
        <w:rPr>
          <w:rFonts w:hint="default" w:ascii="Times New Roman" w:hAnsi="Times New Roman" w:eastAsia="宋体" w:cs="Times New Roman"/>
          <w:bCs/>
          <w:szCs w:val="21"/>
          <w:highlight w:val="none"/>
        </w:rPr>
        <w:t>设备清单及分项预算</w:t>
      </w:r>
    </w:p>
    <w:tbl>
      <w:tblPr>
        <w:tblStyle w:val="48"/>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44"/>
        <w:gridCol w:w="1380"/>
        <w:gridCol w:w="891"/>
        <w:gridCol w:w="1476"/>
        <w:gridCol w:w="1340"/>
      </w:tblGrid>
      <w:tr w14:paraId="39F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6" w:type="dxa"/>
            <w:shd w:val="clear" w:color="auto" w:fill="FFFFFF" w:themeFill="background1"/>
            <w:noWrap/>
            <w:vAlign w:val="center"/>
          </w:tcPr>
          <w:p w14:paraId="1C0BA88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序号</w:t>
            </w:r>
          </w:p>
        </w:tc>
        <w:tc>
          <w:tcPr>
            <w:tcW w:w="2544" w:type="dxa"/>
            <w:shd w:val="clear" w:color="auto" w:fill="FFFFFF" w:themeFill="background1"/>
            <w:vAlign w:val="center"/>
          </w:tcPr>
          <w:p w14:paraId="064CBA21">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仪器名称</w:t>
            </w:r>
          </w:p>
        </w:tc>
        <w:tc>
          <w:tcPr>
            <w:tcW w:w="1380" w:type="dxa"/>
            <w:shd w:val="clear" w:color="auto" w:fill="FFFFFF" w:themeFill="background1"/>
            <w:vAlign w:val="center"/>
          </w:tcPr>
          <w:p w14:paraId="488D463A">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品牌</w:t>
            </w:r>
          </w:p>
        </w:tc>
        <w:tc>
          <w:tcPr>
            <w:tcW w:w="891" w:type="dxa"/>
            <w:shd w:val="clear" w:color="auto" w:fill="FFFFFF" w:themeFill="background1"/>
            <w:vAlign w:val="center"/>
          </w:tcPr>
          <w:p w14:paraId="6ECBE86C">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型号</w:t>
            </w:r>
          </w:p>
        </w:tc>
        <w:tc>
          <w:tcPr>
            <w:tcW w:w="1476" w:type="dxa"/>
            <w:shd w:val="clear" w:color="auto" w:fill="FFFFFF" w:themeFill="background1"/>
            <w:vAlign w:val="center"/>
          </w:tcPr>
          <w:p w14:paraId="1FA070C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存放地</w:t>
            </w:r>
          </w:p>
        </w:tc>
        <w:tc>
          <w:tcPr>
            <w:tcW w:w="1340" w:type="dxa"/>
            <w:shd w:val="clear" w:color="auto" w:fill="FFFFFF" w:themeFill="background1"/>
            <w:vAlign w:val="center"/>
          </w:tcPr>
          <w:p w14:paraId="6913010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分项预算</w:t>
            </w:r>
          </w:p>
          <w:p w14:paraId="191AF349">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szCs w:val="21"/>
                <w:highlight w:val="none"/>
              </w:rPr>
              <w:t>（万元/年）</w:t>
            </w:r>
          </w:p>
        </w:tc>
      </w:tr>
      <w:tr w14:paraId="4ECF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6" w:type="dxa"/>
            <w:noWrap/>
            <w:vAlign w:val="center"/>
          </w:tcPr>
          <w:p w14:paraId="6111A1B3">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w:t>
            </w:r>
          </w:p>
        </w:tc>
        <w:tc>
          <w:tcPr>
            <w:tcW w:w="2544" w:type="dxa"/>
            <w:vAlign w:val="center"/>
          </w:tcPr>
          <w:p w14:paraId="7C7533C1">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水溶性离子在线分析仪</w:t>
            </w:r>
          </w:p>
        </w:tc>
        <w:tc>
          <w:tcPr>
            <w:tcW w:w="1380" w:type="dxa"/>
            <w:vAlign w:val="center"/>
          </w:tcPr>
          <w:p w14:paraId="374F6A40">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Marga</w:t>
            </w:r>
          </w:p>
        </w:tc>
        <w:tc>
          <w:tcPr>
            <w:tcW w:w="891" w:type="dxa"/>
            <w:vAlign w:val="center"/>
          </w:tcPr>
          <w:p w14:paraId="7CABEBE4">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2060</w:t>
            </w:r>
          </w:p>
        </w:tc>
        <w:tc>
          <w:tcPr>
            <w:tcW w:w="1476" w:type="dxa"/>
            <w:vAlign w:val="center"/>
          </w:tcPr>
          <w:p w14:paraId="6A859771">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汾湖超站</w:t>
            </w:r>
          </w:p>
        </w:tc>
        <w:tc>
          <w:tcPr>
            <w:tcW w:w="1340" w:type="dxa"/>
            <w:vAlign w:val="center"/>
          </w:tcPr>
          <w:p w14:paraId="220FAF9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26</w:t>
            </w:r>
          </w:p>
        </w:tc>
      </w:tr>
      <w:tr w14:paraId="7E5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6" w:type="dxa"/>
            <w:noWrap/>
            <w:vAlign w:val="center"/>
          </w:tcPr>
          <w:p w14:paraId="0E2015D6">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w:t>
            </w:r>
          </w:p>
        </w:tc>
        <w:tc>
          <w:tcPr>
            <w:tcW w:w="2544" w:type="dxa"/>
            <w:vAlign w:val="center"/>
          </w:tcPr>
          <w:p w14:paraId="7FF26EAE">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细颗粒物质谱仪</w:t>
            </w:r>
          </w:p>
        </w:tc>
        <w:tc>
          <w:tcPr>
            <w:tcW w:w="1380" w:type="dxa"/>
            <w:vAlign w:val="center"/>
          </w:tcPr>
          <w:p w14:paraId="128D1568">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Aerodyne</w:t>
            </w:r>
          </w:p>
        </w:tc>
        <w:tc>
          <w:tcPr>
            <w:tcW w:w="891" w:type="dxa"/>
            <w:vAlign w:val="center"/>
          </w:tcPr>
          <w:p w14:paraId="497AE490">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TOF</w:t>
            </w:r>
          </w:p>
        </w:tc>
        <w:tc>
          <w:tcPr>
            <w:tcW w:w="1476" w:type="dxa"/>
            <w:vAlign w:val="center"/>
          </w:tcPr>
          <w:p w14:paraId="0A9F417B">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大气多参数站</w:t>
            </w:r>
          </w:p>
        </w:tc>
        <w:tc>
          <w:tcPr>
            <w:tcW w:w="1340" w:type="dxa"/>
            <w:vAlign w:val="center"/>
          </w:tcPr>
          <w:p w14:paraId="1A9FC502">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10</w:t>
            </w:r>
          </w:p>
        </w:tc>
      </w:tr>
      <w:tr w14:paraId="55F7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87" w:type="dxa"/>
            <w:gridSpan w:val="5"/>
            <w:noWrap/>
            <w:vAlign w:val="center"/>
          </w:tcPr>
          <w:p w14:paraId="7987E8E4">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合计</w:t>
            </w:r>
          </w:p>
        </w:tc>
        <w:tc>
          <w:tcPr>
            <w:tcW w:w="1340" w:type="dxa"/>
            <w:vAlign w:val="center"/>
          </w:tcPr>
          <w:p w14:paraId="6DFE75BA">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36</w:t>
            </w:r>
          </w:p>
        </w:tc>
      </w:tr>
    </w:tbl>
    <w:p w14:paraId="336E2C8A">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p>
    <w:p w14:paraId="24AF6F4B">
      <w:pPr>
        <w:pageBreakBefore w:val="0"/>
        <w:kinsoku/>
        <w:wordWrap/>
        <w:overflowPunct/>
        <w:topLinePunct w:val="0"/>
        <w:bidi w:val="0"/>
        <w:spacing w:line="360" w:lineRule="auto"/>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二、项目需求：</w:t>
      </w:r>
    </w:p>
    <w:p w14:paraId="794D5CD2">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该设备运维服务需求为技术运维服务，包含仪器运行所使用的耗材、配件及维修等，具体要求如下：</w:t>
      </w:r>
    </w:p>
    <w:p w14:paraId="27EED68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2.1总体要求</w:t>
      </w:r>
    </w:p>
    <w:p w14:paraId="10A9DF9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2.1.1投标人应配备运维工作所需要的专用仪器维修工具（包括万用表、工具箱等）、通讯调试工具（包括各种硬件接口线、改线工具、接口调试软件及常用零部件等）；</w:t>
      </w:r>
    </w:p>
    <w:p w14:paraId="5FF2EA0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2.1.2投标人应提供完整的运维人员管理方案，具备应对人员流动的应急预案，提出解决技术人员队伍稳定的措施；</w:t>
      </w:r>
    </w:p>
    <w:p w14:paraId="0508463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2.1.3投标人应提供详细的运维管理服务方案、质量控制方案和应急服务保障方案；</w:t>
      </w:r>
    </w:p>
    <w:p w14:paraId="297B612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2.1.4在该设备代维及管理期间，投标人应严格按照业主要求的操作规范和规章制度（详见技术运维要求部分），对所管理的系统及仪器设备进行规范操作和精心维护及必要维修，保证系统及仪器设备的正常运行，满足业主提出的系统及仪器设备考核指标要求。</w:t>
      </w:r>
    </w:p>
    <w:p w14:paraId="7D4A406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2.1.5在该设备代维及管理期间，未经允许，承担运维单位不得以直接、间接、口头或书面等形式将观测数据披露给其他人员或第三方单位，因数据泄露而造成业主损失，业主将通过法律途径向投标人索赔。</w:t>
      </w:r>
    </w:p>
    <w:p w14:paraId="24965EB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2.1.6 数据分析和审核：每季度提供一份数据分析报告。</w:t>
      </w:r>
      <w:r>
        <w:rPr>
          <w:rFonts w:hint="default" w:ascii="Times New Roman" w:hAnsi="Times New Roman" w:eastAsia="宋体" w:cs="Times New Roman"/>
          <w:szCs w:val="21"/>
          <w:highlight w:val="none"/>
        </w:rPr>
        <w:t>按业主要求，开展平台上每日数据在线审核工作。</w:t>
      </w:r>
    </w:p>
    <w:p w14:paraId="37BCEA3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2.1.7大型活动保障。质控服务方依据用户提前通知的要求，在年度内有大型赛事、活动和重污染物天气时间段内，提供加密质控保障工作。</w:t>
      </w:r>
    </w:p>
    <w:p w14:paraId="65717E3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2.1.8  故障响应：接到用户故障信息后，2小时内远程协助，根据耗材与维修情况第一时间到达现场。</w:t>
      </w:r>
    </w:p>
    <w:p w14:paraId="4E030B9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2.1.9投标人中标后需承担合同期内汾湖超站运行25%的电费支出。</w:t>
      </w:r>
    </w:p>
    <w:p w14:paraId="65DFBDD9">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  运维记录与报告</w:t>
      </w:r>
    </w:p>
    <w:p w14:paraId="5383178E">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10.1依据仪器特性及上述运维要求，编制相应运维、质控记录表单。</w:t>
      </w:r>
    </w:p>
    <w:p w14:paraId="0C033FB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10.2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73B12CF1">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10.3依据运维总结报告制作汇报材料（PPT）向业主进行总结性汇报。</w:t>
      </w:r>
    </w:p>
    <w:p w14:paraId="6F16205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  辅助服务要求</w:t>
      </w:r>
    </w:p>
    <w:p w14:paraId="3EE3C77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2.1.11.1仪器发生故障时，配合业主开展仪器维修相关工作；</w:t>
      </w:r>
    </w:p>
    <w:p w14:paraId="436888B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2.1.11.2定期配合业主开展仪器配件、耗材库存清点工作，制定采购规划；</w:t>
      </w:r>
    </w:p>
    <w:p w14:paraId="1C525FFA">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2.1.11.3每次运维工作完成后对工作区域进行清洁整理；</w:t>
      </w:r>
    </w:p>
    <w:p w14:paraId="1F38BED5">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2.1.11.4按业主安排的值班表每周在站房值班1天，开展清洁卫生和安全检查工作；</w:t>
      </w:r>
    </w:p>
    <w:p w14:paraId="5EFDB004">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2.1.11.5运维期满后，配合业主进行仪器交接，交接期间承担仪器正常运维工作（不包括质控工作；</w:t>
      </w:r>
    </w:p>
    <w:p w14:paraId="455683F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2.2运行维护工作目标</w:t>
      </w:r>
    </w:p>
    <w:p w14:paraId="23114D8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2.2.1设备在线率：开展运维服务期间，需确保仪器在线率不得低于90%（仪器在线率=仪器实际运行时间/仪器可运行时间）</w:t>
      </w:r>
    </w:p>
    <w:p w14:paraId="69D83A1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注：仪器实际运行时间为仪器开机运行且仪器内能获取监测数据的时间；仪器可运行时间=约定的总时间-仪器停机维护时间-仪器校准时间-不可抗力停机时间（如停电等）</w:t>
      </w:r>
    </w:p>
    <w:p w14:paraId="27395C7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2.2.2有效数据获取率：开展运维服务期间，需确保仪器有效数据获取率不得低于80%（有效数据获取率=有效监测数据量/获取监测数据量）</w:t>
      </w:r>
    </w:p>
    <w:p w14:paraId="1B3DEDEA">
      <w:pPr>
        <w:pageBreakBefore w:val="0"/>
        <w:kinsoku/>
        <w:wordWrap/>
        <w:overflowPunct/>
        <w:topLinePunct w:val="0"/>
        <w:bidi w:val="0"/>
        <w:spacing w:line="360" w:lineRule="auto"/>
        <w:ind w:firstLine="2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三、在线离子色谱运维需求</w:t>
      </w:r>
    </w:p>
    <w:p w14:paraId="31DCFA0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3.1技术运维要求</w:t>
      </w:r>
    </w:p>
    <w:p w14:paraId="0570DE7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3.1.1每日例行质量控制检查：每日远程登录仪器检查阴、阳离子柱压，采样流量，内标响应状况等仪器参数，及时填写日质控记录；</w:t>
      </w:r>
    </w:p>
    <w:p w14:paraId="5612979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3.1.2每周例行质控：现场更换仪器工作所需的纯水和配制相应的试剂，依据周期更换采样单元过滤头、吸收液和淋洗液，检查进样系统是否有气泡，数据库数据检查、备份，负责对仪器工作区域进行保洁，及时填写质量控制记录。</w:t>
      </w:r>
    </w:p>
    <w:p w14:paraId="224DCC4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3.1.3每月预防性质量查核：清洗室外切割器，排除管路气泡，更换保护柱滤芯，对各传动部件进行相应的清理和润滑工作，保证仪器良好的状况，填写预防性维护记录。每月进行一次采样流量核查工作，确保与仪器规定的采样流量相符，如果流量误差超出5%的偏差需进行多点校准。</w:t>
      </w:r>
    </w:p>
    <w:p w14:paraId="1DA28C8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3.1.4每季度系统性质量控制：每季度需进行一次分析单元标定及采样单元的清洗工作</w:t>
      </w:r>
    </w:p>
    <w:p w14:paraId="7FF5A42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3.1.4.1每季度清洗采样总管一次，依据阴、阳离子柱状态，在需要的情况下及时更换色谱柱，对所有配制和储存溶液的容器进行除菌，及时填写相关记录。</w:t>
      </w:r>
    </w:p>
    <w:p w14:paraId="0DA7643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3.1.4.2每季度进行一次采样单元与样品前端收集单元清洗，每次清洗时间不得低于12小时，系统自清洗状态恢复至分析状态不得低于4小时。</w:t>
      </w:r>
    </w:p>
    <w:p w14:paraId="69BBF86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3.1.4.3根据用户需求配置不同浓度标液对分析单元进行标定并及时填写记录，若系统维护与质控期间出现秸秆焚烧、沙尘、重污染等特殊天气时，上述维护和质控工作可依据用户需求进行延期。</w:t>
      </w:r>
    </w:p>
    <w:p w14:paraId="6B36701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3.1.5每半年质量查核：每半年更换阴阳离子进样系统定量环，更换阴阳离子柱淋洗液过滤头，及时填写相关记录。</w:t>
      </w:r>
    </w:p>
    <w:p w14:paraId="22783F2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3.1.6每年核查一次Marga的系统背景值，并根据用户需求配置不同浓度的SO2标准品，验证全系统对SO2的回收效率，并及时填写记录。</w:t>
      </w:r>
    </w:p>
    <w:p w14:paraId="7A1AEE8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3.1.7每年质量评价：每年度对MARGA进行全年运行质量评价，及时填写相关记录，并编制年度质量控制报告。</w:t>
      </w:r>
    </w:p>
    <w:p w14:paraId="763D1EC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3.1.8根据仪器状况及时更换仪器所需的配件，以保证仪器正常运行。更换后的耗材应留存备查。主要耗材更换的频率不少于每年3根阴离子柱、3根阳离子柱、10根保护柱，过滤头、泵管、电磁阀、过滤芯等耗材应根据实际耗损情况及时更换。</w:t>
      </w:r>
    </w:p>
    <w:p w14:paraId="21D1EC6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3.1.9辅助设备保障：依据周期更换颗粒物水溶性组分质控比对分析仪的淋洗液、保护柱滤芯、阴、阳离子色谱柱等耗材，定期开展设备标定工作，保证仪器正常稳定运行。</w:t>
      </w:r>
    </w:p>
    <w:p w14:paraId="0D66922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3.2质控要求</w:t>
      </w:r>
    </w:p>
    <w:p w14:paraId="33024D4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3.2.1仪器运行期间，根据用户需求每季度配置不同浓度标液对分析单元进行标定并及时填写记录。</w:t>
      </w:r>
    </w:p>
    <w:p w14:paraId="7A5C0FA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3.2.2每月进行一次采样流量核查工作，如果流量误差超出5%的偏差需进行多点校准。</w:t>
      </w:r>
    </w:p>
    <w:p w14:paraId="38D0AE7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3.3辅助要求</w:t>
      </w:r>
    </w:p>
    <w:p w14:paraId="38C0F0C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3.3.1配合业主开展离线样品分析工作。</w:t>
      </w:r>
    </w:p>
    <w:p w14:paraId="5CE2DAD0">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四、飞行时间细颗粒物质谱仪（Tof-ACSM）运维招标服务：</w:t>
      </w:r>
    </w:p>
    <w:p w14:paraId="05F13E7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4.1技术运维要求</w:t>
      </w:r>
    </w:p>
    <w:p w14:paraId="12F56FF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4.1.1每日例行检查</w:t>
      </w:r>
    </w:p>
    <w:p w14:paraId="6CD3F97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运维人员每天需远程登录一次查看仪器各项参数是否正常，包括进气口压力，分子泵工作情况以及谱图有无异常，如有异常需立刻到场进行处理。</w:t>
      </w:r>
    </w:p>
    <w:p w14:paraId="1B163BA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4.1.2每周例行运维:运维人员需每周清洗一次orifice，防止堵塞。至少每周更换一次干燥剂，如遇湿度较大的天气，干燥剂超过2/3变色，应及时更换。</w:t>
      </w:r>
    </w:p>
    <w:p w14:paraId="3EFC0FA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4.1.3每月例行运维:运维人员需要每月进行一次流量标定，并清洗切割器。如遇重污染天气应在其后三天之内进行清洗。</w:t>
      </w:r>
    </w:p>
    <w:p w14:paraId="66F0344E">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4.1.4每季度质量控制:每季度更换全部过滤器；及时填写系统维护与质控记录（若系统维护与质控期间出现秸秆焚烧、沙尘、雾霾等重污染特殊天气，上述质控工作可依据用户需求进行延期）；</w:t>
      </w:r>
    </w:p>
    <w:p w14:paraId="2813839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4.1.5每年度质控和运维：每年对仪器进行一次整机评估测试，每半年进行一次硝酸铵和硫酸铵标定。对年度获取监测数据有效性进行分析与评价，及时填写相关记录</w:t>
      </w:r>
    </w:p>
    <w:p w14:paraId="0FACA10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4.2质控要求</w:t>
      </w:r>
    </w:p>
    <w:p w14:paraId="6CAA93E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4.2.1仪器运行期间，每月进行一次流量校准，并做好相应记录。</w:t>
      </w:r>
    </w:p>
    <w:p w14:paraId="66FA247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4.2.2每年进行一次硝酸铵和硫酸铵标定。</w:t>
      </w:r>
    </w:p>
    <w:p w14:paraId="6E1C7FA5">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4.2.3 根据业主要求，使用PMF等源解析软件对监测数据开展分析，并提供源解析相关结果。</w:t>
      </w:r>
    </w:p>
    <w:p w14:paraId="5659DA98">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  根据仪器状况及时更换仪器所需的配件，以保证仪器正常运行。更换后的耗材应留存备查。每年应至少更换一次质谱仪灯丝，其它耗材应根据实际耗损情况及时更换。</w:t>
      </w:r>
    </w:p>
    <w:p w14:paraId="5023EA96">
      <w:pPr>
        <w:pageBreakBefore w:val="0"/>
        <w:kinsoku/>
        <w:wordWrap/>
        <w:overflowPunct/>
        <w:topLinePunct w:val="0"/>
        <w:bidi w:val="0"/>
        <w:spacing w:line="360" w:lineRule="auto"/>
        <w:ind w:firstLine="420" w:firstLineChars="200"/>
        <w:rPr>
          <w:rFonts w:hint="default" w:ascii="Times New Roman" w:hAnsi="Times New Roman" w:eastAsia="宋体" w:cs="Times New Roman"/>
          <w:b/>
          <w:bCs/>
          <w:szCs w:val="21"/>
          <w:highlight w:val="none"/>
        </w:rPr>
      </w:pPr>
      <w:r>
        <w:rPr>
          <w:rFonts w:hint="default" w:ascii="Times New Roman" w:hAnsi="Times New Roman" w:eastAsia="宋体" w:cs="Times New Roman"/>
          <w:bCs/>
          <w:szCs w:val="21"/>
          <w:highlight w:val="none"/>
        </w:rPr>
        <w:t>4.4  按时在省级平台上完成相关数据的审核。</w:t>
      </w:r>
    </w:p>
    <w:p w14:paraId="3CADBE10">
      <w:pPr>
        <w:pageBreakBefore w:val="0"/>
        <w:kinsoku/>
        <w:wordWrap/>
        <w:overflowPunct/>
        <w:topLinePunct w:val="0"/>
        <w:bidi w:val="0"/>
        <w:spacing w:line="360" w:lineRule="auto"/>
        <w:ind w:firstLine="211" w:firstLineChars="10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0CEB4F84">
      <w:pPr>
        <w:pageBreakBefore w:val="0"/>
        <w:kinsoku/>
        <w:wordWrap/>
        <w:overflowPunct/>
        <w:topLinePunct w:val="0"/>
        <w:bidi w:val="0"/>
        <w:spacing w:line="360" w:lineRule="auto"/>
        <w:ind w:firstLine="211" w:firstLineChars="10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包11：省中心及汾湖超站新增光化学及雷达仪器（挥发性有机物监测仪、HNO</w:t>
      </w:r>
      <w:r>
        <w:rPr>
          <w:rFonts w:hint="default" w:ascii="Times New Roman" w:hAnsi="Times New Roman" w:eastAsia="宋体" w:cs="Times New Roman"/>
          <w:b/>
          <w:bCs/>
          <w:szCs w:val="21"/>
          <w:highlight w:val="none"/>
          <w:vertAlign w:val="subscript"/>
        </w:rPr>
        <w:t>2</w:t>
      </w:r>
      <w:r>
        <w:rPr>
          <w:rFonts w:hint="default" w:ascii="Times New Roman" w:hAnsi="Times New Roman" w:eastAsia="宋体" w:cs="Times New Roman"/>
          <w:b/>
          <w:bCs/>
          <w:szCs w:val="21"/>
          <w:highlight w:val="none"/>
        </w:rPr>
        <w:t>、甲醛在线监测仪、臭氧激光雷达、颗粒物激光雷达）运维服务</w:t>
      </w:r>
    </w:p>
    <w:p w14:paraId="3A563852">
      <w:pPr>
        <w:pageBreakBefore w:val="0"/>
        <w:kinsoku/>
        <w:wordWrap/>
        <w:overflowPunct/>
        <w:topLinePunct w:val="0"/>
        <w:bidi w:val="0"/>
        <w:spacing w:line="360" w:lineRule="auto"/>
        <w:ind w:firstLine="211" w:firstLineChars="1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一、基本概况：</w:t>
      </w:r>
    </w:p>
    <w:p w14:paraId="18BB729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2022年以来，江苏省环境监测中心通过填平补齐项目为汾湖超站配置了挥发性有机物监测仪、颗粒物激光雷达，为省中心超站配备了臭氧激光雷达、HNO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在线分析仪、甲醛在线分析仪。目前上述设备运行状况良好，处于连续采样、分析状态（详见表1-1）。汾湖超级站位于苏州市芦墟大渠荡生态公园、省级大气多参数站位于南京市建邺区中和路100号江苏省环境监测中心。</w:t>
      </w:r>
    </w:p>
    <w:p w14:paraId="6A26D0CE">
      <w:pPr>
        <w:pageBreakBefore w:val="0"/>
        <w:kinsoku/>
        <w:wordWrap/>
        <w:overflowPunct/>
        <w:topLinePunct w:val="0"/>
        <w:bidi w:val="0"/>
        <w:spacing w:line="360" w:lineRule="auto"/>
        <w:ind w:left="420" w:leftChars="200"/>
        <w:jc w:val="center"/>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 xml:space="preserve">表1-1 </w:t>
      </w:r>
      <w:r>
        <w:rPr>
          <w:rFonts w:hint="default" w:ascii="Times New Roman" w:hAnsi="Times New Roman" w:eastAsia="宋体" w:cs="Times New Roman"/>
          <w:bCs/>
          <w:szCs w:val="21"/>
          <w:highlight w:val="none"/>
        </w:rPr>
        <w:t>设备清单及分项预算</w:t>
      </w:r>
    </w:p>
    <w:tbl>
      <w:tblPr>
        <w:tblStyle w:val="48"/>
        <w:tblW w:w="8625" w:type="dxa"/>
        <w:jc w:val="center"/>
        <w:tblLayout w:type="fixed"/>
        <w:tblCellMar>
          <w:top w:w="0" w:type="dxa"/>
          <w:left w:w="108" w:type="dxa"/>
          <w:bottom w:w="0" w:type="dxa"/>
          <w:right w:w="108" w:type="dxa"/>
        </w:tblCellMar>
      </w:tblPr>
      <w:tblGrid>
        <w:gridCol w:w="560"/>
        <w:gridCol w:w="2170"/>
        <w:gridCol w:w="1178"/>
        <w:gridCol w:w="1745"/>
        <w:gridCol w:w="1582"/>
        <w:gridCol w:w="1390"/>
      </w:tblGrid>
      <w:tr w14:paraId="50D78813">
        <w:tblPrEx>
          <w:tblCellMar>
            <w:top w:w="0" w:type="dxa"/>
            <w:left w:w="108" w:type="dxa"/>
            <w:bottom w:w="0" w:type="dxa"/>
            <w:right w:w="108" w:type="dxa"/>
          </w:tblCellMar>
        </w:tblPrEx>
        <w:trPr>
          <w:trHeight w:val="27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256E83">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序号</w:t>
            </w:r>
          </w:p>
        </w:tc>
        <w:tc>
          <w:tcPr>
            <w:tcW w:w="2170" w:type="dxa"/>
            <w:tcBorders>
              <w:top w:val="single" w:color="auto" w:sz="4" w:space="0"/>
              <w:left w:val="nil"/>
              <w:bottom w:val="single" w:color="auto" w:sz="4" w:space="0"/>
              <w:right w:val="single" w:color="auto" w:sz="4" w:space="0"/>
            </w:tcBorders>
            <w:shd w:val="clear" w:color="auto" w:fill="FFFFFF" w:themeFill="background1"/>
            <w:vAlign w:val="center"/>
          </w:tcPr>
          <w:p w14:paraId="2D0D8536">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仪器名称</w:t>
            </w:r>
          </w:p>
        </w:tc>
        <w:tc>
          <w:tcPr>
            <w:tcW w:w="1178" w:type="dxa"/>
            <w:tcBorders>
              <w:top w:val="single" w:color="auto" w:sz="4" w:space="0"/>
              <w:left w:val="nil"/>
              <w:bottom w:val="single" w:color="auto" w:sz="4" w:space="0"/>
              <w:right w:val="single" w:color="auto" w:sz="4" w:space="0"/>
            </w:tcBorders>
            <w:shd w:val="clear" w:color="auto" w:fill="FFFFFF" w:themeFill="background1"/>
            <w:vAlign w:val="center"/>
          </w:tcPr>
          <w:p w14:paraId="7ABC3890">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品牌</w:t>
            </w:r>
          </w:p>
        </w:tc>
        <w:tc>
          <w:tcPr>
            <w:tcW w:w="1745" w:type="dxa"/>
            <w:tcBorders>
              <w:top w:val="single" w:color="auto" w:sz="4" w:space="0"/>
              <w:left w:val="nil"/>
              <w:bottom w:val="single" w:color="auto" w:sz="4" w:space="0"/>
              <w:right w:val="single" w:color="auto" w:sz="4" w:space="0"/>
            </w:tcBorders>
            <w:shd w:val="clear" w:color="auto" w:fill="FFFFFF" w:themeFill="background1"/>
            <w:vAlign w:val="center"/>
          </w:tcPr>
          <w:p w14:paraId="21D2E540">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型号</w:t>
            </w:r>
          </w:p>
        </w:tc>
        <w:tc>
          <w:tcPr>
            <w:tcW w:w="1582" w:type="dxa"/>
            <w:tcBorders>
              <w:top w:val="single" w:color="auto" w:sz="4" w:space="0"/>
              <w:left w:val="nil"/>
              <w:bottom w:val="single" w:color="auto" w:sz="4" w:space="0"/>
              <w:right w:val="single" w:color="auto" w:sz="4" w:space="0"/>
            </w:tcBorders>
            <w:shd w:val="clear" w:color="auto" w:fill="FFFFFF" w:themeFill="background1"/>
            <w:vAlign w:val="center"/>
          </w:tcPr>
          <w:p w14:paraId="32B18252">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存放地</w:t>
            </w:r>
          </w:p>
        </w:tc>
        <w:tc>
          <w:tcPr>
            <w:tcW w:w="1390" w:type="dxa"/>
            <w:tcBorders>
              <w:top w:val="single" w:color="auto" w:sz="4" w:space="0"/>
              <w:left w:val="nil"/>
              <w:bottom w:val="single" w:color="auto" w:sz="4" w:space="0"/>
              <w:right w:val="single" w:color="auto" w:sz="4" w:space="0"/>
            </w:tcBorders>
            <w:shd w:val="clear" w:color="auto" w:fill="FFFFFF" w:themeFill="background1"/>
            <w:vAlign w:val="center"/>
          </w:tcPr>
          <w:p w14:paraId="05816A4C">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szCs w:val="21"/>
                <w:highlight w:val="none"/>
              </w:rPr>
              <w:t>分项预算（万元/年）</w:t>
            </w:r>
          </w:p>
        </w:tc>
      </w:tr>
      <w:tr w14:paraId="1338DF68">
        <w:tblPrEx>
          <w:tblCellMar>
            <w:top w:w="0" w:type="dxa"/>
            <w:left w:w="108" w:type="dxa"/>
            <w:bottom w:w="0" w:type="dxa"/>
            <w:right w:w="108" w:type="dxa"/>
          </w:tblCellMar>
        </w:tblPrEx>
        <w:trPr>
          <w:trHeight w:val="270" w:hRule="atLeast"/>
          <w:jc w:val="center"/>
        </w:trPr>
        <w:tc>
          <w:tcPr>
            <w:tcW w:w="560" w:type="dxa"/>
            <w:tcBorders>
              <w:top w:val="nil"/>
              <w:left w:val="single" w:color="auto" w:sz="4" w:space="0"/>
              <w:bottom w:val="single" w:color="auto" w:sz="4" w:space="0"/>
              <w:right w:val="single" w:color="auto" w:sz="4" w:space="0"/>
            </w:tcBorders>
            <w:noWrap/>
            <w:vAlign w:val="center"/>
          </w:tcPr>
          <w:p w14:paraId="778C300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w:t>
            </w:r>
          </w:p>
        </w:tc>
        <w:tc>
          <w:tcPr>
            <w:tcW w:w="2170" w:type="dxa"/>
            <w:tcBorders>
              <w:top w:val="nil"/>
              <w:left w:val="nil"/>
              <w:bottom w:val="single" w:color="auto" w:sz="4" w:space="0"/>
              <w:right w:val="single" w:color="auto" w:sz="4" w:space="0"/>
            </w:tcBorders>
            <w:vAlign w:val="center"/>
          </w:tcPr>
          <w:p w14:paraId="581B17F7">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挥发性有机物监测仪</w:t>
            </w:r>
          </w:p>
        </w:tc>
        <w:tc>
          <w:tcPr>
            <w:tcW w:w="1178" w:type="dxa"/>
            <w:tcBorders>
              <w:top w:val="nil"/>
              <w:left w:val="nil"/>
              <w:bottom w:val="single" w:color="auto" w:sz="4" w:space="0"/>
              <w:right w:val="single" w:color="auto" w:sz="4" w:space="0"/>
            </w:tcBorders>
            <w:vAlign w:val="center"/>
          </w:tcPr>
          <w:p w14:paraId="22734B27">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彭宇昌亚</w:t>
            </w:r>
          </w:p>
        </w:tc>
        <w:tc>
          <w:tcPr>
            <w:tcW w:w="1745" w:type="dxa"/>
            <w:tcBorders>
              <w:top w:val="nil"/>
              <w:left w:val="nil"/>
              <w:bottom w:val="single" w:color="auto" w:sz="4" w:space="0"/>
              <w:right w:val="single" w:color="auto" w:sz="4" w:space="0"/>
            </w:tcBorders>
            <w:vAlign w:val="center"/>
          </w:tcPr>
          <w:p w14:paraId="3C16EAA3">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ZF-PKU-VOC1007</w:t>
            </w:r>
          </w:p>
        </w:tc>
        <w:tc>
          <w:tcPr>
            <w:tcW w:w="1582" w:type="dxa"/>
            <w:tcBorders>
              <w:top w:val="nil"/>
              <w:left w:val="nil"/>
              <w:bottom w:val="single" w:color="auto" w:sz="4" w:space="0"/>
              <w:right w:val="single" w:color="auto" w:sz="4" w:space="0"/>
            </w:tcBorders>
            <w:vAlign w:val="center"/>
          </w:tcPr>
          <w:p w14:paraId="56345664">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汾湖超站</w:t>
            </w:r>
          </w:p>
        </w:tc>
        <w:tc>
          <w:tcPr>
            <w:tcW w:w="1390" w:type="dxa"/>
            <w:tcBorders>
              <w:top w:val="nil"/>
              <w:left w:val="nil"/>
              <w:bottom w:val="single" w:color="auto" w:sz="4" w:space="0"/>
              <w:right w:val="single" w:color="auto" w:sz="4" w:space="0"/>
            </w:tcBorders>
            <w:vAlign w:val="center"/>
          </w:tcPr>
          <w:p w14:paraId="30E318BD">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26</w:t>
            </w:r>
          </w:p>
        </w:tc>
      </w:tr>
      <w:tr w14:paraId="4BF47D22">
        <w:tblPrEx>
          <w:tblCellMar>
            <w:top w:w="0" w:type="dxa"/>
            <w:left w:w="108" w:type="dxa"/>
            <w:bottom w:w="0" w:type="dxa"/>
            <w:right w:w="108" w:type="dxa"/>
          </w:tblCellMar>
        </w:tblPrEx>
        <w:trPr>
          <w:trHeight w:val="270" w:hRule="atLeast"/>
          <w:jc w:val="center"/>
        </w:trPr>
        <w:tc>
          <w:tcPr>
            <w:tcW w:w="560" w:type="dxa"/>
            <w:tcBorders>
              <w:top w:val="nil"/>
              <w:left w:val="single" w:color="auto" w:sz="4" w:space="0"/>
              <w:bottom w:val="single" w:color="auto" w:sz="4" w:space="0"/>
              <w:right w:val="single" w:color="auto" w:sz="4" w:space="0"/>
            </w:tcBorders>
            <w:noWrap/>
            <w:vAlign w:val="center"/>
          </w:tcPr>
          <w:p w14:paraId="07DF5CF8">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w:t>
            </w:r>
          </w:p>
        </w:tc>
        <w:tc>
          <w:tcPr>
            <w:tcW w:w="2170" w:type="dxa"/>
            <w:tcBorders>
              <w:top w:val="nil"/>
              <w:left w:val="nil"/>
              <w:bottom w:val="single" w:color="auto" w:sz="4" w:space="0"/>
              <w:right w:val="single" w:color="auto" w:sz="4" w:space="0"/>
            </w:tcBorders>
            <w:vAlign w:val="center"/>
          </w:tcPr>
          <w:p w14:paraId="1EFE54D0">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颗粒物激光雷达</w:t>
            </w:r>
          </w:p>
        </w:tc>
        <w:tc>
          <w:tcPr>
            <w:tcW w:w="1178" w:type="dxa"/>
            <w:tcBorders>
              <w:top w:val="nil"/>
              <w:left w:val="nil"/>
              <w:bottom w:val="single" w:color="auto" w:sz="4" w:space="0"/>
              <w:right w:val="single" w:color="auto" w:sz="4" w:space="0"/>
            </w:tcBorders>
            <w:vAlign w:val="center"/>
          </w:tcPr>
          <w:p w14:paraId="1E086450">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中科光电</w:t>
            </w:r>
          </w:p>
        </w:tc>
        <w:tc>
          <w:tcPr>
            <w:tcW w:w="1745" w:type="dxa"/>
            <w:tcBorders>
              <w:top w:val="nil"/>
              <w:left w:val="nil"/>
              <w:bottom w:val="single" w:color="auto" w:sz="4" w:space="0"/>
              <w:right w:val="single" w:color="auto" w:sz="4" w:space="0"/>
            </w:tcBorders>
            <w:vAlign w:val="center"/>
          </w:tcPr>
          <w:p w14:paraId="42FD261B">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AGHJ-I-LIDAR</w:t>
            </w:r>
          </w:p>
        </w:tc>
        <w:tc>
          <w:tcPr>
            <w:tcW w:w="1582" w:type="dxa"/>
            <w:tcBorders>
              <w:top w:val="nil"/>
              <w:left w:val="nil"/>
              <w:bottom w:val="single" w:color="auto" w:sz="4" w:space="0"/>
              <w:right w:val="single" w:color="auto" w:sz="4" w:space="0"/>
            </w:tcBorders>
            <w:vAlign w:val="center"/>
          </w:tcPr>
          <w:p w14:paraId="04ABB9DF">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汾湖超站</w:t>
            </w:r>
          </w:p>
        </w:tc>
        <w:tc>
          <w:tcPr>
            <w:tcW w:w="1390" w:type="dxa"/>
            <w:tcBorders>
              <w:top w:val="nil"/>
              <w:left w:val="nil"/>
              <w:bottom w:val="single" w:color="auto" w:sz="4" w:space="0"/>
              <w:right w:val="single" w:color="auto" w:sz="4" w:space="0"/>
            </w:tcBorders>
            <w:vAlign w:val="center"/>
          </w:tcPr>
          <w:p w14:paraId="4B064E3E">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w:t>
            </w:r>
          </w:p>
        </w:tc>
      </w:tr>
      <w:tr w14:paraId="04390F3A">
        <w:tblPrEx>
          <w:tblCellMar>
            <w:top w:w="0" w:type="dxa"/>
            <w:left w:w="108" w:type="dxa"/>
            <w:bottom w:w="0" w:type="dxa"/>
            <w:right w:w="108" w:type="dxa"/>
          </w:tblCellMar>
        </w:tblPrEx>
        <w:trPr>
          <w:trHeight w:val="270" w:hRule="atLeast"/>
          <w:jc w:val="center"/>
        </w:trPr>
        <w:tc>
          <w:tcPr>
            <w:tcW w:w="560" w:type="dxa"/>
            <w:tcBorders>
              <w:top w:val="nil"/>
              <w:left w:val="single" w:color="auto" w:sz="4" w:space="0"/>
              <w:bottom w:val="single" w:color="auto" w:sz="4" w:space="0"/>
              <w:right w:val="single" w:color="auto" w:sz="4" w:space="0"/>
            </w:tcBorders>
            <w:noWrap/>
            <w:vAlign w:val="center"/>
          </w:tcPr>
          <w:p w14:paraId="7D716EAB">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w:t>
            </w:r>
          </w:p>
        </w:tc>
        <w:tc>
          <w:tcPr>
            <w:tcW w:w="2170" w:type="dxa"/>
            <w:tcBorders>
              <w:top w:val="nil"/>
              <w:left w:val="nil"/>
              <w:bottom w:val="single" w:color="auto" w:sz="4" w:space="0"/>
              <w:right w:val="single" w:color="auto" w:sz="4" w:space="0"/>
            </w:tcBorders>
            <w:vAlign w:val="center"/>
          </w:tcPr>
          <w:p w14:paraId="03AF96DA">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臭氧激光雷达</w:t>
            </w:r>
          </w:p>
        </w:tc>
        <w:tc>
          <w:tcPr>
            <w:tcW w:w="1178" w:type="dxa"/>
            <w:tcBorders>
              <w:top w:val="nil"/>
              <w:left w:val="nil"/>
              <w:bottom w:val="single" w:color="auto" w:sz="4" w:space="0"/>
              <w:right w:val="single" w:color="auto" w:sz="4" w:space="0"/>
            </w:tcBorders>
            <w:vAlign w:val="center"/>
          </w:tcPr>
          <w:p w14:paraId="023ADF13">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中科光电</w:t>
            </w:r>
          </w:p>
        </w:tc>
        <w:tc>
          <w:tcPr>
            <w:tcW w:w="1745" w:type="dxa"/>
            <w:tcBorders>
              <w:top w:val="nil"/>
              <w:left w:val="nil"/>
              <w:bottom w:val="single" w:color="auto" w:sz="4" w:space="0"/>
              <w:right w:val="single" w:color="auto" w:sz="4" w:space="0"/>
            </w:tcBorders>
            <w:vAlign w:val="center"/>
          </w:tcPr>
          <w:p w14:paraId="278C800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LIDAR-G-2000</w:t>
            </w:r>
          </w:p>
        </w:tc>
        <w:tc>
          <w:tcPr>
            <w:tcW w:w="1582" w:type="dxa"/>
            <w:tcBorders>
              <w:top w:val="nil"/>
              <w:left w:val="nil"/>
              <w:bottom w:val="single" w:color="auto" w:sz="4" w:space="0"/>
              <w:right w:val="single" w:color="auto" w:sz="4" w:space="0"/>
            </w:tcBorders>
            <w:vAlign w:val="center"/>
          </w:tcPr>
          <w:p w14:paraId="5418086C">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大气多参数站</w:t>
            </w:r>
          </w:p>
        </w:tc>
        <w:tc>
          <w:tcPr>
            <w:tcW w:w="1390" w:type="dxa"/>
            <w:tcBorders>
              <w:top w:val="nil"/>
              <w:left w:val="nil"/>
              <w:bottom w:val="single" w:color="auto" w:sz="4" w:space="0"/>
              <w:right w:val="single" w:color="auto" w:sz="4" w:space="0"/>
            </w:tcBorders>
            <w:vAlign w:val="center"/>
          </w:tcPr>
          <w:p w14:paraId="39080874">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20</w:t>
            </w:r>
          </w:p>
        </w:tc>
      </w:tr>
      <w:tr w14:paraId="4D447A4C">
        <w:tblPrEx>
          <w:tblCellMar>
            <w:top w:w="0" w:type="dxa"/>
            <w:left w:w="108" w:type="dxa"/>
            <w:bottom w:w="0" w:type="dxa"/>
            <w:right w:w="108" w:type="dxa"/>
          </w:tblCellMar>
        </w:tblPrEx>
        <w:trPr>
          <w:trHeight w:val="270" w:hRule="atLeast"/>
          <w:jc w:val="center"/>
        </w:trPr>
        <w:tc>
          <w:tcPr>
            <w:tcW w:w="560" w:type="dxa"/>
            <w:tcBorders>
              <w:top w:val="nil"/>
              <w:left w:val="single" w:color="auto" w:sz="4" w:space="0"/>
              <w:bottom w:val="single" w:color="auto" w:sz="4" w:space="0"/>
              <w:right w:val="single" w:color="auto" w:sz="4" w:space="0"/>
            </w:tcBorders>
            <w:noWrap/>
            <w:vAlign w:val="center"/>
          </w:tcPr>
          <w:p w14:paraId="1C09E9AE">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w:t>
            </w:r>
          </w:p>
        </w:tc>
        <w:tc>
          <w:tcPr>
            <w:tcW w:w="2170" w:type="dxa"/>
            <w:tcBorders>
              <w:top w:val="nil"/>
              <w:left w:val="nil"/>
              <w:bottom w:val="single" w:color="auto" w:sz="4" w:space="0"/>
              <w:right w:val="single" w:color="auto" w:sz="4" w:space="0"/>
            </w:tcBorders>
            <w:vAlign w:val="center"/>
          </w:tcPr>
          <w:p w14:paraId="4356883C">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HNO</w:t>
            </w:r>
            <w:r>
              <w:rPr>
                <w:rFonts w:hint="default" w:ascii="Times New Roman" w:hAnsi="Times New Roman" w:eastAsia="宋体" w:cs="Times New Roman"/>
                <w:color w:val="000000"/>
                <w:szCs w:val="21"/>
                <w:highlight w:val="none"/>
                <w:vertAlign w:val="subscript"/>
              </w:rPr>
              <w:t>2</w:t>
            </w:r>
            <w:r>
              <w:rPr>
                <w:rFonts w:hint="default" w:ascii="Times New Roman" w:hAnsi="Times New Roman" w:eastAsia="宋体" w:cs="Times New Roman"/>
                <w:color w:val="000000"/>
                <w:szCs w:val="21"/>
                <w:highlight w:val="none"/>
              </w:rPr>
              <w:t>在线分析仪</w:t>
            </w:r>
          </w:p>
        </w:tc>
        <w:tc>
          <w:tcPr>
            <w:tcW w:w="1178" w:type="dxa"/>
            <w:tcBorders>
              <w:top w:val="nil"/>
              <w:left w:val="nil"/>
              <w:bottom w:val="single" w:color="auto" w:sz="4" w:space="0"/>
              <w:right w:val="single" w:color="auto" w:sz="4" w:space="0"/>
            </w:tcBorders>
            <w:vAlign w:val="center"/>
          </w:tcPr>
          <w:p w14:paraId="69B53F55">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志晨</w:t>
            </w:r>
          </w:p>
        </w:tc>
        <w:tc>
          <w:tcPr>
            <w:tcW w:w="1745" w:type="dxa"/>
            <w:tcBorders>
              <w:top w:val="nil"/>
              <w:left w:val="nil"/>
              <w:bottom w:val="single" w:color="auto" w:sz="4" w:space="0"/>
              <w:right w:val="single" w:color="auto" w:sz="4" w:space="0"/>
            </w:tcBorders>
            <w:vAlign w:val="center"/>
          </w:tcPr>
          <w:p w14:paraId="694BA267">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HONO—WLPAP</w:t>
            </w:r>
          </w:p>
        </w:tc>
        <w:tc>
          <w:tcPr>
            <w:tcW w:w="1582" w:type="dxa"/>
            <w:tcBorders>
              <w:top w:val="nil"/>
              <w:left w:val="nil"/>
              <w:bottom w:val="single" w:color="auto" w:sz="4" w:space="0"/>
              <w:right w:val="single" w:color="auto" w:sz="4" w:space="0"/>
            </w:tcBorders>
            <w:vAlign w:val="center"/>
          </w:tcPr>
          <w:p w14:paraId="15A2334B">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大气多参数站</w:t>
            </w:r>
          </w:p>
        </w:tc>
        <w:tc>
          <w:tcPr>
            <w:tcW w:w="1390" w:type="dxa"/>
            <w:tcBorders>
              <w:top w:val="nil"/>
              <w:left w:val="nil"/>
              <w:bottom w:val="single" w:color="auto" w:sz="4" w:space="0"/>
              <w:right w:val="single" w:color="auto" w:sz="4" w:space="0"/>
            </w:tcBorders>
            <w:vAlign w:val="center"/>
          </w:tcPr>
          <w:p w14:paraId="0A9690FA">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w:t>
            </w:r>
          </w:p>
        </w:tc>
      </w:tr>
      <w:tr w14:paraId="244BA9A4">
        <w:tblPrEx>
          <w:tblCellMar>
            <w:top w:w="0" w:type="dxa"/>
            <w:left w:w="108" w:type="dxa"/>
            <w:bottom w:w="0" w:type="dxa"/>
            <w:right w:w="108" w:type="dxa"/>
          </w:tblCellMar>
        </w:tblPrEx>
        <w:trPr>
          <w:trHeight w:val="270" w:hRule="atLeast"/>
          <w:jc w:val="center"/>
        </w:trPr>
        <w:tc>
          <w:tcPr>
            <w:tcW w:w="560" w:type="dxa"/>
            <w:tcBorders>
              <w:top w:val="nil"/>
              <w:left w:val="single" w:color="auto" w:sz="4" w:space="0"/>
              <w:bottom w:val="single" w:color="auto" w:sz="4" w:space="0"/>
              <w:right w:val="single" w:color="auto" w:sz="4" w:space="0"/>
            </w:tcBorders>
            <w:noWrap/>
            <w:vAlign w:val="center"/>
          </w:tcPr>
          <w:p w14:paraId="57148748">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w:t>
            </w:r>
          </w:p>
        </w:tc>
        <w:tc>
          <w:tcPr>
            <w:tcW w:w="2170" w:type="dxa"/>
            <w:tcBorders>
              <w:top w:val="nil"/>
              <w:left w:val="nil"/>
              <w:bottom w:val="single" w:color="auto" w:sz="4" w:space="0"/>
              <w:right w:val="single" w:color="auto" w:sz="4" w:space="0"/>
            </w:tcBorders>
            <w:vAlign w:val="center"/>
          </w:tcPr>
          <w:p w14:paraId="4996AE8C">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甲醛在线分析仪</w:t>
            </w:r>
          </w:p>
        </w:tc>
        <w:tc>
          <w:tcPr>
            <w:tcW w:w="1178" w:type="dxa"/>
            <w:tcBorders>
              <w:top w:val="nil"/>
              <w:left w:val="nil"/>
              <w:bottom w:val="single" w:color="auto" w:sz="4" w:space="0"/>
              <w:right w:val="single" w:color="auto" w:sz="4" w:space="0"/>
            </w:tcBorders>
            <w:vAlign w:val="center"/>
          </w:tcPr>
          <w:p w14:paraId="34B2FF16">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志晨</w:t>
            </w:r>
          </w:p>
        </w:tc>
        <w:tc>
          <w:tcPr>
            <w:tcW w:w="1745" w:type="dxa"/>
            <w:tcBorders>
              <w:top w:val="nil"/>
              <w:left w:val="nil"/>
              <w:bottom w:val="single" w:color="auto" w:sz="4" w:space="0"/>
              <w:right w:val="single" w:color="auto" w:sz="4" w:space="0"/>
            </w:tcBorders>
            <w:vAlign w:val="center"/>
          </w:tcPr>
          <w:p w14:paraId="51F0BABE">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HCHO—WLPAP</w:t>
            </w:r>
          </w:p>
        </w:tc>
        <w:tc>
          <w:tcPr>
            <w:tcW w:w="1582" w:type="dxa"/>
            <w:tcBorders>
              <w:top w:val="nil"/>
              <w:left w:val="nil"/>
              <w:bottom w:val="single" w:color="auto" w:sz="4" w:space="0"/>
              <w:right w:val="single" w:color="auto" w:sz="4" w:space="0"/>
            </w:tcBorders>
            <w:vAlign w:val="center"/>
          </w:tcPr>
          <w:p w14:paraId="1B38FD5E">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大气多参数站</w:t>
            </w:r>
          </w:p>
        </w:tc>
        <w:tc>
          <w:tcPr>
            <w:tcW w:w="1390" w:type="dxa"/>
            <w:tcBorders>
              <w:top w:val="nil"/>
              <w:left w:val="nil"/>
              <w:bottom w:val="single" w:color="auto" w:sz="4" w:space="0"/>
              <w:right w:val="single" w:color="auto" w:sz="4" w:space="0"/>
            </w:tcBorders>
            <w:vAlign w:val="center"/>
          </w:tcPr>
          <w:p w14:paraId="745CB9AA">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w:t>
            </w:r>
          </w:p>
        </w:tc>
      </w:tr>
      <w:tr w14:paraId="528B85C0">
        <w:tblPrEx>
          <w:tblCellMar>
            <w:top w:w="0" w:type="dxa"/>
            <w:left w:w="108" w:type="dxa"/>
            <w:bottom w:w="0" w:type="dxa"/>
            <w:right w:w="108" w:type="dxa"/>
          </w:tblCellMar>
        </w:tblPrEx>
        <w:trPr>
          <w:trHeight w:val="270" w:hRule="atLeast"/>
          <w:jc w:val="center"/>
        </w:trPr>
        <w:tc>
          <w:tcPr>
            <w:tcW w:w="7235" w:type="dxa"/>
            <w:gridSpan w:val="5"/>
            <w:tcBorders>
              <w:top w:val="single" w:color="auto" w:sz="4" w:space="0"/>
              <w:left w:val="single" w:color="auto" w:sz="4" w:space="0"/>
              <w:bottom w:val="single" w:color="auto" w:sz="4" w:space="0"/>
              <w:right w:val="single" w:color="auto" w:sz="4" w:space="0"/>
            </w:tcBorders>
            <w:noWrap/>
            <w:vAlign w:val="center"/>
          </w:tcPr>
          <w:p w14:paraId="3E29E449">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合计</w:t>
            </w:r>
          </w:p>
        </w:tc>
        <w:tc>
          <w:tcPr>
            <w:tcW w:w="1390" w:type="dxa"/>
            <w:tcBorders>
              <w:top w:val="single" w:color="auto" w:sz="4" w:space="0"/>
              <w:left w:val="nil"/>
              <w:bottom w:val="single" w:color="auto" w:sz="4" w:space="0"/>
              <w:right w:val="single" w:color="auto" w:sz="4" w:space="0"/>
            </w:tcBorders>
            <w:vAlign w:val="center"/>
          </w:tcPr>
          <w:p w14:paraId="68279BA9">
            <w:pPr>
              <w:pageBreakBefore w:val="0"/>
              <w:widowControl/>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63</w:t>
            </w:r>
          </w:p>
        </w:tc>
      </w:tr>
    </w:tbl>
    <w:p w14:paraId="05B7CE3A">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p>
    <w:p w14:paraId="776F2BC8">
      <w:pPr>
        <w:pageBreakBefore w:val="0"/>
        <w:kinsoku/>
        <w:wordWrap/>
        <w:overflowPunct/>
        <w:topLinePunct w:val="0"/>
        <w:bidi w:val="0"/>
        <w:spacing w:line="360" w:lineRule="auto"/>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二、项目需求：</w:t>
      </w:r>
    </w:p>
    <w:p w14:paraId="7EEF9801">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该设备运维服务需求为技术运维服务，包含仪器运行所使用的耗材、配件、VOCs标准气体及维修等，具体要求如下：</w:t>
      </w:r>
    </w:p>
    <w:p w14:paraId="48A7646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2.1总体要求</w:t>
      </w:r>
    </w:p>
    <w:p w14:paraId="58C3E85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2.1.1投标人应配备运维工作所需要的专用仪器维修工具（包括万用表、工具箱等）、通讯调试工具（包括各种硬件接口线、改线工具、接口调试软件及常用零部件等）；</w:t>
      </w:r>
    </w:p>
    <w:p w14:paraId="6EB4FD1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2.1.2投标人应提供完整的运维人员管理方案，具备应对人员流动的应急预案，提出解决技术人员队伍稳定的措施；</w:t>
      </w:r>
    </w:p>
    <w:p w14:paraId="305D362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2.1.3投标人应提供详细的运维管理服务方案、质量控制方案和应急服务保障方案；</w:t>
      </w:r>
    </w:p>
    <w:p w14:paraId="02F2C92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2.1.4在该设备代维及管理期间，投标人应严格按照业主要求的操作规范和规章制度（详见技术运维要求部分），对所管理的系统及仪器设备进行规范操作和精心维护及必要维修，保证系统及仪器设备的正常运行，满足业主提出的系统及仪器设备考核指标要求。</w:t>
      </w:r>
    </w:p>
    <w:p w14:paraId="371B173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2.1.5在该设备代维及管理期间，未经允许，承担运维单位不得以直接、间接、口头或书面等形式将观测数据披露给其他人员或第三方单位，因数据泄露而造成业主损失，业主将通过法律途径向投标人索赔。</w:t>
      </w:r>
    </w:p>
    <w:p w14:paraId="25554D4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2.1.6 数据分析和审核：</w:t>
      </w:r>
      <w:r>
        <w:rPr>
          <w:rFonts w:hint="default" w:ascii="Times New Roman" w:hAnsi="Times New Roman" w:eastAsia="宋体" w:cs="Times New Roman"/>
          <w:szCs w:val="21"/>
          <w:highlight w:val="none"/>
        </w:rPr>
        <w:t>按业主要求，开展平台上每日数据在线审核工作。根据业主要求提供雷达分析报告</w:t>
      </w:r>
    </w:p>
    <w:p w14:paraId="548185A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2.1.7大型活动保障。质控服务方依据用户提前通知的要求，在年度内有大型赛事、活动和重污染物天气时间段内，提供加密质控保障工作。</w:t>
      </w:r>
    </w:p>
    <w:p w14:paraId="07F1967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2.1.8  故障响应：接到用户故障信息后，2小时内远程协助，根据耗材和维修情况第一时间到达现场。</w:t>
      </w:r>
    </w:p>
    <w:p w14:paraId="5A250BB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2.1.9投标人中标后需承担合同期内汾湖超站运行40%的电费支出。</w:t>
      </w:r>
    </w:p>
    <w:p w14:paraId="5A3E90A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2.1.10  运维记录与报告</w:t>
      </w:r>
    </w:p>
    <w:p w14:paraId="2D40C444">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10.1依据仪器特性及上述运维要求，编制相应运维、质控记录表单。</w:t>
      </w:r>
    </w:p>
    <w:p w14:paraId="72704D54">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10.2 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59538DFE">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 10.3依据运维总结报告制作汇报材料（PPT）向业主进行总结性汇报。</w:t>
      </w:r>
    </w:p>
    <w:p w14:paraId="757B3A7D">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  辅助服务要求</w:t>
      </w:r>
    </w:p>
    <w:p w14:paraId="137FB8D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2.1.11.1仪器发生故障时，配合业主开展仪器维修相关工作；</w:t>
      </w:r>
    </w:p>
    <w:p w14:paraId="25E395A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2.1.11.2定期配合业主开展仪器配件、耗材库存清点工作，制定采购规划；</w:t>
      </w:r>
    </w:p>
    <w:p w14:paraId="26F2122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2.1.11.3每次运维工作完成后对工作区域进行清洁整理；</w:t>
      </w:r>
    </w:p>
    <w:p w14:paraId="2FAFF34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2.1.11.4按业主安排的值班表每周在站房值班1天，开展清洁卫生和安全检查工作；</w:t>
      </w:r>
    </w:p>
    <w:p w14:paraId="0C14EE12">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2.1.11.5运维期满后，配合业主进行仪器交接，交接期间承担仪器正常运维工作（不包括质控工作；</w:t>
      </w:r>
    </w:p>
    <w:p w14:paraId="19FDE50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2.2运行维护工作目标</w:t>
      </w:r>
    </w:p>
    <w:p w14:paraId="3C47479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2.2.1设备在线率：开展运维服务期间，需确保仪器在线率不得低于90%（仪器在线率=仪器实际运行时间/仪器可运行时间）</w:t>
      </w:r>
    </w:p>
    <w:p w14:paraId="1592E2E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注：仪器实际运行时间为仪器开机运行且仪器内能获取监测数据的时间；仪器可运行时间=约定的总时间-仪器停机维护时间-仪器校准时间-不可抗力停机时间（如停电等）</w:t>
      </w:r>
    </w:p>
    <w:p w14:paraId="3F17400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2.2.2有效数据获取率：开展运维服务期间，需确保仪器有效数据获取率不得低于80%（有效数据获取率=有效监测数据量/获取监测数据量）</w:t>
      </w:r>
    </w:p>
    <w:p w14:paraId="282ED75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p>
    <w:p w14:paraId="28074440">
      <w:pPr>
        <w:pageBreakBefore w:val="0"/>
        <w:kinsoku/>
        <w:wordWrap/>
        <w:overflowPunct/>
        <w:topLinePunct w:val="0"/>
        <w:bidi w:val="0"/>
        <w:spacing w:line="360" w:lineRule="auto"/>
        <w:ind w:firstLine="2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三、汾湖超站挥发性有机物监测仪运维服务</w:t>
      </w:r>
    </w:p>
    <w:p w14:paraId="39D20E7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3.1技术运维要求</w:t>
      </w:r>
    </w:p>
    <w:p w14:paraId="4A819C1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3.1.1 每日例行质量控制检查：定期手动或自动使用外部标样验证系统的准确性，每日登录仪器检查内外标响应，内外标和采样进气量，仪器状态，峰型状况，在仪器的运行过程中，当所需控制外标物种（详见表1）分析结果与目标标准品浓度超出允许误差范围（±20%）时，需及时使用外标法重新积分该物种监测数据；当上述误差范围超出±30%时，需重新编辑定量方法；每天观察仪器运行和数据运行情况，查看日校准数据，可根据日校准数据判断仪器是否需要重新标定，并及时更改积分参数文件，保证所有化合物积分正确，个别小时个别化合物可手动积分，及时填写日质控记录；</w:t>
      </w:r>
    </w:p>
    <w:p w14:paraId="694DBBF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3.1.2每周例行质控：对仪器所有配器及气体发生器（氢气发生器等）进行维护，对数据库数据检查、备份，检查内、外标准品压力，及时填写质量控制记录；</w:t>
      </w:r>
    </w:p>
    <w:p w14:paraId="66304FD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3.1.3每月预防性质量查核：每月对整套系统（包括样品采集、预处理及分析单元）进行预防性质量查核，对样品预处理单元及分析单元系统进行验漏，检查各辅助设备（载气压力、配气系统运行状况等）是否正常运行，解析当月质控数据，填写预防性质量查核记录；</w:t>
      </w:r>
    </w:p>
    <w:p w14:paraId="6672C60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3.1.4每季度质量控制：每季度对GC/MS进行一次自动调谐（保证仪器灵敏度、正确的峰宽、正确的质量分配，必要时清洗离子源），同时对工作曲线重新标定（数据标定主要包括全扫描、SIM分组、7点校准（包含零点））；及时填写系统维护与质控记录（若系统维护与质控期间出现秸秆焚烧、沙尘、雾霾等重污染特殊天气，上述质控工作可依据用户需求进行延期）；</w:t>
      </w:r>
    </w:p>
    <w:p w14:paraId="5C24418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3.1.5 每半年质量查核：每半年对GCMS进行检查，及时更换氧化去除剂、管路气密性配件，及时填写相关记录；</w:t>
      </w:r>
    </w:p>
    <w:p w14:paraId="75F3A8D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3.1.6 每年质量评价：每年度对GC/MS/FID分析单元进行全年运行质量评价，对MS、FID检测器年度获取监测数据有效性进行分析与评价，评价前段样品采集及预处理单元运行质量（包括稳定性）及时填写相关记录，并编制年度质量控制报告。</w:t>
      </w:r>
    </w:p>
    <w:p w14:paraId="1FA15285">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3.2质控要求</w:t>
      </w:r>
    </w:p>
    <w:p w14:paraId="0AE7691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3.2.1 仪器运行期间，每天零点自动进入一定浓度PAMS标准品，用于考核前一日监测数据有效性，若相对误差在±30%以内，且内标响应均在允许误差范围内，视前一日数据有效。</w:t>
      </w:r>
    </w:p>
    <w:p w14:paraId="6AB7A11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3.2.2 每月依据控制目标物种配置2ppb标准品，使用手工进样方式，进行外标核查，并手工积分标准品浓度，计算相对误差；</w:t>
      </w:r>
    </w:p>
    <w:p w14:paraId="21AB2A3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3.2.3 每半年重新统计、计算各目标化合物的检出限与不确定度；</w:t>
      </w:r>
    </w:p>
    <w:p w14:paraId="3E7EA74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根据仪器状况及时更换仪器所需的配件，以保证仪器正常运行。更换后的耗材应留存备查。主要耗材更换的频率不少于每年4根灯丝、FID捕集柱组件4根、MS捕集柱组件4根，二氧化碳去除管、颗粒物过滤膜、氮气、氦气等耗材应根据实际耗损情况及时更换。</w:t>
      </w:r>
    </w:p>
    <w:p w14:paraId="1BE3B326">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表3-1  外标法（每日连续校准CC）所需控制物种清单</w:t>
      </w:r>
    </w:p>
    <w:tbl>
      <w:tblPr>
        <w:tblStyle w:val="48"/>
        <w:tblW w:w="4659" w:type="pct"/>
        <w:jc w:val="center"/>
        <w:tblLayout w:type="autofit"/>
        <w:tblCellMar>
          <w:top w:w="0" w:type="dxa"/>
          <w:left w:w="108" w:type="dxa"/>
          <w:bottom w:w="0" w:type="dxa"/>
          <w:right w:w="108" w:type="dxa"/>
        </w:tblCellMar>
      </w:tblPr>
      <w:tblGrid>
        <w:gridCol w:w="883"/>
        <w:gridCol w:w="2983"/>
        <w:gridCol w:w="1194"/>
        <w:gridCol w:w="2875"/>
      </w:tblGrid>
      <w:tr w14:paraId="0B2EBDB0">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095C6B4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序号</w:t>
            </w:r>
          </w:p>
        </w:tc>
        <w:tc>
          <w:tcPr>
            <w:tcW w:w="1879" w:type="pct"/>
            <w:tcBorders>
              <w:top w:val="single" w:color="000000" w:sz="4" w:space="0"/>
              <w:left w:val="single" w:color="000000" w:sz="4" w:space="0"/>
              <w:bottom w:val="single" w:color="000000" w:sz="4" w:space="0"/>
              <w:right w:val="single" w:color="000000" w:sz="4" w:space="0"/>
            </w:tcBorders>
            <w:vAlign w:val="center"/>
          </w:tcPr>
          <w:p w14:paraId="398D79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中文名</w:t>
            </w:r>
          </w:p>
        </w:tc>
        <w:tc>
          <w:tcPr>
            <w:tcW w:w="752" w:type="pct"/>
            <w:tcBorders>
              <w:top w:val="single" w:color="000000" w:sz="4" w:space="0"/>
              <w:left w:val="single" w:color="000000" w:sz="4" w:space="0"/>
              <w:bottom w:val="single" w:color="000000" w:sz="4" w:space="0"/>
              <w:right w:val="single" w:color="000000" w:sz="4" w:space="0"/>
            </w:tcBorders>
            <w:vAlign w:val="center"/>
          </w:tcPr>
          <w:p w14:paraId="037B58D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序号</w:t>
            </w:r>
          </w:p>
        </w:tc>
        <w:tc>
          <w:tcPr>
            <w:tcW w:w="1811" w:type="pct"/>
            <w:tcBorders>
              <w:top w:val="single" w:color="000000" w:sz="4" w:space="0"/>
              <w:left w:val="single" w:color="000000" w:sz="4" w:space="0"/>
              <w:bottom w:val="single" w:color="000000" w:sz="4" w:space="0"/>
              <w:right w:val="single" w:color="000000" w:sz="4" w:space="0"/>
            </w:tcBorders>
            <w:vAlign w:val="center"/>
          </w:tcPr>
          <w:p w14:paraId="2E0B865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中文名</w:t>
            </w:r>
          </w:p>
        </w:tc>
      </w:tr>
      <w:tr w14:paraId="337891A7">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1B2FADE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w:t>
            </w:r>
          </w:p>
        </w:tc>
        <w:tc>
          <w:tcPr>
            <w:tcW w:w="1879" w:type="pct"/>
            <w:tcBorders>
              <w:top w:val="single" w:color="000000" w:sz="4" w:space="0"/>
              <w:left w:val="single" w:color="000000" w:sz="4" w:space="0"/>
              <w:bottom w:val="single" w:color="000000" w:sz="4" w:space="0"/>
              <w:right w:val="single" w:color="000000" w:sz="4" w:space="0"/>
            </w:tcBorders>
            <w:vAlign w:val="center"/>
          </w:tcPr>
          <w:p w14:paraId="0F2E594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00237F5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29</w:t>
            </w:r>
          </w:p>
        </w:tc>
        <w:tc>
          <w:tcPr>
            <w:tcW w:w="1811" w:type="pct"/>
            <w:tcBorders>
              <w:top w:val="single" w:color="000000" w:sz="4" w:space="0"/>
              <w:left w:val="single" w:color="000000" w:sz="4" w:space="0"/>
              <w:bottom w:val="single" w:color="000000" w:sz="4" w:space="0"/>
              <w:right w:val="single" w:color="000000" w:sz="4" w:space="0"/>
            </w:tcBorders>
            <w:vAlign w:val="center"/>
          </w:tcPr>
          <w:p w14:paraId="6CD7F25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2,3-</w:t>
            </w:r>
            <w:r>
              <w:rPr>
                <w:rStyle w:val="249"/>
                <w:rFonts w:hint="default" w:ascii="Times New Roman" w:hAnsi="Times New Roman" w:eastAsia="宋体" w:cs="Times New Roman"/>
                <w:sz w:val="21"/>
                <w:szCs w:val="21"/>
                <w:highlight w:val="none"/>
                <w:lang w:bidi="ar"/>
              </w:rPr>
              <w:t>二甲基戊烷</w:t>
            </w:r>
          </w:p>
        </w:tc>
      </w:tr>
      <w:tr w14:paraId="210BAE6C">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337895C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w:t>
            </w:r>
          </w:p>
        </w:tc>
        <w:tc>
          <w:tcPr>
            <w:tcW w:w="1879" w:type="pct"/>
            <w:tcBorders>
              <w:top w:val="single" w:color="000000" w:sz="4" w:space="0"/>
              <w:left w:val="single" w:color="000000" w:sz="4" w:space="0"/>
              <w:bottom w:val="single" w:color="000000" w:sz="4" w:space="0"/>
              <w:right w:val="single" w:color="000000" w:sz="4" w:space="0"/>
            </w:tcBorders>
            <w:vAlign w:val="center"/>
          </w:tcPr>
          <w:p w14:paraId="3415B7A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乙烯</w:t>
            </w:r>
          </w:p>
        </w:tc>
        <w:tc>
          <w:tcPr>
            <w:tcW w:w="752" w:type="pct"/>
            <w:tcBorders>
              <w:top w:val="single" w:color="000000" w:sz="4" w:space="0"/>
              <w:left w:val="single" w:color="000000" w:sz="4" w:space="0"/>
              <w:bottom w:val="single" w:color="000000" w:sz="4" w:space="0"/>
              <w:right w:val="single" w:color="000000" w:sz="4" w:space="0"/>
            </w:tcBorders>
            <w:vAlign w:val="center"/>
          </w:tcPr>
          <w:p w14:paraId="403421E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30</w:t>
            </w:r>
          </w:p>
        </w:tc>
        <w:tc>
          <w:tcPr>
            <w:tcW w:w="1811" w:type="pct"/>
            <w:tcBorders>
              <w:top w:val="single" w:color="000000" w:sz="4" w:space="0"/>
              <w:left w:val="single" w:color="000000" w:sz="4" w:space="0"/>
              <w:bottom w:val="single" w:color="000000" w:sz="4" w:space="0"/>
              <w:right w:val="single" w:color="000000" w:sz="4" w:space="0"/>
            </w:tcBorders>
            <w:vAlign w:val="center"/>
          </w:tcPr>
          <w:p w14:paraId="2B06057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w:t>
            </w:r>
            <w:r>
              <w:rPr>
                <w:rStyle w:val="249"/>
                <w:rFonts w:hint="default" w:ascii="Times New Roman" w:hAnsi="Times New Roman" w:eastAsia="宋体" w:cs="Times New Roman"/>
                <w:sz w:val="21"/>
                <w:szCs w:val="21"/>
                <w:highlight w:val="none"/>
                <w:lang w:bidi="ar"/>
              </w:rPr>
              <w:t>甲基己烷</w:t>
            </w:r>
          </w:p>
        </w:tc>
      </w:tr>
      <w:tr w14:paraId="74887972">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82F2E1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w:t>
            </w:r>
          </w:p>
        </w:tc>
        <w:tc>
          <w:tcPr>
            <w:tcW w:w="1879" w:type="pct"/>
            <w:tcBorders>
              <w:top w:val="single" w:color="000000" w:sz="4" w:space="0"/>
              <w:left w:val="single" w:color="000000" w:sz="4" w:space="0"/>
              <w:bottom w:val="single" w:color="000000" w:sz="4" w:space="0"/>
              <w:right w:val="single" w:color="000000" w:sz="4" w:space="0"/>
            </w:tcBorders>
            <w:vAlign w:val="center"/>
          </w:tcPr>
          <w:p w14:paraId="25070AE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1A3B349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31</w:t>
            </w:r>
          </w:p>
        </w:tc>
        <w:tc>
          <w:tcPr>
            <w:tcW w:w="1811" w:type="pct"/>
            <w:tcBorders>
              <w:top w:val="single" w:color="000000" w:sz="4" w:space="0"/>
              <w:left w:val="single" w:color="000000" w:sz="4" w:space="0"/>
              <w:bottom w:val="single" w:color="000000" w:sz="4" w:space="0"/>
              <w:right w:val="single" w:color="000000" w:sz="4" w:space="0"/>
            </w:tcBorders>
            <w:vAlign w:val="center"/>
          </w:tcPr>
          <w:p w14:paraId="6C5E30F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2,2,4-</w:t>
            </w:r>
            <w:r>
              <w:rPr>
                <w:rStyle w:val="249"/>
                <w:rFonts w:hint="default" w:ascii="Times New Roman" w:hAnsi="Times New Roman" w:eastAsia="宋体" w:cs="Times New Roman"/>
                <w:sz w:val="21"/>
                <w:szCs w:val="21"/>
                <w:highlight w:val="none"/>
                <w:lang w:bidi="ar"/>
              </w:rPr>
              <w:t>三甲基戊烷</w:t>
            </w:r>
          </w:p>
        </w:tc>
      </w:tr>
      <w:tr w14:paraId="412028F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32A7F9D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w:t>
            </w:r>
          </w:p>
        </w:tc>
        <w:tc>
          <w:tcPr>
            <w:tcW w:w="1879" w:type="pct"/>
            <w:tcBorders>
              <w:top w:val="single" w:color="000000" w:sz="4" w:space="0"/>
              <w:left w:val="single" w:color="000000" w:sz="4" w:space="0"/>
              <w:bottom w:val="single" w:color="000000" w:sz="4" w:space="0"/>
              <w:right w:val="single" w:color="000000" w:sz="4" w:space="0"/>
            </w:tcBorders>
            <w:vAlign w:val="center"/>
          </w:tcPr>
          <w:p w14:paraId="71283E1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丙烯</w:t>
            </w:r>
          </w:p>
        </w:tc>
        <w:tc>
          <w:tcPr>
            <w:tcW w:w="752" w:type="pct"/>
            <w:tcBorders>
              <w:top w:val="single" w:color="000000" w:sz="4" w:space="0"/>
              <w:left w:val="single" w:color="000000" w:sz="4" w:space="0"/>
              <w:bottom w:val="single" w:color="000000" w:sz="4" w:space="0"/>
              <w:right w:val="single" w:color="000000" w:sz="4" w:space="0"/>
            </w:tcBorders>
            <w:vAlign w:val="center"/>
          </w:tcPr>
          <w:p w14:paraId="2FE3C1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32</w:t>
            </w:r>
          </w:p>
        </w:tc>
        <w:tc>
          <w:tcPr>
            <w:tcW w:w="1811" w:type="pct"/>
            <w:tcBorders>
              <w:top w:val="single" w:color="000000" w:sz="4" w:space="0"/>
              <w:left w:val="single" w:color="000000" w:sz="4" w:space="0"/>
              <w:bottom w:val="single" w:color="000000" w:sz="4" w:space="0"/>
              <w:right w:val="single" w:color="000000" w:sz="4" w:space="0"/>
            </w:tcBorders>
            <w:vAlign w:val="center"/>
          </w:tcPr>
          <w:p w14:paraId="4F7B1D4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正庚烷</w:t>
            </w:r>
          </w:p>
        </w:tc>
      </w:tr>
      <w:tr w14:paraId="77F6CF70">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09D0F16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w:t>
            </w:r>
          </w:p>
        </w:tc>
        <w:tc>
          <w:tcPr>
            <w:tcW w:w="1879" w:type="pct"/>
            <w:tcBorders>
              <w:top w:val="single" w:color="000000" w:sz="4" w:space="0"/>
              <w:left w:val="single" w:color="000000" w:sz="4" w:space="0"/>
              <w:bottom w:val="single" w:color="000000" w:sz="4" w:space="0"/>
              <w:right w:val="single" w:color="000000" w:sz="4" w:space="0"/>
            </w:tcBorders>
            <w:vAlign w:val="center"/>
          </w:tcPr>
          <w:p w14:paraId="2FC9326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异丁烷</w:t>
            </w:r>
          </w:p>
        </w:tc>
        <w:tc>
          <w:tcPr>
            <w:tcW w:w="752" w:type="pct"/>
            <w:tcBorders>
              <w:top w:val="single" w:color="000000" w:sz="4" w:space="0"/>
              <w:left w:val="single" w:color="000000" w:sz="4" w:space="0"/>
              <w:bottom w:val="single" w:color="000000" w:sz="4" w:space="0"/>
              <w:right w:val="single" w:color="000000" w:sz="4" w:space="0"/>
            </w:tcBorders>
            <w:vAlign w:val="center"/>
          </w:tcPr>
          <w:p w14:paraId="549EEE7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33</w:t>
            </w:r>
          </w:p>
        </w:tc>
        <w:tc>
          <w:tcPr>
            <w:tcW w:w="1811" w:type="pct"/>
            <w:tcBorders>
              <w:top w:val="single" w:color="000000" w:sz="4" w:space="0"/>
              <w:left w:val="single" w:color="000000" w:sz="4" w:space="0"/>
              <w:bottom w:val="single" w:color="000000" w:sz="4" w:space="0"/>
              <w:right w:val="single" w:color="000000" w:sz="4" w:space="0"/>
            </w:tcBorders>
            <w:vAlign w:val="center"/>
          </w:tcPr>
          <w:p w14:paraId="702FE1D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甲基环己烷</w:t>
            </w:r>
          </w:p>
        </w:tc>
      </w:tr>
      <w:tr w14:paraId="2C0233A7">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280E4A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w:t>
            </w:r>
          </w:p>
        </w:tc>
        <w:tc>
          <w:tcPr>
            <w:tcW w:w="1879" w:type="pct"/>
            <w:tcBorders>
              <w:top w:val="single" w:color="000000" w:sz="4" w:space="0"/>
              <w:left w:val="single" w:color="000000" w:sz="4" w:space="0"/>
              <w:bottom w:val="single" w:color="000000" w:sz="4" w:space="0"/>
              <w:right w:val="single" w:color="000000" w:sz="4" w:space="0"/>
            </w:tcBorders>
            <w:vAlign w:val="center"/>
          </w:tcPr>
          <w:p w14:paraId="35D113A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正丁烷</w:t>
            </w:r>
          </w:p>
        </w:tc>
        <w:tc>
          <w:tcPr>
            <w:tcW w:w="752" w:type="pct"/>
            <w:tcBorders>
              <w:top w:val="single" w:color="000000" w:sz="4" w:space="0"/>
              <w:left w:val="single" w:color="000000" w:sz="4" w:space="0"/>
              <w:bottom w:val="single" w:color="000000" w:sz="4" w:space="0"/>
              <w:right w:val="single" w:color="000000" w:sz="4" w:space="0"/>
            </w:tcBorders>
            <w:vAlign w:val="center"/>
          </w:tcPr>
          <w:p w14:paraId="30EC4CA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34</w:t>
            </w:r>
          </w:p>
        </w:tc>
        <w:tc>
          <w:tcPr>
            <w:tcW w:w="1811" w:type="pct"/>
            <w:tcBorders>
              <w:top w:val="single" w:color="000000" w:sz="4" w:space="0"/>
              <w:left w:val="single" w:color="000000" w:sz="4" w:space="0"/>
              <w:bottom w:val="single" w:color="000000" w:sz="4" w:space="0"/>
              <w:right w:val="single" w:color="000000" w:sz="4" w:space="0"/>
            </w:tcBorders>
            <w:vAlign w:val="center"/>
          </w:tcPr>
          <w:p w14:paraId="7445921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2,3,4-</w:t>
            </w:r>
            <w:r>
              <w:rPr>
                <w:rStyle w:val="249"/>
                <w:rFonts w:hint="default" w:ascii="Times New Roman" w:hAnsi="Times New Roman" w:eastAsia="宋体" w:cs="Times New Roman"/>
                <w:sz w:val="21"/>
                <w:szCs w:val="21"/>
                <w:highlight w:val="none"/>
                <w:lang w:bidi="ar"/>
              </w:rPr>
              <w:t>三甲基戊烷</w:t>
            </w:r>
          </w:p>
        </w:tc>
      </w:tr>
      <w:tr w14:paraId="24767FF2">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B84699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w:t>
            </w:r>
          </w:p>
        </w:tc>
        <w:tc>
          <w:tcPr>
            <w:tcW w:w="1879" w:type="pct"/>
            <w:tcBorders>
              <w:top w:val="single" w:color="000000" w:sz="4" w:space="0"/>
              <w:left w:val="single" w:color="000000" w:sz="4" w:space="0"/>
              <w:bottom w:val="single" w:color="000000" w:sz="4" w:space="0"/>
              <w:right w:val="single" w:color="000000" w:sz="4" w:space="0"/>
            </w:tcBorders>
            <w:vAlign w:val="center"/>
          </w:tcPr>
          <w:p w14:paraId="51D4344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乙炔</w:t>
            </w:r>
          </w:p>
        </w:tc>
        <w:tc>
          <w:tcPr>
            <w:tcW w:w="752" w:type="pct"/>
            <w:tcBorders>
              <w:top w:val="single" w:color="000000" w:sz="4" w:space="0"/>
              <w:left w:val="single" w:color="000000" w:sz="4" w:space="0"/>
              <w:bottom w:val="single" w:color="000000" w:sz="4" w:space="0"/>
              <w:right w:val="single" w:color="000000" w:sz="4" w:space="0"/>
            </w:tcBorders>
            <w:vAlign w:val="center"/>
          </w:tcPr>
          <w:p w14:paraId="54E6610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35</w:t>
            </w:r>
          </w:p>
        </w:tc>
        <w:tc>
          <w:tcPr>
            <w:tcW w:w="1811" w:type="pct"/>
            <w:tcBorders>
              <w:top w:val="single" w:color="000000" w:sz="4" w:space="0"/>
              <w:left w:val="single" w:color="000000" w:sz="4" w:space="0"/>
              <w:bottom w:val="single" w:color="000000" w:sz="4" w:space="0"/>
              <w:right w:val="single" w:color="000000" w:sz="4" w:space="0"/>
            </w:tcBorders>
            <w:vAlign w:val="center"/>
          </w:tcPr>
          <w:p w14:paraId="2525568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甲苯</w:t>
            </w:r>
          </w:p>
        </w:tc>
      </w:tr>
      <w:tr w14:paraId="41C03033">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117322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w:t>
            </w:r>
          </w:p>
        </w:tc>
        <w:tc>
          <w:tcPr>
            <w:tcW w:w="1879" w:type="pct"/>
            <w:tcBorders>
              <w:top w:val="single" w:color="000000" w:sz="4" w:space="0"/>
              <w:left w:val="single" w:color="000000" w:sz="4" w:space="0"/>
              <w:bottom w:val="single" w:color="000000" w:sz="4" w:space="0"/>
              <w:right w:val="single" w:color="000000" w:sz="4" w:space="0"/>
            </w:tcBorders>
            <w:vAlign w:val="center"/>
          </w:tcPr>
          <w:p w14:paraId="21EB770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反-2-</w:t>
            </w:r>
            <w:r>
              <w:rPr>
                <w:rStyle w:val="249"/>
                <w:rFonts w:hint="default" w:ascii="Times New Roman" w:hAnsi="Times New Roman" w:eastAsia="宋体" w:cs="Times New Roman"/>
                <w:sz w:val="21"/>
                <w:szCs w:val="21"/>
                <w:highlight w:val="none"/>
                <w:lang w:bidi="ar"/>
              </w:rPr>
              <w:t>丁烯</w:t>
            </w:r>
          </w:p>
        </w:tc>
        <w:tc>
          <w:tcPr>
            <w:tcW w:w="752" w:type="pct"/>
            <w:tcBorders>
              <w:top w:val="single" w:color="000000" w:sz="4" w:space="0"/>
              <w:left w:val="single" w:color="000000" w:sz="4" w:space="0"/>
              <w:bottom w:val="single" w:color="000000" w:sz="4" w:space="0"/>
              <w:right w:val="single" w:color="000000" w:sz="4" w:space="0"/>
            </w:tcBorders>
            <w:vAlign w:val="center"/>
          </w:tcPr>
          <w:p w14:paraId="614138C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36</w:t>
            </w:r>
          </w:p>
        </w:tc>
        <w:tc>
          <w:tcPr>
            <w:tcW w:w="1811" w:type="pct"/>
            <w:tcBorders>
              <w:top w:val="single" w:color="000000" w:sz="4" w:space="0"/>
              <w:left w:val="single" w:color="000000" w:sz="4" w:space="0"/>
              <w:bottom w:val="single" w:color="000000" w:sz="4" w:space="0"/>
              <w:right w:val="single" w:color="000000" w:sz="4" w:space="0"/>
            </w:tcBorders>
            <w:vAlign w:val="center"/>
          </w:tcPr>
          <w:p w14:paraId="1E2D0FB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w:t>
            </w:r>
            <w:r>
              <w:rPr>
                <w:rStyle w:val="249"/>
                <w:rFonts w:hint="default" w:ascii="Times New Roman" w:hAnsi="Times New Roman" w:eastAsia="宋体" w:cs="Times New Roman"/>
                <w:sz w:val="21"/>
                <w:szCs w:val="21"/>
                <w:highlight w:val="none"/>
                <w:lang w:bidi="ar"/>
              </w:rPr>
              <w:t>甲基庚烷</w:t>
            </w:r>
          </w:p>
        </w:tc>
      </w:tr>
      <w:tr w14:paraId="01997723">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0505FD2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w:t>
            </w:r>
          </w:p>
        </w:tc>
        <w:tc>
          <w:tcPr>
            <w:tcW w:w="1879" w:type="pct"/>
            <w:tcBorders>
              <w:top w:val="single" w:color="000000" w:sz="4" w:space="0"/>
              <w:left w:val="single" w:color="000000" w:sz="4" w:space="0"/>
              <w:bottom w:val="single" w:color="000000" w:sz="4" w:space="0"/>
              <w:right w:val="single" w:color="000000" w:sz="4" w:space="0"/>
            </w:tcBorders>
            <w:vAlign w:val="center"/>
          </w:tcPr>
          <w:p w14:paraId="51CCA45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w:t>
            </w:r>
            <w:r>
              <w:rPr>
                <w:rStyle w:val="249"/>
                <w:rFonts w:hint="default" w:ascii="Times New Roman" w:hAnsi="Times New Roman" w:eastAsia="宋体" w:cs="Times New Roman"/>
                <w:sz w:val="21"/>
                <w:szCs w:val="21"/>
                <w:highlight w:val="none"/>
                <w:lang w:bidi="ar"/>
              </w:rPr>
              <w:t>丁烯</w:t>
            </w:r>
          </w:p>
        </w:tc>
        <w:tc>
          <w:tcPr>
            <w:tcW w:w="752" w:type="pct"/>
            <w:tcBorders>
              <w:top w:val="single" w:color="000000" w:sz="4" w:space="0"/>
              <w:left w:val="single" w:color="000000" w:sz="4" w:space="0"/>
              <w:bottom w:val="single" w:color="000000" w:sz="4" w:space="0"/>
              <w:right w:val="single" w:color="000000" w:sz="4" w:space="0"/>
            </w:tcBorders>
            <w:vAlign w:val="center"/>
          </w:tcPr>
          <w:p w14:paraId="32C9972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37</w:t>
            </w:r>
          </w:p>
        </w:tc>
        <w:tc>
          <w:tcPr>
            <w:tcW w:w="1811" w:type="pct"/>
            <w:tcBorders>
              <w:top w:val="single" w:color="000000" w:sz="4" w:space="0"/>
              <w:left w:val="single" w:color="000000" w:sz="4" w:space="0"/>
              <w:bottom w:val="single" w:color="000000" w:sz="4" w:space="0"/>
              <w:right w:val="single" w:color="000000" w:sz="4" w:space="0"/>
            </w:tcBorders>
            <w:vAlign w:val="center"/>
          </w:tcPr>
          <w:p w14:paraId="7AB80B6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w:t>
            </w:r>
            <w:r>
              <w:rPr>
                <w:rStyle w:val="249"/>
                <w:rFonts w:hint="default" w:ascii="Times New Roman" w:hAnsi="Times New Roman" w:eastAsia="宋体" w:cs="Times New Roman"/>
                <w:sz w:val="21"/>
                <w:szCs w:val="21"/>
                <w:highlight w:val="none"/>
                <w:lang w:bidi="ar"/>
              </w:rPr>
              <w:t>甲基庚烷</w:t>
            </w:r>
          </w:p>
        </w:tc>
      </w:tr>
      <w:tr w14:paraId="08987544">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77C269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w:t>
            </w:r>
          </w:p>
        </w:tc>
        <w:tc>
          <w:tcPr>
            <w:tcW w:w="1879" w:type="pct"/>
            <w:tcBorders>
              <w:top w:val="single" w:color="000000" w:sz="4" w:space="0"/>
              <w:left w:val="single" w:color="000000" w:sz="4" w:space="0"/>
              <w:bottom w:val="single" w:color="000000" w:sz="4" w:space="0"/>
              <w:right w:val="single" w:color="000000" w:sz="4" w:space="0"/>
            </w:tcBorders>
            <w:vAlign w:val="center"/>
          </w:tcPr>
          <w:p w14:paraId="70E18DD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顺-2-</w:t>
            </w:r>
            <w:r>
              <w:rPr>
                <w:rStyle w:val="249"/>
                <w:rFonts w:hint="default" w:ascii="Times New Roman" w:hAnsi="Times New Roman" w:eastAsia="宋体" w:cs="Times New Roman"/>
                <w:sz w:val="21"/>
                <w:szCs w:val="21"/>
                <w:highlight w:val="none"/>
                <w:lang w:bidi="ar"/>
              </w:rPr>
              <w:t>丁烯</w:t>
            </w:r>
          </w:p>
        </w:tc>
        <w:tc>
          <w:tcPr>
            <w:tcW w:w="752" w:type="pct"/>
            <w:tcBorders>
              <w:top w:val="single" w:color="000000" w:sz="4" w:space="0"/>
              <w:left w:val="single" w:color="000000" w:sz="4" w:space="0"/>
              <w:bottom w:val="single" w:color="000000" w:sz="4" w:space="0"/>
              <w:right w:val="single" w:color="000000" w:sz="4" w:space="0"/>
            </w:tcBorders>
            <w:vAlign w:val="center"/>
          </w:tcPr>
          <w:p w14:paraId="180BDA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38</w:t>
            </w:r>
          </w:p>
        </w:tc>
        <w:tc>
          <w:tcPr>
            <w:tcW w:w="1811" w:type="pct"/>
            <w:tcBorders>
              <w:top w:val="single" w:color="000000" w:sz="4" w:space="0"/>
              <w:left w:val="single" w:color="000000" w:sz="4" w:space="0"/>
              <w:bottom w:val="single" w:color="000000" w:sz="4" w:space="0"/>
              <w:right w:val="single" w:color="000000" w:sz="4" w:space="0"/>
            </w:tcBorders>
            <w:vAlign w:val="center"/>
          </w:tcPr>
          <w:p w14:paraId="19CA7FE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正辛烷</w:t>
            </w:r>
          </w:p>
        </w:tc>
      </w:tr>
      <w:tr w14:paraId="4E67D9F3">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BD770B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w:t>
            </w:r>
          </w:p>
        </w:tc>
        <w:tc>
          <w:tcPr>
            <w:tcW w:w="1879" w:type="pct"/>
            <w:tcBorders>
              <w:top w:val="single" w:color="000000" w:sz="4" w:space="0"/>
              <w:left w:val="single" w:color="000000" w:sz="4" w:space="0"/>
              <w:bottom w:val="single" w:color="000000" w:sz="4" w:space="0"/>
              <w:right w:val="single" w:color="000000" w:sz="4" w:space="0"/>
            </w:tcBorders>
            <w:vAlign w:val="center"/>
          </w:tcPr>
          <w:p w14:paraId="730C137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环戊烷</w:t>
            </w:r>
          </w:p>
        </w:tc>
        <w:tc>
          <w:tcPr>
            <w:tcW w:w="752" w:type="pct"/>
            <w:tcBorders>
              <w:top w:val="single" w:color="000000" w:sz="4" w:space="0"/>
              <w:left w:val="single" w:color="000000" w:sz="4" w:space="0"/>
              <w:bottom w:val="single" w:color="000000" w:sz="4" w:space="0"/>
              <w:right w:val="single" w:color="000000" w:sz="4" w:space="0"/>
            </w:tcBorders>
            <w:vAlign w:val="center"/>
          </w:tcPr>
          <w:p w14:paraId="3153A72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39</w:t>
            </w:r>
          </w:p>
        </w:tc>
        <w:tc>
          <w:tcPr>
            <w:tcW w:w="1811" w:type="pct"/>
            <w:tcBorders>
              <w:top w:val="single" w:color="000000" w:sz="4" w:space="0"/>
              <w:left w:val="single" w:color="000000" w:sz="4" w:space="0"/>
              <w:bottom w:val="single" w:color="000000" w:sz="4" w:space="0"/>
              <w:right w:val="single" w:color="000000" w:sz="4" w:space="0"/>
            </w:tcBorders>
            <w:vAlign w:val="center"/>
          </w:tcPr>
          <w:p w14:paraId="714064C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乙苯</w:t>
            </w:r>
          </w:p>
        </w:tc>
      </w:tr>
      <w:tr w14:paraId="00250833">
        <w:tblPrEx>
          <w:tblCellMar>
            <w:top w:w="0" w:type="dxa"/>
            <w:left w:w="108" w:type="dxa"/>
            <w:bottom w:w="0" w:type="dxa"/>
            <w:right w:w="108" w:type="dxa"/>
          </w:tblCellMar>
        </w:tblPrEx>
        <w:trPr>
          <w:trHeight w:val="362" w:hRule="atLeast"/>
          <w:jc w:val="center"/>
        </w:trPr>
        <w:tc>
          <w:tcPr>
            <w:tcW w:w="556" w:type="pct"/>
            <w:vMerge w:val="restart"/>
            <w:tcBorders>
              <w:top w:val="single" w:color="000000" w:sz="4" w:space="0"/>
              <w:left w:val="single" w:color="000000" w:sz="4" w:space="0"/>
              <w:bottom w:val="single" w:color="000000" w:sz="4" w:space="0"/>
              <w:right w:val="single" w:color="000000" w:sz="4" w:space="0"/>
            </w:tcBorders>
            <w:vAlign w:val="center"/>
          </w:tcPr>
          <w:p w14:paraId="0121123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w:t>
            </w:r>
          </w:p>
        </w:tc>
        <w:tc>
          <w:tcPr>
            <w:tcW w:w="1879" w:type="pct"/>
            <w:vMerge w:val="restart"/>
            <w:tcBorders>
              <w:top w:val="single" w:color="000000" w:sz="4" w:space="0"/>
              <w:left w:val="single" w:color="000000" w:sz="4" w:space="0"/>
              <w:bottom w:val="single" w:color="000000" w:sz="4" w:space="0"/>
              <w:right w:val="single" w:color="000000" w:sz="4" w:space="0"/>
            </w:tcBorders>
            <w:vAlign w:val="center"/>
          </w:tcPr>
          <w:p w14:paraId="6CC4F17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异戊烷</w:t>
            </w:r>
          </w:p>
        </w:tc>
        <w:tc>
          <w:tcPr>
            <w:tcW w:w="752" w:type="pct"/>
            <w:vMerge w:val="restart"/>
            <w:tcBorders>
              <w:top w:val="single" w:color="000000" w:sz="4" w:space="0"/>
              <w:left w:val="single" w:color="000000" w:sz="4" w:space="0"/>
              <w:bottom w:val="single" w:color="000000" w:sz="4" w:space="0"/>
              <w:right w:val="single" w:color="000000" w:sz="4" w:space="0"/>
            </w:tcBorders>
            <w:vAlign w:val="center"/>
          </w:tcPr>
          <w:p w14:paraId="5A705D7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40/41</w:t>
            </w:r>
          </w:p>
        </w:tc>
        <w:tc>
          <w:tcPr>
            <w:tcW w:w="1811" w:type="pct"/>
            <w:vMerge w:val="restart"/>
            <w:tcBorders>
              <w:top w:val="single" w:color="000000" w:sz="4" w:space="0"/>
              <w:left w:val="single" w:color="000000" w:sz="4" w:space="0"/>
              <w:bottom w:val="single" w:color="000000" w:sz="4" w:space="0"/>
              <w:right w:val="single" w:color="000000" w:sz="4" w:space="0"/>
            </w:tcBorders>
            <w:vAlign w:val="center"/>
          </w:tcPr>
          <w:p w14:paraId="23BF622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间、对-</w:t>
            </w:r>
            <w:r>
              <w:rPr>
                <w:rStyle w:val="249"/>
                <w:rFonts w:hint="default" w:ascii="Times New Roman" w:hAnsi="Times New Roman" w:eastAsia="宋体" w:cs="Times New Roman"/>
                <w:sz w:val="21"/>
                <w:szCs w:val="21"/>
                <w:highlight w:val="none"/>
                <w:lang w:bidi="ar"/>
              </w:rPr>
              <w:t>二甲苯</w:t>
            </w:r>
          </w:p>
        </w:tc>
      </w:tr>
      <w:tr w14:paraId="525DAF89">
        <w:tblPrEx>
          <w:tblCellMar>
            <w:top w:w="0" w:type="dxa"/>
            <w:left w:w="108" w:type="dxa"/>
            <w:bottom w:w="0" w:type="dxa"/>
            <w:right w:w="108" w:type="dxa"/>
          </w:tblCellMar>
        </w:tblPrEx>
        <w:trPr>
          <w:trHeight w:val="362" w:hRule="atLeast"/>
          <w:jc w:val="center"/>
        </w:trPr>
        <w:tc>
          <w:tcPr>
            <w:tcW w:w="556" w:type="pct"/>
            <w:vMerge w:val="continue"/>
            <w:tcBorders>
              <w:top w:val="single" w:color="000000" w:sz="4" w:space="0"/>
              <w:left w:val="single" w:color="000000" w:sz="4" w:space="0"/>
              <w:bottom w:val="single" w:color="000000" w:sz="4" w:space="0"/>
              <w:right w:val="single" w:color="000000" w:sz="4" w:space="0"/>
            </w:tcBorders>
            <w:vAlign w:val="center"/>
          </w:tcPr>
          <w:p w14:paraId="27B84F71">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879" w:type="pct"/>
            <w:vMerge w:val="continue"/>
            <w:tcBorders>
              <w:top w:val="single" w:color="000000" w:sz="4" w:space="0"/>
              <w:left w:val="single" w:color="000000" w:sz="4" w:space="0"/>
              <w:bottom w:val="single" w:color="000000" w:sz="4" w:space="0"/>
              <w:right w:val="single" w:color="000000" w:sz="4" w:space="0"/>
            </w:tcBorders>
            <w:vAlign w:val="center"/>
          </w:tcPr>
          <w:p w14:paraId="64CC5D65">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752" w:type="pct"/>
            <w:vMerge w:val="continue"/>
            <w:tcBorders>
              <w:top w:val="single" w:color="000000" w:sz="4" w:space="0"/>
              <w:left w:val="single" w:color="000000" w:sz="4" w:space="0"/>
              <w:bottom w:val="single" w:color="000000" w:sz="4" w:space="0"/>
              <w:right w:val="single" w:color="000000" w:sz="4" w:space="0"/>
            </w:tcBorders>
            <w:vAlign w:val="center"/>
          </w:tcPr>
          <w:p w14:paraId="0F27CE86">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c>
          <w:tcPr>
            <w:tcW w:w="1811" w:type="pct"/>
            <w:vMerge w:val="continue"/>
            <w:tcBorders>
              <w:top w:val="single" w:color="000000" w:sz="4" w:space="0"/>
              <w:left w:val="single" w:color="000000" w:sz="4" w:space="0"/>
              <w:bottom w:val="single" w:color="000000" w:sz="4" w:space="0"/>
              <w:right w:val="single" w:color="000000" w:sz="4" w:space="0"/>
            </w:tcBorders>
            <w:vAlign w:val="center"/>
          </w:tcPr>
          <w:p w14:paraId="052AB490">
            <w:pPr>
              <w:pageBreakBefore w:val="0"/>
              <w:kinsoku/>
              <w:wordWrap/>
              <w:overflowPunct/>
              <w:topLinePunct w:val="0"/>
              <w:bidi w:val="0"/>
              <w:spacing w:line="360" w:lineRule="auto"/>
              <w:jc w:val="center"/>
              <w:rPr>
                <w:rFonts w:hint="default" w:ascii="Times New Roman" w:hAnsi="Times New Roman" w:eastAsia="宋体" w:cs="Times New Roman"/>
                <w:color w:val="000000"/>
                <w:szCs w:val="21"/>
                <w:highlight w:val="none"/>
              </w:rPr>
            </w:pPr>
          </w:p>
        </w:tc>
      </w:tr>
      <w:tr w14:paraId="07C7D23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F23EF9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13</w:t>
            </w:r>
          </w:p>
        </w:tc>
        <w:tc>
          <w:tcPr>
            <w:tcW w:w="1879" w:type="pct"/>
            <w:tcBorders>
              <w:top w:val="single" w:color="000000" w:sz="4" w:space="0"/>
              <w:left w:val="single" w:color="000000" w:sz="4" w:space="0"/>
              <w:bottom w:val="single" w:color="000000" w:sz="4" w:space="0"/>
              <w:right w:val="single" w:color="000000" w:sz="4" w:space="0"/>
            </w:tcBorders>
            <w:vAlign w:val="center"/>
          </w:tcPr>
          <w:p w14:paraId="50AB3F0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正戊烷</w:t>
            </w:r>
          </w:p>
        </w:tc>
        <w:tc>
          <w:tcPr>
            <w:tcW w:w="752" w:type="pct"/>
            <w:tcBorders>
              <w:top w:val="single" w:color="000000" w:sz="4" w:space="0"/>
              <w:left w:val="single" w:color="000000" w:sz="4" w:space="0"/>
              <w:bottom w:val="single" w:color="000000" w:sz="4" w:space="0"/>
              <w:right w:val="single" w:color="000000" w:sz="4" w:space="0"/>
            </w:tcBorders>
            <w:vAlign w:val="center"/>
          </w:tcPr>
          <w:p w14:paraId="549D10C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42</w:t>
            </w:r>
          </w:p>
        </w:tc>
        <w:tc>
          <w:tcPr>
            <w:tcW w:w="1811" w:type="pct"/>
            <w:tcBorders>
              <w:top w:val="single" w:color="000000" w:sz="4" w:space="0"/>
              <w:left w:val="single" w:color="000000" w:sz="4" w:space="0"/>
              <w:bottom w:val="single" w:color="000000" w:sz="4" w:space="0"/>
              <w:right w:val="single" w:color="000000" w:sz="4" w:space="0"/>
            </w:tcBorders>
            <w:vAlign w:val="center"/>
          </w:tcPr>
          <w:p w14:paraId="2898C4E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苯乙烯</w:t>
            </w:r>
          </w:p>
        </w:tc>
      </w:tr>
      <w:tr w14:paraId="682C4DBC">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17D8C6E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14</w:t>
            </w:r>
          </w:p>
        </w:tc>
        <w:tc>
          <w:tcPr>
            <w:tcW w:w="1879" w:type="pct"/>
            <w:tcBorders>
              <w:top w:val="single" w:color="000000" w:sz="4" w:space="0"/>
              <w:left w:val="single" w:color="000000" w:sz="4" w:space="0"/>
              <w:bottom w:val="single" w:color="000000" w:sz="4" w:space="0"/>
              <w:right w:val="single" w:color="000000" w:sz="4" w:space="0"/>
            </w:tcBorders>
            <w:vAlign w:val="center"/>
          </w:tcPr>
          <w:p w14:paraId="7253387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反-2-</w:t>
            </w:r>
            <w:r>
              <w:rPr>
                <w:rStyle w:val="249"/>
                <w:rFonts w:hint="default" w:ascii="Times New Roman" w:hAnsi="Times New Roman" w:eastAsia="宋体" w:cs="Times New Roman"/>
                <w:sz w:val="21"/>
                <w:szCs w:val="21"/>
                <w:highlight w:val="none"/>
                <w:lang w:bidi="ar"/>
              </w:rPr>
              <w:t>戊烯</w:t>
            </w:r>
          </w:p>
        </w:tc>
        <w:tc>
          <w:tcPr>
            <w:tcW w:w="752" w:type="pct"/>
            <w:tcBorders>
              <w:top w:val="single" w:color="000000" w:sz="4" w:space="0"/>
              <w:left w:val="single" w:color="000000" w:sz="4" w:space="0"/>
              <w:bottom w:val="single" w:color="000000" w:sz="4" w:space="0"/>
              <w:right w:val="single" w:color="000000" w:sz="4" w:space="0"/>
            </w:tcBorders>
            <w:vAlign w:val="center"/>
          </w:tcPr>
          <w:p w14:paraId="7DAB634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43</w:t>
            </w:r>
          </w:p>
        </w:tc>
        <w:tc>
          <w:tcPr>
            <w:tcW w:w="1811" w:type="pct"/>
            <w:tcBorders>
              <w:top w:val="single" w:color="000000" w:sz="4" w:space="0"/>
              <w:left w:val="single" w:color="000000" w:sz="4" w:space="0"/>
              <w:bottom w:val="single" w:color="000000" w:sz="4" w:space="0"/>
              <w:right w:val="single" w:color="000000" w:sz="4" w:space="0"/>
            </w:tcBorders>
            <w:vAlign w:val="center"/>
          </w:tcPr>
          <w:p w14:paraId="330BD66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邻-</w:t>
            </w:r>
            <w:r>
              <w:rPr>
                <w:rStyle w:val="249"/>
                <w:rFonts w:hint="default" w:ascii="Times New Roman" w:hAnsi="Times New Roman" w:eastAsia="宋体" w:cs="Times New Roman"/>
                <w:sz w:val="21"/>
                <w:szCs w:val="21"/>
                <w:highlight w:val="none"/>
                <w:lang w:bidi="ar"/>
              </w:rPr>
              <w:t>二甲苯</w:t>
            </w:r>
          </w:p>
        </w:tc>
      </w:tr>
      <w:tr w14:paraId="542D1FC3">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06AF00D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15</w:t>
            </w:r>
          </w:p>
        </w:tc>
        <w:tc>
          <w:tcPr>
            <w:tcW w:w="1879" w:type="pct"/>
            <w:tcBorders>
              <w:top w:val="single" w:color="000000" w:sz="4" w:space="0"/>
              <w:left w:val="single" w:color="000000" w:sz="4" w:space="0"/>
              <w:bottom w:val="single" w:color="000000" w:sz="4" w:space="0"/>
              <w:right w:val="single" w:color="000000" w:sz="4" w:space="0"/>
            </w:tcBorders>
            <w:vAlign w:val="center"/>
          </w:tcPr>
          <w:p w14:paraId="02C0D06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w:t>
            </w:r>
            <w:r>
              <w:rPr>
                <w:rStyle w:val="249"/>
                <w:rFonts w:hint="default" w:ascii="Times New Roman" w:hAnsi="Times New Roman" w:eastAsia="宋体" w:cs="Times New Roman"/>
                <w:sz w:val="21"/>
                <w:szCs w:val="21"/>
                <w:highlight w:val="none"/>
                <w:lang w:bidi="ar"/>
              </w:rPr>
              <w:t>戊烯</w:t>
            </w:r>
          </w:p>
        </w:tc>
        <w:tc>
          <w:tcPr>
            <w:tcW w:w="752" w:type="pct"/>
            <w:tcBorders>
              <w:top w:val="single" w:color="000000" w:sz="4" w:space="0"/>
              <w:left w:val="single" w:color="000000" w:sz="4" w:space="0"/>
              <w:bottom w:val="single" w:color="000000" w:sz="4" w:space="0"/>
              <w:right w:val="single" w:color="000000" w:sz="4" w:space="0"/>
            </w:tcBorders>
            <w:vAlign w:val="center"/>
          </w:tcPr>
          <w:p w14:paraId="3A0839D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44</w:t>
            </w:r>
          </w:p>
        </w:tc>
        <w:tc>
          <w:tcPr>
            <w:tcW w:w="1811" w:type="pct"/>
            <w:tcBorders>
              <w:top w:val="single" w:color="000000" w:sz="4" w:space="0"/>
              <w:left w:val="single" w:color="000000" w:sz="4" w:space="0"/>
              <w:bottom w:val="single" w:color="000000" w:sz="4" w:space="0"/>
              <w:right w:val="single" w:color="000000" w:sz="4" w:space="0"/>
            </w:tcBorders>
            <w:vAlign w:val="center"/>
          </w:tcPr>
          <w:p w14:paraId="689FC3F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正壬烷</w:t>
            </w:r>
          </w:p>
        </w:tc>
      </w:tr>
      <w:tr w14:paraId="00304BF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228578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16</w:t>
            </w:r>
          </w:p>
        </w:tc>
        <w:tc>
          <w:tcPr>
            <w:tcW w:w="1879" w:type="pct"/>
            <w:tcBorders>
              <w:top w:val="single" w:color="000000" w:sz="4" w:space="0"/>
              <w:left w:val="single" w:color="000000" w:sz="4" w:space="0"/>
              <w:bottom w:val="single" w:color="000000" w:sz="4" w:space="0"/>
              <w:right w:val="single" w:color="000000" w:sz="4" w:space="0"/>
            </w:tcBorders>
            <w:vAlign w:val="center"/>
          </w:tcPr>
          <w:p w14:paraId="40B3A2A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顺-2-</w:t>
            </w:r>
            <w:r>
              <w:rPr>
                <w:rStyle w:val="249"/>
                <w:rFonts w:hint="default" w:ascii="Times New Roman" w:hAnsi="Times New Roman" w:eastAsia="宋体" w:cs="Times New Roman"/>
                <w:sz w:val="21"/>
                <w:szCs w:val="21"/>
                <w:highlight w:val="none"/>
                <w:lang w:bidi="ar"/>
              </w:rPr>
              <w:t>戊烯</w:t>
            </w:r>
          </w:p>
        </w:tc>
        <w:tc>
          <w:tcPr>
            <w:tcW w:w="752" w:type="pct"/>
            <w:tcBorders>
              <w:top w:val="single" w:color="000000" w:sz="4" w:space="0"/>
              <w:left w:val="single" w:color="000000" w:sz="4" w:space="0"/>
              <w:bottom w:val="single" w:color="000000" w:sz="4" w:space="0"/>
              <w:right w:val="single" w:color="000000" w:sz="4" w:space="0"/>
            </w:tcBorders>
            <w:vAlign w:val="center"/>
          </w:tcPr>
          <w:p w14:paraId="46739FC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45</w:t>
            </w:r>
          </w:p>
        </w:tc>
        <w:tc>
          <w:tcPr>
            <w:tcW w:w="1811" w:type="pct"/>
            <w:tcBorders>
              <w:top w:val="single" w:color="000000" w:sz="4" w:space="0"/>
              <w:left w:val="single" w:color="000000" w:sz="4" w:space="0"/>
              <w:bottom w:val="single" w:color="000000" w:sz="4" w:space="0"/>
              <w:right w:val="single" w:color="000000" w:sz="4" w:space="0"/>
            </w:tcBorders>
            <w:vAlign w:val="center"/>
          </w:tcPr>
          <w:p w14:paraId="5CC4AD1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异丙苯</w:t>
            </w:r>
          </w:p>
        </w:tc>
      </w:tr>
      <w:tr w14:paraId="72EFDD87">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7DF97C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17</w:t>
            </w:r>
          </w:p>
        </w:tc>
        <w:tc>
          <w:tcPr>
            <w:tcW w:w="1879" w:type="pct"/>
            <w:tcBorders>
              <w:top w:val="single" w:color="000000" w:sz="4" w:space="0"/>
              <w:left w:val="single" w:color="000000" w:sz="4" w:space="0"/>
              <w:bottom w:val="single" w:color="000000" w:sz="4" w:space="0"/>
              <w:right w:val="single" w:color="000000" w:sz="4" w:space="0"/>
            </w:tcBorders>
            <w:vAlign w:val="center"/>
          </w:tcPr>
          <w:p w14:paraId="37CD8A1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2,2-</w:t>
            </w:r>
            <w:r>
              <w:rPr>
                <w:rStyle w:val="249"/>
                <w:rFonts w:hint="default" w:ascii="Times New Roman" w:hAnsi="Times New Roman" w:eastAsia="宋体" w:cs="Times New Roman"/>
                <w:sz w:val="21"/>
                <w:szCs w:val="21"/>
                <w:highlight w:val="none"/>
                <w:lang w:bidi="ar"/>
              </w:rPr>
              <w:t>二甲基丁烷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337D82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46</w:t>
            </w:r>
          </w:p>
        </w:tc>
        <w:tc>
          <w:tcPr>
            <w:tcW w:w="1811" w:type="pct"/>
            <w:tcBorders>
              <w:top w:val="single" w:color="000000" w:sz="4" w:space="0"/>
              <w:left w:val="single" w:color="000000" w:sz="4" w:space="0"/>
              <w:bottom w:val="single" w:color="000000" w:sz="4" w:space="0"/>
              <w:right w:val="single" w:color="000000" w:sz="4" w:space="0"/>
            </w:tcBorders>
            <w:vAlign w:val="center"/>
          </w:tcPr>
          <w:p w14:paraId="706BCEF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正丙苯</w:t>
            </w:r>
          </w:p>
        </w:tc>
      </w:tr>
      <w:tr w14:paraId="4446583D">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712715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18</w:t>
            </w:r>
          </w:p>
        </w:tc>
        <w:tc>
          <w:tcPr>
            <w:tcW w:w="1879" w:type="pct"/>
            <w:tcBorders>
              <w:top w:val="single" w:color="000000" w:sz="4" w:space="0"/>
              <w:left w:val="single" w:color="000000" w:sz="4" w:space="0"/>
              <w:bottom w:val="single" w:color="000000" w:sz="4" w:space="0"/>
              <w:right w:val="single" w:color="000000" w:sz="4" w:space="0"/>
            </w:tcBorders>
            <w:vAlign w:val="center"/>
          </w:tcPr>
          <w:p w14:paraId="1993D73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2,3-</w:t>
            </w:r>
            <w:r>
              <w:rPr>
                <w:rStyle w:val="249"/>
                <w:rFonts w:hint="default" w:ascii="Times New Roman" w:hAnsi="Times New Roman" w:eastAsia="宋体" w:cs="Times New Roman"/>
                <w:sz w:val="21"/>
                <w:szCs w:val="21"/>
                <w:highlight w:val="none"/>
                <w:lang w:bidi="ar"/>
              </w:rPr>
              <w:t>二甲基丁烷</w:t>
            </w:r>
          </w:p>
        </w:tc>
        <w:tc>
          <w:tcPr>
            <w:tcW w:w="752" w:type="pct"/>
            <w:tcBorders>
              <w:top w:val="single" w:color="000000" w:sz="4" w:space="0"/>
              <w:left w:val="single" w:color="000000" w:sz="4" w:space="0"/>
              <w:bottom w:val="single" w:color="000000" w:sz="4" w:space="0"/>
              <w:right w:val="single" w:color="000000" w:sz="4" w:space="0"/>
            </w:tcBorders>
            <w:vAlign w:val="center"/>
          </w:tcPr>
          <w:p w14:paraId="57B488D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47</w:t>
            </w:r>
          </w:p>
        </w:tc>
        <w:tc>
          <w:tcPr>
            <w:tcW w:w="1811" w:type="pct"/>
            <w:tcBorders>
              <w:top w:val="single" w:color="000000" w:sz="4" w:space="0"/>
              <w:left w:val="single" w:color="000000" w:sz="4" w:space="0"/>
              <w:bottom w:val="single" w:color="000000" w:sz="4" w:space="0"/>
              <w:right w:val="single" w:color="000000" w:sz="4" w:space="0"/>
            </w:tcBorders>
            <w:vAlign w:val="center"/>
          </w:tcPr>
          <w:p w14:paraId="43F25F7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间乙基甲苯</w:t>
            </w:r>
          </w:p>
        </w:tc>
      </w:tr>
      <w:tr w14:paraId="4CB29A6E">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9B3F2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19</w:t>
            </w:r>
          </w:p>
        </w:tc>
        <w:tc>
          <w:tcPr>
            <w:tcW w:w="1879" w:type="pct"/>
            <w:tcBorders>
              <w:top w:val="single" w:color="000000" w:sz="4" w:space="0"/>
              <w:left w:val="single" w:color="000000" w:sz="4" w:space="0"/>
              <w:bottom w:val="single" w:color="000000" w:sz="4" w:space="0"/>
              <w:right w:val="single" w:color="000000" w:sz="4" w:space="0"/>
            </w:tcBorders>
            <w:vAlign w:val="center"/>
          </w:tcPr>
          <w:p w14:paraId="676A15C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w:t>
            </w:r>
            <w:r>
              <w:rPr>
                <w:rStyle w:val="249"/>
                <w:rFonts w:hint="default" w:ascii="Times New Roman" w:hAnsi="Times New Roman" w:eastAsia="宋体" w:cs="Times New Roman"/>
                <w:sz w:val="21"/>
                <w:szCs w:val="21"/>
                <w:highlight w:val="none"/>
                <w:lang w:bidi="ar"/>
              </w:rPr>
              <w:t>甲基戊烷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BD1420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48</w:t>
            </w:r>
          </w:p>
        </w:tc>
        <w:tc>
          <w:tcPr>
            <w:tcW w:w="1811" w:type="pct"/>
            <w:tcBorders>
              <w:top w:val="single" w:color="000000" w:sz="4" w:space="0"/>
              <w:left w:val="single" w:color="000000" w:sz="4" w:space="0"/>
              <w:bottom w:val="single" w:color="000000" w:sz="4" w:space="0"/>
              <w:right w:val="single" w:color="000000" w:sz="4" w:space="0"/>
            </w:tcBorders>
            <w:vAlign w:val="center"/>
          </w:tcPr>
          <w:p w14:paraId="55DE501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对乙基甲苯</w:t>
            </w:r>
          </w:p>
        </w:tc>
      </w:tr>
      <w:tr w14:paraId="085F9548">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ADB4A4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20</w:t>
            </w:r>
          </w:p>
        </w:tc>
        <w:tc>
          <w:tcPr>
            <w:tcW w:w="1879" w:type="pct"/>
            <w:tcBorders>
              <w:top w:val="single" w:color="000000" w:sz="4" w:space="0"/>
              <w:left w:val="single" w:color="000000" w:sz="4" w:space="0"/>
              <w:bottom w:val="single" w:color="000000" w:sz="4" w:space="0"/>
              <w:right w:val="single" w:color="000000" w:sz="4" w:space="0"/>
            </w:tcBorders>
            <w:vAlign w:val="center"/>
          </w:tcPr>
          <w:p w14:paraId="49BD30E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3-</w:t>
            </w:r>
            <w:r>
              <w:rPr>
                <w:rStyle w:val="249"/>
                <w:rFonts w:hint="default" w:ascii="Times New Roman" w:hAnsi="Times New Roman" w:eastAsia="宋体" w:cs="Times New Roman"/>
                <w:sz w:val="21"/>
                <w:szCs w:val="21"/>
                <w:highlight w:val="none"/>
                <w:lang w:bidi="ar"/>
              </w:rPr>
              <w:t>甲基戊烷</w:t>
            </w:r>
          </w:p>
        </w:tc>
        <w:tc>
          <w:tcPr>
            <w:tcW w:w="752" w:type="pct"/>
            <w:tcBorders>
              <w:top w:val="single" w:color="000000" w:sz="4" w:space="0"/>
              <w:left w:val="single" w:color="000000" w:sz="4" w:space="0"/>
              <w:bottom w:val="single" w:color="000000" w:sz="4" w:space="0"/>
              <w:right w:val="single" w:color="000000" w:sz="4" w:space="0"/>
            </w:tcBorders>
            <w:vAlign w:val="center"/>
          </w:tcPr>
          <w:p w14:paraId="7A08EC4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49</w:t>
            </w:r>
          </w:p>
        </w:tc>
        <w:tc>
          <w:tcPr>
            <w:tcW w:w="1811" w:type="pct"/>
            <w:tcBorders>
              <w:top w:val="single" w:color="000000" w:sz="4" w:space="0"/>
              <w:left w:val="single" w:color="000000" w:sz="4" w:space="0"/>
              <w:bottom w:val="single" w:color="000000" w:sz="4" w:space="0"/>
              <w:right w:val="single" w:color="000000" w:sz="4" w:space="0"/>
            </w:tcBorders>
            <w:vAlign w:val="center"/>
          </w:tcPr>
          <w:p w14:paraId="435E012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1,3,5-</w:t>
            </w:r>
            <w:r>
              <w:rPr>
                <w:rStyle w:val="249"/>
                <w:rFonts w:hint="default" w:ascii="Times New Roman" w:hAnsi="Times New Roman" w:eastAsia="宋体" w:cs="Times New Roman"/>
                <w:sz w:val="21"/>
                <w:szCs w:val="21"/>
                <w:highlight w:val="none"/>
                <w:lang w:bidi="ar"/>
              </w:rPr>
              <w:t>三甲基苯</w:t>
            </w:r>
          </w:p>
        </w:tc>
      </w:tr>
      <w:tr w14:paraId="6D92AA32">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5EEA9A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21</w:t>
            </w:r>
          </w:p>
        </w:tc>
        <w:tc>
          <w:tcPr>
            <w:tcW w:w="1879" w:type="pct"/>
            <w:tcBorders>
              <w:top w:val="single" w:color="000000" w:sz="4" w:space="0"/>
              <w:left w:val="single" w:color="000000" w:sz="4" w:space="0"/>
              <w:bottom w:val="single" w:color="000000" w:sz="4" w:space="0"/>
              <w:right w:val="single" w:color="000000" w:sz="4" w:space="0"/>
            </w:tcBorders>
            <w:vAlign w:val="center"/>
          </w:tcPr>
          <w:p w14:paraId="3FEF0B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异戊二烯</w:t>
            </w:r>
          </w:p>
        </w:tc>
        <w:tc>
          <w:tcPr>
            <w:tcW w:w="752" w:type="pct"/>
            <w:tcBorders>
              <w:top w:val="single" w:color="000000" w:sz="4" w:space="0"/>
              <w:left w:val="single" w:color="000000" w:sz="4" w:space="0"/>
              <w:bottom w:val="single" w:color="000000" w:sz="4" w:space="0"/>
              <w:right w:val="single" w:color="000000" w:sz="4" w:space="0"/>
            </w:tcBorders>
            <w:vAlign w:val="center"/>
          </w:tcPr>
          <w:p w14:paraId="509981F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50</w:t>
            </w:r>
          </w:p>
        </w:tc>
        <w:tc>
          <w:tcPr>
            <w:tcW w:w="1811" w:type="pct"/>
            <w:tcBorders>
              <w:top w:val="single" w:color="000000" w:sz="4" w:space="0"/>
              <w:left w:val="single" w:color="000000" w:sz="4" w:space="0"/>
              <w:bottom w:val="single" w:color="000000" w:sz="4" w:space="0"/>
              <w:right w:val="single" w:color="000000" w:sz="4" w:space="0"/>
            </w:tcBorders>
            <w:vAlign w:val="center"/>
          </w:tcPr>
          <w:p w14:paraId="2C1CF29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 4-</w:t>
            </w:r>
            <w:r>
              <w:rPr>
                <w:rStyle w:val="249"/>
                <w:rFonts w:hint="default" w:ascii="Times New Roman" w:hAnsi="Times New Roman" w:eastAsia="宋体" w:cs="Times New Roman"/>
                <w:sz w:val="21"/>
                <w:szCs w:val="21"/>
                <w:highlight w:val="none"/>
                <w:lang w:bidi="ar"/>
              </w:rPr>
              <w:t>三甲基苯</w:t>
            </w:r>
          </w:p>
        </w:tc>
      </w:tr>
      <w:tr w14:paraId="48CAB3DE">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E98343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22</w:t>
            </w:r>
          </w:p>
        </w:tc>
        <w:tc>
          <w:tcPr>
            <w:tcW w:w="1879" w:type="pct"/>
            <w:tcBorders>
              <w:top w:val="single" w:color="000000" w:sz="4" w:space="0"/>
              <w:left w:val="single" w:color="000000" w:sz="4" w:space="0"/>
              <w:bottom w:val="single" w:color="000000" w:sz="4" w:space="0"/>
              <w:right w:val="single" w:color="000000" w:sz="4" w:space="0"/>
            </w:tcBorders>
            <w:vAlign w:val="center"/>
          </w:tcPr>
          <w:p w14:paraId="20187CD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正己烷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67A5A4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51</w:t>
            </w:r>
          </w:p>
        </w:tc>
        <w:tc>
          <w:tcPr>
            <w:tcW w:w="1811" w:type="pct"/>
            <w:tcBorders>
              <w:top w:val="single" w:color="000000" w:sz="4" w:space="0"/>
              <w:left w:val="single" w:color="000000" w:sz="4" w:space="0"/>
              <w:bottom w:val="single" w:color="000000" w:sz="4" w:space="0"/>
              <w:right w:val="single" w:color="000000" w:sz="4" w:space="0"/>
            </w:tcBorders>
            <w:vAlign w:val="center"/>
          </w:tcPr>
          <w:p w14:paraId="7EE596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1,2,3-</w:t>
            </w:r>
            <w:r>
              <w:rPr>
                <w:rStyle w:val="249"/>
                <w:rFonts w:hint="default" w:ascii="Times New Roman" w:hAnsi="Times New Roman" w:eastAsia="宋体" w:cs="Times New Roman"/>
                <w:sz w:val="21"/>
                <w:szCs w:val="21"/>
                <w:highlight w:val="none"/>
                <w:lang w:bidi="ar"/>
              </w:rPr>
              <w:t>三甲基苯</w:t>
            </w:r>
          </w:p>
        </w:tc>
      </w:tr>
      <w:tr w14:paraId="41BEC218">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36314B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23</w:t>
            </w:r>
          </w:p>
        </w:tc>
        <w:tc>
          <w:tcPr>
            <w:tcW w:w="1879" w:type="pct"/>
            <w:tcBorders>
              <w:top w:val="single" w:color="000000" w:sz="4" w:space="0"/>
              <w:left w:val="single" w:color="000000" w:sz="4" w:space="0"/>
              <w:bottom w:val="single" w:color="000000" w:sz="4" w:space="0"/>
              <w:right w:val="single" w:color="000000" w:sz="4" w:space="0"/>
            </w:tcBorders>
            <w:vAlign w:val="center"/>
          </w:tcPr>
          <w:p w14:paraId="2B1E1B0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w:t>
            </w:r>
            <w:r>
              <w:rPr>
                <w:rStyle w:val="249"/>
                <w:rFonts w:hint="default" w:ascii="Times New Roman" w:hAnsi="Times New Roman" w:eastAsia="宋体" w:cs="Times New Roman"/>
                <w:sz w:val="21"/>
                <w:szCs w:val="21"/>
                <w:highlight w:val="none"/>
                <w:lang w:bidi="ar"/>
              </w:rPr>
              <w:t>己烯</w:t>
            </w:r>
          </w:p>
        </w:tc>
        <w:tc>
          <w:tcPr>
            <w:tcW w:w="752" w:type="pct"/>
            <w:tcBorders>
              <w:top w:val="single" w:color="000000" w:sz="4" w:space="0"/>
              <w:left w:val="single" w:color="000000" w:sz="4" w:space="0"/>
              <w:bottom w:val="single" w:color="000000" w:sz="4" w:space="0"/>
              <w:right w:val="single" w:color="000000" w:sz="4" w:space="0"/>
            </w:tcBorders>
            <w:vAlign w:val="center"/>
          </w:tcPr>
          <w:p w14:paraId="3D009D8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52</w:t>
            </w:r>
          </w:p>
        </w:tc>
        <w:tc>
          <w:tcPr>
            <w:tcW w:w="1811" w:type="pct"/>
            <w:tcBorders>
              <w:top w:val="single" w:color="000000" w:sz="4" w:space="0"/>
              <w:left w:val="single" w:color="000000" w:sz="4" w:space="0"/>
              <w:bottom w:val="single" w:color="000000" w:sz="4" w:space="0"/>
              <w:right w:val="single" w:color="000000" w:sz="4" w:space="0"/>
            </w:tcBorders>
            <w:vAlign w:val="center"/>
          </w:tcPr>
          <w:p w14:paraId="5BA7719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邻乙基甲苯</w:t>
            </w:r>
          </w:p>
        </w:tc>
      </w:tr>
      <w:tr w14:paraId="0295F04C">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E28EAA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24</w:t>
            </w:r>
          </w:p>
        </w:tc>
        <w:tc>
          <w:tcPr>
            <w:tcW w:w="1879" w:type="pct"/>
            <w:tcBorders>
              <w:top w:val="single" w:color="000000" w:sz="4" w:space="0"/>
              <w:left w:val="single" w:color="000000" w:sz="4" w:space="0"/>
              <w:bottom w:val="single" w:color="000000" w:sz="4" w:space="0"/>
              <w:right w:val="single" w:color="000000" w:sz="4" w:space="0"/>
            </w:tcBorders>
            <w:vAlign w:val="center"/>
          </w:tcPr>
          <w:p w14:paraId="12C01ED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甲基环戊烷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F6C84E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53</w:t>
            </w:r>
          </w:p>
        </w:tc>
        <w:tc>
          <w:tcPr>
            <w:tcW w:w="1811" w:type="pct"/>
            <w:tcBorders>
              <w:top w:val="single" w:color="000000" w:sz="4" w:space="0"/>
              <w:left w:val="single" w:color="000000" w:sz="4" w:space="0"/>
              <w:bottom w:val="single" w:color="000000" w:sz="4" w:space="0"/>
              <w:right w:val="single" w:color="000000" w:sz="4" w:space="0"/>
            </w:tcBorders>
            <w:vAlign w:val="center"/>
          </w:tcPr>
          <w:p w14:paraId="3132BD5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正癸烷</w:t>
            </w:r>
          </w:p>
        </w:tc>
      </w:tr>
      <w:tr w14:paraId="175405F5">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D30509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25</w:t>
            </w:r>
          </w:p>
        </w:tc>
        <w:tc>
          <w:tcPr>
            <w:tcW w:w="1879" w:type="pct"/>
            <w:tcBorders>
              <w:top w:val="single" w:color="000000" w:sz="4" w:space="0"/>
              <w:left w:val="single" w:color="000000" w:sz="4" w:space="0"/>
              <w:bottom w:val="single" w:color="000000" w:sz="4" w:space="0"/>
              <w:right w:val="single" w:color="000000" w:sz="4" w:space="0"/>
            </w:tcBorders>
            <w:vAlign w:val="center"/>
          </w:tcPr>
          <w:p w14:paraId="5190F83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2,4-</w:t>
            </w:r>
            <w:r>
              <w:rPr>
                <w:rStyle w:val="249"/>
                <w:rFonts w:hint="default" w:ascii="Times New Roman" w:hAnsi="Times New Roman" w:eastAsia="宋体" w:cs="Times New Roman"/>
                <w:sz w:val="21"/>
                <w:szCs w:val="21"/>
                <w:highlight w:val="none"/>
                <w:lang w:bidi="ar"/>
              </w:rPr>
              <w:t>二甲基戊烷</w:t>
            </w:r>
          </w:p>
        </w:tc>
        <w:tc>
          <w:tcPr>
            <w:tcW w:w="752" w:type="pct"/>
            <w:tcBorders>
              <w:top w:val="single" w:color="000000" w:sz="4" w:space="0"/>
              <w:left w:val="single" w:color="000000" w:sz="4" w:space="0"/>
              <w:bottom w:val="single" w:color="000000" w:sz="4" w:space="0"/>
              <w:right w:val="single" w:color="000000" w:sz="4" w:space="0"/>
            </w:tcBorders>
            <w:vAlign w:val="center"/>
          </w:tcPr>
          <w:p w14:paraId="41903A4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54</w:t>
            </w:r>
          </w:p>
        </w:tc>
        <w:tc>
          <w:tcPr>
            <w:tcW w:w="1811" w:type="pct"/>
            <w:tcBorders>
              <w:top w:val="single" w:color="000000" w:sz="4" w:space="0"/>
              <w:left w:val="single" w:color="000000" w:sz="4" w:space="0"/>
              <w:bottom w:val="single" w:color="000000" w:sz="4" w:space="0"/>
              <w:right w:val="single" w:color="000000" w:sz="4" w:space="0"/>
            </w:tcBorders>
            <w:vAlign w:val="center"/>
          </w:tcPr>
          <w:p w14:paraId="5518111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间二乙基苯</w:t>
            </w:r>
          </w:p>
        </w:tc>
      </w:tr>
      <w:tr w14:paraId="1B2EEA31">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0D754BB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26</w:t>
            </w:r>
          </w:p>
        </w:tc>
        <w:tc>
          <w:tcPr>
            <w:tcW w:w="1879" w:type="pct"/>
            <w:tcBorders>
              <w:top w:val="single" w:color="000000" w:sz="4" w:space="0"/>
              <w:left w:val="single" w:color="000000" w:sz="4" w:space="0"/>
              <w:bottom w:val="single" w:color="000000" w:sz="4" w:space="0"/>
              <w:right w:val="single" w:color="000000" w:sz="4" w:space="0"/>
            </w:tcBorders>
            <w:vAlign w:val="center"/>
          </w:tcPr>
          <w:p w14:paraId="67E7734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苯</w:t>
            </w:r>
          </w:p>
        </w:tc>
        <w:tc>
          <w:tcPr>
            <w:tcW w:w="752" w:type="pct"/>
            <w:tcBorders>
              <w:top w:val="single" w:color="000000" w:sz="4" w:space="0"/>
              <w:left w:val="single" w:color="000000" w:sz="4" w:space="0"/>
              <w:bottom w:val="single" w:color="000000" w:sz="4" w:space="0"/>
              <w:right w:val="single" w:color="000000" w:sz="4" w:space="0"/>
            </w:tcBorders>
            <w:vAlign w:val="center"/>
          </w:tcPr>
          <w:p w14:paraId="353ED1B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55</w:t>
            </w:r>
          </w:p>
        </w:tc>
        <w:tc>
          <w:tcPr>
            <w:tcW w:w="1811" w:type="pct"/>
            <w:tcBorders>
              <w:top w:val="single" w:color="000000" w:sz="4" w:space="0"/>
              <w:left w:val="single" w:color="000000" w:sz="4" w:space="0"/>
              <w:bottom w:val="single" w:color="000000" w:sz="4" w:space="0"/>
              <w:right w:val="single" w:color="000000" w:sz="4" w:space="0"/>
            </w:tcBorders>
            <w:vAlign w:val="center"/>
          </w:tcPr>
          <w:p w14:paraId="4600790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对二乙基苯</w:t>
            </w:r>
          </w:p>
        </w:tc>
      </w:tr>
      <w:tr w14:paraId="2B166E8D">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1DB109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27</w:t>
            </w:r>
          </w:p>
        </w:tc>
        <w:tc>
          <w:tcPr>
            <w:tcW w:w="1879" w:type="pct"/>
            <w:tcBorders>
              <w:top w:val="single" w:color="000000" w:sz="4" w:space="0"/>
              <w:left w:val="single" w:color="000000" w:sz="4" w:space="0"/>
              <w:bottom w:val="single" w:color="000000" w:sz="4" w:space="0"/>
              <w:right w:val="single" w:color="000000" w:sz="4" w:space="0"/>
            </w:tcBorders>
            <w:vAlign w:val="center"/>
          </w:tcPr>
          <w:p w14:paraId="7C17A8C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环己烷</w:t>
            </w:r>
          </w:p>
        </w:tc>
        <w:tc>
          <w:tcPr>
            <w:tcW w:w="752" w:type="pct"/>
            <w:tcBorders>
              <w:top w:val="single" w:color="000000" w:sz="4" w:space="0"/>
              <w:left w:val="single" w:color="000000" w:sz="4" w:space="0"/>
              <w:bottom w:val="single" w:color="000000" w:sz="4" w:space="0"/>
              <w:right w:val="single" w:color="000000" w:sz="4" w:space="0"/>
            </w:tcBorders>
            <w:vAlign w:val="center"/>
          </w:tcPr>
          <w:p w14:paraId="32B297F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56</w:t>
            </w:r>
          </w:p>
        </w:tc>
        <w:tc>
          <w:tcPr>
            <w:tcW w:w="1811" w:type="pct"/>
            <w:tcBorders>
              <w:top w:val="single" w:color="000000" w:sz="4" w:space="0"/>
              <w:left w:val="single" w:color="000000" w:sz="4" w:space="0"/>
              <w:bottom w:val="single" w:color="000000" w:sz="4" w:space="0"/>
              <w:right w:val="single" w:color="000000" w:sz="4" w:space="0"/>
            </w:tcBorders>
            <w:vAlign w:val="center"/>
          </w:tcPr>
          <w:p w14:paraId="087C7EB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正十一烷</w:t>
            </w:r>
          </w:p>
        </w:tc>
      </w:tr>
      <w:tr w14:paraId="67411722">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169BEDE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28</w:t>
            </w:r>
          </w:p>
        </w:tc>
        <w:tc>
          <w:tcPr>
            <w:tcW w:w="1879" w:type="pct"/>
            <w:tcBorders>
              <w:top w:val="single" w:color="000000" w:sz="4" w:space="0"/>
              <w:left w:val="single" w:color="000000" w:sz="4" w:space="0"/>
              <w:bottom w:val="single" w:color="000000" w:sz="4" w:space="0"/>
              <w:right w:val="single" w:color="000000" w:sz="4" w:space="0"/>
            </w:tcBorders>
            <w:vAlign w:val="center"/>
          </w:tcPr>
          <w:p w14:paraId="770309E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w:t>
            </w:r>
            <w:r>
              <w:rPr>
                <w:rStyle w:val="249"/>
                <w:rFonts w:hint="default" w:ascii="Times New Roman" w:hAnsi="Times New Roman" w:eastAsia="宋体" w:cs="Times New Roman"/>
                <w:sz w:val="21"/>
                <w:szCs w:val="21"/>
                <w:highlight w:val="none"/>
                <w:lang w:bidi="ar"/>
              </w:rPr>
              <w:t>甲基己烷</w:t>
            </w:r>
          </w:p>
        </w:tc>
        <w:tc>
          <w:tcPr>
            <w:tcW w:w="752" w:type="pct"/>
            <w:tcBorders>
              <w:top w:val="single" w:color="000000" w:sz="4" w:space="0"/>
              <w:left w:val="single" w:color="000000" w:sz="4" w:space="0"/>
              <w:bottom w:val="single" w:color="000000" w:sz="4" w:space="0"/>
              <w:right w:val="single" w:color="000000" w:sz="4" w:space="0"/>
            </w:tcBorders>
            <w:vAlign w:val="center"/>
          </w:tcPr>
          <w:p w14:paraId="4AA0430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57</w:t>
            </w:r>
          </w:p>
        </w:tc>
        <w:tc>
          <w:tcPr>
            <w:tcW w:w="1811" w:type="pct"/>
            <w:tcBorders>
              <w:top w:val="single" w:color="000000" w:sz="4" w:space="0"/>
              <w:left w:val="single" w:color="000000" w:sz="4" w:space="0"/>
              <w:bottom w:val="single" w:color="000000" w:sz="4" w:space="0"/>
              <w:right w:val="single" w:color="000000" w:sz="4" w:space="0"/>
            </w:tcBorders>
            <w:vAlign w:val="center"/>
          </w:tcPr>
          <w:p w14:paraId="013848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正十二烷</w:t>
            </w:r>
          </w:p>
        </w:tc>
      </w:tr>
      <w:tr w14:paraId="18B5ACB4">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72150A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58</w:t>
            </w:r>
          </w:p>
        </w:tc>
        <w:tc>
          <w:tcPr>
            <w:tcW w:w="1879" w:type="pct"/>
            <w:tcBorders>
              <w:top w:val="single" w:color="000000" w:sz="4" w:space="0"/>
              <w:left w:val="single" w:color="000000" w:sz="4" w:space="0"/>
              <w:bottom w:val="single" w:color="000000" w:sz="4" w:space="0"/>
              <w:right w:val="single" w:color="000000" w:sz="4" w:space="0"/>
            </w:tcBorders>
            <w:vAlign w:val="center"/>
          </w:tcPr>
          <w:p w14:paraId="641F67F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甲醛</w:t>
            </w:r>
          </w:p>
        </w:tc>
        <w:tc>
          <w:tcPr>
            <w:tcW w:w="752" w:type="pct"/>
            <w:tcBorders>
              <w:top w:val="single" w:color="000000" w:sz="4" w:space="0"/>
              <w:left w:val="single" w:color="000000" w:sz="4" w:space="0"/>
              <w:bottom w:val="single" w:color="000000" w:sz="4" w:space="0"/>
              <w:right w:val="single" w:color="000000" w:sz="4" w:space="0"/>
            </w:tcBorders>
            <w:vAlign w:val="center"/>
          </w:tcPr>
          <w:p w14:paraId="23E5288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65</w:t>
            </w:r>
          </w:p>
        </w:tc>
        <w:tc>
          <w:tcPr>
            <w:tcW w:w="1811" w:type="pct"/>
            <w:tcBorders>
              <w:top w:val="single" w:color="000000" w:sz="4" w:space="0"/>
              <w:left w:val="single" w:color="000000" w:sz="4" w:space="0"/>
              <w:bottom w:val="single" w:color="000000" w:sz="4" w:space="0"/>
              <w:right w:val="single" w:color="000000" w:sz="4" w:space="0"/>
            </w:tcBorders>
            <w:vAlign w:val="center"/>
          </w:tcPr>
          <w:p w14:paraId="2950B82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2 -丁酮</w:t>
            </w:r>
          </w:p>
        </w:tc>
      </w:tr>
      <w:tr w14:paraId="4F1532B0">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0CAF248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59</w:t>
            </w:r>
          </w:p>
        </w:tc>
        <w:tc>
          <w:tcPr>
            <w:tcW w:w="1879" w:type="pct"/>
            <w:tcBorders>
              <w:top w:val="single" w:color="000000" w:sz="4" w:space="0"/>
              <w:left w:val="single" w:color="000000" w:sz="4" w:space="0"/>
              <w:bottom w:val="single" w:color="000000" w:sz="4" w:space="0"/>
              <w:right w:val="single" w:color="000000" w:sz="4" w:space="0"/>
            </w:tcBorders>
            <w:vAlign w:val="center"/>
          </w:tcPr>
          <w:p w14:paraId="3618E5D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乙醛</w:t>
            </w:r>
          </w:p>
        </w:tc>
        <w:tc>
          <w:tcPr>
            <w:tcW w:w="752" w:type="pct"/>
            <w:tcBorders>
              <w:top w:val="single" w:color="000000" w:sz="4" w:space="0"/>
              <w:left w:val="single" w:color="000000" w:sz="4" w:space="0"/>
              <w:bottom w:val="single" w:color="000000" w:sz="4" w:space="0"/>
              <w:right w:val="single" w:color="000000" w:sz="4" w:space="0"/>
            </w:tcBorders>
            <w:vAlign w:val="center"/>
          </w:tcPr>
          <w:p w14:paraId="74358B8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66</w:t>
            </w:r>
          </w:p>
        </w:tc>
        <w:tc>
          <w:tcPr>
            <w:tcW w:w="1811" w:type="pct"/>
            <w:tcBorders>
              <w:top w:val="single" w:color="000000" w:sz="4" w:space="0"/>
              <w:left w:val="single" w:color="000000" w:sz="4" w:space="0"/>
              <w:bottom w:val="single" w:color="000000" w:sz="4" w:space="0"/>
              <w:right w:val="single" w:color="000000" w:sz="4" w:space="0"/>
            </w:tcBorders>
            <w:vAlign w:val="center"/>
          </w:tcPr>
          <w:p w14:paraId="45364C2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正丁醛</w:t>
            </w:r>
          </w:p>
        </w:tc>
      </w:tr>
      <w:tr w14:paraId="1539B535">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B4669B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60</w:t>
            </w:r>
          </w:p>
        </w:tc>
        <w:tc>
          <w:tcPr>
            <w:tcW w:w="1879" w:type="pct"/>
            <w:tcBorders>
              <w:top w:val="single" w:color="000000" w:sz="4" w:space="0"/>
              <w:left w:val="single" w:color="000000" w:sz="4" w:space="0"/>
              <w:bottom w:val="single" w:color="000000" w:sz="4" w:space="0"/>
              <w:right w:val="single" w:color="000000" w:sz="4" w:space="0"/>
            </w:tcBorders>
            <w:vAlign w:val="center"/>
          </w:tcPr>
          <w:p w14:paraId="5751B0B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丙烯醛</w:t>
            </w:r>
          </w:p>
        </w:tc>
        <w:tc>
          <w:tcPr>
            <w:tcW w:w="752" w:type="pct"/>
            <w:tcBorders>
              <w:top w:val="single" w:color="000000" w:sz="4" w:space="0"/>
              <w:left w:val="single" w:color="000000" w:sz="4" w:space="0"/>
              <w:bottom w:val="single" w:color="000000" w:sz="4" w:space="0"/>
              <w:right w:val="single" w:color="000000" w:sz="4" w:space="0"/>
            </w:tcBorders>
            <w:vAlign w:val="center"/>
          </w:tcPr>
          <w:p w14:paraId="73F67C8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67</w:t>
            </w:r>
          </w:p>
        </w:tc>
        <w:tc>
          <w:tcPr>
            <w:tcW w:w="1811" w:type="pct"/>
            <w:tcBorders>
              <w:top w:val="single" w:color="000000" w:sz="4" w:space="0"/>
              <w:left w:val="single" w:color="000000" w:sz="4" w:space="0"/>
              <w:bottom w:val="single" w:color="000000" w:sz="4" w:space="0"/>
              <w:right w:val="single" w:color="000000" w:sz="4" w:space="0"/>
            </w:tcBorders>
            <w:vAlign w:val="center"/>
          </w:tcPr>
          <w:p w14:paraId="5215466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苯甲醛</w:t>
            </w:r>
          </w:p>
        </w:tc>
      </w:tr>
      <w:tr w14:paraId="746BFB52">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1E96E0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61</w:t>
            </w:r>
          </w:p>
        </w:tc>
        <w:tc>
          <w:tcPr>
            <w:tcW w:w="1879" w:type="pct"/>
            <w:tcBorders>
              <w:top w:val="single" w:color="000000" w:sz="4" w:space="0"/>
              <w:left w:val="single" w:color="000000" w:sz="4" w:space="0"/>
              <w:bottom w:val="single" w:color="000000" w:sz="4" w:space="0"/>
              <w:right w:val="single" w:color="000000" w:sz="4" w:space="0"/>
            </w:tcBorders>
            <w:vAlign w:val="center"/>
          </w:tcPr>
          <w:p w14:paraId="532F9A4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丙酮</w:t>
            </w:r>
          </w:p>
        </w:tc>
        <w:tc>
          <w:tcPr>
            <w:tcW w:w="752" w:type="pct"/>
            <w:tcBorders>
              <w:top w:val="single" w:color="000000" w:sz="4" w:space="0"/>
              <w:left w:val="single" w:color="000000" w:sz="4" w:space="0"/>
              <w:bottom w:val="single" w:color="000000" w:sz="4" w:space="0"/>
              <w:right w:val="single" w:color="000000" w:sz="4" w:space="0"/>
            </w:tcBorders>
            <w:vAlign w:val="center"/>
          </w:tcPr>
          <w:p w14:paraId="643D658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68</w:t>
            </w:r>
          </w:p>
        </w:tc>
        <w:tc>
          <w:tcPr>
            <w:tcW w:w="1811" w:type="pct"/>
            <w:tcBorders>
              <w:top w:val="single" w:color="000000" w:sz="4" w:space="0"/>
              <w:left w:val="single" w:color="000000" w:sz="4" w:space="0"/>
              <w:bottom w:val="single" w:color="000000" w:sz="4" w:space="0"/>
              <w:right w:val="single" w:color="000000" w:sz="4" w:space="0"/>
            </w:tcBorders>
            <w:vAlign w:val="center"/>
          </w:tcPr>
          <w:p w14:paraId="226E16C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戊醛</w:t>
            </w:r>
          </w:p>
        </w:tc>
      </w:tr>
      <w:tr w14:paraId="5DA56BD9">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D9579B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62</w:t>
            </w:r>
          </w:p>
        </w:tc>
        <w:tc>
          <w:tcPr>
            <w:tcW w:w="1879" w:type="pct"/>
            <w:tcBorders>
              <w:top w:val="single" w:color="000000" w:sz="4" w:space="0"/>
              <w:left w:val="single" w:color="000000" w:sz="4" w:space="0"/>
              <w:bottom w:val="single" w:color="000000" w:sz="4" w:space="0"/>
              <w:right w:val="single" w:color="000000" w:sz="4" w:space="0"/>
            </w:tcBorders>
            <w:vAlign w:val="center"/>
          </w:tcPr>
          <w:p w14:paraId="1A6C38B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丙醛</w:t>
            </w:r>
          </w:p>
        </w:tc>
        <w:tc>
          <w:tcPr>
            <w:tcW w:w="752" w:type="pct"/>
            <w:tcBorders>
              <w:top w:val="single" w:color="000000" w:sz="4" w:space="0"/>
              <w:left w:val="single" w:color="000000" w:sz="4" w:space="0"/>
              <w:bottom w:val="single" w:color="000000" w:sz="4" w:space="0"/>
              <w:right w:val="single" w:color="000000" w:sz="4" w:space="0"/>
            </w:tcBorders>
            <w:vAlign w:val="center"/>
          </w:tcPr>
          <w:p w14:paraId="44C9152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69</w:t>
            </w:r>
          </w:p>
        </w:tc>
        <w:tc>
          <w:tcPr>
            <w:tcW w:w="1811" w:type="pct"/>
            <w:tcBorders>
              <w:top w:val="single" w:color="000000" w:sz="4" w:space="0"/>
              <w:left w:val="single" w:color="000000" w:sz="4" w:space="0"/>
              <w:bottom w:val="single" w:color="000000" w:sz="4" w:space="0"/>
              <w:right w:val="single" w:color="000000" w:sz="4" w:space="0"/>
            </w:tcBorders>
            <w:vAlign w:val="center"/>
          </w:tcPr>
          <w:p w14:paraId="713D745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间甲基苯甲醛</w:t>
            </w:r>
          </w:p>
        </w:tc>
      </w:tr>
      <w:tr w14:paraId="3FFE9F8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E2744D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63</w:t>
            </w:r>
          </w:p>
        </w:tc>
        <w:tc>
          <w:tcPr>
            <w:tcW w:w="1879" w:type="pct"/>
            <w:tcBorders>
              <w:top w:val="single" w:color="000000" w:sz="4" w:space="0"/>
              <w:left w:val="single" w:color="000000" w:sz="4" w:space="0"/>
              <w:bottom w:val="single" w:color="000000" w:sz="4" w:space="0"/>
              <w:right w:val="single" w:color="000000" w:sz="4" w:space="0"/>
            </w:tcBorders>
            <w:vAlign w:val="center"/>
          </w:tcPr>
          <w:p w14:paraId="3389B4B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丁烯醛</w:t>
            </w:r>
          </w:p>
        </w:tc>
        <w:tc>
          <w:tcPr>
            <w:tcW w:w="752" w:type="pct"/>
            <w:tcBorders>
              <w:top w:val="single" w:color="000000" w:sz="4" w:space="0"/>
              <w:left w:val="single" w:color="000000" w:sz="4" w:space="0"/>
              <w:bottom w:val="single" w:color="000000" w:sz="4" w:space="0"/>
              <w:right w:val="single" w:color="000000" w:sz="4" w:space="0"/>
            </w:tcBorders>
            <w:vAlign w:val="center"/>
          </w:tcPr>
          <w:p w14:paraId="44E7AA6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70</w:t>
            </w:r>
          </w:p>
        </w:tc>
        <w:tc>
          <w:tcPr>
            <w:tcW w:w="1811" w:type="pct"/>
            <w:tcBorders>
              <w:top w:val="single" w:color="000000" w:sz="4" w:space="0"/>
              <w:left w:val="single" w:color="000000" w:sz="4" w:space="0"/>
              <w:bottom w:val="single" w:color="000000" w:sz="4" w:space="0"/>
              <w:right w:val="single" w:color="000000" w:sz="4" w:space="0"/>
            </w:tcBorders>
            <w:vAlign w:val="center"/>
          </w:tcPr>
          <w:p w14:paraId="0681E36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己醛</w:t>
            </w:r>
          </w:p>
        </w:tc>
      </w:tr>
      <w:tr w14:paraId="29B63F4D">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63B744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64</w:t>
            </w:r>
          </w:p>
        </w:tc>
        <w:tc>
          <w:tcPr>
            <w:tcW w:w="1879" w:type="pct"/>
            <w:tcBorders>
              <w:top w:val="single" w:color="000000" w:sz="4" w:space="0"/>
              <w:left w:val="single" w:color="000000" w:sz="4" w:space="0"/>
              <w:bottom w:val="single" w:color="000000" w:sz="4" w:space="0"/>
              <w:right w:val="single" w:color="000000" w:sz="4" w:space="0"/>
            </w:tcBorders>
            <w:vAlign w:val="center"/>
          </w:tcPr>
          <w:p w14:paraId="51E7DCD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甲基丙烯醛</w:t>
            </w:r>
          </w:p>
        </w:tc>
        <w:tc>
          <w:tcPr>
            <w:tcW w:w="752" w:type="pct"/>
            <w:tcBorders>
              <w:top w:val="single" w:color="000000" w:sz="4" w:space="0"/>
              <w:left w:val="single" w:color="000000" w:sz="4" w:space="0"/>
              <w:bottom w:val="single" w:color="000000" w:sz="4" w:space="0"/>
              <w:right w:val="single" w:color="000000" w:sz="4" w:space="0"/>
            </w:tcBorders>
            <w:vAlign w:val="center"/>
          </w:tcPr>
          <w:p w14:paraId="4711292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95</w:t>
            </w:r>
          </w:p>
        </w:tc>
        <w:tc>
          <w:tcPr>
            <w:tcW w:w="1811" w:type="pct"/>
            <w:tcBorders>
              <w:top w:val="single" w:color="000000" w:sz="4" w:space="0"/>
              <w:left w:val="single" w:color="000000" w:sz="4" w:space="0"/>
              <w:bottom w:val="single" w:color="000000" w:sz="4" w:space="0"/>
              <w:right w:val="single" w:color="000000" w:sz="4" w:space="0"/>
            </w:tcBorders>
            <w:vAlign w:val="center"/>
          </w:tcPr>
          <w:p w14:paraId="7863DA2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一溴二氯甲烷</w:t>
            </w:r>
          </w:p>
        </w:tc>
      </w:tr>
      <w:tr w14:paraId="2D5F90F3">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FA73B1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71</w:t>
            </w:r>
          </w:p>
        </w:tc>
        <w:tc>
          <w:tcPr>
            <w:tcW w:w="1879" w:type="pct"/>
            <w:tcBorders>
              <w:top w:val="single" w:color="000000" w:sz="4" w:space="0"/>
              <w:left w:val="single" w:color="000000" w:sz="4" w:space="0"/>
              <w:bottom w:val="single" w:color="000000" w:sz="4" w:space="0"/>
              <w:right w:val="single" w:color="000000" w:sz="4" w:space="0"/>
            </w:tcBorders>
            <w:vAlign w:val="center"/>
          </w:tcPr>
          <w:p w14:paraId="5D93FF6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二氟二氯甲烷</w:t>
            </w:r>
          </w:p>
        </w:tc>
        <w:tc>
          <w:tcPr>
            <w:tcW w:w="752" w:type="pct"/>
            <w:tcBorders>
              <w:top w:val="single" w:color="000000" w:sz="4" w:space="0"/>
              <w:left w:val="single" w:color="000000" w:sz="4" w:space="0"/>
              <w:bottom w:val="single" w:color="000000" w:sz="4" w:space="0"/>
              <w:right w:val="single" w:color="000000" w:sz="4" w:space="0"/>
            </w:tcBorders>
            <w:vAlign w:val="center"/>
          </w:tcPr>
          <w:p w14:paraId="11BA2F3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96</w:t>
            </w:r>
          </w:p>
        </w:tc>
        <w:tc>
          <w:tcPr>
            <w:tcW w:w="1811" w:type="pct"/>
            <w:tcBorders>
              <w:top w:val="single" w:color="000000" w:sz="4" w:space="0"/>
              <w:left w:val="single" w:color="000000" w:sz="4" w:space="0"/>
              <w:bottom w:val="single" w:color="000000" w:sz="4" w:space="0"/>
              <w:right w:val="single" w:color="000000" w:sz="4" w:space="0"/>
            </w:tcBorders>
            <w:vAlign w:val="center"/>
          </w:tcPr>
          <w:p w14:paraId="2EB33E0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三氯乙烯</w:t>
            </w:r>
          </w:p>
        </w:tc>
      </w:tr>
      <w:tr w14:paraId="01D6CE27">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6487E2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72</w:t>
            </w:r>
          </w:p>
        </w:tc>
        <w:tc>
          <w:tcPr>
            <w:tcW w:w="1879" w:type="pct"/>
            <w:tcBorders>
              <w:top w:val="single" w:color="000000" w:sz="4" w:space="0"/>
              <w:left w:val="single" w:color="000000" w:sz="4" w:space="0"/>
              <w:bottom w:val="single" w:color="000000" w:sz="4" w:space="0"/>
              <w:right w:val="single" w:color="000000" w:sz="4" w:space="0"/>
            </w:tcBorders>
            <w:vAlign w:val="center"/>
          </w:tcPr>
          <w:p w14:paraId="661CDA7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一氯甲烷</w:t>
            </w:r>
          </w:p>
        </w:tc>
        <w:tc>
          <w:tcPr>
            <w:tcW w:w="752" w:type="pct"/>
            <w:tcBorders>
              <w:top w:val="single" w:color="000000" w:sz="4" w:space="0"/>
              <w:left w:val="single" w:color="000000" w:sz="4" w:space="0"/>
              <w:bottom w:val="single" w:color="000000" w:sz="4" w:space="0"/>
              <w:right w:val="single" w:color="000000" w:sz="4" w:space="0"/>
            </w:tcBorders>
            <w:vAlign w:val="center"/>
          </w:tcPr>
          <w:p w14:paraId="7BF5CC7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97</w:t>
            </w:r>
          </w:p>
        </w:tc>
        <w:tc>
          <w:tcPr>
            <w:tcW w:w="1811" w:type="pct"/>
            <w:tcBorders>
              <w:top w:val="single" w:color="000000" w:sz="4" w:space="0"/>
              <w:left w:val="single" w:color="000000" w:sz="4" w:space="0"/>
              <w:bottom w:val="single" w:color="000000" w:sz="4" w:space="0"/>
              <w:right w:val="single" w:color="000000" w:sz="4" w:space="0"/>
            </w:tcBorders>
            <w:vAlign w:val="center"/>
          </w:tcPr>
          <w:p w14:paraId="1FB1C4C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w:t>
            </w:r>
            <w:r>
              <w:rPr>
                <w:rStyle w:val="249"/>
                <w:rFonts w:hint="default" w:ascii="Times New Roman" w:hAnsi="Times New Roman" w:eastAsia="宋体" w:cs="Times New Roman"/>
                <w:sz w:val="21"/>
                <w:szCs w:val="21"/>
                <w:highlight w:val="none"/>
                <w:lang w:bidi="ar"/>
              </w:rPr>
              <w:t>二氯丙烷</w:t>
            </w:r>
          </w:p>
        </w:tc>
      </w:tr>
      <w:tr w14:paraId="35938F51">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8AF691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73</w:t>
            </w:r>
          </w:p>
        </w:tc>
        <w:tc>
          <w:tcPr>
            <w:tcW w:w="1879" w:type="pct"/>
            <w:tcBorders>
              <w:top w:val="single" w:color="000000" w:sz="4" w:space="0"/>
              <w:left w:val="single" w:color="000000" w:sz="4" w:space="0"/>
              <w:bottom w:val="single" w:color="000000" w:sz="4" w:space="0"/>
              <w:right w:val="single" w:color="000000" w:sz="4" w:space="0"/>
            </w:tcBorders>
            <w:vAlign w:val="center"/>
          </w:tcPr>
          <w:p w14:paraId="6C5E5BC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氯乙烯</w:t>
            </w:r>
          </w:p>
        </w:tc>
        <w:tc>
          <w:tcPr>
            <w:tcW w:w="752" w:type="pct"/>
            <w:tcBorders>
              <w:top w:val="single" w:color="000000" w:sz="4" w:space="0"/>
              <w:left w:val="single" w:color="000000" w:sz="4" w:space="0"/>
              <w:bottom w:val="single" w:color="000000" w:sz="4" w:space="0"/>
              <w:right w:val="single" w:color="000000" w:sz="4" w:space="0"/>
            </w:tcBorders>
            <w:vAlign w:val="center"/>
          </w:tcPr>
          <w:p w14:paraId="7AF5129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98</w:t>
            </w:r>
          </w:p>
        </w:tc>
        <w:tc>
          <w:tcPr>
            <w:tcW w:w="1811" w:type="pct"/>
            <w:tcBorders>
              <w:top w:val="single" w:color="000000" w:sz="4" w:space="0"/>
              <w:left w:val="single" w:color="000000" w:sz="4" w:space="0"/>
              <w:bottom w:val="single" w:color="000000" w:sz="4" w:space="0"/>
              <w:right w:val="single" w:color="000000" w:sz="4" w:space="0"/>
            </w:tcBorders>
            <w:vAlign w:val="center"/>
          </w:tcPr>
          <w:p w14:paraId="26D7884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甲基丙烯酸甲酯</w:t>
            </w:r>
          </w:p>
        </w:tc>
      </w:tr>
      <w:tr w14:paraId="6C1FD9A6">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8EDDE8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74</w:t>
            </w:r>
          </w:p>
        </w:tc>
        <w:tc>
          <w:tcPr>
            <w:tcW w:w="1879" w:type="pct"/>
            <w:tcBorders>
              <w:top w:val="single" w:color="000000" w:sz="4" w:space="0"/>
              <w:left w:val="single" w:color="000000" w:sz="4" w:space="0"/>
              <w:bottom w:val="single" w:color="000000" w:sz="4" w:space="0"/>
              <w:right w:val="single" w:color="000000" w:sz="4" w:space="0"/>
            </w:tcBorders>
            <w:vAlign w:val="center"/>
          </w:tcPr>
          <w:p w14:paraId="587DF10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丁二烯</w:t>
            </w:r>
          </w:p>
        </w:tc>
        <w:tc>
          <w:tcPr>
            <w:tcW w:w="752" w:type="pct"/>
            <w:tcBorders>
              <w:top w:val="single" w:color="000000" w:sz="4" w:space="0"/>
              <w:left w:val="single" w:color="000000" w:sz="4" w:space="0"/>
              <w:bottom w:val="single" w:color="000000" w:sz="4" w:space="0"/>
              <w:right w:val="single" w:color="000000" w:sz="4" w:space="0"/>
            </w:tcBorders>
            <w:vAlign w:val="center"/>
          </w:tcPr>
          <w:p w14:paraId="72945E4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99</w:t>
            </w:r>
          </w:p>
        </w:tc>
        <w:tc>
          <w:tcPr>
            <w:tcW w:w="1811" w:type="pct"/>
            <w:tcBorders>
              <w:top w:val="single" w:color="000000" w:sz="4" w:space="0"/>
              <w:left w:val="single" w:color="000000" w:sz="4" w:space="0"/>
              <w:bottom w:val="single" w:color="000000" w:sz="4" w:space="0"/>
              <w:right w:val="single" w:color="000000" w:sz="4" w:space="0"/>
            </w:tcBorders>
            <w:vAlign w:val="center"/>
          </w:tcPr>
          <w:p w14:paraId="40F0ACB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1,4-</w:t>
            </w:r>
            <w:r>
              <w:rPr>
                <w:rStyle w:val="249"/>
                <w:rFonts w:hint="default" w:ascii="Times New Roman" w:hAnsi="Times New Roman" w:eastAsia="宋体" w:cs="Times New Roman"/>
                <w:sz w:val="21"/>
                <w:szCs w:val="21"/>
                <w:highlight w:val="none"/>
                <w:lang w:bidi="ar"/>
              </w:rPr>
              <w:t>二氧六环</w:t>
            </w:r>
          </w:p>
        </w:tc>
      </w:tr>
      <w:tr w14:paraId="4A0D0689">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1CEDB35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75</w:t>
            </w:r>
          </w:p>
        </w:tc>
        <w:tc>
          <w:tcPr>
            <w:tcW w:w="1879" w:type="pct"/>
            <w:tcBorders>
              <w:top w:val="single" w:color="000000" w:sz="4" w:space="0"/>
              <w:left w:val="single" w:color="000000" w:sz="4" w:space="0"/>
              <w:bottom w:val="single" w:color="000000" w:sz="4" w:space="0"/>
              <w:right w:val="single" w:color="000000" w:sz="4" w:space="0"/>
            </w:tcBorders>
            <w:vAlign w:val="center"/>
          </w:tcPr>
          <w:p w14:paraId="6605B1C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一溴甲烷</w:t>
            </w:r>
          </w:p>
        </w:tc>
        <w:tc>
          <w:tcPr>
            <w:tcW w:w="752" w:type="pct"/>
            <w:tcBorders>
              <w:top w:val="single" w:color="000000" w:sz="4" w:space="0"/>
              <w:left w:val="single" w:color="000000" w:sz="4" w:space="0"/>
              <w:bottom w:val="single" w:color="000000" w:sz="4" w:space="0"/>
              <w:right w:val="single" w:color="000000" w:sz="4" w:space="0"/>
            </w:tcBorders>
            <w:vAlign w:val="center"/>
          </w:tcPr>
          <w:p w14:paraId="0382CAD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100</w:t>
            </w:r>
          </w:p>
        </w:tc>
        <w:tc>
          <w:tcPr>
            <w:tcW w:w="1811" w:type="pct"/>
            <w:tcBorders>
              <w:top w:val="single" w:color="000000" w:sz="4" w:space="0"/>
              <w:left w:val="single" w:color="000000" w:sz="4" w:space="0"/>
              <w:bottom w:val="single" w:color="000000" w:sz="4" w:space="0"/>
              <w:right w:val="single" w:color="000000" w:sz="4" w:space="0"/>
            </w:tcBorders>
            <w:vAlign w:val="center"/>
          </w:tcPr>
          <w:p w14:paraId="4BAD150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顺式</w:t>
            </w:r>
            <w:r>
              <w:rPr>
                <w:rFonts w:hint="default" w:ascii="Times New Roman" w:hAnsi="Times New Roman" w:eastAsia="宋体" w:cs="Times New Roman"/>
                <w:color w:val="000000"/>
                <w:szCs w:val="21"/>
                <w:highlight w:val="none"/>
                <w:lang w:bidi="ar"/>
              </w:rPr>
              <w:t>-1,3-</w:t>
            </w:r>
            <w:r>
              <w:rPr>
                <w:rStyle w:val="249"/>
                <w:rFonts w:hint="default" w:ascii="Times New Roman" w:hAnsi="Times New Roman" w:eastAsia="宋体" w:cs="Times New Roman"/>
                <w:sz w:val="21"/>
                <w:szCs w:val="21"/>
                <w:highlight w:val="none"/>
                <w:lang w:bidi="ar"/>
              </w:rPr>
              <w:t>二氯</w:t>
            </w:r>
            <w:r>
              <w:rPr>
                <w:rFonts w:hint="default" w:ascii="Times New Roman" w:hAnsi="Times New Roman" w:eastAsia="宋体" w:cs="Times New Roman"/>
                <w:color w:val="000000"/>
                <w:szCs w:val="21"/>
                <w:highlight w:val="none"/>
                <w:lang w:bidi="ar"/>
              </w:rPr>
              <w:t>-1-</w:t>
            </w:r>
            <w:r>
              <w:rPr>
                <w:rStyle w:val="249"/>
                <w:rFonts w:hint="default" w:ascii="Times New Roman" w:hAnsi="Times New Roman" w:eastAsia="宋体" w:cs="Times New Roman"/>
                <w:sz w:val="21"/>
                <w:szCs w:val="21"/>
                <w:highlight w:val="none"/>
                <w:lang w:bidi="ar"/>
              </w:rPr>
              <w:t>丙烯</w:t>
            </w:r>
          </w:p>
        </w:tc>
      </w:tr>
      <w:tr w14:paraId="4F6B9ABE">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0C090C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76</w:t>
            </w:r>
          </w:p>
        </w:tc>
        <w:tc>
          <w:tcPr>
            <w:tcW w:w="1879" w:type="pct"/>
            <w:tcBorders>
              <w:top w:val="single" w:color="000000" w:sz="4" w:space="0"/>
              <w:left w:val="single" w:color="000000" w:sz="4" w:space="0"/>
              <w:bottom w:val="single" w:color="000000" w:sz="4" w:space="0"/>
              <w:right w:val="single" w:color="000000" w:sz="4" w:space="0"/>
            </w:tcBorders>
            <w:vAlign w:val="center"/>
          </w:tcPr>
          <w:p w14:paraId="2680234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1,1,2,2-</w:t>
            </w:r>
            <w:r>
              <w:rPr>
                <w:rStyle w:val="249"/>
                <w:rFonts w:hint="default" w:ascii="Times New Roman" w:hAnsi="Times New Roman" w:eastAsia="宋体" w:cs="Times New Roman"/>
                <w:sz w:val="21"/>
                <w:szCs w:val="21"/>
                <w:highlight w:val="none"/>
                <w:lang w:bidi="ar"/>
              </w:rPr>
              <w:t>四氟</w:t>
            </w:r>
            <w:r>
              <w:rPr>
                <w:rFonts w:hint="default" w:ascii="Times New Roman" w:hAnsi="Times New Roman" w:eastAsia="宋体" w:cs="Times New Roman"/>
                <w:color w:val="000000"/>
                <w:szCs w:val="21"/>
                <w:highlight w:val="none"/>
                <w:lang w:bidi="ar"/>
              </w:rPr>
              <w:t>-1,2-</w:t>
            </w:r>
            <w:r>
              <w:rPr>
                <w:rStyle w:val="249"/>
                <w:rFonts w:hint="default" w:ascii="Times New Roman" w:hAnsi="Times New Roman" w:eastAsia="宋体" w:cs="Times New Roman"/>
                <w:sz w:val="21"/>
                <w:szCs w:val="21"/>
                <w:highlight w:val="none"/>
                <w:lang w:bidi="ar"/>
              </w:rPr>
              <w:t>二氯乙烷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1CD618C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101</w:t>
            </w:r>
          </w:p>
        </w:tc>
        <w:tc>
          <w:tcPr>
            <w:tcW w:w="1811" w:type="pct"/>
            <w:tcBorders>
              <w:top w:val="single" w:color="000000" w:sz="4" w:space="0"/>
              <w:left w:val="single" w:color="000000" w:sz="4" w:space="0"/>
              <w:bottom w:val="single" w:color="000000" w:sz="4" w:space="0"/>
              <w:right w:val="single" w:color="000000" w:sz="4" w:space="0"/>
            </w:tcBorders>
            <w:vAlign w:val="center"/>
          </w:tcPr>
          <w:p w14:paraId="5C80ACA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反式</w:t>
            </w:r>
            <w:r>
              <w:rPr>
                <w:rFonts w:hint="default" w:ascii="Times New Roman" w:hAnsi="Times New Roman" w:eastAsia="宋体" w:cs="Times New Roman"/>
                <w:color w:val="000000"/>
                <w:szCs w:val="21"/>
                <w:highlight w:val="none"/>
                <w:lang w:bidi="ar"/>
              </w:rPr>
              <w:t>-1,3-</w:t>
            </w:r>
            <w:r>
              <w:rPr>
                <w:rStyle w:val="249"/>
                <w:rFonts w:hint="default" w:ascii="Times New Roman" w:hAnsi="Times New Roman" w:eastAsia="宋体" w:cs="Times New Roman"/>
                <w:sz w:val="21"/>
                <w:szCs w:val="21"/>
                <w:highlight w:val="none"/>
                <w:lang w:bidi="ar"/>
              </w:rPr>
              <w:t>二氯</w:t>
            </w:r>
            <w:r>
              <w:rPr>
                <w:rFonts w:hint="default" w:ascii="Times New Roman" w:hAnsi="Times New Roman" w:eastAsia="宋体" w:cs="Times New Roman"/>
                <w:color w:val="000000"/>
                <w:szCs w:val="21"/>
                <w:highlight w:val="none"/>
                <w:lang w:bidi="ar"/>
              </w:rPr>
              <w:t>-1-</w:t>
            </w:r>
            <w:r>
              <w:rPr>
                <w:rStyle w:val="249"/>
                <w:rFonts w:hint="default" w:ascii="Times New Roman" w:hAnsi="Times New Roman" w:eastAsia="宋体" w:cs="Times New Roman"/>
                <w:sz w:val="21"/>
                <w:szCs w:val="21"/>
                <w:highlight w:val="none"/>
                <w:lang w:bidi="ar"/>
              </w:rPr>
              <w:t>丙烯</w:t>
            </w:r>
          </w:p>
        </w:tc>
      </w:tr>
      <w:tr w14:paraId="703F9F30">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E1C475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77</w:t>
            </w:r>
          </w:p>
        </w:tc>
        <w:tc>
          <w:tcPr>
            <w:tcW w:w="1879" w:type="pct"/>
            <w:tcBorders>
              <w:top w:val="single" w:color="000000" w:sz="4" w:space="0"/>
              <w:left w:val="single" w:color="000000" w:sz="4" w:space="0"/>
              <w:bottom w:val="single" w:color="000000" w:sz="4" w:space="0"/>
              <w:right w:val="single" w:color="000000" w:sz="4" w:space="0"/>
            </w:tcBorders>
            <w:vAlign w:val="center"/>
          </w:tcPr>
          <w:p w14:paraId="4DE97FB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氯乙烷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11D46DD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102</w:t>
            </w:r>
          </w:p>
        </w:tc>
        <w:tc>
          <w:tcPr>
            <w:tcW w:w="1811" w:type="pct"/>
            <w:tcBorders>
              <w:top w:val="single" w:color="000000" w:sz="4" w:space="0"/>
              <w:left w:val="single" w:color="000000" w:sz="4" w:space="0"/>
              <w:bottom w:val="single" w:color="000000" w:sz="4" w:space="0"/>
              <w:right w:val="single" w:color="000000" w:sz="4" w:space="0"/>
            </w:tcBorders>
            <w:vAlign w:val="center"/>
          </w:tcPr>
          <w:p w14:paraId="1D87727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1,1,2-</w:t>
            </w:r>
            <w:r>
              <w:rPr>
                <w:rStyle w:val="249"/>
                <w:rFonts w:hint="default" w:ascii="Times New Roman" w:hAnsi="Times New Roman" w:eastAsia="宋体" w:cs="Times New Roman"/>
                <w:sz w:val="21"/>
                <w:szCs w:val="21"/>
                <w:highlight w:val="none"/>
                <w:lang w:bidi="ar"/>
              </w:rPr>
              <w:t>三氯乙烷</w:t>
            </w:r>
          </w:p>
        </w:tc>
      </w:tr>
      <w:tr w14:paraId="75733532">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3CAF1B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78</w:t>
            </w:r>
          </w:p>
        </w:tc>
        <w:tc>
          <w:tcPr>
            <w:tcW w:w="1879" w:type="pct"/>
            <w:tcBorders>
              <w:top w:val="single" w:color="000000" w:sz="4" w:space="0"/>
              <w:left w:val="single" w:color="000000" w:sz="4" w:space="0"/>
              <w:bottom w:val="single" w:color="000000" w:sz="4" w:space="0"/>
              <w:right w:val="single" w:color="000000" w:sz="4" w:space="0"/>
            </w:tcBorders>
            <w:vAlign w:val="center"/>
          </w:tcPr>
          <w:p w14:paraId="2BA7EE4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一氟三氯甲烷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46D93E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103</w:t>
            </w:r>
          </w:p>
        </w:tc>
        <w:tc>
          <w:tcPr>
            <w:tcW w:w="1811" w:type="pct"/>
            <w:tcBorders>
              <w:top w:val="single" w:color="000000" w:sz="4" w:space="0"/>
              <w:left w:val="single" w:color="000000" w:sz="4" w:space="0"/>
              <w:bottom w:val="single" w:color="000000" w:sz="4" w:space="0"/>
              <w:right w:val="single" w:color="000000" w:sz="4" w:space="0"/>
            </w:tcBorders>
            <w:vAlign w:val="center"/>
          </w:tcPr>
          <w:p w14:paraId="5ACFEAE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4-</w:t>
            </w:r>
            <w:r>
              <w:rPr>
                <w:rStyle w:val="249"/>
                <w:rFonts w:hint="default" w:ascii="Times New Roman" w:hAnsi="Times New Roman" w:eastAsia="宋体" w:cs="Times New Roman"/>
                <w:sz w:val="21"/>
                <w:szCs w:val="21"/>
                <w:highlight w:val="none"/>
                <w:lang w:bidi="ar"/>
              </w:rPr>
              <w:t>甲基</w:t>
            </w:r>
            <w:r>
              <w:rPr>
                <w:rFonts w:hint="default" w:ascii="Times New Roman" w:hAnsi="Times New Roman" w:eastAsia="宋体" w:cs="Times New Roman"/>
                <w:color w:val="000000"/>
                <w:szCs w:val="21"/>
                <w:highlight w:val="none"/>
                <w:lang w:bidi="ar"/>
              </w:rPr>
              <w:t>-2-</w:t>
            </w:r>
            <w:r>
              <w:rPr>
                <w:rStyle w:val="249"/>
                <w:rFonts w:hint="default" w:ascii="Times New Roman" w:hAnsi="Times New Roman" w:eastAsia="宋体" w:cs="Times New Roman"/>
                <w:sz w:val="21"/>
                <w:szCs w:val="21"/>
                <w:highlight w:val="none"/>
                <w:lang w:bidi="ar"/>
              </w:rPr>
              <w:t>戊酮</w:t>
            </w:r>
          </w:p>
        </w:tc>
      </w:tr>
      <w:tr w14:paraId="2855526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FCCAF7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79</w:t>
            </w:r>
          </w:p>
        </w:tc>
        <w:tc>
          <w:tcPr>
            <w:tcW w:w="1879" w:type="pct"/>
            <w:tcBorders>
              <w:top w:val="single" w:color="000000" w:sz="4" w:space="0"/>
              <w:left w:val="single" w:color="000000" w:sz="4" w:space="0"/>
              <w:bottom w:val="single" w:color="000000" w:sz="4" w:space="0"/>
              <w:right w:val="single" w:color="000000" w:sz="4" w:space="0"/>
            </w:tcBorders>
            <w:vAlign w:val="center"/>
          </w:tcPr>
          <w:p w14:paraId="4A74E65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w:t>
            </w:r>
            <w:r>
              <w:rPr>
                <w:rStyle w:val="249"/>
                <w:rFonts w:hint="default" w:ascii="Times New Roman" w:hAnsi="Times New Roman" w:eastAsia="宋体" w:cs="Times New Roman"/>
                <w:sz w:val="21"/>
                <w:szCs w:val="21"/>
                <w:highlight w:val="none"/>
                <w:lang w:bidi="ar"/>
              </w:rPr>
              <w:t>二氯乙烯</w:t>
            </w:r>
          </w:p>
        </w:tc>
        <w:tc>
          <w:tcPr>
            <w:tcW w:w="752" w:type="pct"/>
            <w:tcBorders>
              <w:top w:val="single" w:color="000000" w:sz="4" w:space="0"/>
              <w:left w:val="single" w:color="000000" w:sz="4" w:space="0"/>
              <w:bottom w:val="single" w:color="000000" w:sz="4" w:space="0"/>
              <w:right w:val="single" w:color="000000" w:sz="4" w:space="0"/>
            </w:tcBorders>
            <w:vAlign w:val="center"/>
          </w:tcPr>
          <w:p w14:paraId="01B462B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104</w:t>
            </w:r>
          </w:p>
        </w:tc>
        <w:tc>
          <w:tcPr>
            <w:tcW w:w="1811" w:type="pct"/>
            <w:tcBorders>
              <w:top w:val="single" w:color="000000" w:sz="4" w:space="0"/>
              <w:left w:val="single" w:color="000000" w:sz="4" w:space="0"/>
              <w:bottom w:val="single" w:color="000000" w:sz="4" w:space="0"/>
              <w:right w:val="single" w:color="000000" w:sz="4" w:space="0"/>
            </w:tcBorders>
            <w:vAlign w:val="center"/>
          </w:tcPr>
          <w:p w14:paraId="003C675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二溴一氯甲烷</w:t>
            </w:r>
          </w:p>
        </w:tc>
      </w:tr>
      <w:tr w14:paraId="292B090D">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6C47AD3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80</w:t>
            </w:r>
          </w:p>
        </w:tc>
        <w:tc>
          <w:tcPr>
            <w:tcW w:w="1879" w:type="pct"/>
            <w:tcBorders>
              <w:top w:val="single" w:color="000000" w:sz="4" w:space="0"/>
              <w:left w:val="single" w:color="000000" w:sz="4" w:space="0"/>
              <w:bottom w:val="single" w:color="000000" w:sz="4" w:space="0"/>
              <w:right w:val="single" w:color="000000" w:sz="4" w:space="0"/>
            </w:tcBorders>
            <w:vAlign w:val="center"/>
          </w:tcPr>
          <w:p w14:paraId="14CD7C4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二氯甲烷</w:t>
            </w:r>
          </w:p>
        </w:tc>
        <w:tc>
          <w:tcPr>
            <w:tcW w:w="752" w:type="pct"/>
            <w:tcBorders>
              <w:top w:val="single" w:color="000000" w:sz="4" w:space="0"/>
              <w:left w:val="single" w:color="000000" w:sz="4" w:space="0"/>
              <w:bottom w:val="single" w:color="000000" w:sz="4" w:space="0"/>
              <w:right w:val="single" w:color="000000" w:sz="4" w:space="0"/>
            </w:tcBorders>
            <w:vAlign w:val="center"/>
          </w:tcPr>
          <w:p w14:paraId="2A24E94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105</w:t>
            </w:r>
          </w:p>
        </w:tc>
        <w:tc>
          <w:tcPr>
            <w:tcW w:w="1811" w:type="pct"/>
            <w:tcBorders>
              <w:top w:val="single" w:color="000000" w:sz="4" w:space="0"/>
              <w:left w:val="single" w:color="000000" w:sz="4" w:space="0"/>
              <w:bottom w:val="single" w:color="000000" w:sz="4" w:space="0"/>
              <w:right w:val="single" w:color="000000" w:sz="4" w:space="0"/>
            </w:tcBorders>
            <w:vAlign w:val="center"/>
          </w:tcPr>
          <w:p w14:paraId="6516724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四氯乙烯</w:t>
            </w:r>
          </w:p>
        </w:tc>
      </w:tr>
      <w:tr w14:paraId="1EBD3804">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30709D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81</w:t>
            </w:r>
          </w:p>
        </w:tc>
        <w:tc>
          <w:tcPr>
            <w:tcW w:w="1879" w:type="pct"/>
            <w:tcBorders>
              <w:top w:val="single" w:color="000000" w:sz="4" w:space="0"/>
              <w:left w:val="single" w:color="000000" w:sz="4" w:space="0"/>
              <w:bottom w:val="single" w:color="000000" w:sz="4" w:space="0"/>
              <w:right w:val="single" w:color="000000" w:sz="4" w:space="0"/>
            </w:tcBorders>
            <w:vAlign w:val="center"/>
          </w:tcPr>
          <w:p w14:paraId="7011804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二硫化碳</w:t>
            </w:r>
          </w:p>
        </w:tc>
        <w:tc>
          <w:tcPr>
            <w:tcW w:w="752" w:type="pct"/>
            <w:tcBorders>
              <w:top w:val="single" w:color="000000" w:sz="4" w:space="0"/>
              <w:left w:val="single" w:color="000000" w:sz="4" w:space="0"/>
              <w:bottom w:val="single" w:color="000000" w:sz="4" w:space="0"/>
              <w:right w:val="single" w:color="000000" w:sz="4" w:space="0"/>
            </w:tcBorders>
            <w:vAlign w:val="center"/>
          </w:tcPr>
          <w:p w14:paraId="6A740C4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106</w:t>
            </w:r>
          </w:p>
        </w:tc>
        <w:tc>
          <w:tcPr>
            <w:tcW w:w="1811" w:type="pct"/>
            <w:tcBorders>
              <w:top w:val="single" w:color="000000" w:sz="4" w:space="0"/>
              <w:left w:val="single" w:color="000000" w:sz="4" w:space="0"/>
              <w:bottom w:val="single" w:color="000000" w:sz="4" w:space="0"/>
              <w:right w:val="single" w:color="000000" w:sz="4" w:space="0"/>
            </w:tcBorders>
            <w:vAlign w:val="center"/>
          </w:tcPr>
          <w:p w14:paraId="0107AE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2-</w:t>
            </w:r>
            <w:r>
              <w:rPr>
                <w:rStyle w:val="249"/>
                <w:rFonts w:hint="default" w:ascii="Times New Roman" w:hAnsi="Times New Roman" w:eastAsia="宋体" w:cs="Times New Roman"/>
                <w:sz w:val="21"/>
                <w:szCs w:val="21"/>
                <w:highlight w:val="none"/>
                <w:lang w:bidi="ar"/>
              </w:rPr>
              <w:t>己酮</w:t>
            </w:r>
          </w:p>
        </w:tc>
      </w:tr>
      <w:tr w14:paraId="6403725A">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C1AC60C">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82</w:t>
            </w:r>
          </w:p>
        </w:tc>
        <w:tc>
          <w:tcPr>
            <w:tcW w:w="1879" w:type="pct"/>
            <w:tcBorders>
              <w:top w:val="single" w:color="000000" w:sz="4" w:space="0"/>
              <w:left w:val="single" w:color="000000" w:sz="4" w:space="0"/>
              <w:bottom w:val="single" w:color="000000" w:sz="4" w:space="0"/>
              <w:right w:val="single" w:color="000000" w:sz="4" w:space="0"/>
            </w:tcBorders>
            <w:vAlign w:val="center"/>
          </w:tcPr>
          <w:p w14:paraId="0A2CA27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1,2,2-</w:t>
            </w:r>
            <w:r>
              <w:rPr>
                <w:rStyle w:val="249"/>
                <w:rFonts w:hint="default" w:ascii="Times New Roman" w:hAnsi="Times New Roman" w:eastAsia="宋体" w:cs="Times New Roman"/>
                <w:sz w:val="21"/>
                <w:szCs w:val="21"/>
                <w:highlight w:val="none"/>
                <w:lang w:bidi="ar"/>
              </w:rPr>
              <w:t>三氯</w:t>
            </w:r>
            <w:r>
              <w:rPr>
                <w:rFonts w:hint="default" w:ascii="Times New Roman" w:hAnsi="Times New Roman" w:eastAsia="宋体" w:cs="Times New Roman"/>
                <w:color w:val="000000"/>
                <w:szCs w:val="21"/>
                <w:highlight w:val="none"/>
                <w:lang w:bidi="ar"/>
              </w:rPr>
              <w:t>-1,1,2-</w:t>
            </w:r>
            <w:r>
              <w:rPr>
                <w:rStyle w:val="249"/>
                <w:rFonts w:hint="default" w:ascii="Times New Roman" w:hAnsi="Times New Roman" w:eastAsia="宋体" w:cs="Times New Roman"/>
                <w:sz w:val="21"/>
                <w:szCs w:val="21"/>
                <w:highlight w:val="none"/>
                <w:lang w:bidi="ar"/>
              </w:rPr>
              <w:t>三氯乙烷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D61D18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107</w:t>
            </w:r>
          </w:p>
        </w:tc>
        <w:tc>
          <w:tcPr>
            <w:tcW w:w="1811" w:type="pct"/>
            <w:tcBorders>
              <w:top w:val="single" w:color="000000" w:sz="4" w:space="0"/>
              <w:left w:val="single" w:color="000000" w:sz="4" w:space="0"/>
              <w:bottom w:val="single" w:color="000000" w:sz="4" w:space="0"/>
              <w:right w:val="single" w:color="000000" w:sz="4" w:space="0"/>
            </w:tcBorders>
            <w:vAlign w:val="center"/>
          </w:tcPr>
          <w:p w14:paraId="5CAFEC2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w:t>
            </w:r>
            <w:r>
              <w:rPr>
                <w:rStyle w:val="249"/>
                <w:rFonts w:hint="default" w:ascii="Times New Roman" w:hAnsi="Times New Roman" w:eastAsia="宋体" w:cs="Times New Roman"/>
                <w:sz w:val="21"/>
                <w:szCs w:val="21"/>
                <w:highlight w:val="none"/>
                <w:lang w:bidi="ar"/>
              </w:rPr>
              <w:t>二溴乙烷</w:t>
            </w:r>
          </w:p>
        </w:tc>
      </w:tr>
      <w:tr w14:paraId="1622B745">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346CCE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83</w:t>
            </w:r>
          </w:p>
        </w:tc>
        <w:tc>
          <w:tcPr>
            <w:tcW w:w="1879" w:type="pct"/>
            <w:tcBorders>
              <w:top w:val="single" w:color="000000" w:sz="4" w:space="0"/>
              <w:left w:val="single" w:color="000000" w:sz="4" w:space="0"/>
              <w:bottom w:val="single" w:color="000000" w:sz="4" w:space="0"/>
              <w:right w:val="single" w:color="000000" w:sz="4" w:space="0"/>
            </w:tcBorders>
            <w:vAlign w:val="center"/>
          </w:tcPr>
          <w:p w14:paraId="7E2F641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反</w:t>
            </w:r>
            <w:r>
              <w:rPr>
                <w:rFonts w:hint="default" w:ascii="Times New Roman" w:hAnsi="Times New Roman" w:eastAsia="宋体" w:cs="Times New Roman"/>
                <w:color w:val="000000"/>
                <w:szCs w:val="21"/>
                <w:highlight w:val="none"/>
                <w:lang w:bidi="ar"/>
              </w:rPr>
              <w:t>1,2-</w:t>
            </w:r>
            <w:r>
              <w:rPr>
                <w:rStyle w:val="249"/>
                <w:rFonts w:hint="default" w:ascii="Times New Roman" w:hAnsi="Times New Roman" w:eastAsia="宋体" w:cs="Times New Roman"/>
                <w:sz w:val="21"/>
                <w:szCs w:val="21"/>
                <w:highlight w:val="none"/>
                <w:lang w:bidi="ar"/>
              </w:rPr>
              <w:t>二氯乙烯</w:t>
            </w:r>
          </w:p>
        </w:tc>
        <w:tc>
          <w:tcPr>
            <w:tcW w:w="752" w:type="pct"/>
            <w:tcBorders>
              <w:top w:val="single" w:color="000000" w:sz="4" w:space="0"/>
              <w:left w:val="single" w:color="000000" w:sz="4" w:space="0"/>
              <w:bottom w:val="single" w:color="000000" w:sz="4" w:space="0"/>
              <w:right w:val="single" w:color="000000" w:sz="4" w:space="0"/>
            </w:tcBorders>
            <w:vAlign w:val="center"/>
          </w:tcPr>
          <w:p w14:paraId="7B201D7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108</w:t>
            </w:r>
          </w:p>
        </w:tc>
        <w:tc>
          <w:tcPr>
            <w:tcW w:w="1811" w:type="pct"/>
            <w:tcBorders>
              <w:top w:val="single" w:color="000000" w:sz="4" w:space="0"/>
              <w:left w:val="single" w:color="000000" w:sz="4" w:space="0"/>
              <w:bottom w:val="single" w:color="000000" w:sz="4" w:space="0"/>
              <w:right w:val="single" w:color="000000" w:sz="4" w:space="0"/>
            </w:tcBorders>
            <w:vAlign w:val="center"/>
          </w:tcPr>
          <w:p w14:paraId="1A1797A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氯苯</w:t>
            </w:r>
          </w:p>
        </w:tc>
      </w:tr>
      <w:tr w14:paraId="52D429FF">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CDD895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84</w:t>
            </w:r>
          </w:p>
        </w:tc>
        <w:tc>
          <w:tcPr>
            <w:tcW w:w="1879" w:type="pct"/>
            <w:tcBorders>
              <w:top w:val="single" w:color="000000" w:sz="4" w:space="0"/>
              <w:left w:val="single" w:color="000000" w:sz="4" w:space="0"/>
              <w:bottom w:val="single" w:color="000000" w:sz="4" w:space="0"/>
              <w:right w:val="single" w:color="000000" w:sz="4" w:space="0"/>
            </w:tcBorders>
            <w:vAlign w:val="center"/>
          </w:tcPr>
          <w:p w14:paraId="69EB909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甲基叔丁基醚</w:t>
            </w:r>
          </w:p>
        </w:tc>
        <w:tc>
          <w:tcPr>
            <w:tcW w:w="752" w:type="pct"/>
            <w:tcBorders>
              <w:top w:val="single" w:color="000000" w:sz="4" w:space="0"/>
              <w:left w:val="single" w:color="000000" w:sz="4" w:space="0"/>
              <w:bottom w:val="single" w:color="000000" w:sz="4" w:space="0"/>
              <w:right w:val="single" w:color="000000" w:sz="4" w:space="0"/>
            </w:tcBorders>
            <w:vAlign w:val="center"/>
          </w:tcPr>
          <w:p w14:paraId="0D161E70">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109</w:t>
            </w:r>
          </w:p>
        </w:tc>
        <w:tc>
          <w:tcPr>
            <w:tcW w:w="1811" w:type="pct"/>
            <w:tcBorders>
              <w:top w:val="single" w:color="000000" w:sz="4" w:space="0"/>
              <w:left w:val="single" w:color="000000" w:sz="4" w:space="0"/>
              <w:bottom w:val="single" w:color="000000" w:sz="4" w:space="0"/>
              <w:right w:val="single" w:color="000000" w:sz="4" w:space="0"/>
            </w:tcBorders>
            <w:vAlign w:val="center"/>
          </w:tcPr>
          <w:p w14:paraId="249A69A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四氯乙烷</w:t>
            </w:r>
          </w:p>
        </w:tc>
      </w:tr>
      <w:tr w14:paraId="3A95CDC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305BFEE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85</w:t>
            </w:r>
          </w:p>
        </w:tc>
        <w:tc>
          <w:tcPr>
            <w:tcW w:w="1879" w:type="pct"/>
            <w:tcBorders>
              <w:top w:val="single" w:color="000000" w:sz="4" w:space="0"/>
              <w:left w:val="single" w:color="000000" w:sz="4" w:space="0"/>
              <w:bottom w:val="single" w:color="000000" w:sz="4" w:space="0"/>
              <w:right w:val="single" w:color="000000" w:sz="4" w:space="0"/>
            </w:tcBorders>
            <w:vAlign w:val="center"/>
          </w:tcPr>
          <w:p w14:paraId="544F4AB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顺</w:t>
            </w:r>
            <w:r>
              <w:rPr>
                <w:rFonts w:hint="default" w:ascii="Times New Roman" w:hAnsi="Times New Roman" w:eastAsia="宋体" w:cs="Times New Roman"/>
                <w:color w:val="000000"/>
                <w:szCs w:val="21"/>
                <w:highlight w:val="none"/>
                <w:lang w:bidi="ar"/>
              </w:rPr>
              <w:t>1,2-</w:t>
            </w:r>
            <w:r>
              <w:rPr>
                <w:rStyle w:val="249"/>
                <w:rFonts w:hint="default" w:ascii="Times New Roman" w:hAnsi="Times New Roman" w:eastAsia="宋体" w:cs="Times New Roman"/>
                <w:sz w:val="21"/>
                <w:szCs w:val="21"/>
                <w:highlight w:val="none"/>
                <w:lang w:bidi="ar"/>
              </w:rPr>
              <w:t>二氯乙烯</w:t>
            </w:r>
          </w:p>
        </w:tc>
        <w:tc>
          <w:tcPr>
            <w:tcW w:w="752" w:type="pct"/>
            <w:tcBorders>
              <w:top w:val="single" w:color="000000" w:sz="4" w:space="0"/>
              <w:left w:val="single" w:color="000000" w:sz="4" w:space="0"/>
              <w:bottom w:val="single" w:color="000000" w:sz="4" w:space="0"/>
              <w:right w:val="single" w:color="000000" w:sz="4" w:space="0"/>
            </w:tcBorders>
            <w:vAlign w:val="center"/>
          </w:tcPr>
          <w:p w14:paraId="00F179E4">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110</w:t>
            </w:r>
          </w:p>
        </w:tc>
        <w:tc>
          <w:tcPr>
            <w:tcW w:w="1811" w:type="pct"/>
            <w:tcBorders>
              <w:top w:val="single" w:color="000000" w:sz="4" w:space="0"/>
              <w:left w:val="single" w:color="000000" w:sz="4" w:space="0"/>
              <w:bottom w:val="single" w:color="000000" w:sz="4" w:space="0"/>
              <w:right w:val="single" w:color="000000" w:sz="4" w:space="0"/>
            </w:tcBorders>
            <w:vAlign w:val="center"/>
          </w:tcPr>
          <w:p w14:paraId="4ADDD08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三溴甲烷</w:t>
            </w:r>
          </w:p>
        </w:tc>
      </w:tr>
      <w:tr w14:paraId="52D5DC79">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004C8A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86</w:t>
            </w:r>
          </w:p>
        </w:tc>
        <w:tc>
          <w:tcPr>
            <w:tcW w:w="1879" w:type="pct"/>
            <w:tcBorders>
              <w:top w:val="single" w:color="000000" w:sz="4" w:space="0"/>
              <w:left w:val="single" w:color="000000" w:sz="4" w:space="0"/>
              <w:bottom w:val="single" w:color="000000" w:sz="4" w:space="0"/>
              <w:right w:val="single" w:color="000000" w:sz="4" w:space="0"/>
            </w:tcBorders>
            <w:vAlign w:val="center"/>
          </w:tcPr>
          <w:p w14:paraId="729180D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三氯甲烷</w:t>
            </w:r>
          </w:p>
        </w:tc>
        <w:tc>
          <w:tcPr>
            <w:tcW w:w="752" w:type="pct"/>
            <w:tcBorders>
              <w:top w:val="single" w:color="000000" w:sz="4" w:space="0"/>
              <w:left w:val="single" w:color="000000" w:sz="4" w:space="0"/>
              <w:bottom w:val="single" w:color="000000" w:sz="4" w:space="0"/>
              <w:right w:val="single" w:color="000000" w:sz="4" w:space="0"/>
            </w:tcBorders>
            <w:vAlign w:val="center"/>
          </w:tcPr>
          <w:p w14:paraId="53085BF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111</w:t>
            </w:r>
          </w:p>
        </w:tc>
        <w:tc>
          <w:tcPr>
            <w:tcW w:w="1811" w:type="pct"/>
            <w:tcBorders>
              <w:top w:val="single" w:color="000000" w:sz="4" w:space="0"/>
              <w:left w:val="single" w:color="000000" w:sz="4" w:space="0"/>
              <w:bottom w:val="single" w:color="000000" w:sz="4" w:space="0"/>
              <w:right w:val="single" w:color="000000" w:sz="4" w:space="0"/>
            </w:tcBorders>
            <w:vAlign w:val="center"/>
          </w:tcPr>
          <w:p w14:paraId="02BE1FC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1,3-</w:t>
            </w:r>
            <w:r>
              <w:rPr>
                <w:rStyle w:val="249"/>
                <w:rFonts w:hint="default" w:ascii="Times New Roman" w:hAnsi="Times New Roman" w:eastAsia="宋体" w:cs="Times New Roman"/>
                <w:sz w:val="21"/>
                <w:szCs w:val="21"/>
                <w:highlight w:val="none"/>
                <w:lang w:bidi="ar"/>
              </w:rPr>
              <w:t>二氯苯</w:t>
            </w:r>
          </w:p>
        </w:tc>
      </w:tr>
      <w:tr w14:paraId="4B76D3E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7177FD3A">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87</w:t>
            </w:r>
          </w:p>
        </w:tc>
        <w:tc>
          <w:tcPr>
            <w:tcW w:w="1879" w:type="pct"/>
            <w:tcBorders>
              <w:top w:val="single" w:color="000000" w:sz="4" w:space="0"/>
              <w:left w:val="single" w:color="000000" w:sz="4" w:space="0"/>
              <w:bottom w:val="single" w:color="000000" w:sz="4" w:space="0"/>
              <w:right w:val="single" w:color="000000" w:sz="4" w:space="0"/>
            </w:tcBorders>
            <w:vAlign w:val="center"/>
          </w:tcPr>
          <w:p w14:paraId="233A80CD">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四氢呋喃</w:t>
            </w:r>
          </w:p>
        </w:tc>
        <w:tc>
          <w:tcPr>
            <w:tcW w:w="752" w:type="pct"/>
            <w:tcBorders>
              <w:top w:val="single" w:color="000000" w:sz="4" w:space="0"/>
              <w:left w:val="single" w:color="000000" w:sz="4" w:space="0"/>
              <w:bottom w:val="single" w:color="000000" w:sz="4" w:space="0"/>
              <w:right w:val="single" w:color="000000" w:sz="4" w:space="0"/>
            </w:tcBorders>
            <w:vAlign w:val="center"/>
          </w:tcPr>
          <w:p w14:paraId="166BED2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112</w:t>
            </w:r>
          </w:p>
        </w:tc>
        <w:tc>
          <w:tcPr>
            <w:tcW w:w="1811" w:type="pct"/>
            <w:tcBorders>
              <w:top w:val="single" w:color="000000" w:sz="4" w:space="0"/>
              <w:left w:val="single" w:color="000000" w:sz="4" w:space="0"/>
              <w:bottom w:val="single" w:color="000000" w:sz="4" w:space="0"/>
              <w:right w:val="single" w:color="000000" w:sz="4" w:space="0"/>
            </w:tcBorders>
            <w:vAlign w:val="center"/>
          </w:tcPr>
          <w:p w14:paraId="457598E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对二氯苯</w:t>
            </w:r>
          </w:p>
        </w:tc>
      </w:tr>
      <w:tr w14:paraId="14155430">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8ACB29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88</w:t>
            </w:r>
          </w:p>
        </w:tc>
        <w:tc>
          <w:tcPr>
            <w:tcW w:w="1879" w:type="pct"/>
            <w:tcBorders>
              <w:top w:val="single" w:color="000000" w:sz="4" w:space="0"/>
              <w:left w:val="single" w:color="000000" w:sz="4" w:space="0"/>
              <w:bottom w:val="single" w:color="000000" w:sz="4" w:space="0"/>
              <w:right w:val="single" w:color="000000" w:sz="4" w:space="0"/>
            </w:tcBorders>
            <w:vAlign w:val="center"/>
          </w:tcPr>
          <w:p w14:paraId="044C2AF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乙酸乙烯酯</w:t>
            </w:r>
          </w:p>
        </w:tc>
        <w:tc>
          <w:tcPr>
            <w:tcW w:w="752" w:type="pct"/>
            <w:tcBorders>
              <w:top w:val="single" w:color="000000" w:sz="4" w:space="0"/>
              <w:left w:val="single" w:color="000000" w:sz="4" w:space="0"/>
              <w:bottom w:val="single" w:color="000000" w:sz="4" w:space="0"/>
              <w:right w:val="single" w:color="000000" w:sz="4" w:space="0"/>
            </w:tcBorders>
            <w:vAlign w:val="center"/>
          </w:tcPr>
          <w:p w14:paraId="791A077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113</w:t>
            </w:r>
          </w:p>
        </w:tc>
        <w:tc>
          <w:tcPr>
            <w:tcW w:w="1811" w:type="pct"/>
            <w:tcBorders>
              <w:top w:val="single" w:color="000000" w:sz="4" w:space="0"/>
              <w:left w:val="single" w:color="000000" w:sz="4" w:space="0"/>
              <w:bottom w:val="single" w:color="000000" w:sz="4" w:space="0"/>
              <w:right w:val="single" w:color="000000" w:sz="4" w:space="0"/>
            </w:tcBorders>
            <w:vAlign w:val="center"/>
          </w:tcPr>
          <w:p w14:paraId="769D857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氯代甲苯</w:t>
            </w:r>
          </w:p>
        </w:tc>
      </w:tr>
      <w:tr w14:paraId="7E4889A9">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114B6CF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89</w:t>
            </w:r>
          </w:p>
        </w:tc>
        <w:tc>
          <w:tcPr>
            <w:tcW w:w="1879" w:type="pct"/>
            <w:tcBorders>
              <w:top w:val="single" w:color="000000" w:sz="4" w:space="0"/>
              <w:left w:val="single" w:color="000000" w:sz="4" w:space="0"/>
              <w:bottom w:val="single" w:color="000000" w:sz="4" w:space="0"/>
              <w:right w:val="single" w:color="000000" w:sz="4" w:space="0"/>
            </w:tcBorders>
            <w:vAlign w:val="center"/>
          </w:tcPr>
          <w:p w14:paraId="159FE3B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1,1,1-</w:t>
            </w:r>
            <w:r>
              <w:rPr>
                <w:rStyle w:val="249"/>
                <w:rFonts w:hint="default" w:ascii="Times New Roman" w:hAnsi="Times New Roman" w:eastAsia="宋体" w:cs="Times New Roman"/>
                <w:sz w:val="21"/>
                <w:szCs w:val="21"/>
                <w:highlight w:val="none"/>
                <w:lang w:bidi="ar"/>
              </w:rPr>
              <w:t>三氯乙烷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31EF04B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114</w:t>
            </w:r>
          </w:p>
        </w:tc>
        <w:tc>
          <w:tcPr>
            <w:tcW w:w="1811" w:type="pct"/>
            <w:tcBorders>
              <w:top w:val="single" w:color="000000" w:sz="4" w:space="0"/>
              <w:left w:val="single" w:color="000000" w:sz="4" w:space="0"/>
              <w:bottom w:val="single" w:color="000000" w:sz="4" w:space="0"/>
              <w:right w:val="single" w:color="000000" w:sz="4" w:space="0"/>
            </w:tcBorders>
            <w:vAlign w:val="center"/>
          </w:tcPr>
          <w:p w14:paraId="3994031F">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邻二氯苯</w:t>
            </w:r>
          </w:p>
        </w:tc>
      </w:tr>
      <w:tr w14:paraId="4226A09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3FD60A96">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90</w:t>
            </w:r>
          </w:p>
        </w:tc>
        <w:tc>
          <w:tcPr>
            <w:tcW w:w="1879" w:type="pct"/>
            <w:tcBorders>
              <w:top w:val="single" w:color="000000" w:sz="4" w:space="0"/>
              <w:left w:val="single" w:color="000000" w:sz="4" w:space="0"/>
              <w:bottom w:val="single" w:color="000000" w:sz="4" w:space="0"/>
              <w:right w:val="single" w:color="000000" w:sz="4" w:space="0"/>
            </w:tcBorders>
            <w:vAlign w:val="center"/>
          </w:tcPr>
          <w:p w14:paraId="1160EF7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四氯化碳</w:t>
            </w:r>
          </w:p>
        </w:tc>
        <w:tc>
          <w:tcPr>
            <w:tcW w:w="752" w:type="pct"/>
            <w:tcBorders>
              <w:top w:val="single" w:color="000000" w:sz="4" w:space="0"/>
              <w:left w:val="single" w:color="000000" w:sz="4" w:space="0"/>
              <w:bottom w:val="single" w:color="000000" w:sz="4" w:space="0"/>
              <w:right w:val="single" w:color="000000" w:sz="4" w:space="0"/>
            </w:tcBorders>
            <w:vAlign w:val="center"/>
          </w:tcPr>
          <w:p w14:paraId="4ECE787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115</w:t>
            </w:r>
          </w:p>
        </w:tc>
        <w:tc>
          <w:tcPr>
            <w:tcW w:w="1811" w:type="pct"/>
            <w:tcBorders>
              <w:top w:val="single" w:color="000000" w:sz="4" w:space="0"/>
              <w:left w:val="single" w:color="000000" w:sz="4" w:space="0"/>
              <w:bottom w:val="single" w:color="000000" w:sz="4" w:space="0"/>
              <w:right w:val="single" w:color="000000" w:sz="4" w:space="0"/>
            </w:tcBorders>
            <w:vAlign w:val="center"/>
          </w:tcPr>
          <w:p w14:paraId="61EFA8AB">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1,1,2,3,4,4-</w:t>
            </w:r>
            <w:r>
              <w:rPr>
                <w:rStyle w:val="249"/>
                <w:rFonts w:hint="default" w:ascii="Times New Roman" w:hAnsi="Times New Roman" w:eastAsia="宋体" w:cs="Times New Roman"/>
                <w:sz w:val="21"/>
                <w:szCs w:val="21"/>
                <w:highlight w:val="none"/>
                <w:lang w:bidi="ar"/>
              </w:rPr>
              <w:t>六氯</w:t>
            </w:r>
            <w:r>
              <w:rPr>
                <w:rFonts w:hint="default" w:ascii="Times New Roman" w:hAnsi="Times New Roman" w:eastAsia="宋体" w:cs="Times New Roman"/>
                <w:color w:val="000000"/>
                <w:szCs w:val="21"/>
                <w:highlight w:val="none"/>
                <w:lang w:bidi="ar"/>
              </w:rPr>
              <w:t>-1,3-</w:t>
            </w:r>
            <w:r>
              <w:rPr>
                <w:rStyle w:val="249"/>
                <w:rFonts w:hint="default" w:ascii="Times New Roman" w:hAnsi="Times New Roman" w:eastAsia="宋体" w:cs="Times New Roman"/>
                <w:sz w:val="21"/>
                <w:szCs w:val="21"/>
                <w:highlight w:val="none"/>
                <w:lang w:bidi="ar"/>
              </w:rPr>
              <w:t>丁二烯</w:t>
            </w:r>
          </w:p>
        </w:tc>
      </w:tr>
      <w:tr w14:paraId="5907D27B">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5EEC372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91</w:t>
            </w:r>
          </w:p>
        </w:tc>
        <w:tc>
          <w:tcPr>
            <w:tcW w:w="1879" w:type="pct"/>
            <w:tcBorders>
              <w:top w:val="single" w:color="000000" w:sz="4" w:space="0"/>
              <w:left w:val="single" w:color="000000" w:sz="4" w:space="0"/>
              <w:bottom w:val="single" w:color="000000" w:sz="4" w:space="0"/>
              <w:right w:val="single" w:color="000000" w:sz="4" w:space="0"/>
            </w:tcBorders>
            <w:vAlign w:val="center"/>
          </w:tcPr>
          <w:p w14:paraId="270C624E">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乙酸乙酯</w:t>
            </w:r>
          </w:p>
        </w:tc>
        <w:tc>
          <w:tcPr>
            <w:tcW w:w="752" w:type="pct"/>
            <w:tcBorders>
              <w:top w:val="single" w:color="000000" w:sz="4" w:space="0"/>
              <w:left w:val="single" w:color="000000" w:sz="4" w:space="0"/>
              <w:bottom w:val="single" w:color="000000" w:sz="4" w:space="0"/>
              <w:right w:val="single" w:color="000000" w:sz="4" w:space="0"/>
            </w:tcBorders>
            <w:vAlign w:val="center"/>
          </w:tcPr>
          <w:p w14:paraId="2124185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p>
        </w:tc>
        <w:tc>
          <w:tcPr>
            <w:tcW w:w="1811" w:type="pct"/>
            <w:tcBorders>
              <w:top w:val="single" w:color="000000" w:sz="4" w:space="0"/>
              <w:left w:val="single" w:color="000000" w:sz="4" w:space="0"/>
              <w:bottom w:val="single" w:color="000000" w:sz="4" w:space="0"/>
              <w:right w:val="single" w:color="000000" w:sz="4" w:space="0"/>
            </w:tcBorders>
            <w:vAlign w:val="center"/>
          </w:tcPr>
          <w:p w14:paraId="00C6787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萘</w:t>
            </w:r>
          </w:p>
        </w:tc>
      </w:tr>
      <w:tr w14:paraId="29831D38">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1C22987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92</w:t>
            </w:r>
          </w:p>
        </w:tc>
        <w:tc>
          <w:tcPr>
            <w:tcW w:w="1879" w:type="pct"/>
            <w:tcBorders>
              <w:top w:val="single" w:color="000000" w:sz="4" w:space="0"/>
              <w:left w:val="single" w:color="000000" w:sz="4" w:space="0"/>
              <w:bottom w:val="single" w:color="000000" w:sz="4" w:space="0"/>
              <w:right w:val="single" w:color="000000" w:sz="4" w:space="0"/>
            </w:tcBorders>
            <w:vAlign w:val="center"/>
          </w:tcPr>
          <w:p w14:paraId="763F119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Style w:val="249"/>
                <w:rFonts w:hint="default" w:ascii="Times New Roman" w:hAnsi="Times New Roman" w:eastAsia="宋体" w:cs="Times New Roman"/>
                <w:sz w:val="21"/>
                <w:szCs w:val="21"/>
                <w:highlight w:val="none"/>
                <w:lang w:bidi="ar"/>
              </w:rPr>
              <w:t>异丙醇</w:t>
            </w:r>
          </w:p>
        </w:tc>
        <w:tc>
          <w:tcPr>
            <w:tcW w:w="752" w:type="pct"/>
            <w:tcBorders>
              <w:top w:val="single" w:color="000000" w:sz="4" w:space="0"/>
              <w:left w:val="single" w:color="000000" w:sz="4" w:space="0"/>
              <w:bottom w:val="single" w:color="000000" w:sz="4" w:space="0"/>
              <w:right w:val="single" w:color="000000" w:sz="4" w:space="0"/>
            </w:tcBorders>
            <w:vAlign w:val="center"/>
          </w:tcPr>
          <w:p w14:paraId="6C92FFA8">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p>
        </w:tc>
        <w:tc>
          <w:tcPr>
            <w:tcW w:w="1811" w:type="pct"/>
            <w:tcBorders>
              <w:top w:val="single" w:color="000000" w:sz="4" w:space="0"/>
              <w:left w:val="single" w:color="000000" w:sz="4" w:space="0"/>
              <w:bottom w:val="single" w:color="000000" w:sz="4" w:space="0"/>
              <w:right w:val="single" w:color="000000" w:sz="4" w:space="0"/>
            </w:tcBorders>
            <w:vAlign w:val="center"/>
          </w:tcPr>
          <w:p w14:paraId="5E66D195">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p>
        </w:tc>
      </w:tr>
      <w:tr w14:paraId="5C15E3CA">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2604A9E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93</w:t>
            </w:r>
          </w:p>
        </w:tc>
        <w:tc>
          <w:tcPr>
            <w:tcW w:w="1879" w:type="pct"/>
            <w:tcBorders>
              <w:top w:val="single" w:color="000000" w:sz="4" w:space="0"/>
              <w:left w:val="single" w:color="000000" w:sz="4" w:space="0"/>
              <w:bottom w:val="single" w:color="000000" w:sz="4" w:space="0"/>
              <w:right w:val="single" w:color="000000" w:sz="4" w:space="0"/>
            </w:tcBorders>
            <w:vAlign w:val="center"/>
          </w:tcPr>
          <w:p w14:paraId="1BF63A51">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1,1-</w:t>
            </w:r>
            <w:r>
              <w:rPr>
                <w:rStyle w:val="249"/>
                <w:rFonts w:hint="default" w:ascii="Times New Roman" w:hAnsi="Times New Roman" w:eastAsia="宋体" w:cs="Times New Roman"/>
                <w:sz w:val="21"/>
                <w:szCs w:val="21"/>
                <w:highlight w:val="none"/>
                <w:lang w:bidi="ar"/>
              </w:rPr>
              <w:t>二氯乙烷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5027E887">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p>
        </w:tc>
        <w:tc>
          <w:tcPr>
            <w:tcW w:w="1811" w:type="pct"/>
            <w:tcBorders>
              <w:top w:val="single" w:color="000000" w:sz="4" w:space="0"/>
              <w:left w:val="single" w:color="000000" w:sz="4" w:space="0"/>
              <w:bottom w:val="single" w:color="000000" w:sz="4" w:space="0"/>
              <w:right w:val="single" w:color="000000" w:sz="4" w:space="0"/>
            </w:tcBorders>
            <w:noWrap/>
            <w:vAlign w:val="center"/>
          </w:tcPr>
          <w:p w14:paraId="2610583D">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color w:val="000000"/>
                <w:szCs w:val="21"/>
                <w:highlight w:val="none"/>
              </w:rPr>
            </w:pPr>
          </w:p>
        </w:tc>
      </w:tr>
      <w:tr w14:paraId="394730BE">
        <w:tblPrEx>
          <w:tblCellMar>
            <w:top w:w="0" w:type="dxa"/>
            <w:left w:w="108" w:type="dxa"/>
            <w:bottom w:w="0" w:type="dxa"/>
            <w:right w:w="108" w:type="dxa"/>
          </w:tblCellMar>
        </w:tblPrEx>
        <w:trPr>
          <w:trHeight w:val="278" w:hRule="atLeast"/>
          <w:jc w:val="center"/>
        </w:trPr>
        <w:tc>
          <w:tcPr>
            <w:tcW w:w="556" w:type="pct"/>
            <w:tcBorders>
              <w:top w:val="single" w:color="000000" w:sz="4" w:space="0"/>
              <w:left w:val="single" w:color="000000" w:sz="4" w:space="0"/>
              <w:bottom w:val="single" w:color="000000" w:sz="4" w:space="0"/>
              <w:right w:val="single" w:color="000000" w:sz="4" w:space="0"/>
            </w:tcBorders>
            <w:vAlign w:val="center"/>
          </w:tcPr>
          <w:p w14:paraId="4ED0AF19">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94</w:t>
            </w:r>
          </w:p>
        </w:tc>
        <w:tc>
          <w:tcPr>
            <w:tcW w:w="1879" w:type="pct"/>
            <w:tcBorders>
              <w:top w:val="single" w:color="000000" w:sz="4" w:space="0"/>
              <w:left w:val="single" w:color="000000" w:sz="4" w:space="0"/>
              <w:bottom w:val="single" w:color="000000" w:sz="4" w:space="0"/>
              <w:right w:val="single" w:color="000000" w:sz="4" w:space="0"/>
            </w:tcBorders>
            <w:vAlign w:val="center"/>
          </w:tcPr>
          <w:p w14:paraId="36DA2F72">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bidi="ar"/>
              </w:rPr>
              <w:t>1,2-</w:t>
            </w:r>
            <w:r>
              <w:rPr>
                <w:rStyle w:val="249"/>
                <w:rFonts w:hint="default" w:ascii="Times New Roman" w:hAnsi="Times New Roman" w:eastAsia="宋体" w:cs="Times New Roman"/>
                <w:sz w:val="21"/>
                <w:szCs w:val="21"/>
                <w:highlight w:val="none"/>
                <w:lang w:bidi="ar"/>
              </w:rPr>
              <w:t>二氯乙烷</w:t>
            </w:r>
          </w:p>
        </w:tc>
        <w:tc>
          <w:tcPr>
            <w:tcW w:w="752" w:type="pct"/>
            <w:tcBorders>
              <w:top w:val="single" w:color="000000" w:sz="4" w:space="0"/>
              <w:left w:val="single" w:color="000000" w:sz="4" w:space="0"/>
              <w:bottom w:val="single" w:color="000000" w:sz="4" w:space="0"/>
              <w:right w:val="single" w:color="000000" w:sz="4" w:space="0"/>
            </w:tcBorders>
            <w:vAlign w:val="center"/>
          </w:tcPr>
          <w:p w14:paraId="6B5AE853">
            <w:pPr>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color w:val="000000"/>
                <w:szCs w:val="21"/>
                <w:highlight w:val="none"/>
              </w:rPr>
            </w:pPr>
          </w:p>
        </w:tc>
        <w:tc>
          <w:tcPr>
            <w:tcW w:w="1811" w:type="pct"/>
            <w:tcBorders>
              <w:top w:val="single" w:color="000000" w:sz="4" w:space="0"/>
              <w:left w:val="single" w:color="000000" w:sz="4" w:space="0"/>
              <w:bottom w:val="single" w:color="000000" w:sz="4" w:space="0"/>
              <w:right w:val="single" w:color="000000" w:sz="4" w:space="0"/>
            </w:tcBorders>
            <w:noWrap/>
            <w:vAlign w:val="center"/>
          </w:tcPr>
          <w:p w14:paraId="198FB609">
            <w:pPr>
              <w:pageBreakBefore w:val="0"/>
              <w:widowControl/>
              <w:kinsoku/>
              <w:wordWrap/>
              <w:overflowPunct/>
              <w:topLinePunct w:val="0"/>
              <w:bidi w:val="0"/>
              <w:spacing w:line="360" w:lineRule="auto"/>
              <w:jc w:val="center"/>
              <w:textAlignment w:val="bottom"/>
              <w:rPr>
                <w:rFonts w:hint="default" w:ascii="Times New Roman" w:hAnsi="Times New Roman" w:eastAsia="宋体" w:cs="Times New Roman"/>
                <w:color w:val="000000"/>
                <w:szCs w:val="21"/>
                <w:highlight w:val="none"/>
              </w:rPr>
            </w:pPr>
          </w:p>
        </w:tc>
      </w:tr>
    </w:tbl>
    <w:p w14:paraId="7B25A8B6">
      <w:pPr>
        <w:pageBreakBefore w:val="0"/>
        <w:kinsoku/>
        <w:wordWrap/>
        <w:overflowPunct/>
        <w:topLinePunct w:val="0"/>
        <w:bidi w:val="0"/>
        <w:spacing w:line="360" w:lineRule="auto"/>
        <w:rPr>
          <w:rFonts w:hint="default" w:ascii="Times New Roman" w:hAnsi="Times New Roman" w:eastAsia="宋体" w:cs="Times New Roman"/>
          <w:szCs w:val="21"/>
          <w:highlight w:val="none"/>
        </w:rPr>
      </w:pPr>
    </w:p>
    <w:p w14:paraId="6EC63717">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四、汾湖颗粒物激光雷达运维服务</w:t>
      </w:r>
    </w:p>
    <w:p w14:paraId="453C59A0">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4.1技术运维要求</w:t>
      </w:r>
    </w:p>
    <w:p w14:paraId="37473B19">
      <w:pPr>
        <w:pageBreakBefore w:val="0"/>
        <w:tabs>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4.1.1每日：远程检查仪器运行状况和工作参数是否正常，如有异常，应按照应急响应时间要求，及时处理；每日远程检查仪器采集软件是否正常运行和采集，检查原始回拨信号是否正常；每日远程检查分析软件是否正常解析，消光系数和退偏比是否连续，数据保存是否正常。</w:t>
      </w:r>
    </w:p>
    <w:p w14:paraId="42B2FE1B">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4.1.2每周：检查光学镜片表面，如有积尘或污渍，应停机使用洗耳球进行清洁，必要时使用擦镜纸进行清洁；每周检查光学镜片是否有破损情况，如有破损应及时更换；每周清洁天窗玻璃表面，检查天窗是否破裂、天窗支架及玻璃密封是否完好，有无漏水渗水等异常现象；每周检查室内外温差情况及天窗玻璃是否存在冷凝水，如有冷凝水，应调整站房温度或加装天窗玻璃加热装置；如天窗有加热装置，每周应检查其是否正常工作；采用水冷激光器的仪器，每周应检查激光器冷却溶液液位，及时添加；降雨、降雪及沙尘天气后，应及时清洁天窗玻璃。</w:t>
      </w:r>
    </w:p>
    <w:p w14:paraId="67CB2B59">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4.1.3 每月：检查激光光斑偏移情况，有偏差时应及时调整；检查记录雷达激光能量、激光光斑特征、回波信号、背景基线及噪声，如果有指标不满足指标对雷达进行维修调校以满足工作技术指标，必要时更换配件。</w:t>
      </w:r>
    </w:p>
    <w:p w14:paraId="784AD17E">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4.1.4 每半年：进行半年度光路校准，查看光路系统有无异常，如有异常即及时维护调试；对仪器进行预防性维护，并更换相应备件。</w:t>
      </w:r>
    </w:p>
    <w:p w14:paraId="6953B8A5">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4.1.5 每年：检查雷达采集模块各个通道高压工作是否正常；进行年度激光器校准和光路校准。</w:t>
      </w:r>
    </w:p>
    <w:p w14:paraId="4BDF851B">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4.1.6 数据分析。根据用户要求提供相关时间内的数据分析报告。</w:t>
      </w:r>
    </w:p>
    <w:p w14:paraId="59023D9D">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4.1.7 质控结果异常报警。发现设备质控数据异常后，2小时内远程检查监测数据质量，并告知用户异常情况，初步分析质控数据异常原因，为用户提供科学诊断仪器状态建议。</w:t>
      </w:r>
    </w:p>
    <w:p w14:paraId="4602A3F3">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4.1.8 大型活动保障。质控服务方依据用户提前通知的要求，在年度内有大型赛事、活动和重污染物天气时间段内，提供加密质控保障工作。</w:t>
      </w:r>
    </w:p>
    <w:p w14:paraId="6E587B0A">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4.2质控要求</w:t>
      </w:r>
    </w:p>
    <w:p w14:paraId="53751FB3">
      <w:pPr>
        <w:pageBreakBefore w:val="0"/>
        <w:tabs>
          <w:tab w:val="left" w:pos="540"/>
          <w:tab w:val="left" w:pos="900"/>
        </w:tabs>
        <w:kinsoku/>
        <w:wordWrap/>
        <w:overflowPunct/>
        <w:topLinePunct w:val="0"/>
        <w:bidi w:val="0"/>
        <w:spacing w:line="360" w:lineRule="auto"/>
        <w:ind w:left="420" w:hanging="420" w:hanging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4.2.1 每半年根据下表完成雷达自查检测项目并提交检查报告。</w:t>
      </w:r>
    </w:p>
    <w:p w14:paraId="4F4DF39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bCs/>
          <w:szCs w:val="21"/>
          <w:highlight w:val="none"/>
        </w:rPr>
        <w:t>表4-1 气溶胶激光雷达自查检测项目表</w:t>
      </w:r>
    </w:p>
    <w:tbl>
      <w:tblPr>
        <w:tblStyle w:val="4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2049"/>
        <w:gridCol w:w="1652"/>
        <w:gridCol w:w="1392"/>
        <w:gridCol w:w="1397"/>
      </w:tblGrid>
      <w:tr w14:paraId="06FA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85" w:type="pct"/>
            <w:vAlign w:val="center"/>
          </w:tcPr>
          <w:p w14:paraId="7C87A2DA">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站点名称</w:t>
            </w:r>
          </w:p>
        </w:tc>
        <w:tc>
          <w:tcPr>
            <w:tcW w:w="3814" w:type="pct"/>
            <w:gridSpan w:val="4"/>
            <w:vAlign w:val="center"/>
          </w:tcPr>
          <w:p w14:paraId="7A7F76B5">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p>
        </w:tc>
      </w:tr>
      <w:tr w14:paraId="3F4A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85" w:type="pct"/>
            <w:vAlign w:val="center"/>
          </w:tcPr>
          <w:p w14:paraId="40A46556">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天气要求</w:t>
            </w:r>
          </w:p>
        </w:tc>
        <w:tc>
          <w:tcPr>
            <w:tcW w:w="3814" w:type="pct"/>
            <w:gridSpan w:val="4"/>
            <w:vAlign w:val="center"/>
          </w:tcPr>
          <w:p w14:paraId="7DD0689C">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Cs/>
                <w:szCs w:val="21"/>
                <w:highlight w:val="none"/>
              </w:rPr>
              <w:t>晴朗天气，尽量避开云，相对湿度≤70%，轻度污染或以下（PM</w:t>
            </w:r>
            <w:r>
              <w:rPr>
                <w:rFonts w:hint="default" w:ascii="Times New Roman" w:hAnsi="Times New Roman" w:eastAsia="宋体" w:cs="Times New Roman"/>
                <w:bCs/>
                <w:szCs w:val="21"/>
                <w:highlight w:val="none"/>
                <w:vertAlign w:val="subscript"/>
              </w:rPr>
              <w:t>10</w:t>
            </w:r>
            <w:r>
              <w:rPr>
                <w:rFonts w:hint="default" w:ascii="Times New Roman" w:hAnsi="Times New Roman" w:eastAsia="宋体" w:cs="Times New Roman"/>
                <w:bCs/>
                <w:szCs w:val="21"/>
                <w:highlight w:val="none"/>
              </w:rPr>
              <w:t>≤250µg/m</w:t>
            </w:r>
            <w:r>
              <w:rPr>
                <w:rFonts w:hint="default" w:ascii="Times New Roman" w:hAnsi="Times New Roman" w:eastAsia="宋体" w:cs="Times New Roman"/>
                <w:bCs/>
                <w:szCs w:val="21"/>
                <w:highlight w:val="none"/>
                <w:vertAlign w:val="superscript"/>
              </w:rPr>
              <w:t>3</w:t>
            </w:r>
            <w:r>
              <w:rPr>
                <w:rFonts w:hint="default" w:ascii="Times New Roman" w:hAnsi="Times New Roman" w:eastAsia="宋体" w:cs="Times New Roman"/>
                <w:bCs/>
                <w:szCs w:val="21"/>
                <w:highlight w:val="none"/>
              </w:rPr>
              <w:t>, PM</w:t>
            </w:r>
            <w:r>
              <w:rPr>
                <w:rFonts w:hint="default" w:ascii="Times New Roman" w:hAnsi="Times New Roman" w:eastAsia="宋体" w:cs="Times New Roman"/>
                <w:bCs/>
                <w:szCs w:val="21"/>
                <w:highlight w:val="none"/>
                <w:vertAlign w:val="subscript"/>
              </w:rPr>
              <w:t>2.5</w:t>
            </w:r>
            <w:r>
              <w:rPr>
                <w:rFonts w:hint="default" w:ascii="Times New Roman" w:hAnsi="Times New Roman" w:eastAsia="宋体" w:cs="Times New Roman"/>
                <w:bCs/>
                <w:szCs w:val="21"/>
                <w:highlight w:val="none"/>
              </w:rPr>
              <w:t>≤115µg/m</w:t>
            </w:r>
            <w:r>
              <w:rPr>
                <w:rFonts w:hint="default" w:ascii="Times New Roman" w:hAnsi="Times New Roman" w:eastAsia="宋体" w:cs="Times New Roman"/>
                <w:bCs/>
                <w:szCs w:val="21"/>
                <w:highlight w:val="none"/>
                <w:vertAlign w:val="superscript"/>
              </w:rPr>
              <w:t>3</w:t>
            </w:r>
            <w:r>
              <w:rPr>
                <w:rFonts w:hint="default" w:ascii="Times New Roman" w:hAnsi="Times New Roman" w:eastAsia="宋体" w:cs="Times New Roman"/>
                <w:bCs/>
                <w:szCs w:val="21"/>
                <w:highlight w:val="none"/>
              </w:rPr>
              <w:t>）</w:t>
            </w:r>
          </w:p>
        </w:tc>
      </w:tr>
      <w:tr w14:paraId="0351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85" w:type="pct"/>
            <w:vAlign w:val="center"/>
          </w:tcPr>
          <w:p w14:paraId="18574A6C">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时间分辨率</w:t>
            </w:r>
          </w:p>
        </w:tc>
        <w:tc>
          <w:tcPr>
            <w:tcW w:w="3814" w:type="pct"/>
            <w:gridSpan w:val="4"/>
            <w:vAlign w:val="center"/>
          </w:tcPr>
          <w:p w14:paraId="67CECB14">
            <w:pPr>
              <w:pageBreakBefore w:val="0"/>
              <w:widowControl/>
              <w:kinsoku/>
              <w:wordWrap/>
              <w:overflowPunct/>
              <w:topLinePunct w:val="0"/>
              <w:bidi w:val="0"/>
              <w:spacing w:line="360" w:lineRule="auto"/>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每条数据采集时间不超过2min</w:t>
            </w:r>
          </w:p>
        </w:tc>
      </w:tr>
      <w:tr w14:paraId="466F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85" w:type="pct"/>
            <w:vAlign w:val="center"/>
          </w:tcPr>
          <w:p w14:paraId="6D92867A">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时间段要求</w:t>
            </w:r>
          </w:p>
        </w:tc>
        <w:tc>
          <w:tcPr>
            <w:tcW w:w="3814" w:type="pct"/>
            <w:gridSpan w:val="4"/>
            <w:vAlign w:val="center"/>
          </w:tcPr>
          <w:p w14:paraId="293DE46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至少2天的连续观测数据</w:t>
            </w:r>
          </w:p>
        </w:tc>
      </w:tr>
      <w:tr w14:paraId="240E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85" w:type="pct"/>
            <w:vMerge w:val="restart"/>
            <w:vAlign w:val="center"/>
          </w:tcPr>
          <w:p w14:paraId="475868D7">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检测项目</w:t>
            </w:r>
          </w:p>
        </w:tc>
        <w:tc>
          <w:tcPr>
            <w:tcW w:w="2175" w:type="pct"/>
            <w:gridSpan w:val="2"/>
            <w:vAlign w:val="center"/>
          </w:tcPr>
          <w:p w14:paraId="25BAE795">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性能指标</w:t>
            </w:r>
          </w:p>
        </w:tc>
        <w:tc>
          <w:tcPr>
            <w:tcW w:w="1639" w:type="pct"/>
            <w:gridSpan w:val="2"/>
            <w:vAlign w:val="center"/>
          </w:tcPr>
          <w:p w14:paraId="0E53130D">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实际检测结果</w:t>
            </w:r>
          </w:p>
        </w:tc>
      </w:tr>
      <w:tr w14:paraId="359F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85" w:type="pct"/>
            <w:vMerge w:val="continue"/>
            <w:vAlign w:val="center"/>
          </w:tcPr>
          <w:p w14:paraId="5FCF923B">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lang w:val="zh-CN"/>
              </w:rPr>
            </w:pPr>
          </w:p>
        </w:tc>
        <w:tc>
          <w:tcPr>
            <w:tcW w:w="1204" w:type="pct"/>
            <w:vAlign w:val="center"/>
          </w:tcPr>
          <w:p w14:paraId="3929B86D">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355nm波长</w:t>
            </w:r>
          </w:p>
        </w:tc>
        <w:tc>
          <w:tcPr>
            <w:tcW w:w="970" w:type="pct"/>
            <w:vAlign w:val="center"/>
          </w:tcPr>
          <w:p w14:paraId="10950305">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532nm波长</w:t>
            </w:r>
          </w:p>
        </w:tc>
        <w:tc>
          <w:tcPr>
            <w:tcW w:w="818" w:type="pct"/>
            <w:vAlign w:val="center"/>
          </w:tcPr>
          <w:p w14:paraId="3FA18CFD">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355nm波长</w:t>
            </w:r>
          </w:p>
        </w:tc>
        <w:tc>
          <w:tcPr>
            <w:tcW w:w="821" w:type="pct"/>
            <w:vAlign w:val="center"/>
          </w:tcPr>
          <w:p w14:paraId="33AAAC43">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532nm波长</w:t>
            </w:r>
          </w:p>
        </w:tc>
      </w:tr>
      <w:tr w14:paraId="3202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5" w:type="pct"/>
            <w:vAlign w:val="center"/>
          </w:tcPr>
          <w:p w14:paraId="3EEBCE5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探测盲区</w:t>
            </w:r>
          </w:p>
        </w:tc>
        <w:tc>
          <w:tcPr>
            <w:tcW w:w="1204" w:type="pct"/>
            <w:vAlign w:val="center"/>
          </w:tcPr>
          <w:p w14:paraId="7758AC3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≤75 m</w:t>
            </w:r>
          </w:p>
        </w:tc>
        <w:tc>
          <w:tcPr>
            <w:tcW w:w="970" w:type="pct"/>
            <w:vAlign w:val="center"/>
          </w:tcPr>
          <w:p w14:paraId="1FD3791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≤75 m</w:t>
            </w:r>
          </w:p>
        </w:tc>
        <w:tc>
          <w:tcPr>
            <w:tcW w:w="818" w:type="pct"/>
            <w:vAlign w:val="center"/>
          </w:tcPr>
          <w:p w14:paraId="0ED87F4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p>
        </w:tc>
        <w:tc>
          <w:tcPr>
            <w:tcW w:w="821" w:type="pct"/>
            <w:vAlign w:val="center"/>
          </w:tcPr>
          <w:p w14:paraId="2297BB8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p>
        </w:tc>
      </w:tr>
      <w:tr w14:paraId="00E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5" w:type="pct"/>
            <w:vAlign w:val="center"/>
          </w:tcPr>
          <w:p w14:paraId="1815C4D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过渡区</w:t>
            </w:r>
          </w:p>
        </w:tc>
        <w:tc>
          <w:tcPr>
            <w:tcW w:w="1204" w:type="pct"/>
            <w:vAlign w:val="center"/>
          </w:tcPr>
          <w:p w14:paraId="162C678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≤300 m</w:t>
            </w:r>
          </w:p>
        </w:tc>
        <w:tc>
          <w:tcPr>
            <w:tcW w:w="970" w:type="pct"/>
            <w:vAlign w:val="center"/>
          </w:tcPr>
          <w:p w14:paraId="408DA66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≤300m</w:t>
            </w:r>
          </w:p>
        </w:tc>
        <w:tc>
          <w:tcPr>
            <w:tcW w:w="818" w:type="pct"/>
            <w:vAlign w:val="center"/>
          </w:tcPr>
          <w:p w14:paraId="1536766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p>
        </w:tc>
        <w:tc>
          <w:tcPr>
            <w:tcW w:w="821" w:type="pct"/>
            <w:vAlign w:val="center"/>
          </w:tcPr>
          <w:p w14:paraId="6568CF8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p>
        </w:tc>
      </w:tr>
      <w:tr w14:paraId="7C2C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5" w:type="pct"/>
            <w:vAlign w:val="center"/>
          </w:tcPr>
          <w:p w14:paraId="3F87BBB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信噪比</w:t>
            </w:r>
          </w:p>
        </w:tc>
        <w:tc>
          <w:tcPr>
            <w:tcW w:w="1204" w:type="pct"/>
            <w:vAlign w:val="center"/>
          </w:tcPr>
          <w:p w14:paraId="5539B27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 xml:space="preserve">500m≥60dB </w:t>
            </w:r>
          </w:p>
          <w:p w14:paraId="217FCFF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 xml:space="preserve">1000m≥30dB </w:t>
            </w:r>
          </w:p>
          <w:p w14:paraId="3F5985E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2000m≥5dB</w:t>
            </w:r>
          </w:p>
        </w:tc>
        <w:tc>
          <w:tcPr>
            <w:tcW w:w="970" w:type="pct"/>
            <w:vAlign w:val="center"/>
          </w:tcPr>
          <w:p w14:paraId="6871D21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 xml:space="preserve">500m≥60dB </w:t>
            </w:r>
          </w:p>
          <w:p w14:paraId="7195B5E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 xml:space="preserve">1000m≥30dB </w:t>
            </w:r>
          </w:p>
          <w:p w14:paraId="176FB72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rPr>
              <w:t>2000m≥5dB</w:t>
            </w:r>
          </w:p>
        </w:tc>
        <w:tc>
          <w:tcPr>
            <w:tcW w:w="818" w:type="pct"/>
            <w:vAlign w:val="center"/>
          </w:tcPr>
          <w:p w14:paraId="33D15BF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821" w:type="pct"/>
            <w:vAlign w:val="center"/>
          </w:tcPr>
          <w:p w14:paraId="01C1A03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33F7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5" w:type="pct"/>
            <w:vAlign w:val="center"/>
          </w:tcPr>
          <w:p w14:paraId="4B6596E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有效探测距离</w:t>
            </w:r>
          </w:p>
        </w:tc>
        <w:tc>
          <w:tcPr>
            <w:tcW w:w="1204" w:type="pct"/>
            <w:vAlign w:val="center"/>
          </w:tcPr>
          <w:p w14:paraId="135BC2E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≥4 km</w:t>
            </w:r>
          </w:p>
        </w:tc>
        <w:tc>
          <w:tcPr>
            <w:tcW w:w="970" w:type="pct"/>
            <w:vAlign w:val="center"/>
          </w:tcPr>
          <w:p w14:paraId="4251430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≥4 km</w:t>
            </w:r>
          </w:p>
        </w:tc>
        <w:tc>
          <w:tcPr>
            <w:tcW w:w="818" w:type="pct"/>
            <w:vAlign w:val="center"/>
          </w:tcPr>
          <w:p w14:paraId="428644D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p>
        </w:tc>
        <w:tc>
          <w:tcPr>
            <w:tcW w:w="821" w:type="pct"/>
            <w:vAlign w:val="center"/>
          </w:tcPr>
          <w:p w14:paraId="340B639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p>
        </w:tc>
      </w:tr>
      <w:tr w14:paraId="0097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5" w:type="pct"/>
            <w:vAlign w:val="center"/>
          </w:tcPr>
          <w:p w14:paraId="369F877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大气瑞利散射信号拟合偏差</w:t>
            </w:r>
          </w:p>
        </w:tc>
        <w:tc>
          <w:tcPr>
            <w:tcW w:w="1204" w:type="pct"/>
            <w:vAlign w:val="center"/>
          </w:tcPr>
          <w:p w14:paraId="211BCF1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rPr>
              <w:t>≤20%</w:t>
            </w:r>
          </w:p>
        </w:tc>
        <w:tc>
          <w:tcPr>
            <w:tcW w:w="970" w:type="pct"/>
            <w:vAlign w:val="center"/>
          </w:tcPr>
          <w:p w14:paraId="42E4ABC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zh-CN"/>
              </w:rPr>
              <w:t>≤20%</w:t>
            </w:r>
          </w:p>
        </w:tc>
        <w:tc>
          <w:tcPr>
            <w:tcW w:w="818" w:type="pct"/>
            <w:vAlign w:val="center"/>
          </w:tcPr>
          <w:p w14:paraId="599EC5E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821" w:type="pct"/>
            <w:vAlign w:val="center"/>
          </w:tcPr>
          <w:p w14:paraId="3B1A721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3F1F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5" w:type="pct"/>
            <w:vAlign w:val="center"/>
          </w:tcPr>
          <w:p w14:paraId="4321D51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背景噪声平整度</w:t>
            </w:r>
          </w:p>
          <w:p w14:paraId="03F7EFA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（斜率）</w:t>
            </w:r>
          </w:p>
        </w:tc>
        <w:tc>
          <w:tcPr>
            <w:tcW w:w="1204" w:type="pct"/>
            <w:vAlign w:val="center"/>
          </w:tcPr>
          <w:p w14:paraId="59B0BB7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拟合斜率绝对值</w:t>
            </w:r>
          </w:p>
          <w:p w14:paraId="6C15BFF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w:t>
            </w:r>
            <w:r>
              <w:rPr>
                <w:rFonts w:hint="default" w:ascii="Times New Roman" w:hAnsi="Times New Roman" w:eastAsia="宋体" w:cs="Times New Roman"/>
                <w:szCs w:val="21"/>
                <w:highlight w:val="none"/>
                <w:vertAlign w:val="superscript"/>
              </w:rPr>
              <w:t xml:space="preserve">-4 </w:t>
            </w:r>
          </w:p>
        </w:tc>
        <w:tc>
          <w:tcPr>
            <w:tcW w:w="970" w:type="pct"/>
            <w:vAlign w:val="center"/>
          </w:tcPr>
          <w:p w14:paraId="197255D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拟合斜率绝对值≤10</w:t>
            </w:r>
            <w:r>
              <w:rPr>
                <w:rFonts w:hint="default" w:ascii="Times New Roman" w:hAnsi="Times New Roman" w:eastAsia="宋体" w:cs="Times New Roman"/>
                <w:szCs w:val="21"/>
                <w:highlight w:val="none"/>
                <w:vertAlign w:val="superscript"/>
              </w:rPr>
              <w:t>-4</w:t>
            </w:r>
            <w:r>
              <w:rPr>
                <w:rFonts w:hint="default" w:ascii="Times New Roman" w:hAnsi="Times New Roman" w:eastAsia="宋体" w:cs="Times New Roman"/>
                <w:szCs w:val="21"/>
                <w:highlight w:val="none"/>
              </w:rPr>
              <w:t xml:space="preserve"> </w:t>
            </w:r>
          </w:p>
        </w:tc>
        <w:tc>
          <w:tcPr>
            <w:tcW w:w="818" w:type="pct"/>
            <w:vAlign w:val="center"/>
          </w:tcPr>
          <w:p w14:paraId="52544E0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821" w:type="pct"/>
            <w:vAlign w:val="center"/>
          </w:tcPr>
          <w:p w14:paraId="0743625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bl>
    <w:p w14:paraId="479100E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4.2.2 配合业主完成拉曼激光雷达质控。</w:t>
      </w:r>
    </w:p>
    <w:p w14:paraId="20DC04F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4.3根据仪器状况及时更换仪器所需的配件，以保证仪器正常运行。更换后的耗材应留存备查。主要耗材更换的频率不少于每年2根滤芯、2个闪光灯、一个扩束镜。其它耗材应根据实际耗损情况及时更换。</w:t>
      </w:r>
    </w:p>
    <w:p w14:paraId="33B76547">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bookmarkStart w:id="137" w:name="_Hlk149147579"/>
      <w:bookmarkStart w:id="138" w:name="_Hlk149147378"/>
      <w:r>
        <w:rPr>
          <w:rFonts w:hint="default" w:ascii="Times New Roman" w:hAnsi="Times New Roman" w:eastAsia="宋体" w:cs="Times New Roman"/>
          <w:b/>
          <w:szCs w:val="21"/>
          <w:highlight w:val="none"/>
        </w:rPr>
        <w:t>五、</w:t>
      </w:r>
      <w:bookmarkEnd w:id="137"/>
      <w:r>
        <w:rPr>
          <w:rFonts w:hint="default" w:ascii="Times New Roman" w:hAnsi="Times New Roman" w:eastAsia="宋体" w:cs="Times New Roman"/>
          <w:b/>
          <w:szCs w:val="21"/>
          <w:highlight w:val="none"/>
        </w:rPr>
        <w:t>省中心臭氧雷达运维服务</w:t>
      </w:r>
    </w:p>
    <w:bookmarkEnd w:id="138"/>
    <w:p w14:paraId="1DB51DB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5.1技术运维要求</w:t>
      </w:r>
    </w:p>
    <w:p w14:paraId="48412BC0">
      <w:pPr>
        <w:pageBreakBefore w:val="0"/>
        <w:tabs>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5.1.1 每日：每日远程检查仪器运行状态；查看工控机能否登录，查清断网或关机原因；采集软件是否在运行；采集软件正常采集，正常显示回波信号；分析软件是否在运行；分析软件定时刷新，数据保存正常；如遇异常状况，立即进行检查，远程不能解决的安排现场进行检查。</w:t>
      </w:r>
    </w:p>
    <w:p w14:paraId="073848C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5.1.2 每周去1次站点现场巡视，并做好巡检记录，巡检时需要完成的工作包括：检查站房内电路系统、通讯系统是否正常，温度湿度是否正常；检查天窗玻璃是否破裂，天窗支架及玻璃密封是否完好，有无漏雨现象并清洁天窗玻璃；在冬夏季节应注意室内外温差，防止天窗出现冷凝水现象，如有此现象需加装加热除湿装置；检查激光器电源水位，如缺水需添加去离子水或纯净水；清洁望远镜接收系统上的灰尘，清洁空调滤网，清洁站房；</w:t>
      </w:r>
    </w:p>
    <w:p w14:paraId="154CE6F1">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5.1.3 每季度：检查激光器系统上的滤芯装置，滤芯棉头是否干净，更换滤芯；每季度对探测仪的光路系统进行一次审核；清洁望远镜接收系统上的灰尘，清洁空调滤网，清洁站房；更换冷却液；</w:t>
      </w:r>
    </w:p>
    <w:p w14:paraId="42446D9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5.1.4 每半年：检查天窗支架及玻璃的密封性，密封胶有无老化，查看有无漏水或渗水现象；进行半年度光路校准，校准工作完成后，做好校准记录，主要内容含：激光能量检查、激光光斑特征检查、回波信号检查、背景基线、噪声检查等；完成对数据进行备份工作。</w:t>
      </w:r>
    </w:p>
    <w:p w14:paraId="562C0820">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5.1.5 每年：检查探测仪采集模块各个通道高压工作是否正常；激光器镜片是否有被激光灼损现象，如出现此情况即予以更换；检查激光器输出能量及能量的稳定性，如出现能量波动异常需要及时维修激光器；进行年度激光器校准和光路校准；如有必要返厂进行光路维护（更换扩束镜、反射镜片、腔镜等）</w:t>
      </w:r>
    </w:p>
    <w:p w14:paraId="7240932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5.2 根据仪器状况及时更换仪器所需的配件，以保证仪器正常运行。更换后的耗材应留存备查。主要耗材更换的频率不少于每年1个平面窗口镜、2个扩束镜、2个拉曼晶体、2个倍频晶体。过滤器、冷却液、反射镜等其它耗材应根据实际耗损情况及时更换。</w:t>
      </w:r>
    </w:p>
    <w:p w14:paraId="325A5613">
      <w:pPr>
        <w:pageBreakBefore w:val="0"/>
        <w:kinsoku/>
        <w:wordWrap/>
        <w:overflowPunct/>
        <w:topLinePunct w:val="0"/>
        <w:bidi w:val="0"/>
        <w:spacing w:line="360" w:lineRule="auto"/>
        <w:ind w:firstLine="420"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Cs/>
          <w:szCs w:val="21"/>
          <w:highlight w:val="none"/>
        </w:rPr>
        <w:t>5.3 根据业主要求，提供仪器的搬迁安装服务。</w:t>
      </w:r>
    </w:p>
    <w:p w14:paraId="4EA4EA26">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六、省中心甲醛、HNO</w:t>
      </w:r>
      <w:r>
        <w:rPr>
          <w:rFonts w:hint="default" w:ascii="Times New Roman" w:hAnsi="Times New Roman" w:eastAsia="宋体" w:cs="Times New Roman"/>
          <w:b/>
          <w:szCs w:val="21"/>
          <w:highlight w:val="none"/>
          <w:vertAlign w:val="subscript"/>
        </w:rPr>
        <w:t>2</w:t>
      </w:r>
      <w:r>
        <w:rPr>
          <w:rFonts w:hint="default" w:ascii="Times New Roman" w:hAnsi="Times New Roman" w:eastAsia="宋体" w:cs="Times New Roman"/>
          <w:b/>
          <w:szCs w:val="21"/>
          <w:highlight w:val="none"/>
        </w:rPr>
        <w:t>在线监测仪运维服务</w:t>
      </w:r>
    </w:p>
    <w:p w14:paraId="27B7861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6.1技术运维要求</w:t>
      </w:r>
    </w:p>
    <w:p w14:paraId="469F71A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6.1.1每日：HNO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自动校零，进行保留时间漂移检查； 甲醛进行保留时间漂移检查。</w:t>
      </w:r>
    </w:p>
    <w:p w14:paraId="6DD8CD7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6.1.2 每周：HNO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采用不同浓度的HONO标气或亚硝酸盐标液对设备进行校准，包括有关辅助设备主要性能指标、空白检查、标点检查；每周核实光谱仪信号强度，保持光源强度稳定；甲醛使用标准溶液或气体对甲醛分析仪进行主要性能指标、空白检查、标点检查。</w:t>
      </w:r>
    </w:p>
    <w:p w14:paraId="314F4358">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6.1.3每月：HNO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对采样泵流量进行检查和校准，对吸收液流量进行校准；甲醛使用流量计对采样系统的气密性和流量进行检查校准，进行一次多点的线性检查。</w:t>
      </w:r>
    </w:p>
    <w:p w14:paraId="48D75D3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6.1.4 每季度：HONO分析仪进行多点外标校准曲线；甲醛进行多点校准，绘制更加准确的校准曲线；</w:t>
      </w:r>
    </w:p>
    <w:p w14:paraId="091FBD15">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6.1.5 每半年：HNO</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对仪器内部部分管路、接头和密封圈更换，对光纤池等核心部件进行清洗；甲醛对仪器内部部分管路、接头和密封圈更换，对光纤池等核心部件进行清洗；</w:t>
      </w:r>
    </w:p>
    <w:p w14:paraId="21A587A7">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6.1.6 每年：对仪器进行整体保养。</w:t>
      </w:r>
    </w:p>
    <w:p w14:paraId="6651CDE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6.2质控要求</w:t>
      </w:r>
    </w:p>
    <w:p w14:paraId="6B553EFB">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6.2.1 质控元素（标准品）测量相对误差≤±10%，流量相对误差≤±5%。标准气体：可追溯至国家二级标准以上标准。</w:t>
      </w:r>
    </w:p>
    <w:p w14:paraId="405E0D2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6.2.2 每月进行一次采样流量核查工作，如果流量误差超出5%的偏差，需进行多点校准。</w:t>
      </w:r>
    </w:p>
    <w:p w14:paraId="732AA53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6.3  根据仪器状况及时更换仪器所需的配件，以保证仪器正常运行。更换后的耗材应留存备查。主要耗材应根据实际耗损情况及时更换。</w:t>
      </w:r>
    </w:p>
    <w:p w14:paraId="7B460C3D">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6.4  每次运维及时清理现场，保障各种溶液桶处于密闭状态，避免因为仪器设备的任何原因导致站房充满异味。若出现严重异味情况，酌情扣除运维费。</w:t>
      </w:r>
    </w:p>
    <w:p w14:paraId="7212ED27">
      <w:pPr>
        <w:pageBreakBefore w:val="0"/>
        <w:kinsoku/>
        <w:wordWrap/>
        <w:overflowPunct/>
        <w:topLinePunct w:val="0"/>
        <w:bidi w:val="0"/>
        <w:spacing w:line="360" w:lineRule="auto"/>
        <w:ind w:firstLine="211" w:firstLineChars="100"/>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49508B14">
      <w:pPr>
        <w:pageBreakBefore w:val="0"/>
        <w:kinsoku/>
        <w:wordWrap/>
        <w:overflowPunct/>
        <w:topLinePunct w:val="0"/>
        <w:bidi w:val="0"/>
        <w:spacing w:line="360" w:lineRule="auto"/>
        <w:ind w:firstLine="211" w:firstLineChars="10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包12：大气走航监测车及相关设备运维服务</w:t>
      </w:r>
    </w:p>
    <w:p w14:paraId="31F44F1D">
      <w:pPr>
        <w:pageBreakBefore w:val="0"/>
        <w:kinsoku/>
        <w:wordWrap/>
        <w:overflowPunct/>
        <w:topLinePunct w:val="0"/>
        <w:bidi w:val="0"/>
        <w:spacing w:line="360" w:lineRule="auto"/>
        <w:ind w:firstLine="211" w:firstLineChars="1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一、基本概况：</w:t>
      </w:r>
    </w:p>
    <w:p w14:paraId="048BE501">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 项目概况：根据国家规范和技术要求，江苏省环境监测中心拟委托有资质机构对中心应急流动监测车（苏A 57100）运行维护管理开展委托运维招标，主要运维仪器包括、车载VOCs走航监测仪、车载拉曼雷达、车载便携式臭氧激光雷达。</w:t>
      </w:r>
    </w:p>
    <w:p w14:paraId="05DD0633">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w:t>
      </w:r>
      <w:r>
        <w:rPr>
          <w:rFonts w:hint="default" w:ascii="Times New Roman" w:hAnsi="Times New Roman" w:eastAsia="宋体" w:cs="Times New Roman"/>
          <w:bCs/>
          <w:szCs w:val="21"/>
          <w:highlight w:val="none"/>
        </w:rPr>
        <w:t>流动观测车设备清单及分项预算</w:t>
      </w:r>
    </w:p>
    <w:tbl>
      <w:tblPr>
        <w:tblStyle w:val="48"/>
        <w:tblW w:w="7846"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720"/>
        <w:gridCol w:w="1391"/>
        <w:gridCol w:w="1391"/>
      </w:tblGrid>
      <w:tr w14:paraId="7DE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shd w:val="clear" w:color="auto" w:fill="FFFFFF" w:themeFill="background1"/>
            <w:vAlign w:val="center"/>
          </w:tcPr>
          <w:p w14:paraId="0B4373CD">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仪器设备</w:t>
            </w:r>
          </w:p>
        </w:tc>
        <w:tc>
          <w:tcPr>
            <w:tcW w:w="2720" w:type="dxa"/>
            <w:shd w:val="clear" w:color="auto" w:fill="FFFFFF" w:themeFill="background1"/>
            <w:vAlign w:val="center"/>
          </w:tcPr>
          <w:p w14:paraId="35BE2576">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生产厂家</w:t>
            </w:r>
          </w:p>
        </w:tc>
        <w:tc>
          <w:tcPr>
            <w:tcW w:w="1391" w:type="dxa"/>
            <w:shd w:val="clear" w:color="auto" w:fill="FFFFFF" w:themeFill="background1"/>
            <w:vAlign w:val="center"/>
          </w:tcPr>
          <w:p w14:paraId="5AAFFD3A">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备注</w:t>
            </w:r>
          </w:p>
        </w:tc>
        <w:tc>
          <w:tcPr>
            <w:tcW w:w="1391" w:type="dxa"/>
            <w:shd w:val="clear" w:color="auto" w:fill="FFFFFF" w:themeFill="background1"/>
            <w:vAlign w:val="center"/>
          </w:tcPr>
          <w:p w14:paraId="2C928059">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分项预算</w:t>
            </w:r>
          </w:p>
          <w:p w14:paraId="0B52ADDA">
            <w:pPr>
              <w:pageBreakBefore w:val="0"/>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（万元/年）</w:t>
            </w:r>
          </w:p>
        </w:tc>
      </w:tr>
      <w:tr w14:paraId="12F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vAlign w:val="center"/>
          </w:tcPr>
          <w:p w14:paraId="6471F32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车载VOC走航分析仪</w:t>
            </w:r>
          </w:p>
        </w:tc>
        <w:tc>
          <w:tcPr>
            <w:tcW w:w="2720" w:type="dxa"/>
            <w:vAlign w:val="center"/>
          </w:tcPr>
          <w:p w14:paraId="0289622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禾信</w:t>
            </w:r>
          </w:p>
        </w:tc>
        <w:tc>
          <w:tcPr>
            <w:tcW w:w="1391" w:type="dxa"/>
            <w:vMerge w:val="restart"/>
            <w:vAlign w:val="center"/>
          </w:tcPr>
          <w:p w14:paraId="6B8837B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均为福特E450车载仪器</w:t>
            </w:r>
          </w:p>
        </w:tc>
        <w:tc>
          <w:tcPr>
            <w:tcW w:w="1391" w:type="dxa"/>
            <w:vAlign w:val="center"/>
          </w:tcPr>
          <w:p w14:paraId="63CEE38A">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28</w:t>
            </w:r>
          </w:p>
        </w:tc>
      </w:tr>
      <w:tr w14:paraId="3770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vAlign w:val="center"/>
          </w:tcPr>
          <w:p w14:paraId="6C203DB5">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车载拉曼雷达</w:t>
            </w:r>
          </w:p>
        </w:tc>
        <w:tc>
          <w:tcPr>
            <w:tcW w:w="2720" w:type="dxa"/>
            <w:vAlign w:val="center"/>
          </w:tcPr>
          <w:p w14:paraId="2BEC3F84">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中科环光</w:t>
            </w:r>
          </w:p>
        </w:tc>
        <w:tc>
          <w:tcPr>
            <w:tcW w:w="1391" w:type="dxa"/>
            <w:vMerge w:val="continue"/>
            <w:vAlign w:val="center"/>
          </w:tcPr>
          <w:p w14:paraId="214D810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391" w:type="dxa"/>
            <w:vAlign w:val="center"/>
          </w:tcPr>
          <w:p w14:paraId="355C77E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20</w:t>
            </w:r>
          </w:p>
        </w:tc>
      </w:tr>
      <w:tr w14:paraId="40B6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vAlign w:val="center"/>
          </w:tcPr>
          <w:p w14:paraId="5ED8C16D">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车载便携式臭氧雷达</w:t>
            </w:r>
          </w:p>
        </w:tc>
        <w:tc>
          <w:tcPr>
            <w:tcW w:w="2720" w:type="dxa"/>
            <w:vAlign w:val="center"/>
          </w:tcPr>
          <w:p w14:paraId="3C8154F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新环光电</w:t>
            </w:r>
          </w:p>
        </w:tc>
        <w:tc>
          <w:tcPr>
            <w:tcW w:w="1391" w:type="dxa"/>
            <w:vMerge w:val="continue"/>
            <w:vAlign w:val="center"/>
          </w:tcPr>
          <w:p w14:paraId="48A5E79E">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391" w:type="dxa"/>
            <w:vAlign w:val="center"/>
          </w:tcPr>
          <w:p w14:paraId="1FB36859">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12</w:t>
            </w:r>
          </w:p>
        </w:tc>
      </w:tr>
      <w:tr w14:paraId="69EE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5" w:type="dxa"/>
            <w:gridSpan w:val="3"/>
            <w:vAlign w:val="center"/>
          </w:tcPr>
          <w:p w14:paraId="56190A87">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合计</w:t>
            </w:r>
          </w:p>
        </w:tc>
        <w:tc>
          <w:tcPr>
            <w:tcW w:w="1391" w:type="dxa"/>
            <w:vAlign w:val="center"/>
          </w:tcPr>
          <w:p w14:paraId="19B5AE5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60</w:t>
            </w:r>
          </w:p>
        </w:tc>
      </w:tr>
    </w:tbl>
    <w:p w14:paraId="4544AE33">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p>
    <w:p w14:paraId="76DBC406">
      <w:pPr>
        <w:pageBreakBefore w:val="0"/>
        <w:kinsoku/>
        <w:wordWrap/>
        <w:overflowPunct/>
        <w:topLinePunct w:val="0"/>
        <w:bidi w:val="0"/>
        <w:spacing w:line="360" w:lineRule="auto"/>
        <w:ind w:firstLine="422" w:firstLineChars="2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二、走航监测车运维项目需求：</w:t>
      </w:r>
    </w:p>
    <w:p w14:paraId="67FC10C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2.1总体要求</w:t>
      </w:r>
    </w:p>
    <w:p w14:paraId="4C1D03E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2.1.1投标人应提供详细的运维管理服务方案。</w:t>
      </w:r>
    </w:p>
    <w:p w14:paraId="102B8BB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2.1.2投标人需按照业主要求保证全年及时响应。仪器故障发生后，4小时内（8:00-22:00）或8小时内（22:00-8:00）恢复运行。对不易诊断和维修的仪器故障，需在48小时内予以排除。</w:t>
      </w:r>
    </w:p>
    <w:p w14:paraId="719A9F7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2.1.3投标人应提供完整的运维人员管理方案，具备应对人员流动的应急预案，提出解决技术人员队伍稳定的措施；</w:t>
      </w:r>
    </w:p>
    <w:p w14:paraId="53E3E7A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2.1.4在该设备代维及管理期间，投标人应严格按照业主要求的操作规范和规章制度（详见技术运维要求部分），对所管理的系统及仪器设备进行规范操作和精心维护及必要维修，保证系统及仪器设备的正常运行，满足省环境监测中心提出的系统及仪器设备考核指标要求。</w:t>
      </w:r>
    </w:p>
    <w:p w14:paraId="693BBD1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2.1.5在该设备代维及管理期间，未经允许，承担运维单位不得以直接、间接、口头或书面等形式将观测数据披露给其他人员或第三方单位，因数据泄露而造成业主损失，业主将通过法律途径向投标人索赔。</w:t>
      </w:r>
    </w:p>
    <w:p w14:paraId="33D16AF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2.1.6投标人中标后在中标地区设立技术支持机构，配备1名经验丰富运维人员（运维人员大专以上学历，至少具备2年运行维护经验，并有相关运维单位的工作经验证明）常年驻守。</w:t>
      </w:r>
    </w:p>
    <w:p w14:paraId="0400DF7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2.1.7备品备件、耗材库的建立：中标方需在中标后1个月内建立好备品备件及耗材库，保障设备发生故障时48小时内及时修复。</w:t>
      </w:r>
    </w:p>
    <w:p w14:paraId="3088D2D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2.1.8服务要求：每年应当开展走航服务不少于30次，并负责走航监测相关的所有支出；每次走航提供一份分析报告。</w:t>
      </w:r>
    </w:p>
    <w:p w14:paraId="0C0E0F7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2.1.9数据联网要求：根据业主要求完成部分走航监测的数据联网及展示。</w:t>
      </w:r>
    </w:p>
    <w:p w14:paraId="12746EB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2.1.10 投标人应具备该设备生产商提供的备件和耗材供货承诺函（仪器生产商或进口设备国内办事处可不提供承诺函，但需提供与仪器相关的证明材料）；</w:t>
      </w:r>
    </w:p>
    <w:p w14:paraId="17C879E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2.1.11根据用户要求对省内超站的雷达开展拉曼雷达质控。</w:t>
      </w:r>
    </w:p>
    <w:p w14:paraId="28417A3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2.1.12包含运维所需的耗材及维修费用</w:t>
      </w:r>
    </w:p>
    <w:p w14:paraId="62D5FFE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2.2运行维护工作：开展走航监测期间，除了对表格内的3套设备运行维护外，还需协助对应的工程师对走航车上的其它设备开展运维。</w:t>
      </w:r>
    </w:p>
    <w:p w14:paraId="31D8795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2.3运维工作内容</w:t>
      </w:r>
    </w:p>
    <w:p w14:paraId="58B4F8F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2.3.1监测车的日常运行维护（每次走航监测开始前、结束后，包含耗材）；</w:t>
      </w:r>
    </w:p>
    <w:p w14:paraId="31C10D0E">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2.3.2协助完成走航监测车内的设备维修工作；</w:t>
      </w:r>
    </w:p>
    <w:p w14:paraId="6DBA02AD">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2.4运维工作要求</w:t>
      </w:r>
    </w:p>
    <w:p w14:paraId="1405ABC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2.4.1每周巡检：走航监测车仪器在运行期间，运维人员每周巡检走航监测车1次，并做好巡查记录，主要工作包括监测车基本功能检查、监测仪运行参数检查和维护等、安全检查和卫生打扫。</w:t>
      </w:r>
    </w:p>
    <w:p w14:paraId="389B876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2.4.1.1查看设备是否齐全，是否有丢失和损坏；检查接地线路是否可靠，排风排气装置工作是否正常，标准气钢瓶阀门是否漏气，标准气的消耗情况；检查各仪器的运行状况，保证系统运行顺畅。</w:t>
      </w:r>
    </w:p>
    <w:p w14:paraId="41A61DE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2.4.1.2 检查监测车的通讯系统，保证监测车的数据能实时联网。</w:t>
      </w:r>
    </w:p>
    <w:p w14:paraId="1CD7376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2.4.2每月工作内容如下：</w:t>
      </w:r>
    </w:p>
    <w:p w14:paraId="07758BF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2.4.2.1清洗车顶所有采样头及切割器。</w:t>
      </w:r>
    </w:p>
    <w:p w14:paraId="43874DE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2.4.2.2检查各台仪器设备的流量，如果超过国家相关规范要求，需要进行校准，检查仪器是否漏气。</w:t>
      </w:r>
    </w:p>
    <w:p w14:paraId="38C3B80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2.4.3每季度工作内容如下：</w:t>
      </w:r>
    </w:p>
    <w:p w14:paraId="4778F2F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2.4.3.1 至少清洗一次采样总管及采样风机；</w:t>
      </w:r>
    </w:p>
    <w:p w14:paraId="060CB2B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2.4.4每半年工作内容如下：对走航监测车中的发电机进行保养维护</w:t>
      </w:r>
    </w:p>
    <w:p w14:paraId="3030BB92">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每年（合同期内）工作内容如下：</w:t>
      </w:r>
    </w:p>
    <w:p w14:paraId="5898A68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2.4.4.5对所有的仪器进行预防性维护，按说明书的要求更换备件。</w:t>
      </w:r>
    </w:p>
    <w:p w14:paraId="5C9B6E74">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2.4.5其他</w:t>
      </w:r>
    </w:p>
    <w:p w14:paraId="51E93BD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2.4.5.1当有大型活动或应急事故发生时，需安排人员配合省中心确保相关仪器设备的正常运行。</w:t>
      </w:r>
    </w:p>
    <w:p w14:paraId="7BAAAAC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2.4.5.2走航监测车设备运行期间，需提供无线传输设备，保证相关工作人员能随时查看监测数据。</w:t>
      </w:r>
    </w:p>
    <w:p w14:paraId="4801A85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 针对监测车上各项设备的整体要求</w:t>
      </w:r>
    </w:p>
    <w:p w14:paraId="02A4063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2.5.1投标人应在投标项目所在地设立技术支持机构，至少配备2名运维技术人员负责相关设备。</w:t>
      </w:r>
    </w:p>
    <w:p w14:paraId="698E77E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2.5.2投标人应为运维人员配备专用仪器维修工具（包括万用表、工具箱等）、通讯调试工具（包括各种硬件接口线、改线工具、接口调试软件及常用零部件等）；</w:t>
      </w:r>
    </w:p>
    <w:p w14:paraId="199B3E5A">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2.5.3投标人应提供完整的运维人员管理方案，提出解决稳定人员队伍的措施；</w:t>
      </w:r>
    </w:p>
    <w:p w14:paraId="73B3D43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2.5.4投标人应提供详细的运维管理服务方案；</w:t>
      </w:r>
    </w:p>
    <w:p w14:paraId="54E133C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2.5.5如仪器出现现场不能解决的故障，需要返厂维修，投标人应在一周之内配合业主联系原厂开展此项工作。</w:t>
      </w:r>
    </w:p>
    <w:p w14:paraId="5E8CEFA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2.5.6投标人应在运维期间为业主提供一次仪器培训。</w:t>
      </w:r>
    </w:p>
    <w:p w14:paraId="300F817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2.5.7在该设备代维及管理期间，投标人应严格按照业主要求的操作规范和规章制度（详见技术运维要求部分），对所管理的系统及仪器设备进行规范操作和精心维护及必要维修，保证系统及仪器设备的正常运行，满足省环境监测中心提出的系统及仪器设备考核指标要求</w:t>
      </w:r>
    </w:p>
    <w:p w14:paraId="6E0BC153">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p>
    <w:p w14:paraId="54048509">
      <w:pPr>
        <w:pageBreakBefore w:val="0"/>
        <w:kinsoku/>
        <w:wordWrap/>
        <w:overflowPunct/>
        <w:topLinePunct w:val="0"/>
        <w:bidi w:val="0"/>
        <w:spacing w:line="360" w:lineRule="auto"/>
        <w:ind w:firstLine="422" w:firstLineChars="2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三、车载VOC走航分析仪运维项目需求：</w:t>
      </w:r>
    </w:p>
    <w:p w14:paraId="4C709C1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该设备运维服务需求为技术运维服务，包含仪器运行所使用的耗材、配件、维修，具体要求如下：</w:t>
      </w:r>
    </w:p>
    <w:p w14:paraId="1720CE76">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3.1技术运维要求</w:t>
      </w:r>
    </w:p>
    <w:p w14:paraId="609D4FDE">
      <w:pPr>
        <w:pageBreakBefore w:val="0"/>
        <w:tabs>
          <w:tab w:val="left" w:pos="540"/>
          <w:tab w:val="left" w:pos="900"/>
        </w:tabs>
        <w:kinsoku/>
        <w:wordWrap/>
        <w:overflowPunct/>
        <w:topLinePunct w:val="0"/>
        <w:bidi w:val="0"/>
        <w:spacing w:line="360" w:lineRule="auto"/>
        <w:ind w:left="420" w:left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3.1.1针对大气挥发性有机物走航监测车进行常规运维、耗材更换、仪器校准、质控。</w:t>
      </w:r>
    </w:p>
    <w:p w14:paraId="0E0DF109">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3.1.2 软件升级：在服务期内，同型号仪器若有新的软件或升级程序，运维单位应及时向业主提供；并经业主确认是否需要升级，无论是否升级均不再另外收取费用。前述升级并不包含硬件等非软件升级，若涉及硬件等非软件升级，将另行与业主确认。</w:t>
      </w:r>
    </w:p>
    <w:p w14:paraId="47E4A3A3">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3.2 具体运维要求</w:t>
      </w:r>
    </w:p>
    <w:p w14:paraId="296674FD">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3.2.1 每日：查看仪器采集软件、分析软件运行是否正常。检查仪器是否有异常报警，数据传输是否正常。监测车供电电源检查（包括总电源开关、电表、供电电压、防感应雷部件等）；仪器电路及其通讯口连接检查（包括检查通讯口连接是否牢固、连接是否通畅等）</w:t>
      </w:r>
    </w:p>
    <w:p w14:paraId="5AA2E068">
      <w:pPr>
        <w:pageBreakBefore w:val="0"/>
        <w:kinsoku/>
        <w:wordWrap/>
        <w:overflowPunct/>
        <w:topLinePunct w:val="0"/>
        <w:bidi w:val="0"/>
        <w:spacing w:line="360" w:lineRule="auto"/>
        <w:ind w:firstLine="420" w:firstLineChars="200"/>
        <w:jc w:val="left"/>
        <w:rPr>
          <w:rStyle w:val="390"/>
          <w:rFonts w:hint="default" w:ascii="Times New Roman" w:hAnsi="Times New Roman" w:eastAsia="宋体" w:cs="Times New Roman"/>
          <w:szCs w:val="21"/>
          <w:highlight w:val="none"/>
        </w:rPr>
      </w:pPr>
      <w:r>
        <w:rPr>
          <w:rStyle w:val="390"/>
          <w:rFonts w:hint="default" w:ascii="Times New Roman" w:hAnsi="Times New Roman" w:eastAsia="宋体" w:cs="Times New Roman"/>
          <w:szCs w:val="21"/>
          <w:highlight w:val="none"/>
        </w:rPr>
        <w:t>3.2.2每周：标准气瓶、减压阀及其气路连接漏气检查（包括检查标准气瓶是否过期、减压阀是否正常等）</w:t>
      </w:r>
    </w:p>
    <w:p w14:paraId="3587CF19">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3.2.3 每月：采样管路检查（包括气密性、管路是否污染、有否结露、采样泵工作是否正常等）；清洁采样管路，反吹维护；仪器校准（标准曲线制作，质控样标定等）；</w:t>
      </w:r>
    </w:p>
    <w:p w14:paraId="3620B957">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3.2.4 每年：预防性维护，对系统进行检查与清洁，更换必要的耗材与配件；离子源灯丝耗材更换。</w:t>
      </w:r>
    </w:p>
    <w:p w14:paraId="20730E7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   运维时间要求及环境分析综合报告编制</w:t>
      </w:r>
    </w:p>
    <w:p w14:paraId="78FF504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3.3.1 每次执行任务进行运行情况实行日报告，对异常情况及时上报。对每起事故及时排除，及时上报。同时在任务结束后提供此次任务报告。提供月度、半年、年度分析报告。现场记录存档随时供招标单位审核。</w:t>
      </w:r>
    </w:p>
    <w:p w14:paraId="33B7B68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3.3.2 每周日前制定下周工作计划并提交给客户，及时完成招标单位要求提供的其他临时任务。</w:t>
      </w:r>
    </w:p>
    <w:p w14:paraId="75B7E4E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 根据仪器状况及时更换仪器所需的配件，以保证仪器正常运行。主要耗材更换的频率不少于每年1个MCP检测器、1个紫外灯；金属过滤器、阀门等耗材应根据实际耗损情况及时更换。</w:t>
      </w:r>
    </w:p>
    <w:p w14:paraId="6B043DA6">
      <w:pPr>
        <w:pStyle w:val="2"/>
        <w:pageBreakBefore w:val="0"/>
        <w:kinsoku/>
        <w:wordWrap/>
        <w:overflowPunct/>
        <w:topLinePunct w:val="0"/>
        <w:bidi w:val="0"/>
        <w:spacing w:line="360" w:lineRule="auto"/>
        <w:ind w:left="0"/>
        <w:rPr>
          <w:rFonts w:hint="default" w:ascii="Times New Roman" w:hAnsi="Times New Roman" w:eastAsia="宋体" w:cs="Times New Roman"/>
          <w:szCs w:val="21"/>
          <w:highlight w:val="none"/>
        </w:rPr>
      </w:pPr>
    </w:p>
    <w:p w14:paraId="21F3AE59">
      <w:pPr>
        <w:pageBreakBefore w:val="0"/>
        <w:kinsoku/>
        <w:wordWrap/>
        <w:overflowPunct/>
        <w:topLinePunct w:val="0"/>
        <w:bidi w:val="0"/>
        <w:spacing w:line="360" w:lineRule="auto"/>
        <w:ind w:firstLine="422" w:firstLineChars="2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四、车载便携式臭氧雷达运维项目需求：</w:t>
      </w:r>
    </w:p>
    <w:p w14:paraId="1C746161">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该设备运维服务需求为技术运维服务，包含仪器运行所使用的耗材、配件、具体要求如下：</w:t>
      </w:r>
    </w:p>
    <w:p w14:paraId="37C87FE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4.1技术运维要求</w:t>
      </w:r>
    </w:p>
    <w:p w14:paraId="21E0C86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4.1.1日常运维工作：保持仪器设备表面干净整洁，设备标识清楚；检查供电情况，保证雷达系统、云台、软件系统正常运行；每次维护后做系统运行测试，并填写维护记录；进行维护时，应规范操作，注意设备与人身安全，防止意外发生。</w:t>
      </w:r>
    </w:p>
    <w:p w14:paraId="47758D7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4.1.2每日工作项目：远程检查仪器运行状态；查看工控机能否正常工作，查清断网或关机原因；检查上位机软件、远程控制软件等是否正常运行；检查回波信号是否正常，本地数据是否正常存储；确认云平台数据是否正常上传显示；分析软件定时刷新，数据保存正常；如遇异常状况，立即进行检查，远程不能解决的安排现场进行检查。</w:t>
      </w:r>
    </w:p>
    <w:p w14:paraId="03C19502">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4.1.3每月工作项目：每月去1次现场巡视，并做好巡检记录，巡检时需要检查电路系统、通讯系统是否正常，设备内部温度湿度是否正常；利用酒精清洁设备大窗口镜上的灰尘，尤其是望远镜接收区域与激光出光区域；检查侧面防尘罩是否积灰积泥并进行清洁，确认散热风扇正常运转。</w:t>
      </w:r>
    </w:p>
    <w:p w14:paraId="347E21BA">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4.1.4半年工作项目：进行半年度光路校准，校准工作完成后，做好校准记录，主要内容含：激光能量检查、激光光斑特征检查、回波信号检查、背景基线、噪声检查，光谱仪校准等；整体散热模块进行大范围清洁除尘，确保散热模块的正常工作；对设备本地数据、日志等进行备份，确保本地存储容量、4G流量剩余可用。</w:t>
      </w:r>
    </w:p>
    <w:p w14:paraId="65E0B8A8">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4.1.5年度工作项目：检查雷达整体采集模块各个通道高压工作是否正常；检查激光器输出能量及能量的稳定性，如出现能量波动异常需要及时维修激光器；进行年度激光器校准和光路校准，检查内部晶体、镜片等是否出现损伤，并进行相关更换维修；对设备运行日志进行检查，确认年度运行状态中出现的异常情况并进行排查解决。</w:t>
      </w:r>
    </w:p>
    <w:p w14:paraId="7918E7E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4.2运维记录与报告</w:t>
      </w:r>
    </w:p>
    <w:p w14:paraId="4B86B309">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4.2.1、依据仪器特性及上述运维要求，编制相应运维、质控记录表单。</w:t>
      </w:r>
    </w:p>
    <w:p w14:paraId="098F39D0">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4.2.2、依据技术运维要求，每月提交相应技术运维记录。</w:t>
      </w:r>
    </w:p>
    <w:p w14:paraId="56A9965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4.2.3、根据不定期走航监测数据及现场溯源情况，结合空气质量数据、气象数据、污染因子监测数据、雷达数据、组分数据等多维度信息，总结绘制臭氧雷达监测走航报告，同时对数据进行深度挖掘与分析，实现全方位的数据研判，提高数据分析的效率与数据挖掘的能力，快速响应服务需求。</w:t>
      </w:r>
    </w:p>
    <w:p w14:paraId="42FA314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4.2.4、每年度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1341FD57">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4.2.5、依据运维总结报告制作汇报材料向业主进行总结性汇报。</w:t>
      </w:r>
    </w:p>
    <w:p w14:paraId="65A0A614">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4.3根据仪器状况及时更换仪器所需的配件，以保证仪器正常运行。 </w:t>
      </w:r>
    </w:p>
    <w:p w14:paraId="2AD61AD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p>
    <w:p w14:paraId="72D13DC4">
      <w:pPr>
        <w:pageBreakBefore w:val="0"/>
        <w:kinsoku/>
        <w:wordWrap/>
        <w:overflowPunct/>
        <w:topLinePunct w:val="0"/>
        <w:bidi w:val="0"/>
        <w:spacing w:line="360" w:lineRule="auto"/>
        <w:ind w:firstLine="422" w:firstLineChars="200"/>
        <w:jc w:val="left"/>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五、车载拉曼雷达运维项目需求：</w:t>
      </w:r>
    </w:p>
    <w:p w14:paraId="603B6BDB">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该设备运维服务需求为技术运维服务，包含仪器运行所使用的耗材、配件、具体要求如下：</w:t>
      </w:r>
    </w:p>
    <w:p w14:paraId="62A5A0E0">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 xml:space="preserve">5.1运维总体要求 </w:t>
      </w:r>
    </w:p>
    <w:p w14:paraId="071995EF">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5.1.1运维内容：承担江苏省环境监测中心车载气溶胶垂直分布探测质控比对分析仪（大气颗粒物监测激光雷达）日常运行维护和质控工作，包括仪器设备日常和定期维护、定期巡检、故障维修、质量控制、备品备件及设备耗材更换等运行维护事项。</w:t>
      </w:r>
    </w:p>
    <w:p w14:paraId="7B999C28">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5.1.2</w:t>
      </w: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bCs/>
          <w:szCs w:val="21"/>
          <w:highlight w:val="none"/>
        </w:rPr>
        <w:t>设备质控：中标方必须根据《大气气溶胶激光雷达技术要求及检测方法作业指导书》（HJC-ZY82-2018）定期对设备进行相关质控项目的检测。</w:t>
      </w:r>
    </w:p>
    <w:p w14:paraId="4F089C6C">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5.1.3 数据采集要求：所有运维设备的数据采集通过网络传输至江苏省中心平台，实时展示消光系数，退偏振比等数据结果。</w:t>
      </w:r>
    </w:p>
    <w:p w14:paraId="1865B8A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5.2运维与服务具体要求</w:t>
      </w:r>
    </w:p>
    <w:p w14:paraId="116A655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5.2.1 日常运维工作：运行期间，中标方每天远程查看设备运行情况，进行远程诊断和运行管理并记录雷达运行状态，内容包括：设备远程连接是否正常，能否正常远程监控设备，若不能远程需排查原因，需现场确认时及时安排现场排查；检查数据上传程序是否开启运行，数据是否正常上传服务器；分析软件是否正常运行，反演结果是否更新至最新监测时间；</w:t>
      </w:r>
    </w:p>
    <w:p w14:paraId="39BF9A8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 现场巡检工作：</w:t>
      </w:r>
    </w:p>
    <w:p w14:paraId="0698A6B5">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5.2.2.1运行期间，每两周至少完成一次现场巡检，巡检检查项包括：激光雷达环境检查：检查车内温度、湿度是否符合要求；检查车内排风排气装置运行是否正常；</w:t>
      </w:r>
    </w:p>
    <w:p w14:paraId="294029E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5.2.2.2检查车内空调、电源等辅助设备的运行是否正常；检查各电源插头、稳压电源参数、线板工作是否正常；车内整洁卫生（无垃圾杂物、无蜘蛛网、无昆虫老鼠等）；</w:t>
      </w:r>
    </w:p>
    <w:p w14:paraId="1D95171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5.2.2.3 网络相关项目检查：检查网络连接是否正常，网速是否正常。</w:t>
      </w:r>
    </w:p>
    <w:p w14:paraId="7BA42E83">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5.2.2.4光学玻璃检查：检查天窗光学玻璃是否完好无破损、无划痕、无脏污；如果有脏污需要及时清洗天窗。</w:t>
      </w:r>
    </w:p>
    <w:p w14:paraId="64995145">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5.2.2.5天窗支架检查：检查天窗支架是否固定牢固，是否有漏水渗水现象。</w:t>
      </w:r>
    </w:p>
    <w:p w14:paraId="68CFC3AB">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5.2.2.6加热器检查：检查（天窗）加热器是否运行正常，风扇是否运行正常。</w:t>
      </w:r>
    </w:p>
    <w:p w14:paraId="05925DC7">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5.2.2.7 采集箱检查：检查采集箱各通道指示灯是否正常，各通道运行是否正常。</w:t>
      </w:r>
    </w:p>
    <w:p w14:paraId="5B2448EC">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5.2.2.8 工控机检查：检查工控机运行是否正常并清理风扇滤网。</w:t>
      </w:r>
    </w:p>
    <w:p w14:paraId="1A0E7754">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5.2.2.9 激光器检查：检查激光器运行是否正常，激光器光斑、光功率是否正常。</w:t>
      </w:r>
    </w:p>
    <w:p w14:paraId="38049314">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5.2.2.10 激光器各模块检查：检查激光器各个模块温控、驱动电流及腔内温湿度是否正常。</w:t>
      </w:r>
    </w:p>
    <w:p w14:paraId="228B3DA2">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5.2.2.11光学系统检查：通过接收横截面四象限均匀性、大气瑞利散射信号拟合偏差检测等项目检查确定激光雷达发射和接收光学系统是否正常。</w:t>
      </w:r>
    </w:p>
    <w:p w14:paraId="52C841B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5.2.2.12 采集软件检查和信号质量检查：检查设备状态显示是否正常、回波信号曲线是否正常、信号背景噪声、信噪比、有效探测距离等信号质量是否正常；温湿压模块工作正常；温控系统通讯正常。</w:t>
      </w:r>
    </w:p>
    <w:p w14:paraId="678F2AAE">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5.2.2.13 分析软件检查：检查分析软件是否正常运行，数据目录选择是否正常，反演参数是否设置正常，反演结果是否正常。</w:t>
      </w:r>
    </w:p>
    <w:p w14:paraId="7A653D6F">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5.2.2.14 数据解析存储和上传检查：检查数据解析是否全部完成，解析是否正常；检查数据存储是否正常，有无数据缺失；检查各个产品输出是否正常保存；检查数据是否正常上传。</w:t>
      </w:r>
    </w:p>
    <w:p w14:paraId="76A7C391">
      <w:pPr>
        <w:pageBreakBefore w:val="0"/>
        <w:kinsoku/>
        <w:wordWrap/>
        <w:overflowPunct/>
        <w:topLinePunct w:val="0"/>
        <w:bidi w:val="0"/>
        <w:spacing w:line="360" w:lineRule="auto"/>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  根据仪器状况及时更换仪器所需的配件，以保证仪器正常运行。更换后的耗材应留存备查。主要耗材更换的频率不少于每年1个激光器、主镜窗片，其它耗材应根据实际耗损情况及时更换。</w:t>
      </w:r>
    </w:p>
    <w:p w14:paraId="1FCCA2DE">
      <w:pPr>
        <w:pageBreakBefore w:val="0"/>
        <w:kinsoku/>
        <w:wordWrap/>
        <w:overflowPunct/>
        <w:topLinePunct w:val="0"/>
        <w:bidi w:val="0"/>
        <w:spacing w:line="360" w:lineRule="auto"/>
        <w:rPr>
          <w:rFonts w:hint="default" w:ascii="Times New Roman" w:hAnsi="Times New Roman" w:eastAsia="宋体" w:cs="Times New Roman"/>
          <w:b/>
          <w:bCs/>
          <w:szCs w:val="21"/>
          <w:highlight w:val="none"/>
        </w:rPr>
        <w:sectPr>
          <w:pgSz w:w="11906" w:h="16838"/>
          <w:pgMar w:top="1440" w:right="1803" w:bottom="1440" w:left="1803" w:header="227" w:footer="720" w:gutter="0"/>
          <w:pgNumType w:fmt="decimal"/>
          <w:cols w:space="0" w:num="1"/>
          <w:docGrid w:linePitch="360" w:charSpace="0"/>
        </w:sectPr>
      </w:pPr>
    </w:p>
    <w:p w14:paraId="1D067FAC">
      <w:pPr>
        <w:pageBreakBefore w:val="0"/>
        <w:kinsoku/>
        <w:wordWrap/>
        <w:overflowPunct/>
        <w:topLinePunct w:val="0"/>
        <w:bidi w:val="0"/>
        <w:spacing w:line="360" w:lineRule="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包13：大气颗粒物组分及VOCs多元综合分析子系统及全省VOCs质控审核服务</w:t>
      </w:r>
    </w:p>
    <w:p w14:paraId="1D5CB5D7">
      <w:pPr>
        <w:pageBreakBefore w:val="0"/>
        <w:kinsoku/>
        <w:wordWrap/>
        <w:overflowPunct/>
        <w:topLinePunct w:val="0"/>
        <w:bidi w:val="0"/>
        <w:spacing w:line="360" w:lineRule="auto"/>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一、项目概况</w:t>
      </w:r>
    </w:p>
    <w:p w14:paraId="08B8B01B">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气颗粒物组分及VOCs多元综合分析子系统是填平补齐项目为全省超站配置的集数据存储、审核、分析、下载的综合平台。本项目为该平台的硬件维保及软件升级服务，主要包括数据库维护、系统漏洞修复、二次开发、新设备接入、完善模块化分析功能、服务器延保、客户需求问题情况跟进、平台系统操作使用培训等。</w:t>
      </w:r>
    </w:p>
    <w:p w14:paraId="3048BBB9">
      <w:pPr>
        <w:pageBreakBefore w:val="0"/>
        <w:kinsoku/>
        <w:wordWrap/>
        <w:overflowPunct/>
        <w:topLinePunct w:val="0"/>
        <w:bidi w:val="0"/>
        <w:spacing w:line="360" w:lineRule="auto"/>
        <w:ind w:left="420" w:leftChars="20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表 1-1</w:t>
      </w:r>
      <w:r>
        <w:rPr>
          <w:rFonts w:hint="default" w:ascii="Times New Roman" w:hAnsi="Times New Roman" w:eastAsia="宋体" w:cs="Times New Roman"/>
          <w:bCs/>
          <w:szCs w:val="21"/>
          <w:highlight w:val="none"/>
        </w:rPr>
        <w:t>平台运维预算表</w:t>
      </w:r>
    </w:p>
    <w:tbl>
      <w:tblPr>
        <w:tblStyle w:val="48"/>
        <w:tblW w:w="7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5272"/>
        <w:gridCol w:w="1584"/>
      </w:tblGrid>
      <w:tr w14:paraId="7E93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7" w:type="dxa"/>
            <w:shd w:val="clear" w:color="auto" w:fill="FFFFFF" w:themeFill="background1"/>
            <w:vAlign w:val="center"/>
          </w:tcPr>
          <w:p w14:paraId="71567FB8">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序号</w:t>
            </w:r>
          </w:p>
        </w:tc>
        <w:tc>
          <w:tcPr>
            <w:tcW w:w="5272" w:type="dxa"/>
            <w:shd w:val="clear" w:color="auto" w:fill="FFFFFF" w:themeFill="background1"/>
            <w:vAlign w:val="center"/>
          </w:tcPr>
          <w:p w14:paraId="1E6EBC0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运维项目</w:t>
            </w:r>
          </w:p>
        </w:tc>
        <w:tc>
          <w:tcPr>
            <w:tcW w:w="1584" w:type="dxa"/>
            <w:shd w:val="clear" w:color="auto" w:fill="FFFFFF" w:themeFill="background1"/>
            <w:vAlign w:val="center"/>
          </w:tcPr>
          <w:p w14:paraId="1930B1C3">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分项预算</w:t>
            </w:r>
          </w:p>
          <w:p w14:paraId="7C204F6B">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（万元/年）</w:t>
            </w:r>
          </w:p>
        </w:tc>
      </w:tr>
      <w:tr w14:paraId="56C0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27" w:type="dxa"/>
            <w:vAlign w:val="center"/>
          </w:tcPr>
          <w:p w14:paraId="0105604C">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c>
          <w:tcPr>
            <w:tcW w:w="5272" w:type="dxa"/>
            <w:vAlign w:val="center"/>
          </w:tcPr>
          <w:p w14:paraId="464BEDF2">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大气颗粒物组分及VOCs多元综合分析子系统运维及全省VOCs质控审核服务</w:t>
            </w:r>
          </w:p>
        </w:tc>
        <w:tc>
          <w:tcPr>
            <w:tcW w:w="1584" w:type="dxa"/>
            <w:vAlign w:val="center"/>
          </w:tcPr>
          <w:p w14:paraId="69F42871">
            <w:pPr>
              <w:pageBreakBefore w:val="0"/>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47</w:t>
            </w:r>
          </w:p>
        </w:tc>
      </w:tr>
    </w:tbl>
    <w:p w14:paraId="2D2DD282">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二、项目需求</w:t>
      </w:r>
    </w:p>
    <w:p w14:paraId="51F187E9">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2.1总体要求</w:t>
      </w:r>
    </w:p>
    <w:p w14:paraId="39F7E8C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2.1.1投标人应提供详细的运维管理服务方案。</w:t>
      </w:r>
    </w:p>
    <w:p w14:paraId="7C28759A">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2.1.2投标人需安排有经验的技术人员1人在项目进行期间常驻江苏省环境监测中心，同时负责协助平台开发设计的相关技术人员应随时响应，处理平台异常情况的处理，完成平台涉及的相关工作。</w:t>
      </w:r>
    </w:p>
    <w:p w14:paraId="40130DA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2.2主要工作需求</w:t>
      </w:r>
    </w:p>
    <w:p w14:paraId="35FED186">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2.2.1每日远程测试各子站仪器端口是否正常，检查数据是否正常上传；登录数据平台检查设备在线情况，数据是否更新为最新时段数据；若设备离线或数据未更新，联系设备运行维护单位检查仪器是否正常，若正常排查网络及平台程序是否正常，直至数据更新恢复正常；完成数据审查复查，检查自动审核数据标识是否正常，对异常数据核实设备情况进行人工审核；每日检查数据查询功能数据载入是否正常，若异常修复程序；</w:t>
      </w:r>
    </w:p>
    <w:p w14:paraId="0BB8DB13">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2.2.2负责平台数据库的维护，当数据库出现异常或因停电等原因造成数据库损坏的，应立刻响应，并尽快恢复；维护数据传输情况，确保数据正常传输，若异常修复程序，以实现平台端能正常实现数据应用结果为准；</w:t>
      </w:r>
    </w:p>
    <w:p w14:paraId="4DB90FC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 xml:space="preserve">2.2.3负责现场服务器数据备份，包括免费提供备份用的数据载体与设备； </w:t>
      </w:r>
    </w:p>
    <w:p w14:paraId="4F9E9DF4">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2.2.4负责平台系统漏洞的修补；</w:t>
      </w:r>
    </w:p>
    <w:p w14:paraId="131E8BFC">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2.2.5负责平台数据范围内的二次开发及修改，按照江苏省环境监测中心的相关要求，完成相关平台的二次开发工作；</w:t>
      </w:r>
    </w:p>
    <w:p w14:paraId="15ECFD1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2.2.6按江苏省环境监测中心要求，保证后续设备或者不同类型的设备顺利接入平台；</w:t>
      </w:r>
    </w:p>
    <w:p w14:paraId="3FB549B2">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2.2.7当子站现场端出现数据传输故障时，在远程可以处理的情况下，协助运维方检查与排除故障，或当运维人员在现场处理相关问题时，指导维护人员进行测站故障排查；</w:t>
      </w:r>
    </w:p>
    <w:p w14:paraId="28D9074F">
      <w:pPr>
        <w:pageBreakBefore w:val="0"/>
        <w:tabs>
          <w:tab w:val="left" w:pos="540"/>
          <w:tab w:val="left" w:pos="900"/>
        </w:tabs>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2.2.8承担江苏省环境监测中心安排的其他与平台相关的工作。</w:t>
      </w:r>
    </w:p>
    <w:p w14:paraId="28FA2CC7">
      <w:pPr>
        <w:pageBreakBefore w:val="0"/>
        <w:tabs>
          <w:tab w:val="left" w:pos="540"/>
          <w:tab w:val="left" w:pos="900"/>
        </w:tabs>
        <w:kinsoku/>
        <w:wordWrap/>
        <w:overflowPunct/>
        <w:topLinePunct w:val="0"/>
        <w:bidi w:val="0"/>
        <w:spacing w:line="360" w:lineRule="auto"/>
        <w:ind w:firstLine="420" w:firstLineChars="200"/>
        <w:jc w:val="left"/>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2.3运维记录及报告</w:t>
      </w:r>
    </w:p>
    <w:p w14:paraId="2094A849">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2.3.1每月提供基于平台统计的月报，内容包含但不限于平台数据联网率、有效率、数据基本统计等。</w:t>
      </w:r>
    </w:p>
    <w:p w14:paraId="0208B1C5">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2.3.2检查年度软件平台运行状况，统计年度问题发现与修复情况，整理成报表。</w:t>
      </w:r>
    </w:p>
    <w:p w14:paraId="22987D5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2.4应急方案</w:t>
      </w:r>
    </w:p>
    <w:p w14:paraId="4F0DB4AC">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投标人应提供详细的应急保障方案，当平台出现故障时，应在2小时内响应，4小时到达现场，8小时内完成维修。</w:t>
      </w:r>
    </w:p>
    <w:p w14:paraId="5BD90632">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2.5培训方案</w:t>
      </w:r>
    </w:p>
    <w:p w14:paraId="7761C8AC">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投标人提供详细的培训方案，为省监测中心管理人员及相关运维人员提供超站平台操作培训。</w:t>
      </w:r>
    </w:p>
    <w:p w14:paraId="7AF43C62">
      <w:pPr>
        <w:pStyle w:val="2"/>
        <w:pageBreakBefore w:val="0"/>
        <w:kinsoku/>
        <w:wordWrap/>
        <w:overflowPunct/>
        <w:topLinePunct w:val="0"/>
        <w:bidi w:val="0"/>
        <w:spacing w:line="360" w:lineRule="auto"/>
        <w:ind w:left="0"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2.6运维实施方案</w:t>
      </w:r>
    </w:p>
    <w:p w14:paraId="0B2BB7A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能够提供针对大气颗粒物组分及VOCs多元综合分析子系统的运维服务，具备对系统的数据集成、质控审核、运维管理、颗粒物与光化学分析功能。</w:t>
      </w:r>
    </w:p>
    <w:p w14:paraId="430C94BB">
      <w:pPr>
        <w:pageBreakBefore w:val="0"/>
        <w:kinsoku/>
        <w:wordWrap/>
        <w:overflowPunct/>
        <w:topLinePunct w:val="0"/>
        <w:bidi w:val="0"/>
        <w:rPr>
          <w:rFonts w:hint="default" w:ascii="Times New Roman" w:hAnsi="Times New Roman" w:eastAsia="宋体" w:cs="Times New Roman"/>
          <w:highlight w:val="none"/>
        </w:rPr>
      </w:pPr>
    </w:p>
    <w:p w14:paraId="5D0C3262">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三、全省VOCs质控审核服务</w:t>
      </w:r>
    </w:p>
    <w:p w14:paraId="13C12F9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3.1数据质控审核：针对江苏省环境监测中心、苏州汾湖超站、苏州西山、扬州宝应、省中心方仓等5个站点VOCs在线监测系统，开展监测数据质控审核工作，基于校准数据及在线监测数据对整体数据质量进行评估，辅助进行数据自动化审核，其中校准数据审核主要为周审核，审核内容参照《国家大气光化学监测网自动监测数据审核技术指南（2021版）（试行）》执行，对各站点数据整体情况定期做出综合性判定。每周在江苏省大气颗粒物组分及VOCs多元综合分析子系统上完成上一周相关数据的复审。</w:t>
      </w:r>
    </w:p>
    <w:p w14:paraId="11034A2E">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站点现场飞行检查：针对江苏省环境监测中心、汾湖超站、传输通道站等5个站点以及全省各驻市中心大气超级站VOCs在线监测系统，开展抽查检查，每季度抽检2个站点，全年共计8个点位，开展飞行检查工作，现场对站房的环境条件、运维资料、仪器运行状态进行检查，确定是否存在不规范条件或可能影响 VOCs监测数据的潜在影响因素。</w:t>
      </w:r>
    </w:p>
    <w:p w14:paraId="73A7FE4A">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数据质控通报总结：基于江苏省环境监测中心、汾湖超站、传输通道站等5个站点VOCs在线监测系统以及全省各驻市中心大气超级站VOCs在线监测系统质控审核结果，每月通报各市和省级各站点的数据审核情况；同时针对质控审核问题进行分析总结，统计整理各站点VOCs在线监测系统质控问题，判断运维成效，辅助指导运维整改，不断提升监测数据质量。通报情况必须于次月的第一周内完成。</w:t>
      </w:r>
    </w:p>
    <w:p w14:paraId="2427228C">
      <w:pPr>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szCs w:val="21"/>
          <w:highlight w:val="none"/>
        </w:rPr>
        <w:t>3.4 数据审核及现场飞行检查均按照《国家环境空气监测网环境空气挥发性有机物连续自动监测质量控制技术规定（试行）》总站气函〔2019〕785号中的要求和规范进行。</w:t>
      </w:r>
    </w:p>
    <w:bookmarkEnd w:id="11"/>
    <w:bookmarkEnd w:id="12"/>
    <w:p w14:paraId="1DF6CA8A">
      <w:pPr>
        <w:pStyle w:val="3"/>
        <w:pageBreakBefore w:val="0"/>
        <w:numPr>
          <w:ilvl w:val="0"/>
          <w:numId w:val="19"/>
        </w:numPr>
        <w:kinsoku/>
        <w:wordWrap/>
        <w:overflowPunct/>
        <w:topLinePunct w:val="0"/>
        <w:bidi w:val="0"/>
        <w:spacing w:before="0" w:after="0"/>
        <w:rPr>
          <w:rFonts w:hint="default" w:ascii="Times New Roman" w:hAnsi="Times New Roman" w:eastAsia="宋体" w:cs="Times New Roman"/>
          <w:highlight w:val="none"/>
        </w:rPr>
        <w:sectPr>
          <w:pgSz w:w="11906" w:h="16838"/>
          <w:pgMar w:top="1440" w:right="1803" w:bottom="1440" w:left="1803" w:header="227" w:footer="720" w:gutter="0"/>
          <w:pgNumType w:fmt="decimal"/>
          <w:cols w:space="0" w:num="1"/>
          <w:docGrid w:linePitch="360" w:charSpace="0"/>
        </w:sectPr>
      </w:pPr>
      <w:bookmarkStart w:id="139" w:name="_Hlk209806163"/>
    </w:p>
    <w:p w14:paraId="62D5FB5E">
      <w:pPr>
        <w:pStyle w:val="3"/>
        <w:pageBreakBefore w:val="0"/>
        <w:numPr>
          <w:ilvl w:val="0"/>
          <w:numId w:val="19"/>
        </w:numPr>
        <w:kinsoku/>
        <w:wordWrap/>
        <w:overflowPunct/>
        <w:topLinePunct w:val="0"/>
        <w:bidi w:val="0"/>
        <w:spacing w:before="0" w:after="0"/>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 </w:t>
      </w:r>
      <w:bookmarkStart w:id="140" w:name="_Toc8454"/>
      <w:bookmarkStart w:id="141" w:name="_Toc28129"/>
      <w:r>
        <w:rPr>
          <w:rFonts w:hint="default" w:ascii="Times New Roman" w:hAnsi="Times New Roman" w:eastAsia="宋体" w:cs="Times New Roman"/>
          <w:highlight w:val="none"/>
        </w:rPr>
        <w:t>合同主要条款及格式</w:t>
      </w:r>
      <w:bookmarkEnd w:id="140"/>
      <w:bookmarkEnd w:id="141"/>
    </w:p>
    <w:p w14:paraId="5351CA46">
      <w:pPr>
        <w:pageBreakBefore w:val="0"/>
        <w:kinsoku/>
        <w:wordWrap/>
        <w:overflowPunct/>
        <w:topLinePunct w:val="0"/>
        <w:bidi w:val="0"/>
        <w:spacing w:line="360" w:lineRule="auto"/>
        <w:ind w:firstLine="420" w:firstLineChars="200"/>
        <w:rPr>
          <w:rFonts w:hint="default" w:ascii="Times New Roman" w:hAnsi="Times New Roman" w:eastAsia="宋体" w:cs="Times New Roman"/>
          <w:bCs/>
          <w:szCs w:val="21"/>
          <w:highlight w:val="none"/>
        </w:rPr>
      </w:pPr>
      <w:bookmarkStart w:id="142" w:name="_Toc16938559"/>
      <w:bookmarkEnd w:id="142"/>
      <w:bookmarkStart w:id="143" w:name="_Toc513029243"/>
      <w:bookmarkEnd w:id="143"/>
      <w:bookmarkStart w:id="144" w:name="_Toc20823315"/>
      <w:bookmarkEnd w:id="144"/>
      <w:r>
        <w:rPr>
          <w:rFonts w:hint="default" w:ascii="Times New Roman" w:hAnsi="Times New Roman" w:eastAsia="宋体" w:cs="Times New Roman"/>
          <w:bCs/>
          <w:szCs w:val="21"/>
          <w:highlight w:val="none"/>
        </w:rPr>
        <w:t>以下为中标后签订本项目合同的通用条款，中标人不得提出实质性的修改，关于专用条款将由招标人与中标人结合本项目具体情况协商后签订。</w:t>
      </w:r>
    </w:p>
    <w:p w14:paraId="2A223213">
      <w:pPr>
        <w:pStyle w:val="14"/>
        <w:pageBreakBefore w:val="0"/>
        <w:kinsoku/>
        <w:wordWrap/>
        <w:overflowPunct/>
        <w:topLinePunct w:val="0"/>
        <w:bidi w:val="0"/>
        <w:rPr>
          <w:rFonts w:hint="default" w:ascii="Times New Roman" w:hAnsi="Times New Roman" w:eastAsia="宋体" w:cs="Times New Roman"/>
          <w:highlight w:val="none"/>
        </w:rPr>
      </w:pPr>
    </w:p>
    <w:p w14:paraId="59598CF8">
      <w:pPr>
        <w:pageBreakBefore w:val="0"/>
        <w:kinsoku/>
        <w:wordWrap/>
        <w:overflowPunct/>
        <w:topLinePunct w:val="0"/>
        <w:bidi w:val="0"/>
        <w:snapToGrid w:val="0"/>
        <w:ind w:firstLine="200"/>
        <w:jc w:val="center"/>
        <w:rPr>
          <w:rFonts w:hint="default" w:ascii="Times New Roman" w:hAnsi="Times New Roman" w:eastAsia="宋体" w:cs="Times New Roman"/>
          <w:b/>
          <w:bCs/>
          <w:sz w:val="30"/>
          <w:highlight w:val="none"/>
        </w:rPr>
      </w:pPr>
      <w:bookmarkStart w:id="145" w:name="_Toc86134618"/>
      <w:bookmarkStart w:id="146" w:name="_Toc86134569"/>
      <w:bookmarkStart w:id="147" w:name="_Toc31123"/>
      <w:r>
        <w:rPr>
          <w:rFonts w:hint="default" w:ascii="Times New Roman" w:hAnsi="Times New Roman" w:eastAsia="宋体" w:cs="Times New Roman"/>
          <w:b/>
          <w:sz w:val="30"/>
          <w:highlight w:val="none"/>
        </w:rPr>
        <w:t>江苏省政府采购合同（服务）（合同编号）</w:t>
      </w:r>
      <w:bookmarkEnd w:id="145"/>
      <w:bookmarkEnd w:id="146"/>
      <w:bookmarkEnd w:id="147"/>
    </w:p>
    <w:p w14:paraId="2D7CF980">
      <w:pPr>
        <w:pageBreakBefore w:val="0"/>
        <w:tabs>
          <w:tab w:val="left" w:pos="900"/>
        </w:tabs>
        <w:kinsoku/>
        <w:wordWrap/>
        <w:overflowPunct/>
        <w:topLinePunct w:val="0"/>
        <w:bidi w:val="0"/>
        <w:spacing w:line="360" w:lineRule="auto"/>
        <w:ind w:firstLine="420" w:firstLineChars="200"/>
        <w:rPr>
          <w:rFonts w:hint="default" w:ascii="Times New Roman" w:hAnsi="Times New Roman" w:eastAsia="宋体" w:cs="Times New Roman"/>
          <w:bCs/>
          <w:highlight w:val="none"/>
        </w:rPr>
      </w:pPr>
    </w:p>
    <w:p w14:paraId="51214456">
      <w:pPr>
        <w:pageBreakBefore w:val="0"/>
        <w:tabs>
          <w:tab w:val="left" w:pos="900"/>
        </w:tabs>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 xml:space="preserve">项目名称                                       </w:t>
      </w:r>
    </w:p>
    <w:p w14:paraId="00D0997D">
      <w:pPr>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项目编号：</w:t>
      </w:r>
    </w:p>
    <w:p w14:paraId="11C709AB">
      <w:pPr>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甲方：（买方）江苏省环境监测中心</w:t>
      </w:r>
    </w:p>
    <w:p w14:paraId="53789530">
      <w:pPr>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乙方：（卖方）</w:t>
      </w:r>
    </w:p>
    <w:p w14:paraId="1B884A6A">
      <w:pPr>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分包号：</w:t>
      </w:r>
    </w:p>
    <w:p w14:paraId="04135274">
      <w:pPr>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 xml:space="preserve">  </w:t>
      </w:r>
    </w:p>
    <w:p w14:paraId="4F123E21">
      <w:pPr>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一、服务内容</w:t>
      </w:r>
    </w:p>
    <w:p w14:paraId="59B5360A">
      <w:pPr>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 xml:space="preserve">1.1 项目内容： </w:t>
      </w:r>
    </w:p>
    <w:p w14:paraId="704E8A0B">
      <w:pPr>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p>
    <w:p w14:paraId="6B05F8D8">
      <w:pPr>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二、合同金额</w:t>
      </w:r>
    </w:p>
    <w:p w14:paraId="06197F27">
      <w:pPr>
        <w:pStyle w:val="24"/>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本合同金额为（大写）：_______________________________圆（_______________元）人民币。</w:t>
      </w:r>
    </w:p>
    <w:p w14:paraId="5AE4D0E2">
      <w:pPr>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三、技术资料</w:t>
      </w:r>
    </w:p>
    <w:p w14:paraId="2097CF09">
      <w:pPr>
        <w:pStyle w:val="24"/>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3.1 乙方应按招标文件规定的时间向甲方提供服务的有关技术资料。</w:t>
      </w:r>
    </w:p>
    <w:p w14:paraId="193D124D">
      <w:pPr>
        <w:pStyle w:val="24"/>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2FA2BF3">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3.3 在合同生效后甲方与乙方共同对江苏省环境监测中心的系统运行情况、仪器运行情况、数据采集情况进行实际考察，并且做好备案。</w:t>
      </w:r>
    </w:p>
    <w:p w14:paraId="2B7DE97A">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四、知识产权</w:t>
      </w:r>
    </w:p>
    <w:p w14:paraId="0DF21E0F">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乙方应保证甲方在使用、接受本合同服务或其任何一部分时不受第三方提出侵犯其专利权、版权、商标权和工业设计权等知识产权的起诉。一旦出现侵权，由乙方负全部责任。</w:t>
      </w:r>
    </w:p>
    <w:p w14:paraId="3DD97900">
      <w:pPr>
        <w:pageBreakBefore w:val="0"/>
        <w:kinsoku/>
        <w:wordWrap/>
        <w:overflowPunct/>
        <w:topLinePunct w:val="0"/>
        <w:bidi w:val="0"/>
        <w:spacing w:line="360" w:lineRule="auto"/>
        <w:ind w:firstLine="422"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五、项目实施</w:t>
      </w:r>
    </w:p>
    <w:p w14:paraId="3BF96953">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b/>
          <w:highlight w:val="none"/>
        </w:rPr>
      </w:pPr>
      <w:r>
        <w:rPr>
          <w:rFonts w:hint="default" w:ascii="Times New Roman" w:hAnsi="Times New Roman" w:eastAsia="宋体" w:cs="Times New Roman"/>
          <w:highlight w:val="none"/>
        </w:rPr>
        <w:t>5.1  服务期限</w:t>
      </w:r>
      <w:r>
        <w:rPr>
          <w:rFonts w:hint="default" w:ascii="Times New Roman" w:hAnsi="Times New Roman" w:eastAsia="宋体" w:cs="Times New Roman"/>
          <w:bCs/>
          <w:highlight w:val="none"/>
        </w:rPr>
        <w:t>：</w:t>
      </w:r>
      <w:r>
        <w:rPr>
          <w:rFonts w:hint="default" w:ascii="Times New Roman" w:hAnsi="Times New Roman" w:eastAsia="宋体" w:cs="Times New Roman"/>
          <w:b/>
          <w:bCs/>
          <w:highlight w:val="none"/>
        </w:rPr>
        <w:t xml:space="preserve"> </w:t>
      </w:r>
      <w:r>
        <w:rPr>
          <w:rFonts w:hint="default" w:ascii="Times New Roman" w:hAnsi="Times New Roman" w:eastAsia="宋体" w:cs="Times New Roman"/>
          <w:highlight w:val="none"/>
        </w:rPr>
        <w:t>2026年1月1日至2026年12月31日。</w:t>
      </w:r>
    </w:p>
    <w:p w14:paraId="2C6ABF49">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六、履约保证金</w:t>
      </w:r>
    </w:p>
    <w:p w14:paraId="173F777B">
      <w:pPr>
        <w:pStyle w:val="24"/>
        <w:pageBreakBefore w:val="0"/>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6.1 乙方在完成合同签订后交纳合同金额的10%（人民币_________元）作为本合同的履约保证金。乙方的履约保证金须在合同签订后10个工作日内汇入招标人账户（应当以数字人民币、支票、汇票或者金融机构、担保机构出具的保函等非现金形式提交），中标人凭成交通知书与招标人签订合同。超期或未有协商，则视为自动放弃成交资格。</w:t>
      </w:r>
    </w:p>
    <w:p w14:paraId="5F1F9596">
      <w:pPr>
        <w:pStyle w:val="24"/>
        <w:pageBreakBefore w:val="0"/>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6.2 项目结束后，根据2026年12月考核结果，乙方按货款支付中的要求退回相应扣款金额后，甲方退还履约保证金。</w:t>
      </w:r>
    </w:p>
    <w:p w14:paraId="4B5126E6">
      <w:pPr>
        <w:pStyle w:val="24"/>
        <w:pageBreakBefore w:val="0"/>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6.2.1履约保证金退还方式：无息退还</w:t>
      </w:r>
    </w:p>
    <w:p w14:paraId="165B46D4">
      <w:pPr>
        <w:pStyle w:val="24"/>
        <w:pageBreakBefore w:val="0"/>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6.2.2履约保证金退还时间：2026年12月考核后</w:t>
      </w:r>
    </w:p>
    <w:p w14:paraId="626999A7">
      <w:pPr>
        <w:pStyle w:val="24"/>
        <w:pageBreakBefore w:val="0"/>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6.2.3履约保证金退还条件：根据2026年12月考核结果，乙方按货款支付中的要求退回相应扣款金额</w:t>
      </w:r>
    </w:p>
    <w:p w14:paraId="15BA562C">
      <w:pPr>
        <w:pStyle w:val="24"/>
        <w:pageBreakBefore w:val="0"/>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6.2.4履约保证金不予退还的情形：签订合同后，乙方将货物及其他相关服务进行转包。未经招标人同意，乙方采用分包的形式履行合同。</w:t>
      </w:r>
    </w:p>
    <w:p w14:paraId="2FA814E6">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七、转包或分包</w:t>
      </w:r>
    </w:p>
    <w:p w14:paraId="1773A70E">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7.1 本合同范围的服务，应由乙方直接供应，不得转让他人供应。</w:t>
      </w:r>
    </w:p>
    <w:p w14:paraId="7DFCEC76">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7.2 除非得到甲方的书面同意，乙方不得部分分包给他人供应。</w:t>
      </w:r>
    </w:p>
    <w:p w14:paraId="1A9CAA05">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7.3 如有转让和未经甲方同意的分包行为，甲方有权给予终止合同。</w:t>
      </w:r>
    </w:p>
    <w:p w14:paraId="33284B17">
      <w:pPr>
        <w:pageBreakBefore w:val="0"/>
        <w:kinsoku/>
        <w:wordWrap/>
        <w:overflowPunct/>
        <w:topLinePunct w:val="0"/>
        <w:bidi w:val="0"/>
        <w:spacing w:line="360" w:lineRule="auto"/>
        <w:ind w:firstLine="422" w:firstLineChars="20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八、 运维考核办法</w:t>
      </w:r>
    </w:p>
    <w:p w14:paraId="5BC49A65">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8.1甲方依据相关规范所列内容每年对乙方开展一次运行维护工作考核，以每个仪器设备为单位进行。各站依据维护内容就维护质量和相关指标相结合的方式进行考核。以数据有效率为主要考核指标，计算方法详见各分包项目需求，考核验收合格后将根据合同约定的数据有效率与实际达标情况，支付运维期对应的运行费用。</w:t>
      </w:r>
    </w:p>
    <w:p w14:paraId="731643E0">
      <w:pPr>
        <w:pageBreakBefore w:val="0"/>
        <w:kinsoku/>
        <w:wordWrap/>
        <w:overflowPunct/>
        <w:topLinePunct w:val="0"/>
        <w:bidi w:val="0"/>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8.2 基于考核结果扣除运维费。 </w:t>
      </w:r>
    </w:p>
    <w:p w14:paraId="7CC2467C">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九、合同款项支付</w:t>
      </w:r>
    </w:p>
    <w:p w14:paraId="5D911BA6">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9.1采购包1-2合同款项的支付方式及进度安排：</w:t>
      </w:r>
    </w:p>
    <w:p w14:paraId="15AC4B82">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9.1.1合同签订后，根据财政资金到账情况，乙方缴纳全额履约保证金后甲方预付部分合同款（具体金额视财政拨付金额确定），2026年起按季度进行考核，考核通过后第1-3季度各支付合同额的25%，第4季度支付合同额的剩余款项（实际付款根据考核结果进行相应扣减，其中2026年第4季度11月完成考核，如12月有扣减，乙方应将扣款金额退回甲方原付款账户，否则从履约保证金中扣除）。</w:t>
      </w:r>
    </w:p>
    <w:p w14:paraId="0097EC9A">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9.1.2 实际考核办法参照招标文件约定的相关要求执行。</w:t>
      </w:r>
    </w:p>
    <w:p w14:paraId="5C5D9501">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9.1.3如财政资金下达时间晚，甲方支付时间相应延迟。</w:t>
      </w:r>
    </w:p>
    <w:p w14:paraId="7BF1F3DD">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9.1.4实际站点根据财政经费拨付情况可能有所变化，具体以实际站点结算为准。</w:t>
      </w:r>
    </w:p>
    <w:p w14:paraId="7726A12C">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9.1采购包3-13合同款项的支付方式及进度安排：</w:t>
      </w:r>
    </w:p>
    <w:p w14:paraId="590CF4D8">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9.1.1合同签订后，根据财政资金到账情况，乙方缴纳全额履约保证金后甲方预付部分合同款（具体金额视财政拨付金额确定），2026年第11月完成考核，各分包根据考核结果进行相应扣减支付合同剩余款项。</w:t>
      </w:r>
      <w:bookmarkStart w:id="148" w:name="_Hlk212651685"/>
      <w:r>
        <w:rPr>
          <w:rFonts w:hint="default" w:ascii="Times New Roman" w:hAnsi="Times New Roman" w:eastAsia="宋体" w:cs="Times New Roman"/>
          <w:highlight w:val="none"/>
        </w:rPr>
        <w:t>如12月有扣减，乙方应将扣款金额退回甲方原付款账户，否则从履约保证金中扣除</w:t>
      </w:r>
      <w:bookmarkEnd w:id="148"/>
      <w:r>
        <w:rPr>
          <w:rFonts w:hint="default" w:ascii="Times New Roman" w:hAnsi="Times New Roman" w:eastAsia="宋体" w:cs="Times New Roman"/>
          <w:highlight w:val="none"/>
        </w:rPr>
        <w:t>。</w:t>
      </w:r>
    </w:p>
    <w:p w14:paraId="47DB3487">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bookmarkStart w:id="149" w:name="_Hlk212651732"/>
      <w:r>
        <w:rPr>
          <w:rFonts w:hint="default" w:ascii="Times New Roman" w:hAnsi="Times New Roman" w:eastAsia="宋体" w:cs="Times New Roman"/>
          <w:highlight w:val="none"/>
        </w:rPr>
        <w:t>9.</w:t>
      </w:r>
      <w:bookmarkStart w:id="150" w:name="_Hlk83475234"/>
      <w:r>
        <w:rPr>
          <w:rFonts w:hint="default" w:ascii="Times New Roman" w:hAnsi="Times New Roman" w:eastAsia="宋体" w:cs="Times New Roman"/>
          <w:highlight w:val="none"/>
        </w:rPr>
        <w:t xml:space="preserve">1.2 </w:t>
      </w:r>
      <w:bookmarkEnd w:id="150"/>
      <w:r>
        <w:rPr>
          <w:rFonts w:hint="default" w:ascii="Times New Roman" w:hAnsi="Times New Roman" w:eastAsia="宋体" w:cs="Times New Roman"/>
          <w:highlight w:val="none"/>
        </w:rPr>
        <w:t>根据各分包相关仪器的月度有效率进行考核，月度有效率大于等于各分包的目标有效率，全额付款，有效率不足目标有效率，根据当月实际有效率与目标有效率的比值计算当月的运维合同款。方舱中的仪器按照年有效率进行考核。</w:t>
      </w:r>
    </w:p>
    <w:bookmarkEnd w:id="149"/>
    <w:p w14:paraId="7BD7E5A2">
      <w:pPr>
        <w:pStyle w:val="24"/>
        <w:pageBreakBefore w:val="0"/>
        <w:tabs>
          <w:tab w:val="left" w:pos="6300"/>
        </w:tabs>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9.1.3 </w:t>
      </w:r>
      <w:bookmarkStart w:id="151" w:name="_Hlk148896318"/>
      <w:r>
        <w:rPr>
          <w:rFonts w:hint="default" w:ascii="Times New Roman" w:hAnsi="Times New Roman" w:eastAsia="宋体" w:cs="Times New Roman"/>
          <w:highlight w:val="none"/>
        </w:rPr>
        <w:t>如财政资金下达时间晚，甲方支付时间相应延迟。</w:t>
      </w:r>
      <w:bookmarkEnd w:id="151"/>
      <w:r>
        <w:rPr>
          <w:rFonts w:hint="default" w:ascii="Times New Roman" w:hAnsi="Times New Roman" w:eastAsia="宋体" w:cs="Times New Roman"/>
          <w:highlight w:val="none"/>
        </w:rPr>
        <w:tab/>
      </w:r>
    </w:p>
    <w:p w14:paraId="56566C6A">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十、税费</w:t>
      </w:r>
    </w:p>
    <w:p w14:paraId="3B2F7677">
      <w:pPr>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本合同执行中相关的一切税费均由乙方负担。</w:t>
      </w:r>
    </w:p>
    <w:p w14:paraId="3B3337CB">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十一、质量保证及售后服务</w:t>
      </w:r>
    </w:p>
    <w:p w14:paraId="4428C27D">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乙方应按招标文件规定的技术要求、质量标准向甲方提供服务。</w:t>
      </w:r>
    </w:p>
    <w:p w14:paraId="2833F171">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十二、验收、交付标准和方法</w:t>
      </w:r>
    </w:p>
    <w:p w14:paraId="65CFB90F">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12.1 乙方应根据招标文件中服务要求完成服务工作。</w:t>
      </w:r>
    </w:p>
    <w:p w14:paraId="3BF2512D">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12.2 项目验收前，乙方需向甲方提出书面验收申请，并提交符合甲方指定的相关服务标准或规范。甲方根据运维考核结果组织开展相关验收（考核）工作，如产生验收费用由乙方承担。</w:t>
      </w:r>
    </w:p>
    <w:p w14:paraId="03BCA263">
      <w:pPr>
        <w:pageBreakBefore w:val="0"/>
        <w:kinsoku/>
        <w:wordWrap/>
        <w:overflowPunct/>
        <w:topLinePunct w:val="0"/>
        <w:bidi w:val="0"/>
        <w:adjustRightInd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12.3 验收合格后，甲方按照本合同规定的验收合格相关的付款条件，支付乙方相应款项。验收不合格时，按照招标文件和合同约定的相关要求扣款。</w:t>
      </w:r>
    </w:p>
    <w:p w14:paraId="3A84FE15">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十三、违约责任</w:t>
      </w:r>
    </w:p>
    <w:p w14:paraId="7EA94F95">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13.1 一旦发现篡改伪造数据，委托方有权终止合同，并按已支付费用的双倍进行经济处罚，按照环保部《环境监测数据弄虚作假行为判定及处理办法》（环发[2015]175号）文件精神进行处理。</w:t>
      </w:r>
    </w:p>
    <w:p w14:paraId="3413549F">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13.2 未经许可，对外泄露监测信息的，委托方有权终止合同，并酌情进行经济处罚。</w:t>
      </w:r>
    </w:p>
    <w:p w14:paraId="56D5E21B">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13.3 合同履行期间，若被第三方举报有严重数据质量问题，一经核实，委托方有权终止合同，并酌情进行经济处罚。</w:t>
      </w:r>
    </w:p>
    <w:p w14:paraId="36AFB501">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13.4 合同履行期间，若出现违反廉政规定的情形，一经核实，委托方有权终止合同，情节严重的，移交司法部门处理。</w:t>
      </w:r>
    </w:p>
    <w:p w14:paraId="4F46F269">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十四、不可抗力事件处理</w:t>
      </w:r>
    </w:p>
    <w:p w14:paraId="29792B36">
      <w:pPr>
        <w:pStyle w:val="24"/>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14.1 在合同有效期内，任何一方因不可抗力事件导致不能履行合同，则合同履行期可延长，其延长期与不可抗力影响期相同。</w:t>
      </w:r>
    </w:p>
    <w:p w14:paraId="6E90928D">
      <w:pPr>
        <w:pStyle w:val="24"/>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14.2 不可抗力事件发生后，应立即通知对方，并寄送有关权威机构出具的证明。</w:t>
      </w:r>
    </w:p>
    <w:p w14:paraId="59FAAF8E">
      <w:pPr>
        <w:pStyle w:val="24"/>
        <w:pageBreakBefore w:val="0"/>
        <w:kinsoku/>
        <w:wordWrap/>
        <w:overflowPunct/>
        <w:topLinePunct w:val="0"/>
        <w:bidi w:val="0"/>
        <w:snapToGrid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14.3 不可抗力事件延续120天以上，双方应通过友好协商，确定是否继续履行合同。</w:t>
      </w:r>
    </w:p>
    <w:p w14:paraId="10EF9F95">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14.4 乙方需提供详细分项保价表，如财政拨付资金少于本项目合同金额，甲乙双方可协商按减少的资金量减免部分工作。</w:t>
      </w:r>
    </w:p>
    <w:p w14:paraId="2B18A200">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十五、诉讼</w:t>
      </w:r>
    </w:p>
    <w:p w14:paraId="1C410951">
      <w:pPr>
        <w:pStyle w:val="24"/>
        <w:pageBreakBefore w:val="0"/>
        <w:kinsoku/>
        <w:wordWrap/>
        <w:overflowPunct/>
        <w:topLinePunct w:val="0"/>
        <w:bidi w:val="0"/>
        <w:snapToGrid w:val="0"/>
        <w:spacing w:line="360" w:lineRule="auto"/>
        <w:ind w:firstLine="420" w:firstLineChars="200"/>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双方在执行合同中所发生的一切争议，应通过协商解决。如协商不成，可向合同签订地法院起诉，合同签订地在此约定为南京市。</w:t>
      </w:r>
    </w:p>
    <w:p w14:paraId="5FEE9E61">
      <w:pPr>
        <w:pStyle w:val="24"/>
        <w:pageBreakBefore w:val="0"/>
        <w:kinsoku/>
        <w:wordWrap/>
        <w:overflowPunct/>
        <w:topLinePunct w:val="0"/>
        <w:bidi w:val="0"/>
        <w:snapToGrid w:val="0"/>
        <w:spacing w:line="360" w:lineRule="auto"/>
        <w:ind w:firstLine="422" w:firstLineChars="200"/>
        <w:rPr>
          <w:rFonts w:hint="default" w:ascii="Times New Roman" w:hAnsi="Times New Roman" w:eastAsia="宋体" w:cs="Times New Roman"/>
          <w:b/>
          <w:highlight w:val="none"/>
        </w:rPr>
      </w:pPr>
      <w:r>
        <w:rPr>
          <w:rFonts w:hint="default" w:ascii="Times New Roman" w:hAnsi="Times New Roman" w:eastAsia="宋体" w:cs="Times New Roman"/>
          <w:b/>
          <w:highlight w:val="none"/>
        </w:rPr>
        <w:t>十六、合同生效及其它</w:t>
      </w:r>
    </w:p>
    <w:p w14:paraId="1FBEBC85">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16.1 合同经双方法定代表人或授权委托代表人签字并加盖单位公章后生效。</w:t>
      </w:r>
    </w:p>
    <w:p w14:paraId="0B4BC956">
      <w:pPr>
        <w:pStyle w:val="24"/>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16.2 本合同未尽事宜，遵照《民法典》有关条文执行。</w:t>
      </w:r>
    </w:p>
    <w:p w14:paraId="0ECDB1B5">
      <w:pPr>
        <w:pStyle w:val="213"/>
        <w:pageBreakBefore w:val="0"/>
        <w:kinsoku/>
        <w:wordWrap/>
        <w:overflowPunct/>
        <w:topLinePunct w:val="0"/>
        <w:bidi w:val="0"/>
        <w:spacing w:line="360" w:lineRule="auto"/>
        <w:ind w:firstLineChars="200"/>
        <w:rPr>
          <w:rFonts w:hint="default" w:ascii="Times New Roman" w:hAnsi="Times New Roman" w:eastAsia="宋体" w:cs="Times New Roman"/>
          <w:highlight w:val="none"/>
        </w:rPr>
        <w:sectPr>
          <w:pgSz w:w="11906" w:h="16838"/>
          <w:pgMar w:top="1440" w:right="1803" w:bottom="1440" w:left="1803" w:header="227" w:footer="720" w:gutter="0"/>
          <w:pgNumType w:fmt="decimal"/>
          <w:cols w:space="0" w:num="1"/>
          <w:docGrid w:linePitch="360" w:charSpace="0"/>
        </w:sectPr>
      </w:pPr>
      <w:r>
        <w:rPr>
          <w:rFonts w:hint="default" w:ascii="Times New Roman" w:hAnsi="Times New Roman" w:eastAsia="宋体" w:cs="Times New Roman"/>
          <w:highlight w:val="none"/>
        </w:rPr>
        <w:t>16.3 本合同正本一式肆份，具有同等法律效力，甲方、乙方各执贰份。</w:t>
      </w:r>
    </w:p>
    <w:p w14:paraId="3233C390">
      <w:pPr>
        <w:pStyle w:val="213"/>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（以下无正文）  </w:t>
      </w:r>
    </w:p>
    <w:tbl>
      <w:tblPr>
        <w:tblStyle w:val="48"/>
        <w:tblW w:w="9285" w:type="dxa"/>
        <w:tblInd w:w="108" w:type="dxa"/>
        <w:tblLayout w:type="fixed"/>
        <w:tblCellMar>
          <w:top w:w="0" w:type="dxa"/>
          <w:left w:w="108" w:type="dxa"/>
          <w:bottom w:w="0" w:type="dxa"/>
          <w:right w:w="108" w:type="dxa"/>
        </w:tblCellMar>
      </w:tblPr>
      <w:tblGrid>
        <w:gridCol w:w="4643"/>
        <w:gridCol w:w="4642"/>
      </w:tblGrid>
      <w:tr w14:paraId="08BEEF38">
        <w:tblPrEx>
          <w:tblCellMar>
            <w:top w:w="0" w:type="dxa"/>
            <w:left w:w="108" w:type="dxa"/>
            <w:bottom w:w="0" w:type="dxa"/>
            <w:right w:w="108" w:type="dxa"/>
          </w:tblCellMar>
        </w:tblPrEx>
        <w:trPr>
          <w:trHeight w:val="567" w:hRule="atLeast"/>
        </w:trPr>
        <w:tc>
          <w:tcPr>
            <w:tcW w:w="4643" w:type="dxa"/>
            <w:tcBorders>
              <w:top w:val="nil"/>
              <w:left w:val="nil"/>
              <w:bottom w:val="nil"/>
              <w:right w:val="nil"/>
            </w:tcBorders>
            <w:vAlign w:val="center"/>
          </w:tcPr>
          <w:p w14:paraId="06E22B4E">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甲方：（盖章）</w:t>
            </w:r>
          </w:p>
        </w:tc>
        <w:tc>
          <w:tcPr>
            <w:tcW w:w="4642" w:type="dxa"/>
            <w:tcBorders>
              <w:top w:val="nil"/>
              <w:left w:val="nil"/>
              <w:bottom w:val="nil"/>
              <w:right w:val="nil"/>
            </w:tcBorders>
            <w:vAlign w:val="center"/>
          </w:tcPr>
          <w:p w14:paraId="2DA40775">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乙方：（盖章）</w:t>
            </w:r>
          </w:p>
        </w:tc>
      </w:tr>
      <w:tr w14:paraId="3D507363">
        <w:tblPrEx>
          <w:tblCellMar>
            <w:top w:w="0" w:type="dxa"/>
            <w:left w:w="108" w:type="dxa"/>
            <w:bottom w:w="0" w:type="dxa"/>
            <w:right w:w="108" w:type="dxa"/>
          </w:tblCellMar>
        </w:tblPrEx>
        <w:trPr>
          <w:trHeight w:val="567" w:hRule="atLeast"/>
        </w:trPr>
        <w:tc>
          <w:tcPr>
            <w:tcW w:w="4643" w:type="dxa"/>
            <w:tcBorders>
              <w:top w:val="nil"/>
              <w:left w:val="nil"/>
              <w:bottom w:val="nil"/>
              <w:right w:val="nil"/>
            </w:tcBorders>
            <w:vAlign w:val="center"/>
          </w:tcPr>
          <w:p w14:paraId="1FEBF769">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地址：</w:t>
            </w:r>
          </w:p>
        </w:tc>
        <w:tc>
          <w:tcPr>
            <w:tcW w:w="4642" w:type="dxa"/>
            <w:tcBorders>
              <w:top w:val="nil"/>
              <w:left w:val="nil"/>
              <w:bottom w:val="nil"/>
              <w:right w:val="nil"/>
            </w:tcBorders>
            <w:vAlign w:val="center"/>
          </w:tcPr>
          <w:p w14:paraId="3A7F363C">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地址：</w:t>
            </w:r>
          </w:p>
        </w:tc>
      </w:tr>
      <w:tr w14:paraId="1B0E79B4">
        <w:tblPrEx>
          <w:tblCellMar>
            <w:top w:w="0" w:type="dxa"/>
            <w:left w:w="108" w:type="dxa"/>
            <w:bottom w:w="0" w:type="dxa"/>
            <w:right w:w="108" w:type="dxa"/>
          </w:tblCellMar>
        </w:tblPrEx>
        <w:trPr>
          <w:trHeight w:val="567" w:hRule="atLeast"/>
        </w:trPr>
        <w:tc>
          <w:tcPr>
            <w:tcW w:w="4643" w:type="dxa"/>
            <w:tcBorders>
              <w:top w:val="nil"/>
              <w:left w:val="nil"/>
              <w:bottom w:val="nil"/>
              <w:right w:val="nil"/>
            </w:tcBorders>
            <w:vAlign w:val="center"/>
          </w:tcPr>
          <w:p w14:paraId="526783C4">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法定代表人或授权代表：</w:t>
            </w:r>
          </w:p>
        </w:tc>
        <w:tc>
          <w:tcPr>
            <w:tcW w:w="4642" w:type="dxa"/>
            <w:tcBorders>
              <w:top w:val="nil"/>
              <w:left w:val="nil"/>
              <w:bottom w:val="nil"/>
              <w:right w:val="nil"/>
            </w:tcBorders>
            <w:vAlign w:val="center"/>
          </w:tcPr>
          <w:p w14:paraId="6836D822">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法定代表人或授权代表：</w:t>
            </w:r>
          </w:p>
        </w:tc>
      </w:tr>
      <w:tr w14:paraId="1D837088">
        <w:tblPrEx>
          <w:tblCellMar>
            <w:top w:w="0" w:type="dxa"/>
            <w:left w:w="108" w:type="dxa"/>
            <w:bottom w:w="0" w:type="dxa"/>
            <w:right w:w="108" w:type="dxa"/>
          </w:tblCellMar>
        </w:tblPrEx>
        <w:trPr>
          <w:trHeight w:val="567" w:hRule="atLeast"/>
        </w:trPr>
        <w:tc>
          <w:tcPr>
            <w:tcW w:w="4643" w:type="dxa"/>
            <w:tcBorders>
              <w:top w:val="nil"/>
              <w:left w:val="nil"/>
              <w:bottom w:val="nil"/>
              <w:right w:val="nil"/>
            </w:tcBorders>
            <w:vAlign w:val="center"/>
          </w:tcPr>
          <w:p w14:paraId="155FB0B5">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联系电话：</w:t>
            </w:r>
          </w:p>
        </w:tc>
        <w:tc>
          <w:tcPr>
            <w:tcW w:w="4642" w:type="dxa"/>
            <w:tcBorders>
              <w:top w:val="nil"/>
              <w:left w:val="nil"/>
              <w:bottom w:val="nil"/>
              <w:right w:val="nil"/>
            </w:tcBorders>
            <w:vAlign w:val="center"/>
          </w:tcPr>
          <w:p w14:paraId="130AB9B8">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联系电话：</w:t>
            </w:r>
          </w:p>
        </w:tc>
      </w:tr>
      <w:tr w14:paraId="43BF9701">
        <w:tblPrEx>
          <w:tblCellMar>
            <w:top w:w="0" w:type="dxa"/>
            <w:left w:w="108" w:type="dxa"/>
            <w:bottom w:w="0" w:type="dxa"/>
            <w:right w:w="108" w:type="dxa"/>
          </w:tblCellMar>
        </w:tblPrEx>
        <w:trPr>
          <w:trHeight w:val="567" w:hRule="atLeast"/>
        </w:trPr>
        <w:tc>
          <w:tcPr>
            <w:tcW w:w="4643" w:type="dxa"/>
            <w:tcBorders>
              <w:top w:val="nil"/>
              <w:left w:val="nil"/>
              <w:bottom w:val="nil"/>
              <w:right w:val="nil"/>
            </w:tcBorders>
            <w:vAlign w:val="center"/>
          </w:tcPr>
          <w:p w14:paraId="5680DD15">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签订日期：年月日</w:t>
            </w:r>
          </w:p>
        </w:tc>
        <w:tc>
          <w:tcPr>
            <w:tcW w:w="4642" w:type="dxa"/>
            <w:tcBorders>
              <w:top w:val="nil"/>
              <w:left w:val="nil"/>
              <w:bottom w:val="nil"/>
              <w:right w:val="nil"/>
            </w:tcBorders>
            <w:vAlign w:val="center"/>
          </w:tcPr>
          <w:p w14:paraId="28AE5A01">
            <w:pPr>
              <w:pageBreakBefore w:val="0"/>
              <w:shd w:val="clear" w:color="auto" w:fill="FFFFFF"/>
              <w:kinsoku/>
              <w:wordWrap/>
              <w:overflowPunct/>
              <w:topLinePunct w:val="0"/>
              <w:bidi w:val="0"/>
              <w:spacing w:line="360" w:lineRule="auto"/>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签订日期：年月日</w:t>
            </w:r>
          </w:p>
        </w:tc>
      </w:tr>
    </w:tbl>
    <w:p w14:paraId="2810D582">
      <w:pPr>
        <w:pageBreakBefore w:val="0"/>
        <w:widowControl/>
        <w:kinsoku/>
        <w:wordWrap/>
        <w:overflowPunct/>
        <w:topLinePunct w:val="0"/>
        <w:bidi w:val="0"/>
        <w:ind w:firstLine="420" w:firstLineChars="200"/>
        <w:jc w:val="left"/>
        <w:rPr>
          <w:rFonts w:hint="default" w:ascii="Times New Roman" w:hAnsi="Times New Roman" w:eastAsia="宋体" w:cs="Times New Roman"/>
          <w:szCs w:val="21"/>
          <w:highlight w:val="none"/>
        </w:rPr>
      </w:pPr>
    </w:p>
    <w:p w14:paraId="28DBB565">
      <w:pPr>
        <w:pStyle w:val="213"/>
        <w:pageBreakBefore w:val="0"/>
        <w:kinsoku/>
        <w:wordWrap/>
        <w:overflowPunct/>
        <w:topLinePunct w:val="0"/>
        <w:bidi w:val="0"/>
        <w:rPr>
          <w:rFonts w:hint="default" w:ascii="Times New Roman" w:hAnsi="Times New Roman" w:eastAsia="宋体" w:cs="Times New Roman"/>
          <w:color w:val="000000"/>
          <w:highlight w:val="none"/>
        </w:rPr>
      </w:pPr>
    </w:p>
    <w:p w14:paraId="0FCA9D04">
      <w:pPr>
        <w:pStyle w:val="24"/>
        <w:pageBreakBefore w:val="0"/>
        <w:kinsoku/>
        <w:wordWrap/>
        <w:overflowPunct/>
        <w:topLinePunct w:val="0"/>
        <w:bidi w:val="0"/>
        <w:rPr>
          <w:rFonts w:hint="default" w:ascii="Times New Roman" w:hAnsi="Times New Roman" w:eastAsia="宋体" w:cs="Times New Roman"/>
          <w:highlight w:val="none"/>
          <w:lang w:val="zh-CN"/>
        </w:rPr>
      </w:pPr>
    </w:p>
    <w:bookmarkEnd w:id="139"/>
    <w:p w14:paraId="6AF65434">
      <w:pPr>
        <w:pageBreakBefore w:val="0"/>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clear="all"/>
      </w:r>
    </w:p>
    <w:p w14:paraId="0709401C">
      <w:pPr>
        <w:pStyle w:val="3"/>
        <w:pageBreakBefore w:val="0"/>
        <w:numPr>
          <w:ilvl w:val="0"/>
          <w:numId w:val="19"/>
        </w:numPr>
        <w:kinsoku/>
        <w:wordWrap/>
        <w:overflowPunct/>
        <w:topLinePunct w:val="0"/>
        <w:bidi w:val="0"/>
        <w:spacing w:before="0" w:after="0"/>
        <w:rPr>
          <w:rFonts w:hint="default" w:ascii="Times New Roman" w:hAnsi="Times New Roman" w:eastAsia="宋体" w:cs="Times New Roman"/>
          <w:highlight w:val="none"/>
        </w:rPr>
      </w:pPr>
      <w:bookmarkStart w:id="152" w:name="_Toc19959"/>
      <w:bookmarkStart w:id="153" w:name="_Toc15886"/>
      <w:r>
        <w:rPr>
          <w:rFonts w:hint="default" w:ascii="Times New Roman" w:hAnsi="Times New Roman" w:eastAsia="宋体" w:cs="Times New Roman"/>
          <w:highlight w:val="none"/>
        </w:rPr>
        <w:t>投标文件格式及附件</w:t>
      </w:r>
      <w:bookmarkEnd w:id="152"/>
      <w:bookmarkEnd w:id="153"/>
    </w:p>
    <w:p w14:paraId="4845E03F">
      <w:pPr>
        <w:pageBreakBefore w:val="0"/>
        <w:kinsoku/>
        <w:wordWrap/>
        <w:overflowPunct/>
        <w:topLinePunct w:val="0"/>
        <w:bidi w:val="0"/>
        <w:jc w:val="center"/>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（按采购包分别制作投标文件）</w:t>
      </w:r>
    </w:p>
    <w:p w14:paraId="08ED3756">
      <w:pPr>
        <w:pStyle w:val="213"/>
        <w:pageBreakBefore w:val="0"/>
        <w:kinsoku/>
        <w:wordWrap/>
        <w:overflowPunct/>
        <w:topLinePunct w:val="0"/>
        <w:bidi w:val="0"/>
        <w:ind w:firstLine="0"/>
        <w:rPr>
          <w:rFonts w:hint="default" w:ascii="Times New Roman" w:hAnsi="Times New Roman" w:eastAsia="宋体" w:cs="Times New Roman"/>
          <w:highlight w:val="none"/>
        </w:rPr>
      </w:pPr>
    </w:p>
    <w:p w14:paraId="0F708475">
      <w:pPr>
        <w:pageBreakBefore w:val="0"/>
        <w:widowControl/>
        <w:kinsoku/>
        <w:wordWrap/>
        <w:overflowPunct/>
        <w:topLinePunct w:val="0"/>
        <w:bidi w:val="0"/>
        <w:spacing w:line="240" w:lineRule="atLeast"/>
        <w:jc w:val="left"/>
        <w:rPr>
          <w:rFonts w:hint="default" w:ascii="Times New Roman" w:hAnsi="Times New Roman" w:eastAsia="宋体" w:cs="Times New Roman"/>
          <w:b/>
          <w:bCs/>
          <w:szCs w:val="21"/>
          <w:highlight w:val="none"/>
        </w:rPr>
      </w:pPr>
    </w:p>
    <w:p w14:paraId="6A964867">
      <w:pPr>
        <w:pageBreakBefore w:val="0"/>
        <w:kinsoku/>
        <w:wordWrap/>
        <w:overflowPunct/>
        <w:topLinePunct w:val="0"/>
        <w:bidi w:val="0"/>
        <w:spacing w:line="440" w:lineRule="exact"/>
        <w:rPr>
          <w:rFonts w:hint="default" w:ascii="Times New Roman" w:hAnsi="Times New Roman" w:eastAsia="宋体" w:cs="Times New Roman"/>
          <w:sz w:val="20"/>
          <w:szCs w:val="20"/>
          <w:highlight w:val="none"/>
        </w:rPr>
      </w:pPr>
    </w:p>
    <w:p w14:paraId="226497B3">
      <w:pPr>
        <w:pageBreakBefore w:val="0"/>
        <w:kinsoku/>
        <w:wordWrap/>
        <w:overflowPunct/>
        <w:topLinePunct w:val="0"/>
        <w:bidi w:val="0"/>
        <w:spacing w:line="440" w:lineRule="exact"/>
        <w:rPr>
          <w:rFonts w:hint="default" w:ascii="Times New Roman" w:hAnsi="Times New Roman" w:eastAsia="宋体" w:cs="Times New Roman"/>
          <w:sz w:val="20"/>
          <w:szCs w:val="20"/>
          <w:highlight w:val="none"/>
        </w:rPr>
      </w:pPr>
    </w:p>
    <w:p w14:paraId="081C604F">
      <w:pPr>
        <w:pageBreakBefore w:val="0"/>
        <w:kinsoku/>
        <w:wordWrap/>
        <w:overflowPunct/>
        <w:topLinePunct w:val="0"/>
        <w:bidi w:val="0"/>
        <w:spacing w:line="440" w:lineRule="exact"/>
        <w:rPr>
          <w:rFonts w:hint="default" w:ascii="Times New Roman" w:hAnsi="Times New Roman" w:eastAsia="宋体" w:cs="Times New Roman"/>
          <w:sz w:val="20"/>
          <w:szCs w:val="20"/>
          <w:highlight w:val="none"/>
        </w:rPr>
      </w:pPr>
    </w:p>
    <w:p w14:paraId="43A7659B">
      <w:pPr>
        <w:pageBreakBefore w:val="0"/>
        <w:kinsoku/>
        <w:wordWrap/>
        <w:overflowPunct/>
        <w:topLinePunct w:val="0"/>
        <w:bidi w:val="0"/>
        <w:rPr>
          <w:rFonts w:hint="default" w:ascii="Times New Roman" w:hAnsi="Times New Roman" w:eastAsia="宋体" w:cs="Times New Roman"/>
          <w:sz w:val="22"/>
          <w:szCs w:val="22"/>
          <w:highlight w:val="none"/>
        </w:rPr>
      </w:pPr>
    </w:p>
    <w:p w14:paraId="07F1B9EA">
      <w:pPr>
        <w:pageBreakBefore w:val="0"/>
        <w:kinsoku/>
        <w:wordWrap/>
        <w:overflowPunct/>
        <w:topLinePunct w:val="0"/>
        <w:bidi w:val="0"/>
        <w:rPr>
          <w:rFonts w:hint="default" w:ascii="Times New Roman" w:hAnsi="Times New Roman" w:eastAsia="宋体" w:cs="Times New Roman"/>
          <w:sz w:val="22"/>
          <w:szCs w:val="22"/>
          <w:highlight w:val="none"/>
        </w:rPr>
      </w:pPr>
    </w:p>
    <w:p w14:paraId="5F75E7E0">
      <w:pPr>
        <w:pageBreakBefore w:val="0"/>
        <w:kinsoku/>
        <w:wordWrap/>
        <w:overflowPunct/>
        <w:topLinePunct w:val="0"/>
        <w:bidi w:val="0"/>
        <w:jc w:val="center"/>
        <w:rPr>
          <w:rFonts w:hint="default" w:ascii="Times New Roman" w:hAnsi="Times New Roman" w:eastAsia="宋体" w:cs="Times New Roman"/>
          <w:sz w:val="52"/>
          <w:szCs w:val="52"/>
          <w:highlight w:val="none"/>
        </w:rPr>
      </w:pPr>
      <w:r>
        <w:rPr>
          <w:rFonts w:hint="default" w:ascii="Times New Roman" w:hAnsi="Times New Roman" w:eastAsia="宋体" w:cs="Times New Roman"/>
          <w:sz w:val="52"/>
          <w:szCs w:val="52"/>
          <w:highlight w:val="none"/>
        </w:rPr>
        <w:t>投标文件</w:t>
      </w:r>
    </w:p>
    <w:p w14:paraId="494D5A1C">
      <w:pPr>
        <w:pageBreakBefore w:val="0"/>
        <w:kinsoku/>
        <w:wordWrap/>
        <w:overflowPunct/>
        <w:topLinePunct w:val="0"/>
        <w:bidi w:val="0"/>
        <w:rPr>
          <w:rFonts w:hint="default" w:ascii="Times New Roman" w:hAnsi="Times New Roman" w:eastAsia="宋体" w:cs="Times New Roman"/>
          <w:sz w:val="36"/>
          <w:szCs w:val="36"/>
          <w:highlight w:val="none"/>
        </w:rPr>
      </w:pPr>
    </w:p>
    <w:p w14:paraId="3786C6EE">
      <w:pPr>
        <w:pageBreakBefore w:val="0"/>
        <w:kinsoku/>
        <w:wordWrap/>
        <w:overflowPunct/>
        <w:topLinePunct w:val="0"/>
        <w:bidi w:val="0"/>
        <w:rPr>
          <w:rFonts w:hint="default" w:ascii="Times New Roman" w:hAnsi="Times New Roman" w:eastAsia="宋体" w:cs="Times New Roman"/>
          <w:sz w:val="36"/>
          <w:szCs w:val="36"/>
          <w:highlight w:val="none"/>
        </w:rPr>
      </w:pPr>
    </w:p>
    <w:p w14:paraId="488A5B5F">
      <w:pPr>
        <w:pageBreakBefore w:val="0"/>
        <w:kinsoku/>
        <w:wordWrap/>
        <w:overflowPunct/>
        <w:topLinePunct w:val="0"/>
        <w:bidi w:val="0"/>
        <w:rPr>
          <w:rFonts w:hint="default" w:ascii="Times New Roman" w:hAnsi="Times New Roman" w:eastAsia="宋体" w:cs="Times New Roman"/>
          <w:sz w:val="36"/>
          <w:szCs w:val="36"/>
          <w:highlight w:val="none"/>
        </w:rPr>
      </w:pPr>
    </w:p>
    <w:p w14:paraId="7EE02D37">
      <w:pPr>
        <w:pageBreakBefore w:val="0"/>
        <w:kinsoku/>
        <w:wordWrap/>
        <w:overflowPunct/>
        <w:topLinePunct w:val="0"/>
        <w:bidi w:val="0"/>
        <w:ind w:firstLine="720"/>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项目名称：</w:t>
      </w:r>
    </w:p>
    <w:p w14:paraId="793391C9">
      <w:pPr>
        <w:pageBreakBefore w:val="0"/>
        <w:kinsoku/>
        <w:wordWrap/>
        <w:overflowPunct/>
        <w:topLinePunct w:val="0"/>
        <w:bidi w:val="0"/>
        <w:ind w:firstLine="720"/>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招标编号：</w:t>
      </w:r>
    </w:p>
    <w:p w14:paraId="5B50098E">
      <w:pPr>
        <w:pageBreakBefore w:val="0"/>
        <w:kinsoku/>
        <w:wordWrap/>
        <w:overflowPunct/>
        <w:topLinePunct w:val="0"/>
        <w:bidi w:val="0"/>
        <w:ind w:firstLine="720"/>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采购包：</w:t>
      </w:r>
    </w:p>
    <w:p w14:paraId="4A6CC122">
      <w:pPr>
        <w:pageBreakBefore w:val="0"/>
        <w:kinsoku/>
        <w:wordWrap/>
        <w:overflowPunct/>
        <w:topLinePunct w:val="0"/>
        <w:bidi w:val="0"/>
        <w:ind w:firstLine="720"/>
        <w:rPr>
          <w:rFonts w:hint="default" w:ascii="Times New Roman" w:hAnsi="Times New Roman" w:eastAsia="宋体" w:cs="Times New Roman"/>
          <w:sz w:val="36"/>
          <w:szCs w:val="36"/>
          <w:highlight w:val="none"/>
          <w:u w:val="single"/>
        </w:rPr>
      </w:pPr>
      <w:r>
        <w:rPr>
          <w:rFonts w:hint="default" w:ascii="Times New Roman" w:hAnsi="Times New Roman" w:eastAsia="宋体" w:cs="Times New Roman"/>
          <w:sz w:val="36"/>
          <w:szCs w:val="36"/>
          <w:highlight w:val="none"/>
        </w:rPr>
        <w:t>投标人名称：（加盖公章）</w:t>
      </w:r>
    </w:p>
    <w:p w14:paraId="493A0B98">
      <w:pPr>
        <w:pageBreakBefore w:val="0"/>
        <w:widowControl/>
        <w:kinsoku/>
        <w:wordWrap/>
        <w:overflowPunct/>
        <w:topLinePunct w:val="0"/>
        <w:bidi w:val="0"/>
        <w:ind w:firstLine="72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36"/>
          <w:szCs w:val="36"/>
          <w:highlight w:val="none"/>
        </w:rPr>
        <w:t>日期：</w:t>
      </w:r>
      <w:r>
        <w:rPr>
          <w:rFonts w:hint="default" w:ascii="Times New Roman" w:hAnsi="Times New Roman" w:eastAsia="宋体" w:cs="Times New Roman"/>
          <w:sz w:val="28"/>
          <w:szCs w:val="28"/>
          <w:highlight w:val="none"/>
        </w:rPr>
        <w:br w:type="page" w:clear="all"/>
      </w:r>
    </w:p>
    <w:p w14:paraId="52DBA2AE">
      <w:pPr>
        <w:pageBreakBefore w:val="0"/>
        <w:kinsoku/>
        <w:wordWrap/>
        <w:overflowPunct/>
        <w:topLinePunct w:val="0"/>
        <w:bidi w:val="0"/>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目录</w:t>
      </w:r>
    </w:p>
    <w:p w14:paraId="4EFCCC98">
      <w:pPr>
        <w:pageBreakBefore w:val="0"/>
        <w:kinsoku/>
        <w:wordWrap/>
        <w:overflowPunct/>
        <w:topLinePunct w:val="0"/>
        <w:bidi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（注：供应商根据附件顺序编制投标文件并制作目录（须生成页码））</w:t>
      </w:r>
    </w:p>
    <w:p w14:paraId="5469B880">
      <w:pPr>
        <w:pageBreakBefore w:val="0"/>
        <w:kinsoku/>
        <w:wordWrap/>
        <w:overflowPunct/>
        <w:topLinePunct w:val="0"/>
        <w:bidi w:val="0"/>
        <w:spacing w:line="440" w:lineRule="exact"/>
        <w:rPr>
          <w:rFonts w:hint="default" w:ascii="Times New Roman" w:hAnsi="Times New Roman" w:eastAsia="宋体" w:cs="Times New Roman"/>
          <w:highlight w:val="none"/>
        </w:rPr>
        <w:sectPr>
          <w:footerReference r:id="rId8" w:type="first"/>
          <w:headerReference r:id="rId6" w:type="default"/>
          <w:footerReference r:id="rId7" w:type="default"/>
          <w:pgSz w:w="11906" w:h="16838"/>
          <w:pgMar w:top="1440" w:right="1803" w:bottom="1440" w:left="1803" w:header="227" w:footer="720" w:gutter="0"/>
          <w:pgNumType w:fmt="decimal"/>
          <w:cols w:space="0" w:num="1"/>
          <w:docGrid w:linePitch="360" w:charSpace="0"/>
        </w:sectPr>
      </w:pPr>
    </w:p>
    <w:p w14:paraId="4D32E63F">
      <w:pPr>
        <w:pageBreakBefore w:val="0"/>
        <w:kinsoku/>
        <w:wordWrap/>
        <w:overflowPunct/>
        <w:topLinePunct w:val="0"/>
        <w:bidi w:val="0"/>
        <w:spacing w:line="440" w:lineRule="exact"/>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资格审查索引表</w:t>
      </w:r>
    </w:p>
    <w:p w14:paraId="0419694B">
      <w:pPr>
        <w:pageBreakBefore w:val="0"/>
        <w:kinsoku/>
        <w:wordWrap/>
        <w:overflowPunct/>
        <w:topLinePunct w:val="0"/>
        <w:bidi w:val="0"/>
        <w:spacing w:line="440" w:lineRule="exact"/>
        <w:rPr>
          <w:rFonts w:hint="default" w:ascii="Times New Roman" w:hAnsi="Times New Roman" w:eastAsia="宋体" w:cs="Times New Roman"/>
          <w:highlight w:val="none"/>
        </w:rPr>
      </w:pPr>
    </w:p>
    <w:p w14:paraId="507C9B18">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投标人名称：</w:t>
      </w:r>
    </w:p>
    <w:p w14:paraId="1414A4AD">
      <w:pPr>
        <w:pStyle w:val="2"/>
        <w:pageBreakBefore w:val="0"/>
        <w:kinsoku/>
        <w:wordWrap/>
        <w:overflowPunct/>
        <w:topLinePunct w:val="0"/>
        <w:bidi w:val="0"/>
        <w:ind w:left="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采购包：</w:t>
      </w:r>
    </w:p>
    <w:p w14:paraId="2E6A750C">
      <w:pPr>
        <w:pageBreakBefore w:val="0"/>
        <w:kinsoku/>
        <w:wordWrap/>
        <w:overflowPunct/>
        <w:topLinePunct w:val="0"/>
        <w:bidi w:val="0"/>
        <w:rPr>
          <w:rFonts w:hint="default" w:ascii="Times New Roman" w:hAnsi="Times New Roman" w:eastAsia="宋体" w:cs="Times New Roman"/>
          <w:highlight w:val="none"/>
        </w:rPr>
      </w:pPr>
    </w:p>
    <w:tbl>
      <w:tblPr>
        <w:tblStyle w:val="48"/>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4756"/>
        <w:gridCol w:w="1344"/>
        <w:gridCol w:w="1366"/>
      </w:tblGrid>
      <w:tr w14:paraId="5CB2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0" w:type="pct"/>
            <w:vAlign w:val="center"/>
          </w:tcPr>
          <w:p w14:paraId="317F1805">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序号</w:t>
            </w:r>
          </w:p>
        </w:tc>
        <w:tc>
          <w:tcPr>
            <w:tcW w:w="2866" w:type="pct"/>
            <w:vAlign w:val="center"/>
          </w:tcPr>
          <w:p w14:paraId="22067208">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资格条件</w:t>
            </w:r>
          </w:p>
        </w:tc>
        <w:tc>
          <w:tcPr>
            <w:tcW w:w="810" w:type="pct"/>
            <w:vAlign w:val="center"/>
          </w:tcPr>
          <w:p w14:paraId="64703940">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响应情况</w:t>
            </w:r>
          </w:p>
        </w:tc>
        <w:tc>
          <w:tcPr>
            <w:tcW w:w="823" w:type="pct"/>
            <w:vAlign w:val="center"/>
          </w:tcPr>
          <w:p w14:paraId="617EACFB">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投标文件所在页码</w:t>
            </w:r>
          </w:p>
        </w:tc>
      </w:tr>
      <w:tr w14:paraId="37D4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367C22EA">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1</w:t>
            </w:r>
          </w:p>
        </w:tc>
        <w:tc>
          <w:tcPr>
            <w:tcW w:w="2866" w:type="pct"/>
            <w:vAlign w:val="center"/>
          </w:tcPr>
          <w:p w14:paraId="343DB69F">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Cs/>
                <w:szCs w:val="21"/>
                <w:highlight w:val="none"/>
              </w:rPr>
              <w:t>具有独立承担民事责任的能力（提供法人或者其他组织的营业执照；供应商为自然人的，提供其身份证）；</w:t>
            </w:r>
          </w:p>
        </w:tc>
        <w:tc>
          <w:tcPr>
            <w:tcW w:w="810" w:type="pct"/>
            <w:vAlign w:val="center"/>
          </w:tcPr>
          <w:p w14:paraId="0EB15278">
            <w:pPr>
              <w:pageBreakBefore w:val="0"/>
              <w:kinsoku/>
              <w:wordWrap/>
              <w:overflowPunct/>
              <w:topLinePunct w:val="0"/>
              <w:bidi w:val="0"/>
              <w:spacing w:line="360" w:lineRule="auto"/>
              <w:ind w:firstLine="62"/>
              <w:rPr>
                <w:rFonts w:hint="default" w:ascii="Times New Roman" w:hAnsi="Times New Roman" w:eastAsia="宋体" w:cs="Times New Roman"/>
                <w:highlight w:val="none"/>
              </w:rPr>
            </w:pPr>
          </w:p>
        </w:tc>
        <w:tc>
          <w:tcPr>
            <w:tcW w:w="823" w:type="pct"/>
            <w:vAlign w:val="center"/>
          </w:tcPr>
          <w:p w14:paraId="5C7DB517">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p>
        </w:tc>
      </w:tr>
      <w:tr w14:paraId="46AC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605EA880">
            <w:pPr>
              <w:pageBreakBefore w:val="0"/>
              <w:kinsoku/>
              <w:wordWrap/>
              <w:overflowPunct/>
              <w:topLinePunct w:val="0"/>
              <w:bidi w:val="0"/>
              <w:spacing w:line="360" w:lineRule="auto"/>
              <w:ind w:firstLine="75"/>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2</w:t>
            </w:r>
          </w:p>
        </w:tc>
        <w:tc>
          <w:tcPr>
            <w:tcW w:w="2866" w:type="pct"/>
            <w:vAlign w:val="center"/>
          </w:tcPr>
          <w:p w14:paraId="080F499D">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Cs/>
                <w:szCs w:val="21"/>
                <w:highlight w:val="none"/>
              </w:rPr>
              <w:t>具有良好的商业信誉和健全的财务会计制度（提供2024年度经审计的财务报告，或投标截止时间前六个月内银行出具的资信证明）；</w:t>
            </w:r>
          </w:p>
        </w:tc>
        <w:tc>
          <w:tcPr>
            <w:tcW w:w="810" w:type="pct"/>
            <w:vAlign w:val="center"/>
          </w:tcPr>
          <w:p w14:paraId="1E3078F0">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823" w:type="pct"/>
            <w:vAlign w:val="center"/>
          </w:tcPr>
          <w:p w14:paraId="362F0AA1">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r w14:paraId="1FE9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315A3BCA">
            <w:pPr>
              <w:pageBreakBefore w:val="0"/>
              <w:kinsoku/>
              <w:wordWrap/>
              <w:overflowPunct/>
              <w:topLinePunct w:val="0"/>
              <w:bidi w:val="0"/>
              <w:spacing w:line="360" w:lineRule="auto"/>
              <w:ind w:firstLine="75"/>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3</w:t>
            </w:r>
          </w:p>
        </w:tc>
        <w:tc>
          <w:tcPr>
            <w:tcW w:w="2866" w:type="pct"/>
            <w:vAlign w:val="center"/>
          </w:tcPr>
          <w:p w14:paraId="1EF99876">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Cs/>
                <w:szCs w:val="21"/>
                <w:highlight w:val="none"/>
              </w:rPr>
              <w:t>具有履行合同所必需的设备和专业技术能力（供应商根据履行采购项目合同需要，提供履行合同所必需的设备和专业技术能力的证明材料）；</w:t>
            </w:r>
          </w:p>
        </w:tc>
        <w:tc>
          <w:tcPr>
            <w:tcW w:w="810" w:type="pct"/>
            <w:vAlign w:val="center"/>
          </w:tcPr>
          <w:p w14:paraId="478E8624">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823" w:type="pct"/>
            <w:vAlign w:val="center"/>
          </w:tcPr>
          <w:p w14:paraId="3CA41942">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r w14:paraId="117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2EF71A9B">
            <w:pPr>
              <w:pageBreakBefore w:val="0"/>
              <w:kinsoku/>
              <w:wordWrap/>
              <w:overflowPunct/>
              <w:topLinePunct w:val="0"/>
              <w:bidi w:val="0"/>
              <w:spacing w:line="360" w:lineRule="auto"/>
              <w:ind w:firstLine="75"/>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4</w:t>
            </w:r>
          </w:p>
        </w:tc>
        <w:tc>
          <w:tcPr>
            <w:tcW w:w="2866" w:type="pct"/>
            <w:vAlign w:val="center"/>
          </w:tcPr>
          <w:p w14:paraId="28BD271C">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Cs/>
                <w:szCs w:val="21"/>
                <w:highlight w:val="none"/>
              </w:rPr>
              <w:t>有依法缴纳税收和社会保障资金的良好记录（提供参加本次政府采购活动前半年内至少一个月：①缴纳税收的凭证；②缴纳社会保险的凭据），依法享受免缴、缓缴的，提供证明材料；</w:t>
            </w:r>
          </w:p>
        </w:tc>
        <w:tc>
          <w:tcPr>
            <w:tcW w:w="810" w:type="pct"/>
            <w:vAlign w:val="center"/>
          </w:tcPr>
          <w:p w14:paraId="6CD6C28E">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823" w:type="pct"/>
            <w:vAlign w:val="center"/>
          </w:tcPr>
          <w:p w14:paraId="2FA37790">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r w14:paraId="3CB2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0837011A">
            <w:pPr>
              <w:pageBreakBefore w:val="0"/>
              <w:kinsoku/>
              <w:wordWrap/>
              <w:overflowPunct/>
              <w:topLinePunct w:val="0"/>
              <w:bidi w:val="0"/>
              <w:spacing w:line="360" w:lineRule="auto"/>
              <w:ind w:firstLine="75"/>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5</w:t>
            </w:r>
          </w:p>
        </w:tc>
        <w:tc>
          <w:tcPr>
            <w:tcW w:w="2866" w:type="pct"/>
            <w:vAlign w:val="center"/>
          </w:tcPr>
          <w:p w14:paraId="30333C4D">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Cs/>
                <w:szCs w:val="21"/>
                <w:highlight w:val="none"/>
              </w:rPr>
              <w:t>参加政府采购活动前三年内，在经营活动中没有重大违法记录（提供</w:t>
            </w:r>
            <w:r>
              <w:rPr>
                <w:rFonts w:hint="default" w:ascii="Times New Roman" w:hAnsi="Times New Roman" w:eastAsia="宋体" w:cs="Times New Roman"/>
                <w:szCs w:val="21"/>
                <w:highlight w:val="none"/>
                <w:shd w:val="clear" w:color="auto" w:fill="FFFFFF"/>
              </w:rPr>
              <w:t>无重大违法记录声明</w:t>
            </w:r>
            <w:r>
              <w:rPr>
                <w:rFonts w:hint="default" w:ascii="Times New Roman" w:hAnsi="Times New Roman" w:eastAsia="宋体" w:cs="Times New Roman"/>
                <w:bCs/>
                <w:szCs w:val="21"/>
                <w:highlight w:val="none"/>
              </w:rPr>
              <w:t>）；</w:t>
            </w:r>
          </w:p>
        </w:tc>
        <w:tc>
          <w:tcPr>
            <w:tcW w:w="810" w:type="pct"/>
            <w:vAlign w:val="center"/>
          </w:tcPr>
          <w:p w14:paraId="254938E6">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823" w:type="pct"/>
            <w:vAlign w:val="center"/>
          </w:tcPr>
          <w:p w14:paraId="137D0DDA">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r w14:paraId="3A55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097E3907">
            <w:pPr>
              <w:pageBreakBefore w:val="0"/>
              <w:kinsoku/>
              <w:wordWrap/>
              <w:overflowPunct/>
              <w:topLinePunct w:val="0"/>
              <w:bidi w:val="0"/>
              <w:spacing w:line="360" w:lineRule="auto"/>
              <w:ind w:firstLine="75"/>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6</w:t>
            </w:r>
          </w:p>
        </w:tc>
        <w:tc>
          <w:tcPr>
            <w:tcW w:w="2866" w:type="pct"/>
            <w:vAlign w:val="center"/>
          </w:tcPr>
          <w:p w14:paraId="3630BAED">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p>
        </w:tc>
        <w:tc>
          <w:tcPr>
            <w:tcW w:w="810" w:type="pct"/>
            <w:vAlign w:val="center"/>
          </w:tcPr>
          <w:p w14:paraId="06C10665">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823" w:type="pct"/>
            <w:vAlign w:val="center"/>
          </w:tcPr>
          <w:p w14:paraId="1FCB7BB2">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bl>
    <w:p w14:paraId="6197AE44">
      <w:pPr>
        <w:pStyle w:val="2"/>
        <w:pageBreakBefore w:val="0"/>
        <w:kinsoku/>
        <w:wordWrap/>
        <w:overflowPunct/>
        <w:topLinePunct w:val="0"/>
        <w:bidi w:val="0"/>
        <w:rPr>
          <w:rFonts w:hint="default" w:ascii="Times New Roman" w:hAnsi="Times New Roman" w:eastAsia="宋体" w:cs="Times New Roman"/>
          <w:highlight w:val="none"/>
        </w:rPr>
        <w:sectPr>
          <w:pgSz w:w="11906" w:h="16838"/>
          <w:pgMar w:top="1440" w:right="1803" w:bottom="1440" w:left="1803" w:header="227" w:footer="720" w:gutter="0"/>
          <w:pgNumType w:fmt="decimal"/>
          <w:cols w:space="0" w:num="1"/>
          <w:docGrid w:linePitch="360" w:charSpace="0"/>
        </w:sectPr>
      </w:pPr>
    </w:p>
    <w:p w14:paraId="090CC97F">
      <w:pPr>
        <w:pageBreakBefore w:val="0"/>
        <w:kinsoku/>
        <w:wordWrap/>
        <w:overflowPunct/>
        <w:topLinePunct w:val="0"/>
        <w:bidi w:val="0"/>
        <w:spacing w:line="440" w:lineRule="exact"/>
        <w:jc w:val="center"/>
        <w:rPr>
          <w:rFonts w:hint="default" w:ascii="Times New Roman" w:hAnsi="Times New Roman" w:eastAsia="宋体" w:cs="Times New Roman"/>
          <w:sz w:val="28"/>
          <w:szCs w:val="28"/>
          <w:highlight w:val="none"/>
        </w:rPr>
      </w:pPr>
      <w:bookmarkStart w:id="154" w:name="_Toc121753104"/>
      <w:r>
        <w:rPr>
          <w:rFonts w:hint="default" w:ascii="Times New Roman" w:hAnsi="Times New Roman" w:eastAsia="宋体" w:cs="Times New Roman"/>
          <w:sz w:val="28"/>
          <w:szCs w:val="28"/>
          <w:highlight w:val="none"/>
        </w:rPr>
        <w:t>评标索引表</w:t>
      </w:r>
      <w:bookmarkEnd w:id="154"/>
    </w:p>
    <w:p w14:paraId="5DC0CF5C">
      <w:pPr>
        <w:pStyle w:val="2"/>
        <w:pageBreakBefore w:val="0"/>
        <w:kinsoku/>
        <w:wordWrap/>
        <w:overflowPunct/>
        <w:topLinePunct w:val="0"/>
        <w:bidi w:val="0"/>
        <w:rPr>
          <w:rFonts w:hint="default" w:ascii="Times New Roman" w:hAnsi="Times New Roman" w:eastAsia="宋体" w:cs="Times New Roman"/>
          <w:highlight w:val="none"/>
        </w:rPr>
      </w:pPr>
    </w:p>
    <w:p w14:paraId="4A9AD5AB">
      <w:pPr>
        <w:pageBreakBefore w:val="0"/>
        <w:kinsoku/>
        <w:wordWrap/>
        <w:overflowPunct/>
        <w:topLinePunct w:val="0"/>
        <w:bidi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投标人名称：</w:t>
      </w:r>
    </w:p>
    <w:p w14:paraId="4E353AA0">
      <w:pPr>
        <w:pStyle w:val="2"/>
        <w:pageBreakBefore w:val="0"/>
        <w:kinsoku/>
        <w:wordWrap/>
        <w:overflowPunct/>
        <w:topLinePunct w:val="0"/>
        <w:bidi w:val="0"/>
        <w:ind w:left="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采购包：</w:t>
      </w:r>
    </w:p>
    <w:p w14:paraId="197D11B0">
      <w:pPr>
        <w:pageBreakBefore w:val="0"/>
        <w:kinsoku/>
        <w:wordWrap/>
        <w:overflowPunct/>
        <w:topLinePunct w:val="0"/>
        <w:bidi w:val="0"/>
        <w:rPr>
          <w:rFonts w:hint="default" w:ascii="Times New Roman" w:hAnsi="Times New Roman" w:eastAsia="宋体" w:cs="Times New Roman"/>
          <w:highlight w:val="none"/>
        </w:rPr>
      </w:pPr>
    </w:p>
    <w:tbl>
      <w:tblPr>
        <w:tblStyle w:val="48"/>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498"/>
        <w:gridCol w:w="1625"/>
        <w:gridCol w:w="2342"/>
      </w:tblGrid>
      <w:tr w14:paraId="671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0" w:type="pct"/>
            <w:vAlign w:val="center"/>
          </w:tcPr>
          <w:p w14:paraId="3103D45E">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序号</w:t>
            </w:r>
          </w:p>
        </w:tc>
        <w:tc>
          <w:tcPr>
            <w:tcW w:w="2108" w:type="pct"/>
            <w:vAlign w:val="center"/>
          </w:tcPr>
          <w:p w14:paraId="7AF6EC6B">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评标办法</w:t>
            </w:r>
          </w:p>
        </w:tc>
        <w:tc>
          <w:tcPr>
            <w:tcW w:w="979" w:type="pct"/>
            <w:vAlign w:val="center"/>
          </w:tcPr>
          <w:p w14:paraId="6DD8AFA4">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响应情况</w:t>
            </w:r>
          </w:p>
        </w:tc>
        <w:tc>
          <w:tcPr>
            <w:tcW w:w="1411" w:type="pct"/>
            <w:vAlign w:val="center"/>
          </w:tcPr>
          <w:p w14:paraId="540BE302">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投标文件所在页码</w:t>
            </w:r>
          </w:p>
        </w:tc>
      </w:tr>
      <w:tr w14:paraId="5AE8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0359F6C6">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p>
        </w:tc>
        <w:tc>
          <w:tcPr>
            <w:tcW w:w="2108" w:type="pct"/>
            <w:vAlign w:val="center"/>
          </w:tcPr>
          <w:p w14:paraId="2D5CC3ED">
            <w:pPr>
              <w:pStyle w:val="2"/>
              <w:pageBreakBefore w:val="0"/>
              <w:kinsoku/>
              <w:wordWrap/>
              <w:overflowPunct/>
              <w:topLinePunct w:val="0"/>
              <w:bidi w:val="0"/>
              <w:spacing w:line="360" w:lineRule="auto"/>
              <w:ind w:left="0" w:firstLine="74"/>
              <w:rPr>
                <w:rFonts w:hint="default" w:ascii="Times New Roman" w:hAnsi="Times New Roman" w:eastAsia="宋体" w:cs="Times New Roman"/>
                <w:sz w:val="24"/>
                <w:highlight w:val="none"/>
              </w:rPr>
            </w:pPr>
          </w:p>
        </w:tc>
        <w:tc>
          <w:tcPr>
            <w:tcW w:w="979" w:type="pct"/>
            <w:vAlign w:val="center"/>
          </w:tcPr>
          <w:p w14:paraId="5AD52533">
            <w:pPr>
              <w:pageBreakBefore w:val="0"/>
              <w:kinsoku/>
              <w:wordWrap/>
              <w:overflowPunct/>
              <w:topLinePunct w:val="0"/>
              <w:bidi w:val="0"/>
              <w:spacing w:line="360" w:lineRule="auto"/>
              <w:ind w:firstLine="62"/>
              <w:rPr>
                <w:rFonts w:hint="default" w:ascii="Times New Roman" w:hAnsi="Times New Roman" w:eastAsia="宋体" w:cs="Times New Roman"/>
                <w:highlight w:val="none"/>
              </w:rPr>
            </w:pPr>
          </w:p>
        </w:tc>
        <w:tc>
          <w:tcPr>
            <w:tcW w:w="1411" w:type="pct"/>
            <w:vAlign w:val="center"/>
          </w:tcPr>
          <w:p w14:paraId="489D7046">
            <w:pPr>
              <w:pageBreakBefore w:val="0"/>
              <w:kinsoku/>
              <w:wordWrap/>
              <w:overflowPunct/>
              <w:topLinePunct w:val="0"/>
              <w:bidi w:val="0"/>
              <w:snapToGrid w:val="0"/>
              <w:spacing w:line="360" w:lineRule="auto"/>
              <w:ind w:firstLine="75"/>
              <w:jc w:val="center"/>
              <w:rPr>
                <w:rFonts w:hint="default" w:ascii="Times New Roman" w:hAnsi="Times New Roman" w:eastAsia="宋体" w:cs="Times New Roman"/>
                <w:b/>
                <w:sz w:val="24"/>
                <w:highlight w:val="none"/>
              </w:rPr>
            </w:pPr>
          </w:p>
        </w:tc>
      </w:tr>
      <w:tr w14:paraId="1FA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36C06B26">
            <w:pPr>
              <w:pageBreakBefore w:val="0"/>
              <w:kinsoku/>
              <w:wordWrap/>
              <w:overflowPunct/>
              <w:topLinePunct w:val="0"/>
              <w:bidi w:val="0"/>
              <w:spacing w:line="360" w:lineRule="auto"/>
              <w:ind w:firstLine="75"/>
              <w:jc w:val="center"/>
              <w:rPr>
                <w:rFonts w:hint="default" w:ascii="Times New Roman" w:hAnsi="Times New Roman" w:eastAsia="宋体" w:cs="Times New Roman"/>
                <w:b/>
                <w:sz w:val="24"/>
                <w:highlight w:val="none"/>
              </w:rPr>
            </w:pPr>
          </w:p>
        </w:tc>
        <w:tc>
          <w:tcPr>
            <w:tcW w:w="2108" w:type="pct"/>
            <w:vAlign w:val="center"/>
          </w:tcPr>
          <w:p w14:paraId="0EDB54D8">
            <w:pPr>
              <w:pageBreakBefore w:val="0"/>
              <w:kinsoku/>
              <w:wordWrap/>
              <w:overflowPunct/>
              <w:topLinePunct w:val="0"/>
              <w:bidi w:val="0"/>
              <w:spacing w:line="360" w:lineRule="auto"/>
              <w:ind w:firstLine="74"/>
              <w:rPr>
                <w:rFonts w:hint="default" w:ascii="Times New Roman" w:hAnsi="Times New Roman" w:eastAsia="宋体" w:cs="Times New Roman"/>
                <w:sz w:val="24"/>
                <w:highlight w:val="none"/>
              </w:rPr>
            </w:pPr>
          </w:p>
        </w:tc>
        <w:tc>
          <w:tcPr>
            <w:tcW w:w="979" w:type="pct"/>
            <w:vAlign w:val="center"/>
          </w:tcPr>
          <w:p w14:paraId="0F529340">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1411" w:type="pct"/>
            <w:vAlign w:val="center"/>
          </w:tcPr>
          <w:p w14:paraId="6E070DD1">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r w14:paraId="33F1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55B9ADEE">
            <w:pPr>
              <w:pageBreakBefore w:val="0"/>
              <w:kinsoku/>
              <w:wordWrap/>
              <w:overflowPunct/>
              <w:topLinePunct w:val="0"/>
              <w:bidi w:val="0"/>
              <w:spacing w:line="360" w:lineRule="auto"/>
              <w:ind w:firstLine="75"/>
              <w:jc w:val="center"/>
              <w:rPr>
                <w:rFonts w:hint="default" w:ascii="Times New Roman" w:hAnsi="Times New Roman" w:eastAsia="宋体" w:cs="Times New Roman"/>
                <w:b/>
                <w:sz w:val="24"/>
                <w:highlight w:val="none"/>
              </w:rPr>
            </w:pPr>
          </w:p>
        </w:tc>
        <w:tc>
          <w:tcPr>
            <w:tcW w:w="2108" w:type="pct"/>
            <w:vAlign w:val="center"/>
          </w:tcPr>
          <w:p w14:paraId="4F525F2C">
            <w:pPr>
              <w:pageBreakBefore w:val="0"/>
              <w:kinsoku/>
              <w:wordWrap/>
              <w:overflowPunct/>
              <w:topLinePunct w:val="0"/>
              <w:bidi w:val="0"/>
              <w:spacing w:line="360" w:lineRule="auto"/>
              <w:ind w:firstLine="74"/>
              <w:rPr>
                <w:rFonts w:hint="default" w:ascii="Times New Roman" w:hAnsi="Times New Roman" w:eastAsia="宋体" w:cs="Times New Roman"/>
                <w:sz w:val="24"/>
                <w:highlight w:val="none"/>
              </w:rPr>
            </w:pPr>
          </w:p>
        </w:tc>
        <w:tc>
          <w:tcPr>
            <w:tcW w:w="979" w:type="pct"/>
            <w:vAlign w:val="center"/>
          </w:tcPr>
          <w:p w14:paraId="261A016A">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1411" w:type="pct"/>
            <w:vAlign w:val="center"/>
          </w:tcPr>
          <w:p w14:paraId="10980B2D">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r w14:paraId="58B7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 w:type="pct"/>
            <w:vAlign w:val="center"/>
          </w:tcPr>
          <w:p w14:paraId="527369F3">
            <w:pPr>
              <w:pageBreakBefore w:val="0"/>
              <w:kinsoku/>
              <w:wordWrap/>
              <w:overflowPunct/>
              <w:topLinePunct w:val="0"/>
              <w:bidi w:val="0"/>
              <w:spacing w:line="360" w:lineRule="auto"/>
              <w:ind w:firstLine="75"/>
              <w:jc w:val="center"/>
              <w:rPr>
                <w:rFonts w:hint="default" w:ascii="Times New Roman" w:hAnsi="Times New Roman" w:eastAsia="宋体" w:cs="Times New Roman"/>
                <w:b/>
                <w:sz w:val="24"/>
                <w:highlight w:val="none"/>
              </w:rPr>
            </w:pPr>
          </w:p>
        </w:tc>
        <w:tc>
          <w:tcPr>
            <w:tcW w:w="2108" w:type="pct"/>
            <w:vAlign w:val="center"/>
          </w:tcPr>
          <w:p w14:paraId="30B478A1">
            <w:pPr>
              <w:pageBreakBefore w:val="0"/>
              <w:kinsoku/>
              <w:wordWrap/>
              <w:overflowPunct/>
              <w:topLinePunct w:val="0"/>
              <w:bidi w:val="0"/>
              <w:spacing w:line="360" w:lineRule="auto"/>
              <w:ind w:firstLine="74"/>
              <w:rPr>
                <w:rFonts w:hint="default" w:ascii="Times New Roman" w:hAnsi="Times New Roman" w:eastAsia="宋体" w:cs="Times New Roman"/>
                <w:sz w:val="24"/>
                <w:highlight w:val="none"/>
              </w:rPr>
            </w:pPr>
          </w:p>
        </w:tc>
        <w:tc>
          <w:tcPr>
            <w:tcW w:w="979" w:type="pct"/>
            <w:vAlign w:val="center"/>
          </w:tcPr>
          <w:p w14:paraId="16847ACD">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c>
          <w:tcPr>
            <w:tcW w:w="1411" w:type="pct"/>
            <w:vAlign w:val="center"/>
          </w:tcPr>
          <w:p w14:paraId="72419328">
            <w:pPr>
              <w:pageBreakBefore w:val="0"/>
              <w:kinsoku/>
              <w:wordWrap/>
              <w:overflowPunct/>
              <w:topLinePunct w:val="0"/>
              <w:bidi w:val="0"/>
              <w:spacing w:line="360" w:lineRule="auto"/>
              <w:ind w:firstLine="74"/>
              <w:jc w:val="center"/>
              <w:rPr>
                <w:rFonts w:hint="default" w:ascii="Times New Roman" w:hAnsi="Times New Roman" w:eastAsia="宋体" w:cs="Times New Roman"/>
                <w:sz w:val="24"/>
                <w:highlight w:val="none"/>
              </w:rPr>
            </w:pPr>
          </w:p>
        </w:tc>
      </w:tr>
    </w:tbl>
    <w:p w14:paraId="5341C5D3">
      <w:pPr>
        <w:pageBreakBefore w:val="0"/>
        <w:kinsoku/>
        <w:wordWrap/>
        <w:overflowPunct/>
        <w:topLinePunct w:val="0"/>
        <w:bidi w:val="0"/>
        <w:spacing w:line="440" w:lineRule="exac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br w:type="page" w:clear="all"/>
      </w:r>
      <w:r>
        <w:rPr>
          <w:rFonts w:hint="default" w:ascii="Times New Roman" w:hAnsi="Times New Roman" w:eastAsia="宋体" w:cs="Times New Roman"/>
          <w:b/>
          <w:bCs/>
          <w:szCs w:val="21"/>
          <w:highlight w:val="none"/>
        </w:rPr>
        <w:t>附件一、投标申请及声明格式</w:t>
      </w:r>
    </w:p>
    <w:p w14:paraId="1D4F0AFE">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 w:val="36"/>
          <w:szCs w:val="36"/>
          <w:highlight w:val="none"/>
        </w:rPr>
        <w:t>投标申请及声明</w:t>
      </w:r>
    </w:p>
    <w:p w14:paraId="693B1A07">
      <w:pPr>
        <w:pageBreakBefore w:val="0"/>
        <w:widowControl/>
        <w:shd w:val="clear" w:color="auto" w:fill="FFFFFF"/>
        <w:kinsoku/>
        <w:wordWrap/>
        <w:overflowPunct/>
        <w:topLinePunct w:val="0"/>
        <w:bidi w:val="0"/>
        <w:spacing w:line="400" w:lineRule="exac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致：江苏省设备成套股份有限公司</w:t>
      </w:r>
    </w:p>
    <w:p w14:paraId="6CF2A14C">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根据贵方</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（项目名称） </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（项目编号）投标邀请，正式授权下述签字人</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(姓名和职务)代表供应商</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（供应商名称），提交投标文件。</w:t>
      </w:r>
    </w:p>
    <w:p w14:paraId="3056CF53">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据此函，签字人兹宣布声明和承诺如下：</w:t>
      </w:r>
    </w:p>
    <w:p w14:paraId="33A9C291">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b/>
          <w:bCs/>
          <w:szCs w:val="21"/>
          <w:highlight w:val="none"/>
        </w:rPr>
        <w:t>我们的资格条件完全符合政府采购法和本次招标要求</w:t>
      </w:r>
      <w:r>
        <w:rPr>
          <w:rFonts w:hint="default" w:ascii="Times New Roman" w:hAnsi="Times New Roman" w:eastAsia="宋体" w:cs="Times New Roman"/>
          <w:szCs w:val="21"/>
          <w:highlight w:val="none"/>
        </w:rPr>
        <w:t>，我们同意并向贵方提供了与投标有关的所有证据和资料。</w:t>
      </w:r>
    </w:p>
    <w:p w14:paraId="42A41E6C">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2、按招标要求，我们的投标总报价</w:t>
      </w:r>
      <w:r>
        <w:rPr>
          <w:rFonts w:hint="default" w:ascii="Times New Roman" w:hAnsi="Times New Roman" w:eastAsia="宋体" w:cs="Times New Roman"/>
          <w:szCs w:val="21"/>
          <w:highlight w:val="none"/>
          <w:u w:val="single"/>
        </w:rPr>
        <w:t>详见开标一览表</w:t>
      </w:r>
      <w:r>
        <w:rPr>
          <w:rFonts w:hint="default" w:ascii="Times New Roman" w:hAnsi="Times New Roman" w:eastAsia="宋体" w:cs="Times New Roman"/>
          <w:szCs w:val="21"/>
          <w:highlight w:val="none"/>
        </w:rPr>
        <w:t>。</w:t>
      </w:r>
    </w:p>
    <w:p w14:paraId="5B3DBEB8">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3、本项目合同履约期限为：</w:t>
      </w:r>
      <w:r>
        <w:rPr>
          <w:rFonts w:hint="default" w:ascii="Times New Roman" w:hAnsi="Times New Roman" w:eastAsia="宋体" w:cs="Times New Roman"/>
          <w:szCs w:val="21"/>
          <w:highlight w:val="none"/>
          <w:u w:val="single"/>
        </w:rPr>
        <w:t>满足采购文件要求</w:t>
      </w:r>
      <w:r>
        <w:rPr>
          <w:rFonts w:hint="default" w:ascii="Times New Roman" w:hAnsi="Times New Roman" w:eastAsia="宋体" w:cs="Times New Roman"/>
          <w:szCs w:val="21"/>
          <w:highlight w:val="none"/>
        </w:rPr>
        <w:t>。</w:t>
      </w:r>
    </w:p>
    <w:p w14:paraId="2E617986">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4、我们已详细阅读全部招标文件及其有效补充文件，我们放弃对招标文件任何误解的权利，提交投标文件后，</w:t>
      </w:r>
      <w:r>
        <w:rPr>
          <w:rFonts w:hint="default" w:ascii="Times New Roman" w:hAnsi="Times New Roman" w:eastAsia="宋体" w:cs="Times New Roman"/>
          <w:b/>
          <w:bCs/>
          <w:szCs w:val="21"/>
          <w:highlight w:val="none"/>
        </w:rPr>
        <w:t>不对招标文件本身提出质疑</w:t>
      </w:r>
      <w:r>
        <w:rPr>
          <w:rFonts w:hint="default" w:ascii="Times New Roman" w:hAnsi="Times New Roman" w:eastAsia="宋体" w:cs="Times New Roman"/>
          <w:szCs w:val="21"/>
          <w:highlight w:val="none"/>
        </w:rPr>
        <w:t>。</w:t>
      </w:r>
    </w:p>
    <w:p w14:paraId="20E7EA29">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5、我们同意从规定的开标日期起遵循本投标文件，并在规定的投标有效期期满之前均具有约束力。</w:t>
      </w:r>
    </w:p>
    <w:p w14:paraId="0E9319AA">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6、投标截止时间结束后参加投标的供应商不足三家的，或在评标期间出现符合专业条件的供应商或者对招标文件作出实质响应的供应商不足三家情形的，我们酌情决定是否参加</w:t>
      </w:r>
      <w:r>
        <w:rPr>
          <w:rFonts w:hint="default" w:ascii="Times New Roman" w:hAnsi="Times New Roman" w:eastAsia="宋体" w:cs="Times New Roman"/>
          <w:highlight w:val="none"/>
        </w:rPr>
        <w:t>贵方组织的其他采购方式采购</w:t>
      </w:r>
      <w:r>
        <w:rPr>
          <w:rFonts w:hint="default" w:ascii="Times New Roman" w:hAnsi="Times New Roman" w:eastAsia="宋体" w:cs="Times New Roman"/>
          <w:szCs w:val="21"/>
          <w:highlight w:val="none"/>
        </w:rPr>
        <w:t>。</w:t>
      </w:r>
    </w:p>
    <w:p w14:paraId="24160FF5">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7、一旦我方中标，我方将根据招标文件的规定严格履行合同，并保证于承诺的时间完成本项目的全部工作，交付采购人验收、使用。</w:t>
      </w:r>
    </w:p>
    <w:p w14:paraId="5AA49CD8">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5870A89">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9、与本投标有关的正式联系方式为：</w:t>
      </w:r>
    </w:p>
    <w:p w14:paraId="60C73297">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地   址：</w:t>
      </w:r>
      <w:r>
        <w:rPr>
          <w:rFonts w:hint="default" w:ascii="Times New Roman" w:hAnsi="Times New Roman" w:eastAsia="宋体" w:cs="Times New Roman"/>
          <w:szCs w:val="21"/>
          <w:highlight w:val="none"/>
          <w:u w:val="single"/>
        </w:rPr>
        <w:t>                      </w:t>
      </w:r>
    </w:p>
    <w:p w14:paraId="6975913D">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电   话：</w:t>
      </w:r>
      <w:r>
        <w:rPr>
          <w:rFonts w:hint="default" w:ascii="Times New Roman" w:hAnsi="Times New Roman" w:eastAsia="宋体" w:cs="Times New Roman"/>
          <w:szCs w:val="21"/>
          <w:highlight w:val="none"/>
          <w:u w:val="single"/>
        </w:rPr>
        <w:t>                      </w:t>
      </w:r>
    </w:p>
    <w:p w14:paraId="1C96A030">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传   真：</w:t>
      </w:r>
      <w:r>
        <w:rPr>
          <w:rFonts w:hint="default" w:ascii="Times New Roman" w:hAnsi="Times New Roman" w:eastAsia="宋体" w:cs="Times New Roman"/>
          <w:szCs w:val="21"/>
          <w:highlight w:val="none"/>
          <w:u w:val="single"/>
        </w:rPr>
        <w:t>                      </w:t>
      </w:r>
    </w:p>
    <w:p w14:paraId="5DB8C5F7">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开户银行：</w:t>
      </w:r>
    </w:p>
    <w:p w14:paraId="727A1F18">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银行账号：</w:t>
      </w:r>
    </w:p>
    <w:p w14:paraId="43A19DF5">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供应商授权代表姓名（签字）：</w:t>
      </w:r>
      <w:r>
        <w:rPr>
          <w:rFonts w:hint="default" w:ascii="Times New Roman" w:hAnsi="Times New Roman" w:eastAsia="宋体" w:cs="Times New Roman"/>
          <w:szCs w:val="21"/>
          <w:highlight w:val="none"/>
          <w:u w:val="single"/>
        </w:rPr>
        <w:t>        </w:t>
      </w:r>
    </w:p>
    <w:p w14:paraId="06F1E6B1">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供应商名称：</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（盖章）</w:t>
      </w:r>
    </w:p>
    <w:p w14:paraId="3FBDDB89">
      <w:pPr>
        <w:pageBreakBefore w:val="0"/>
        <w:widowControl/>
        <w:shd w:val="clear" w:color="auto" w:fill="FFFFFF"/>
        <w:kinsoku/>
        <w:wordWrap/>
        <w:overflowPunct/>
        <w:topLinePunct w:val="0"/>
        <w:bidi w:val="0"/>
        <w:spacing w:line="400" w:lineRule="exact"/>
        <w:ind w:firstLine="42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    期：</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月</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日</w:t>
      </w:r>
    </w:p>
    <w:p w14:paraId="3E94E7A6">
      <w:pPr>
        <w:pageBreakBefore w:val="0"/>
        <w:widowControl/>
        <w:shd w:val="clear" w:color="auto" w:fill="FFFFFF"/>
        <w:kinsoku/>
        <w:wordWrap/>
        <w:overflowPunct/>
        <w:topLinePunct w:val="0"/>
        <w:bidi w:val="0"/>
        <w:spacing w:line="360" w:lineRule="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br w:type="page" w:clear="all"/>
      </w:r>
      <w:r>
        <w:rPr>
          <w:rFonts w:hint="default" w:ascii="Times New Roman" w:hAnsi="Times New Roman" w:eastAsia="宋体" w:cs="Times New Roman"/>
          <w:b/>
          <w:bCs/>
          <w:szCs w:val="21"/>
          <w:highlight w:val="none"/>
        </w:rPr>
        <w:t>附件二、法定代表人授权书格式</w:t>
      </w:r>
    </w:p>
    <w:p w14:paraId="71879E06">
      <w:pPr>
        <w:pageBreakBefore w:val="0"/>
        <w:widowControl/>
        <w:shd w:val="clear" w:color="auto" w:fill="FFFFFF"/>
        <w:kinsoku/>
        <w:wordWrap/>
        <w:overflowPunct/>
        <w:topLinePunct w:val="0"/>
        <w:bidi w:val="0"/>
        <w:spacing w:line="360" w:lineRule="auto"/>
        <w:ind w:firstLine="720"/>
        <w:jc w:val="center"/>
        <w:rPr>
          <w:rFonts w:hint="default" w:ascii="Times New Roman" w:hAnsi="Times New Roman" w:eastAsia="宋体" w:cs="Times New Roman"/>
          <w:sz w:val="36"/>
          <w:szCs w:val="36"/>
          <w:highlight w:val="none"/>
        </w:rPr>
      </w:pPr>
    </w:p>
    <w:p w14:paraId="7AC63A65">
      <w:pPr>
        <w:pageBreakBefore w:val="0"/>
        <w:widowControl/>
        <w:shd w:val="clear" w:color="auto" w:fill="FFFFFF"/>
        <w:kinsoku/>
        <w:wordWrap/>
        <w:overflowPunct/>
        <w:topLinePunct w:val="0"/>
        <w:bidi w:val="0"/>
        <w:spacing w:line="360" w:lineRule="auto"/>
        <w:ind w:firstLine="720"/>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 w:val="36"/>
          <w:szCs w:val="36"/>
          <w:highlight w:val="none"/>
        </w:rPr>
        <w:t>法定代表人授权书</w:t>
      </w:r>
    </w:p>
    <w:p w14:paraId="21BB3C64">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015F3838">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致：江苏省设备成套股份有限公司</w:t>
      </w:r>
    </w:p>
    <w:p w14:paraId="39DE5857">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本授权书声明：注册于</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（供应商住址）的</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（供应商名称）法定代表人</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（法定代表人姓名、职务）代表本公司授权在下面签字的</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（供应商代表姓名、职务）为本公司的合法代理人，就贵方组织的</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（项目名称），</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（项目编号）投标，以本公司名义处理一切与之有关的事务。</w:t>
      </w:r>
    </w:p>
    <w:p w14:paraId="64D30AF9">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本授权书于</w:t>
      </w:r>
      <w:r>
        <w:rPr>
          <w:rFonts w:hint="default" w:ascii="Times New Roman" w:hAnsi="Times New Roman" w:eastAsia="宋体" w:cs="Times New Roman"/>
          <w:szCs w:val="21"/>
          <w:highlight w:val="none"/>
          <w:u w:val="single"/>
        </w:rPr>
        <w:t>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月</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日签字生效，特此声明。</w:t>
      </w:r>
    </w:p>
    <w:p w14:paraId="715A1511">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法定代表人签字：</w:t>
      </w:r>
    </w:p>
    <w:p w14:paraId="3CC34398">
      <w:pPr>
        <w:pageBreakBefore w:val="0"/>
        <w:widowControl/>
        <w:shd w:val="clear" w:color="auto" w:fill="FFFFFF"/>
        <w:kinsoku/>
        <w:wordWrap/>
        <w:overflowPunct/>
        <w:topLinePunct w:val="0"/>
        <w:bidi w:val="0"/>
        <w:spacing w:line="360" w:lineRule="auto"/>
        <w:ind w:firstLine="210" w:firstLineChars="1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授权委托人签字：                   </w:t>
      </w:r>
    </w:p>
    <w:p w14:paraId="191F68D6">
      <w:pPr>
        <w:pageBreakBefore w:val="0"/>
        <w:widowControl/>
        <w:shd w:val="clear" w:color="auto" w:fill="FFFFFF"/>
        <w:kinsoku/>
        <w:wordWrap/>
        <w:overflowPunct/>
        <w:topLinePunct w:val="0"/>
        <w:bidi w:val="0"/>
        <w:spacing w:line="360" w:lineRule="auto"/>
        <w:ind w:firstLine="210" w:firstLineChars="1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     期：        年    月    日</w:t>
      </w:r>
    </w:p>
    <w:p w14:paraId="2D2AE31C">
      <w:pPr>
        <w:pageBreakBefore w:val="0"/>
        <w:widowControl/>
        <w:shd w:val="clear" w:color="auto" w:fill="FFFFFF"/>
        <w:kinsoku/>
        <w:wordWrap/>
        <w:overflowPunct/>
        <w:topLinePunct w:val="0"/>
        <w:bidi w:val="0"/>
        <w:spacing w:line="360" w:lineRule="auto"/>
        <w:ind w:firstLine="840" w:firstLineChars="400"/>
        <w:jc w:val="left"/>
        <w:rPr>
          <w:rFonts w:hint="default" w:ascii="Times New Roman" w:hAnsi="Times New Roman" w:eastAsia="宋体" w:cs="Times New Roman"/>
          <w:szCs w:val="21"/>
          <w:highlight w:val="none"/>
        </w:rPr>
      </w:pPr>
    </w:p>
    <w:p w14:paraId="317208ED">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法定代表人、委托代理人的身份证的复印件：</w:t>
      </w:r>
    </w:p>
    <w:p w14:paraId="3D5F69AA">
      <w:pPr>
        <w:pageBreakBefore w:val="0"/>
        <w:kinsoku/>
        <w:wordWrap/>
        <w:overflowPunct/>
        <w:topLinePunct w:val="0"/>
        <w:bidi w:val="0"/>
        <w:spacing w:line="480" w:lineRule="exact"/>
        <w:ind w:firstLine="480"/>
        <w:rPr>
          <w:rFonts w:hint="default" w:ascii="Times New Roman" w:hAnsi="Times New Roman" w:eastAsia="宋体" w:cs="Times New Roman"/>
          <w:szCs w:val="21"/>
          <w:highlight w:val="none"/>
        </w:rPr>
      </w:pPr>
    </w:p>
    <w:p w14:paraId="076470E5">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334BB99D">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7B1C8D41">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1163F2EC">
      <w:pPr>
        <w:pageBreakBefore w:val="0"/>
        <w:kinsoku/>
        <w:wordWrap/>
        <w:overflowPunct/>
        <w:topLinePunct w:val="0"/>
        <w:bidi w:val="0"/>
        <w:spacing w:line="360" w:lineRule="auto"/>
        <w:rPr>
          <w:rFonts w:hint="default" w:ascii="Times New Roman" w:hAnsi="Times New Roman" w:eastAsia="宋体" w:cs="Times New Roman"/>
          <w:highlight w:val="none"/>
          <w:lang w:val="zh-CN"/>
        </w:rPr>
      </w:pPr>
      <w:r>
        <w:rPr>
          <w:rFonts w:hint="default" w:ascii="Times New Roman" w:hAnsi="Times New Roman" w:eastAsia="宋体" w:cs="Times New Roman"/>
          <w:b/>
          <w:bCs/>
          <w:szCs w:val="21"/>
          <w:highlight w:val="none"/>
        </w:rPr>
        <w:br w:type="page" w:clear="all"/>
      </w:r>
      <w:bookmarkStart w:id="155" w:name="_Toc26810"/>
      <w:r>
        <w:rPr>
          <w:rFonts w:hint="default" w:ascii="Times New Roman" w:hAnsi="Times New Roman" w:eastAsia="宋体" w:cs="Times New Roman"/>
          <w:b/>
          <w:bCs/>
          <w:szCs w:val="21"/>
          <w:highlight w:val="none"/>
          <w:lang w:val="zh-CN"/>
        </w:rPr>
        <w:t>附件三、</w:t>
      </w:r>
      <w:bookmarkEnd w:id="155"/>
      <w:r>
        <w:rPr>
          <w:rFonts w:hint="default" w:ascii="Times New Roman" w:hAnsi="Times New Roman" w:eastAsia="宋体" w:cs="Times New Roman"/>
          <w:b/>
          <w:bCs/>
          <w:szCs w:val="21"/>
          <w:highlight w:val="none"/>
          <w:lang w:val="zh-CN"/>
        </w:rPr>
        <w:t>开标一览表</w:t>
      </w:r>
    </w:p>
    <w:p w14:paraId="426B0866">
      <w:pPr>
        <w:pageBreakBefore w:val="0"/>
        <w:kinsoku/>
        <w:wordWrap/>
        <w:overflowPunct/>
        <w:topLinePunct w:val="0"/>
        <w:bidi w:val="0"/>
        <w:rPr>
          <w:rFonts w:hint="default" w:ascii="Times New Roman" w:hAnsi="Times New Roman" w:eastAsia="宋体" w:cs="Times New Roman"/>
          <w:b/>
          <w:bCs/>
          <w:highlight w:val="none"/>
          <w:lang w:val="zh-CN"/>
        </w:rPr>
      </w:pPr>
    </w:p>
    <w:p w14:paraId="1F2E0188">
      <w:pPr>
        <w:pageBreakBefore w:val="0"/>
        <w:kinsoku/>
        <w:wordWrap/>
        <w:overflowPunct/>
        <w:topLinePunct w:val="0"/>
        <w:bidi w:val="0"/>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开标一览表</w:t>
      </w:r>
    </w:p>
    <w:p w14:paraId="42FD7507">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sz w:val="24"/>
          <w:highlight w:val="none"/>
        </w:rPr>
      </w:pPr>
    </w:p>
    <w:p w14:paraId="131D05A1">
      <w:pPr>
        <w:pStyle w:val="14"/>
        <w:pageBreakBefore w:val="0"/>
        <w:kinsoku/>
        <w:wordWrap/>
        <w:overflowPunct/>
        <w:topLinePunct w:val="0"/>
        <w:bidi w:val="0"/>
        <w:spacing w:line="440" w:lineRule="exact"/>
        <w:ind w:firstLine="474" w:firstLineChars="225"/>
        <w:rPr>
          <w:rFonts w:hint="default" w:ascii="Times New Roman" w:hAnsi="Times New Roman" w:eastAsia="宋体" w:cs="Times New Roman"/>
          <w:sz w:val="21"/>
          <w:szCs w:val="21"/>
          <w:highlight w:val="none"/>
        </w:rPr>
      </w:pPr>
      <w:bookmarkStart w:id="156" w:name="_Toc12264"/>
      <w:r>
        <w:rPr>
          <w:rFonts w:hint="default" w:ascii="Times New Roman" w:hAnsi="Times New Roman" w:eastAsia="宋体" w:cs="Times New Roman"/>
          <w:sz w:val="21"/>
          <w:szCs w:val="21"/>
          <w:highlight w:val="none"/>
        </w:rPr>
        <w:t>项目名称：                     项目编号：</w:t>
      </w:r>
    </w:p>
    <w:tbl>
      <w:tblPr>
        <w:tblStyle w:val="48"/>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4872"/>
        <w:gridCol w:w="1639"/>
      </w:tblGrid>
      <w:tr w14:paraId="54B0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29" w:type="dxa"/>
            <w:vAlign w:val="center"/>
          </w:tcPr>
          <w:p w14:paraId="697D4E01">
            <w:pPr>
              <w:pStyle w:val="14"/>
              <w:pageBreakBefore w:val="0"/>
              <w:kinsoku/>
              <w:wordWrap/>
              <w:overflowPunct/>
              <w:topLinePunct w:val="0"/>
              <w:bidi w:val="0"/>
              <w:spacing w:line="440" w:lineRule="exact"/>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投标保证金</w:t>
            </w:r>
          </w:p>
        </w:tc>
        <w:tc>
          <w:tcPr>
            <w:tcW w:w="4872" w:type="dxa"/>
            <w:vAlign w:val="center"/>
          </w:tcPr>
          <w:p w14:paraId="17256CA7">
            <w:pPr>
              <w:pStyle w:val="14"/>
              <w:pageBreakBefore w:val="0"/>
              <w:kinsoku/>
              <w:wordWrap/>
              <w:overflowPunct/>
              <w:topLinePunct w:val="0"/>
              <w:bidi w:val="0"/>
              <w:spacing w:line="440" w:lineRule="exact"/>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w:t>
            </w:r>
          </w:p>
        </w:tc>
        <w:tc>
          <w:tcPr>
            <w:tcW w:w="1639" w:type="dxa"/>
            <w:vAlign w:val="center"/>
          </w:tcPr>
          <w:p w14:paraId="5774FEC0">
            <w:pPr>
              <w:pStyle w:val="14"/>
              <w:pageBreakBefore w:val="0"/>
              <w:kinsoku/>
              <w:wordWrap/>
              <w:overflowPunct/>
              <w:topLinePunct w:val="0"/>
              <w:bidi w:val="0"/>
              <w:spacing w:line="440" w:lineRule="exact"/>
              <w:ind w:firstLine="474" w:firstLineChars="225"/>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备注</w:t>
            </w:r>
          </w:p>
        </w:tc>
      </w:tr>
      <w:tr w14:paraId="55C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trPr>
        <w:tc>
          <w:tcPr>
            <w:tcW w:w="2129" w:type="dxa"/>
            <w:vAlign w:val="center"/>
          </w:tcPr>
          <w:p w14:paraId="664DD8C7">
            <w:pPr>
              <w:pStyle w:val="14"/>
              <w:pageBreakBefore w:val="0"/>
              <w:kinsoku/>
              <w:wordWrap/>
              <w:overflowPunct/>
              <w:topLinePunct w:val="0"/>
              <w:bidi w:val="0"/>
              <w:spacing w:line="440" w:lineRule="exact"/>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投标报价</w:t>
            </w:r>
          </w:p>
        </w:tc>
        <w:tc>
          <w:tcPr>
            <w:tcW w:w="4872" w:type="dxa"/>
            <w:vAlign w:val="center"/>
          </w:tcPr>
          <w:p w14:paraId="3B87BBD5">
            <w:pPr>
              <w:pStyle w:val="14"/>
              <w:pageBreakBefore w:val="0"/>
              <w:kinsoku/>
              <w:wordWrap/>
              <w:overflowPunct/>
              <w:topLinePunct w:val="0"/>
              <w:bidi w:val="0"/>
              <w:spacing w:line="440" w:lineRule="exact"/>
              <w:ind w:firstLine="0"/>
              <w:rPr>
                <w:rFonts w:hint="default" w:ascii="Times New Roman" w:hAnsi="Times New Roman" w:eastAsia="宋体" w:cs="Times New Roman"/>
                <w:bCs/>
                <w:sz w:val="21"/>
                <w:szCs w:val="21"/>
                <w:highlight w:val="none"/>
              </w:rPr>
            </w:pPr>
            <w:r>
              <w:rPr>
                <w:rFonts w:hint="default" w:ascii="Times New Roman" w:hAnsi="Times New Roman" w:eastAsia="宋体" w:cs="Times New Roman"/>
                <w:sz w:val="21"/>
                <w:szCs w:val="21"/>
                <w:highlight w:val="none"/>
              </w:rPr>
              <w:t xml:space="preserve">小写：人民币： </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 xml:space="preserve">万元  </w:t>
            </w:r>
            <w:r>
              <w:rPr>
                <w:rFonts w:hint="default" w:ascii="Times New Roman" w:hAnsi="Times New Roman" w:eastAsia="宋体" w:cs="Times New Roman"/>
                <w:bCs/>
                <w:sz w:val="21"/>
                <w:szCs w:val="21"/>
                <w:highlight w:val="none"/>
              </w:rPr>
              <w:t xml:space="preserve">    </w:t>
            </w:r>
          </w:p>
          <w:p w14:paraId="49BAD132">
            <w:pPr>
              <w:pStyle w:val="14"/>
              <w:pageBreakBefore w:val="0"/>
              <w:kinsoku/>
              <w:wordWrap/>
              <w:overflowPunct/>
              <w:topLinePunct w:val="0"/>
              <w:bidi w:val="0"/>
              <w:spacing w:line="440" w:lineRule="exact"/>
              <w:ind w:firstLine="474" w:firstLineChars="225"/>
              <w:rPr>
                <w:rFonts w:hint="default" w:ascii="Times New Roman" w:hAnsi="Times New Roman" w:eastAsia="宋体" w:cs="Times New Roman"/>
                <w:sz w:val="21"/>
                <w:szCs w:val="21"/>
                <w:highlight w:val="none"/>
              </w:rPr>
            </w:pPr>
          </w:p>
          <w:p w14:paraId="30369A3B">
            <w:pPr>
              <w:pStyle w:val="14"/>
              <w:pageBreakBefore w:val="0"/>
              <w:kinsoku/>
              <w:wordWrap/>
              <w:overflowPunct/>
              <w:topLinePunct w:val="0"/>
              <w:bidi w:val="0"/>
              <w:spacing w:line="440" w:lineRule="exact"/>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大写：人民币：</w:t>
            </w:r>
            <w:r>
              <w:rPr>
                <w:rFonts w:hint="default" w:ascii="Times New Roman" w:hAnsi="Times New Roman" w:eastAsia="宋体" w:cs="Times New Roman"/>
                <w:sz w:val="21"/>
                <w:szCs w:val="21"/>
                <w:highlight w:val="none"/>
                <w:u w:val="single"/>
              </w:rPr>
              <w:t xml:space="preserve">          </w:t>
            </w:r>
          </w:p>
        </w:tc>
        <w:tc>
          <w:tcPr>
            <w:tcW w:w="1639" w:type="dxa"/>
            <w:vAlign w:val="center"/>
          </w:tcPr>
          <w:p w14:paraId="57B27606">
            <w:pPr>
              <w:pStyle w:val="14"/>
              <w:pageBreakBefore w:val="0"/>
              <w:kinsoku/>
              <w:wordWrap/>
              <w:overflowPunct/>
              <w:topLinePunct w:val="0"/>
              <w:bidi w:val="0"/>
              <w:spacing w:line="440" w:lineRule="exact"/>
              <w:ind w:firstLine="0"/>
              <w:rPr>
                <w:rFonts w:hint="default" w:ascii="Times New Roman" w:hAnsi="Times New Roman" w:eastAsia="宋体" w:cs="Times New Roman"/>
                <w:bCs/>
                <w:sz w:val="21"/>
                <w:szCs w:val="21"/>
                <w:highlight w:val="none"/>
              </w:rPr>
            </w:pPr>
          </w:p>
          <w:p w14:paraId="3DA4FC6E">
            <w:pPr>
              <w:pStyle w:val="14"/>
              <w:pageBreakBefore w:val="0"/>
              <w:kinsoku/>
              <w:wordWrap/>
              <w:overflowPunct/>
              <w:topLinePunct w:val="0"/>
              <w:bidi w:val="0"/>
              <w:spacing w:line="440" w:lineRule="exact"/>
              <w:ind w:firstLine="0"/>
              <w:rPr>
                <w:rFonts w:hint="default" w:ascii="Times New Roman" w:hAnsi="Times New Roman" w:eastAsia="宋体" w:cs="Times New Roman"/>
                <w:sz w:val="21"/>
                <w:szCs w:val="21"/>
                <w:highlight w:val="none"/>
              </w:rPr>
            </w:pPr>
          </w:p>
        </w:tc>
      </w:tr>
      <w:tr w14:paraId="7560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29" w:type="dxa"/>
            <w:vAlign w:val="center"/>
          </w:tcPr>
          <w:p w14:paraId="7EE2D9DB">
            <w:pPr>
              <w:pStyle w:val="14"/>
              <w:pageBreakBefore w:val="0"/>
              <w:kinsoku/>
              <w:wordWrap/>
              <w:overflowPunct/>
              <w:topLinePunct w:val="0"/>
              <w:bidi w:val="0"/>
              <w:spacing w:line="440" w:lineRule="exact"/>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合同履行时间</w:t>
            </w:r>
          </w:p>
        </w:tc>
        <w:tc>
          <w:tcPr>
            <w:tcW w:w="4872" w:type="dxa"/>
            <w:vAlign w:val="center"/>
          </w:tcPr>
          <w:p w14:paraId="22A7F88E">
            <w:pPr>
              <w:pStyle w:val="14"/>
              <w:pageBreakBefore w:val="0"/>
              <w:tabs>
                <w:tab w:val="left" w:pos="3624"/>
              </w:tabs>
              <w:kinsoku/>
              <w:wordWrap/>
              <w:overflowPunct/>
              <w:topLinePunct w:val="0"/>
              <w:bidi w:val="0"/>
              <w:spacing w:line="440" w:lineRule="exact"/>
              <w:ind w:firstLine="474" w:firstLineChars="225"/>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满足采购文件要求。</w:t>
            </w:r>
          </w:p>
        </w:tc>
        <w:tc>
          <w:tcPr>
            <w:tcW w:w="1639" w:type="dxa"/>
            <w:vAlign w:val="center"/>
          </w:tcPr>
          <w:p w14:paraId="0C2F5346">
            <w:pPr>
              <w:pStyle w:val="14"/>
              <w:pageBreakBefore w:val="0"/>
              <w:kinsoku/>
              <w:wordWrap/>
              <w:overflowPunct/>
              <w:topLinePunct w:val="0"/>
              <w:bidi w:val="0"/>
              <w:spacing w:line="440" w:lineRule="exact"/>
              <w:ind w:firstLine="474" w:firstLineChars="225"/>
              <w:rPr>
                <w:rFonts w:hint="default" w:ascii="Times New Roman" w:hAnsi="Times New Roman" w:eastAsia="宋体" w:cs="Times New Roman"/>
                <w:sz w:val="21"/>
                <w:szCs w:val="21"/>
                <w:highlight w:val="none"/>
              </w:rPr>
            </w:pPr>
          </w:p>
          <w:p w14:paraId="19F1B771">
            <w:pPr>
              <w:pStyle w:val="14"/>
              <w:pageBreakBefore w:val="0"/>
              <w:kinsoku/>
              <w:wordWrap/>
              <w:overflowPunct/>
              <w:topLinePunct w:val="0"/>
              <w:bidi w:val="0"/>
              <w:spacing w:line="440" w:lineRule="exact"/>
              <w:ind w:firstLine="474" w:firstLineChars="225"/>
              <w:rPr>
                <w:rFonts w:hint="default" w:ascii="Times New Roman" w:hAnsi="Times New Roman" w:eastAsia="宋体" w:cs="Times New Roman"/>
                <w:sz w:val="21"/>
                <w:szCs w:val="21"/>
                <w:highlight w:val="none"/>
              </w:rPr>
            </w:pPr>
          </w:p>
        </w:tc>
      </w:tr>
      <w:tr w14:paraId="1340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29" w:type="dxa"/>
            <w:vAlign w:val="center"/>
          </w:tcPr>
          <w:p w14:paraId="0C6938B3">
            <w:pPr>
              <w:pStyle w:val="14"/>
              <w:pageBreakBefore w:val="0"/>
              <w:kinsoku/>
              <w:wordWrap/>
              <w:overflowPunct/>
              <w:topLinePunct w:val="0"/>
              <w:bidi w:val="0"/>
              <w:ind w:firstLine="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投标标的是否全部由小微企业提供</w:t>
            </w:r>
          </w:p>
        </w:tc>
        <w:tc>
          <w:tcPr>
            <w:tcW w:w="4872" w:type="dxa"/>
            <w:vAlign w:val="center"/>
          </w:tcPr>
          <w:p w14:paraId="7FA1D99D">
            <w:pPr>
              <w:pStyle w:val="14"/>
              <w:pageBreakBefore w:val="0"/>
              <w:kinsoku/>
              <w:wordWrap/>
              <w:overflowPunct/>
              <w:topLinePunct w:val="0"/>
              <w:bidi w:val="0"/>
              <w:ind w:firstLine="474" w:firstLineChars="225"/>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zh-CN"/>
              </w:rPr>
              <w:t>填写“是”或“否</w:t>
            </w:r>
            <w:r>
              <w:rPr>
                <w:rFonts w:hint="default" w:ascii="Times New Roman" w:hAnsi="Times New Roman" w:eastAsia="宋体" w:cs="Times New Roman"/>
                <w:sz w:val="21"/>
                <w:szCs w:val="21"/>
                <w:highlight w:val="none"/>
              </w:rPr>
              <w:t>）</w:t>
            </w:r>
          </w:p>
        </w:tc>
        <w:tc>
          <w:tcPr>
            <w:tcW w:w="1639" w:type="dxa"/>
            <w:vAlign w:val="center"/>
          </w:tcPr>
          <w:p w14:paraId="4F07BE4F">
            <w:pPr>
              <w:pStyle w:val="14"/>
              <w:pageBreakBefore w:val="0"/>
              <w:kinsoku/>
              <w:wordWrap/>
              <w:overflowPunct/>
              <w:topLinePunct w:val="0"/>
              <w:bidi w:val="0"/>
              <w:ind w:firstLine="474" w:firstLineChars="225"/>
              <w:rPr>
                <w:rFonts w:hint="default" w:ascii="Times New Roman" w:hAnsi="Times New Roman" w:eastAsia="宋体" w:cs="Times New Roman"/>
                <w:sz w:val="21"/>
                <w:szCs w:val="21"/>
                <w:highlight w:val="none"/>
              </w:rPr>
            </w:pPr>
          </w:p>
        </w:tc>
      </w:tr>
    </w:tbl>
    <w:p w14:paraId="623D65E2">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1DE4E35A">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供应商（盖章）：</w:t>
      </w:r>
      <w:r>
        <w:rPr>
          <w:rFonts w:hint="default" w:ascii="Times New Roman" w:hAnsi="Times New Roman" w:eastAsia="宋体" w:cs="Times New Roman"/>
          <w:szCs w:val="21"/>
          <w:highlight w:val="none"/>
          <w:u w:val="single"/>
        </w:rPr>
        <w:t>                             </w:t>
      </w:r>
    </w:p>
    <w:p w14:paraId="110BDADE">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法定代表人或授权代表（签字）：</w:t>
      </w:r>
      <w:r>
        <w:rPr>
          <w:rFonts w:hint="default" w:ascii="Times New Roman" w:hAnsi="Times New Roman" w:eastAsia="宋体" w:cs="Times New Roman"/>
          <w:szCs w:val="21"/>
          <w:highlight w:val="none"/>
          <w:u w:val="single"/>
        </w:rPr>
        <w:t>                              </w:t>
      </w:r>
    </w:p>
    <w:p w14:paraId="7326508C">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说明：</w:t>
      </w:r>
    </w:p>
    <w:p w14:paraId="0368CE1C">
      <w:pPr>
        <w:pageBreakBefore w:val="0"/>
        <w:widowControl/>
        <w:shd w:val="clear" w:color="auto" w:fill="FFFFFF"/>
        <w:kinsoku/>
        <w:wordWrap/>
        <w:overflowPunct/>
        <w:topLinePunct w:val="0"/>
        <w:bidi w:val="0"/>
        <w:spacing w:line="360" w:lineRule="auto"/>
        <w:ind w:firstLine="422" w:firstLineChars="200"/>
        <w:jc w:val="left"/>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1、本项目仅接受一个价格，不得填报有选择性报价方案。若有优惠条款须注明，但不得影响报价，影响产品整体功能。</w:t>
      </w:r>
    </w:p>
    <w:p w14:paraId="3D430815">
      <w:pPr>
        <w:pageBreakBefore w:val="0"/>
        <w:kinsoku/>
        <w:wordWrap/>
        <w:overflowPunct/>
        <w:topLinePunct w:val="0"/>
        <w:autoSpaceDE w:val="0"/>
        <w:autoSpaceDN w:val="0"/>
        <w:bidi w:val="0"/>
        <w:adjustRightInd w:val="0"/>
        <w:spacing w:line="360" w:lineRule="auto"/>
        <w:ind w:firstLine="420"/>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2、“投标标的是否全部由小微企业提供</w:t>
      </w:r>
      <w:r>
        <w:rPr>
          <w:rFonts w:hint="default" w:ascii="Times New Roman" w:hAnsi="Times New Roman" w:eastAsia="宋体" w:cs="Times New Roman"/>
          <w:b/>
          <w:bCs/>
          <w:szCs w:val="21"/>
          <w:highlight w:val="none"/>
          <w:lang w:val="zh-CN"/>
        </w:rPr>
        <w:t>”栏内填写“是”或“否”。如填写“是”，</w:t>
      </w:r>
      <w:r>
        <w:rPr>
          <w:rFonts w:hint="default" w:ascii="Times New Roman" w:hAnsi="Times New Roman" w:eastAsia="宋体" w:cs="Times New Roman"/>
          <w:b/>
          <w:bCs/>
          <w:szCs w:val="21"/>
          <w:highlight w:val="none"/>
        </w:rPr>
        <w:t>供应商应按招标文件要求提供《中小企业声明函》、《残疾人福利性单位声明函》、《属于监狱企业的证明文件》。如未按要求提供、填写，或相关内容表述不清前后矛盾的，不享受价格扣除。</w:t>
      </w:r>
    </w:p>
    <w:p w14:paraId="2AB3D902">
      <w:pPr>
        <w:pageBreakBefore w:val="0"/>
        <w:kinsoku/>
        <w:wordWrap/>
        <w:overflowPunct/>
        <w:topLinePunct w:val="0"/>
        <w:bidi w:val="0"/>
        <w:rPr>
          <w:rFonts w:hint="default" w:ascii="Times New Roman" w:hAnsi="Times New Roman" w:eastAsia="宋体" w:cs="Times New Roman"/>
          <w:b/>
          <w:bCs/>
          <w:szCs w:val="21"/>
          <w:highlight w:val="none"/>
          <w:lang w:val="zh-CN"/>
        </w:rPr>
      </w:pPr>
      <w:r>
        <w:rPr>
          <w:rFonts w:hint="default" w:ascii="Times New Roman" w:hAnsi="Times New Roman" w:eastAsia="宋体" w:cs="Times New Roman"/>
          <w:b/>
          <w:bCs/>
          <w:szCs w:val="21"/>
          <w:highlight w:val="none"/>
          <w:lang w:val="zh-CN"/>
        </w:rPr>
        <w:br w:type="page"/>
      </w:r>
    </w:p>
    <w:p w14:paraId="437FDCC3">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b/>
          <w:bCs/>
          <w:szCs w:val="21"/>
          <w:highlight w:val="none"/>
          <w:lang w:val="zh-CN"/>
        </w:rPr>
      </w:pPr>
      <w:r>
        <w:rPr>
          <w:rFonts w:hint="default" w:ascii="Times New Roman" w:hAnsi="Times New Roman" w:eastAsia="宋体" w:cs="Times New Roman"/>
          <w:b/>
          <w:bCs/>
          <w:szCs w:val="21"/>
          <w:highlight w:val="none"/>
          <w:lang w:val="zh-CN"/>
        </w:rPr>
        <w:t>附件四、分项报价表格式</w:t>
      </w:r>
      <w:bookmarkEnd w:id="156"/>
    </w:p>
    <w:p w14:paraId="1B450965">
      <w:pPr>
        <w:pageBreakBefore w:val="0"/>
        <w:widowControl/>
        <w:kinsoku/>
        <w:wordWrap/>
        <w:overflowPunct/>
        <w:topLinePunct w:val="0"/>
        <w:bidi w:val="0"/>
        <w:spacing w:line="240" w:lineRule="atLeast"/>
        <w:jc w:val="left"/>
        <w:rPr>
          <w:rFonts w:hint="default" w:ascii="Times New Roman" w:hAnsi="Times New Roman" w:eastAsia="宋体" w:cs="Times New Roman"/>
          <w:b/>
          <w:bCs/>
          <w:highlight w:val="none"/>
          <w:lang w:val="zh-CN"/>
        </w:rPr>
      </w:pPr>
    </w:p>
    <w:p w14:paraId="42863864">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分项报价表</w:t>
      </w:r>
    </w:p>
    <w:p w14:paraId="322E1FDB">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ind w:firstLine="480"/>
        <w:jc w:val="center"/>
        <w:outlineLvl w:val="3"/>
        <w:rPr>
          <w:rFonts w:hint="default" w:ascii="Times New Roman" w:hAnsi="Times New Roman" w:eastAsia="宋体" w:cs="Times New Roman"/>
          <w:highlight w:val="none"/>
        </w:rPr>
      </w:pPr>
      <w:r>
        <w:rPr>
          <w:rFonts w:hint="default" w:ascii="Times New Roman" w:hAnsi="Times New Roman" w:eastAsia="宋体" w:cs="Times New Roman"/>
          <w:b/>
          <w:highlight w:val="none"/>
        </w:rPr>
        <w:t>（请严格按照第四章 采购需求中所列清单逐项报价）</w:t>
      </w:r>
    </w:p>
    <w:p w14:paraId="2E88F1FF">
      <w:pPr>
        <w:pageBreakBefore w:val="0"/>
        <w:pBdr>
          <w:top w:val="none" w:color="000000" w:sz="0" w:space="0"/>
          <w:left w:val="none" w:color="000000" w:sz="0" w:space="0"/>
          <w:bottom w:val="none" w:color="000000" w:sz="0" w:space="0"/>
          <w:right w:val="none" w:color="000000" w:sz="0" w:space="0"/>
        </w:pBdr>
        <w:shd w:val="clear" w:color="FFFFFF" w:fill="FFFFFF"/>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 </w:t>
      </w:r>
    </w:p>
    <w:p w14:paraId="56B88A85">
      <w:pPr>
        <w:pageBreakBefore w:val="0"/>
        <w:pBdr>
          <w:top w:val="none" w:color="000000" w:sz="0" w:space="0"/>
          <w:left w:val="none" w:color="000000" w:sz="0" w:space="0"/>
          <w:bottom w:val="none" w:color="000000" w:sz="0" w:space="0"/>
          <w:right w:val="none" w:color="000000" w:sz="0" w:space="0"/>
        </w:pBdr>
        <w:shd w:val="clear" w:color="FFFFFF" w:fill="FFFFFF"/>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供应商（盖章）：</w:t>
      </w:r>
      <w:r>
        <w:rPr>
          <w:rFonts w:hint="default" w:ascii="Times New Roman" w:hAnsi="Times New Roman" w:eastAsia="宋体" w:cs="Times New Roman"/>
          <w:highlight w:val="none"/>
          <w:u w:val="single"/>
        </w:rPr>
        <w:t>                             </w:t>
      </w:r>
    </w:p>
    <w:p w14:paraId="00A6E3B7">
      <w:pPr>
        <w:pageBreakBefore w:val="0"/>
        <w:pBdr>
          <w:top w:val="none" w:color="000000" w:sz="0" w:space="0"/>
          <w:left w:val="none" w:color="000000" w:sz="0" w:space="0"/>
          <w:bottom w:val="none" w:color="000000" w:sz="0" w:space="0"/>
          <w:right w:val="none" w:color="000000" w:sz="0" w:space="0"/>
        </w:pBdr>
        <w:shd w:val="clear" w:color="FFFFFF" w:fill="FFFFFF"/>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日期：年月日</w:t>
      </w:r>
    </w:p>
    <w:p w14:paraId="1D7A9D54">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clear="all"/>
      </w:r>
    </w:p>
    <w:p w14:paraId="03F25BB0">
      <w:pPr>
        <w:pageBreakBefore w:val="0"/>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附件五、采购需求偏离表格式</w:t>
      </w:r>
    </w:p>
    <w:p w14:paraId="03B42873">
      <w:pPr>
        <w:pageBreakBefore w:val="0"/>
        <w:widowControl/>
        <w:shd w:val="clear" w:color="auto" w:fill="FFFFFF"/>
        <w:kinsoku/>
        <w:wordWrap/>
        <w:overflowPunct/>
        <w:topLinePunct w:val="0"/>
        <w:bidi w:val="0"/>
        <w:spacing w:line="360" w:lineRule="auto"/>
        <w:ind w:left="435"/>
        <w:jc w:val="left"/>
        <w:rPr>
          <w:rFonts w:hint="default" w:ascii="Times New Roman" w:hAnsi="Times New Roman" w:eastAsia="宋体" w:cs="Times New Roman"/>
          <w:szCs w:val="21"/>
          <w:highlight w:val="none"/>
        </w:rPr>
      </w:pPr>
    </w:p>
    <w:p w14:paraId="318073C5">
      <w:pPr>
        <w:pageBreakBefore w:val="0"/>
        <w:widowControl/>
        <w:shd w:val="clear" w:color="auto" w:fill="FFFFFF"/>
        <w:kinsoku/>
        <w:wordWrap/>
        <w:overflowPunct/>
        <w:topLinePunct w:val="0"/>
        <w:bidi w:val="0"/>
        <w:spacing w:line="360" w:lineRule="auto"/>
        <w:ind w:left="420"/>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 w:val="36"/>
          <w:szCs w:val="36"/>
          <w:highlight w:val="none"/>
        </w:rPr>
        <w:t>采购需求偏离表</w:t>
      </w:r>
    </w:p>
    <w:p w14:paraId="27E6204D">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4271EFFE">
      <w:pPr>
        <w:pageBreakBefore w:val="0"/>
        <w:widowControl/>
        <w:tabs>
          <w:tab w:val="left" w:pos="5397"/>
        </w:tabs>
        <w:kinsoku/>
        <w:wordWrap/>
        <w:overflowPunct/>
        <w:topLinePunct w:val="0"/>
        <w:bidi w:val="0"/>
        <w:spacing w:line="360" w:lineRule="auto"/>
        <w:ind w:firstLine="84"/>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项目名称：</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t>项目编号：  </w:t>
      </w:r>
    </w:p>
    <w:tbl>
      <w:tblPr>
        <w:tblStyle w:val="4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6"/>
        <w:gridCol w:w="1641"/>
        <w:gridCol w:w="1887"/>
        <w:gridCol w:w="2945"/>
        <w:gridCol w:w="1218"/>
      </w:tblGrid>
      <w:tr w14:paraId="58E3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2810C671">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序号</w:t>
            </w:r>
          </w:p>
        </w:tc>
        <w:tc>
          <w:tcPr>
            <w:tcW w:w="986" w:type="pct"/>
            <w:tcMar>
              <w:top w:w="0" w:type="dxa"/>
              <w:left w:w="10" w:type="dxa"/>
              <w:bottom w:w="0" w:type="dxa"/>
              <w:right w:w="10" w:type="dxa"/>
            </w:tcMar>
            <w:vAlign w:val="center"/>
          </w:tcPr>
          <w:p w14:paraId="2699B312">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招标文件条目号</w:t>
            </w:r>
          </w:p>
        </w:tc>
        <w:tc>
          <w:tcPr>
            <w:tcW w:w="1134" w:type="pct"/>
            <w:tcMar>
              <w:top w:w="0" w:type="dxa"/>
              <w:left w:w="10" w:type="dxa"/>
              <w:bottom w:w="0" w:type="dxa"/>
              <w:right w:w="10" w:type="dxa"/>
            </w:tcMar>
            <w:vAlign w:val="center"/>
          </w:tcPr>
          <w:p w14:paraId="71778118">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招标要求规格</w:t>
            </w:r>
          </w:p>
        </w:tc>
        <w:tc>
          <w:tcPr>
            <w:tcW w:w="1770" w:type="pct"/>
            <w:tcMar>
              <w:top w:w="0" w:type="dxa"/>
              <w:left w:w="10" w:type="dxa"/>
              <w:bottom w:w="0" w:type="dxa"/>
              <w:right w:w="10" w:type="dxa"/>
            </w:tcMar>
            <w:vAlign w:val="center"/>
          </w:tcPr>
          <w:p w14:paraId="10A06178">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投标响应</w:t>
            </w:r>
          </w:p>
        </w:tc>
        <w:tc>
          <w:tcPr>
            <w:tcW w:w="732" w:type="pct"/>
            <w:tcMar>
              <w:top w:w="0" w:type="dxa"/>
              <w:left w:w="10" w:type="dxa"/>
              <w:bottom w:w="0" w:type="dxa"/>
              <w:right w:w="10" w:type="dxa"/>
            </w:tcMar>
            <w:vAlign w:val="center"/>
          </w:tcPr>
          <w:p w14:paraId="73C7F3DC">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偏离</w:t>
            </w:r>
          </w:p>
        </w:tc>
      </w:tr>
      <w:tr w14:paraId="055A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1F1F35C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986" w:type="pct"/>
            <w:tcMar>
              <w:top w:w="0" w:type="dxa"/>
              <w:left w:w="10" w:type="dxa"/>
              <w:bottom w:w="0" w:type="dxa"/>
              <w:right w:w="10" w:type="dxa"/>
            </w:tcMar>
            <w:vAlign w:val="center"/>
          </w:tcPr>
          <w:p w14:paraId="0B5F3CC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134" w:type="pct"/>
            <w:tcMar>
              <w:top w:w="0" w:type="dxa"/>
              <w:left w:w="10" w:type="dxa"/>
              <w:bottom w:w="0" w:type="dxa"/>
              <w:right w:w="10" w:type="dxa"/>
            </w:tcMar>
            <w:vAlign w:val="center"/>
          </w:tcPr>
          <w:p w14:paraId="5FAB998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770" w:type="pct"/>
            <w:tcMar>
              <w:top w:w="0" w:type="dxa"/>
              <w:left w:w="10" w:type="dxa"/>
              <w:bottom w:w="0" w:type="dxa"/>
              <w:right w:w="10" w:type="dxa"/>
            </w:tcMar>
            <w:vAlign w:val="center"/>
          </w:tcPr>
          <w:p w14:paraId="552E885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732" w:type="pct"/>
            <w:tcMar>
              <w:top w:w="0" w:type="dxa"/>
              <w:left w:w="10" w:type="dxa"/>
              <w:bottom w:w="0" w:type="dxa"/>
              <w:right w:w="10" w:type="dxa"/>
            </w:tcMar>
            <w:vAlign w:val="center"/>
          </w:tcPr>
          <w:p w14:paraId="753174C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12DC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0A1E472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986" w:type="pct"/>
            <w:tcMar>
              <w:top w:w="0" w:type="dxa"/>
              <w:left w:w="10" w:type="dxa"/>
              <w:bottom w:w="0" w:type="dxa"/>
              <w:right w:w="10" w:type="dxa"/>
            </w:tcMar>
            <w:vAlign w:val="center"/>
          </w:tcPr>
          <w:p w14:paraId="469D747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134" w:type="pct"/>
            <w:tcMar>
              <w:top w:w="0" w:type="dxa"/>
              <w:left w:w="10" w:type="dxa"/>
              <w:bottom w:w="0" w:type="dxa"/>
              <w:right w:w="10" w:type="dxa"/>
            </w:tcMar>
            <w:vAlign w:val="center"/>
          </w:tcPr>
          <w:p w14:paraId="218AFC3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770" w:type="pct"/>
            <w:tcMar>
              <w:top w:w="0" w:type="dxa"/>
              <w:left w:w="10" w:type="dxa"/>
              <w:bottom w:w="0" w:type="dxa"/>
              <w:right w:w="10" w:type="dxa"/>
            </w:tcMar>
            <w:vAlign w:val="center"/>
          </w:tcPr>
          <w:p w14:paraId="6BFB6A4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732" w:type="pct"/>
            <w:tcMar>
              <w:top w:w="0" w:type="dxa"/>
              <w:left w:w="10" w:type="dxa"/>
              <w:bottom w:w="0" w:type="dxa"/>
              <w:right w:w="10" w:type="dxa"/>
            </w:tcMar>
            <w:vAlign w:val="center"/>
          </w:tcPr>
          <w:p w14:paraId="272A0A6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4741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40D147B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986" w:type="pct"/>
            <w:tcMar>
              <w:top w:w="0" w:type="dxa"/>
              <w:left w:w="10" w:type="dxa"/>
              <w:bottom w:w="0" w:type="dxa"/>
              <w:right w:w="10" w:type="dxa"/>
            </w:tcMar>
            <w:vAlign w:val="center"/>
          </w:tcPr>
          <w:p w14:paraId="37B8858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134" w:type="pct"/>
            <w:tcMar>
              <w:top w:w="0" w:type="dxa"/>
              <w:left w:w="10" w:type="dxa"/>
              <w:bottom w:w="0" w:type="dxa"/>
              <w:right w:w="10" w:type="dxa"/>
            </w:tcMar>
            <w:vAlign w:val="center"/>
          </w:tcPr>
          <w:p w14:paraId="3CE679C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770" w:type="pct"/>
            <w:tcMar>
              <w:top w:w="0" w:type="dxa"/>
              <w:left w:w="10" w:type="dxa"/>
              <w:bottom w:w="0" w:type="dxa"/>
              <w:right w:w="10" w:type="dxa"/>
            </w:tcMar>
            <w:vAlign w:val="center"/>
          </w:tcPr>
          <w:p w14:paraId="70DAD84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732" w:type="pct"/>
            <w:tcMar>
              <w:top w:w="0" w:type="dxa"/>
              <w:left w:w="10" w:type="dxa"/>
              <w:bottom w:w="0" w:type="dxa"/>
              <w:right w:w="10" w:type="dxa"/>
            </w:tcMar>
            <w:vAlign w:val="center"/>
          </w:tcPr>
          <w:p w14:paraId="16A807D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038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3AC7463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986" w:type="pct"/>
            <w:tcMar>
              <w:top w:w="0" w:type="dxa"/>
              <w:left w:w="10" w:type="dxa"/>
              <w:bottom w:w="0" w:type="dxa"/>
              <w:right w:w="10" w:type="dxa"/>
            </w:tcMar>
            <w:vAlign w:val="center"/>
          </w:tcPr>
          <w:p w14:paraId="09DE8CD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134" w:type="pct"/>
            <w:tcMar>
              <w:top w:w="0" w:type="dxa"/>
              <w:left w:w="10" w:type="dxa"/>
              <w:bottom w:w="0" w:type="dxa"/>
              <w:right w:w="10" w:type="dxa"/>
            </w:tcMar>
            <w:vAlign w:val="center"/>
          </w:tcPr>
          <w:p w14:paraId="39CD150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770" w:type="pct"/>
            <w:tcMar>
              <w:top w:w="0" w:type="dxa"/>
              <w:left w:w="10" w:type="dxa"/>
              <w:bottom w:w="0" w:type="dxa"/>
              <w:right w:w="10" w:type="dxa"/>
            </w:tcMar>
            <w:vAlign w:val="center"/>
          </w:tcPr>
          <w:p w14:paraId="0BAC84F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2" w:type="pct"/>
            <w:tcMar>
              <w:top w:w="0" w:type="dxa"/>
              <w:left w:w="10" w:type="dxa"/>
              <w:bottom w:w="0" w:type="dxa"/>
              <w:right w:w="10" w:type="dxa"/>
            </w:tcMar>
            <w:vAlign w:val="center"/>
          </w:tcPr>
          <w:p w14:paraId="74769069">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03A2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1E8C6A1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986" w:type="pct"/>
            <w:tcMar>
              <w:top w:w="0" w:type="dxa"/>
              <w:left w:w="10" w:type="dxa"/>
              <w:bottom w:w="0" w:type="dxa"/>
              <w:right w:w="10" w:type="dxa"/>
            </w:tcMar>
            <w:vAlign w:val="center"/>
          </w:tcPr>
          <w:p w14:paraId="0BCF37C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134" w:type="pct"/>
            <w:tcMar>
              <w:top w:w="0" w:type="dxa"/>
              <w:left w:w="10" w:type="dxa"/>
              <w:bottom w:w="0" w:type="dxa"/>
              <w:right w:w="10" w:type="dxa"/>
            </w:tcMar>
            <w:vAlign w:val="center"/>
          </w:tcPr>
          <w:p w14:paraId="279B4F9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770" w:type="pct"/>
            <w:tcMar>
              <w:top w:w="0" w:type="dxa"/>
              <w:left w:w="10" w:type="dxa"/>
              <w:bottom w:w="0" w:type="dxa"/>
              <w:right w:w="10" w:type="dxa"/>
            </w:tcMar>
            <w:vAlign w:val="center"/>
          </w:tcPr>
          <w:p w14:paraId="0C4A2C1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2" w:type="pct"/>
            <w:tcMar>
              <w:top w:w="0" w:type="dxa"/>
              <w:left w:w="10" w:type="dxa"/>
              <w:bottom w:w="0" w:type="dxa"/>
              <w:right w:w="10" w:type="dxa"/>
            </w:tcMar>
            <w:vAlign w:val="center"/>
          </w:tcPr>
          <w:p w14:paraId="1489C04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7614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7E0FD07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986" w:type="pct"/>
            <w:tcMar>
              <w:top w:w="0" w:type="dxa"/>
              <w:left w:w="10" w:type="dxa"/>
              <w:bottom w:w="0" w:type="dxa"/>
              <w:right w:w="10" w:type="dxa"/>
            </w:tcMar>
            <w:vAlign w:val="center"/>
          </w:tcPr>
          <w:p w14:paraId="3FBD64C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134" w:type="pct"/>
            <w:tcMar>
              <w:top w:w="0" w:type="dxa"/>
              <w:left w:w="10" w:type="dxa"/>
              <w:bottom w:w="0" w:type="dxa"/>
              <w:right w:w="10" w:type="dxa"/>
            </w:tcMar>
            <w:vAlign w:val="center"/>
          </w:tcPr>
          <w:p w14:paraId="5FCF464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770" w:type="pct"/>
            <w:tcMar>
              <w:top w:w="0" w:type="dxa"/>
              <w:left w:w="10" w:type="dxa"/>
              <w:bottom w:w="0" w:type="dxa"/>
              <w:right w:w="10" w:type="dxa"/>
            </w:tcMar>
            <w:vAlign w:val="center"/>
          </w:tcPr>
          <w:p w14:paraId="2DC92AC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732" w:type="pct"/>
            <w:tcMar>
              <w:top w:w="0" w:type="dxa"/>
              <w:left w:w="10" w:type="dxa"/>
              <w:bottom w:w="0" w:type="dxa"/>
              <w:right w:w="10" w:type="dxa"/>
            </w:tcMar>
            <w:vAlign w:val="center"/>
          </w:tcPr>
          <w:p w14:paraId="1979F0B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bl>
    <w:p w14:paraId="184BB559">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2B78E496">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说明：</w:t>
      </w:r>
    </w:p>
    <w:p w14:paraId="3466A982">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1、如果行数不够，请自行增加。</w:t>
      </w:r>
    </w:p>
    <w:p w14:paraId="748B0D6F">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2、“偏离”栏应注明“无偏离”或“正偏离”或“负偏离”。</w:t>
      </w:r>
    </w:p>
    <w:p w14:paraId="5E25C249">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供应商应在上表中明确响应文件技术部分与采购文件要求的技术条款偏离情况，如有偏离（包括正偏离和负偏离）,供应商应详细说明，偏离情况详细说明可另页描述，但须在“偏离情况详细说明”栏标注其在响应文件对应的页码，本表不作为供应商对所投项目关于技术条款等详细描述和说明的替代。如果行数不够，请自行增加。</w:t>
      </w:r>
    </w:p>
    <w:p w14:paraId="7E51D2B4">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179A483F">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供应商（盖章）：</w:t>
      </w:r>
      <w:r>
        <w:rPr>
          <w:rFonts w:hint="default" w:ascii="Times New Roman" w:hAnsi="Times New Roman" w:eastAsia="宋体" w:cs="Times New Roman"/>
          <w:szCs w:val="21"/>
          <w:highlight w:val="none"/>
          <w:u w:val="single"/>
        </w:rPr>
        <w:t>                             </w:t>
      </w:r>
    </w:p>
    <w:p w14:paraId="2C957057">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702F7915">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2F75E6CA">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44D43B98">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1CFF0EF0">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7FECDA0F">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3C767F97">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29098D5D">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6E80E387">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61A59B77">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br w:type="page" w:clear="all"/>
      </w:r>
      <w:r>
        <w:rPr>
          <w:rFonts w:hint="default" w:ascii="Times New Roman" w:hAnsi="Times New Roman" w:eastAsia="宋体" w:cs="Times New Roman"/>
          <w:b/>
          <w:bCs/>
          <w:szCs w:val="21"/>
          <w:highlight w:val="none"/>
        </w:rPr>
        <w:t>附件六、商务条款偏离表格式</w:t>
      </w:r>
    </w:p>
    <w:p w14:paraId="294A13F3">
      <w:pPr>
        <w:pageBreakBefore w:val="0"/>
        <w:widowControl/>
        <w:shd w:val="clear" w:color="auto" w:fill="FFFFFF"/>
        <w:kinsoku/>
        <w:wordWrap/>
        <w:overflowPunct/>
        <w:topLinePunct w:val="0"/>
        <w:bidi w:val="0"/>
        <w:spacing w:line="360" w:lineRule="auto"/>
        <w:ind w:firstLine="42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19EC2473">
      <w:pPr>
        <w:pageBreakBefore w:val="0"/>
        <w:widowControl/>
        <w:shd w:val="clear" w:color="auto" w:fill="FFFFFF"/>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 w:val="36"/>
          <w:szCs w:val="36"/>
          <w:highlight w:val="none"/>
        </w:rPr>
        <w:t>商务条款偏离表</w:t>
      </w:r>
    </w:p>
    <w:p w14:paraId="133F1B15">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 w:val="24"/>
          <w:highlight w:val="none"/>
        </w:rPr>
        <w:t> </w:t>
      </w:r>
    </w:p>
    <w:p w14:paraId="76FEBD28">
      <w:pPr>
        <w:pageBreakBefore w:val="0"/>
        <w:widowControl/>
        <w:tabs>
          <w:tab w:val="left" w:pos="5366"/>
        </w:tabs>
        <w:kinsoku/>
        <w:wordWrap/>
        <w:overflowPunct/>
        <w:topLinePunct w:val="0"/>
        <w:bidi w:val="0"/>
        <w:spacing w:line="360" w:lineRule="auto"/>
        <w:ind w:firstLine="96"/>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项目名称：</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t>项目编号：         </w:t>
      </w:r>
    </w:p>
    <w:tbl>
      <w:tblPr>
        <w:tblStyle w:val="48"/>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DB6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5ABA124">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序号</w:t>
            </w:r>
          </w:p>
        </w:tc>
        <w:tc>
          <w:tcPr>
            <w:tcW w:w="1679" w:type="dxa"/>
            <w:tcMar>
              <w:top w:w="0" w:type="dxa"/>
              <w:left w:w="10" w:type="dxa"/>
              <w:bottom w:w="0" w:type="dxa"/>
              <w:right w:w="10" w:type="dxa"/>
            </w:tcMar>
            <w:vAlign w:val="center"/>
          </w:tcPr>
          <w:p w14:paraId="4451B46D">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招标文件条目号</w:t>
            </w:r>
          </w:p>
        </w:tc>
        <w:tc>
          <w:tcPr>
            <w:tcW w:w="2488" w:type="dxa"/>
            <w:tcMar>
              <w:top w:w="0" w:type="dxa"/>
              <w:left w:w="10" w:type="dxa"/>
              <w:bottom w:w="0" w:type="dxa"/>
              <w:right w:w="10" w:type="dxa"/>
            </w:tcMar>
            <w:vAlign w:val="center"/>
          </w:tcPr>
          <w:p w14:paraId="0D8384FB">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招标文件要求的商务条款</w:t>
            </w:r>
          </w:p>
        </w:tc>
        <w:tc>
          <w:tcPr>
            <w:tcW w:w="3004" w:type="dxa"/>
            <w:tcMar>
              <w:top w:w="0" w:type="dxa"/>
              <w:left w:w="10" w:type="dxa"/>
              <w:bottom w:w="0" w:type="dxa"/>
              <w:right w:w="10" w:type="dxa"/>
            </w:tcMar>
            <w:vAlign w:val="center"/>
          </w:tcPr>
          <w:p w14:paraId="09913A53">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投标响应</w:t>
            </w:r>
          </w:p>
        </w:tc>
        <w:tc>
          <w:tcPr>
            <w:tcW w:w="1201" w:type="dxa"/>
            <w:tcMar>
              <w:top w:w="0" w:type="dxa"/>
              <w:left w:w="10" w:type="dxa"/>
              <w:bottom w:w="0" w:type="dxa"/>
              <w:right w:w="10" w:type="dxa"/>
            </w:tcMar>
            <w:vAlign w:val="center"/>
          </w:tcPr>
          <w:p w14:paraId="23772AEA">
            <w:pPr>
              <w:pageBreakBefore w:val="0"/>
              <w:widowControl/>
              <w:kinsoku/>
              <w:wordWrap/>
              <w:overflowPunct/>
              <w:topLinePunct w:val="0"/>
              <w:bidi w:val="0"/>
              <w:spacing w:line="360" w:lineRule="auto"/>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偏离</w:t>
            </w:r>
          </w:p>
        </w:tc>
      </w:tr>
      <w:tr w14:paraId="3805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FCF5EE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679" w:type="dxa"/>
            <w:tcMar>
              <w:top w:w="0" w:type="dxa"/>
              <w:left w:w="10" w:type="dxa"/>
              <w:bottom w:w="0" w:type="dxa"/>
              <w:right w:w="10" w:type="dxa"/>
            </w:tcMar>
            <w:vAlign w:val="center"/>
          </w:tcPr>
          <w:p w14:paraId="117942C1">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2488" w:type="dxa"/>
            <w:tcMar>
              <w:top w:w="0" w:type="dxa"/>
              <w:left w:w="10" w:type="dxa"/>
              <w:bottom w:w="0" w:type="dxa"/>
              <w:right w:w="10" w:type="dxa"/>
            </w:tcMar>
            <w:vAlign w:val="center"/>
          </w:tcPr>
          <w:p w14:paraId="7402905F">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3004" w:type="dxa"/>
            <w:tcMar>
              <w:top w:w="0" w:type="dxa"/>
              <w:left w:w="10" w:type="dxa"/>
              <w:bottom w:w="0" w:type="dxa"/>
              <w:right w:w="10" w:type="dxa"/>
            </w:tcMar>
            <w:vAlign w:val="center"/>
          </w:tcPr>
          <w:p w14:paraId="2169777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201" w:type="dxa"/>
            <w:tcMar>
              <w:top w:w="0" w:type="dxa"/>
              <w:left w:w="10" w:type="dxa"/>
              <w:bottom w:w="0" w:type="dxa"/>
              <w:right w:w="10" w:type="dxa"/>
            </w:tcMar>
            <w:vAlign w:val="center"/>
          </w:tcPr>
          <w:p w14:paraId="6617BEF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58C6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79E637B">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679" w:type="dxa"/>
            <w:tcMar>
              <w:top w:w="0" w:type="dxa"/>
              <w:left w:w="10" w:type="dxa"/>
              <w:bottom w:w="0" w:type="dxa"/>
              <w:right w:w="10" w:type="dxa"/>
            </w:tcMar>
            <w:vAlign w:val="center"/>
          </w:tcPr>
          <w:p w14:paraId="225B348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2488" w:type="dxa"/>
            <w:tcMar>
              <w:top w:w="0" w:type="dxa"/>
              <w:left w:w="10" w:type="dxa"/>
              <w:bottom w:w="0" w:type="dxa"/>
              <w:right w:w="10" w:type="dxa"/>
            </w:tcMar>
            <w:vAlign w:val="center"/>
          </w:tcPr>
          <w:p w14:paraId="1FFA3C5D">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3004" w:type="dxa"/>
            <w:tcMar>
              <w:top w:w="0" w:type="dxa"/>
              <w:left w:w="10" w:type="dxa"/>
              <w:bottom w:w="0" w:type="dxa"/>
              <w:right w:w="10" w:type="dxa"/>
            </w:tcMar>
            <w:vAlign w:val="center"/>
          </w:tcPr>
          <w:p w14:paraId="5DEA8D2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201" w:type="dxa"/>
            <w:tcMar>
              <w:top w:w="0" w:type="dxa"/>
              <w:left w:w="10" w:type="dxa"/>
              <w:bottom w:w="0" w:type="dxa"/>
              <w:right w:w="10" w:type="dxa"/>
            </w:tcMar>
            <w:vAlign w:val="center"/>
          </w:tcPr>
          <w:p w14:paraId="0A361B6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1070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ED7C0D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679" w:type="dxa"/>
            <w:tcMar>
              <w:top w:w="0" w:type="dxa"/>
              <w:left w:w="10" w:type="dxa"/>
              <w:bottom w:w="0" w:type="dxa"/>
              <w:right w:w="10" w:type="dxa"/>
            </w:tcMar>
            <w:vAlign w:val="center"/>
          </w:tcPr>
          <w:p w14:paraId="460CC5A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2488" w:type="dxa"/>
            <w:tcMar>
              <w:top w:w="0" w:type="dxa"/>
              <w:left w:w="10" w:type="dxa"/>
              <w:bottom w:w="0" w:type="dxa"/>
              <w:right w:w="10" w:type="dxa"/>
            </w:tcMar>
            <w:vAlign w:val="center"/>
          </w:tcPr>
          <w:p w14:paraId="730671B3">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3004" w:type="dxa"/>
            <w:tcMar>
              <w:top w:w="0" w:type="dxa"/>
              <w:left w:w="10" w:type="dxa"/>
              <w:bottom w:w="0" w:type="dxa"/>
              <w:right w:w="10" w:type="dxa"/>
            </w:tcMar>
            <w:vAlign w:val="center"/>
          </w:tcPr>
          <w:p w14:paraId="5944D36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201" w:type="dxa"/>
            <w:tcMar>
              <w:top w:w="0" w:type="dxa"/>
              <w:left w:w="10" w:type="dxa"/>
              <w:bottom w:w="0" w:type="dxa"/>
              <w:right w:w="10" w:type="dxa"/>
            </w:tcMar>
            <w:vAlign w:val="center"/>
          </w:tcPr>
          <w:p w14:paraId="406F7F3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7149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45B221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679" w:type="dxa"/>
            <w:tcMar>
              <w:top w:w="0" w:type="dxa"/>
              <w:left w:w="10" w:type="dxa"/>
              <w:bottom w:w="0" w:type="dxa"/>
              <w:right w:w="10" w:type="dxa"/>
            </w:tcMar>
            <w:vAlign w:val="center"/>
          </w:tcPr>
          <w:p w14:paraId="77373FC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2488" w:type="dxa"/>
            <w:tcMar>
              <w:top w:w="0" w:type="dxa"/>
              <w:left w:w="10" w:type="dxa"/>
              <w:bottom w:w="0" w:type="dxa"/>
              <w:right w:w="10" w:type="dxa"/>
            </w:tcMar>
            <w:vAlign w:val="center"/>
          </w:tcPr>
          <w:p w14:paraId="1D962EA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3004" w:type="dxa"/>
            <w:tcMar>
              <w:top w:w="0" w:type="dxa"/>
              <w:left w:w="10" w:type="dxa"/>
              <w:bottom w:w="0" w:type="dxa"/>
              <w:right w:w="10" w:type="dxa"/>
            </w:tcMar>
            <w:vAlign w:val="center"/>
          </w:tcPr>
          <w:p w14:paraId="258783A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201" w:type="dxa"/>
            <w:tcMar>
              <w:top w:w="0" w:type="dxa"/>
              <w:left w:w="10" w:type="dxa"/>
              <w:bottom w:w="0" w:type="dxa"/>
              <w:right w:w="10" w:type="dxa"/>
            </w:tcMar>
            <w:vAlign w:val="center"/>
          </w:tcPr>
          <w:p w14:paraId="5AD3254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498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B26946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679" w:type="dxa"/>
            <w:tcMar>
              <w:top w:w="0" w:type="dxa"/>
              <w:left w:w="10" w:type="dxa"/>
              <w:bottom w:w="0" w:type="dxa"/>
              <w:right w:w="10" w:type="dxa"/>
            </w:tcMar>
            <w:vAlign w:val="center"/>
          </w:tcPr>
          <w:p w14:paraId="0217A75C">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2488" w:type="dxa"/>
            <w:tcMar>
              <w:top w:w="0" w:type="dxa"/>
              <w:left w:w="10" w:type="dxa"/>
              <w:bottom w:w="0" w:type="dxa"/>
              <w:right w:w="10" w:type="dxa"/>
            </w:tcMar>
            <w:vAlign w:val="center"/>
          </w:tcPr>
          <w:p w14:paraId="607C1E88">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3004" w:type="dxa"/>
            <w:tcMar>
              <w:top w:w="0" w:type="dxa"/>
              <w:left w:w="10" w:type="dxa"/>
              <w:bottom w:w="0" w:type="dxa"/>
              <w:right w:w="10" w:type="dxa"/>
            </w:tcMar>
            <w:vAlign w:val="center"/>
          </w:tcPr>
          <w:p w14:paraId="14AC246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c>
          <w:tcPr>
            <w:tcW w:w="1201" w:type="dxa"/>
            <w:tcMar>
              <w:top w:w="0" w:type="dxa"/>
              <w:left w:w="10" w:type="dxa"/>
              <w:bottom w:w="0" w:type="dxa"/>
              <w:right w:w="10" w:type="dxa"/>
            </w:tcMar>
            <w:vAlign w:val="center"/>
          </w:tcPr>
          <w:p w14:paraId="2AFD112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tc>
      </w:tr>
      <w:tr w14:paraId="4B90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B663EC7">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679" w:type="dxa"/>
            <w:tcMar>
              <w:top w:w="0" w:type="dxa"/>
              <w:left w:w="10" w:type="dxa"/>
              <w:bottom w:w="0" w:type="dxa"/>
              <w:right w:w="10" w:type="dxa"/>
            </w:tcMar>
            <w:vAlign w:val="center"/>
          </w:tcPr>
          <w:p w14:paraId="7C834FE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2488" w:type="dxa"/>
            <w:tcMar>
              <w:top w:w="0" w:type="dxa"/>
              <w:left w:w="10" w:type="dxa"/>
              <w:bottom w:w="0" w:type="dxa"/>
              <w:right w:w="10" w:type="dxa"/>
            </w:tcMar>
            <w:vAlign w:val="center"/>
          </w:tcPr>
          <w:p w14:paraId="549C40A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3004" w:type="dxa"/>
            <w:tcMar>
              <w:top w:w="0" w:type="dxa"/>
              <w:left w:w="10" w:type="dxa"/>
              <w:bottom w:w="0" w:type="dxa"/>
              <w:right w:w="10" w:type="dxa"/>
            </w:tcMar>
            <w:vAlign w:val="center"/>
          </w:tcPr>
          <w:p w14:paraId="096A3A3E">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201" w:type="dxa"/>
            <w:tcMar>
              <w:top w:w="0" w:type="dxa"/>
              <w:left w:w="10" w:type="dxa"/>
              <w:bottom w:w="0" w:type="dxa"/>
              <w:right w:w="10" w:type="dxa"/>
            </w:tcMar>
            <w:vAlign w:val="center"/>
          </w:tcPr>
          <w:p w14:paraId="4B4906A2">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r w14:paraId="5DC9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AA0688A">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679" w:type="dxa"/>
            <w:tcMar>
              <w:top w:w="0" w:type="dxa"/>
              <w:left w:w="10" w:type="dxa"/>
              <w:bottom w:w="0" w:type="dxa"/>
              <w:right w:w="10" w:type="dxa"/>
            </w:tcMar>
            <w:vAlign w:val="center"/>
          </w:tcPr>
          <w:p w14:paraId="76D76240">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2488" w:type="dxa"/>
            <w:tcMar>
              <w:top w:w="0" w:type="dxa"/>
              <w:left w:w="10" w:type="dxa"/>
              <w:bottom w:w="0" w:type="dxa"/>
              <w:right w:w="10" w:type="dxa"/>
            </w:tcMar>
            <w:vAlign w:val="center"/>
          </w:tcPr>
          <w:p w14:paraId="3FE135A6">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3004" w:type="dxa"/>
            <w:tcMar>
              <w:top w:w="0" w:type="dxa"/>
              <w:left w:w="10" w:type="dxa"/>
              <w:bottom w:w="0" w:type="dxa"/>
              <w:right w:w="10" w:type="dxa"/>
            </w:tcMar>
            <w:vAlign w:val="center"/>
          </w:tcPr>
          <w:p w14:paraId="3DD3F9A5">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c>
          <w:tcPr>
            <w:tcW w:w="1201" w:type="dxa"/>
            <w:tcMar>
              <w:top w:w="0" w:type="dxa"/>
              <w:left w:w="10" w:type="dxa"/>
              <w:bottom w:w="0" w:type="dxa"/>
              <w:right w:w="10" w:type="dxa"/>
            </w:tcMar>
            <w:vAlign w:val="center"/>
          </w:tcPr>
          <w:p w14:paraId="081D0EB4">
            <w:pPr>
              <w:pageBreakBefore w:val="0"/>
              <w:widowControl/>
              <w:kinsoku/>
              <w:wordWrap/>
              <w:overflowPunct/>
              <w:topLinePunct w:val="0"/>
              <w:bidi w:val="0"/>
              <w:spacing w:line="360" w:lineRule="auto"/>
              <w:jc w:val="center"/>
              <w:rPr>
                <w:rFonts w:hint="default" w:ascii="Times New Roman" w:hAnsi="Times New Roman" w:eastAsia="宋体" w:cs="Times New Roman"/>
                <w:szCs w:val="21"/>
                <w:highlight w:val="none"/>
              </w:rPr>
            </w:pPr>
          </w:p>
        </w:tc>
      </w:tr>
    </w:tbl>
    <w:p w14:paraId="741436A3">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7A37D637">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说明：存在正偏离或无偏离或负偏离的，请在本表中逐条列出。未列出的，也视为响应招标文件要求，无偏离。如果行数不够，请自行增加。</w:t>
      </w:r>
    </w:p>
    <w:p w14:paraId="45C0438A">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4EFF6786">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37336821">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4A2E9BC5">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791AAFFA">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供应商（盖章）：</w:t>
      </w:r>
      <w:r>
        <w:rPr>
          <w:rFonts w:hint="default" w:ascii="Times New Roman" w:hAnsi="Times New Roman" w:eastAsia="宋体" w:cs="Times New Roman"/>
          <w:szCs w:val="21"/>
          <w:highlight w:val="none"/>
          <w:u w:val="single"/>
        </w:rPr>
        <w:t>                             </w:t>
      </w:r>
    </w:p>
    <w:p w14:paraId="0FDDFABE">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51E8F44F">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70F157C2">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w:t>
      </w:r>
    </w:p>
    <w:p w14:paraId="75C09E3E">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79839898">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b/>
          <w:szCs w:val="21"/>
          <w:highlight w:val="none"/>
          <w:lang w:val="zh-CN"/>
        </w:rPr>
      </w:pPr>
      <w:r>
        <w:rPr>
          <w:rFonts w:hint="default" w:ascii="Times New Roman" w:hAnsi="Times New Roman" w:eastAsia="宋体" w:cs="Times New Roman"/>
          <w:b/>
          <w:bCs/>
          <w:szCs w:val="21"/>
          <w:highlight w:val="none"/>
        </w:rPr>
        <w:br w:type="page" w:clear="all"/>
      </w:r>
      <w:r>
        <w:rPr>
          <w:rFonts w:hint="default" w:ascii="Times New Roman" w:hAnsi="Times New Roman" w:eastAsia="宋体" w:cs="Times New Roman"/>
          <w:b/>
          <w:bCs/>
          <w:szCs w:val="21"/>
          <w:highlight w:val="none"/>
        </w:rPr>
        <w:t>附件七、</w:t>
      </w:r>
      <w:r>
        <w:rPr>
          <w:rFonts w:hint="default" w:ascii="Times New Roman" w:hAnsi="Times New Roman" w:eastAsia="宋体" w:cs="Times New Roman"/>
          <w:b/>
          <w:szCs w:val="21"/>
          <w:highlight w:val="none"/>
          <w:lang w:val="zh-CN"/>
        </w:rPr>
        <w:t>技术方案</w:t>
      </w:r>
    </w:p>
    <w:p w14:paraId="48820AF6">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b/>
          <w:szCs w:val="21"/>
          <w:highlight w:val="none"/>
          <w:lang w:val="zh-CN"/>
        </w:rPr>
      </w:pPr>
    </w:p>
    <w:p w14:paraId="416B67B4">
      <w:pPr>
        <w:pageBreakBefore w:val="0"/>
        <w:kinsoku/>
        <w:wordWrap/>
        <w:overflowPunct/>
        <w:topLinePunct w:val="0"/>
        <w:bidi w:val="0"/>
        <w:spacing w:line="360" w:lineRule="auto"/>
        <w:jc w:val="left"/>
        <w:rPr>
          <w:rFonts w:hint="default" w:ascii="Times New Roman" w:hAnsi="Times New Roman" w:eastAsia="宋体" w:cs="Times New Roman"/>
          <w:kern w:val="2"/>
          <w:szCs w:val="21"/>
          <w:highlight w:val="none"/>
        </w:rPr>
      </w:pPr>
      <w:r>
        <w:rPr>
          <w:rFonts w:hint="default" w:ascii="Times New Roman" w:hAnsi="Times New Roman" w:eastAsia="宋体" w:cs="Times New Roman"/>
          <w:kern w:val="2"/>
          <w:szCs w:val="21"/>
          <w:highlight w:val="none"/>
        </w:rPr>
        <w:t>技术方案应根据采购人对项目的要求、评标标准的要求及项目本身的特点编写。</w:t>
      </w:r>
    </w:p>
    <w:p w14:paraId="507641D3">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 </w:t>
      </w:r>
    </w:p>
    <w:p w14:paraId="63C828E5">
      <w:pPr>
        <w:pageBreakBefore w:val="0"/>
        <w:widowControl/>
        <w:kinsoku/>
        <w:wordWrap/>
        <w:overflowPunct/>
        <w:topLinePunct w:val="0"/>
        <w:bidi w:val="0"/>
        <w:spacing w:line="460" w:lineRule="atLeast"/>
        <w:rPr>
          <w:rFonts w:hint="default" w:ascii="Times New Roman" w:hAnsi="Times New Roman" w:eastAsia="宋体" w:cs="Times New Roman"/>
          <w:b/>
          <w:bCs/>
          <w:sz w:val="24"/>
          <w:highlight w:val="none"/>
        </w:rPr>
      </w:pPr>
      <w:r>
        <w:rPr>
          <w:rFonts w:hint="default" w:ascii="Times New Roman" w:hAnsi="Times New Roman" w:eastAsia="宋体" w:cs="Times New Roman"/>
          <w:highlight w:val="none"/>
        </w:rPr>
        <w:br w:type="page" w:clear="all"/>
      </w:r>
      <w:r>
        <w:rPr>
          <w:rFonts w:hint="default" w:ascii="Times New Roman" w:hAnsi="Times New Roman" w:eastAsia="宋体" w:cs="Times New Roman"/>
          <w:b/>
          <w:bCs/>
          <w:sz w:val="24"/>
          <w:highlight w:val="none"/>
        </w:rPr>
        <w:t>附件八、拟参与本项目服务人员一览表</w:t>
      </w:r>
    </w:p>
    <w:p w14:paraId="10D5D2F4">
      <w:pPr>
        <w:pageBreakBefore w:val="0"/>
        <w:widowControl/>
        <w:kinsoku/>
        <w:wordWrap/>
        <w:overflowPunct/>
        <w:topLinePunct w:val="0"/>
        <w:bidi w:val="0"/>
        <w:spacing w:line="460" w:lineRule="atLeast"/>
        <w:rPr>
          <w:rFonts w:hint="default" w:ascii="Times New Roman" w:hAnsi="Times New Roman" w:eastAsia="宋体" w:cs="Times New Roman"/>
          <w:b/>
          <w:bCs/>
          <w:sz w:val="24"/>
          <w:highlight w:val="none"/>
        </w:rPr>
      </w:pPr>
    </w:p>
    <w:p w14:paraId="760A947B">
      <w:pPr>
        <w:pageBreakBefore w:val="0"/>
        <w:widowControl/>
        <w:kinsoku/>
        <w:wordWrap/>
        <w:overflowPunct/>
        <w:topLinePunct w:val="0"/>
        <w:bidi w:val="0"/>
        <w:jc w:val="center"/>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拟参与本项目服务人员一览表</w:t>
      </w:r>
    </w:p>
    <w:p w14:paraId="0EEF3B95">
      <w:pPr>
        <w:pageBreakBefore w:val="0"/>
        <w:widowControl/>
        <w:kinsoku/>
        <w:wordWrap/>
        <w:overflowPunct/>
        <w:topLinePunct w:val="0"/>
        <w:bidi w:val="0"/>
        <w:jc w:val="center"/>
        <w:rPr>
          <w:rFonts w:hint="default" w:ascii="Times New Roman" w:hAnsi="Times New Roman" w:eastAsia="宋体" w:cs="Times New Roman"/>
          <w:b/>
          <w:bCs/>
          <w:sz w:val="24"/>
          <w:highlight w:val="none"/>
        </w:rPr>
      </w:pPr>
    </w:p>
    <w:p w14:paraId="0ACD7137">
      <w:pPr>
        <w:pageBreakBefore w:val="0"/>
        <w:widowControl/>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项目名称：                                 项目编号：</w:t>
      </w:r>
    </w:p>
    <w:tbl>
      <w:tblPr>
        <w:tblStyle w:val="48"/>
        <w:tblW w:w="9277" w:type="dxa"/>
        <w:jc w:val="center"/>
        <w:tblLayout w:type="fixed"/>
        <w:tblCellMar>
          <w:top w:w="0" w:type="dxa"/>
          <w:left w:w="108" w:type="dxa"/>
          <w:bottom w:w="0" w:type="dxa"/>
          <w:right w:w="108" w:type="dxa"/>
        </w:tblCellMar>
      </w:tblPr>
      <w:tblGrid>
        <w:gridCol w:w="960"/>
        <w:gridCol w:w="2334"/>
        <w:gridCol w:w="1482"/>
        <w:gridCol w:w="1202"/>
        <w:gridCol w:w="1421"/>
        <w:gridCol w:w="1878"/>
      </w:tblGrid>
      <w:tr w14:paraId="66ED1717">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67CF34C">
            <w:pPr>
              <w:pageBreakBefore w:val="0"/>
              <w:widowControl/>
              <w:kinsoku/>
              <w:wordWrap/>
              <w:overflowPunct/>
              <w:topLinePunct w:val="0"/>
              <w:bidi w:val="0"/>
              <w:adjustRightInd w:val="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序号</w:t>
            </w:r>
          </w:p>
        </w:tc>
        <w:tc>
          <w:tcPr>
            <w:tcW w:w="2334" w:type="dxa"/>
            <w:tcBorders>
              <w:top w:val="single" w:color="000000" w:sz="4" w:space="0"/>
              <w:left w:val="nil"/>
              <w:bottom w:val="single" w:color="000000" w:sz="4" w:space="0"/>
              <w:right w:val="single" w:color="000000" w:sz="4" w:space="0"/>
            </w:tcBorders>
            <w:vAlign w:val="center"/>
          </w:tcPr>
          <w:p w14:paraId="028E5373">
            <w:pPr>
              <w:pageBreakBefore w:val="0"/>
              <w:widowControl/>
              <w:kinsoku/>
              <w:wordWrap/>
              <w:overflowPunct/>
              <w:topLinePunct w:val="0"/>
              <w:bidi w:val="0"/>
              <w:adjustRightInd w:val="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姓名</w:t>
            </w:r>
          </w:p>
        </w:tc>
        <w:tc>
          <w:tcPr>
            <w:tcW w:w="1482" w:type="dxa"/>
            <w:tcBorders>
              <w:top w:val="single" w:color="000000" w:sz="4" w:space="0"/>
              <w:left w:val="nil"/>
              <w:bottom w:val="single" w:color="000000" w:sz="4" w:space="0"/>
              <w:right w:val="single" w:color="000000" w:sz="4" w:space="0"/>
            </w:tcBorders>
            <w:vAlign w:val="center"/>
          </w:tcPr>
          <w:p w14:paraId="29241608">
            <w:pPr>
              <w:pageBreakBefore w:val="0"/>
              <w:widowControl/>
              <w:kinsoku/>
              <w:wordWrap/>
              <w:overflowPunct/>
              <w:topLinePunct w:val="0"/>
              <w:bidi w:val="0"/>
              <w:adjustRightInd w:val="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性别</w:t>
            </w:r>
          </w:p>
        </w:tc>
        <w:tc>
          <w:tcPr>
            <w:tcW w:w="1202" w:type="dxa"/>
            <w:tcBorders>
              <w:top w:val="single" w:color="000000" w:sz="4" w:space="0"/>
              <w:left w:val="nil"/>
              <w:bottom w:val="single" w:color="000000" w:sz="4" w:space="0"/>
              <w:right w:val="single" w:color="000000" w:sz="4" w:space="0"/>
            </w:tcBorders>
            <w:vAlign w:val="center"/>
          </w:tcPr>
          <w:p w14:paraId="686DEDAC">
            <w:pPr>
              <w:pageBreakBefore w:val="0"/>
              <w:widowControl/>
              <w:kinsoku/>
              <w:wordWrap/>
              <w:overflowPunct/>
              <w:topLinePunct w:val="0"/>
              <w:bidi w:val="0"/>
              <w:adjustRightInd w:val="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专业</w:t>
            </w:r>
          </w:p>
        </w:tc>
        <w:tc>
          <w:tcPr>
            <w:tcW w:w="1421" w:type="dxa"/>
            <w:tcBorders>
              <w:top w:val="single" w:color="000000" w:sz="4" w:space="0"/>
              <w:left w:val="nil"/>
              <w:bottom w:val="single" w:color="000000" w:sz="4" w:space="0"/>
              <w:right w:val="single" w:color="000000" w:sz="4" w:space="0"/>
            </w:tcBorders>
            <w:vAlign w:val="center"/>
          </w:tcPr>
          <w:p w14:paraId="5C43DC3D">
            <w:pPr>
              <w:pageBreakBefore w:val="0"/>
              <w:widowControl/>
              <w:kinsoku/>
              <w:wordWrap/>
              <w:overflowPunct/>
              <w:topLinePunct w:val="0"/>
              <w:bidi w:val="0"/>
              <w:adjustRightInd w:val="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证书</w:t>
            </w:r>
          </w:p>
        </w:tc>
        <w:tc>
          <w:tcPr>
            <w:tcW w:w="1878" w:type="dxa"/>
            <w:tcBorders>
              <w:top w:val="single" w:color="000000" w:sz="4" w:space="0"/>
              <w:left w:val="nil"/>
              <w:bottom w:val="single" w:color="000000" w:sz="4" w:space="0"/>
              <w:right w:val="single" w:color="000000" w:sz="4" w:space="0"/>
            </w:tcBorders>
            <w:vAlign w:val="center"/>
          </w:tcPr>
          <w:p w14:paraId="3264FA8F">
            <w:pPr>
              <w:pageBreakBefore w:val="0"/>
              <w:widowControl/>
              <w:kinsoku/>
              <w:wordWrap/>
              <w:overflowPunct/>
              <w:topLinePunct w:val="0"/>
              <w:bidi w:val="0"/>
              <w:adjustRightInd w:val="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备注</w:t>
            </w:r>
          </w:p>
        </w:tc>
      </w:tr>
      <w:tr w14:paraId="27244FBF">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309BB0B6">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5FD70A69">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57B7453F">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2CE85954">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68B7C46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6CF5A769">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5D076EEE">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37141BBE">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19791B32">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56151877">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02587C2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179EAAE0">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3D0DFF49">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5130A85C">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01379162">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4BD105D0">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2CD8D2A8">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15165106">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142F0C6E">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6BFC82BE">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66D2A5D3">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52B7BCA5">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6DCCDD0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6747721C">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3AF19B07">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61D522DF">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48A7C237">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1BDB9C4E">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3A30746E">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6FEF8590">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52E3CAD7">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07E978BE">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22C9D450">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33E2B8E3">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488B8995">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53082CE2">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7BAEBE0D">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79BE04C3">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09C9996A">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160F32A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60160A07">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5EB9D41B">
        <w:tblPrEx>
          <w:tblCellMar>
            <w:top w:w="0" w:type="dxa"/>
            <w:left w:w="108" w:type="dxa"/>
            <w:bottom w:w="0" w:type="dxa"/>
            <w:right w:w="108" w:type="dxa"/>
          </w:tblCellMar>
        </w:tblPrEx>
        <w:trPr>
          <w:trHeight w:val="385"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2C29E735">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5E979A1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78FE78C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556B8A9C">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19B15E50">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447BDC28">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r w14:paraId="6C227420">
        <w:tblPrEx>
          <w:tblCellMar>
            <w:top w:w="0" w:type="dxa"/>
            <w:left w:w="108" w:type="dxa"/>
            <w:bottom w:w="0" w:type="dxa"/>
            <w:right w:w="108" w:type="dxa"/>
          </w:tblCellMar>
        </w:tblPrEx>
        <w:trPr>
          <w:trHeight w:val="407" w:hRule="atLeast"/>
          <w:jc w:val="center"/>
        </w:trPr>
        <w:tc>
          <w:tcPr>
            <w:tcW w:w="960" w:type="dxa"/>
            <w:tcBorders>
              <w:top w:val="single" w:color="000000" w:sz="4" w:space="0"/>
              <w:left w:val="single" w:color="000000" w:sz="4" w:space="0"/>
              <w:bottom w:val="single" w:color="000000" w:sz="4" w:space="0"/>
              <w:right w:val="single" w:color="000000" w:sz="4" w:space="0"/>
            </w:tcBorders>
          </w:tcPr>
          <w:p w14:paraId="1A0AE707">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2334" w:type="dxa"/>
            <w:tcBorders>
              <w:top w:val="single" w:color="000000" w:sz="4" w:space="0"/>
              <w:left w:val="nil"/>
              <w:bottom w:val="single" w:color="000000" w:sz="4" w:space="0"/>
              <w:right w:val="single" w:color="000000" w:sz="4" w:space="0"/>
            </w:tcBorders>
          </w:tcPr>
          <w:p w14:paraId="2F4DBB81">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82" w:type="dxa"/>
            <w:tcBorders>
              <w:top w:val="single" w:color="000000" w:sz="4" w:space="0"/>
              <w:left w:val="nil"/>
              <w:bottom w:val="single" w:color="000000" w:sz="4" w:space="0"/>
              <w:right w:val="single" w:color="000000" w:sz="4" w:space="0"/>
            </w:tcBorders>
          </w:tcPr>
          <w:p w14:paraId="541F1409">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202" w:type="dxa"/>
            <w:tcBorders>
              <w:top w:val="single" w:color="000000" w:sz="4" w:space="0"/>
              <w:left w:val="nil"/>
              <w:bottom w:val="single" w:color="000000" w:sz="4" w:space="0"/>
              <w:right w:val="single" w:color="000000" w:sz="4" w:space="0"/>
            </w:tcBorders>
          </w:tcPr>
          <w:p w14:paraId="475084BF">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421" w:type="dxa"/>
            <w:tcBorders>
              <w:top w:val="single" w:color="000000" w:sz="4" w:space="0"/>
              <w:left w:val="nil"/>
              <w:bottom w:val="single" w:color="000000" w:sz="4" w:space="0"/>
              <w:right w:val="single" w:color="000000" w:sz="4" w:space="0"/>
            </w:tcBorders>
          </w:tcPr>
          <w:p w14:paraId="7701674E">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c>
          <w:tcPr>
            <w:tcW w:w="1878" w:type="dxa"/>
            <w:tcBorders>
              <w:top w:val="single" w:color="000000" w:sz="4" w:space="0"/>
              <w:left w:val="nil"/>
              <w:bottom w:val="single" w:color="000000" w:sz="4" w:space="0"/>
              <w:right w:val="single" w:color="000000" w:sz="4" w:space="0"/>
            </w:tcBorders>
          </w:tcPr>
          <w:p w14:paraId="0BE505F6">
            <w:pPr>
              <w:pageBreakBefore w:val="0"/>
              <w:widowControl/>
              <w:kinsoku/>
              <w:wordWrap/>
              <w:overflowPunct/>
              <w:topLinePunct w:val="0"/>
              <w:bidi w:val="0"/>
              <w:adjustRightInd w:val="0"/>
              <w:rPr>
                <w:rFonts w:hint="default" w:ascii="Times New Roman" w:hAnsi="Times New Roman" w:eastAsia="宋体" w:cs="Times New Roman"/>
                <w:szCs w:val="21"/>
                <w:highlight w:val="none"/>
              </w:rPr>
            </w:pPr>
          </w:p>
        </w:tc>
      </w:tr>
    </w:tbl>
    <w:p w14:paraId="00CDCD97">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7254C4F0">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供应商（盖章）：</w:t>
      </w:r>
      <w:r>
        <w:rPr>
          <w:rFonts w:hint="default" w:ascii="Times New Roman" w:hAnsi="Times New Roman" w:eastAsia="宋体" w:cs="Times New Roman"/>
          <w:szCs w:val="21"/>
          <w:highlight w:val="none"/>
          <w:u w:val="single"/>
        </w:rPr>
        <w:t>                             </w:t>
      </w:r>
    </w:p>
    <w:p w14:paraId="3914160A">
      <w:pPr>
        <w:pageBreakBefore w:val="0"/>
        <w:widowControl/>
        <w:kinsoku/>
        <w:wordWrap/>
        <w:overflowPunct/>
        <w:topLinePunct w:val="0"/>
        <w:bidi w:val="0"/>
        <w:rPr>
          <w:rFonts w:hint="default" w:ascii="Times New Roman" w:hAnsi="Times New Roman" w:eastAsia="宋体" w:cs="Times New Roman"/>
          <w:szCs w:val="21"/>
          <w:highlight w:val="none"/>
        </w:rPr>
      </w:pPr>
    </w:p>
    <w:p w14:paraId="529E3D65">
      <w:pPr>
        <w:pageBreakBefore w:val="0"/>
        <w:widowControl/>
        <w:kinsoku/>
        <w:wordWrap/>
        <w:overflowPunct/>
        <w:topLinePunct w:val="0"/>
        <w:bidi w:val="0"/>
        <w:rPr>
          <w:rFonts w:hint="default" w:ascii="Times New Roman" w:hAnsi="Times New Roman" w:eastAsia="宋体" w:cs="Times New Roman"/>
          <w:b/>
          <w:bCs/>
          <w:szCs w:val="21"/>
          <w:highlight w:val="none"/>
        </w:rPr>
      </w:pPr>
    </w:p>
    <w:p w14:paraId="1BA63BA3">
      <w:pPr>
        <w:pageBreakBefore w:val="0"/>
        <w:widowControl/>
        <w:kinsoku/>
        <w:wordWrap/>
        <w:overflowPunct/>
        <w:topLinePunct w:val="0"/>
        <w:bidi w:val="0"/>
        <w:spacing w:line="360" w:lineRule="auto"/>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br w:type="page" w:clear="all"/>
      </w:r>
      <w:r>
        <w:rPr>
          <w:rFonts w:hint="default" w:ascii="Times New Roman" w:hAnsi="Times New Roman" w:eastAsia="宋体" w:cs="Times New Roman"/>
          <w:b/>
          <w:bCs/>
          <w:sz w:val="24"/>
          <w:highlight w:val="none"/>
        </w:rPr>
        <w:t>附件九、 投标人类似业绩情况表</w:t>
      </w:r>
    </w:p>
    <w:p w14:paraId="534A9DED">
      <w:pPr>
        <w:pageBreakBefore w:val="0"/>
        <w:widowControl/>
        <w:kinsoku/>
        <w:wordWrap/>
        <w:overflowPunct/>
        <w:topLinePunct w:val="0"/>
        <w:bidi w:val="0"/>
        <w:spacing w:line="360" w:lineRule="auto"/>
        <w:jc w:val="center"/>
        <w:rPr>
          <w:rFonts w:hint="default" w:ascii="Times New Roman" w:hAnsi="Times New Roman" w:eastAsia="宋体" w:cs="Times New Roman"/>
          <w:b/>
          <w:bCs/>
          <w:sz w:val="24"/>
          <w:highlight w:val="none"/>
        </w:rPr>
      </w:pPr>
    </w:p>
    <w:p w14:paraId="70997266">
      <w:pPr>
        <w:pageBreakBefore w:val="0"/>
        <w:widowControl/>
        <w:kinsoku/>
        <w:wordWrap/>
        <w:overflowPunct/>
        <w:topLinePunct w:val="0"/>
        <w:bidi w:val="0"/>
        <w:spacing w:line="360" w:lineRule="auto"/>
        <w:jc w:val="center"/>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投标人类似业绩情况表</w:t>
      </w:r>
    </w:p>
    <w:tbl>
      <w:tblPr>
        <w:tblStyle w:val="48"/>
        <w:tblW w:w="9136" w:type="dxa"/>
        <w:jc w:val="center"/>
        <w:tblLayout w:type="fixed"/>
        <w:tblCellMar>
          <w:top w:w="0" w:type="dxa"/>
          <w:left w:w="108" w:type="dxa"/>
          <w:bottom w:w="0" w:type="dxa"/>
          <w:right w:w="108" w:type="dxa"/>
        </w:tblCellMar>
      </w:tblPr>
      <w:tblGrid>
        <w:gridCol w:w="738"/>
        <w:gridCol w:w="1407"/>
        <w:gridCol w:w="1550"/>
        <w:gridCol w:w="1645"/>
        <w:gridCol w:w="1340"/>
        <w:gridCol w:w="1228"/>
        <w:gridCol w:w="1228"/>
      </w:tblGrid>
      <w:tr w14:paraId="43513BE7">
        <w:tblPrEx>
          <w:tblCellMar>
            <w:top w:w="0" w:type="dxa"/>
            <w:left w:w="108" w:type="dxa"/>
            <w:bottom w:w="0" w:type="dxa"/>
            <w:right w:w="108" w:type="dxa"/>
          </w:tblCellMar>
        </w:tblPrEx>
        <w:trPr>
          <w:trHeight w:val="124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14:paraId="49C6A312">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序号</w:t>
            </w:r>
          </w:p>
        </w:tc>
        <w:tc>
          <w:tcPr>
            <w:tcW w:w="1407" w:type="dxa"/>
            <w:tcBorders>
              <w:top w:val="single" w:color="000000" w:sz="4" w:space="0"/>
              <w:left w:val="nil"/>
              <w:bottom w:val="single" w:color="000000" w:sz="4" w:space="0"/>
              <w:right w:val="single" w:color="000000" w:sz="4" w:space="0"/>
            </w:tcBorders>
            <w:vAlign w:val="center"/>
          </w:tcPr>
          <w:p w14:paraId="646AD8A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项目名称</w:t>
            </w:r>
          </w:p>
        </w:tc>
        <w:tc>
          <w:tcPr>
            <w:tcW w:w="1550" w:type="dxa"/>
            <w:tcBorders>
              <w:top w:val="single" w:color="000000" w:sz="4" w:space="0"/>
              <w:left w:val="nil"/>
              <w:bottom w:val="single" w:color="000000" w:sz="4" w:space="0"/>
              <w:right w:val="single" w:color="000000" w:sz="4" w:space="0"/>
            </w:tcBorders>
            <w:vAlign w:val="center"/>
          </w:tcPr>
          <w:p w14:paraId="72068D2E">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业主单位</w:t>
            </w:r>
          </w:p>
        </w:tc>
        <w:tc>
          <w:tcPr>
            <w:tcW w:w="1645" w:type="dxa"/>
            <w:tcBorders>
              <w:top w:val="single" w:color="000000" w:sz="4" w:space="0"/>
              <w:left w:val="nil"/>
              <w:bottom w:val="single" w:color="000000" w:sz="4" w:space="0"/>
              <w:right w:val="single" w:color="000000" w:sz="4" w:space="0"/>
            </w:tcBorders>
            <w:vAlign w:val="center"/>
          </w:tcPr>
          <w:p w14:paraId="006309FD">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项目类别</w:t>
            </w:r>
          </w:p>
        </w:tc>
        <w:tc>
          <w:tcPr>
            <w:tcW w:w="1340" w:type="dxa"/>
            <w:tcBorders>
              <w:top w:val="single" w:color="000000" w:sz="4" w:space="0"/>
              <w:left w:val="nil"/>
              <w:bottom w:val="single" w:color="000000" w:sz="4" w:space="0"/>
              <w:right w:val="single" w:color="000000" w:sz="4" w:space="0"/>
            </w:tcBorders>
            <w:vAlign w:val="center"/>
          </w:tcPr>
          <w:p w14:paraId="7282CE27">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签约及服务</w:t>
            </w:r>
          </w:p>
          <w:p w14:paraId="1F2BA48F">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时间</w:t>
            </w:r>
          </w:p>
        </w:tc>
        <w:tc>
          <w:tcPr>
            <w:tcW w:w="1228" w:type="dxa"/>
            <w:tcBorders>
              <w:top w:val="single" w:color="000000" w:sz="4" w:space="0"/>
              <w:left w:val="nil"/>
              <w:bottom w:val="single" w:color="000000" w:sz="4" w:space="0"/>
              <w:right w:val="single" w:color="000000" w:sz="4" w:space="0"/>
            </w:tcBorders>
            <w:vAlign w:val="center"/>
          </w:tcPr>
          <w:p w14:paraId="6854C382">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联系人及电话</w:t>
            </w:r>
          </w:p>
        </w:tc>
        <w:tc>
          <w:tcPr>
            <w:tcW w:w="1228" w:type="dxa"/>
            <w:tcBorders>
              <w:top w:val="single" w:color="000000" w:sz="4" w:space="0"/>
              <w:left w:val="nil"/>
              <w:bottom w:val="single" w:color="000000" w:sz="4" w:space="0"/>
              <w:right w:val="single" w:color="000000" w:sz="4" w:space="0"/>
            </w:tcBorders>
            <w:vAlign w:val="center"/>
          </w:tcPr>
          <w:p w14:paraId="16DD4FF6">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备注</w:t>
            </w:r>
          </w:p>
        </w:tc>
      </w:tr>
      <w:tr w14:paraId="7D0588B2">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1E73D4DA">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5CB9710E">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51331953">
            <w:pPr>
              <w:pageBreakBefore w:val="0"/>
              <w:widowControl/>
              <w:kinsoku/>
              <w:wordWrap/>
              <w:overflowPunct/>
              <w:topLinePunct w:val="0"/>
              <w:bidi w:val="0"/>
              <w:spacing w:line="400" w:lineRule="atLeast"/>
              <w:ind w:firstLine="120"/>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305F6CEE">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57E2AFE4">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2E8297F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630CCC46">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50CC8533">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585A0AC0">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115B4BC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7676FDF0">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4DF8C890">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5C331733">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2F0DE60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433E86F7">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262AD970">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511EDCB4">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2805C3CD">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00356439">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1B527C8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46802C1F">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3E298AC3">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5ABD2B16">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69DC20C8">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54E46D7C">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5A49190B">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4152A385">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1A580E12">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3F20797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5BE0BB85">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5786CFBB">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640AC73E">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3CE28F6B">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5AA4D1E3">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0014DF64">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3BCA9E59">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67299DD0">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4298281A">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62474ABB">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36A144A7">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0C8A712A">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3624115B">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20BA9346">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30B09549">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015BD57C">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3B199FDC">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61167C09">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36498213">
        <w:tblPrEx>
          <w:tblCellMar>
            <w:top w:w="0" w:type="dxa"/>
            <w:left w:w="108" w:type="dxa"/>
            <w:bottom w:w="0" w:type="dxa"/>
            <w:right w:w="108" w:type="dxa"/>
          </w:tblCellMar>
        </w:tblPrEx>
        <w:trPr>
          <w:trHeight w:val="420"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63D39D46">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484561C4">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28C48627">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165B59DE">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49934901">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32647D69">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542BFB03">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r w14:paraId="48550065">
        <w:tblPrEx>
          <w:tblCellMar>
            <w:top w:w="0" w:type="dxa"/>
            <w:left w:w="108" w:type="dxa"/>
            <w:bottom w:w="0" w:type="dxa"/>
            <w:right w:w="108" w:type="dxa"/>
          </w:tblCellMar>
        </w:tblPrEx>
        <w:trPr>
          <w:trHeight w:val="431" w:hRule="atLeast"/>
          <w:jc w:val="center"/>
        </w:trPr>
        <w:tc>
          <w:tcPr>
            <w:tcW w:w="738" w:type="dxa"/>
            <w:tcBorders>
              <w:top w:val="single" w:color="000000" w:sz="4" w:space="0"/>
              <w:left w:val="single" w:color="000000" w:sz="4" w:space="0"/>
              <w:bottom w:val="single" w:color="000000" w:sz="4" w:space="0"/>
              <w:right w:val="single" w:color="000000" w:sz="4" w:space="0"/>
            </w:tcBorders>
          </w:tcPr>
          <w:p w14:paraId="3D0FE087">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407" w:type="dxa"/>
            <w:tcBorders>
              <w:top w:val="single" w:color="000000" w:sz="4" w:space="0"/>
              <w:left w:val="nil"/>
              <w:bottom w:val="single" w:color="000000" w:sz="4" w:space="0"/>
              <w:right w:val="single" w:color="000000" w:sz="4" w:space="0"/>
            </w:tcBorders>
          </w:tcPr>
          <w:p w14:paraId="25257BC7">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550" w:type="dxa"/>
            <w:tcBorders>
              <w:top w:val="single" w:color="000000" w:sz="4" w:space="0"/>
              <w:left w:val="nil"/>
              <w:bottom w:val="single" w:color="000000" w:sz="4" w:space="0"/>
              <w:right w:val="single" w:color="000000" w:sz="4" w:space="0"/>
            </w:tcBorders>
          </w:tcPr>
          <w:p w14:paraId="2A0A47E1">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645" w:type="dxa"/>
            <w:tcBorders>
              <w:top w:val="single" w:color="000000" w:sz="4" w:space="0"/>
              <w:left w:val="nil"/>
              <w:bottom w:val="single" w:color="000000" w:sz="4" w:space="0"/>
              <w:right w:val="single" w:color="000000" w:sz="4" w:space="0"/>
            </w:tcBorders>
          </w:tcPr>
          <w:p w14:paraId="67743A42">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340" w:type="dxa"/>
            <w:tcBorders>
              <w:top w:val="single" w:color="000000" w:sz="4" w:space="0"/>
              <w:left w:val="nil"/>
              <w:bottom w:val="single" w:color="000000" w:sz="4" w:space="0"/>
              <w:right w:val="single" w:color="000000" w:sz="4" w:space="0"/>
            </w:tcBorders>
          </w:tcPr>
          <w:p w14:paraId="70EBE6AB">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24FD0F28">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c>
          <w:tcPr>
            <w:tcW w:w="1228" w:type="dxa"/>
            <w:tcBorders>
              <w:top w:val="single" w:color="000000" w:sz="4" w:space="0"/>
              <w:left w:val="nil"/>
              <w:bottom w:val="single" w:color="000000" w:sz="4" w:space="0"/>
              <w:right w:val="single" w:color="000000" w:sz="4" w:space="0"/>
            </w:tcBorders>
          </w:tcPr>
          <w:p w14:paraId="1B3B2DB4">
            <w:pPr>
              <w:pageBreakBefore w:val="0"/>
              <w:widowControl/>
              <w:kinsoku/>
              <w:wordWrap/>
              <w:overflowPunct/>
              <w:topLinePunct w:val="0"/>
              <w:bidi w:val="0"/>
              <w:spacing w:line="400" w:lineRule="atLeast"/>
              <w:jc w:val="center"/>
              <w:rPr>
                <w:rFonts w:hint="default" w:ascii="Times New Roman" w:hAnsi="Times New Roman" w:eastAsia="宋体" w:cs="Times New Roman"/>
                <w:szCs w:val="21"/>
                <w:highlight w:val="none"/>
              </w:rPr>
            </w:pPr>
          </w:p>
        </w:tc>
      </w:tr>
    </w:tbl>
    <w:p w14:paraId="7FFD10C2">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p>
    <w:p w14:paraId="2A78DC29">
      <w:pPr>
        <w:pageBreakBefore w:val="0"/>
        <w:widowControl/>
        <w:shd w:val="clear" w:color="auto" w:fill="FFFFFF"/>
        <w:kinsoku/>
        <w:wordWrap/>
        <w:overflowPunct/>
        <w:topLinePunct w:val="0"/>
        <w:bidi w:val="0"/>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供应商（盖章）：</w:t>
      </w:r>
      <w:r>
        <w:rPr>
          <w:rFonts w:hint="default" w:ascii="Times New Roman" w:hAnsi="Times New Roman" w:eastAsia="宋体" w:cs="Times New Roman"/>
          <w:szCs w:val="21"/>
          <w:highlight w:val="none"/>
          <w:u w:val="single"/>
        </w:rPr>
        <w:t>                             </w:t>
      </w:r>
    </w:p>
    <w:p w14:paraId="79A2EA22">
      <w:pPr>
        <w:pageBreakBefore w:val="0"/>
        <w:widowControl/>
        <w:kinsoku/>
        <w:wordWrap/>
        <w:overflowPunct/>
        <w:topLinePunct w:val="0"/>
        <w:bidi w:val="0"/>
        <w:spacing w:line="360" w:lineRule="auto"/>
        <w:rPr>
          <w:rFonts w:hint="default" w:ascii="Times New Roman" w:hAnsi="Times New Roman" w:eastAsia="宋体" w:cs="Times New Roman"/>
          <w:b/>
          <w:bCs/>
          <w:szCs w:val="21"/>
          <w:highlight w:val="none"/>
        </w:rPr>
      </w:pPr>
    </w:p>
    <w:p w14:paraId="79FD0100">
      <w:pPr>
        <w:pageBreakBefore w:val="0"/>
        <w:kinsoku/>
        <w:wordWrap/>
        <w:overflowPunct/>
        <w:topLinePunct w:val="0"/>
        <w:bidi w:val="0"/>
        <w:rPr>
          <w:rFonts w:hint="default" w:ascii="Times New Roman" w:hAnsi="Times New Roman" w:eastAsia="宋体" w:cs="Times New Roman"/>
          <w:b/>
          <w:highlight w:val="none"/>
        </w:rPr>
      </w:pPr>
    </w:p>
    <w:p w14:paraId="7A1C5781">
      <w:pPr>
        <w:pageBreakBefore w:val="0"/>
        <w:kinsoku/>
        <w:wordWrap/>
        <w:overflowPunct/>
        <w:topLinePunct w:val="0"/>
        <w:bidi w:val="0"/>
        <w:rPr>
          <w:rFonts w:hint="default" w:ascii="Times New Roman" w:hAnsi="Times New Roman" w:eastAsia="宋体" w:cs="Times New Roman"/>
          <w:b/>
          <w:highlight w:val="none"/>
        </w:rPr>
      </w:pPr>
    </w:p>
    <w:p w14:paraId="2C55EF78">
      <w:pPr>
        <w:pageBreakBefore w:val="0"/>
        <w:kinsoku/>
        <w:wordWrap/>
        <w:overflowPunct/>
        <w:topLinePunct w:val="0"/>
        <w:bidi w:val="0"/>
        <w:rPr>
          <w:rFonts w:hint="default" w:ascii="Times New Roman" w:hAnsi="Times New Roman" w:eastAsia="宋体" w:cs="Times New Roman"/>
          <w:b/>
          <w:highlight w:val="none"/>
        </w:rPr>
      </w:pPr>
    </w:p>
    <w:p w14:paraId="77D08EF4">
      <w:pPr>
        <w:pageBreakBefore w:val="0"/>
        <w:kinsoku/>
        <w:wordWrap/>
        <w:overflowPunct/>
        <w:topLinePunct w:val="0"/>
        <w:bidi w:val="0"/>
        <w:rPr>
          <w:rFonts w:hint="default" w:ascii="Times New Roman" w:hAnsi="Times New Roman" w:eastAsia="宋体" w:cs="Times New Roman"/>
          <w:b/>
          <w:highlight w:val="none"/>
        </w:rPr>
      </w:pPr>
    </w:p>
    <w:p w14:paraId="170927F8">
      <w:pPr>
        <w:pageBreakBefore w:val="0"/>
        <w:kinsoku/>
        <w:wordWrap/>
        <w:overflowPunct/>
        <w:topLinePunct w:val="0"/>
        <w:bidi w:val="0"/>
        <w:rPr>
          <w:rFonts w:hint="default" w:ascii="Times New Roman" w:hAnsi="Times New Roman" w:eastAsia="宋体" w:cs="Times New Roman"/>
          <w:b/>
          <w:highlight w:val="none"/>
        </w:rPr>
      </w:pPr>
    </w:p>
    <w:p w14:paraId="554F1C59">
      <w:pPr>
        <w:pageBreakBefore w:val="0"/>
        <w:kinsoku/>
        <w:wordWrap/>
        <w:overflowPunct/>
        <w:topLinePunct w:val="0"/>
        <w:bidi w:val="0"/>
        <w:rPr>
          <w:rFonts w:hint="default" w:ascii="Times New Roman" w:hAnsi="Times New Roman" w:eastAsia="宋体" w:cs="Times New Roman"/>
          <w:b/>
          <w:highlight w:val="none"/>
        </w:rPr>
      </w:pPr>
    </w:p>
    <w:p w14:paraId="56FF7891">
      <w:pPr>
        <w:pageBreakBefore w:val="0"/>
        <w:kinsoku/>
        <w:wordWrap/>
        <w:overflowPunct/>
        <w:topLinePunct w:val="0"/>
        <w:bidi w:val="0"/>
        <w:rPr>
          <w:rFonts w:hint="default" w:ascii="Times New Roman" w:hAnsi="Times New Roman" w:eastAsia="宋体" w:cs="Times New Roman"/>
          <w:b/>
          <w:highlight w:val="none"/>
        </w:rPr>
      </w:pPr>
    </w:p>
    <w:p w14:paraId="21C144A5">
      <w:pPr>
        <w:pageBreakBefore w:val="0"/>
        <w:kinsoku/>
        <w:wordWrap/>
        <w:overflowPunct/>
        <w:topLinePunct w:val="0"/>
        <w:bidi w:val="0"/>
        <w:rPr>
          <w:rFonts w:hint="default" w:ascii="Times New Roman" w:hAnsi="Times New Roman" w:eastAsia="宋体" w:cs="Times New Roman"/>
          <w:b/>
          <w:highlight w:val="none"/>
        </w:rPr>
      </w:pPr>
    </w:p>
    <w:p w14:paraId="0E732BFC">
      <w:pPr>
        <w:pageBreakBefore w:val="0"/>
        <w:kinsoku/>
        <w:wordWrap/>
        <w:overflowPunct/>
        <w:topLinePunct w:val="0"/>
        <w:bidi w:val="0"/>
        <w:rPr>
          <w:rFonts w:hint="default" w:ascii="Times New Roman" w:hAnsi="Times New Roman" w:eastAsia="宋体" w:cs="Times New Roman"/>
          <w:b/>
          <w:highlight w:val="none"/>
        </w:rPr>
      </w:pPr>
    </w:p>
    <w:p w14:paraId="736B254E">
      <w:pPr>
        <w:pageBreakBefore w:val="0"/>
        <w:kinsoku/>
        <w:wordWrap/>
        <w:overflowPunct/>
        <w:topLinePunct w:val="0"/>
        <w:bidi w:val="0"/>
        <w:rPr>
          <w:rFonts w:hint="default" w:ascii="Times New Roman" w:hAnsi="Times New Roman" w:eastAsia="宋体" w:cs="Times New Roman"/>
          <w:b/>
          <w:highlight w:val="none"/>
        </w:rPr>
      </w:pPr>
    </w:p>
    <w:p w14:paraId="70831B77">
      <w:pPr>
        <w:pageBreakBefore w:val="0"/>
        <w:kinsoku/>
        <w:wordWrap/>
        <w:overflowPunct/>
        <w:topLinePunct w:val="0"/>
        <w:bidi w:val="0"/>
        <w:rPr>
          <w:rFonts w:hint="default" w:ascii="Times New Roman" w:hAnsi="Times New Roman" w:eastAsia="宋体" w:cs="Times New Roman"/>
          <w:b/>
          <w:highlight w:val="none"/>
        </w:rPr>
      </w:pPr>
    </w:p>
    <w:p w14:paraId="70C1A76D">
      <w:pPr>
        <w:pageBreakBefore w:val="0"/>
        <w:kinsoku/>
        <w:wordWrap/>
        <w:overflowPunct/>
        <w:topLinePunct w:val="0"/>
        <w:bidi w:val="0"/>
        <w:rPr>
          <w:rFonts w:hint="default" w:ascii="Times New Roman" w:hAnsi="Times New Roman" w:eastAsia="宋体" w:cs="Times New Roman"/>
          <w:b/>
          <w:highlight w:val="none"/>
        </w:rPr>
      </w:pPr>
    </w:p>
    <w:p w14:paraId="504102E6">
      <w:pPr>
        <w:pageBreakBefore w:val="0"/>
        <w:kinsoku/>
        <w:wordWrap/>
        <w:overflowPunct/>
        <w:topLinePunct w:val="0"/>
        <w:bidi w:val="0"/>
        <w:rPr>
          <w:rFonts w:hint="default" w:ascii="Times New Roman" w:hAnsi="Times New Roman" w:eastAsia="宋体" w:cs="Times New Roman"/>
          <w:b/>
          <w:highlight w:val="none"/>
        </w:rPr>
      </w:pPr>
    </w:p>
    <w:p w14:paraId="69190699">
      <w:pPr>
        <w:pageBreakBefore w:val="0"/>
        <w:kinsoku/>
        <w:wordWrap/>
        <w:overflowPunct/>
        <w:topLinePunct w:val="0"/>
        <w:bidi w:val="0"/>
        <w:rPr>
          <w:rFonts w:hint="default" w:ascii="Times New Roman" w:hAnsi="Times New Roman" w:eastAsia="宋体" w:cs="Times New Roman"/>
          <w:b/>
          <w:highlight w:val="none"/>
        </w:rPr>
      </w:pPr>
    </w:p>
    <w:p w14:paraId="001EFBA5">
      <w:pPr>
        <w:pageBreakBefore w:val="0"/>
        <w:kinsoku/>
        <w:wordWrap/>
        <w:overflowPunct/>
        <w:topLinePunct w:val="0"/>
        <w:bidi w:val="0"/>
        <w:rPr>
          <w:rFonts w:hint="default" w:ascii="Times New Roman" w:hAnsi="Times New Roman" w:eastAsia="宋体" w:cs="Times New Roman"/>
          <w:b/>
          <w:highlight w:val="none"/>
        </w:rPr>
      </w:pPr>
    </w:p>
    <w:p w14:paraId="3FA8972C">
      <w:pPr>
        <w:pageBreakBefore w:val="0"/>
        <w:kinsoku/>
        <w:wordWrap/>
        <w:overflowPunct/>
        <w:topLinePunct w:val="0"/>
        <w:bidi w:val="0"/>
        <w:rPr>
          <w:rFonts w:hint="default" w:ascii="Times New Roman" w:hAnsi="Times New Roman" w:eastAsia="宋体" w:cs="Times New Roman"/>
          <w:b/>
          <w:highlight w:val="none"/>
        </w:rPr>
      </w:pPr>
    </w:p>
    <w:p w14:paraId="41BC4F99">
      <w:pPr>
        <w:pageBreakBefore w:val="0"/>
        <w:kinsoku/>
        <w:wordWrap/>
        <w:overflowPunct/>
        <w:topLinePunct w:val="0"/>
        <w:bidi w:val="0"/>
        <w:rPr>
          <w:rFonts w:hint="default" w:ascii="Times New Roman" w:hAnsi="Times New Roman" w:eastAsia="宋体" w:cs="Times New Roman"/>
          <w:b/>
          <w:highlight w:val="none"/>
        </w:rPr>
      </w:pPr>
    </w:p>
    <w:p w14:paraId="704675EC">
      <w:pPr>
        <w:pageBreakBefore w:val="0"/>
        <w:kinsoku/>
        <w:wordWrap/>
        <w:overflowPunct/>
        <w:topLinePunct w:val="0"/>
        <w:bidi w:val="0"/>
        <w:rPr>
          <w:rFonts w:hint="default" w:ascii="Times New Roman" w:hAnsi="Times New Roman" w:eastAsia="宋体" w:cs="Times New Roman"/>
          <w:b/>
          <w:highlight w:val="none"/>
        </w:rPr>
      </w:pPr>
    </w:p>
    <w:p w14:paraId="5A26DAAA">
      <w:pPr>
        <w:pageBreakBefore w:val="0"/>
        <w:kinsoku/>
        <w:wordWrap/>
        <w:overflowPunct/>
        <w:topLinePunct w:val="0"/>
        <w:bidi w:val="0"/>
        <w:rPr>
          <w:rFonts w:hint="default" w:ascii="Times New Roman" w:hAnsi="Times New Roman" w:eastAsia="宋体" w:cs="Times New Roman"/>
          <w:b/>
          <w:highlight w:val="none"/>
        </w:rPr>
      </w:pPr>
    </w:p>
    <w:p w14:paraId="1F9F9662">
      <w:pPr>
        <w:pageBreakBefore w:val="0"/>
        <w:kinsoku/>
        <w:wordWrap/>
        <w:overflowPunct/>
        <w:topLinePunct w:val="0"/>
        <w:bidi w:val="0"/>
        <w:rPr>
          <w:rFonts w:hint="default" w:ascii="Times New Roman" w:hAnsi="Times New Roman" w:eastAsia="宋体" w:cs="Times New Roman"/>
          <w:b/>
          <w:highlight w:val="none"/>
        </w:rPr>
      </w:pPr>
    </w:p>
    <w:p w14:paraId="4858F349">
      <w:pPr>
        <w:pageBreakBefore w:val="0"/>
        <w:kinsoku/>
        <w:wordWrap/>
        <w:overflowPunct/>
        <w:topLinePunct w:val="0"/>
        <w:bidi w:val="0"/>
        <w:rPr>
          <w:rFonts w:hint="default" w:ascii="Times New Roman" w:hAnsi="Times New Roman" w:eastAsia="宋体" w:cs="Times New Roman"/>
          <w:b/>
          <w:highlight w:val="none"/>
        </w:rPr>
      </w:pPr>
    </w:p>
    <w:p w14:paraId="177A0E84">
      <w:pPr>
        <w:pageBreakBefore w:val="0"/>
        <w:kinsoku/>
        <w:wordWrap/>
        <w:overflowPunct/>
        <w:topLinePunct w:val="0"/>
        <w:bidi w:val="0"/>
        <w:rPr>
          <w:rFonts w:hint="default" w:ascii="Times New Roman" w:hAnsi="Times New Roman" w:eastAsia="宋体" w:cs="Times New Roman"/>
          <w:b/>
          <w:highlight w:val="none"/>
        </w:rPr>
      </w:pPr>
    </w:p>
    <w:p w14:paraId="408B8D02">
      <w:pPr>
        <w:pageBreakBefore w:val="0"/>
        <w:widowControl/>
        <w:kinsoku/>
        <w:wordWrap/>
        <w:overflowPunct/>
        <w:topLinePunct w:val="0"/>
        <w:bidi w:val="0"/>
        <w:jc w:val="left"/>
        <w:rPr>
          <w:rFonts w:hint="default" w:ascii="Times New Roman" w:hAnsi="Times New Roman" w:eastAsia="宋体" w:cs="Times New Roman"/>
          <w:b/>
          <w:highlight w:val="none"/>
        </w:rPr>
      </w:pPr>
      <w:r>
        <w:rPr>
          <w:rFonts w:hint="default" w:ascii="Times New Roman" w:hAnsi="Times New Roman" w:eastAsia="宋体" w:cs="Times New Roman"/>
          <w:b/>
          <w:highlight w:val="none"/>
        </w:rPr>
        <w:br w:type="page" w:clear="all"/>
      </w:r>
    </w:p>
    <w:p w14:paraId="3D1474C1">
      <w:pPr>
        <w:pageBreakBefore w:val="0"/>
        <w:kinsoku/>
        <w:wordWrap/>
        <w:overflowPunct/>
        <w:topLinePunct w:val="0"/>
        <w:bidi w:val="0"/>
        <w:spacing w:line="360" w:lineRule="auto"/>
        <w:rPr>
          <w:rFonts w:hint="default" w:ascii="Times New Roman" w:hAnsi="Times New Roman" w:eastAsia="宋体" w:cs="Times New Roman"/>
          <w:b/>
          <w:bCs/>
          <w:highlight w:val="none"/>
        </w:rPr>
      </w:pPr>
      <w:r>
        <w:rPr>
          <w:rFonts w:hint="default" w:ascii="Times New Roman" w:hAnsi="Times New Roman" w:eastAsia="宋体" w:cs="Times New Roman"/>
          <w:b/>
          <w:highlight w:val="none"/>
        </w:rPr>
        <w:t>附件十</w:t>
      </w:r>
      <w:r>
        <w:rPr>
          <w:rFonts w:hint="default" w:ascii="Times New Roman" w:hAnsi="Times New Roman" w:eastAsia="宋体" w:cs="Times New Roman"/>
          <w:b/>
          <w:bCs/>
          <w:highlight w:val="none"/>
        </w:rPr>
        <w:t>、企业声明函格式</w:t>
      </w:r>
      <w:bookmarkStart w:id="157" w:name="_Toc31722"/>
      <w:bookmarkStart w:id="158" w:name="_Toc8859"/>
    </w:p>
    <w:p w14:paraId="5A6365BB">
      <w:pPr>
        <w:pageBreakBefore w:val="0"/>
        <w:kinsoku/>
        <w:wordWrap/>
        <w:overflowPunct/>
        <w:topLinePunct w:val="0"/>
        <w:bidi w:val="0"/>
        <w:spacing w:line="360" w:lineRule="auto"/>
        <w:rPr>
          <w:rFonts w:hint="default" w:ascii="Times New Roman" w:hAnsi="Times New Roman" w:eastAsia="宋体" w:cs="Times New Roman"/>
          <w:b/>
          <w:bCs/>
          <w:highlight w:val="none"/>
        </w:rPr>
      </w:pPr>
    </w:p>
    <w:p w14:paraId="4A9F8AB1">
      <w:pPr>
        <w:pageBreakBefore w:val="0"/>
        <w:kinsoku/>
        <w:wordWrap/>
        <w:overflowPunct/>
        <w:topLinePunct w:val="0"/>
        <w:bidi w:val="0"/>
        <w:spacing w:line="360" w:lineRule="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（1）中小企业声明函</w:t>
      </w:r>
    </w:p>
    <w:bookmarkEnd w:id="157"/>
    <w:bookmarkEnd w:id="158"/>
    <w:p w14:paraId="64B56B1F">
      <w:pPr>
        <w:pageBreakBefore w:val="0"/>
        <w:kinsoku/>
        <w:wordWrap/>
        <w:overflowPunct/>
        <w:topLinePunct w:val="0"/>
        <w:bidi w:val="0"/>
        <w:spacing w:line="360" w:lineRule="auto"/>
        <w:jc w:val="center"/>
        <w:rPr>
          <w:rFonts w:hint="default" w:ascii="Times New Roman" w:hAnsi="Times New Roman" w:eastAsia="宋体" w:cs="Times New Roman"/>
          <w:b/>
          <w:bCs/>
          <w:sz w:val="28"/>
          <w:highlight w:val="none"/>
        </w:rPr>
      </w:pPr>
      <w:r>
        <w:rPr>
          <w:rFonts w:hint="default" w:ascii="Times New Roman" w:hAnsi="Times New Roman" w:eastAsia="宋体" w:cs="Times New Roman"/>
          <w:b/>
          <w:bCs/>
          <w:sz w:val="28"/>
          <w:highlight w:val="none"/>
        </w:rPr>
        <w:t>中小企业声明函（工程、服务）</w:t>
      </w:r>
    </w:p>
    <w:p w14:paraId="6DED3023">
      <w:pPr>
        <w:pageBreakBefore w:val="0"/>
        <w:widowControl/>
        <w:kinsoku/>
        <w:wordWrap/>
        <w:overflowPunct/>
        <w:topLinePunct w:val="0"/>
        <w:bidi w:val="0"/>
        <w:spacing w:line="440" w:lineRule="exact"/>
        <w:ind w:firstLine="420" w:firstLineChars="2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本公司（联合体）郑重声明，根据《政府采购促进中小企业发展管理办法》（财库〔2020〕46号）的规定，本公司（联合体）参加</w:t>
      </w:r>
      <w:r>
        <w:rPr>
          <w:rFonts w:hint="default" w:ascii="Times New Roman" w:hAnsi="Times New Roman" w:eastAsia="宋体" w:cs="Times New Roman"/>
          <w:i/>
          <w:iCs/>
          <w:snapToGrid w:val="0"/>
          <w:szCs w:val="21"/>
          <w:highlight w:val="none"/>
          <w:u w:val="single"/>
        </w:rPr>
        <w:t>（单位名称）</w:t>
      </w:r>
      <w:r>
        <w:rPr>
          <w:rFonts w:hint="default" w:ascii="Times New Roman" w:hAnsi="Times New Roman" w:eastAsia="宋体" w:cs="Times New Roman"/>
          <w:snapToGrid w:val="0"/>
          <w:szCs w:val="21"/>
          <w:highlight w:val="none"/>
        </w:rPr>
        <w:t>的</w:t>
      </w:r>
      <w:r>
        <w:rPr>
          <w:rFonts w:hint="default" w:ascii="Times New Roman" w:hAnsi="Times New Roman" w:eastAsia="宋体" w:cs="Times New Roman"/>
          <w:i/>
          <w:iCs/>
          <w:snapToGrid w:val="0"/>
          <w:szCs w:val="21"/>
          <w:highlight w:val="none"/>
          <w:u w:val="single"/>
        </w:rPr>
        <w:t>（项目名称）</w:t>
      </w:r>
      <w:r>
        <w:rPr>
          <w:rFonts w:hint="default" w:ascii="Times New Roman" w:hAnsi="Times New Roman" w:eastAsia="宋体" w:cs="Times New Roman"/>
          <w:snapToGrid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FAFA8E0">
      <w:pPr>
        <w:pageBreakBefore w:val="0"/>
        <w:widowControl/>
        <w:kinsoku/>
        <w:wordWrap/>
        <w:overflowPunct/>
        <w:topLinePunct w:val="0"/>
        <w:bidi w:val="0"/>
        <w:spacing w:line="440" w:lineRule="exact"/>
        <w:ind w:firstLine="420" w:firstLineChars="2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1.</w:t>
      </w:r>
      <w:r>
        <w:rPr>
          <w:rFonts w:hint="default" w:ascii="Times New Roman" w:hAnsi="Times New Roman" w:eastAsia="宋体" w:cs="Times New Roman"/>
          <w:i/>
          <w:iCs/>
          <w:snapToGrid w:val="0"/>
          <w:szCs w:val="21"/>
          <w:highlight w:val="none"/>
          <w:u w:val="single"/>
        </w:rPr>
        <w:t>（标的名称）</w:t>
      </w:r>
      <w:r>
        <w:rPr>
          <w:rFonts w:hint="default" w:ascii="Times New Roman" w:hAnsi="Times New Roman" w:eastAsia="宋体" w:cs="Times New Roman"/>
          <w:snapToGrid w:val="0"/>
          <w:szCs w:val="21"/>
          <w:highlight w:val="none"/>
        </w:rPr>
        <w:t>，属于</w:t>
      </w:r>
      <w:r>
        <w:rPr>
          <w:rFonts w:hint="default" w:ascii="Times New Roman" w:hAnsi="Times New Roman" w:eastAsia="宋体" w:cs="Times New Roman"/>
          <w:snapToGrid w:val="0"/>
          <w:szCs w:val="21"/>
          <w:highlight w:val="none"/>
          <w:u w:val="single"/>
        </w:rPr>
        <w:t>（其他未列明行业）</w:t>
      </w:r>
      <w:r>
        <w:rPr>
          <w:rFonts w:hint="default" w:ascii="Times New Roman" w:hAnsi="Times New Roman" w:eastAsia="宋体" w:cs="Times New Roman"/>
          <w:snapToGrid w:val="0"/>
          <w:szCs w:val="21"/>
          <w:highlight w:val="none"/>
        </w:rPr>
        <w:t>行业；承建（承接）企业为</w:t>
      </w:r>
      <w:r>
        <w:rPr>
          <w:rFonts w:hint="default" w:ascii="Times New Roman" w:hAnsi="Times New Roman" w:eastAsia="宋体" w:cs="Times New Roman"/>
          <w:i/>
          <w:iCs/>
          <w:snapToGrid w:val="0"/>
          <w:szCs w:val="21"/>
          <w:highlight w:val="none"/>
          <w:u w:val="single"/>
        </w:rPr>
        <w:t>（企业名称）</w:t>
      </w:r>
      <w:r>
        <w:rPr>
          <w:rFonts w:hint="default" w:ascii="Times New Roman" w:hAnsi="Times New Roman" w:eastAsia="宋体" w:cs="Times New Roman"/>
          <w:snapToGrid w:val="0"/>
          <w:szCs w:val="21"/>
          <w:highlight w:val="none"/>
        </w:rPr>
        <w:t>，从业人员</w:t>
      </w:r>
      <w:r>
        <w:rPr>
          <w:rFonts w:hint="default" w:ascii="Times New Roman" w:hAnsi="Times New Roman" w:eastAsia="宋体" w:cs="Times New Roman"/>
          <w:snapToGrid w:val="0"/>
          <w:szCs w:val="21"/>
          <w:highlight w:val="none"/>
          <w:u w:val="single"/>
        </w:rPr>
        <w:t xml:space="preserve">    </w:t>
      </w:r>
      <w:r>
        <w:rPr>
          <w:rFonts w:hint="default" w:ascii="Times New Roman" w:hAnsi="Times New Roman" w:eastAsia="宋体" w:cs="Times New Roman"/>
          <w:snapToGrid w:val="0"/>
          <w:szCs w:val="21"/>
          <w:highlight w:val="none"/>
        </w:rPr>
        <w:t>人，营业收入为</w:t>
      </w:r>
      <w:r>
        <w:rPr>
          <w:rFonts w:hint="default" w:ascii="Times New Roman" w:hAnsi="Times New Roman" w:eastAsia="宋体" w:cs="Times New Roman"/>
          <w:snapToGrid w:val="0"/>
          <w:szCs w:val="21"/>
          <w:highlight w:val="none"/>
          <w:u w:val="single"/>
        </w:rPr>
        <w:t xml:space="preserve">    </w:t>
      </w:r>
      <w:r>
        <w:rPr>
          <w:rFonts w:hint="default" w:ascii="Times New Roman" w:hAnsi="Times New Roman" w:eastAsia="宋体" w:cs="Times New Roman"/>
          <w:snapToGrid w:val="0"/>
          <w:szCs w:val="21"/>
          <w:highlight w:val="none"/>
        </w:rPr>
        <w:t>万元，资产总额为</w:t>
      </w:r>
      <w:r>
        <w:rPr>
          <w:rFonts w:hint="default" w:ascii="Times New Roman" w:hAnsi="Times New Roman" w:eastAsia="宋体" w:cs="Times New Roman"/>
          <w:snapToGrid w:val="0"/>
          <w:szCs w:val="21"/>
          <w:highlight w:val="none"/>
          <w:u w:val="single"/>
        </w:rPr>
        <w:t xml:space="preserve">    </w:t>
      </w:r>
      <w:r>
        <w:rPr>
          <w:rFonts w:hint="default" w:ascii="Times New Roman" w:hAnsi="Times New Roman" w:eastAsia="宋体" w:cs="Times New Roman"/>
          <w:snapToGrid w:val="0"/>
          <w:szCs w:val="21"/>
          <w:highlight w:val="none"/>
        </w:rPr>
        <w:t>万元</w:t>
      </w:r>
      <w:r>
        <w:rPr>
          <w:rFonts w:hint="default" w:ascii="Times New Roman" w:hAnsi="Times New Roman" w:eastAsia="宋体" w:cs="Times New Roman"/>
          <w:snapToGrid w:val="0"/>
          <w:szCs w:val="21"/>
          <w:highlight w:val="none"/>
          <w:vertAlign w:val="superscript"/>
        </w:rPr>
        <w:t>1</w:t>
      </w:r>
      <w:r>
        <w:rPr>
          <w:rFonts w:hint="default" w:ascii="Times New Roman" w:hAnsi="Times New Roman" w:eastAsia="宋体" w:cs="Times New Roman"/>
          <w:snapToGrid w:val="0"/>
          <w:szCs w:val="21"/>
          <w:highlight w:val="none"/>
        </w:rPr>
        <w:t>，属于</w:t>
      </w:r>
      <w:r>
        <w:rPr>
          <w:rFonts w:hint="default" w:ascii="Times New Roman" w:hAnsi="Times New Roman" w:eastAsia="宋体" w:cs="Times New Roman"/>
          <w:snapToGrid w:val="0"/>
          <w:szCs w:val="21"/>
          <w:highlight w:val="none"/>
          <w:u w:val="single"/>
        </w:rPr>
        <w:t>（中型企业、小型企业、微型企业）</w:t>
      </w:r>
      <w:r>
        <w:rPr>
          <w:rFonts w:hint="default" w:ascii="Times New Roman" w:hAnsi="Times New Roman" w:eastAsia="宋体" w:cs="Times New Roman"/>
          <w:snapToGrid w:val="0"/>
          <w:szCs w:val="21"/>
          <w:highlight w:val="none"/>
        </w:rPr>
        <w:t>；</w:t>
      </w:r>
    </w:p>
    <w:p w14:paraId="1A306C47">
      <w:pPr>
        <w:pStyle w:val="60"/>
        <w:pageBreakBefore w:val="0"/>
        <w:kinsoku/>
        <w:wordWrap/>
        <w:overflowPunct/>
        <w:topLinePunct w:val="0"/>
        <w:bidi w:val="0"/>
        <w:rPr>
          <w:rFonts w:hint="default" w:ascii="Times New Roman" w:hAnsi="Times New Roman" w:eastAsia="宋体" w:cs="Times New Roman"/>
          <w:sz w:val="21"/>
          <w:szCs w:val="21"/>
          <w:highlight w:val="none"/>
        </w:rPr>
      </w:pPr>
      <w:r>
        <w:rPr>
          <w:rFonts w:hint="default" w:ascii="Times New Roman" w:hAnsi="Times New Roman" w:eastAsia="宋体" w:cs="Times New Roman"/>
          <w:snapToGrid w:val="0"/>
          <w:sz w:val="21"/>
          <w:szCs w:val="21"/>
          <w:highlight w:val="none"/>
        </w:rPr>
        <w:t>2.</w:t>
      </w:r>
      <w:r>
        <w:rPr>
          <w:rFonts w:hint="default" w:ascii="Times New Roman" w:hAnsi="Times New Roman" w:eastAsia="宋体" w:cs="Times New Roman"/>
          <w:i/>
          <w:iCs/>
          <w:snapToGrid w:val="0"/>
          <w:sz w:val="21"/>
          <w:szCs w:val="21"/>
          <w:highlight w:val="none"/>
          <w:u w:val="single"/>
        </w:rPr>
        <w:t>（标的名称）</w:t>
      </w:r>
      <w:r>
        <w:rPr>
          <w:rFonts w:hint="default" w:ascii="Times New Roman" w:hAnsi="Times New Roman" w:eastAsia="宋体" w:cs="Times New Roman"/>
          <w:snapToGrid w:val="0"/>
          <w:sz w:val="21"/>
          <w:szCs w:val="21"/>
          <w:highlight w:val="none"/>
        </w:rPr>
        <w:t>，属于</w:t>
      </w:r>
      <w:r>
        <w:rPr>
          <w:rFonts w:hint="default" w:ascii="Times New Roman" w:hAnsi="Times New Roman" w:eastAsia="宋体" w:cs="Times New Roman"/>
          <w:snapToGrid w:val="0"/>
          <w:sz w:val="21"/>
          <w:szCs w:val="21"/>
          <w:highlight w:val="none"/>
          <w:u w:val="single"/>
        </w:rPr>
        <w:t>（其他未列明行业）</w:t>
      </w:r>
      <w:r>
        <w:rPr>
          <w:rFonts w:hint="default" w:ascii="Times New Roman" w:hAnsi="Times New Roman" w:eastAsia="宋体" w:cs="Times New Roman"/>
          <w:snapToGrid w:val="0"/>
          <w:sz w:val="21"/>
          <w:szCs w:val="21"/>
          <w:highlight w:val="none"/>
        </w:rPr>
        <w:t>行业；承建（承接）企业为</w:t>
      </w:r>
      <w:r>
        <w:rPr>
          <w:rFonts w:hint="default" w:ascii="Times New Roman" w:hAnsi="Times New Roman" w:eastAsia="宋体" w:cs="Times New Roman"/>
          <w:i/>
          <w:iCs/>
          <w:snapToGrid w:val="0"/>
          <w:sz w:val="21"/>
          <w:szCs w:val="21"/>
          <w:highlight w:val="none"/>
          <w:u w:val="single"/>
        </w:rPr>
        <w:t>（企业名称）</w:t>
      </w:r>
      <w:r>
        <w:rPr>
          <w:rFonts w:hint="default" w:ascii="Times New Roman" w:hAnsi="Times New Roman" w:eastAsia="宋体" w:cs="Times New Roman"/>
          <w:snapToGrid w:val="0"/>
          <w:sz w:val="21"/>
          <w:szCs w:val="21"/>
          <w:highlight w:val="none"/>
        </w:rPr>
        <w:t>，从业人员</w:t>
      </w:r>
      <w:r>
        <w:rPr>
          <w:rFonts w:hint="default" w:ascii="Times New Roman" w:hAnsi="Times New Roman" w:eastAsia="宋体" w:cs="Times New Roman"/>
          <w:snapToGrid w:val="0"/>
          <w:sz w:val="21"/>
          <w:szCs w:val="21"/>
          <w:highlight w:val="none"/>
          <w:u w:val="single"/>
        </w:rPr>
        <w:t xml:space="preserve">    </w:t>
      </w:r>
      <w:r>
        <w:rPr>
          <w:rFonts w:hint="default" w:ascii="Times New Roman" w:hAnsi="Times New Roman" w:eastAsia="宋体" w:cs="Times New Roman"/>
          <w:snapToGrid w:val="0"/>
          <w:sz w:val="21"/>
          <w:szCs w:val="21"/>
          <w:highlight w:val="none"/>
        </w:rPr>
        <w:t>人，营业收入为</w:t>
      </w:r>
      <w:r>
        <w:rPr>
          <w:rFonts w:hint="default" w:ascii="Times New Roman" w:hAnsi="Times New Roman" w:eastAsia="宋体" w:cs="Times New Roman"/>
          <w:snapToGrid w:val="0"/>
          <w:sz w:val="21"/>
          <w:szCs w:val="21"/>
          <w:highlight w:val="none"/>
          <w:u w:val="single"/>
        </w:rPr>
        <w:t xml:space="preserve">    </w:t>
      </w:r>
      <w:r>
        <w:rPr>
          <w:rFonts w:hint="default" w:ascii="Times New Roman" w:hAnsi="Times New Roman" w:eastAsia="宋体" w:cs="Times New Roman"/>
          <w:snapToGrid w:val="0"/>
          <w:sz w:val="21"/>
          <w:szCs w:val="21"/>
          <w:highlight w:val="none"/>
        </w:rPr>
        <w:t>万元，资产总额为</w:t>
      </w:r>
      <w:r>
        <w:rPr>
          <w:rFonts w:hint="default" w:ascii="Times New Roman" w:hAnsi="Times New Roman" w:eastAsia="宋体" w:cs="Times New Roman"/>
          <w:snapToGrid w:val="0"/>
          <w:sz w:val="21"/>
          <w:szCs w:val="21"/>
          <w:highlight w:val="none"/>
          <w:u w:val="single"/>
        </w:rPr>
        <w:t xml:space="preserve">    </w:t>
      </w:r>
      <w:r>
        <w:rPr>
          <w:rFonts w:hint="default" w:ascii="Times New Roman" w:hAnsi="Times New Roman" w:eastAsia="宋体" w:cs="Times New Roman"/>
          <w:snapToGrid w:val="0"/>
          <w:sz w:val="21"/>
          <w:szCs w:val="21"/>
          <w:highlight w:val="none"/>
        </w:rPr>
        <w:t>万元</w:t>
      </w:r>
      <w:r>
        <w:rPr>
          <w:rFonts w:hint="default" w:ascii="Times New Roman" w:hAnsi="Times New Roman" w:eastAsia="宋体" w:cs="Times New Roman"/>
          <w:snapToGrid w:val="0"/>
          <w:sz w:val="21"/>
          <w:szCs w:val="21"/>
          <w:highlight w:val="none"/>
          <w:vertAlign w:val="superscript"/>
        </w:rPr>
        <w:t>1</w:t>
      </w:r>
      <w:r>
        <w:rPr>
          <w:rFonts w:hint="default" w:ascii="Times New Roman" w:hAnsi="Times New Roman" w:eastAsia="宋体" w:cs="Times New Roman"/>
          <w:snapToGrid w:val="0"/>
          <w:sz w:val="21"/>
          <w:szCs w:val="21"/>
          <w:highlight w:val="none"/>
        </w:rPr>
        <w:t>，属于</w:t>
      </w:r>
      <w:r>
        <w:rPr>
          <w:rFonts w:hint="default" w:ascii="Times New Roman" w:hAnsi="Times New Roman" w:eastAsia="宋体" w:cs="Times New Roman"/>
          <w:snapToGrid w:val="0"/>
          <w:sz w:val="21"/>
          <w:szCs w:val="21"/>
          <w:highlight w:val="none"/>
          <w:u w:val="single"/>
        </w:rPr>
        <w:t>（中型企业、小型企业、微型企业）</w:t>
      </w:r>
      <w:r>
        <w:rPr>
          <w:rFonts w:hint="default" w:ascii="Times New Roman" w:hAnsi="Times New Roman" w:eastAsia="宋体" w:cs="Times New Roman"/>
          <w:snapToGrid w:val="0"/>
          <w:sz w:val="21"/>
          <w:szCs w:val="21"/>
          <w:highlight w:val="none"/>
        </w:rPr>
        <w:t>；</w:t>
      </w:r>
    </w:p>
    <w:p w14:paraId="72A1563F">
      <w:pPr>
        <w:pageBreakBefore w:val="0"/>
        <w:widowControl/>
        <w:kinsoku/>
        <w:wordWrap/>
        <w:overflowPunct/>
        <w:topLinePunct w:val="0"/>
        <w:bidi w:val="0"/>
        <w:spacing w:line="440" w:lineRule="exact"/>
        <w:ind w:firstLine="420" w:firstLineChars="2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w:t>
      </w:r>
    </w:p>
    <w:p w14:paraId="6C5ED660">
      <w:pPr>
        <w:pageBreakBefore w:val="0"/>
        <w:widowControl/>
        <w:kinsoku/>
        <w:wordWrap/>
        <w:overflowPunct/>
        <w:topLinePunct w:val="0"/>
        <w:bidi w:val="0"/>
        <w:spacing w:line="440" w:lineRule="exact"/>
        <w:ind w:firstLine="420" w:firstLineChars="2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以上企业，不属于大企业的分支机构，不存在控股股东为大企业的情形，也不存在与大企业的负责人为同一人的情形。</w:t>
      </w:r>
    </w:p>
    <w:p w14:paraId="2BC21F03">
      <w:pPr>
        <w:pageBreakBefore w:val="0"/>
        <w:widowControl/>
        <w:kinsoku/>
        <w:wordWrap/>
        <w:overflowPunct/>
        <w:topLinePunct w:val="0"/>
        <w:bidi w:val="0"/>
        <w:spacing w:line="440" w:lineRule="exact"/>
        <w:ind w:firstLine="420" w:firstLineChars="2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本企业对上述声明内容的真实性负责。如有虚假，将依法承担相应责任。</w:t>
      </w:r>
    </w:p>
    <w:p w14:paraId="1CEE4915">
      <w:pPr>
        <w:pStyle w:val="60"/>
        <w:pageBreakBefore w:val="0"/>
        <w:kinsoku/>
        <w:wordWrap/>
        <w:overflowPunct/>
        <w:topLinePunct w:val="0"/>
        <w:bidi w:val="0"/>
        <w:rPr>
          <w:rFonts w:hint="default" w:ascii="Times New Roman" w:hAnsi="Times New Roman" w:eastAsia="宋体" w:cs="Times New Roman"/>
          <w:highlight w:val="none"/>
        </w:rPr>
      </w:pPr>
    </w:p>
    <w:p w14:paraId="77ABB62B">
      <w:pPr>
        <w:pageBreakBefore w:val="0"/>
        <w:widowControl/>
        <w:kinsoku/>
        <w:wordWrap/>
        <w:overflowPunct/>
        <w:topLinePunct w:val="0"/>
        <w:bidi w:val="0"/>
        <w:spacing w:line="440" w:lineRule="exact"/>
        <w:ind w:firstLine="5040" w:firstLineChars="24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 xml:space="preserve">企业名称（盖章）： </w:t>
      </w:r>
    </w:p>
    <w:p w14:paraId="5104F926">
      <w:pPr>
        <w:pageBreakBefore w:val="0"/>
        <w:widowControl/>
        <w:kinsoku/>
        <w:wordWrap/>
        <w:overflowPunct/>
        <w:topLinePunct w:val="0"/>
        <w:bidi w:val="0"/>
        <w:spacing w:line="440" w:lineRule="exact"/>
        <w:ind w:firstLine="5040" w:firstLineChars="2400"/>
        <w:jc w:val="left"/>
        <w:rPr>
          <w:rFonts w:hint="default" w:ascii="Times New Roman" w:hAnsi="Times New Roman" w:eastAsia="宋体" w:cs="Times New Roman"/>
          <w:snapToGrid w:val="0"/>
          <w:szCs w:val="21"/>
          <w:highlight w:val="none"/>
        </w:rPr>
      </w:pPr>
      <w:r>
        <w:rPr>
          <w:rFonts w:hint="default" w:ascii="Times New Roman" w:hAnsi="Times New Roman" w:eastAsia="宋体" w:cs="Times New Roman"/>
          <w:snapToGrid w:val="0"/>
          <w:szCs w:val="21"/>
          <w:highlight w:val="none"/>
        </w:rPr>
        <w:t>日 期：</w:t>
      </w:r>
    </w:p>
    <w:p w14:paraId="6C3667F9">
      <w:pPr>
        <w:pStyle w:val="60"/>
        <w:pageBreakBefore w:val="0"/>
        <w:kinsoku/>
        <w:wordWrap/>
        <w:overflowPunct/>
        <w:topLinePunct w:val="0"/>
        <w:bidi w:val="0"/>
        <w:ind w:firstLine="0"/>
        <w:rPr>
          <w:rFonts w:hint="default" w:ascii="Times New Roman" w:hAnsi="Times New Roman" w:eastAsia="宋体" w:cs="Times New Roman"/>
          <w:snapToGrid w:val="0"/>
          <w:szCs w:val="21"/>
          <w:highlight w:val="none"/>
        </w:rPr>
      </w:pPr>
    </w:p>
    <w:p w14:paraId="2793D7B4">
      <w:pPr>
        <w:pStyle w:val="60"/>
        <w:pageBreakBefore w:val="0"/>
        <w:kinsoku/>
        <w:wordWrap/>
        <w:overflowPunct/>
        <w:topLinePunct w:val="0"/>
        <w:bidi w:val="0"/>
        <w:ind w:firstLine="0"/>
        <w:rPr>
          <w:rFonts w:hint="default" w:ascii="Times New Roman" w:hAnsi="Times New Roman" w:eastAsia="宋体" w:cs="Times New Roman"/>
          <w:snapToGrid w:val="0"/>
          <w:szCs w:val="21"/>
          <w:highlight w:val="none"/>
        </w:rPr>
      </w:pPr>
    </w:p>
    <w:p w14:paraId="4A1732DC">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备注1：从业人员、营业收入、资产总额填报上一年度数据，无上一年度数据的新成立企业可不填报。</w:t>
      </w:r>
    </w:p>
    <w:p w14:paraId="371AC381">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p>
    <w:p w14:paraId="53F4FCCA">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color w:val="000000"/>
          <w:szCs w:val="21"/>
          <w:highlight w:val="none"/>
        </w:rPr>
      </w:pPr>
    </w:p>
    <w:p w14:paraId="4F124120">
      <w:pPr>
        <w:pageBreakBefore w:val="0"/>
        <w:kinsoku/>
        <w:wordWrap/>
        <w:overflowPunct/>
        <w:topLinePunct w:val="0"/>
        <w:bidi w:val="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br w:type="page"/>
      </w:r>
    </w:p>
    <w:p w14:paraId="236E6811">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（2）残疾人福利性单位声明函格式</w:t>
      </w:r>
    </w:p>
    <w:p w14:paraId="5D9B11B1">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p>
    <w:p w14:paraId="21029203">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jc w:val="center"/>
        <w:outlineLvl w:val="0"/>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t>残疾人福利性单位声明函</w:t>
      </w:r>
    </w:p>
    <w:p w14:paraId="7AA84757">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default" w:ascii="Times New Roman" w:hAnsi="Times New Roman" w:eastAsia="宋体" w:cs="Times New Roman"/>
          <w:color w:val="000000"/>
          <w:szCs w:val="21"/>
          <w:highlight w:val="none"/>
          <w:u w:val="single"/>
        </w:rPr>
        <w:t>               </w:t>
      </w:r>
      <w:r>
        <w:rPr>
          <w:rFonts w:hint="default" w:ascii="Times New Roman" w:hAnsi="Times New Roman" w:eastAsia="宋体" w:cs="Times New Roman"/>
          <w:color w:val="000000"/>
          <w:szCs w:val="21"/>
          <w:highlight w:val="none"/>
        </w:rPr>
        <w:t>单位的</w:t>
      </w:r>
      <w:r>
        <w:rPr>
          <w:rFonts w:hint="default" w:ascii="Times New Roman" w:hAnsi="Times New Roman" w:eastAsia="宋体" w:cs="Times New Roman"/>
          <w:color w:val="000000"/>
          <w:szCs w:val="21"/>
          <w:highlight w:val="none"/>
          <w:u w:val="single"/>
        </w:rPr>
        <w:t>           </w:t>
      </w:r>
      <w:r>
        <w:rPr>
          <w:rFonts w:hint="default" w:ascii="Times New Roman" w:hAnsi="Times New Roman" w:eastAsia="宋体" w:cs="Times New Roman"/>
          <w:color w:val="000000"/>
          <w:szCs w:val="21"/>
          <w:highlight w:val="none"/>
        </w:rPr>
        <w:t>   项目采购活动提供本单位制造的货物（由本单位承担工程/提供服务），或者提供其他残疾人福利性单位制造的货物（不包括使用非残疾人福利性单位注册商标的货物）。</w:t>
      </w:r>
    </w:p>
    <w:p w14:paraId="24C5D509">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本单位对上述声明的真实性负责。如有虚假，将依法承担相应责任。</w:t>
      </w:r>
    </w:p>
    <w:p w14:paraId="548A7AA2">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p w14:paraId="5F8F73D0">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p w14:paraId="1D5AE009">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投标人名称（加盖公章）：</w:t>
      </w:r>
    </w:p>
    <w:p w14:paraId="42517B35">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日   期：二〇二五年    月    日</w:t>
      </w:r>
    </w:p>
    <w:p w14:paraId="4AF07419">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clear="all"/>
      </w:r>
    </w:p>
    <w:p w14:paraId="05A2C6BE">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（3）属于监狱企业的证明文件</w:t>
      </w:r>
    </w:p>
    <w:p w14:paraId="50AF0A77">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提供由省级以上监狱管理局、戒毒管理局(含新疆生产建设兵团)出具的属于监狱企业的证明文件</w:t>
      </w:r>
    </w:p>
    <w:p w14:paraId="66314DD8">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（4）节能产品认证文件</w:t>
      </w:r>
    </w:p>
    <w:p w14:paraId="0C8456C6">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提供有效的节能产品认证证书复印件</w:t>
      </w:r>
    </w:p>
    <w:p w14:paraId="4C01B4B5">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（5）环境标志产品认证文件</w:t>
      </w:r>
    </w:p>
    <w:p w14:paraId="787E683B">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ind w:firstLine="56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提供有效的环境标志产品认证证书复印件</w:t>
      </w:r>
    </w:p>
    <w:p w14:paraId="24718F87">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（6）提供节能产品、环境标志产品清单表</w:t>
      </w:r>
    </w:p>
    <w:tbl>
      <w:tblPr>
        <w:tblStyle w:val="49"/>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04"/>
        <w:gridCol w:w="1985"/>
        <w:gridCol w:w="985"/>
        <w:gridCol w:w="1424"/>
        <w:gridCol w:w="1276"/>
        <w:gridCol w:w="2126"/>
      </w:tblGrid>
      <w:tr w14:paraId="02604C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jc w:val="center"/>
        </w:trPr>
        <w:tc>
          <w:tcPr>
            <w:tcW w:w="8500"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39BFDB1">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项目编号：</w:t>
            </w:r>
          </w:p>
        </w:tc>
      </w:tr>
      <w:tr w14:paraId="26EC9B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3" w:hRule="atLeast"/>
          <w:jc w:val="center"/>
        </w:trPr>
        <w:tc>
          <w:tcPr>
            <w:tcW w:w="70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35E5630">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序号</w:t>
            </w:r>
          </w:p>
        </w:tc>
        <w:tc>
          <w:tcPr>
            <w:tcW w:w="19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51D5771">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产品名称</w:t>
            </w:r>
          </w:p>
        </w:tc>
        <w:tc>
          <w:tcPr>
            <w:tcW w:w="9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1B05907">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数量</w:t>
            </w:r>
          </w:p>
        </w:tc>
        <w:tc>
          <w:tcPr>
            <w:tcW w:w="142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5542642">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单价（元）</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84C54BF">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总额（元）</w:t>
            </w:r>
          </w:p>
        </w:tc>
        <w:tc>
          <w:tcPr>
            <w:tcW w:w="212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35BE1A6">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产品制造商名称</w:t>
            </w:r>
          </w:p>
        </w:tc>
      </w:tr>
      <w:tr w14:paraId="25EEF2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jc w:val="center"/>
        </w:trPr>
        <w:tc>
          <w:tcPr>
            <w:tcW w:w="8500" w:type="dxa"/>
            <w:gridSpan w:val="6"/>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E0FF9CC">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节能产品</w:t>
            </w:r>
          </w:p>
        </w:tc>
      </w:tr>
      <w:tr w14:paraId="64870B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jc w:val="center"/>
        </w:trPr>
        <w:tc>
          <w:tcPr>
            <w:tcW w:w="70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AE79D0A">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19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2806E8A">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9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41D58CF">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142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4E4CB47">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857379D">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212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4FD4D30">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r>
      <w:tr w14:paraId="72199F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jc w:val="center"/>
        </w:trPr>
        <w:tc>
          <w:tcPr>
            <w:tcW w:w="8500" w:type="dxa"/>
            <w:gridSpan w:val="6"/>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BCCFD2E">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环境标志产品</w:t>
            </w:r>
          </w:p>
        </w:tc>
      </w:tr>
      <w:tr w14:paraId="38D9B7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jc w:val="center"/>
        </w:trPr>
        <w:tc>
          <w:tcPr>
            <w:tcW w:w="70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BFE8C40">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19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F5749CB">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9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2B6C2B7">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142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858DBBF">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3F2EC21">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c>
          <w:tcPr>
            <w:tcW w:w="212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9597B3D">
            <w:pPr>
              <w:pageBreakBefore w:val="0"/>
              <w:pBdr>
                <w:top w:val="none" w:color="000000" w:sz="0" w:space="0"/>
                <w:left w:val="none" w:color="000000" w:sz="0" w:space="0"/>
                <w:bottom w:val="none" w:color="000000" w:sz="0" w:space="0"/>
                <w:right w:val="none" w:color="000000" w:sz="0" w:space="0"/>
              </w:pBdr>
              <w:kinsoku/>
              <w:wordWrap/>
              <w:overflowPunct/>
              <w:topLinePunct w:val="0"/>
              <w:bidi w:val="0"/>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tc>
      </w:tr>
    </w:tbl>
    <w:p w14:paraId="135E38B3">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 </w:t>
      </w:r>
    </w:p>
    <w:p w14:paraId="20B1E0AE">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投标人名称（加盖公章）：</w:t>
      </w:r>
    </w:p>
    <w:p w14:paraId="630528C8">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szCs w:val="21"/>
          <w:highlight w:val="none"/>
        </w:rPr>
      </w:pPr>
      <w:r>
        <w:rPr>
          <w:rFonts w:hint="default" w:ascii="Times New Roman" w:hAnsi="Times New Roman" w:eastAsia="宋体" w:cs="Times New Roman"/>
          <w:color w:val="000000"/>
          <w:szCs w:val="21"/>
          <w:highlight w:val="none"/>
        </w:rPr>
        <w:t>日   期：二〇二五年    月    日</w:t>
      </w:r>
    </w:p>
    <w:p w14:paraId="57FA7BFD">
      <w:pPr>
        <w:pageBreakBefore w:val="0"/>
        <w:kinsoku/>
        <w:wordWrap/>
        <w:overflowPunct/>
        <w:topLinePunct w:val="0"/>
        <w:bidi w:val="0"/>
        <w:spacing w:line="360" w:lineRule="auto"/>
        <w:rPr>
          <w:rFonts w:hint="default" w:ascii="Times New Roman" w:hAnsi="Times New Roman" w:eastAsia="宋体" w:cs="Times New Roman"/>
          <w:bCs/>
          <w:highlight w:val="none"/>
        </w:rPr>
      </w:pPr>
    </w:p>
    <w:p w14:paraId="0DC4A948">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（7）进口产品转让技术、消化吸收再创新方案</w:t>
      </w:r>
    </w:p>
    <w:p w14:paraId="37DD10DA">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79" w:lineRule="atLeas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（对于允许进口产品参加的项目）</w:t>
      </w:r>
    </w:p>
    <w:p w14:paraId="176AE3CF">
      <w:pPr>
        <w:pageBreakBefore w:val="0"/>
        <w:kinsoku/>
        <w:wordWrap/>
        <w:overflowPunct/>
        <w:topLinePunct w:val="0"/>
        <w:bidi w:val="0"/>
        <w:spacing w:line="360" w:lineRule="auto"/>
        <w:rPr>
          <w:rFonts w:hint="default" w:ascii="Times New Roman" w:hAnsi="Times New Roman" w:eastAsia="宋体" w:cs="Times New Roman"/>
          <w:b/>
          <w:bCs/>
          <w:highlight w:val="none"/>
        </w:rPr>
      </w:pPr>
    </w:p>
    <w:p w14:paraId="4AE942B7">
      <w:pPr>
        <w:pageBreakBefore w:val="0"/>
        <w:kinsoku/>
        <w:wordWrap/>
        <w:overflowPunct/>
        <w:topLinePunct w:val="0"/>
        <w:bidi w:val="0"/>
        <w:rPr>
          <w:rFonts w:hint="default" w:ascii="Times New Roman" w:hAnsi="Times New Roman" w:eastAsia="宋体" w:cs="Times New Roman"/>
          <w:b/>
          <w:highlight w:val="none"/>
        </w:rPr>
      </w:pPr>
      <w:r>
        <w:rPr>
          <w:rFonts w:hint="default" w:ascii="Times New Roman" w:hAnsi="Times New Roman" w:eastAsia="宋体" w:cs="Times New Roman"/>
          <w:b/>
          <w:highlight w:val="none"/>
        </w:rPr>
        <w:br w:type="page" w:clear="all"/>
      </w:r>
    </w:p>
    <w:p w14:paraId="71B142B7">
      <w:pPr>
        <w:pageBreakBefore w:val="0"/>
        <w:kinsoku/>
        <w:wordWrap/>
        <w:overflowPunct/>
        <w:topLinePunct w:val="0"/>
        <w:bidi w:val="0"/>
        <w:spacing w:line="360" w:lineRule="auto"/>
        <w:rPr>
          <w:rFonts w:hint="default" w:ascii="Times New Roman" w:hAnsi="Times New Roman" w:eastAsia="宋体" w:cs="Times New Roman"/>
          <w:b/>
          <w:highlight w:val="none"/>
        </w:rPr>
      </w:pPr>
      <w:r>
        <w:rPr>
          <w:rFonts w:hint="default" w:ascii="Times New Roman" w:hAnsi="Times New Roman" w:eastAsia="宋体" w:cs="Times New Roman"/>
          <w:b/>
          <w:highlight w:val="none"/>
        </w:rPr>
        <w:t>附件十一、无重大违法记录声明格式</w:t>
      </w:r>
    </w:p>
    <w:p w14:paraId="38595753">
      <w:pPr>
        <w:pageBreakBefore w:val="0"/>
        <w:kinsoku/>
        <w:wordWrap/>
        <w:overflowPunct/>
        <w:topLinePunct w:val="0"/>
        <w:bidi w:val="0"/>
        <w:spacing w:line="240" w:lineRule="atLeast"/>
        <w:jc w:val="center"/>
        <w:rPr>
          <w:rFonts w:hint="default" w:ascii="Times New Roman" w:hAnsi="Times New Roman" w:eastAsia="宋体" w:cs="Times New Roman"/>
          <w:sz w:val="28"/>
          <w:szCs w:val="36"/>
          <w:highlight w:val="none"/>
        </w:rPr>
      </w:pPr>
    </w:p>
    <w:p w14:paraId="5677D3E8">
      <w:pPr>
        <w:pageBreakBefore w:val="0"/>
        <w:kinsoku/>
        <w:wordWrap/>
        <w:overflowPunct/>
        <w:topLinePunct w:val="0"/>
        <w:bidi w:val="0"/>
        <w:spacing w:line="240" w:lineRule="atLeast"/>
        <w:jc w:val="center"/>
        <w:rPr>
          <w:rFonts w:hint="default" w:ascii="Times New Roman" w:hAnsi="Times New Roman" w:eastAsia="宋体" w:cs="Times New Roman"/>
          <w:sz w:val="28"/>
          <w:szCs w:val="36"/>
          <w:highlight w:val="none"/>
        </w:rPr>
      </w:pPr>
      <w:r>
        <w:rPr>
          <w:rFonts w:hint="default" w:ascii="Times New Roman" w:hAnsi="Times New Roman" w:eastAsia="宋体" w:cs="Times New Roman"/>
          <w:sz w:val="28"/>
          <w:szCs w:val="36"/>
          <w:highlight w:val="none"/>
        </w:rPr>
        <w:t>无重大违法记录声明</w:t>
      </w:r>
    </w:p>
    <w:p w14:paraId="4E09536E">
      <w:pPr>
        <w:pageBreakBefore w:val="0"/>
        <w:kinsoku/>
        <w:wordWrap/>
        <w:overflowPunct/>
        <w:topLinePunct w:val="0"/>
        <w:bidi w:val="0"/>
        <w:spacing w:line="360" w:lineRule="auto"/>
        <w:rPr>
          <w:rFonts w:hint="default" w:ascii="Times New Roman" w:hAnsi="Times New Roman" w:eastAsia="宋体" w:cs="Times New Roman"/>
          <w:szCs w:val="21"/>
          <w:highlight w:val="none"/>
        </w:rPr>
      </w:pPr>
    </w:p>
    <w:p w14:paraId="25F2D656">
      <w:pPr>
        <w:pageBreakBefore w:val="0"/>
        <w:kinsoku/>
        <w:wordWrap/>
        <w:overflowPunct/>
        <w:topLinePunct w:val="0"/>
        <w:bidi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江苏省设备成套股份有限公司：</w:t>
      </w:r>
    </w:p>
    <w:p w14:paraId="23D96844">
      <w:pPr>
        <w:pageBreakBefore w:val="0"/>
        <w:kinsoku/>
        <w:wordWrap/>
        <w:overflowPunct/>
        <w:topLinePunct w:val="0"/>
        <w:bidi w:val="0"/>
        <w:spacing w:line="360" w:lineRule="auto"/>
        <w:rPr>
          <w:rFonts w:hint="default" w:ascii="Times New Roman" w:hAnsi="Times New Roman" w:eastAsia="宋体" w:cs="Times New Roman"/>
          <w:highlight w:val="none"/>
        </w:rPr>
      </w:pPr>
    </w:p>
    <w:p w14:paraId="07B5A065">
      <w:pPr>
        <w:pageBreakBefore w:val="0"/>
        <w:kinsoku/>
        <w:wordWrap/>
        <w:overflowPunct/>
        <w:topLinePunct w:val="0"/>
        <w:bidi w:val="0"/>
        <w:spacing w:line="360" w:lineRule="auto"/>
        <w:ind w:firstLine="336" w:firstLineChars="160"/>
        <w:rPr>
          <w:rFonts w:hint="default" w:ascii="Times New Roman" w:hAnsi="Times New Roman" w:eastAsia="宋体" w:cs="Times New Roman"/>
          <w:highlight w:val="none"/>
        </w:rPr>
      </w:pPr>
      <w:r>
        <w:rPr>
          <w:rFonts w:hint="default" w:ascii="Times New Roman" w:hAnsi="Times New Roman" w:eastAsia="宋体" w:cs="Times New Roman"/>
          <w:highlight w:val="none"/>
        </w:rPr>
        <w:t>我单位（供应商名称）郑重声明：</w:t>
      </w:r>
    </w:p>
    <w:p w14:paraId="7E2D3925">
      <w:pPr>
        <w:pageBreakBefore w:val="0"/>
        <w:widowControl/>
        <w:shd w:val="clear" w:color="auto" w:fill="FFFFFF"/>
        <w:kinsoku/>
        <w:wordWrap/>
        <w:overflowPunct/>
        <w:topLinePunct w:val="0"/>
        <w:bidi w:val="0"/>
        <w:spacing w:line="360" w:lineRule="auto"/>
        <w:ind w:firstLine="308" w:firstLineChars="147"/>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我单位</w:t>
      </w:r>
      <w:r>
        <w:rPr>
          <w:rFonts w:hint="default" w:ascii="Times New Roman" w:hAnsi="Times New Roman" w:eastAsia="宋体" w:cs="Times New Roman"/>
          <w:highlight w:val="none"/>
        </w:rPr>
        <w:t>参加政府采购活动前3年内在经营活动中（</w:t>
      </w:r>
      <w:r>
        <w:rPr>
          <w:rFonts w:hint="default" w:ascii="Times New Roman" w:hAnsi="Times New Roman" w:eastAsia="宋体" w:cs="Times New Roman"/>
          <w:b/>
          <w:i/>
          <w:highlight w:val="none"/>
          <w:u w:val="single"/>
        </w:rPr>
        <w:t>在下划线上如实填写：有或没有</w:t>
      </w:r>
      <w:r>
        <w:rPr>
          <w:rFonts w:hint="default" w:ascii="Times New Roman" w:hAnsi="Times New Roman" w:eastAsia="宋体" w:cs="Times New Roman"/>
          <w:highlight w:val="none"/>
        </w:rPr>
        <w:t>）</w:t>
      </w:r>
      <w:r>
        <w:rPr>
          <w:rFonts w:hint="default" w:ascii="Times New Roman" w:hAnsi="Times New Roman" w:eastAsia="宋体" w:cs="Times New Roman"/>
          <w:b/>
          <w:highlight w:val="none"/>
        </w:rPr>
        <w:t>重大违法记录</w:t>
      </w:r>
      <w:r>
        <w:rPr>
          <w:rFonts w:hint="default" w:ascii="Times New Roman" w:hAnsi="Times New Roman" w:eastAsia="宋体" w:cs="Times New Roman"/>
          <w:b/>
          <w:szCs w:val="21"/>
          <w:highlight w:val="none"/>
        </w:rPr>
        <w:t>，且不是失信被执行人、重大税收违法失信主体名单、政府采购严重违法失信行为记录名单的供应商。</w:t>
      </w:r>
    </w:p>
    <w:p w14:paraId="61DFBE15">
      <w:pPr>
        <w:pageBreakBefore w:val="0"/>
        <w:kinsoku/>
        <w:wordWrap/>
        <w:overflowPunct/>
        <w:topLinePunct w:val="0"/>
        <w:bidi w:val="0"/>
        <w:spacing w:line="360" w:lineRule="auto"/>
        <w:ind w:firstLine="420" w:firstLineChars="200"/>
        <w:rPr>
          <w:rFonts w:hint="default" w:ascii="Times New Roman" w:hAnsi="Times New Roman" w:eastAsia="宋体" w:cs="Times New Roman"/>
          <w:highlight w:val="none"/>
        </w:rPr>
      </w:pPr>
    </w:p>
    <w:p w14:paraId="1038480C">
      <w:pPr>
        <w:pageBreakBefore w:val="0"/>
        <w:kinsoku/>
        <w:wordWrap/>
        <w:overflowPunct/>
        <w:topLinePunct w:val="0"/>
        <w:bidi w:val="0"/>
        <w:spacing w:line="360" w:lineRule="auto"/>
        <w:ind w:firstLine="315" w:firstLineChars="150"/>
        <w:rPr>
          <w:rFonts w:hint="default" w:ascii="Times New Roman" w:hAnsi="Times New Roman" w:eastAsia="宋体" w:cs="Times New Roman"/>
          <w:highlight w:val="none"/>
        </w:rPr>
      </w:pPr>
      <w:r>
        <w:rPr>
          <w:rFonts w:hint="default" w:ascii="Times New Roman" w:hAnsi="Times New Roman" w:eastAsia="宋体" w:cs="Times New Roman"/>
          <w:highlight w:val="none"/>
        </w:rPr>
        <w:t>（说明：政府采购法第二十二条第一款第五项所称重大违法记录，是指供应商因违法经营受到刑事处罚或者责令停产停业、吊销许可证或者执照、较大数额罚款等行政处罚。）</w:t>
      </w:r>
    </w:p>
    <w:p w14:paraId="58DCF0BE">
      <w:pPr>
        <w:pageBreakBefore w:val="0"/>
        <w:kinsoku/>
        <w:wordWrap/>
        <w:overflowPunct/>
        <w:topLinePunct w:val="0"/>
        <w:bidi w:val="0"/>
        <w:spacing w:line="360" w:lineRule="auto"/>
        <w:rPr>
          <w:rFonts w:hint="default" w:ascii="Times New Roman" w:hAnsi="Times New Roman" w:eastAsia="宋体" w:cs="Times New Roman"/>
          <w:highlight w:val="none"/>
        </w:rPr>
      </w:pPr>
    </w:p>
    <w:p w14:paraId="6BFEEA29">
      <w:pPr>
        <w:pageBreakBefore w:val="0"/>
        <w:kinsoku/>
        <w:wordWrap/>
        <w:overflowPunct/>
        <w:topLinePunct w:val="0"/>
        <w:bidi w:val="0"/>
        <w:spacing w:line="360" w:lineRule="auto"/>
        <w:rPr>
          <w:rFonts w:hint="default" w:ascii="Times New Roman" w:hAnsi="Times New Roman" w:eastAsia="宋体" w:cs="Times New Roman"/>
          <w:highlight w:val="none"/>
        </w:rPr>
      </w:pPr>
    </w:p>
    <w:p w14:paraId="72889C33">
      <w:pPr>
        <w:pageBreakBefore w:val="0"/>
        <w:kinsoku/>
        <w:wordWrap/>
        <w:overflowPunct/>
        <w:topLinePunct w:val="0"/>
        <w:bidi w:val="0"/>
        <w:spacing w:line="360" w:lineRule="auto"/>
        <w:ind w:firstLine="5103" w:firstLineChars="2430"/>
        <w:jc w:val="right"/>
        <w:rPr>
          <w:rFonts w:hint="default" w:ascii="Times New Roman" w:hAnsi="Times New Roman" w:eastAsia="宋体" w:cs="Times New Roman"/>
          <w:highlight w:val="none"/>
        </w:rPr>
      </w:pPr>
      <w:r>
        <w:rPr>
          <w:rFonts w:hint="default" w:ascii="Times New Roman" w:hAnsi="Times New Roman" w:eastAsia="宋体" w:cs="Times New Roman"/>
          <w:highlight w:val="none"/>
        </w:rPr>
        <w:t>声明人：（公章）</w:t>
      </w:r>
    </w:p>
    <w:p w14:paraId="4A8AE823">
      <w:pPr>
        <w:pageBreakBefore w:val="0"/>
        <w:kinsoku/>
        <w:wordWrap/>
        <w:overflowPunct/>
        <w:topLinePunct w:val="0"/>
        <w:bidi w:val="0"/>
        <w:spacing w:line="360" w:lineRule="auto"/>
        <w:jc w:val="right"/>
        <w:rPr>
          <w:rFonts w:hint="default" w:ascii="Times New Roman" w:hAnsi="Times New Roman" w:eastAsia="宋体" w:cs="Times New Roman"/>
          <w:highlight w:val="none"/>
          <w:lang w:val="zh-CN"/>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highlight w:val="none"/>
        </w:rPr>
        <w:t xml:space="preserve">   </w:t>
      </w:r>
      <w:r>
        <w:rPr>
          <w:rFonts w:hint="default" w:ascii="Times New Roman" w:hAnsi="Times New Roman" w:eastAsia="宋体" w:cs="Times New Roman"/>
          <w:highlight w:val="none"/>
          <w:lang w:val="zh-CN"/>
        </w:rPr>
        <w:t>日期：年</w:t>
      </w:r>
      <w:r>
        <w:rPr>
          <w:rFonts w:hint="default" w:ascii="Times New Roman" w:hAnsi="Times New Roman" w:eastAsia="宋体" w:cs="Times New Roman"/>
          <w:highlight w:val="none"/>
        </w:rPr>
        <w:t xml:space="preserve">  </w:t>
      </w:r>
      <w:r>
        <w:rPr>
          <w:rFonts w:hint="default" w:ascii="Times New Roman" w:hAnsi="Times New Roman" w:eastAsia="宋体" w:cs="Times New Roman"/>
          <w:highlight w:val="none"/>
          <w:lang w:val="zh-CN"/>
        </w:rPr>
        <w:t>月</w:t>
      </w:r>
    </w:p>
    <w:p w14:paraId="68AB7EAB">
      <w:pPr>
        <w:pageBreakBefore w:val="0"/>
        <w:kinsoku/>
        <w:wordWrap/>
        <w:overflowPunct/>
        <w:topLinePunct w:val="0"/>
        <w:bidi w:val="0"/>
        <w:spacing w:line="360" w:lineRule="auto"/>
        <w:jc w:val="left"/>
        <w:rPr>
          <w:rFonts w:hint="default" w:ascii="Times New Roman" w:hAnsi="Times New Roman" w:eastAsia="宋体" w:cs="Times New Roman"/>
          <w:b/>
          <w:highlight w:val="none"/>
        </w:rPr>
      </w:pPr>
      <w:r>
        <w:rPr>
          <w:rFonts w:hint="default" w:ascii="Times New Roman" w:hAnsi="Times New Roman" w:eastAsia="宋体" w:cs="Times New Roman"/>
          <w:highlight w:val="none"/>
          <w:lang w:val="zh-CN"/>
        </w:rPr>
        <w:br w:type="page"/>
      </w:r>
      <w:r>
        <w:rPr>
          <w:rFonts w:hint="default" w:ascii="Times New Roman" w:hAnsi="Times New Roman" w:eastAsia="宋体" w:cs="Times New Roman"/>
          <w:b/>
          <w:highlight w:val="none"/>
        </w:rPr>
        <w:t>附件十二、资格证明文件</w:t>
      </w:r>
    </w:p>
    <w:p w14:paraId="162764AE">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（1）具有独立承担民事责任的能力（提供法人或者其他组织的营业执照；供应商为自然人的，提供其身份证）；</w:t>
      </w:r>
    </w:p>
    <w:p w14:paraId="004E12AC">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（2）具有良好的商业信誉和健全的财务会计制度（提供2024年度经审计的财务报告，或投标截止时间前六个月内银行出具的资信证明）；</w:t>
      </w:r>
    </w:p>
    <w:p w14:paraId="4E2F1172">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（3）具有履行合同所必需的设备和专业技术能力（供应商根据履行采购项目合同需要，提供履行合同所必需的设备和专业技术能力的证明材料）；</w:t>
      </w:r>
    </w:p>
    <w:p w14:paraId="7EBD2EC2">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（4）有依法缴纳税收和社会保障资金的良好记录（提供参加本次政府采购活动前半年内至少一个月：①缴纳税收的凭证；②缴纳社会保险的凭据），依法享受免缴、缓缴的，提供证明材料；</w:t>
      </w:r>
    </w:p>
    <w:p w14:paraId="3AB7C9BB">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（5）参加政府采购活动前三年内，在经营活动中没有重大违法记录（提供</w:t>
      </w:r>
      <w:r>
        <w:rPr>
          <w:rFonts w:hint="default" w:ascii="Times New Roman" w:hAnsi="Times New Roman" w:eastAsia="宋体" w:cs="Times New Roman"/>
          <w:szCs w:val="21"/>
          <w:highlight w:val="none"/>
          <w:shd w:val="clear" w:color="auto" w:fill="FFFFFF"/>
        </w:rPr>
        <w:t>无重大违法记录声明</w:t>
      </w:r>
      <w:r>
        <w:rPr>
          <w:rFonts w:hint="default" w:ascii="Times New Roman" w:hAnsi="Times New Roman" w:eastAsia="宋体" w:cs="Times New Roman"/>
          <w:bCs/>
          <w:szCs w:val="21"/>
          <w:highlight w:val="none"/>
        </w:rPr>
        <w:t>）；</w:t>
      </w:r>
    </w:p>
    <w:p w14:paraId="37C2CB26">
      <w:pPr>
        <w:pageBreakBefore w:val="0"/>
        <w:kinsoku/>
        <w:wordWrap/>
        <w:overflowPunct/>
        <w:topLinePunct w:val="0"/>
        <w:bidi w:val="0"/>
        <w:spacing w:line="360" w:lineRule="auto"/>
        <w:ind w:firstLine="42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（6）法律、行政法规规定的其他条件：无；</w:t>
      </w:r>
    </w:p>
    <w:p w14:paraId="46F83DD5">
      <w:pPr>
        <w:pageBreakBefore w:val="0"/>
        <w:kinsoku/>
        <w:wordWrap/>
        <w:overflowPunct/>
        <w:topLinePunct w:val="0"/>
        <w:bidi w:val="0"/>
        <w:spacing w:line="360" w:lineRule="auto"/>
        <w:rPr>
          <w:rFonts w:hint="default" w:ascii="Times New Roman" w:hAnsi="Times New Roman" w:eastAsia="宋体" w:cs="Times New Roman"/>
          <w:b/>
          <w:highlight w:val="none"/>
        </w:rPr>
      </w:pPr>
    </w:p>
    <w:p w14:paraId="3C68E3BA">
      <w:pPr>
        <w:pageBreakBefore w:val="0"/>
        <w:kinsoku/>
        <w:wordWrap/>
        <w:overflowPunct/>
        <w:topLinePunct w:val="0"/>
        <w:bidi w:val="0"/>
        <w:spacing w:line="360" w:lineRule="auto"/>
        <w:rPr>
          <w:rFonts w:hint="default" w:ascii="Times New Roman" w:hAnsi="Times New Roman" w:eastAsia="宋体" w:cs="Times New Roman"/>
          <w:highlight w:val="none"/>
        </w:rPr>
      </w:pPr>
      <w:r>
        <w:rPr>
          <w:rFonts w:hint="default" w:ascii="Times New Roman" w:hAnsi="Times New Roman" w:eastAsia="宋体" w:cs="Times New Roman"/>
          <w:b/>
          <w:highlight w:val="none"/>
        </w:rPr>
        <w:t>附件十三、联合体协议及联合体授权委托书（如允许联合体，本项目不适用）</w:t>
      </w:r>
    </w:p>
    <w:p w14:paraId="28C1C64F">
      <w:pPr>
        <w:pStyle w:val="61"/>
        <w:pageBreakBefore w:val="0"/>
        <w:kinsoku/>
        <w:wordWrap/>
        <w:overflowPunct/>
        <w:topLinePunct w:val="0"/>
        <w:bidi w:val="0"/>
        <w:spacing w:line="360" w:lineRule="auto"/>
        <w:ind w:firstLine="0"/>
        <w:jc w:val="left"/>
        <w:rPr>
          <w:rFonts w:hint="default" w:ascii="Times New Roman" w:hAnsi="Times New Roman" w:eastAsia="宋体" w:cs="Times New Roman"/>
          <w:b/>
          <w:highlight w:val="none"/>
        </w:rPr>
      </w:pPr>
    </w:p>
    <w:p w14:paraId="29A1E076">
      <w:pPr>
        <w:pageBreakBefore w:val="0"/>
        <w:kinsoku/>
        <w:wordWrap/>
        <w:overflowPunct/>
        <w:topLinePunct w:val="0"/>
        <w:bidi w:val="0"/>
        <w:rPr>
          <w:rFonts w:hint="default" w:ascii="Times New Roman" w:hAnsi="Times New Roman" w:eastAsia="宋体" w:cs="Times New Roman"/>
          <w:b/>
          <w:highlight w:val="none"/>
        </w:rPr>
      </w:pPr>
      <w:r>
        <w:rPr>
          <w:rFonts w:hint="default" w:ascii="Times New Roman" w:hAnsi="Times New Roman" w:eastAsia="宋体" w:cs="Times New Roman"/>
          <w:b/>
          <w:highlight w:val="none"/>
        </w:rPr>
        <w:br w:type="page"/>
      </w:r>
    </w:p>
    <w:p w14:paraId="7804C777">
      <w:pPr>
        <w:pStyle w:val="61"/>
        <w:pageBreakBefore w:val="0"/>
        <w:kinsoku/>
        <w:wordWrap/>
        <w:overflowPunct/>
        <w:topLinePunct w:val="0"/>
        <w:bidi w:val="0"/>
        <w:spacing w:line="360" w:lineRule="auto"/>
        <w:ind w:firstLine="0"/>
        <w:jc w:val="left"/>
        <w:rPr>
          <w:rFonts w:hint="default" w:ascii="Times New Roman" w:hAnsi="Times New Roman" w:eastAsia="宋体" w:cs="Times New Roman"/>
          <w:szCs w:val="20"/>
          <w:highlight w:val="none"/>
        </w:rPr>
      </w:pPr>
      <w:r>
        <w:rPr>
          <w:rFonts w:hint="default" w:ascii="Times New Roman" w:hAnsi="Times New Roman" w:eastAsia="宋体" w:cs="Times New Roman"/>
          <w:b/>
          <w:highlight w:val="none"/>
        </w:rPr>
        <w:t>附件十四、投标人需要提供的其他材料</w:t>
      </w:r>
    </w:p>
    <w:sectPr>
      <w:pgSz w:w="11906" w:h="16838"/>
      <w:pgMar w:top="1440" w:right="1803" w:bottom="1440" w:left="1803" w:header="227" w:footer="720" w:gutter="0"/>
      <w:pgNumType w:fmt="decimal"/>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KNLe">
    <w:altName w:val="DejaVu Math TeX Gyre"/>
    <w:panose1 w:val="00000000000000000000"/>
    <w:charset w:val="00"/>
    <w:family w:val="roman"/>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ヒラギノ角ゴ Pro W3">
    <w:altName w:val="DejaVu Math TeX Gyr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85D1">
    <w:pPr>
      <w:pStyle w:val="30"/>
      <w:tabs>
        <w:tab w:val="center" w:pos="481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981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462EE">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0A58B">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E40A58B">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2DF7">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5146C3E6">
                          <w:pPr>
                            <w:pStyle w:val="30"/>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J3ZuA8AgAAcQQAAA4AAAAAAAAAAQAgAAAAHwEAAGRycy9lMm9E&#10;b2MueG1sUEsFBgAAAAAGAAYAWQEAAM0FAAAAAA==&#10;">
              <v:fill on="f" focussize="0,0"/>
              <v:stroke on="f" weight="0.5pt"/>
              <v:imagedata o:title=""/>
              <o:lock v:ext="edit" aspectratio="f"/>
              <v:textbox inset="0mm,0mm,0mm,0mm" style="mso-fit-shape-to-text:t;">
                <w:txbxContent>
                  <w:p w14:paraId="5146C3E6">
                    <w:pPr>
                      <w:pStyle w:val="30"/>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2891">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1642DFA8">
                          <w:pPr>
                            <w:pStyle w:val="3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Op40sY8AgAAcQQAAA4AAAAAAAAAAQAgAAAAHwEAAGRycy9lMm9E&#10;b2MueG1sUEsFBgAAAAAGAAYAWQEAAM0FAAAAAA==&#10;">
              <v:fill on="f" focussize="0,0"/>
              <v:stroke on="f" weight="0.5pt"/>
              <v:imagedata o:title=""/>
              <o:lock v:ext="edit" aspectratio="f"/>
              <v:textbox inset="0mm,0mm,0mm,0mm" style="mso-fit-shape-to-text:t;">
                <w:txbxContent>
                  <w:p w14:paraId="1642DFA8">
                    <w:pPr>
                      <w:pStyle w:val="3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E3A3">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9E1C"/>
    <w:multiLevelType w:val="singleLevel"/>
    <w:tmpl w:val="82269E1C"/>
    <w:lvl w:ilvl="0" w:tentative="0">
      <w:start w:val="1"/>
      <w:numFmt w:val="decimal"/>
      <w:suff w:val="nothing"/>
      <w:lvlText w:val="%1、"/>
      <w:lvlJc w:val="left"/>
    </w:lvl>
  </w:abstractNum>
  <w:abstractNum w:abstractNumId="1">
    <w:nsid w:val="8C02E8F2"/>
    <w:multiLevelType w:val="singleLevel"/>
    <w:tmpl w:val="8C02E8F2"/>
    <w:lvl w:ilvl="0" w:tentative="0">
      <w:start w:val="1"/>
      <w:numFmt w:val="decimal"/>
      <w:suff w:val="nothing"/>
      <w:lvlText w:val="%1、"/>
      <w:lvlJc w:val="left"/>
    </w:lvl>
  </w:abstractNum>
  <w:abstractNum w:abstractNumId="2">
    <w:nsid w:val="93487D23"/>
    <w:multiLevelType w:val="singleLevel"/>
    <w:tmpl w:val="93487D23"/>
    <w:lvl w:ilvl="0" w:tentative="0">
      <w:start w:val="3"/>
      <w:numFmt w:val="decimal"/>
      <w:suff w:val="nothing"/>
      <w:lvlText w:val="%1、"/>
      <w:lvlJc w:val="left"/>
    </w:lvl>
  </w:abstractNum>
  <w:abstractNum w:abstractNumId="3">
    <w:nsid w:val="ACD1CF24"/>
    <w:multiLevelType w:val="singleLevel"/>
    <w:tmpl w:val="ACD1CF24"/>
    <w:lvl w:ilvl="0" w:tentative="0">
      <w:start w:val="1"/>
      <w:numFmt w:val="decimal"/>
      <w:suff w:val="nothing"/>
      <w:lvlText w:val="%1、"/>
      <w:lvlJc w:val="left"/>
    </w:lvl>
  </w:abstractNum>
  <w:abstractNum w:abstractNumId="4">
    <w:nsid w:val="B74A59B7"/>
    <w:multiLevelType w:val="singleLevel"/>
    <w:tmpl w:val="B74A59B7"/>
    <w:lvl w:ilvl="0" w:tentative="0">
      <w:start w:val="2"/>
      <w:numFmt w:val="decimal"/>
      <w:suff w:val="nothing"/>
      <w:lvlText w:val="%1、"/>
      <w:lvlJc w:val="left"/>
    </w:lvl>
  </w:abstractNum>
  <w:abstractNum w:abstractNumId="5">
    <w:nsid w:val="CF092B84"/>
    <w:multiLevelType w:val="multilevel"/>
    <w:tmpl w:val="CF092B84"/>
    <w:lvl w:ilvl="0" w:tentative="0">
      <w:start w:val="1"/>
      <w:numFmt w:val="chineseCountingThousand"/>
      <w:pStyle w:val="307"/>
      <w:lvlText w:val="%1"/>
      <w:lvlJc w:val="left"/>
      <w:pPr>
        <w:ind w:left="425" w:hanging="425"/>
      </w:pPr>
      <w:rPr>
        <w:rFonts w:hint="eastAsia" w:ascii="Arial Unicode MS" w:hAnsi="Arial Unicode MS" w:eastAsia="微软雅黑"/>
        <w:b/>
        <w:i w:val="0"/>
        <w:lang w:val="en-US"/>
      </w:rPr>
    </w:lvl>
    <w:lvl w:ilvl="1" w:tentative="0">
      <w:start w:val="1"/>
      <w:numFmt w:val="decimal"/>
      <w:pStyle w:val="326"/>
      <w:isLgl/>
      <w:lvlText w:val="%1.%2"/>
      <w:lvlJc w:val="left"/>
      <w:pPr>
        <w:ind w:left="425" w:hanging="425"/>
      </w:pPr>
      <w:rPr>
        <w:rFonts w:hint="eastAsia" w:ascii="Arial Unicode MS" w:hAnsi="Arial Unicode MS" w:eastAsia="微软雅黑"/>
        <w:b/>
        <w:i w:val="0"/>
      </w:rPr>
    </w:lvl>
    <w:lvl w:ilvl="2" w:tentative="0">
      <w:start w:val="1"/>
      <w:numFmt w:val="decimal"/>
      <w:pStyle w:val="34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6">
    <w:nsid w:val="DFF7AC2C"/>
    <w:multiLevelType w:val="singleLevel"/>
    <w:tmpl w:val="DFF7AC2C"/>
    <w:lvl w:ilvl="0" w:tentative="0">
      <w:start w:val="1"/>
      <w:numFmt w:val="decimal"/>
      <w:suff w:val="nothing"/>
      <w:lvlText w:val="%1、"/>
      <w:lvlJc w:val="left"/>
    </w:lvl>
  </w:abstractNum>
  <w:abstractNum w:abstractNumId="7">
    <w:nsid w:val="EA589119"/>
    <w:multiLevelType w:val="singleLevel"/>
    <w:tmpl w:val="EA589119"/>
    <w:lvl w:ilvl="0" w:tentative="0">
      <w:start w:val="1"/>
      <w:numFmt w:val="decimal"/>
      <w:suff w:val="nothing"/>
      <w:lvlText w:val="%1、"/>
      <w:lvlJc w:val="left"/>
    </w:lvl>
  </w:abstractNum>
  <w:abstractNum w:abstractNumId="8">
    <w:nsid w:val="EF18B3CB"/>
    <w:multiLevelType w:val="singleLevel"/>
    <w:tmpl w:val="EF18B3CB"/>
    <w:lvl w:ilvl="0" w:tentative="0">
      <w:start w:val="1"/>
      <w:numFmt w:val="decimal"/>
      <w:suff w:val="nothing"/>
      <w:lvlText w:val="%1、"/>
      <w:lvlJc w:val="left"/>
    </w:lvl>
  </w:abstractNum>
  <w:abstractNum w:abstractNumId="9">
    <w:nsid w:val="F71ADF65"/>
    <w:multiLevelType w:val="singleLevel"/>
    <w:tmpl w:val="F71ADF65"/>
    <w:lvl w:ilvl="0" w:tentative="0">
      <w:start w:val="2"/>
      <w:numFmt w:val="decimal"/>
      <w:suff w:val="nothing"/>
      <w:lvlText w:val="%1、"/>
      <w:lvlJc w:val="left"/>
    </w:lvl>
  </w:abstractNum>
  <w:abstractNum w:abstractNumId="10">
    <w:nsid w:val="FA3FD303"/>
    <w:multiLevelType w:val="singleLevel"/>
    <w:tmpl w:val="FA3FD303"/>
    <w:lvl w:ilvl="0" w:tentative="0">
      <w:start w:val="1"/>
      <w:numFmt w:val="decimal"/>
      <w:suff w:val="nothing"/>
      <w:lvlText w:val="%1、"/>
      <w:lvlJc w:val="left"/>
    </w:lvl>
  </w:abstractNum>
  <w:abstractNum w:abstractNumId="11">
    <w:nsid w:val="FB4A6CB6"/>
    <w:multiLevelType w:val="singleLevel"/>
    <w:tmpl w:val="FB4A6CB6"/>
    <w:lvl w:ilvl="0" w:tentative="0">
      <w:start w:val="1"/>
      <w:numFmt w:val="decimal"/>
      <w:suff w:val="nothing"/>
      <w:lvlText w:val="%1、"/>
      <w:lvlJc w:val="left"/>
    </w:lvl>
  </w:abstractNum>
  <w:abstractNum w:abstractNumId="12">
    <w:nsid w:val="0053208E"/>
    <w:multiLevelType w:val="multilevel"/>
    <w:tmpl w:val="0053208E"/>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13">
    <w:nsid w:val="021DC3E1"/>
    <w:multiLevelType w:val="singleLevel"/>
    <w:tmpl w:val="021DC3E1"/>
    <w:lvl w:ilvl="0" w:tentative="0">
      <w:start w:val="1"/>
      <w:numFmt w:val="decimal"/>
      <w:suff w:val="nothing"/>
      <w:lvlText w:val="%1、"/>
      <w:lvlJc w:val="left"/>
    </w:lvl>
  </w:abstractNum>
  <w:abstractNum w:abstractNumId="14">
    <w:nsid w:val="022C3C9D"/>
    <w:multiLevelType w:val="singleLevel"/>
    <w:tmpl w:val="022C3C9D"/>
    <w:lvl w:ilvl="0" w:tentative="0">
      <w:start w:val="1"/>
      <w:numFmt w:val="decimal"/>
      <w:suff w:val="nothing"/>
      <w:lvlText w:val="%1、"/>
      <w:lvlJc w:val="left"/>
    </w:lvl>
  </w:abstractNum>
  <w:abstractNum w:abstractNumId="15">
    <w:nsid w:val="03D62ECE"/>
    <w:multiLevelType w:val="multilevel"/>
    <w:tmpl w:val="03D62ECE"/>
    <w:lvl w:ilvl="0" w:tentative="0">
      <w:start w:val="5"/>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074B4CD6"/>
    <w:multiLevelType w:val="singleLevel"/>
    <w:tmpl w:val="074B4CD6"/>
    <w:lvl w:ilvl="0" w:tentative="0">
      <w:start w:val="1"/>
      <w:numFmt w:val="decimal"/>
      <w:suff w:val="nothing"/>
      <w:lvlText w:val="%1、"/>
      <w:lvlJc w:val="left"/>
    </w:lvl>
  </w:abstractNum>
  <w:abstractNum w:abstractNumId="17">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8">
    <w:nsid w:val="13A6A8EB"/>
    <w:multiLevelType w:val="singleLevel"/>
    <w:tmpl w:val="13A6A8EB"/>
    <w:lvl w:ilvl="0" w:tentative="0">
      <w:start w:val="1"/>
      <w:numFmt w:val="decimal"/>
      <w:suff w:val="nothing"/>
      <w:lvlText w:val="%1、"/>
      <w:lvlJc w:val="left"/>
    </w:lvl>
  </w:abstractNum>
  <w:num w:numId="1">
    <w:abstractNumId w:val="12"/>
  </w:num>
  <w:num w:numId="2">
    <w:abstractNumId w:val="5"/>
  </w:num>
  <w:num w:numId="3">
    <w:abstractNumId w:val="2"/>
  </w:num>
  <w:num w:numId="4">
    <w:abstractNumId w:val="17"/>
  </w:num>
  <w:num w:numId="5">
    <w:abstractNumId w:val="16"/>
  </w:num>
  <w:num w:numId="6">
    <w:abstractNumId w:val="18"/>
  </w:num>
  <w:num w:numId="7">
    <w:abstractNumId w:val="13"/>
  </w:num>
  <w:num w:numId="8">
    <w:abstractNumId w:val="9"/>
  </w:num>
  <w:num w:numId="9">
    <w:abstractNumId w:val="7"/>
  </w:num>
  <w:num w:numId="10">
    <w:abstractNumId w:val="10"/>
  </w:num>
  <w:num w:numId="11">
    <w:abstractNumId w:val="4"/>
  </w:num>
  <w:num w:numId="12">
    <w:abstractNumId w:val="6"/>
  </w:num>
  <w:num w:numId="13">
    <w:abstractNumId w:val="3"/>
  </w:num>
  <w:num w:numId="14">
    <w:abstractNumId w:val="14"/>
  </w:num>
  <w:num w:numId="15">
    <w:abstractNumId w:val="0"/>
  </w:num>
  <w:num w:numId="16">
    <w:abstractNumId w:val="8"/>
  </w:num>
  <w:num w:numId="17">
    <w:abstractNumId w:val="11"/>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endnotePr>
    <w:numFmt w:val="decimal"/>
  </w:endnotePr>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AE"/>
    <w:rsid w:val="00056EB5"/>
    <w:rsid w:val="000812FF"/>
    <w:rsid w:val="00092ADA"/>
    <w:rsid w:val="000C0590"/>
    <w:rsid w:val="001044FA"/>
    <w:rsid w:val="001113BD"/>
    <w:rsid w:val="001151C2"/>
    <w:rsid w:val="0018280A"/>
    <w:rsid w:val="00237007"/>
    <w:rsid w:val="0026011D"/>
    <w:rsid w:val="002648D6"/>
    <w:rsid w:val="00273793"/>
    <w:rsid w:val="002A07E1"/>
    <w:rsid w:val="00312B10"/>
    <w:rsid w:val="003424FA"/>
    <w:rsid w:val="003A3335"/>
    <w:rsid w:val="003B3AD0"/>
    <w:rsid w:val="003C456F"/>
    <w:rsid w:val="003F1D8E"/>
    <w:rsid w:val="003F3F70"/>
    <w:rsid w:val="004142B8"/>
    <w:rsid w:val="00451F0D"/>
    <w:rsid w:val="004A3C3C"/>
    <w:rsid w:val="004F74E0"/>
    <w:rsid w:val="00541EB1"/>
    <w:rsid w:val="00560BB3"/>
    <w:rsid w:val="00594DAA"/>
    <w:rsid w:val="005B29D1"/>
    <w:rsid w:val="005C0B06"/>
    <w:rsid w:val="005E0A2B"/>
    <w:rsid w:val="00636BCA"/>
    <w:rsid w:val="006811F2"/>
    <w:rsid w:val="006D2A98"/>
    <w:rsid w:val="006D461E"/>
    <w:rsid w:val="007843F5"/>
    <w:rsid w:val="007B1EAE"/>
    <w:rsid w:val="00806609"/>
    <w:rsid w:val="008579CC"/>
    <w:rsid w:val="008B5784"/>
    <w:rsid w:val="008D68CB"/>
    <w:rsid w:val="008E4ABF"/>
    <w:rsid w:val="008F7B92"/>
    <w:rsid w:val="009134A6"/>
    <w:rsid w:val="00973318"/>
    <w:rsid w:val="00973B09"/>
    <w:rsid w:val="009762F4"/>
    <w:rsid w:val="0098172B"/>
    <w:rsid w:val="009D7B60"/>
    <w:rsid w:val="009E5194"/>
    <w:rsid w:val="00A507A1"/>
    <w:rsid w:val="00A54E1D"/>
    <w:rsid w:val="00A61FA6"/>
    <w:rsid w:val="00A63655"/>
    <w:rsid w:val="00AA422E"/>
    <w:rsid w:val="00AB66CA"/>
    <w:rsid w:val="00AB6A69"/>
    <w:rsid w:val="00AD0D87"/>
    <w:rsid w:val="00AD2EA0"/>
    <w:rsid w:val="00AD6CFB"/>
    <w:rsid w:val="00B36389"/>
    <w:rsid w:val="00BA12E1"/>
    <w:rsid w:val="00C35DC7"/>
    <w:rsid w:val="00C4458D"/>
    <w:rsid w:val="00C60129"/>
    <w:rsid w:val="00C8753D"/>
    <w:rsid w:val="00CD32B2"/>
    <w:rsid w:val="00D253F0"/>
    <w:rsid w:val="00D751BA"/>
    <w:rsid w:val="00DA6714"/>
    <w:rsid w:val="00DB340E"/>
    <w:rsid w:val="00DE3453"/>
    <w:rsid w:val="00E33FED"/>
    <w:rsid w:val="00EF7F87"/>
    <w:rsid w:val="00F43C3D"/>
    <w:rsid w:val="00F4477A"/>
    <w:rsid w:val="00F53673"/>
    <w:rsid w:val="00FB7664"/>
    <w:rsid w:val="00FC12DB"/>
    <w:rsid w:val="00FD38E6"/>
    <w:rsid w:val="00FF3DDF"/>
    <w:rsid w:val="01211B1D"/>
    <w:rsid w:val="016E2F91"/>
    <w:rsid w:val="027C5214"/>
    <w:rsid w:val="02964702"/>
    <w:rsid w:val="02F876EE"/>
    <w:rsid w:val="033C0E47"/>
    <w:rsid w:val="038C5FAE"/>
    <w:rsid w:val="039231F7"/>
    <w:rsid w:val="044B0E5E"/>
    <w:rsid w:val="04A81782"/>
    <w:rsid w:val="04C74740"/>
    <w:rsid w:val="04E4035E"/>
    <w:rsid w:val="05092FAB"/>
    <w:rsid w:val="05BD187B"/>
    <w:rsid w:val="0607573C"/>
    <w:rsid w:val="063858F6"/>
    <w:rsid w:val="063A78C0"/>
    <w:rsid w:val="067A4160"/>
    <w:rsid w:val="067B1C86"/>
    <w:rsid w:val="07264835"/>
    <w:rsid w:val="076038F0"/>
    <w:rsid w:val="07625BBB"/>
    <w:rsid w:val="07E15DC2"/>
    <w:rsid w:val="081B455B"/>
    <w:rsid w:val="082F1FED"/>
    <w:rsid w:val="08BE518D"/>
    <w:rsid w:val="08E43027"/>
    <w:rsid w:val="092F40C7"/>
    <w:rsid w:val="09851A15"/>
    <w:rsid w:val="09942961"/>
    <w:rsid w:val="09AB63DF"/>
    <w:rsid w:val="09B74D83"/>
    <w:rsid w:val="09C13E54"/>
    <w:rsid w:val="09C3197A"/>
    <w:rsid w:val="0A3B2188"/>
    <w:rsid w:val="0A93759F"/>
    <w:rsid w:val="0B0264D2"/>
    <w:rsid w:val="0B350656"/>
    <w:rsid w:val="0B5F2C0D"/>
    <w:rsid w:val="0BA472A0"/>
    <w:rsid w:val="0C0A711D"/>
    <w:rsid w:val="0C11044A"/>
    <w:rsid w:val="0C713931"/>
    <w:rsid w:val="0CBF4740"/>
    <w:rsid w:val="0D531267"/>
    <w:rsid w:val="0DAA4E50"/>
    <w:rsid w:val="0DBC6E0C"/>
    <w:rsid w:val="0DE93979"/>
    <w:rsid w:val="0DEC78CD"/>
    <w:rsid w:val="0E6354DA"/>
    <w:rsid w:val="0E9B0993"/>
    <w:rsid w:val="0ED8356C"/>
    <w:rsid w:val="0F162396"/>
    <w:rsid w:val="0F2B6E6C"/>
    <w:rsid w:val="0F6314F1"/>
    <w:rsid w:val="0F8554ED"/>
    <w:rsid w:val="0F977B31"/>
    <w:rsid w:val="0FEF171B"/>
    <w:rsid w:val="0FF7783A"/>
    <w:rsid w:val="0FFC1742"/>
    <w:rsid w:val="10044EAA"/>
    <w:rsid w:val="102869DB"/>
    <w:rsid w:val="10611EED"/>
    <w:rsid w:val="107F4121"/>
    <w:rsid w:val="108654B0"/>
    <w:rsid w:val="10AA3894"/>
    <w:rsid w:val="114F7F97"/>
    <w:rsid w:val="117C2D28"/>
    <w:rsid w:val="11F748B7"/>
    <w:rsid w:val="1295323E"/>
    <w:rsid w:val="12C560C9"/>
    <w:rsid w:val="12DF6C41"/>
    <w:rsid w:val="136941DB"/>
    <w:rsid w:val="137912FC"/>
    <w:rsid w:val="13A7230D"/>
    <w:rsid w:val="13D264ED"/>
    <w:rsid w:val="13DC1FB6"/>
    <w:rsid w:val="14184FB8"/>
    <w:rsid w:val="144253E3"/>
    <w:rsid w:val="1446773E"/>
    <w:rsid w:val="14645F40"/>
    <w:rsid w:val="147F7528"/>
    <w:rsid w:val="149068D0"/>
    <w:rsid w:val="14A260CC"/>
    <w:rsid w:val="14D83448"/>
    <w:rsid w:val="14DC1B42"/>
    <w:rsid w:val="150C12F6"/>
    <w:rsid w:val="15512530"/>
    <w:rsid w:val="156601DB"/>
    <w:rsid w:val="163862FF"/>
    <w:rsid w:val="16414353"/>
    <w:rsid w:val="16565924"/>
    <w:rsid w:val="16BE143E"/>
    <w:rsid w:val="16E86EC4"/>
    <w:rsid w:val="172779EC"/>
    <w:rsid w:val="173A3704"/>
    <w:rsid w:val="174D31CB"/>
    <w:rsid w:val="17D825B2"/>
    <w:rsid w:val="18273A1C"/>
    <w:rsid w:val="18502F73"/>
    <w:rsid w:val="18644F7C"/>
    <w:rsid w:val="18757EE5"/>
    <w:rsid w:val="18AA2191"/>
    <w:rsid w:val="18B43502"/>
    <w:rsid w:val="18E15979"/>
    <w:rsid w:val="1970287E"/>
    <w:rsid w:val="19F34DEA"/>
    <w:rsid w:val="1A1678A4"/>
    <w:rsid w:val="1A827D22"/>
    <w:rsid w:val="1AC437A4"/>
    <w:rsid w:val="1AF35E37"/>
    <w:rsid w:val="1B2D733D"/>
    <w:rsid w:val="1B7075AD"/>
    <w:rsid w:val="1BC021BE"/>
    <w:rsid w:val="1BC841F7"/>
    <w:rsid w:val="1C887E12"/>
    <w:rsid w:val="1CA951BF"/>
    <w:rsid w:val="1CBF33B4"/>
    <w:rsid w:val="1CCB13E0"/>
    <w:rsid w:val="1CEE68B6"/>
    <w:rsid w:val="1CFD4D4B"/>
    <w:rsid w:val="1D034163"/>
    <w:rsid w:val="1D70551D"/>
    <w:rsid w:val="1E081BFA"/>
    <w:rsid w:val="1E5D002D"/>
    <w:rsid w:val="1EF836A7"/>
    <w:rsid w:val="1EFE2F32"/>
    <w:rsid w:val="1F8E3D68"/>
    <w:rsid w:val="1FE31DB8"/>
    <w:rsid w:val="20D65FDF"/>
    <w:rsid w:val="20FD356C"/>
    <w:rsid w:val="2109116D"/>
    <w:rsid w:val="21D7200F"/>
    <w:rsid w:val="2200574F"/>
    <w:rsid w:val="22812B39"/>
    <w:rsid w:val="22822C70"/>
    <w:rsid w:val="22A52C93"/>
    <w:rsid w:val="23713D9D"/>
    <w:rsid w:val="2393640A"/>
    <w:rsid w:val="23BD5235"/>
    <w:rsid w:val="24103203"/>
    <w:rsid w:val="242157C3"/>
    <w:rsid w:val="246E7859"/>
    <w:rsid w:val="24983D32"/>
    <w:rsid w:val="250749B9"/>
    <w:rsid w:val="2530390F"/>
    <w:rsid w:val="257C53A7"/>
    <w:rsid w:val="25897583"/>
    <w:rsid w:val="25EF3618"/>
    <w:rsid w:val="266B0F78"/>
    <w:rsid w:val="26B20955"/>
    <w:rsid w:val="26B368B9"/>
    <w:rsid w:val="26C37006"/>
    <w:rsid w:val="26CA2142"/>
    <w:rsid w:val="27636E07"/>
    <w:rsid w:val="277F2F2D"/>
    <w:rsid w:val="278369EA"/>
    <w:rsid w:val="27925E39"/>
    <w:rsid w:val="27C01577"/>
    <w:rsid w:val="280A398C"/>
    <w:rsid w:val="28662F0F"/>
    <w:rsid w:val="286B525F"/>
    <w:rsid w:val="288B3B53"/>
    <w:rsid w:val="28AD5878"/>
    <w:rsid w:val="28CD0E1E"/>
    <w:rsid w:val="2A5F0DF4"/>
    <w:rsid w:val="2AD6555A"/>
    <w:rsid w:val="2AE65F68"/>
    <w:rsid w:val="2AE74B0A"/>
    <w:rsid w:val="2BFD6B16"/>
    <w:rsid w:val="2C735D46"/>
    <w:rsid w:val="2CCA71A9"/>
    <w:rsid w:val="2CCB02D0"/>
    <w:rsid w:val="2DD57050"/>
    <w:rsid w:val="2E4F2177"/>
    <w:rsid w:val="2ED53227"/>
    <w:rsid w:val="2F2E01CA"/>
    <w:rsid w:val="2F511653"/>
    <w:rsid w:val="2F5E167A"/>
    <w:rsid w:val="2FA15A0A"/>
    <w:rsid w:val="2FAD1EF3"/>
    <w:rsid w:val="2FB237B3"/>
    <w:rsid w:val="2FBB2F70"/>
    <w:rsid w:val="2FDE6C5E"/>
    <w:rsid w:val="2FE37FC7"/>
    <w:rsid w:val="2FFA32C5"/>
    <w:rsid w:val="300F0BC6"/>
    <w:rsid w:val="30DA5678"/>
    <w:rsid w:val="315C7E3B"/>
    <w:rsid w:val="31A97B0F"/>
    <w:rsid w:val="32313075"/>
    <w:rsid w:val="32FA3907"/>
    <w:rsid w:val="33680D19"/>
    <w:rsid w:val="33727DEA"/>
    <w:rsid w:val="337A6C9E"/>
    <w:rsid w:val="33812D79"/>
    <w:rsid w:val="3381680B"/>
    <w:rsid w:val="33F811A5"/>
    <w:rsid w:val="344078BE"/>
    <w:rsid w:val="344A6670"/>
    <w:rsid w:val="34680927"/>
    <w:rsid w:val="34E33ADA"/>
    <w:rsid w:val="352A4548"/>
    <w:rsid w:val="35417A73"/>
    <w:rsid w:val="3561449C"/>
    <w:rsid w:val="3583008C"/>
    <w:rsid w:val="358F5632"/>
    <w:rsid w:val="35FF6AB2"/>
    <w:rsid w:val="360617A2"/>
    <w:rsid w:val="364F69F1"/>
    <w:rsid w:val="366013A9"/>
    <w:rsid w:val="366F6336"/>
    <w:rsid w:val="36700C56"/>
    <w:rsid w:val="368E7493"/>
    <w:rsid w:val="36CE6307"/>
    <w:rsid w:val="3718389B"/>
    <w:rsid w:val="372F061D"/>
    <w:rsid w:val="377F4883"/>
    <w:rsid w:val="37AE4F6D"/>
    <w:rsid w:val="37E34DD8"/>
    <w:rsid w:val="38027197"/>
    <w:rsid w:val="386F66A6"/>
    <w:rsid w:val="38804D57"/>
    <w:rsid w:val="38834F32"/>
    <w:rsid w:val="389D1465"/>
    <w:rsid w:val="39543D68"/>
    <w:rsid w:val="39B32F0A"/>
    <w:rsid w:val="39C96289"/>
    <w:rsid w:val="39F96B6F"/>
    <w:rsid w:val="3A683CF4"/>
    <w:rsid w:val="3A976BD7"/>
    <w:rsid w:val="3AB84AA7"/>
    <w:rsid w:val="3ACA050B"/>
    <w:rsid w:val="3B3B5995"/>
    <w:rsid w:val="3B66197D"/>
    <w:rsid w:val="3B6A25AD"/>
    <w:rsid w:val="3B8E778B"/>
    <w:rsid w:val="3B90705F"/>
    <w:rsid w:val="3BE038D9"/>
    <w:rsid w:val="3BF910A8"/>
    <w:rsid w:val="3C591B47"/>
    <w:rsid w:val="3C595B8C"/>
    <w:rsid w:val="3CF35555"/>
    <w:rsid w:val="3D023F8C"/>
    <w:rsid w:val="3D883A2E"/>
    <w:rsid w:val="3DE31E72"/>
    <w:rsid w:val="3E491747"/>
    <w:rsid w:val="3E7E2A01"/>
    <w:rsid w:val="3E8777B5"/>
    <w:rsid w:val="3F225459"/>
    <w:rsid w:val="3FAE03FB"/>
    <w:rsid w:val="3FF631DA"/>
    <w:rsid w:val="401D7258"/>
    <w:rsid w:val="402E4925"/>
    <w:rsid w:val="40300E10"/>
    <w:rsid w:val="409A44DC"/>
    <w:rsid w:val="40AC03DF"/>
    <w:rsid w:val="40BB4940"/>
    <w:rsid w:val="40CF0629"/>
    <w:rsid w:val="40D24C83"/>
    <w:rsid w:val="40F24318"/>
    <w:rsid w:val="40F400B6"/>
    <w:rsid w:val="415F28F6"/>
    <w:rsid w:val="41986C6D"/>
    <w:rsid w:val="41DD0B24"/>
    <w:rsid w:val="41EC0D67"/>
    <w:rsid w:val="42B46E07"/>
    <w:rsid w:val="432A5217"/>
    <w:rsid w:val="432A7D99"/>
    <w:rsid w:val="43456981"/>
    <w:rsid w:val="43911BC6"/>
    <w:rsid w:val="440307AF"/>
    <w:rsid w:val="447137A5"/>
    <w:rsid w:val="44E16B7D"/>
    <w:rsid w:val="44F3065E"/>
    <w:rsid w:val="45397182"/>
    <w:rsid w:val="45972821"/>
    <w:rsid w:val="46933EA7"/>
    <w:rsid w:val="46C422B2"/>
    <w:rsid w:val="46ED2DB6"/>
    <w:rsid w:val="470B0AE9"/>
    <w:rsid w:val="479003E6"/>
    <w:rsid w:val="47B642F1"/>
    <w:rsid w:val="47C5763D"/>
    <w:rsid w:val="488E0697"/>
    <w:rsid w:val="48C042D9"/>
    <w:rsid w:val="49154448"/>
    <w:rsid w:val="492E564F"/>
    <w:rsid w:val="492F25D6"/>
    <w:rsid w:val="49926698"/>
    <w:rsid w:val="4A1D2DE3"/>
    <w:rsid w:val="4A4551BF"/>
    <w:rsid w:val="4A5E2A1E"/>
    <w:rsid w:val="4A675A03"/>
    <w:rsid w:val="4AC05C86"/>
    <w:rsid w:val="4B1A4B97"/>
    <w:rsid w:val="4B316CA8"/>
    <w:rsid w:val="4B6E7267"/>
    <w:rsid w:val="4BBD5522"/>
    <w:rsid w:val="4CB313FC"/>
    <w:rsid w:val="4CFA6A2E"/>
    <w:rsid w:val="4D1E1151"/>
    <w:rsid w:val="4E7E09D4"/>
    <w:rsid w:val="4EC5306C"/>
    <w:rsid w:val="4EE334F2"/>
    <w:rsid w:val="4EE74D90"/>
    <w:rsid w:val="4F8922EB"/>
    <w:rsid w:val="4F9C201E"/>
    <w:rsid w:val="4FC86AFE"/>
    <w:rsid w:val="4FC926E8"/>
    <w:rsid w:val="4FEB01C7"/>
    <w:rsid w:val="4FF736F9"/>
    <w:rsid w:val="500B71A4"/>
    <w:rsid w:val="50A76ECD"/>
    <w:rsid w:val="50E023DF"/>
    <w:rsid w:val="50E7376D"/>
    <w:rsid w:val="50F1639A"/>
    <w:rsid w:val="51814808"/>
    <w:rsid w:val="51A451BA"/>
    <w:rsid w:val="51E3295D"/>
    <w:rsid w:val="51E84BA2"/>
    <w:rsid w:val="521354C6"/>
    <w:rsid w:val="52484CBE"/>
    <w:rsid w:val="52990A97"/>
    <w:rsid w:val="52B85F8B"/>
    <w:rsid w:val="52D95337"/>
    <w:rsid w:val="52F7756C"/>
    <w:rsid w:val="53177C0E"/>
    <w:rsid w:val="53AF1CD0"/>
    <w:rsid w:val="53D12677"/>
    <w:rsid w:val="53F52D5C"/>
    <w:rsid w:val="54364A6D"/>
    <w:rsid w:val="5473040A"/>
    <w:rsid w:val="54CF254E"/>
    <w:rsid w:val="553F7680"/>
    <w:rsid w:val="55560EC1"/>
    <w:rsid w:val="555C5BF9"/>
    <w:rsid w:val="559D264C"/>
    <w:rsid w:val="55B01295"/>
    <w:rsid w:val="55C242A2"/>
    <w:rsid w:val="55D911AB"/>
    <w:rsid w:val="561F417C"/>
    <w:rsid w:val="562D5C39"/>
    <w:rsid w:val="565F7902"/>
    <w:rsid w:val="56B6734F"/>
    <w:rsid w:val="570727F3"/>
    <w:rsid w:val="573E5FA9"/>
    <w:rsid w:val="575C2093"/>
    <w:rsid w:val="584E40D2"/>
    <w:rsid w:val="585C5725"/>
    <w:rsid w:val="58690F0C"/>
    <w:rsid w:val="58692CBA"/>
    <w:rsid w:val="58A1021B"/>
    <w:rsid w:val="58D479F4"/>
    <w:rsid w:val="58EF23C8"/>
    <w:rsid w:val="59326766"/>
    <w:rsid w:val="593432C8"/>
    <w:rsid w:val="59C50351"/>
    <w:rsid w:val="59C7413C"/>
    <w:rsid w:val="59E344B2"/>
    <w:rsid w:val="5AC62645"/>
    <w:rsid w:val="5AC92F05"/>
    <w:rsid w:val="5AE2742A"/>
    <w:rsid w:val="5AF45835"/>
    <w:rsid w:val="5BBB382C"/>
    <w:rsid w:val="5BDB5C7C"/>
    <w:rsid w:val="5BFE5E0F"/>
    <w:rsid w:val="5C2C78B7"/>
    <w:rsid w:val="5C3E4D9C"/>
    <w:rsid w:val="5D1C04EB"/>
    <w:rsid w:val="5D221689"/>
    <w:rsid w:val="5D5F468B"/>
    <w:rsid w:val="5D7B5F87"/>
    <w:rsid w:val="5DDA4491"/>
    <w:rsid w:val="5E3A0E23"/>
    <w:rsid w:val="5E785A05"/>
    <w:rsid w:val="5EC0115A"/>
    <w:rsid w:val="5F281698"/>
    <w:rsid w:val="5FB50B69"/>
    <w:rsid w:val="605204D7"/>
    <w:rsid w:val="6065645C"/>
    <w:rsid w:val="606745F8"/>
    <w:rsid w:val="611015E4"/>
    <w:rsid w:val="61226487"/>
    <w:rsid w:val="612B1454"/>
    <w:rsid w:val="61F150C6"/>
    <w:rsid w:val="6203574F"/>
    <w:rsid w:val="626D784A"/>
    <w:rsid w:val="62B60F1F"/>
    <w:rsid w:val="63900D67"/>
    <w:rsid w:val="63AF5BE7"/>
    <w:rsid w:val="63BD34E3"/>
    <w:rsid w:val="63E63410"/>
    <w:rsid w:val="63F5235D"/>
    <w:rsid w:val="64181E11"/>
    <w:rsid w:val="646E6D38"/>
    <w:rsid w:val="64DE2339"/>
    <w:rsid w:val="65220379"/>
    <w:rsid w:val="656071F2"/>
    <w:rsid w:val="656A2D2D"/>
    <w:rsid w:val="659F41BF"/>
    <w:rsid w:val="65EE7166"/>
    <w:rsid w:val="66105E89"/>
    <w:rsid w:val="663012BB"/>
    <w:rsid w:val="665A00E6"/>
    <w:rsid w:val="665D3D90"/>
    <w:rsid w:val="66732650"/>
    <w:rsid w:val="66CA0391"/>
    <w:rsid w:val="66E01F70"/>
    <w:rsid w:val="67425C6B"/>
    <w:rsid w:val="675B30D0"/>
    <w:rsid w:val="67635773"/>
    <w:rsid w:val="67B51A77"/>
    <w:rsid w:val="68BE0AC2"/>
    <w:rsid w:val="68DB550E"/>
    <w:rsid w:val="69024B11"/>
    <w:rsid w:val="6910780F"/>
    <w:rsid w:val="692C4FB9"/>
    <w:rsid w:val="69584DB0"/>
    <w:rsid w:val="6962178B"/>
    <w:rsid w:val="699F478D"/>
    <w:rsid w:val="6A1B23DD"/>
    <w:rsid w:val="6A71470C"/>
    <w:rsid w:val="6ADE5BFE"/>
    <w:rsid w:val="6AEF5A9A"/>
    <w:rsid w:val="6B1765A5"/>
    <w:rsid w:val="6B390327"/>
    <w:rsid w:val="6BCD3CEA"/>
    <w:rsid w:val="6C44161C"/>
    <w:rsid w:val="6C467142"/>
    <w:rsid w:val="6CA4049A"/>
    <w:rsid w:val="6CBF0CA2"/>
    <w:rsid w:val="6CF40062"/>
    <w:rsid w:val="6CFA1CDB"/>
    <w:rsid w:val="6D501CF1"/>
    <w:rsid w:val="6D5C0CED"/>
    <w:rsid w:val="6D7101EF"/>
    <w:rsid w:val="6E0E6145"/>
    <w:rsid w:val="6E26547D"/>
    <w:rsid w:val="6E274D51"/>
    <w:rsid w:val="6E2C680B"/>
    <w:rsid w:val="6E493DC7"/>
    <w:rsid w:val="6E531FEA"/>
    <w:rsid w:val="6E7D0E15"/>
    <w:rsid w:val="6EF81BCC"/>
    <w:rsid w:val="6F173698"/>
    <w:rsid w:val="6F451933"/>
    <w:rsid w:val="6F667AFB"/>
    <w:rsid w:val="6F806E0F"/>
    <w:rsid w:val="6F995718"/>
    <w:rsid w:val="6FB74135"/>
    <w:rsid w:val="705C385C"/>
    <w:rsid w:val="7076076B"/>
    <w:rsid w:val="70B14216"/>
    <w:rsid w:val="70E72CDA"/>
    <w:rsid w:val="71FC44A7"/>
    <w:rsid w:val="720421BC"/>
    <w:rsid w:val="723B77F7"/>
    <w:rsid w:val="726E28BB"/>
    <w:rsid w:val="72754FDB"/>
    <w:rsid w:val="72D134DE"/>
    <w:rsid w:val="73166769"/>
    <w:rsid w:val="74411F41"/>
    <w:rsid w:val="75020BB7"/>
    <w:rsid w:val="7530098F"/>
    <w:rsid w:val="75E31EA6"/>
    <w:rsid w:val="760319CB"/>
    <w:rsid w:val="762A3631"/>
    <w:rsid w:val="76830F93"/>
    <w:rsid w:val="76CF5F86"/>
    <w:rsid w:val="76FA1495"/>
    <w:rsid w:val="77084581"/>
    <w:rsid w:val="771A18F3"/>
    <w:rsid w:val="771A5453"/>
    <w:rsid w:val="771F6DB5"/>
    <w:rsid w:val="773437F6"/>
    <w:rsid w:val="77D72EE4"/>
    <w:rsid w:val="77E36D4C"/>
    <w:rsid w:val="77E617D9"/>
    <w:rsid w:val="77E65C7D"/>
    <w:rsid w:val="780879A1"/>
    <w:rsid w:val="78526E6F"/>
    <w:rsid w:val="787B4617"/>
    <w:rsid w:val="798B6ADC"/>
    <w:rsid w:val="7A7237F8"/>
    <w:rsid w:val="7A862E00"/>
    <w:rsid w:val="7B0C3BFE"/>
    <w:rsid w:val="7B452CBB"/>
    <w:rsid w:val="7B5F12EA"/>
    <w:rsid w:val="7C6929D9"/>
    <w:rsid w:val="7CA067FA"/>
    <w:rsid w:val="7D2A660C"/>
    <w:rsid w:val="7D7A30EF"/>
    <w:rsid w:val="7D8950E1"/>
    <w:rsid w:val="7E31098E"/>
    <w:rsid w:val="7EB34EED"/>
    <w:rsid w:val="7EE4674F"/>
    <w:rsid w:val="7F2405D3"/>
    <w:rsid w:val="7F651B7D"/>
    <w:rsid w:val="7F712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217"/>
    <w:qFormat/>
    <w:uiPriority w:val="0"/>
    <w:pPr>
      <w:keepNext/>
      <w:keepLines/>
      <w:numPr>
        <w:ilvl w:val="0"/>
        <w:numId w:val="1"/>
      </w:numPr>
      <w:spacing w:before="340" w:after="330" w:line="578" w:lineRule="auto"/>
      <w:jc w:val="center"/>
      <w:outlineLvl w:val="0"/>
    </w:pPr>
    <w:rPr>
      <w:b/>
      <w:bCs/>
      <w:sz w:val="32"/>
      <w:szCs w:val="44"/>
    </w:rPr>
  </w:style>
  <w:style w:type="paragraph" w:styleId="4">
    <w:name w:val="heading 2"/>
    <w:basedOn w:val="1"/>
    <w:next w:val="1"/>
    <w:link w:val="223"/>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262"/>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29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25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38"/>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293"/>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278"/>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256"/>
    <w:qFormat/>
    <w:uiPriority w:val="0"/>
    <w:pPr>
      <w:keepNext/>
      <w:keepLines/>
      <w:numPr>
        <w:ilvl w:val="8"/>
        <w:numId w:val="1"/>
      </w:numPr>
      <w:spacing w:before="240" w:after="64" w:line="320" w:lineRule="auto"/>
      <w:outlineLvl w:val="8"/>
    </w:pPr>
    <w:rPr>
      <w:rFonts w:ascii="Cambria" w:hAnsi="Cambria"/>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pPr>
    <w:rPr>
      <w:rFonts w:ascii="Calibri" w:hAnsi="Calibri"/>
    </w:rPr>
  </w:style>
  <w:style w:type="paragraph" w:styleId="12">
    <w:name w:val="List 3"/>
    <w:basedOn w:val="1"/>
    <w:unhideWhenUsed/>
    <w:qFormat/>
    <w:uiPriority w:val="99"/>
    <w:pPr>
      <w:spacing w:before="100" w:beforeAutospacing="1" w:after="100" w:afterAutospacing="1"/>
      <w:ind w:left="1260" w:hanging="420"/>
    </w:pPr>
    <w:rPr>
      <w:szCs w:val="21"/>
    </w:rPr>
  </w:style>
  <w:style w:type="paragraph" w:styleId="13">
    <w:name w:val="toc 7"/>
    <w:basedOn w:val="1"/>
    <w:next w:val="1"/>
    <w:unhideWhenUsed/>
    <w:qFormat/>
    <w:uiPriority w:val="39"/>
    <w:pPr>
      <w:ind w:left="2520"/>
    </w:pPr>
    <w:rPr>
      <w:rFonts w:ascii="Calibri" w:hAnsi="Calibri"/>
      <w:szCs w:val="22"/>
    </w:rPr>
  </w:style>
  <w:style w:type="paragraph" w:styleId="14">
    <w:name w:val="Normal Indent"/>
    <w:basedOn w:val="1"/>
    <w:qFormat/>
    <w:uiPriority w:val="0"/>
    <w:pPr>
      <w:ind w:firstLine="420"/>
    </w:pPr>
    <w:rPr>
      <w:b/>
      <w:sz w:val="24"/>
      <w:szCs w:val="20"/>
    </w:rPr>
  </w:style>
  <w:style w:type="paragraph" w:styleId="15">
    <w:name w:val="caption"/>
    <w:basedOn w:val="1"/>
    <w:next w:val="1"/>
    <w:qFormat/>
    <w:uiPriority w:val="0"/>
    <w:rPr>
      <w:rFonts w:ascii="Cambria" w:hAnsi="Cambria" w:eastAsia="黑体"/>
      <w:sz w:val="20"/>
      <w:szCs w:val="22"/>
    </w:rPr>
  </w:style>
  <w:style w:type="paragraph" w:styleId="16">
    <w:name w:val="Document Map"/>
    <w:basedOn w:val="1"/>
    <w:link w:val="246"/>
    <w:qFormat/>
    <w:uiPriority w:val="0"/>
    <w:rPr>
      <w:rFonts w:ascii="宋体"/>
      <w:sz w:val="18"/>
      <w:szCs w:val="18"/>
    </w:rPr>
  </w:style>
  <w:style w:type="paragraph" w:styleId="17">
    <w:name w:val="annotation text"/>
    <w:basedOn w:val="1"/>
    <w:link w:val="270"/>
    <w:qFormat/>
    <w:uiPriority w:val="99"/>
    <w:pPr>
      <w:jc w:val="left"/>
    </w:pPr>
  </w:style>
  <w:style w:type="paragraph" w:styleId="18">
    <w:name w:val="Body Text 3"/>
    <w:basedOn w:val="1"/>
    <w:link w:val="289"/>
    <w:qFormat/>
    <w:uiPriority w:val="0"/>
    <w:rPr>
      <w:rFonts w:ascii="宋体"/>
      <w:sz w:val="24"/>
      <w:szCs w:val="20"/>
    </w:rPr>
  </w:style>
  <w:style w:type="paragraph" w:styleId="19">
    <w:name w:val="Body Text"/>
    <w:basedOn w:val="1"/>
    <w:next w:val="1"/>
    <w:link w:val="277"/>
    <w:qFormat/>
    <w:uiPriority w:val="0"/>
    <w:pPr>
      <w:jc w:val="center"/>
    </w:pPr>
    <w:rPr>
      <w:rFonts w:eastAsia="幼圆"/>
      <w:b/>
      <w:bCs/>
      <w:sz w:val="44"/>
    </w:rPr>
  </w:style>
  <w:style w:type="paragraph" w:styleId="20">
    <w:name w:val="Body Text Indent"/>
    <w:basedOn w:val="1"/>
    <w:next w:val="21"/>
    <w:link w:val="233"/>
    <w:qFormat/>
    <w:uiPriority w:val="0"/>
    <w:pPr>
      <w:spacing w:after="120"/>
      <w:ind w:left="420"/>
    </w:pPr>
  </w:style>
  <w:style w:type="paragraph" w:styleId="21">
    <w:name w:val="Body Text First Indent 2"/>
    <w:basedOn w:val="20"/>
    <w:next w:val="14"/>
    <w:qFormat/>
    <w:uiPriority w:val="99"/>
    <w:pPr>
      <w:ind w:firstLine="420"/>
    </w:pPr>
  </w:style>
  <w:style w:type="paragraph" w:styleId="22">
    <w:name w:val="toc 5"/>
    <w:basedOn w:val="1"/>
    <w:next w:val="1"/>
    <w:unhideWhenUsed/>
    <w:qFormat/>
    <w:uiPriority w:val="39"/>
    <w:pPr>
      <w:ind w:left="1680"/>
    </w:pPr>
    <w:rPr>
      <w:rFonts w:ascii="Calibri" w:hAnsi="Calibri"/>
      <w:szCs w:val="22"/>
    </w:rPr>
  </w:style>
  <w:style w:type="paragraph" w:styleId="23">
    <w:name w:val="toc 3"/>
    <w:basedOn w:val="1"/>
    <w:next w:val="1"/>
    <w:qFormat/>
    <w:uiPriority w:val="39"/>
    <w:pPr>
      <w:ind w:left="840"/>
    </w:pPr>
    <w:rPr>
      <w:rFonts w:ascii="Calibri" w:hAnsi="Calibri"/>
      <w:szCs w:val="22"/>
    </w:rPr>
  </w:style>
  <w:style w:type="paragraph" w:styleId="24">
    <w:name w:val="Plain Text"/>
    <w:basedOn w:val="1"/>
    <w:link w:val="239"/>
    <w:qFormat/>
    <w:uiPriority w:val="0"/>
    <w:rPr>
      <w:rFonts w:ascii="Ari"/>
    </w:rPr>
  </w:style>
  <w:style w:type="paragraph" w:styleId="25">
    <w:name w:val="toc 8"/>
    <w:basedOn w:val="1"/>
    <w:next w:val="1"/>
    <w:unhideWhenUsed/>
    <w:qFormat/>
    <w:uiPriority w:val="39"/>
    <w:pPr>
      <w:ind w:left="2940"/>
    </w:pPr>
    <w:rPr>
      <w:rFonts w:ascii="Calibri" w:hAnsi="Calibri"/>
      <w:szCs w:val="22"/>
    </w:rPr>
  </w:style>
  <w:style w:type="paragraph" w:styleId="26">
    <w:name w:val="Date"/>
    <w:basedOn w:val="1"/>
    <w:next w:val="1"/>
    <w:link w:val="247"/>
    <w:unhideWhenUsed/>
    <w:qFormat/>
    <w:uiPriority w:val="0"/>
  </w:style>
  <w:style w:type="paragraph" w:styleId="27">
    <w:name w:val="Body Text Indent 2"/>
    <w:basedOn w:val="1"/>
    <w:link w:val="269"/>
    <w:unhideWhenUsed/>
    <w:qFormat/>
    <w:uiPriority w:val="99"/>
    <w:pPr>
      <w:spacing w:line="420" w:lineRule="exact"/>
      <w:ind w:firstLine="525"/>
    </w:pPr>
    <w:rPr>
      <w:rFonts w:ascii="宋体"/>
      <w:sz w:val="20"/>
      <w:szCs w:val="20"/>
    </w:rPr>
  </w:style>
  <w:style w:type="paragraph" w:styleId="28">
    <w:name w:val="endnote text"/>
    <w:basedOn w:val="1"/>
    <w:link w:val="211"/>
    <w:semiHidden/>
    <w:unhideWhenUsed/>
    <w:qFormat/>
    <w:uiPriority w:val="99"/>
    <w:rPr>
      <w:sz w:val="20"/>
    </w:rPr>
  </w:style>
  <w:style w:type="paragraph" w:styleId="29">
    <w:name w:val="Balloon Text"/>
    <w:basedOn w:val="1"/>
    <w:link w:val="292"/>
    <w:qFormat/>
    <w:uiPriority w:val="0"/>
    <w:rPr>
      <w:sz w:val="18"/>
      <w:szCs w:val="18"/>
    </w:rPr>
  </w:style>
  <w:style w:type="paragraph" w:styleId="30">
    <w:name w:val="footer"/>
    <w:basedOn w:val="1"/>
    <w:link w:val="282"/>
    <w:qFormat/>
    <w:uiPriority w:val="99"/>
    <w:pPr>
      <w:tabs>
        <w:tab w:val="center" w:pos="4153"/>
        <w:tab w:val="right" w:pos="8306"/>
      </w:tabs>
      <w:jc w:val="left"/>
    </w:pPr>
    <w:rPr>
      <w:sz w:val="18"/>
      <w:szCs w:val="18"/>
    </w:rPr>
  </w:style>
  <w:style w:type="paragraph" w:styleId="31">
    <w:name w:val="header"/>
    <w:basedOn w:val="1"/>
    <w:link w:val="237"/>
    <w:qFormat/>
    <w:uiPriority w:val="0"/>
    <w:pPr>
      <w:pBdr>
        <w:bottom w:val="single" w:color="auto" w:sz="6" w:space="1"/>
      </w:pBdr>
      <w:tabs>
        <w:tab w:val="center" w:pos="4153"/>
        <w:tab w:val="right" w:pos="8306"/>
      </w:tabs>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pPr>
    <w:rPr>
      <w:rFonts w:ascii="Calibri" w:hAnsi="Calibri"/>
      <w:szCs w:val="22"/>
    </w:rPr>
  </w:style>
  <w:style w:type="paragraph" w:styleId="34">
    <w:name w:val="index heading"/>
    <w:basedOn w:val="1"/>
    <w:next w:val="35"/>
    <w:unhideWhenUsed/>
    <w:qFormat/>
    <w:uiPriority w:val="99"/>
    <w:pPr>
      <w:tabs>
        <w:tab w:val="left" w:pos="240"/>
      </w:tabs>
    </w:pPr>
  </w:style>
  <w:style w:type="paragraph" w:styleId="35">
    <w:name w:val="index 1"/>
    <w:basedOn w:val="1"/>
    <w:next w:val="1"/>
    <w:qFormat/>
    <w:uiPriority w:val="0"/>
    <w:pPr>
      <w:spacing w:line="220" w:lineRule="exact"/>
      <w:jc w:val="center"/>
    </w:pPr>
    <w:rPr>
      <w:rFonts w:ascii="仿宋_GB2312" w:hAnsi="Calibri" w:eastAsia="仿宋_GB2312"/>
      <w:szCs w:val="22"/>
    </w:rPr>
  </w:style>
  <w:style w:type="paragraph" w:styleId="36">
    <w:name w:val="Subtitle"/>
    <w:basedOn w:val="1"/>
    <w:next w:val="1"/>
    <w:link w:val="265"/>
    <w:qFormat/>
    <w:uiPriority w:val="0"/>
    <w:pPr>
      <w:spacing w:before="240" w:after="60" w:line="312" w:lineRule="auto"/>
      <w:jc w:val="center"/>
      <w:outlineLvl w:val="1"/>
    </w:pPr>
    <w:rPr>
      <w:rFonts w:ascii="Cambria" w:hAnsi="Cambria"/>
      <w:b/>
      <w:bCs/>
      <w:sz w:val="32"/>
      <w:szCs w:val="32"/>
    </w:rPr>
  </w:style>
  <w:style w:type="paragraph" w:styleId="37">
    <w:name w:val="footnote text"/>
    <w:basedOn w:val="1"/>
    <w:link w:val="210"/>
    <w:semiHidden/>
    <w:unhideWhenUsed/>
    <w:qFormat/>
    <w:uiPriority w:val="99"/>
    <w:pPr>
      <w:spacing w:after="40"/>
    </w:pPr>
    <w:rPr>
      <w:sz w:val="18"/>
    </w:rPr>
  </w:style>
  <w:style w:type="paragraph" w:styleId="38">
    <w:name w:val="toc 6"/>
    <w:basedOn w:val="1"/>
    <w:next w:val="1"/>
    <w:unhideWhenUsed/>
    <w:qFormat/>
    <w:uiPriority w:val="39"/>
    <w:pPr>
      <w:ind w:left="2100"/>
    </w:pPr>
    <w:rPr>
      <w:rFonts w:ascii="Calibri" w:hAnsi="Calibri"/>
      <w:szCs w:val="22"/>
    </w:rPr>
  </w:style>
  <w:style w:type="paragraph" w:styleId="39">
    <w:name w:val="Body Text Indent 3"/>
    <w:basedOn w:val="1"/>
    <w:link w:val="290"/>
    <w:qFormat/>
    <w:uiPriority w:val="0"/>
    <w:pPr>
      <w:spacing w:after="120"/>
      <w:ind w:left="420"/>
    </w:pPr>
    <w:rPr>
      <w:sz w:val="16"/>
      <w:szCs w:val="20"/>
    </w:rPr>
  </w:style>
  <w:style w:type="paragraph" w:styleId="40">
    <w:name w:val="table of figures"/>
    <w:basedOn w:val="1"/>
    <w:next w:val="1"/>
    <w:unhideWhenUsed/>
    <w:qFormat/>
    <w:uiPriority w:val="99"/>
  </w:style>
  <w:style w:type="paragraph" w:styleId="41">
    <w:name w:val="toc 2"/>
    <w:basedOn w:val="1"/>
    <w:next w:val="1"/>
    <w:qFormat/>
    <w:uiPriority w:val="39"/>
    <w:pPr>
      <w:ind w:left="420"/>
    </w:pPr>
    <w:rPr>
      <w:rFonts w:ascii="Calibri" w:hAnsi="Calibri"/>
      <w:szCs w:val="22"/>
    </w:rPr>
  </w:style>
  <w:style w:type="paragraph" w:styleId="42">
    <w:name w:val="toc 9"/>
    <w:basedOn w:val="1"/>
    <w:next w:val="1"/>
    <w:unhideWhenUsed/>
    <w:qFormat/>
    <w:uiPriority w:val="39"/>
    <w:pPr>
      <w:ind w:left="3360"/>
    </w:pPr>
    <w:rPr>
      <w:rFonts w:ascii="Calibri" w:hAnsi="Calibri"/>
      <w:szCs w:val="22"/>
    </w:rPr>
  </w:style>
  <w:style w:type="paragraph" w:styleId="4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4">
    <w:name w:val="Normal (Web)"/>
    <w:basedOn w:val="1"/>
    <w:qFormat/>
    <w:uiPriority w:val="99"/>
    <w:pPr>
      <w:widowControl/>
      <w:spacing w:before="100" w:beforeAutospacing="1" w:after="100" w:afterAutospacing="1"/>
      <w:jc w:val="left"/>
    </w:pPr>
    <w:rPr>
      <w:rFonts w:ascii="宋体" w:hAnsi="宋体" w:cs="宋体"/>
      <w:sz w:val="24"/>
    </w:rPr>
  </w:style>
  <w:style w:type="paragraph" w:styleId="45">
    <w:name w:val="Title"/>
    <w:basedOn w:val="1"/>
    <w:next w:val="1"/>
    <w:link w:val="242"/>
    <w:qFormat/>
    <w:uiPriority w:val="0"/>
    <w:pPr>
      <w:spacing w:before="240" w:after="60" w:line="420" w:lineRule="atLeast"/>
      <w:jc w:val="center"/>
      <w:outlineLvl w:val="0"/>
    </w:pPr>
    <w:rPr>
      <w:rFonts w:ascii="Arial" w:hAnsi="Arial"/>
      <w:b/>
      <w:sz w:val="32"/>
      <w:szCs w:val="20"/>
    </w:rPr>
  </w:style>
  <w:style w:type="paragraph" w:styleId="46">
    <w:name w:val="annotation subject"/>
    <w:basedOn w:val="17"/>
    <w:next w:val="17"/>
    <w:link w:val="280"/>
    <w:qFormat/>
    <w:uiPriority w:val="0"/>
    <w:rPr>
      <w:b/>
      <w:bCs/>
    </w:rPr>
  </w:style>
  <w:style w:type="paragraph" w:styleId="47">
    <w:name w:val="Body Text First Indent"/>
    <w:basedOn w:val="19"/>
    <w:unhideWhenUsed/>
    <w:qFormat/>
    <w:uiPriority w:val="99"/>
    <w:pPr>
      <w:spacing w:before="100" w:beforeAutospacing="1"/>
      <w:ind w:firstLine="100" w:firstLineChars="100"/>
    </w:pPr>
  </w:style>
  <w:style w:type="table" w:styleId="49">
    <w:name w:val="Table Grid"/>
    <w:basedOn w:val="4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rFonts w:cs="Times New Roman"/>
      <w:b/>
    </w:rPr>
  </w:style>
  <w:style w:type="character" w:styleId="52">
    <w:name w:val="endnote reference"/>
    <w:basedOn w:val="50"/>
    <w:semiHidden/>
    <w:unhideWhenUsed/>
    <w:qFormat/>
    <w:uiPriority w:val="99"/>
    <w:rPr>
      <w:vertAlign w:val="superscript"/>
    </w:rPr>
  </w:style>
  <w:style w:type="character" w:styleId="53">
    <w:name w:val="page number"/>
    <w:basedOn w:val="50"/>
    <w:qFormat/>
    <w:uiPriority w:val="0"/>
    <w:rPr>
      <w:rFonts w:eastAsia="宋体"/>
      <w:b/>
      <w:spacing w:val="0"/>
      <w:sz w:val="24"/>
      <w:szCs w:val="24"/>
      <w:vertAlign w:val="baseline"/>
      <w:lang w:val="en-US" w:eastAsia="zh-CN" w:bidi="ar-SA"/>
    </w:rPr>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basedOn w:val="50"/>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color w:val="008000"/>
    </w:rPr>
  </w:style>
  <w:style w:type="character" w:styleId="59">
    <w:name w:val="footnote reference"/>
    <w:basedOn w:val="50"/>
    <w:unhideWhenUsed/>
    <w:qFormat/>
    <w:uiPriority w:val="99"/>
    <w:rPr>
      <w:vertAlign w:val="superscript"/>
    </w:rPr>
  </w:style>
  <w:style w:type="paragraph" w:customStyle="1" w:styleId="60">
    <w:name w:val="首行缩进"/>
    <w:basedOn w:val="1"/>
    <w:qFormat/>
    <w:uiPriority w:val="0"/>
    <w:pPr>
      <w:spacing w:line="360" w:lineRule="auto"/>
      <w:ind w:firstLine="480"/>
    </w:pPr>
    <w:rPr>
      <w:rFonts w:ascii="宋体" w:hAnsi="宋体" w:cs="宋体"/>
      <w:sz w:val="24"/>
    </w:rPr>
  </w:style>
  <w:style w:type="paragraph" w:customStyle="1" w:styleId="61">
    <w:name w:val="列表段落1"/>
    <w:basedOn w:val="1"/>
    <w:qFormat/>
    <w:uiPriority w:val="99"/>
    <w:pPr>
      <w:ind w:firstLine="420"/>
    </w:pPr>
  </w:style>
  <w:style w:type="paragraph" w:customStyle="1" w:styleId="62">
    <w:name w:val="索引 41"/>
    <w:basedOn w:val="63"/>
    <w:next w:val="1"/>
    <w:qFormat/>
    <w:uiPriority w:val="99"/>
    <w:pPr>
      <w:ind w:left="600"/>
    </w:pPr>
    <w:rPr>
      <w:rFonts w:ascii="Verdana" w:hAnsi="Verdana"/>
    </w:rPr>
  </w:style>
  <w:style w:type="paragraph" w:customStyle="1" w:styleId="63">
    <w:name w:val="正文1"/>
    <w:next w:val="62"/>
    <w:qFormat/>
    <w:uiPriority w:val="0"/>
    <w:pPr>
      <w:widowControl w:val="0"/>
      <w:jc w:val="both"/>
    </w:pPr>
    <w:rPr>
      <w:rFonts w:ascii="Calibri" w:hAnsi="Calibri" w:eastAsia="宋体" w:cs="Times New Roman"/>
      <w:lang w:val="en-US" w:eastAsia="zh-CN" w:bidi="ar-SA"/>
    </w:rPr>
  </w:style>
  <w:style w:type="paragraph" w:customStyle="1" w:styleId="64">
    <w:name w:val="一级条标题"/>
    <w:basedOn w:val="65"/>
    <w:next w:val="6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5">
    <w:name w:val="章标题"/>
    <w:basedOn w:val="1"/>
    <w:next w:val="1"/>
    <w:qFormat/>
    <w:uiPriority w:val="0"/>
    <w:pPr>
      <w:widowControl/>
      <w:spacing w:before="158" w:after="153" w:line="1292" w:lineRule="atLeast"/>
      <w:jc w:val="center"/>
    </w:pPr>
    <w:rPr>
      <w:rFonts w:ascii="Arial" w:hAnsi="Calibri" w:eastAsia="黑体" w:cs="黑体"/>
      <w:sz w:val="31"/>
      <w:szCs w:val="22"/>
      <w:lang w:eastAsia="en-US" w:bidi="en-US"/>
    </w:rPr>
  </w:style>
  <w:style w:type="paragraph" w:customStyle="1" w:styleId="66">
    <w:name w:val="段"/>
    <w:basedOn w:val="1"/>
    <w:next w:val="1"/>
    <w:qFormat/>
    <w:uiPriority w:val="0"/>
    <w:pPr>
      <w:widowControl/>
      <w:ind w:firstLine="200"/>
    </w:pPr>
    <w:rPr>
      <w:rFonts w:hint="eastAsia" w:ascii="宋体"/>
      <w:szCs w:val="20"/>
    </w:rPr>
  </w:style>
  <w:style w:type="character" w:customStyle="1" w:styleId="67">
    <w:name w:val="Heading 1 Char"/>
    <w:basedOn w:val="50"/>
    <w:qFormat/>
    <w:uiPriority w:val="9"/>
    <w:rPr>
      <w:rFonts w:ascii="Arial" w:hAnsi="Arial" w:eastAsia="Arial" w:cs="Arial"/>
      <w:sz w:val="40"/>
      <w:szCs w:val="40"/>
    </w:rPr>
  </w:style>
  <w:style w:type="character" w:customStyle="1" w:styleId="68">
    <w:name w:val="Heading 2 Char"/>
    <w:basedOn w:val="50"/>
    <w:qFormat/>
    <w:uiPriority w:val="9"/>
    <w:rPr>
      <w:rFonts w:ascii="Arial" w:hAnsi="Arial" w:eastAsia="Arial" w:cs="Arial"/>
      <w:sz w:val="34"/>
    </w:rPr>
  </w:style>
  <w:style w:type="character" w:customStyle="1" w:styleId="69">
    <w:name w:val="Heading 3 Char"/>
    <w:basedOn w:val="50"/>
    <w:qFormat/>
    <w:uiPriority w:val="9"/>
    <w:rPr>
      <w:rFonts w:ascii="Arial" w:hAnsi="Arial" w:eastAsia="Arial" w:cs="Arial"/>
      <w:sz w:val="30"/>
      <w:szCs w:val="30"/>
    </w:rPr>
  </w:style>
  <w:style w:type="character" w:customStyle="1" w:styleId="70">
    <w:name w:val="Heading 4 Char"/>
    <w:basedOn w:val="50"/>
    <w:qFormat/>
    <w:uiPriority w:val="9"/>
    <w:rPr>
      <w:rFonts w:ascii="Arial" w:hAnsi="Arial" w:eastAsia="Arial" w:cs="Arial"/>
      <w:b/>
      <w:bCs/>
      <w:sz w:val="26"/>
      <w:szCs w:val="26"/>
    </w:rPr>
  </w:style>
  <w:style w:type="character" w:customStyle="1" w:styleId="71">
    <w:name w:val="Heading 5 Char"/>
    <w:basedOn w:val="50"/>
    <w:qFormat/>
    <w:uiPriority w:val="9"/>
    <w:rPr>
      <w:rFonts w:ascii="Arial" w:hAnsi="Arial" w:eastAsia="Arial" w:cs="Arial"/>
      <w:b/>
      <w:bCs/>
      <w:sz w:val="24"/>
      <w:szCs w:val="24"/>
    </w:rPr>
  </w:style>
  <w:style w:type="character" w:customStyle="1" w:styleId="72">
    <w:name w:val="Heading 6 Char"/>
    <w:basedOn w:val="50"/>
    <w:qFormat/>
    <w:uiPriority w:val="9"/>
    <w:rPr>
      <w:rFonts w:ascii="Arial" w:hAnsi="Arial" w:eastAsia="Arial" w:cs="Arial"/>
      <w:b/>
      <w:bCs/>
      <w:sz w:val="22"/>
      <w:szCs w:val="22"/>
    </w:rPr>
  </w:style>
  <w:style w:type="character" w:customStyle="1" w:styleId="73">
    <w:name w:val="Heading 7 Char"/>
    <w:basedOn w:val="50"/>
    <w:qFormat/>
    <w:uiPriority w:val="9"/>
    <w:rPr>
      <w:rFonts w:ascii="Arial" w:hAnsi="Arial" w:eastAsia="Arial" w:cs="Arial"/>
      <w:b/>
      <w:bCs/>
      <w:i/>
      <w:iCs/>
      <w:sz w:val="22"/>
      <w:szCs w:val="22"/>
    </w:rPr>
  </w:style>
  <w:style w:type="character" w:customStyle="1" w:styleId="74">
    <w:name w:val="Heading 8 Char"/>
    <w:basedOn w:val="50"/>
    <w:qFormat/>
    <w:uiPriority w:val="9"/>
    <w:rPr>
      <w:rFonts w:ascii="Arial" w:hAnsi="Arial" w:eastAsia="Arial" w:cs="Arial"/>
      <w:i/>
      <w:iCs/>
      <w:sz w:val="22"/>
      <w:szCs w:val="22"/>
    </w:rPr>
  </w:style>
  <w:style w:type="character" w:customStyle="1" w:styleId="75">
    <w:name w:val="Heading 9 Char"/>
    <w:basedOn w:val="50"/>
    <w:qFormat/>
    <w:uiPriority w:val="9"/>
    <w:rPr>
      <w:rFonts w:ascii="Arial" w:hAnsi="Arial" w:eastAsia="Arial" w:cs="Arial"/>
      <w:i/>
      <w:iCs/>
      <w:sz w:val="21"/>
      <w:szCs w:val="21"/>
    </w:rPr>
  </w:style>
  <w:style w:type="character" w:customStyle="1" w:styleId="76">
    <w:name w:val="Title Char"/>
    <w:basedOn w:val="50"/>
    <w:qFormat/>
    <w:uiPriority w:val="10"/>
    <w:rPr>
      <w:sz w:val="48"/>
      <w:szCs w:val="48"/>
    </w:rPr>
  </w:style>
  <w:style w:type="character" w:customStyle="1" w:styleId="77">
    <w:name w:val="Subtitle Char"/>
    <w:basedOn w:val="50"/>
    <w:qFormat/>
    <w:uiPriority w:val="11"/>
    <w:rPr>
      <w:sz w:val="24"/>
      <w:szCs w:val="24"/>
    </w:rPr>
  </w:style>
  <w:style w:type="paragraph" w:styleId="78">
    <w:name w:val="Quote"/>
    <w:basedOn w:val="1"/>
    <w:next w:val="1"/>
    <w:link w:val="79"/>
    <w:qFormat/>
    <w:uiPriority w:val="29"/>
    <w:pPr>
      <w:ind w:left="720" w:right="720"/>
    </w:pPr>
    <w:rPr>
      <w:i/>
    </w:rPr>
  </w:style>
  <w:style w:type="character" w:customStyle="1" w:styleId="79">
    <w:name w:val="引用 Char3"/>
    <w:link w:val="78"/>
    <w:qFormat/>
    <w:uiPriority w:val="29"/>
    <w:rPr>
      <w:i/>
    </w:rPr>
  </w:style>
  <w:style w:type="paragraph" w:styleId="80">
    <w:name w:val="Intense Quote"/>
    <w:basedOn w:val="1"/>
    <w:next w:val="1"/>
    <w:link w:val="8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1">
    <w:name w:val="明显引用 Char3"/>
    <w:link w:val="80"/>
    <w:qFormat/>
    <w:uiPriority w:val="30"/>
    <w:rPr>
      <w:i/>
    </w:rPr>
  </w:style>
  <w:style w:type="character" w:customStyle="1" w:styleId="82">
    <w:name w:val="Header Char"/>
    <w:basedOn w:val="50"/>
    <w:qFormat/>
    <w:uiPriority w:val="99"/>
  </w:style>
  <w:style w:type="character" w:customStyle="1" w:styleId="83">
    <w:name w:val="Footer Char"/>
    <w:basedOn w:val="50"/>
    <w:qFormat/>
    <w:uiPriority w:val="99"/>
  </w:style>
  <w:style w:type="character" w:customStyle="1" w:styleId="84">
    <w:name w:val="Caption Char"/>
    <w:qFormat/>
    <w:uiPriority w:val="99"/>
  </w:style>
  <w:style w:type="table" w:customStyle="1" w:styleId="85">
    <w:name w:val="Table Grid Light"/>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6">
    <w:name w:val="无格式表格 1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7">
    <w:name w:val="无格式表格 21"/>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8">
    <w:name w:val="无格式表格 31"/>
    <w:basedOn w:val="4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无格式表格 41"/>
    <w:basedOn w:val="4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无格式表格 51"/>
    <w:basedOn w:val="48"/>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1">
    <w:name w:val="网格表 1 浅色1"/>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2">
    <w:name w:val="Grid Table 1 Light - Accent 1"/>
    <w:basedOn w:val="48"/>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3">
    <w:name w:val="Grid Table 1 Light - Accent 2"/>
    <w:basedOn w:val="48"/>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4">
    <w:name w:val="Grid Table 1 Light - Accent 3"/>
    <w:basedOn w:val="48"/>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5">
    <w:name w:val="Grid Table 1 Light - Accent 4"/>
    <w:basedOn w:val="48"/>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6">
    <w:name w:val="Grid Table 1 Light - Accent 5"/>
    <w:basedOn w:val="48"/>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7">
    <w:name w:val="Grid Table 1 Light - Accent 6"/>
    <w:basedOn w:val="48"/>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8">
    <w:name w:val="网格表 2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2 - Accent 1"/>
    <w:basedOn w:val="48"/>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0">
    <w:name w:val="Grid Table 2 - Accent 2"/>
    <w:basedOn w:val="48"/>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2 - Accent 3"/>
    <w:basedOn w:val="48"/>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2 - Accent 4"/>
    <w:basedOn w:val="48"/>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2 - Accent 5"/>
    <w:basedOn w:val="48"/>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2 - Accent 6"/>
    <w:basedOn w:val="48"/>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网格表 3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3 - Accent 1"/>
    <w:basedOn w:val="48"/>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7">
    <w:name w:val="Grid Table 3 - Accent 2"/>
    <w:basedOn w:val="48"/>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8">
    <w:name w:val="Grid Table 3 - Accent 3"/>
    <w:basedOn w:val="48"/>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9">
    <w:name w:val="Grid Table 3 - Accent 4"/>
    <w:basedOn w:val="48"/>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0">
    <w:name w:val="Grid Table 3 - Accent 5"/>
    <w:basedOn w:val="48"/>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1">
    <w:name w:val="Grid Table 3 - Accent 6"/>
    <w:basedOn w:val="48"/>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2">
    <w:name w:val="网格表 41"/>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Grid Table 4 - Accent 1"/>
    <w:basedOn w:val="48"/>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4">
    <w:name w:val="Grid Table 4 - Accent 2"/>
    <w:basedOn w:val="48"/>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5">
    <w:name w:val="Grid Table 4 - Accent 3"/>
    <w:basedOn w:val="48"/>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6">
    <w:name w:val="Grid Table 4 - Accent 4"/>
    <w:basedOn w:val="48"/>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7">
    <w:name w:val="Grid Table 4 - Accent 5"/>
    <w:basedOn w:val="48"/>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8">
    <w:name w:val="Grid Table 4 - Accent 6"/>
    <w:basedOn w:val="48"/>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9">
    <w:name w:val="网格表 5 深色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0">
    <w:name w:val="Grid Table 5 Dark- Accent 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1">
    <w:name w:val="Grid Table 5 Dark - Accent 2"/>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2">
    <w:name w:val="Grid Table 5 Dark - Accent 3"/>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3">
    <w:name w:val="Grid Table 5 Dark- Accent 4"/>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4">
    <w:name w:val="Grid Table 5 Dark - Accent 5"/>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5">
    <w:name w:val="Grid Table 5 Dark - Accent 6"/>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6">
    <w:name w:val="网格表 6 彩色1"/>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6 Colorful - Accent 1"/>
    <w:basedOn w:val="48"/>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8">
    <w:name w:val="Grid Table 6 Colorful - Accent 2"/>
    <w:basedOn w:val="48"/>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9">
    <w:name w:val="Grid Table 6 Colorful - Accent 3"/>
    <w:basedOn w:val="48"/>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0">
    <w:name w:val="Grid Table 6 Colorful - Accent 4"/>
    <w:basedOn w:val="48"/>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1">
    <w:name w:val="Grid Table 6 Colorful - Accent 5"/>
    <w:basedOn w:val="48"/>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2">
    <w:name w:val="Grid Table 6 Colorful - Accent 6"/>
    <w:basedOn w:val="48"/>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3">
    <w:name w:val="网格表 7 彩色1"/>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4">
    <w:name w:val="Grid Table 7 Colorful - Accent 1"/>
    <w:basedOn w:val="48"/>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5">
    <w:name w:val="Grid Table 7 Colorful - Accent 2"/>
    <w:basedOn w:val="48"/>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6">
    <w:name w:val="Grid Table 7 Colorful - Accent 3"/>
    <w:basedOn w:val="48"/>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7">
    <w:name w:val="Grid Table 7 Colorful - Accent 4"/>
    <w:basedOn w:val="48"/>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8">
    <w:name w:val="Grid Table 7 Colorful - Accent 5"/>
    <w:basedOn w:val="48"/>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9">
    <w:name w:val="Grid Table 7 Colorful - Accent 6"/>
    <w:basedOn w:val="48"/>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40">
    <w:name w:val="清单表 1 浅色1"/>
    <w:basedOn w:val="48"/>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1">
    <w:name w:val="List Table 1 Light - Accent 1"/>
    <w:basedOn w:val="48"/>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2">
    <w:name w:val="List Table 1 Light - Accent 2"/>
    <w:basedOn w:val="48"/>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3">
    <w:name w:val="List Table 1 Light - Accent 3"/>
    <w:basedOn w:val="48"/>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4">
    <w:name w:val="List Table 1 Light - Accent 4"/>
    <w:basedOn w:val="48"/>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5">
    <w:name w:val="List Table 1 Light - Accent 5"/>
    <w:basedOn w:val="48"/>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6">
    <w:name w:val="List Table 1 Light - Accent 6"/>
    <w:basedOn w:val="48"/>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7">
    <w:name w:val="清单表 21"/>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2 - Accent 1"/>
    <w:basedOn w:val="48"/>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9">
    <w:name w:val="List Table 2 - Accent 2"/>
    <w:basedOn w:val="48"/>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0">
    <w:name w:val="List Table 2 - Accent 3"/>
    <w:basedOn w:val="48"/>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1">
    <w:name w:val="List Table 2 - Accent 4"/>
    <w:basedOn w:val="48"/>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2">
    <w:name w:val="List Table 2 - Accent 5"/>
    <w:basedOn w:val="48"/>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3">
    <w:name w:val="List Table 2 - Accent 6"/>
    <w:basedOn w:val="48"/>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4">
    <w:name w:val="清单表 3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5">
    <w:name w:val="List Table 3 - Accent 1"/>
    <w:basedOn w:val="48"/>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6">
    <w:name w:val="List Table 3 - Accent 2"/>
    <w:basedOn w:val="48"/>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7">
    <w:name w:val="List Table 3 - Accent 3"/>
    <w:basedOn w:val="48"/>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8">
    <w:name w:val="List Table 3 - Accent 4"/>
    <w:basedOn w:val="48"/>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9">
    <w:name w:val="List Table 3 - Accent 5"/>
    <w:basedOn w:val="48"/>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0">
    <w:name w:val="List Table 3 - Accent 6"/>
    <w:basedOn w:val="48"/>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1">
    <w:name w:val="清单表 4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2">
    <w:name w:val="List Table 4 - Accent 1"/>
    <w:basedOn w:val="48"/>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3">
    <w:name w:val="List Table 4 - Accent 2"/>
    <w:basedOn w:val="48"/>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4">
    <w:name w:val="List Table 4 - Accent 3"/>
    <w:basedOn w:val="48"/>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5">
    <w:name w:val="List Table 4 - Accent 4"/>
    <w:basedOn w:val="48"/>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6">
    <w:name w:val="List Table 4 - Accent 5"/>
    <w:basedOn w:val="48"/>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7">
    <w:name w:val="List Table 4 - Accent 6"/>
    <w:basedOn w:val="48"/>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8">
    <w:name w:val="清单表 5 深色1"/>
    <w:basedOn w:val="4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9">
    <w:name w:val="List Table 5 Dark - Accent 1"/>
    <w:basedOn w:val="48"/>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0">
    <w:name w:val="List Table 5 Dark - Accent 2"/>
    <w:basedOn w:val="48"/>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1">
    <w:name w:val="List Table 5 Dark - Accent 3"/>
    <w:basedOn w:val="48"/>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2">
    <w:name w:val="List Table 5 Dark - Accent 4"/>
    <w:basedOn w:val="48"/>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3">
    <w:name w:val="List Table 5 Dark - Accent 5"/>
    <w:basedOn w:val="48"/>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4">
    <w:name w:val="List Table 5 Dark - Accent 6"/>
    <w:basedOn w:val="48"/>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5">
    <w:name w:val="清单表 6 彩色1"/>
    <w:basedOn w:val="48"/>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6">
    <w:name w:val="List Table 6 Colorful - Accent 1"/>
    <w:basedOn w:val="48"/>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7">
    <w:name w:val="List Table 6 Colorful - Accent 2"/>
    <w:basedOn w:val="48"/>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8">
    <w:name w:val="List Table 6 Colorful - Accent 3"/>
    <w:basedOn w:val="48"/>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9">
    <w:name w:val="List Table 6 Colorful - Accent 4"/>
    <w:basedOn w:val="48"/>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0">
    <w:name w:val="List Table 6 Colorful - Accent 5"/>
    <w:basedOn w:val="48"/>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1">
    <w:name w:val="List Table 6 Colorful - Accent 6"/>
    <w:basedOn w:val="48"/>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2">
    <w:name w:val="清单表 7 彩色1"/>
    <w:basedOn w:val="48"/>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3">
    <w:name w:val="List Table 7 Colorful - Accent 1"/>
    <w:basedOn w:val="48"/>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4">
    <w:name w:val="List Table 7 Colorful - Accent 2"/>
    <w:basedOn w:val="48"/>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5">
    <w:name w:val="List Table 7 Colorful - Accent 3"/>
    <w:basedOn w:val="48"/>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6">
    <w:name w:val="List Table 7 Colorful - Accent 4"/>
    <w:basedOn w:val="48"/>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7">
    <w:name w:val="List Table 7 Colorful - Accent 5"/>
    <w:basedOn w:val="48"/>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8">
    <w:name w:val="List Table 7 Colorful - Accent 6"/>
    <w:basedOn w:val="48"/>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9">
    <w:name w:val="Lined - Accent"/>
    <w:basedOn w:val="48"/>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0">
    <w:name w:val="Lined - Accent 1"/>
    <w:basedOn w:val="48"/>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1">
    <w:name w:val="Lined - Accent 2"/>
    <w:basedOn w:val="48"/>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2">
    <w:name w:val="Lined - Accent 3"/>
    <w:basedOn w:val="48"/>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3">
    <w:name w:val="Lined - Accent 4"/>
    <w:basedOn w:val="48"/>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4">
    <w:name w:val="Lined - Accent 5"/>
    <w:basedOn w:val="48"/>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5">
    <w:name w:val="Lined - Accent 6"/>
    <w:basedOn w:val="48"/>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6">
    <w:name w:val="Bordered &amp; Lined - Accent"/>
    <w:basedOn w:val="4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7">
    <w:name w:val="Bordered &amp; Lined - Accent 1"/>
    <w:basedOn w:val="48"/>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8">
    <w:name w:val="Bordered &amp; Lined - Accent 2"/>
    <w:basedOn w:val="48"/>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9">
    <w:name w:val="Bordered &amp; Lined - Accent 3"/>
    <w:basedOn w:val="48"/>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0">
    <w:name w:val="Bordered &amp; Lined - Accent 4"/>
    <w:basedOn w:val="48"/>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1">
    <w:name w:val="Bordered &amp; Lined - Accent 5"/>
    <w:basedOn w:val="48"/>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2">
    <w:name w:val="Bordered &amp; Lined - Accent 6"/>
    <w:basedOn w:val="48"/>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3">
    <w:name w:val="Bordered"/>
    <w:basedOn w:val="4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4">
    <w:name w:val="Bordered - Accent 1"/>
    <w:basedOn w:val="48"/>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5">
    <w:name w:val="Bordered - Accent 2"/>
    <w:basedOn w:val="48"/>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6">
    <w:name w:val="Bordered - Accent 3"/>
    <w:basedOn w:val="48"/>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7">
    <w:name w:val="Bordered - Accent 4"/>
    <w:basedOn w:val="48"/>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8">
    <w:name w:val="Bordered - Accent 5"/>
    <w:basedOn w:val="48"/>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9">
    <w:name w:val="Bordered - Accent 6"/>
    <w:basedOn w:val="48"/>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0">
    <w:name w:val="脚注文本 Char"/>
    <w:link w:val="37"/>
    <w:qFormat/>
    <w:uiPriority w:val="99"/>
    <w:rPr>
      <w:sz w:val="18"/>
    </w:rPr>
  </w:style>
  <w:style w:type="character" w:customStyle="1" w:styleId="211">
    <w:name w:val="尾注文本 Char"/>
    <w:link w:val="28"/>
    <w:qFormat/>
    <w:uiPriority w:val="99"/>
    <w:rPr>
      <w:sz w:val="20"/>
    </w:rPr>
  </w:style>
  <w:style w:type="paragraph" w:customStyle="1" w:styleId="212">
    <w:name w:val="TOC 标题1"/>
    <w:unhideWhenUsed/>
    <w:qFormat/>
    <w:uiPriority w:val="39"/>
    <w:rPr>
      <w:rFonts w:ascii="Times New Roman" w:hAnsi="Times New Roman" w:eastAsia="宋体" w:cs="Times New Roman"/>
      <w:lang w:val="en-US" w:eastAsia="zh-CN" w:bidi="ar-SA"/>
    </w:rPr>
  </w:style>
  <w:style w:type="paragraph" w:styleId="213">
    <w:name w:val="List Paragraph"/>
    <w:basedOn w:val="1"/>
    <w:qFormat/>
    <w:uiPriority w:val="34"/>
    <w:pPr>
      <w:ind w:firstLine="420"/>
    </w:pPr>
  </w:style>
  <w:style w:type="paragraph" w:customStyle="1" w:styleId="214">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215">
    <w:name w:val="正文首行缩进 21"/>
    <w:basedOn w:val="216"/>
    <w:next w:val="1"/>
    <w:qFormat/>
    <w:uiPriority w:val="0"/>
    <w:pPr>
      <w:spacing w:before="100" w:beforeAutospacing="1"/>
      <w:ind w:firstLine="420"/>
    </w:pPr>
    <w:rPr>
      <w:rFonts w:ascii="宋体" w:hAnsi="宋体"/>
      <w:szCs w:val="21"/>
    </w:rPr>
  </w:style>
  <w:style w:type="paragraph" w:customStyle="1" w:styleId="216">
    <w:name w:val="正文文本缩进1"/>
    <w:basedOn w:val="1"/>
    <w:qFormat/>
    <w:uiPriority w:val="0"/>
    <w:pPr>
      <w:spacing w:line="500" w:lineRule="exact"/>
      <w:ind w:firstLine="880"/>
    </w:pPr>
  </w:style>
  <w:style w:type="character" w:customStyle="1" w:styleId="217">
    <w:name w:val="标题 1 Char1"/>
    <w:link w:val="3"/>
    <w:qFormat/>
    <w:uiPriority w:val="0"/>
    <w:rPr>
      <w:rFonts w:ascii="Times New Roman" w:hAnsi="Times New Roman" w:eastAsia="宋体" w:cs="Times New Roman"/>
      <w:b/>
      <w:bCs/>
      <w:sz w:val="32"/>
      <w:szCs w:val="44"/>
    </w:rPr>
  </w:style>
  <w:style w:type="character" w:customStyle="1" w:styleId="218">
    <w:name w:val="明显强调1"/>
    <w:qFormat/>
    <w:uiPriority w:val="0"/>
    <w:rPr>
      <w:b/>
      <w:bCs/>
      <w:i/>
      <w:iCs/>
      <w:color w:val="4F81BD"/>
    </w:rPr>
  </w:style>
  <w:style w:type="character" w:customStyle="1" w:styleId="219">
    <w:name w:val="批注文字 Char2"/>
    <w:qFormat/>
    <w:uiPriority w:val="0"/>
    <w:rPr>
      <w:sz w:val="21"/>
    </w:rPr>
  </w:style>
  <w:style w:type="character" w:customStyle="1" w:styleId="220">
    <w:name w:val="标题 3 Char_0"/>
    <w:link w:val="221"/>
    <w:qFormat/>
    <w:uiPriority w:val="0"/>
    <w:rPr>
      <w:b/>
      <w:bCs/>
      <w:sz w:val="32"/>
      <w:szCs w:val="32"/>
    </w:rPr>
  </w:style>
  <w:style w:type="paragraph" w:customStyle="1" w:styleId="221">
    <w:name w:val="标题 3_0"/>
    <w:basedOn w:val="222"/>
    <w:next w:val="222"/>
    <w:link w:val="220"/>
    <w:qFormat/>
    <w:uiPriority w:val="0"/>
    <w:pPr>
      <w:keepNext/>
      <w:keepLines/>
      <w:spacing w:before="260" w:after="260" w:line="416" w:lineRule="auto"/>
      <w:outlineLvl w:val="2"/>
    </w:pPr>
    <w:rPr>
      <w:b/>
      <w:bCs/>
      <w:sz w:val="32"/>
      <w:szCs w:val="32"/>
    </w:rPr>
  </w:style>
  <w:style w:type="paragraph" w:customStyle="1" w:styleId="222">
    <w:name w:val="正文_0"/>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23">
    <w:name w:val="标题 2 Char"/>
    <w:link w:val="4"/>
    <w:qFormat/>
    <w:uiPriority w:val="0"/>
    <w:rPr>
      <w:rFonts w:ascii="Cambria" w:hAnsi="Cambria"/>
      <w:b/>
      <w:bCs/>
      <w:sz w:val="32"/>
      <w:szCs w:val="32"/>
    </w:rPr>
  </w:style>
  <w:style w:type="character" w:customStyle="1" w:styleId="224">
    <w:name w:val="正文文本 Char2"/>
    <w:semiHidden/>
    <w:qFormat/>
    <w:uiPriority w:val="99"/>
    <w:rPr>
      <w:rFonts w:ascii="Calibri" w:hAnsi="Calibri" w:eastAsia="宋体" w:cs="Times New Roman"/>
    </w:rPr>
  </w:style>
  <w:style w:type="character" w:customStyle="1" w:styleId="225">
    <w:name w:val="页脚 Char1"/>
    <w:semiHidden/>
    <w:qFormat/>
    <w:uiPriority w:val="99"/>
    <w:rPr>
      <w:rFonts w:ascii="Calibri" w:hAnsi="Calibri" w:eastAsia="宋体" w:cs="Times New Roman"/>
      <w:sz w:val="18"/>
      <w:szCs w:val="18"/>
    </w:rPr>
  </w:style>
  <w:style w:type="character" w:customStyle="1" w:styleId="226">
    <w:name w:val="明显引用 Char2"/>
    <w:qFormat/>
    <w:uiPriority w:val="99"/>
    <w:rPr>
      <w:b/>
      <w:bCs/>
      <w:i/>
      <w:iCs/>
      <w:color w:val="4F81BD"/>
      <w:sz w:val="21"/>
      <w:szCs w:val="24"/>
    </w:rPr>
  </w:style>
  <w:style w:type="character" w:customStyle="1" w:styleId="227">
    <w:name w:val="引用 Char"/>
    <w:link w:val="228"/>
    <w:qFormat/>
    <w:uiPriority w:val="0"/>
    <w:rPr>
      <w:i/>
      <w:iCs/>
      <w:color w:val="000000"/>
    </w:rPr>
  </w:style>
  <w:style w:type="paragraph" w:customStyle="1" w:styleId="228">
    <w:name w:val="引用1"/>
    <w:basedOn w:val="1"/>
    <w:next w:val="1"/>
    <w:link w:val="227"/>
    <w:qFormat/>
    <w:uiPriority w:val="0"/>
    <w:rPr>
      <w:i/>
      <w:iCs/>
      <w:color w:val="000000"/>
      <w:sz w:val="20"/>
      <w:szCs w:val="20"/>
    </w:rPr>
  </w:style>
  <w:style w:type="character" w:customStyle="1" w:styleId="229">
    <w:name w:val="标题 1 Char_0"/>
    <w:link w:val="230"/>
    <w:qFormat/>
    <w:uiPriority w:val="0"/>
    <w:rPr>
      <w:b/>
      <w:bCs/>
      <w:sz w:val="44"/>
      <w:szCs w:val="44"/>
    </w:rPr>
  </w:style>
  <w:style w:type="paragraph" w:customStyle="1" w:styleId="230">
    <w:name w:val="标题 1_0"/>
    <w:basedOn w:val="222"/>
    <w:next w:val="222"/>
    <w:link w:val="229"/>
    <w:qFormat/>
    <w:uiPriority w:val="0"/>
    <w:pPr>
      <w:keepNext/>
      <w:keepLines/>
      <w:spacing w:before="340" w:after="330" w:line="578" w:lineRule="auto"/>
      <w:outlineLvl w:val="0"/>
    </w:pPr>
    <w:rPr>
      <w:b/>
      <w:bCs/>
      <w:sz w:val="44"/>
      <w:szCs w:val="44"/>
    </w:rPr>
  </w:style>
  <w:style w:type="character" w:customStyle="1" w:styleId="231">
    <w:name w:val="正文文本缩进 3 Char1"/>
    <w:semiHidden/>
    <w:qFormat/>
    <w:uiPriority w:val="99"/>
    <w:rPr>
      <w:sz w:val="16"/>
      <w:szCs w:val="16"/>
    </w:rPr>
  </w:style>
  <w:style w:type="character" w:customStyle="1" w:styleId="232">
    <w:name w:val="引用 Char1"/>
    <w:qFormat/>
    <w:uiPriority w:val="29"/>
    <w:rPr>
      <w:i/>
      <w:iCs/>
      <w:color w:val="000000"/>
      <w:sz w:val="21"/>
    </w:rPr>
  </w:style>
  <w:style w:type="character" w:customStyle="1" w:styleId="233">
    <w:name w:val="正文文本缩进 Char"/>
    <w:link w:val="20"/>
    <w:qFormat/>
    <w:uiPriority w:val="0"/>
    <w:rPr>
      <w:sz w:val="21"/>
      <w:szCs w:val="24"/>
    </w:rPr>
  </w:style>
  <w:style w:type="character" w:customStyle="1" w:styleId="234">
    <w:name w:val="font161"/>
    <w:qFormat/>
    <w:uiPriority w:val="0"/>
    <w:rPr>
      <w:b/>
      <w:sz w:val="32"/>
    </w:rPr>
  </w:style>
  <w:style w:type="character" w:customStyle="1" w:styleId="235">
    <w:name w:val="标题 4 Char_0"/>
    <w:link w:val="236"/>
    <w:qFormat/>
    <w:uiPriority w:val="0"/>
    <w:rPr>
      <w:rFonts w:ascii="Arial" w:hAnsi="Arial" w:eastAsia="黑体"/>
      <w:b/>
      <w:bCs/>
      <w:sz w:val="28"/>
      <w:szCs w:val="28"/>
    </w:rPr>
  </w:style>
  <w:style w:type="paragraph" w:customStyle="1" w:styleId="236">
    <w:name w:val="标题 4_0"/>
    <w:basedOn w:val="222"/>
    <w:next w:val="222"/>
    <w:link w:val="235"/>
    <w:qFormat/>
    <w:uiPriority w:val="0"/>
    <w:pPr>
      <w:keepNext/>
      <w:keepLines/>
      <w:spacing w:before="280" w:after="290" w:line="376" w:lineRule="auto"/>
      <w:outlineLvl w:val="3"/>
    </w:pPr>
    <w:rPr>
      <w:rFonts w:ascii="Arial" w:hAnsi="Arial" w:eastAsia="黑体"/>
      <w:b/>
      <w:bCs/>
      <w:sz w:val="28"/>
      <w:szCs w:val="28"/>
    </w:rPr>
  </w:style>
  <w:style w:type="character" w:customStyle="1" w:styleId="237">
    <w:name w:val="页眉 Char"/>
    <w:link w:val="31"/>
    <w:qFormat/>
    <w:uiPriority w:val="0"/>
    <w:rPr>
      <w:sz w:val="18"/>
      <w:szCs w:val="18"/>
    </w:rPr>
  </w:style>
  <w:style w:type="character" w:customStyle="1" w:styleId="238">
    <w:name w:val="标题 6 Char"/>
    <w:link w:val="8"/>
    <w:qFormat/>
    <w:uiPriority w:val="0"/>
    <w:rPr>
      <w:rFonts w:ascii="Cambria" w:hAnsi="Cambria" w:eastAsia="宋体" w:cs="Times New Roman"/>
      <w:b/>
      <w:bCs/>
      <w:sz w:val="24"/>
      <w:szCs w:val="24"/>
    </w:rPr>
  </w:style>
  <w:style w:type="character" w:customStyle="1" w:styleId="239">
    <w:name w:val="纯文本 Char"/>
    <w:link w:val="24"/>
    <w:qFormat/>
    <w:uiPriority w:val="0"/>
    <w:rPr>
      <w:rFonts w:ascii="Ari"/>
      <w:lang w:val="en-US" w:eastAsia="zh-CN" w:bidi="ar-SA"/>
    </w:rPr>
  </w:style>
  <w:style w:type="character" w:customStyle="1" w:styleId="240">
    <w:name w:val="引用 Char2"/>
    <w:qFormat/>
    <w:uiPriority w:val="99"/>
    <w:rPr>
      <w:i/>
      <w:iCs/>
      <w:color w:val="000000"/>
      <w:sz w:val="21"/>
      <w:szCs w:val="24"/>
    </w:rPr>
  </w:style>
  <w:style w:type="character" w:customStyle="1" w:styleId="241">
    <w:name w:val="rvts11"/>
    <w:qFormat/>
    <w:uiPriority w:val="0"/>
    <w:rPr>
      <w:rFonts w:hint="default" w:ascii="KNLe" w:hAnsi="KNLe"/>
      <w:sz w:val="24"/>
      <w:szCs w:val="24"/>
      <w:u w:val="single"/>
    </w:rPr>
  </w:style>
  <w:style w:type="character" w:customStyle="1" w:styleId="242">
    <w:name w:val="标题 Char"/>
    <w:link w:val="45"/>
    <w:qFormat/>
    <w:uiPriority w:val="0"/>
    <w:rPr>
      <w:rFonts w:ascii="Arial" w:hAnsi="Arial"/>
      <w:b/>
      <w:sz w:val="32"/>
    </w:rPr>
  </w:style>
  <w:style w:type="character" w:customStyle="1" w:styleId="243">
    <w:name w:val="标题5 Char Char"/>
    <w:link w:val="244"/>
    <w:qFormat/>
    <w:uiPriority w:val="0"/>
    <w:rPr>
      <w:rFonts w:ascii="Arial" w:hAnsi="Arial"/>
      <w:b/>
      <w:bCs/>
      <w:sz w:val="24"/>
      <w:szCs w:val="32"/>
    </w:rPr>
  </w:style>
  <w:style w:type="paragraph" w:customStyle="1" w:styleId="244">
    <w:name w:val="标题5"/>
    <w:basedOn w:val="5"/>
    <w:link w:val="243"/>
    <w:qFormat/>
    <w:uiPriority w:val="0"/>
    <w:pPr>
      <w:numPr>
        <w:ilvl w:val="0"/>
        <w:numId w:val="0"/>
      </w:numPr>
      <w:spacing w:line="413" w:lineRule="auto"/>
    </w:pPr>
    <w:rPr>
      <w:rFonts w:ascii="Arial" w:hAnsi="Arial"/>
      <w:sz w:val="24"/>
    </w:rPr>
  </w:style>
  <w:style w:type="character" w:customStyle="1" w:styleId="245">
    <w:name w:val="副标题 Char2"/>
    <w:qFormat/>
    <w:uiPriority w:val="11"/>
    <w:rPr>
      <w:rFonts w:ascii="Cambria" w:hAnsi="Cambria" w:cs="Times New Roman"/>
      <w:b/>
      <w:bCs/>
      <w:sz w:val="32"/>
      <w:szCs w:val="32"/>
    </w:rPr>
  </w:style>
  <w:style w:type="character" w:customStyle="1" w:styleId="246">
    <w:name w:val="文档结构图 Char"/>
    <w:link w:val="16"/>
    <w:qFormat/>
    <w:uiPriority w:val="0"/>
    <w:rPr>
      <w:rFonts w:ascii="宋体"/>
      <w:sz w:val="18"/>
      <w:szCs w:val="18"/>
    </w:rPr>
  </w:style>
  <w:style w:type="character" w:customStyle="1" w:styleId="247">
    <w:name w:val="日期 Char"/>
    <w:link w:val="26"/>
    <w:qFormat/>
    <w:uiPriority w:val="0"/>
    <w:rPr>
      <w:sz w:val="21"/>
      <w:szCs w:val="24"/>
    </w:rPr>
  </w:style>
  <w:style w:type="character" w:customStyle="1" w:styleId="248">
    <w:name w:val="批注主题 Char1"/>
    <w:qFormat/>
    <w:uiPriority w:val="0"/>
    <w:rPr>
      <w:b/>
      <w:bCs/>
      <w:sz w:val="21"/>
      <w:szCs w:val="22"/>
    </w:rPr>
  </w:style>
  <w:style w:type="character" w:customStyle="1" w:styleId="249">
    <w:name w:val="font31"/>
    <w:qFormat/>
    <w:uiPriority w:val="0"/>
    <w:rPr>
      <w:rFonts w:hint="eastAsia" w:ascii="宋体" w:hAnsi="宋体" w:eastAsia="宋体" w:cs="宋体"/>
      <w:color w:val="000000"/>
      <w:sz w:val="20"/>
      <w:szCs w:val="20"/>
      <w:u w:val="none"/>
    </w:rPr>
  </w:style>
  <w:style w:type="character" w:customStyle="1" w:styleId="250">
    <w:name w:val="明显引用 Char"/>
    <w:link w:val="251"/>
    <w:qFormat/>
    <w:uiPriority w:val="0"/>
    <w:rPr>
      <w:b/>
      <w:bCs/>
      <w:i/>
      <w:iCs/>
      <w:color w:val="4F81BD"/>
    </w:rPr>
  </w:style>
  <w:style w:type="paragraph" w:customStyle="1" w:styleId="251">
    <w:name w:val="明显引用1"/>
    <w:basedOn w:val="1"/>
    <w:next w:val="1"/>
    <w:link w:val="250"/>
    <w:qFormat/>
    <w:uiPriority w:val="0"/>
    <w:pPr>
      <w:pBdr>
        <w:bottom w:val="single" w:color="4F81BD" w:sz="4" w:space="4"/>
      </w:pBdr>
      <w:spacing w:before="200" w:after="280"/>
      <w:ind w:left="936" w:right="936"/>
    </w:pPr>
    <w:rPr>
      <w:b/>
      <w:bCs/>
      <w:i/>
      <w:iCs/>
      <w:color w:val="4F81BD"/>
      <w:sz w:val="20"/>
      <w:szCs w:val="20"/>
    </w:rPr>
  </w:style>
  <w:style w:type="character" w:customStyle="1" w:styleId="252">
    <w:name w:val="标题 5 Char"/>
    <w:link w:val="7"/>
    <w:qFormat/>
    <w:uiPriority w:val="0"/>
    <w:rPr>
      <w:b/>
      <w:bCs/>
      <w:sz w:val="28"/>
      <w:szCs w:val="28"/>
    </w:rPr>
  </w:style>
  <w:style w:type="character" w:customStyle="1" w:styleId="253">
    <w:name w:val="日期 Char1"/>
    <w:qFormat/>
    <w:uiPriority w:val="0"/>
    <w:rPr>
      <w:rFonts w:ascii="Calibri" w:hAnsi="Calibri" w:eastAsia="宋体" w:cs="Times New Roman"/>
    </w:rPr>
  </w:style>
  <w:style w:type="character" w:customStyle="1" w:styleId="254">
    <w:name w:val="批注框文本 Char1"/>
    <w:qFormat/>
    <w:uiPriority w:val="0"/>
    <w:rPr>
      <w:sz w:val="18"/>
      <w:szCs w:val="18"/>
    </w:rPr>
  </w:style>
  <w:style w:type="character" w:customStyle="1" w:styleId="255">
    <w:name w:val="标题 Char1"/>
    <w:qFormat/>
    <w:uiPriority w:val="10"/>
    <w:rPr>
      <w:rFonts w:ascii="Cambria" w:hAnsi="Cambria" w:eastAsia="宋体" w:cs="Times New Roman"/>
      <w:b/>
      <w:bCs/>
      <w:sz w:val="32"/>
      <w:szCs w:val="32"/>
    </w:rPr>
  </w:style>
  <w:style w:type="character" w:customStyle="1" w:styleId="256">
    <w:name w:val="标题 9 Char"/>
    <w:link w:val="11"/>
    <w:qFormat/>
    <w:uiPriority w:val="0"/>
    <w:rPr>
      <w:rFonts w:ascii="Cambria" w:hAnsi="Cambria" w:eastAsia="宋体" w:cs="Times New Roman"/>
      <w:sz w:val="21"/>
      <w:szCs w:val="21"/>
    </w:rPr>
  </w:style>
  <w:style w:type="character" w:customStyle="1" w:styleId="257">
    <w:name w:val="不明显参考1"/>
    <w:qFormat/>
    <w:uiPriority w:val="0"/>
    <w:rPr>
      <w:smallCaps/>
      <w:color w:val="C0504D"/>
      <w:u w:val="single"/>
    </w:rPr>
  </w:style>
  <w:style w:type="character" w:customStyle="1" w:styleId="258">
    <w:name w:val="批注文字 Char1"/>
    <w:qFormat/>
    <w:uiPriority w:val="0"/>
    <w:rPr>
      <w:rFonts w:ascii="Calibri" w:hAnsi="Calibri" w:eastAsia="宋体" w:cs="Times New Roman"/>
    </w:rPr>
  </w:style>
  <w:style w:type="character" w:customStyle="1" w:styleId="259">
    <w:name w:val="标题 Char2"/>
    <w:qFormat/>
    <w:uiPriority w:val="10"/>
    <w:rPr>
      <w:rFonts w:ascii="Cambria" w:hAnsi="Cambria" w:cs="Times New Roman"/>
      <w:b/>
      <w:bCs/>
      <w:sz w:val="32"/>
      <w:szCs w:val="32"/>
    </w:rPr>
  </w:style>
  <w:style w:type="character" w:customStyle="1" w:styleId="260">
    <w:name w:val="正文文本 3 Char1"/>
    <w:semiHidden/>
    <w:qFormat/>
    <w:uiPriority w:val="99"/>
    <w:rPr>
      <w:sz w:val="16"/>
      <w:szCs w:val="16"/>
    </w:rPr>
  </w:style>
  <w:style w:type="character" w:customStyle="1" w:styleId="261">
    <w:name w:val="批注主题 Char2"/>
    <w:qFormat/>
    <w:uiPriority w:val="0"/>
    <w:rPr>
      <w:b/>
      <w:bCs/>
      <w:sz w:val="21"/>
    </w:rPr>
  </w:style>
  <w:style w:type="character" w:customStyle="1" w:styleId="262">
    <w:name w:val="标题 3 Char"/>
    <w:link w:val="5"/>
    <w:qFormat/>
    <w:uiPriority w:val="0"/>
    <w:rPr>
      <w:b/>
      <w:bCs/>
      <w:sz w:val="32"/>
      <w:szCs w:val="32"/>
    </w:rPr>
  </w:style>
  <w:style w:type="character" w:customStyle="1" w:styleId="263">
    <w:name w:val="正文文本 Char_0"/>
    <w:link w:val="264"/>
    <w:qFormat/>
    <w:uiPriority w:val="0"/>
    <w:rPr>
      <w:szCs w:val="24"/>
    </w:rPr>
  </w:style>
  <w:style w:type="paragraph" w:customStyle="1" w:styleId="264">
    <w:name w:val="正文文本_0"/>
    <w:basedOn w:val="222"/>
    <w:link w:val="263"/>
    <w:qFormat/>
    <w:uiPriority w:val="0"/>
    <w:pPr>
      <w:spacing w:after="120"/>
    </w:pPr>
    <w:rPr>
      <w:sz w:val="20"/>
    </w:rPr>
  </w:style>
  <w:style w:type="character" w:customStyle="1" w:styleId="265">
    <w:name w:val="副标题 Char"/>
    <w:link w:val="36"/>
    <w:qFormat/>
    <w:uiPriority w:val="0"/>
    <w:rPr>
      <w:rFonts w:ascii="Cambria" w:hAnsi="Cambria"/>
      <w:b/>
      <w:bCs/>
      <w:sz w:val="32"/>
      <w:szCs w:val="32"/>
    </w:rPr>
  </w:style>
  <w:style w:type="character" w:customStyle="1" w:styleId="266">
    <w:name w:val="bookmark"/>
    <w:basedOn w:val="50"/>
    <w:qFormat/>
    <w:uiPriority w:val="0"/>
  </w:style>
  <w:style w:type="character" w:customStyle="1" w:styleId="267">
    <w:name w:val="标题 5 Char_0"/>
    <w:link w:val="268"/>
    <w:qFormat/>
    <w:uiPriority w:val="0"/>
    <w:rPr>
      <w:rFonts w:ascii="Calibri" w:hAnsi="Calibri"/>
      <w:b/>
      <w:bCs/>
      <w:sz w:val="28"/>
      <w:szCs w:val="28"/>
    </w:rPr>
  </w:style>
  <w:style w:type="paragraph" w:customStyle="1" w:styleId="268">
    <w:name w:val="标题 5_0"/>
    <w:basedOn w:val="222"/>
    <w:next w:val="222"/>
    <w:link w:val="267"/>
    <w:qFormat/>
    <w:uiPriority w:val="0"/>
    <w:pPr>
      <w:keepNext/>
      <w:keepLines/>
      <w:spacing w:before="280" w:after="290" w:line="372" w:lineRule="auto"/>
      <w:outlineLvl w:val="4"/>
    </w:pPr>
    <w:rPr>
      <w:rFonts w:ascii="Calibri" w:hAnsi="Calibri"/>
      <w:b/>
      <w:bCs/>
      <w:sz w:val="28"/>
      <w:szCs w:val="28"/>
    </w:rPr>
  </w:style>
  <w:style w:type="character" w:customStyle="1" w:styleId="269">
    <w:name w:val="正文文本缩进 2 Char"/>
    <w:link w:val="27"/>
    <w:qFormat/>
    <w:uiPriority w:val="99"/>
    <w:rPr>
      <w:rFonts w:ascii="宋体"/>
    </w:rPr>
  </w:style>
  <w:style w:type="character" w:customStyle="1" w:styleId="270">
    <w:name w:val="批注文字 Char"/>
    <w:link w:val="17"/>
    <w:qFormat/>
    <w:uiPriority w:val="99"/>
    <w:rPr>
      <w:sz w:val="21"/>
      <w:szCs w:val="24"/>
    </w:rPr>
  </w:style>
  <w:style w:type="character" w:customStyle="1" w:styleId="271">
    <w:name w:val="font11"/>
    <w:qFormat/>
    <w:uiPriority w:val="0"/>
    <w:rPr>
      <w:rFonts w:hint="eastAsia" w:ascii="宋体" w:hAnsi="宋体" w:eastAsia="宋体" w:cs="宋体"/>
      <w:color w:val="000000"/>
      <w:sz w:val="20"/>
      <w:szCs w:val="20"/>
      <w:u w:val="none"/>
    </w:rPr>
  </w:style>
  <w:style w:type="character" w:customStyle="1" w:styleId="272">
    <w:name w:val="明显参考1"/>
    <w:qFormat/>
    <w:uiPriority w:val="0"/>
    <w:rPr>
      <w:b/>
      <w:bCs/>
      <w:smallCaps/>
      <w:color w:val="C0504D"/>
      <w:spacing w:val="5"/>
      <w:u w:val="single"/>
    </w:rPr>
  </w:style>
  <w:style w:type="character" w:customStyle="1" w:styleId="273">
    <w:name w:val="超链接_0"/>
    <w:qFormat/>
    <w:uiPriority w:val="99"/>
    <w:rPr>
      <w:rFonts w:ascii="Calibri" w:hAnsi="Calibri"/>
      <w:color w:val="0000FF"/>
      <w:u w:val="single"/>
    </w:rPr>
  </w:style>
  <w:style w:type="character" w:customStyle="1" w:styleId="274">
    <w:name w:val="文档结构图 Char2"/>
    <w:semiHidden/>
    <w:qFormat/>
    <w:uiPriority w:val="99"/>
    <w:rPr>
      <w:rFonts w:ascii="宋体" w:hAnsi="Calibri" w:eastAsia="宋体" w:cs="Times New Roman"/>
      <w:sz w:val="18"/>
      <w:szCs w:val="18"/>
    </w:rPr>
  </w:style>
  <w:style w:type="character" w:customStyle="1" w:styleId="275">
    <w:name w:val="textcontents"/>
    <w:qFormat/>
    <w:uiPriority w:val="0"/>
    <w:rPr>
      <w:rFonts w:cs="Times New Roman"/>
    </w:rPr>
  </w:style>
  <w:style w:type="character" w:customStyle="1" w:styleId="276">
    <w:name w:val="标题 1 Char"/>
    <w:qFormat/>
    <w:uiPriority w:val="0"/>
    <w:rPr>
      <w:b/>
      <w:bCs/>
      <w:sz w:val="32"/>
      <w:szCs w:val="44"/>
    </w:rPr>
  </w:style>
  <w:style w:type="character" w:customStyle="1" w:styleId="277">
    <w:name w:val="正文文本 Char"/>
    <w:link w:val="19"/>
    <w:qFormat/>
    <w:uiPriority w:val="0"/>
    <w:rPr>
      <w:rFonts w:eastAsia="幼圆"/>
      <w:b/>
      <w:bCs/>
      <w:sz w:val="44"/>
      <w:szCs w:val="24"/>
    </w:rPr>
  </w:style>
  <w:style w:type="character" w:customStyle="1" w:styleId="278">
    <w:name w:val="标题 8 Char"/>
    <w:link w:val="10"/>
    <w:qFormat/>
    <w:uiPriority w:val="0"/>
    <w:rPr>
      <w:rFonts w:ascii="Cambria" w:hAnsi="Cambria" w:eastAsia="宋体" w:cs="Times New Roman"/>
      <w:sz w:val="24"/>
      <w:szCs w:val="24"/>
    </w:rPr>
  </w:style>
  <w:style w:type="character" w:customStyle="1" w:styleId="279">
    <w:name w:val="副标题 Char1"/>
    <w:qFormat/>
    <w:uiPriority w:val="11"/>
    <w:rPr>
      <w:rFonts w:ascii="Cambria" w:hAnsi="Cambria" w:cs="Times New Roman"/>
      <w:b/>
      <w:bCs/>
      <w:sz w:val="32"/>
      <w:szCs w:val="32"/>
    </w:rPr>
  </w:style>
  <w:style w:type="character" w:customStyle="1" w:styleId="280">
    <w:name w:val="批注主题 Char"/>
    <w:link w:val="46"/>
    <w:qFormat/>
    <w:uiPriority w:val="0"/>
    <w:rPr>
      <w:b/>
      <w:bCs/>
      <w:sz w:val="21"/>
      <w:szCs w:val="24"/>
    </w:rPr>
  </w:style>
  <w:style w:type="character" w:customStyle="1" w:styleId="281">
    <w:name w:val="书籍标题1"/>
    <w:qFormat/>
    <w:uiPriority w:val="0"/>
    <w:rPr>
      <w:b/>
      <w:bCs/>
      <w:smallCaps/>
      <w:spacing w:val="5"/>
    </w:rPr>
  </w:style>
  <w:style w:type="character" w:customStyle="1" w:styleId="282">
    <w:name w:val="页脚 Char"/>
    <w:link w:val="30"/>
    <w:qFormat/>
    <w:uiPriority w:val="99"/>
    <w:rPr>
      <w:sz w:val="18"/>
      <w:szCs w:val="18"/>
    </w:rPr>
  </w:style>
  <w:style w:type="character" w:customStyle="1" w:styleId="283">
    <w:name w:val="标题4 Char Char"/>
    <w:link w:val="284"/>
    <w:qFormat/>
    <w:uiPriority w:val="0"/>
    <w:rPr>
      <w:rFonts w:ascii="Arial" w:hAnsi="Arial"/>
      <w:b/>
      <w:bCs/>
      <w:sz w:val="24"/>
      <w:szCs w:val="32"/>
    </w:rPr>
  </w:style>
  <w:style w:type="paragraph" w:customStyle="1" w:styleId="284">
    <w:name w:val="标题4"/>
    <w:basedOn w:val="4"/>
    <w:next w:val="2"/>
    <w:link w:val="283"/>
    <w:qFormat/>
    <w:uiPriority w:val="0"/>
    <w:pPr>
      <w:numPr>
        <w:ilvl w:val="0"/>
        <w:numId w:val="0"/>
      </w:numPr>
      <w:spacing w:line="413" w:lineRule="auto"/>
    </w:pPr>
    <w:rPr>
      <w:rFonts w:ascii="Arial" w:hAnsi="Arial"/>
      <w:sz w:val="24"/>
    </w:rPr>
  </w:style>
  <w:style w:type="character" w:customStyle="1" w:styleId="285">
    <w:name w:val="正文文本 Char1"/>
    <w:qFormat/>
    <w:uiPriority w:val="0"/>
    <w:rPr>
      <w:rFonts w:ascii="Calibri" w:hAnsi="Calibri" w:eastAsia="宋体" w:cs="Times New Roman"/>
    </w:rPr>
  </w:style>
  <w:style w:type="character" w:customStyle="1" w:styleId="286">
    <w:name w:val="明显引用 Char1"/>
    <w:qFormat/>
    <w:uiPriority w:val="30"/>
    <w:rPr>
      <w:b/>
      <w:bCs/>
      <w:i/>
      <w:iCs/>
      <w:color w:val="4F81BD"/>
      <w:sz w:val="21"/>
    </w:rPr>
  </w:style>
  <w:style w:type="character" w:customStyle="1" w:styleId="287">
    <w:name w:val="页眉 Char1"/>
    <w:semiHidden/>
    <w:qFormat/>
    <w:uiPriority w:val="99"/>
    <w:rPr>
      <w:rFonts w:ascii="Calibri" w:hAnsi="Calibri" w:eastAsia="宋体" w:cs="Times New Roman"/>
      <w:sz w:val="18"/>
      <w:szCs w:val="18"/>
    </w:rPr>
  </w:style>
  <w:style w:type="character" w:customStyle="1" w:styleId="288">
    <w:name w:val="不明显强调1"/>
    <w:qFormat/>
    <w:uiPriority w:val="0"/>
    <w:rPr>
      <w:i/>
      <w:iCs/>
      <w:color w:val="808080"/>
    </w:rPr>
  </w:style>
  <w:style w:type="character" w:customStyle="1" w:styleId="289">
    <w:name w:val="正文文本 3 Char"/>
    <w:link w:val="18"/>
    <w:qFormat/>
    <w:uiPriority w:val="0"/>
    <w:rPr>
      <w:rFonts w:ascii="宋体"/>
      <w:sz w:val="24"/>
    </w:rPr>
  </w:style>
  <w:style w:type="character" w:customStyle="1" w:styleId="290">
    <w:name w:val="正文文本缩进 3 Char"/>
    <w:link w:val="39"/>
    <w:qFormat/>
    <w:uiPriority w:val="0"/>
    <w:rPr>
      <w:sz w:val="16"/>
    </w:rPr>
  </w:style>
  <w:style w:type="character" w:customStyle="1" w:styleId="291">
    <w:name w:val="font21"/>
    <w:qFormat/>
    <w:uiPriority w:val="0"/>
    <w:rPr>
      <w:rFonts w:hint="eastAsia" w:ascii="宋体" w:hAnsi="宋体" w:eastAsia="宋体" w:cs="宋体"/>
      <w:color w:val="000000"/>
      <w:sz w:val="20"/>
      <w:szCs w:val="20"/>
      <w:u w:val="none"/>
    </w:rPr>
  </w:style>
  <w:style w:type="character" w:customStyle="1" w:styleId="292">
    <w:name w:val="批注框文本 Char"/>
    <w:link w:val="29"/>
    <w:qFormat/>
    <w:uiPriority w:val="0"/>
    <w:rPr>
      <w:sz w:val="18"/>
      <w:szCs w:val="18"/>
    </w:rPr>
  </w:style>
  <w:style w:type="character" w:customStyle="1" w:styleId="293">
    <w:name w:val="标题 7 Char"/>
    <w:link w:val="9"/>
    <w:qFormat/>
    <w:uiPriority w:val="0"/>
    <w:rPr>
      <w:b/>
      <w:bCs/>
      <w:sz w:val="24"/>
      <w:szCs w:val="24"/>
    </w:rPr>
  </w:style>
  <w:style w:type="character" w:customStyle="1" w:styleId="294">
    <w:name w:val="文档结构图 Char1"/>
    <w:qFormat/>
    <w:uiPriority w:val="0"/>
    <w:rPr>
      <w:rFonts w:ascii="宋体" w:hAnsi="Calibri" w:eastAsia="宋体" w:cs="Times New Roman"/>
      <w:sz w:val="18"/>
      <w:szCs w:val="18"/>
    </w:rPr>
  </w:style>
  <w:style w:type="character" w:customStyle="1" w:styleId="295">
    <w:name w:val="标题 2 Char_0"/>
    <w:link w:val="296"/>
    <w:qFormat/>
    <w:uiPriority w:val="0"/>
    <w:rPr>
      <w:rFonts w:ascii="Cambria" w:hAnsi="Cambria"/>
      <w:b/>
      <w:bCs/>
      <w:sz w:val="32"/>
      <w:szCs w:val="32"/>
    </w:rPr>
  </w:style>
  <w:style w:type="paragraph" w:customStyle="1" w:styleId="296">
    <w:name w:val="标题 2_0"/>
    <w:basedOn w:val="222"/>
    <w:next w:val="222"/>
    <w:link w:val="295"/>
    <w:unhideWhenUsed/>
    <w:qFormat/>
    <w:uiPriority w:val="0"/>
    <w:pPr>
      <w:keepNext/>
      <w:keepLines/>
      <w:spacing w:before="260" w:after="260" w:line="416" w:lineRule="auto"/>
      <w:outlineLvl w:val="1"/>
    </w:pPr>
    <w:rPr>
      <w:rFonts w:ascii="Cambria" w:hAnsi="Cambria"/>
      <w:b/>
      <w:bCs/>
      <w:sz w:val="32"/>
      <w:szCs w:val="32"/>
    </w:rPr>
  </w:style>
  <w:style w:type="character" w:customStyle="1" w:styleId="297">
    <w:name w:val="日期 Char2"/>
    <w:semiHidden/>
    <w:qFormat/>
    <w:uiPriority w:val="99"/>
    <w:rPr>
      <w:rFonts w:ascii="Calibri" w:hAnsi="Calibri" w:eastAsia="宋体" w:cs="Times New Roman"/>
    </w:rPr>
  </w:style>
  <w:style w:type="character" w:customStyle="1" w:styleId="298">
    <w:name w:val="批注框文本 Char2"/>
    <w:semiHidden/>
    <w:qFormat/>
    <w:uiPriority w:val="99"/>
    <w:rPr>
      <w:rFonts w:ascii="Calibri" w:hAnsi="Calibri" w:eastAsia="宋体" w:cs="Times New Roman"/>
      <w:sz w:val="18"/>
      <w:szCs w:val="18"/>
    </w:rPr>
  </w:style>
  <w:style w:type="character" w:customStyle="1" w:styleId="299">
    <w:name w:val="标题 4 Char"/>
    <w:link w:val="6"/>
    <w:qFormat/>
    <w:uiPriority w:val="0"/>
    <w:rPr>
      <w:rFonts w:ascii="Cambria" w:hAnsi="Cambria" w:eastAsia="宋体" w:cs="Times New Roman"/>
      <w:b/>
      <w:bCs/>
      <w:sz w:val="28"/>
      <w:szCs w:val="28"/>
    </w:rPr>
  </w:style>
  <w:style w:type="character" w:customStyle="1" w:styleId="300">
    <w:name w:val="列出段落 Char"/>
    <w:link w:val="301"/>
    <w:qFormat/>
    <w:uiPriority w:val="99"/>
    <w:rPr>
      <w:sz w:val="21"/>
      <w:szCs w:val="24"/>
    </w:rPr>
  </w:style>
  <w:style w:type="paragraph" w:customStyle="1" w:styleId="301">
    <w:name w:val="List Paragraph1"/>
    <w:basedOn w:val="1"/>
    <w:link w:val="300"/>
    <w:qFormat/>
    <w:uiPriority w:val="99"/>
    <w:pPr>
      <w:ind w:firstLine="420"/>
    </w:pPr>
  </w:style>
  <w:style w:type="paragraph" w:customStyle="1" w:styleId="302">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303">
    <w:name w:val="_Style 34"/>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04">
    <w:name w:val="正文_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5">
    <w:name w:val="_Style 36"/>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06">
    <w:name w:val="空半行"/>
    <w:basedOn w:val="1"/>
    <w:qFormat/>
    <w:uiPriority w:val="0"/>
    <w:pPr>
      <w:spacing w:line="120" w:lineRule="exact"/>
    </w:pPr>
    <w:rPr>
      <w:rFonts w:ascii="Calibri" w:hAnsi="Calibri" w:eastAsia="仿宋_GB2312"/>
      <w:color w:val="FFFFFF"/>
      <w:sz w:val="30"/>
      <w:szCs w:val="22"/>
    </w:rPr>
  </w:style>
  <w:style w:type="paragraph" w:customStyle="1" w:styleId="307">
    <w:name w:val="1方案格式1"/>
    <w:basedOn w:val="3"/>
    <w:qFormat/>
    <w:uiPriority w:val="0"/>
    <w:pPr>
      <w:numPr>
        <w:numId w:val="2"/>
      </w:numPr>
      <w:tabs>
        <w:tab w:val="left" w:pos="360"/>
      </w:tabs>
      <w:spacing w:line="360" w:lineRule="auto"/>
      <w:ind w:left="0" w:firstLine="0"/>
    </w:pPr>
    <w:rPr>
      <w:rFonts w:eastAsia="微软雅黑"/>
      <w:bCs w:val="0"/>
      <w:sz w:val="48"/>
    </w:rPr>
  </w:style>
  <w:style w:type="paragraph" w:customStyle="1" w:styleId="308">
    <w:name w:val="格式３"/>
    <w:basedOn w:val="1"/>
    <w:qFormat/>
    <w:uiPriority w:val="0"/>
    <w:pPr>
      <w:spacing w:line="420" w:lineRule="exact"/>
      <w:ind w:left="600" w:hanging="600"/>
    </w:pPr>
    <w:rPr>
      <w:rFonts w:ascii="宋体" w:hAnsi="宋体"/>
      <w:color w:val="000000"/>
      <w:sz w:val="24"/>
      <w:szCs w:val="20"/>
    </w:rPr>
  </w:style>
  <w:style w:type="paragraph" w:customStyle="1" w:styleId="309">
    <w:name w:val="列出段落1"/>
    <w:basedOn w:val="1"/>
    <w:qFormat/>
    <w:uiPriority w:val="34"/>
    <w:pPr>
      <w:widowControl/>
      <w:ind w:left="720"/>
      <w:contextualSpacing/>
      <w:jc w:val="left"/>
    </w:pPr>
    <w:rPr>
      <w:rFonts w:ascii="Arial" w:hAnsi="Arial" w:eastAsia="黑体"/>
      <w:sz w:val="24"/>
      <w:lang w:eastAsia="en-US"/>
    </w:rPr>
  </w:style>
  <w:style w:type="paragraph" w:customStyle="1" w:styleId="310">
    <w:name w:val="正文空2字"/>
    <w:basedOn w:val="1"/>
    <w:qFormat/>
    <w:uiPriority w:val="0"/>
    <w:pPr>
      <w:spacing w:line="360" w:lineRule="auto"/>
      <w:ind w:firstLine="200"/>
    </w:pPr>
    <w:rPr>
      <w:sz w:val="24"/>
      <w:lang w:bidi="en-US"/>
    </w:rPr>
  </w:style>
  <w:style w:type="paragraph" w:customStyle="1" w:styleId="31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312">
    <w:name w:val="目录 5_0"/>
    <w:basedOn w:val="222"/>
    <w:next w:val="222"/>
    <w:qFormat/>
    <w:uiPriority w:val="39"/>
    <w:pPr>
      <w:ind w:left="1680"/>
    </w:pPr>
    <w:rPr>
      <w:rFonts w:ascii="Calibri" w:hAnsi="Calibri"/>
    </w:rPr>
  </w:style>
  <w:style w:type="paragraph" w:customStyle="1" w:styleId="313">
    <w:name w:val="修订1"/>
    <w:qFormat/>
    <w:uiPriority w:val="0"/>
    <w:rPr>
      <w:rFonts w:ascii="Times New Roman" w:hAnsi="Times New Roman" w:eastAsia="宋体" w:cs="Times New Roman"/>
      <w:sz w:val="21"/>
      <w:szCs w:val="24"/>
      <w:lang w:val="en-US" w:eastAsia="zh-CN" w:bidi="ar-SA"/>
    </w:rPr>
  </w:style>
  <w:style w:type="paragraph" w:customStyle="1" w:styleId="314">
    <w:name w:val="标题 11"/>
    <w:basedOn w:val="63"/>
    <w:next w:val="63"/>
    <w:qFormat/>
    <w:uiPriority w:val="0"/>
    <w:pPr>
      <w:keepNext/>
      <w:keepLines/>
      <w:spacing w:before="340" w:after="330" w:line="576" w:lineRule="auto"/>
      <w:outlineLvl w:val="0"/>
    </w:pPr>
    <w:rPr>
      <w:rFonts w:ascii="Times New Roman" w:hAnsi="Times New Roman" w:eastAsia="Times New Roman"/>
      <w:b/>
      <w:sz w:val="44"/>
      <w:lang w:val="zh-CN"/>
    </w:rPr>
  </w:style>
  <w:style w:type="paragraph" w:customStyle="1" w:styleId="315">
    <w:name w:val="正文 + 行距: 固定值 20 磅"/>
    <w:basedOn w:val="1"/>
    <w:qFormat/>
    <w:uiPriority w:val="0"/>
    <w:pPr>
      <w:spacing w:line="400" w:lineRule="exact"/>
      <w:ind w:firstLine="716"/>
    </w:pPr>
    <w:rPr>
      <w:rFonts w:ascii="Calibri" w:hAnsi="Calibri"/>
      <w:szCs w:val="22"/>
    </w:rPr>
  </w:style>
  <w:style w:type="paragraph" w:customStyle="1" w:styleId="316">
    <w:name w:val="TOC 标题11"/>
    <w:basedOn w:val="3"/>
    <w:next w:val="1"/>
    <w:qFormat/>
    <w:uiPriority w:val="0"/>
    <w:pPr>
      <w:widowControl/>
      <w:numPr>
        <w:numId w:val="0"/>
      </w:numPr>
      <w:spacing w:before="480" w:after="0" w:line="276" w:lineRule="auto"/>
      <w:jc w:val="left"/>
      <w:outlineLvl w:val="9"/>
    </w:pPr>
    <w:rPr>
      <w:rFonts w:ascii="Cambria" w:hAnsi="Cambria"/>
      <w:color w:val="365F91"/>
      <w:sz w:val="28"/>
      <w:szCs w:val="28"/>
    </w:rPr>
  </w:style>
  <w:style w:type="paragraph" w:customStyle="1" w:styleId="317">
    <w:name w:val="表格文字"/>
    <w:basedOn w:val="1"/>
    <w:link w:val="348"/>
    <w:qFormat/>
    <w:uiPriority w:val="0"/>
    <w:pPr>
      <w:spacing w:line="420" w:lineRule="atLeast"/>
      <w:jc w:val="left"/>
    </w:pPr>
    <w:rPr>
      <w:rFonts w:ascii="Calibri" w:hAnsi="Calibri"/>
      <w:szCs w:val="22"/>
    </w:rPr>
  </w:style>
  <w:style w:type="paragraph" w:customStyle="1" w:styleId="318">
    <w:name w:val="flNote"/>
    <w:basedOn w:val="1"/>
    <w:qFormat/>
    <w:uiPriority w:val="0"/>
    <w:pPr>
      <w:spacing w:before="320" w:after="160" w:line="360" w:lineRule="atLeast"/>
      <w:jc w:val="center"/>
    </w:pPr>
    <w:rPr>
      <w:rFonts w:ascii="Arial" w:hAnsi="Calibri" w:eastAsia="黑体"/>
      <w:sz w:val="30"/>
      <w:szCs w:val="22"/>
    </w:rPr>
  </w:style>
  <w:style w:type="paragraph" w:customStyle="1" w:styleId="319">
    <w:name w:val="文章正文"/>
    <w:basedOn w:val="1"/>
    <w:qFormat/>
    <w:uiPriority w:val="99"/>
    <w:pPr>
      <w:spacing w:line="360" w:lineRule="auto"/>
      <w:ind w:firstLine="480"/>
    </w:pPr>
    <w:rPr>
      <w:rFonts w:ascii="仿宋_GB2312" w:hAnsi="宋体" w:eastAsia="仿宋_GB2312"/>
      <w:color w:val="FF0000"/>
      <w:sz w:val="24"/>
    </w:rPr>
  </w:style>
  <w:style w:type="paragraph" w:customStyle="1" w:styleId="320">
    <w:name w:val="表格"/>
    <w:basedOn w:val="1"/>
    <w:qFormat/>
    <w:uiPriority w:val="0"/>
    <w:pPr>
      <w:jc w:val="center"/>
    </w:pPr>
    <w:rPr>
      <w:rFonts w:ascii="华文细黑" w:hAnsi="华文细黑"/>
      <w:szCs w:val="22"/>
    </w:rPr>
  </w:style>
  <w:style w:type="paragraph" w:customStyle="1" w:styleId="321">
    <w:name w:val="Char"/>
    <w:basedOn w:val="1"/>
    <w:qFormat/>
    <w:uiPriority w:val="0"/>
    <w:pPr>
      <w:widowControl/>
      <w:spacing w:after="160" w:line="240" w:lineRule="exact"/>
      <w:jc w:val="left"/>
    </w:pPr>
    <w:rPr>
      <w:rFonts w:ascii="Verdana" w:hAnsi="Verdana"/>
      <w:sz w:val="20"/>
      <w:szCs w:val="20"/>
      <w:lang w:eastAsia="en-US"/>
    </w:rPr>
  </w:style>
  <w:style w:type="paragraph" w:customStyle="1" w:styleId="322">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323">
    <w:name w:val="列出段落2"/>
    <w:basedOn w:val="1"/>
    <w:qFormat/>
    <w:uiPriority w:val="99"/>
    <w:pPr>
      <w:ind w:firstLine="420"/>
    </w:pPr>
  </w:style>
  <w:style w:type="paragraph" w:customStyle="1" w:styleId="324">
    <w:name w:val="6'"/>
    <w:basedOn w:val="1"/>
    <w:qFormat/>
    <w:uiPriority w:val="0"/>
    <w:pPr>
      <w:spacing w:line="320" w:lineRule="exact"/>
      <w:jc w:val="center"/>
    </w:pPr>
    <w:rPr>
      <w:rFonts w:ascii="Calibri" w:hAnsi="Calibri"/>
      <w:spacing w:val="20"/>
      <w:szCs w:val="22"/>
    </w:rPr>
  </w:style>
  <w:style w:type="paragraph" w:customStyle="1" w:styleId="325">
    <w:name w:val="Char Char Char Char Char Char Char"/>
    <w:basedOn w:val="1"/>
    <w:qFormat/>
    <w:uiPriority w:val="0"/>
    <w:pPr>
      <w:spacing w:line="360" w:lineRule="auto"/>
    </w:pPr>
    <w:rPr>
      <w:sz w:val="24"/>
      <w:szCs w:val="20"/>
    </w:rPr>
  </w:style>
  <w:style w:type="paragraph" w:customStyle="1" w:styleId="326">
    <w:name w:val="2方案格式2"/>
    <w:basedOn w:val="307"/>
    <w:qFormat/>
    <w:uiPriority w:val="0"/>
    <w:pPr>
      <w:numPr>
        <w:ilvl w:val="1"/>
      </w:numPr>
      <w:spacing w:before="50" w:after="50" w:line="240" w:lineRule="auto"/>
      <w:outlineLvl w:val="1"/>
    </w:pPr>
    <w:rPr>
      <w:sz w:val="44"/>
    </w:rPr>
  </w:style>
  <w:style w:type="paragraph" w:customStyle="1" w:styleId="327">
    <w:name w:val="无间隔1"/>
    <w:qFormat/>
    <w:uiPriority w:val="0"/>
    <w:pPr>
      <w:widowControl w:val="0"/>
      <w:jc w:val="both"/>
    </w:pPr>
    <w:rPr>
      <w:rFonts w:ascii="Calibri" w:hAnsi="Calibri" w:eastAsia="宋体" w:cs="Times New Roman"/>
      <w:sz w:val="21"/>
      <w:szCs w:val="22"/>
      <w:lang w:val="en-US" w:eastAsia="zh-CN" w:bidi="ar-SA"/>
    </w:rPr>
  </w:style>
  <w:style w:type="paragraph" w:customStyle="1" w:styleId="328">
    <w:name w:val="文档正文"/>
    <w:basedOn w:val="1"/>
    <w:qFormat/>
    <w:uiPriority w:val="0"/>
    <w:pPr>
      <w:spacing w:line="480" w:lineRule="atLeast"/>
      <w:ind w:firstLine="567"/>
    </w:pPr>
    <w:rPr>
      <w:rFonts w:ascii="Ari" w:eastAsia="Ari"/>
      <w:sz w:val="28"/>
      <w:szCs w:val="20"/>
    </w:rPr>
  </w:style>
  <w:style w:type="paragraph" w:customStyle="1" w:styleId="329">
    <w:name w:val="txt"/>
    <w:basedOn w:val="1"/>
    <w:qFormat/>
    <w:uiPriority w:val="0"/>
    <w:pPr>
      <w:widowControl/>
      <w:spacing w:before="100" w:beforeAutospacing="1" w:after="100" w:afterAutospacing="1"/>
      <w:jc w:val="left"/>
    </w:pPr>
    <w:rPr>
      <w:rFonts w:ascii="宋体" w:hAnsi="宋体" w:cs="宋体"/>
      <w:sz w:val="24"/>
    </w:rPr>
  </w:style>
  <w:style w:type="paragraph" w:customStyle="1" w:styleId="330">
    <w:name w:val="目录 4_0"/>
    <w:basedOn w:val="222"/>
    <w:next w:val="222"/>
    <w:qFormat/>
    <w:uiPriority w:val="39"/>
    <w:pPr>
      <w:ind w:left="1260"/>
    </w:pPr>
    <w:rPr>
      <w:rFonts w:ascii="Calibri" w:hAnsi="Calibri"/>
    </w:rPr>
  </w:style>
  <w:style w:type="paragraph" w:customStyle="1" w:styleId="331">
    <w:name w:val="目录 3_0"/>
    <w:basedOn w:val="222"/>
    <w:next w:val="222"/>
    <w:qFormat/>
    <w:uiPriority w:val="39"/>
    <w:pPr>
      <w:ind w:left="840"/>
    </w:pPr>
    <w:rPr>
      <w:rFonts w:ascii="Calibri" w:hAnsi="Calibri"/>
    </w:rPr>
  </w:style>
  <w:style w:type="paragraph" w:customStyle="1" w:styleId="332">
    <w:name w:val="样式 标题 1 + 黑体 三号 非加粗 居中 段前: 6 磅 段后: 6 磅 行距: 固定值 20 磅"/>
    <w:basedOn w:val="3"/>
    <w:qFormat/>
    <w:uiPriority w:val="0"/>
    <w:pPr>
      <w:numPr>
        <w:numId w:val="0"/>
      </w:numPr>
      <w:spacing w:before="120" w:after="120" w:line="400" w:lineRule="exact"/>
    </w:pPr>
    <w:rPr>
      <w:rFonts w:ascii="黑体" w:hAnsi="黑体" w:eastAsia="黑体"/>
      <w:b w:val="0"/>
      <w:bCs w:val="0"/>
      <w:szCs w:val="20"/>
    </w:rPr>
  </w:style>
  <w:style w:type="paragraph" w:customStyle="1" w:styleId="333">
    <w:name w:val="1"/>
    <w:basedOn w:val="1"/>
    <w:next w:val="1"/>
    <w:qFormat/>
    <w:uiPriority w:val="0"/>
    <w:rPr>
      <w:rFonts w:ascii="Calibri" w:hAnsi="Calibri"/>
      <w:szCs w:val="22"/>
    </w:rPr>
  </w:style>
  <w:style w:type="paragraph" w:customStyle="1" w:styleId="334">
    <w:name w:val="Blockquote_0"/>
    <w:basedOn w:val="222"/>
    <w:qFormat/>
    <w:uiPriority w:val="0"/>
    <w:pPr>
      <w:spacing w:before="100" w:after="100"/>
      <w:ind w:left="360" w:right="360"/>
      <w:jc w:val="left"/>
    </w:pPr>
    <w:rPr>
      <w:rFonts w:ascii="Calibri" w:hAnsi="Calibri" w:eastAsia="Times New Roman"/>
      <w:sz w:val="24"/>
      <w:szCs w:val="20"/>
    </w:rPr>
  </w:style>
  <w:style w:type="paragraph" w:customStyle="1" w:styleId="335">
    <w:name w:val="列出段落11"/>
    <w:basedOn w:val="1"/>
    <w:qFormat/>
    <w:uiPriority w:val="0"/>
    <w:pPr>
      <w:widowControl/>
      <w:ind w:left="720"/>
      <w:contextualSpacing/>
      <w:jc w:val="left"/>
    </w:pPr>
    <w:rPr>
      <w:rFonts w:ascii="Arial" w:hAnsi="Arial" w:eastAsia="黑体"/>
      <w:sz w:val="24"/>
      <w:lang w:eastAsia="en-US"/>
    </w:rPr>
  </w:style>
  <w:style w:type="paragraph" w:customStyle="1" w:styleId="33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sz w:val="28"/>
      <w:szCs w:val="20"/>
    </w:rPr>
  </w:style>
  <w:style w:type="paragraph" w:customStyle="1" w:styleId="337">
    <w:name w:val="op_mapdots_left"/>
    <w:basedOn w:val="1"/>
    <w:qFormat/>
    <w:uiPriority w:val="0"/>
    <w:pPr>
      <w:widowControl/>
      <w:spacing w:before="100" w:beforeAutospacing="1" w:after="100" w:afterAutospacing="1"/>
      <w:jc w:val="left"/>
    </w:pPr>
    <w:rPr>
      <w:rFonts w:ascii="宋体" w:hAnsi="宋体" w:cs="宋体"/>
      <w:sz w:val="24"/>
    </w:rPr>
  </w:style>
  <w:style w:type="paragraph" w:customStyle="1" w:styleId="338">
    <w:name w:val="p0"/>
    <w:basedOn w:val="1"/>
    <w:qFormat/>
    <w:uiPriority w:val="0"/>
    <w:pPr>
      <w:widowControl/>
    </w:pPr>
    <w:rPr>
      <w:b/>
      <w:bCs/>
      <w:sz w:val="24"/>
    </w:rPr>
  </w:style>
  <w:style w:type="paragraph" w:customStyle="1" w:styleId="339">
    <w:name w:val="Blockquote"/>
    <w:basedOn w:val="1"/>
    <w:qFormat/>
    <w:uiPriority w:val="0"/>
    <w:pPr>
      <w:spacing w:before="100" w:after="100"/>
      <w:ind w:left="360" w:right="360"/>
      <w:jc w:val="left"/>
    </w:pPr>
    <w:rPr>
      <w:rFonts w:ascii="Calibri" w:hAnsi="Calibri"/>
      <w:sz w:val="24"/>
      <w:szCs w:val="22"/>
    </w:rPr>
  </w:style>
  <w:style w:type="paragraph" w:customStyle="1" w:styleId="340">
    <w:name w:val="3方案格式3"/>
    <w:basedOn w:val="326"/>
    <w:qFormat/>
    <w:uiPriority w:val="0"/>
    <w:pPr>
      <w:numPr>
        <w:ilvl w:val="2"/>
      </w:numPr>
      <w:outlineLvl w:val="2"/>
    </w:pPr>
    <w:rPr>
      <w:sz w:val="32"/>
    </w:rPr>
  </w:style>
  <w:style w:type="paragraph" w:customStyle="1" w:styleId="341">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342">
    <w:name w:val="标题2"/>
    <w:basedOn w:val="4"/>
    <w:next w:val="19"/>
    <w:qFormat/>
    <w:uiPriority w:val="0"/>
    <w:pPr>
      <w:spacing w:before="156" w:after="156" w:line="360" w:lineRule="auto"/>
    </w:pPr>
    <w:rPr>
      <w:bCs w:val="0"/>
      <w:sz w:val="24"/>
    </w:rPr>
  </w:style>
  <w:style w:type="paragraph" w:customStyle="1" w:styleId="343">
    <w:name w:val="普通正文"/>
    <w:basedOn w:val="1"/>
    <w:qFormat/>
    <w:uiPriority w:val="0"/>
    <w:pPr>
      <w:spacing w:before="120" w:after="120" w:line="360" w:lineRule="auto"/>
      <w:ind w:firstLine="480"/>
      <w:jc w:val="left"/>
    </w:pPr>
    <w:rPr>
      <w:rFonts w:ascii="Arial" w:hAnsi="Arial"/>
      <w:sz w:val="24"/>
    </w:rPr>
  </w:style>
  <w:style w:type="paragraph" w:customStyle="1" w:styleId="344">
    <w:name w:val="正文11"/>
    <w:qFormat/>
    <w:uiPriority w:val="0"/>
    <w:rPr>
      <w:rFonts w:ascii="Calibri" w:hAnsi="Calibri" w:eastAsia="宋体" w:cs="Calibri"/>
      <w:sz w:val="24"/>
      <w:szCs w:val="24"/>
      <w:lang w:val="en-US" w:eastAsia="zh-CN" w:bidi="ar-SA"/>
    </w:rPr>
  </w:style>
  <w:style w:type="paragraph" w:customStyle="1" w:styleId="345">
    <w:name w:val="正文2"/>
    <w:qFormat/>
    <w:uiPriority w:val="0"/>
    <w:rPr>
      <w:rFonts w:ascii="Times New Roman" w:hAnsi="Times New Roman" w:eastAsia="微软雅黑" w:cs="Times New Roman"/>
      <w:sz w:val="24"/>
      <w:szCs w:val="24"/>
      <w:lang w:val="en-US" w:eastAsia="zh-CN" w:bidi="ar-SA"/>
    </w:rPr>
  </w:style>
  <w:style w:type="paragraph" w:customStyle="1" w:styleId="346">
    <w:name w:val="列出段落3"/>
    <w:basedOn w:val="1"/>
    <w:qFormat/>
    <w:uiPriority w:val="34"/>
    <w:pPr>
      <w:widowControl/>
      <w:spacing w:after="200"/>
      <w:ind w:firstLine="420"/>
      <w:jc w:val="left"/>
    </w:pPr>
    <w:rPr>
      <w:rFonts w:ascii="Tahoma" w:hAnsi="Tahoma" w:eastAsia="微软雅黑"/>
      <w:sz w:val="22"/>
      <w:szCs w:val="22"/>
    </w:rPr>
  </w:style>
  <w:style w:type="paragraph" w:customStyle="1" w:styleId="347">
    <w:name w:val="纯文本2"/>
    <w:basedOn w:val="1"/>
    <w:qFormat/>
    <w:uiPriority w:val="0"/>
    <w:pPr>
      <w:jc w:val="left"/>
    </w:pPr>
    <w:rPr>
      <w:rFonts w:hint="eastAsia" w:ascii="宋体" w:hAnsi="宋体" w:cs="Courier New"/>
      <w:sz w:val="24"/>
      <w:szCs w:val="20"/>
      <w:lang w:bidi="hi-IN"/>
    </w:rPr>
  </w:style>
  <w:style w:type="character" w:customStyle="1" w:styleId="348">
    <w:name w:val="表格文字 字符"/>
    <w:link w:val="317"/>
    <w:qFormat/>
    <w:uiPriority w:val="0"/>
    <w:rPr>
      <w:rFonts w:ascii="Calibri" w:hAnsi="Calibri" w:eastAsia="宋体" w:cs="Times New Roman"/>
      <w:sz w:val="21"/>
      <w:szCs w:val="22"/>
    </w:rPr>
  </w:style>
  <w:style w:type="paragraph" w:customStyle="1" w:styleId="349">
    <w:name w:val="trs_editor"/>
    <w:basedOn w:val="1"/>
    <w:qFormat/>
    <w:uiPriority w:val="0"/>
    <w:pPr>
      <w:widowControl/>
      <w:spacing w:before="100" w:beforeAutospacing="1" w:after="100" w:afterAutospacing="1"/>
      <w:jc w:val="left"/>
    </w:pPr>
    <w:rPr>
      <w:rFonts w:ascii="宋体" w:hAnsi="宋体" w:cs="宋体"/>
      <w:sz w:val="24"/>
    </w:rPr>
  </w:style>
  <w:style w:type="paragraph" w:customStyle="1" w:styleId="350">
    <w:name w:val="标题二级"/>
    <w:basedOn w:val="1"/>
    <w:qFormat/>
    <w:uiPriority w:val="0"/>
    <w:pPr>
      <w:ind w:firstLine="412"/>
    </w:pPr>
    <w:rPr>
      <w:rFonts w:ascii="宋体" w:hAnsi="宋体"/>
      <w:szCs w:val="21"/>
    </w:rPr>
  </w:style>
  <w:style w:type="paragraph" w:customStyle="1" w:styleId="351">
    <w:name w:val="修订2"/>
    <w:hidden/>
    <w:semiHidden/>
    <w:qFormat/>
    <w:uiPriority w:val="99"/>
    <w:rPr>
      <w:rFonts w:ascii="Times New Roman" w:hAnsi="Times New Roman" w:eastAsia="宋体" w:cs="Times New Roman"/>
      <w:sz w:val="21"/>
      <w:szCs w:val="24"/>
      <w:lang w:val="en-US" w:eastAsia="zh-CN" w:bidi="ar-SA"/>
    </w:rPr>
  </w:style>
  <w:style w:type="paragraph" w:customStyle="1" w:styleId="352">
    <w:name w:val="修订3"/>
    <w:hidden/>
    <w:semiHidden/>
    <w:qFormat/>
    <w:uiPriority w:val="99"/>
    <w:rPr>
      <w:rFonts w:ascii="Times New Roman" w:hAnsi="Times New Roman" w:eastAsia="宋体" w:cs="Times New Roman"/>
      <w:sz w:val="21"/>
      <w:szCs w:val="24"/>
      <w:lang w:val="en-US" w:eastAsia="zh-CN" w:bidi="ar-SA"/>
    </w:rPr>
  </w:style>
  <w:style w:type="character" w:customStyle="1" w:styleId="353">
    <w:name w:val="无"/>
    <w:qFormat/>
    <w:uiPriority w:val="0"/>
  </w:style>
  <w:style w:type="paragraph" w:customStyle="1" w:styleId="354">
    <w:name w:val="Heading #2|1"/>
    <w:basedOn w:val="1"/>
    <w:qFormat/>
    <w:uiPriority w:val="0"/>
    <w:pPr>
      <w:spacing w:after="720" w:line="648" w:lineRule="exact"/>
      <w:ind w:firstLine="310"/>
      <w:jc w:val="center"/>
      <w:outlineLvl w:val="1"/>
    </w:pPr>
    <w:rPr>
      <w:rFonts w:ascii="宋体" w:hAnsi="宋体" w:cs="宋体"/>
      <w:sz w:val="42"/>
      <w:szCs w:val="42"/>
      <w:lang w:val="zh-TW" w:eastAsia="zh-TW" w:bidi="zh-TW"/>
    </w:rPr>
  </w:style>
  <w:style w:type="paragraph" w:customStyle="1" w:styleId="355">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356">
    <w:name w:val="_Style 1931"/>
    <w:basedOn w:val="1"/>
    <w:next w:val="213"/>
    <w:qFormat/>
    <w:uiPriority w:val="34"/>
    <w:pPr>
      <w:ind w:firstLine="420"/>
    </w:pPr>
  </w:style>
  <w:style w:type="paragraph" w:customStyle="1" w:styleId="357">
    <w:name w:val="段落"/>
    <w:basedOn w:val="1"/>
    <w:qFormat/>
    <w:uiPriority w:val="0"/>
    <w:pPr>
      <w:spacing w:line="460" w:lineRule="exact"/>
      <w:ind w:firstLine="480"/>
    </w:pPr>
    <w:rPr>
      <w:rFonts w:ascii="Calibri" w:hAnsi="Calibri"/>
      <w:sz w:val="24"/>
      <w:szCs w:val="20"/>
    </w:rPr>
  </w:style>
  <w:style w:type="paragraph" w:customStyle="1" w:styleId="358">
    <w:name w:val="列出段落4"/>
    <w:basedOn w:val="1"/>
    <w:unhideWhenUsed/>
    <w:qFormat/>
    <w:uiPriority w:val="99"/>
    <w:pPr>
      <w:spacing w:line="360" w:lineRule="auto"/>
      <w:ind w:firstLine="420"/>
    </w:pPr>
    <w:rPr>
      <w:rFonts w:ascii="Calibri" w:hAnsi="Calibri" w:eastAsia="仿宋_GB2312"/>
      <w:sz w:val="32"/>
      <w:szCs w:val="22"/>
    </w:rPr>
  </w:style>
  <w:style w:type="paragraph" w:customStyle="1" w:styleId="359">
    <w:name w:val="修订4"/>
    <w:hidden/>
    <w:semiHidden/>
    <w:qFormat/>
    <w:uiPriority w:val="99"/>
    <w:rPr>
      <w:rFonts w:ascii="Times New Roman" w:hAnsi="Times New Roman" w:eastAsia="宋体" w:cs="Times New Roman"/>
      <w:sz w:val="21"/>
      <w:szCs w:val="24"/>
      <w:lang w:val="en-US" w:eastAsia="zh-CN" w:bidi="ar-SA"/>
    </w:rPr>
  </w:style>
  <w:style w:type="paragraph" w:customStyle="1" w:styleId="360">
    <w:name w:val="正文 A"/>
    <w:next w:val="19"/>
    <w:qFormat/>
    <w:uiPriority w:val="0"/>
    <w:pPr>
      <w:widowControl w:val="0"/>
      <w:jc w:val="both"/>
    </w:pPr>
    <w:rPr>
      <w:rFonts w:ascii="Times New Roman" w:hAnsi="Times New Roman" w:eastAsia="ヒラギノ角ゴ Pro W3" w:cs="Times New Roman"/>
      <w:color w:val="000000"/>
      <w:sz w:val="21"/>
      <w:lang w:val="en-US" w:eastAsia="zh-CN" w:bidi="ar-SA"/>
    </w:rPr>
  </w:style>
  <w:style w:type="paragraph" w:customStyle="1" w:styleId="361">
    <w:name w:val="无间距"/>
    <w:qFormat/>
    <w:uiPriority w:val="0"/>
    <w:pPr>
      <w:widowControl w:val="0"/>
      <w:jc w:val="both"/>
    </w:pPr>
    <w:rPr>
      <w:rFonts w:ascii="Calibri" w:hAnsi="Calibri" w:eastAsia="宋体" w:cs="Times New Roman"/>
      <w:sz w:val="21"/>
      <w:szCs w:val="22"/>
      <w:lang w:val="en-US" w:eastAsia="zh-CN" w:bidi="ar-SA"/>
    </w:rPr>
  </w:style>
  <w:style w:type="paragraph" w:customStyle="1" w:styleId="362">
    <w:name w:val="*正文"/>
    <w:basedOn w:val="1"/>
    <w:qFormat/>
    <w:uiPriority w:val="0"/>
    <w:pPr>
      <w:widowControl/>
      <w:spacing w:line="360" w:lineRule="auto"/>
    </w:pPr>
    <w:rPr>
      <w:rFonts w:ascii="仿宋_GB2312" w:eastAsia="仿宋_GB2312"/>
      <w:sz w:val="24"/>
      <w:szCs w:val="28"/>
    </w:rPr>
  </w:style>
  <w:style w:type="table" w:customStyle="1" w:styleId="363">
    <w:name w:val="Table Normal"/>
    <w:semiHidden/>
    <w:unhideWhenUsed/>
    <w:qFormat/>
    <w:uiPriority w:val="0"/>
    <w:tblPr>
      <w:tblCellMar>
        <w:top w:w="0" w:type="dxa"/>
        <w:left w:w="0" w:type="dxa"/>
        <w:bottom w:w="0" w:type="dxa"/>
        <w:right w:w="0" w:type="dxa"/>
      </w:tblCellMar>
    </w:tblPr>
  </w:style>
  <w:style w:type="character" w:customStyle="1" w:styleId="364">
    <w:name w:val="form-textarea-print1"/>
    <w:qFormat/>
    <w:uiPriority w:val="0"/>
    <w:rPr>
      <w:rFonts w:hint="default" w:ascii="微软雅黑" w:hAnsi="微软雅黑" w:eastAsia="宋体" w:cs="Times New Roman"/>
      <w:sz w:val="18"/>
      <w:szCs w:val="18"/>
    </w:rPr>
  </w:style>
  <w:style w:type="character" w:customStyle="1" w:styleId="365">
    <w:name w:val="cke_colorbox"/>
    <w:basedOn w:val="50"/>
    <w:qFormat/>
    <w:uiPriority w:val="0"/>
  </w:style>
  <w:style w:type="character" w:customStyle="1" w:styleId="366">
    <w:name w:val="cke_colorbox1"/>
    <w:basedOn w:val="50"/>
    <w:qFormat/>
    <w:uiPriority w:val="0"/>
  </w:style>
  <w:style w:type="character" w:customStyle="1" w:styleId="367">
    <w:name w:val="pwdtips_alert"/>
    <w:basedOn w:val="50"/>
    <w:qFormat/>
    <w:uiPriority w:val="0"/>
    <w:rPr>
      <w:shd w:val="clear" w:color="auto" w:fill="FFEAA6"/>
    </w:rPr>
  </w:style>
  <w:style w:type="character" w:customStyle="1" w:styleId="368">
    <w:name w:val="l-btn-left"/>
    <w:basedOn w:val="50"/>
    <w:qFormat/>
    <w:uiPriority w:val="0"/>
  </w:style>
  <w:style w:type="character" w:customStyle="1" w:styleId="369">
    <w:name w:val="l-btn-left1"/>
    <w:basedOn w:val="50"/>
    <w:qFormat/>
    <w:uiPriority w:val="0"/>
  </w:style>
  <w:style w:type="character" w:customStyle="1" w:styleId="370">
    <w:name w:val="l-btn-left2"/>
    <w:basedOn w:val="50"/>
    <w:qFormat/>
    <w:uiPriority w:val="0"/>
  </w:style>
  <w:style w:type="character" w:customStyle="1" w:styleId="371">
    <w:name w:val="l-btn-left3"/>
    <w:basedOn w:val="50"/>
    <w:qFormat/>
    <w:uiPriority w:val="0"/>
  </w:style>
  <w:style w:type="character" w:customStyle="1" w:styleId="372">
    <w:name w:val="combo2"/>
    <w:basedOn w:val="50"/>
    <w:qFormat/>
    <w:uiPriority w:val="0"/>
  </w:style>
  <w:style w:type="character" w:customStyle="1" w:styleId="373">
    <w:name w:val="l-btn-empty"/>
    <w:basedOn w:val="50"/>
    <w:qFormat/>
    <w:uiPriority w:val="0"/>
  </w:style>
  <w:style w:type="character" w:customStyle="1" w:styleId="374">
    <w:name w:val="red"/>
    <w:basedOn w:val="50"/>
    <w:qFormat/>
    <w:uiPriority w:val="0"/>
    <w:rPr>
      <w:color w:val="FF0000"/>
    </w:rPr>
  </w:style>
  <w:style w:type="character" w:customStyle="1" w:styleId="375">
    <w:name w:val="l-btn-text"/>
    <w:basedOn w:val="50"/>
    <w:qFormat/>
    <w:uiPriority w:val="0"/>
    <w:rPr>
      <w:color w:val="1864AC"/>
      <w:sz w:val="14"/>
      <w:szCs w:val="14"/>
    </w:rPr>
  </w:style>
  <w:style w:type="character" w:customStyle="1" w:styleId="376">
    <w:name w:val="l-btn-text1"/>
    <w:basedOn w:val="50"/>
    <w:qFormat/>
    <w:uiPriority w:val="0"/>
  </w:style>
  <w:style w:type="character" w:customStyle="1" w:styleId="377">
    <w:name w:val="green"/>
    <w:basedOn w:val="50"/>
    <w:qFormat/>
    <w:uiPriority w:val="0"/>
    <w:rPr>
      <w:color w:val="00A521"/>
    </w:rPr>
  </w:style>
  <w:style w:type="character" w:customStyle="1" w:styleId="378">
    <w:name w:val="valueinfo"/>
    <w:basedOn w:val="50"/>
    <w:qFormat/>
    <w:uiPriority w:val="0"/>
    <w:rPr>
      <w:color w:val="666666"/>
    </w:rPr>
  </w:style>
  <w:style w:type="character" w:customStyle="1" w:styleId="379">
    <w:name w:val="tree-file2"/>
    <w:basedOn w:val="50"/>
    <w:qFormat/>
    <w:uiPriority w:val="0"/>
  </w:style>
  <w:style w:type="character" w:customStyle="1" w:styleId="380">
    <w:name w:val="vainfo"/>
    <w:basedOn w:val="50"/>
    <w:qFormat/>
    <w:uiPriority w:val="0"/>
    <w:rPr>
      <w:color w:val="FF0000"/>
      <w:shd w:val="clear" w:color="auto" w:fill="FFE4E4"/>
    </w:rPr>
  </w:style>
  <w:style w:type="character" w:customStyle="1" w:styleId="381">
    <w:name w:val="pwdtips_ok"/>
    <w:basedOn w:val="50"/>
    <w:qFormat/>
    <w:uiPriority w:val="0"/>
    <w:rPr>
      <w:shd w:val="clear" w:color="auto" w:fill="B4FFA6"/>
    </w:rPr>
  </w:style>
  <w:style w:type="character" w:customStyle="1" w:styleId="382">
    <w:name w:val="pwdtips_error"/>
    <w:basedOn w:val="50"/>
    <w:qFormat/>
    <w:uiPriority w:val="0"/>
    <w:rPr>
      <w:shd w:val="clear" w:color="auto" w:fill="FFA6A6"/>
    </w:rPr>
  </w:style>
  <w:style w:type="character" w:customStyle="1" w:styleId="383">
    <w:name w:val="tree-title4"/>
    <w:basedOn w:val="50"/>
    <w:qFormat/>
    <w:uiPriority w:val="0"/>
    <w:rPr>
      <w:color w:val="1864AC"/>
    </w:rPr>
  </w:style>
  <w:style w:type="character" w:customStyle="1" w:styleId="384">
    <w:name w:val="tree-title5"/>
    <w:basedOn w:val="50"/>
    <w:qFormat/>
    <w:uiPriority w:val="0"/>
    <w:rPr>
      <w:color w:val="FFFFFF"/>
      <w:shd w:val="clear" w:color="auto" w:fill="3366CC"/>
    </w:rPr>
  </w:style>
  <w:style w:type="character" w:customStyle="1" w:styleId="385">
    <w:name w:val="info"/>
    <w:basedOn w:val="50"/>
    <w:qFormat/>
    <w:uiPriority w:val="0"/>
  </w:style>
  <w:style w:type="character" w:customStyle="1" w:styleId="386">
    <w:name w:val="topic"/>
    <w:basedOn w:val="50"/>
    <w:qFormat/>
    <w:uiPriority w:val="0"/>
    <w:rPr>
      <w:color w:val="FF0000"/>
    </w:rPr>
  </w:style>
  <w:style w:type="paragraph" w:customStyle="1" w:styleId="387">
    <w:name w:val="_Style 213"/>
    <w:basedOn w:val="1"/>
    <w:next w:val="213"/>
    <w:qFormat/>
    <w:uiPriority w:val="34"/>
    <w:pPr>
      <w:spacing w:line="360" w:lineRule="atLeast"/>
      <w:ind w:firstLine="420"/>
      <w:jc w:val="left"/>
    </w:pPr>
    <w:rPr>
      <w:rFonts w:ascii="Arial" w:hAnsi="Arial"/>
      <w:sz w:val="24"/>
    </w:rPr>
  </w:style>
  <w:style w:type="paragraph" w:customStyle="1" w:styleId="388">
    <w:name w:val="修订5"/>
    <w:hidden/>
    <w:semiHidden/>
    <w:qFormat/>
    <w:uiPriority w:val="99"/>
    <w:rPr>
      <w:rFonts w:ascii="Times New Roman" w:hAnsi="Times New Roman" w:eastAsia="宋体" w:cs="Times New Roman"/>
      <w:sz w:val="21"/>
      <w:szCs w:val="24"/>
      <w:lang w:val="en-US" w:eastAsia="zh-CN" w:bidi="ar-SA"/>
    </w:rPr>
  </w:style>
  <w:style w:type="paragraph" w:customStyle="1" w:styleId="389">
    <w:name w:val="修订6"/>
    <w:hidden/>
    <w:semiHidden/>
    <w:qFormat/>
    <w:uiPriority w:val="99"/>
    <w:rPr>
      <w:rFonts w:ascii="Times New Roman" w:hAnsi="Times New Roman" w:eastAsia="宋体" w:cs="Times New Roman"/>
      <w:sz w:val="21"/>
      <w:szCs w:val="24"/>
      <w:lang w:val="en-US" w:eastAsia="zh-CN" w:bidi="ar-SA"/>
    </w:rPr>
  </w:style>
  <w:style w:type="character" w:customStyle="1" w:styleId="390">
    <w:name w:val="NormalCharacter"/>
    <w:semiHidden/>
    <w:qFormat/>
    <w:uiPriority w:val="0"/>
    <w:rPr>
      <w:rFonts w:ascii="Calibri" w:hAnsi="Calibri" w:eastAsia="宋体"/>
      <w:sz w:val="21"/>
      <w:szCs w:val="24"/>
      <w:lang w:val="en-US" w:eastAsia="zh-CN" w:bidi="ar-SA"/>
    </w:rPr>
  </w:style>
  <w:style w:type="paragraph" w:styleId="391">
    <w:name w:val="No Spacing"/>
    <w:qFormat/>
    <w:uiPriority w:val="1"/>
    <w:pPr>
      <w:widowControl w:val="0"/>
      <w:jc w:val="both"/>
    </w:pPr>
    <w:rPr>
      <w:rFonts w:ascii="Times New Roman" w:hAnsi="Times New Roman" w:eastAsia="宋体" w:cs="Times New Roman"/>
      <w:sz w:val="21"/>
      <w:lang w:val="en-US" w:eastAsia="zh-CN" w:bidi="ar-SA"/>
    </w:rPr>
  </w:style>
  <w:style w:type="paragraph" w:customStyle="1" w:styleId="392">
    <w:name w:val="列表段落2"/>
    <w:basedOn w:val="1"/>
    <w:qFormat/>
    <w:uiPriority w:val="0"/>
    <w:pPr>
      <w:ind w:firstLine="420"/>
    </w:pPr>
    <w:rPr>
      <w:szCs w:val="21"/>
    </w:rPr>
  </w:style>
  <w:style w:type="paragraph" w:customStyle="1" w:styleId="393">
    <w:name w:val="正文_9_0"/>
    <w:basedOn w:val="1"/>
    <w:qFormat/>
    <w:uiPriority w:val="0"/>
    <w:rPr>
      <w:szCs w:val="21"/>
    </w:rPr>
  </w:style>
  <w:style w:type="paragraph" w:customStyle="1" w:styleId="394">
    <w:name w:val="p15"/>
    <w:basedOn w:val="1"/>
    <w:qFormat/>
    <w:uiPriority w:val="0"/>
    <w:pPr>
      <w:widowControl/>
      <w:jc w:val="left"/>
    </w:pPr>
    <w:rPr>
      <w:rFonts w:ascii="黑体" w:hAnsi="黑体" w:eastAsia="黑体" w:cs="宋体"/>
      <w:color w:val="000000"/>
      <w:sz w:val="24"/>
    </w:rPr>
  </w:style>
  <w:style w:type="paragraph" w:customStyle="1" w:styleId="395">
    <w:name w:val="Table Text"/>
    <w:basedOn w:val="1"/>
    <w:semiHidden/>
    <w:qFormat/>
    <w:uiPriority w:val="0"/>
    <w:rPr>
      <w:rFonts w:ascii="宋体" w:hAnsi="宋体" w:cs="宋体"/>
      <w:szCs w:val="21"/>
      <w:lang w:eastAsia="en-US"/>
    </w:rPr>
  </w:style>
  <w:style w:type="paragraph" w:customStyle="1" w:styleId="396">
    <w:name w:val="TOC 71"/>
    <w:next w:val="1"/>
    <w:qFormat/>
    <w:uiPriority w:val="0"/>
    <w:pPr>
      <w:ind w:left="2550"/>
      <w:jc w:val="both"/>
    </w:pPr>
    <w:rPr>
      <w:rFonts w:ascii="Times New Roman" w:hAnsi="Times New Roman" w:eastAsia="宋体" w:cs="Times New Roman"/>
      <w:sz w:val="21"/>
      <w:szCs w:val="22"/>
      <w:lang w:val="en-US" w:eastAsia="zh-CN" w:bidi="ar-SA"/>
    </w:rPr>
  </w:style>
  <w:style w:type="paragraph" w:customStyle="1" w:styleId="397">
    <w:name w:val="修订7"/>
    <w:hidden/>
    <w:unhideWhenUsed/>
    <w:qFormat/>
    <w:uiPriority w:val="99"/>
    <w:rPr>
      <w:rFonts w:ascii="Times New Roman" w:hAnsi="Times New Roman" w:eastAsia="宋体" w:cs="Times New Roman"/>
      <w:sz w:val="21"/>
      <w:szCs w:val="24"/>
      <w:lang w:val="en-US" w:eastAsia="zh-CN" w:bidi="ar-SA"/>
    </w:rPr>
  </w:style>
  <w:style w:type="paragraph" w:customStyle="1" w:styleId="398">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399">
    <w:name w:val="标题一级"/>
    <w:basedOn w:val="1"/>
    <w:qFormat/>
    <w:uiPriority w:val="0"/>
    <w:pPr>
      <w:ind w:left="422"/>
    </w:pPr>
    <w:rPr>
      <w:rFonts w:ascii="宋体" w:hAnsi="宋体"/>
      <w:b/>
      <w:szCs w:val="21"/>
    </w:rPr>
  </w:style>
  <w:style w:type="paragraph" w:customStyle="1" w:styleId="400">
    <w:name w:val="修订9"/>
    <w:hidden/>
    <w:unhideWhenUsed/>
    <w:qFormat/>
    <w:uiPriority w:val="99"/>
    <w:rPr>
      <w:rFonts w:ascii="Times New Roman" w:hAnsi="Times New Roman" w:eastAsia="宋体" w:cs="Times New Roman"/>
      <w:sz w:val="21"/>
      <w:szCs w:val="24"/>
      <w:lang w:val="en-US" w:eastAsia="zh-CN" w:bidi="ar-SA"/>
    </w:rPr>
  </w:style>
  <w:style w:type="paragraph" w:customStyle="1" w:styleId="401">
    <w:name w:val="正文缩进1"/>
    <w:basedOn w:val="1"/>
    <w:qFormat/>
    <w:uiPriority w:val="0"/>
    <w:pPr>
      <w:ind w:firstLine="42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06538-B60C-4921-991D-88BFD66D233D}">
  <ds:schemaRefs/>
</ds:datastoreItem>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160</Pages>
  <Words>22534</Words>
  <Characters>23636</Characters>
  <Lines>876</Lines>
  <Paragraphs>246</Paragraphs>
  <TotalTime>244</TotalTime>
  <ScaleCrop>false</ScaleCrop>
  <LinksUpToDate>false</LinksUpToDate>
  <CharactersWithSpaces>23758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2025-11-19T07:29:00Z</dcterms:created>
  <dc:creator>Lenovo User</dc:creator>
  <cp:lastModifiedBy>JCEC</cp:lastModifiedBy>
  <cp:lastPrinted>2025-12-25T08:19:00Z</cp:lastPrinted>
  <dcterms:modified xsi:type="dcterms:W3CDTF">2025-12-25T12:21:30Z</dcterms:modified>
  <dc:title>公开招标文件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ED4A3AC171254012A1C7E6F7E6FEC6D5_13</vt:lpwstr>
  </property>
  <property fmtid="{D5CDD505-2E9C-101B-9397-08002B2CF9AE}" pid="4" name="KSOTemplateDocerSaveRecord">
    <vt:lpwstr>eyJoZGlkIjoiMzEwNTM5NzYwMDRjMzkwZTVkZjY2ODkwMGIxNGU0OTUiLCJ1c2VySWQiOiI0Njg1NTYwMTgifQ==</vt:lpwstr>
  </property>
</Properties>
</file>